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AF806" w14:textId="467100A3" w:rsidR="00455DA3" w:rsidRPr="00A81131" w:rsidRDefault="00455DA3" w:rsidP="00455DA3">
      <w:pPr>
        <w:pStyle w:val="Title"/>
        <w:tabs>
          <w:tab w:val="left" w:pos="8789"/>
        </w:tabs>
        <w:ind w:left="-284" w:right="89"/>
      </w:pPr>
    </w:p>
    <w:p w14:paraId="39A9B241" w14:textId="6D7327B4" w:rsidR="00455DA3" w:rsidRPr="00A81131" w:rsidRDefault="00455DA3" w:rsidP="00455DA3">
      <w:pPr>
        <w:pStyle w:val="Title"/>
        <w:tabs>
          <w:tab w:val="left" w:pos="8789"/>
        </w:tabs>
        <w:spacing w:after="240"/>
        <w:ind w:left="-284" w:right="91"/>
        <w:contextualSpacing w:val="0"/>
        <w:rPr>
          <w:b/>
          <w:sz w:val="56"/>
        </w:rPr>
      </w:pPr>
      <w:r w:rsidRPr="00A81131">
        <w:rPr>
          <w:b/>
          <w:sz w:val="56"/>
        </w:rPr>
        <w:t>Emp</w:t>
      </w:r>
      <w:r w:rsidR="00A15C2D" w:rsidRPr="00A81131">
        <w:rPr>
          <w:b/>
          <w:sz w:val="56"/>
        </w:rPr>
        <w:t xml:space="preserve">loyment Outlook to </w:t>
      </w:r>
      <w:r w:rsidR="00CC375F">
        <w:rPr>
          <w:b/>
          <w:sz w:val="56"/>
        </w:rPr>
        <w:t>November</w:t>
      </w:r>
      <w:r w:rsidR="007F126A" w:rsidRPr="00A81131">
        <w:rPr>
          <w:b/>
          <w:sz w:val="56"/>
        </w:rPr>
        <w:t xml:space="preserve"> 202</w:t>
      </w:r>
      <w:r w:rsidR="00CC375F">
        <w:rPr>
          <w:b/>
          <w:sz w:val="56"/>
        </w:rPr>
        <w:t>5</w:t>
      </w:r>
    </w:p>
    <w:p w14:paraId="3E284AAB" w14:textId="6C84C115" w:rsidR="00455DA3" w:rsidRPr="00A81131" w:rsidRDefault="00455DA3" w:rsidP="00455DA3">
      <w:pPr>
        <w:pStyle w:val="Title"/>
        <w:tabs>
          <w:tab w:val="left" w:pos="8789"/>
        </w:tabs>
        <w:ind w:left="-284" w:right="89"/>
        <w:rPr>
          <w:b/>
          <w:sz w:val="26"/>
          <w:szCs w:val="26"/>
        </w:rPr>
      </w:pPr>
      <w:r w:rsidRPr="00A81131">
        <w:rPr>
          <w:i/>
          <w:sz w:val="26"/>
          <w:szCs w:val="26"/>
        </w:rPr>
        <w:t xml:space="preserve">Based on the </w:t>
      </w:r>
      <w:r w:rsidR="00CC375F">
        <w:rPr>
          <w:i/>
          <w:sz w:val="26"/>
          <w:szCs w:val="26"/>
        </w:rPr>
        <w:t>National Skills Commission</w:t>
      </w:r>
      <w:r w:rsidR="00D86001" w:rsidRPr="00A81131">
        <w:rPr>
          <w:i/>
          <w:sz w:val="26"/>
          <w:szCs w:val="26"/>
        </w:rPr>
        <w:t>’</w:t>
      </w:r>
      <w:r w:rsidR="00CC375F">
        <w:rPr>
          <w:i/>
          <w:sz w:val="26"/>
          <w:szCs w:val="26"/>
        </w:rPr>
        <w:t>s</w:t>
      </w:r>
      <w:r w:rsidRPr="00A81131">
        <w:rPr>
          <w:i/>
          <w:sz w:val="26"/>
          <w:szCs w:val="26"/>
        </w:rPr>
        <w:t xml:space="preserve"> 20</w:t>
      </w:r>
      <w:r w:rsidR="00CC375F">
        <w:rPr>
          <w:i/>
          <w:sz w:val="26"/>
          <w:szCs w:val="26"/>
        </w:rPr>
        <w:t>20</w:t>
      </w:r>
      <w:r w:rsidR="00431678" w:rsidRPr="00A81131">
        <w:rPr>
          <w:i/>
          <w:sz w:val="26"/>
          <w:szCs w:val="26"/>
        </w:rPr>
        <w:t xml:space="preserve"> </w:t>
      </w:r>
      <w:r w:rsidRPr="00A81131">
        <w:rPr>
          <w:i/>
          <w:sz w:val="26"/>
          <w:szCs w:val="26"/>
        </w:rPr>
        <w:t>employment projections</w:t>
      </w:r>
    </w:p>
    <w:p w14:paraId="71237580" w14:textId="77777777" w:rsidR="002B391B" w:rsidRPr="00A81131" w:rsidRDefault="002B391B" w:rsidP="00455DA3"/>
    <w:p w14:paraId="124A51F5" w14:textId="77777777" w:rsidR="00A11B4E" w:rsidRDefault="00455DA3">
      <w:pPr>
        <w:pStyle w:val="TOC1"/>
        <w:rPr>
          <w:rFonts w:ascii="Calibri" w:eastAsiaTheme="majorEastAsia" w:hAnsi="Calibri" w:cstheme="majorBidi"/>
          <w:color w:val="003D6B"/>
          <w:sz w:val="36"/>
          <w:szCs w:val="36"/>
        </w:rPr>
      </w:pPr>
      <w:bookmarkStart w:id="0" w:name="_Toc395188055"/>
      <w:bookmarkStart w:id="1" w:name="_Toc395707296"/>
      <w:bookmarkStart w:id="2" w:name="_Toc395777242"/>
      <w:bookmarkStart w:id="3" w:name="_Toc395777309"/>
      <w:bookmarkStart w:id="4" w:name="_Toc396480036"/>
      <w:bookmarkStart w:id="5" w:name="_Toc425165162"/>
      <w:bookmarkStart w:id="6" w:name="_Toc425756965"/>
      <w:bookmarkStart w:id="7" w:name="_Toc456252592"/>
      <w:bookmarkStart w:id="8" w:name="_Toc498692520"/>
      <w:r w:rsidRPr="00A81131">
        <w:rPr>
          <w:rFonts w:ascii="Calibri" w:eastAsiaTheme="majorEastAsia" w:hAnsi="Calibri" w:cstheme="majorBidi"/>
          <w:color w:val="003D6B"/>
          <w:sz w:val="36"/>
          <w:szCs w:val="36"/>
        </w:rPr>
        <w:t>Table of Contents</w:t>
      </w:r>
      <w:bookmarkEnd w:id="0"/>
      <w:bookmarkEnd w:id="1"/>
      <w:bookmarkEnd w:id="2"/>
      <w:bookmarkEnd w:id="3"/>
      <w:bookmarkEnd w:id="4"/>
      <w:bookmarkEnd w:id="5"/>
      <w:bookmarkEnd w:id="6"/>
      <w:bookmarkEnd w:id="7"/>
      <w:bookmarkEnd w:id="8"/>
    </w:p>
    <w:p w14:paraId="04555B82" w14:textId="732513E9" w:rsidR="004C2FE3" w:rsidRDefault="00455DA3">
      <w:pPr>
        <w:pStyle w:val="TOC1"/>
        <w:rPr>
          <w:b w:val="0"/>
          <w:lang w:eastAsia="en-AU"/>
        </w:rPr>
      </w:pPr>
      <w:r w:rsidRPr="00A81131">
        <w:rPr>
          <w:rFonts w:ascii="Calibri" w:eastAsiaTheme="majorEastAsia" w:hAnsi="Calibri" w:cstheme="majorBidi"/>
          <w:b w:val="0"/>
          <w:noProof w:val="0"/>
          <w:color w:val="003D6B"/>
          <w:sz w:val="36"/>
          <w:szCs w:val="28"/>
          <w:lang w:bidi="en-US"/>
        </w:rPr>
        <w:fldChar w:fldCharType="begin"/>
      </w:r>
      <w:r w:rsidRPr="00A81131">
        <w:rPr>
          <w:b w:val="0"/>
        </w:rPr>
        <w:instrText xml:space="preserve"> TOC \o "1-3" \h \z \u </w:instrText>
      </w:r>
      <w:r w:rsidRPr="00A81131">
        <w:rPr>
          <w:rFonts w:ascii="Calibri" w:eastAsiaTheme="majorEastAsia" w:hAnsi="Calibri" w:cstheme="majorBidi"/>
          <w:b w:val="0"/>
          <w:noProof w:val="0"/>
          <w:color w:val="003D6B"/>
          <w:sz w:val="36"/>
          <w:szCs w:val="28"/>
          <w:lang w:bidi="en-US"/>
        </w:rPr>
        <w:fldChar w:fldCharType="separate"/>
      </w:r>
      <w:hyperlink w:anchor="_Toc80282658" w:history="1">
        <w:r w:rsidR="004C2FE3" w:rsidRPr="001C63F8">
          <w:rPr>
            <w:rStyle w:val="Hyperlink"/>
            <w:rFonts w:ascii="Calibri" w:eastAsiaTheme="majorEastAsia" w:hAnsi="Calibri" w:cstheme="majorBidi"/>
          </w:rPr>
          <w:t>Setting the scene</w:t>
        </w:r>
        <w:r w:rsidR="004C2FE3">
          <w:rPr>
            <w:webHidden/>
          </w:rPr>
          <w:tab/>
        </w:r>
        <w:r w:rsidR="004C2FE3">
          <w:rPr>
            <w:webHidden/>
          </w:rPr>
          <w:fldChar w:fldCharType="begin"/>
        </w:r>
        <w:r w:rsidR="004C2FE3">
          <w:rPr>
            <w:webHidden/>
          </w:rPr>
          <w:instrText xml:space="preserve"> PAGEREF _Toc80282658 \h </w:instrText>
        </w:r>
        <w:r w:rsidR="004C2FE3">
          <w:rPr>
            <w:webHidden/>
          </w:rPr>
        </w:r>
        <w:r w:rsidR="004C2FE3">
          <w:rPr>
            <w:webHidden/>
          </w:rPr>
          <w:fldChar w:fldCharType="separate"/>
        </w:r>
        <w:r w:rsidR="00306E42">
          <w:rPr>
            <w:webHidden/>
          </w:rPr>
          <w:t>2</w:t>
        </w:r>
        <w:r w:rsidR="004C2FE3">
          <w:rPr>
            <w:webHidden/>
          </w:rPr>
          <w:fldChar w:fldCharType="end"/>
        </w:r>
      </w:hyperlink>
    </w:p>
    <w:p w14:paraId="59A44BF0" w14:textId="5BF40F28" w:rsidR="004C2FE3" w:rsidRDefault="00507D12">
      <w:pPr>
        <w:pStyle w:val="TOC1"/>
        <w:rPr>
          <w:b w:val="0"/>
          <w:lang w:eastAsia="en-AU"/>
        </w:rPr>
      </w:pPr>
      <w:hyperlink w:anchor="_Toc80282659" w:history="1">
        <w:r w:rsidR="004C2FE3" w:rsidRPr="001C63F8">
          <w:rPr>
            <w:rStyle w:val="Hyperlink"/>
            <w:rFonts w:ascii="Calibri" w:eastAsiaTheme="majorEastAsia" w:hAnsi="Calibri" w:cstheme="majorBidi"/>
          </w:rPr>
          <w:t>What industries are driving growth?</w:t>
        </w:r>
        <w:r w:rsidR="004C2FE3">
          <w:rPr>
            <w:webHidden/>
          </w:rPr>
          <w:tab/>
        </w:r>
        <w:r w:rsidR="004C2FE3">
          <w:rPr>
            <w:webHidden/>
          </w:rPr>
          <w:fldChar w:fldCharType="begin"/>
        </w:r>
        <w:r w:rsidR="004C2FE3">
          <w:rPr>
            <w:webHidden/>
          </w:rPr>
          <w:instrText xml:space="preserve"> PAGEREF _Toc80282659 \h </w:instrText>
        </w:r>
        <w:r w:rsidR="004C2FE3">
          <w:rPr>
            <w:webHidden/>
          </w:rPr>
        </w:r>
        <w:r w:rsidR="004C2FE3">
          <w:rPr>
            <w:webHidden/>
          </w:rPr>
          <w:fldChar w:fldCharType="separate"/>
        </w:r>
        <w:r w:rsidR="00306E42">
          <w:rPr>
            <w:webHidden/>
          </w:rPr>
          <w:t>4</w:t>
        </w:r>
        <w:r w:rsidR="004C2FE3">
          <w:rPr>
            <w:webHidden/>
          </w:rPr>
          <w:fldChar w:fldCharType="end"/>
        </w:r>
      </w:hyperlink>
    </w:p>
    <w:p w14:paraId="0F0226FE" w14:textId="3B36221B" w:rsidR="004C2FE3" w:rsidRDefault="00507D12">
      <w:pPr>
        <w:pStyle w:val="TOC1"/>
        <w:rPr>
          <w:b w:val="0"/>
          <w:lang w:eastAsia="en-AU"/>
        </w:rPr>
      </w:pPr>
      <w:hyperlink w:anchor="_Toc80282660" w:history="1">
        <w:r w:rsidR="004C2FE3" w:rsidRPr="001C63F8">
          <w:rPr>
            <w:rStyle w:val="Hyperlink"/>
            <w:rFonts w:ascii="Calibri" w:eastAsiaTheme="majorEastAsia" w:hAnsi="Calibri" w:cstheme="majorBidi"/>
          </w:rPr>
          <w:t xml:space="preserve">Jobs and skills on the </w:t>
        </w:r>
        <w:r w:rsidR="00715828">
          <w:rPr>
            <w:rStyle w:val="Hyperlink"/>
            <w:rFonts w:ascii="Calibri" w:eastAsiaTheme="majorEastAsia" w:hAnsi="Calibri" w:cstheme="majorBidi"/>
          </w:rPr>
          <w:t>increase</w:t>
        </w:r>
        <w:r w:rsidR="004C2FE3">
          <w:rPr>
            <w:webHidden/>
          </w:rPr>
          <w:tab/>
        </w:r>
        <w:r w:rsidR="004C2FE3">
          <w:rPr>
            <w:webHidden/>
          </w:rPr>
          <w:fldChar w:fldCharType="begin"/>
        </w:r>
        <w:r w:rsidR="004C2FE3">
          <w:rPr>
            <w:webHidden/>
          </w:rPr>
          <w:instrText xml:space="preserve"> PAGEREF _Toc80282660 \h </w:instrText>
        </w:r>
        <w:r w:rsidR="004C2FE3">
          <w:rPr>
            <w:webHidden/>
          </w:rPr>
        </w:r>
        <w:r w:rsidR="004C2FE3">
          <w:rPr>
            <w:webHidden/>
          </w:rPr>
          <w:fldChar w:fldCharType="separate"/>
        </w:r>
        <w:r w:rsidR="00306E42">
          <w:rPr>
            <w:webHidden/>
          </w:rPr>
          <w:t>7</w:t>
        </w:r>
        <w:r w:rsidR="004C2FE3">
          <w:rPr>
            <w:webHidden/>
          </w:rPr>
          <w:fldChar w:fldCharType="end"/>
        </w:r>
      </w:hyperlink>
    </w:p>
    <w:p w14:paraId="609E889B" w14:textId="61DE4E5E" w:rsidR="004C2FE3" w:rsidRDefault="00507D12">
      <w:pPr>
        <w:pStyle w:val="TOC1"/>
        <w:rPr>
          <w:b w:val="0"/>
          <w:lang w:eastAsia="en-AU"/>
        </w:rPr>
      </w:pPr>
      <w:hyperlink w:anchor="_Toc80282661" w:history="1">
        <w:r w:rsidR="004C2FE3" w:rsidRPr="001C63F8">
          <w:rPr>
            <w:rStyle w:val="Hyperlink"/>
            <w:rFonts w:ascii="Calibri" w:eastAsiaTheme="majorEastAsia" w:hAnsi="Calibri" w:cstheme="majorBidi"/>
          </w:rPr>
          <w:t xml:space="preserve">The path to </w:t>
        </w:r>
        <w:r w:rsidR="001A56A4">
          <w:rPr>
            <w:rStyle w:val="Hyperlink"/>
            <w:rFonts w:ascii="Calibri" w:eastAsiaTheme="majorEastAsia" w:hAnsi="Calibri" w:cstheme="majorBidi"/>
          </w:rPr>
          <w:t xml:space="preserve">labour market </w:t>
        </w:r>
        <w:r w:rsidR="004C2FE3" w:rsidRPr="001C63F8">
          <w:rPr>
            <w:rStyle w:val="Hyperlink"/>
            <w:rFonts w:ascii="Calibri" w:eastAsiaTheme="majorEastAsia" w:hAnsi="Calibri" w:cstheme="majorBidi"/>
          </w:rPr>
          <w:t>recovery</w:t>
        </w:r>
        <w:r w:rsidR="004C2FE3">
          <w:rPr>
            <w:webHidden/>
          </w:rPr>
          <w:tab/>
        </w:r>
        <w:r w:rsidR="004C2FE3">
          <w:rPr>
            <w:webHidden/>
          </w:rPr>
          <w:fldChar w:fldCharType="begin"/>
        </w:r>
        <w:r w:rsidR="004C2FE3">
          <w:rPr>
            <w:webHidden/>
          </w:rPr>
          <w:instrText xml:space="preserve"> PAGEREF _Toc80282661 \h </w:instrText>
        </w:r>
        <w:r w:rsidR="004C2FE3">
          <w:rPr>
            <w:webHidden/>
          </w:rPr>
        </w:r>
        <w:r w:rsidR="004C2FE3">
          <w:rPr>
            <w:webHidden/>
          </w:rPr>
          <w:fldChar w:fldCharType="separate"/>
        </w:r>
        <w:r w:rsidR="00306E42">
          <w:rPr>
            <w:webHidden/>
          </w:rPr>
          <w:t>8</w:t>
        </w:r>
        <w:r w:rsidR="004C2FE3">
          <w:rPr>
            <w:webHidden/>
          </w:rPr>
          <w:fldChar w:fldCharType="end"/>
        </w:r>
      </w:hyperlink>
    </w:p>
    <w:p w14:paraId="3CEB9433" w14:textId="73574F43" w:rsidR="004C2FE3" w:rsidRDefault="00507D12">
      <w:pPr>
        <w:pStyle w:val="TOC1"/>
        <w:rPr>
          <w:b w:val="0"/>
          <w:lang w:eastAsia="en-AU"/>
        </w:rPr>
      </w:pPr>
      <w:hyperlink w:anchor="_Toc80282662" w:history="1">
        <w:r w:rsidR="004C2FE3" w:rsidRPr="001C63F8">
          <w:rPr>
            <w:rStyle w:val="Hyperlink"/>
            <w:rFonts w:ascii="Calibri" w:eastAsiaTheme="majorEastAsia" w:hAnsi="Calibri" w:cstheme="majorBidi"/>
          </w:rPr>
          <w:t xml:space="preserve">Where will the </w:t>
        </w:r>
        <w:r w:rsidR="001A56A4">
          <w:rPr>
            <w:rStyle w:val="Hyperlink"/>
            <w:rFonts w:ascii="Calibri" w:eastAsiaTheme="majorEastAsia" w:hAnsi="Calibri" w:cstheme="majorBidi"/>
          </w:rPr>
          <w:t xml:space="preserve">new </w:t>
        </w:r>
        <w:r w:rsidR="004C2FE3" w:rsidRPr="001C63F8">
          <w:rPr>
            <w:rStyle w:val="Hyperlink"/>
            <w:rFonts w:ascii="Calibri" w:eastAsiaTheme="majorEastAsia" w:hAnsi="Calibri" w:cstheme="majorBidi"/>
          </w:rPr>
          <w:t>jobs be located?</w:t>
        </w:r>
        <w:r w:rsidR="004C2FE3">
          <w:rPr>
            <w:webHidden/>
          </w:rPr>
          <w:tab/>
        </w:r>
        <w:r w:rsidR="004C2FE3">
          <w:rPr>
            <w:webHidden/>
          </w:rPr>
          <w:fldChar w:fldCharType="begin"/>
        </w:r>
        <w:r w:rsidR="004C2FE3">
          <w:rPr>
            <w:webHidden/>
          </w:rPr>
          <w:instrText xml:space="preserve"> PAGEREF _Toc80282662 \h </w:instrText>
        </w:r>
        <w:r w:rsidR="004C2FE3">
          <w:rPr>
            <w:webHidden/>
          </w:rPr>
        </w:r>
        <w:r w:rsidR="004C2FE3">
          <w:rPr>
            <w:webHidden/>
          </w:rPr>
          <w:fldChar w:fldCharType="separate"/>
        </w:r>
        <w:r w:rsidR="00306E42">
          <w:rPr>
            <w:webHidden/>
          </w:rPr>
          <w:t>11</w:t>
        </w:r>
        <w:r w:rsidR="004C2FE3">
          <w:rPr>
            <w:webHidden/>
          </w:rPr>
          <w:fldChar w:fldCharType="end"/>
        </w:r>
      </w:hyperlink>
    </w:p>
    <w:p w14:paraId="34A145F7" w14:textId="3A6F8593" w:rsidR="004C2FE3" w:rsidRDefault="00507D12">
      <w:pPr>
        <w:pStyle w:val="TOC1"/>
        <w:rPr>
          <w:b w:val="0"/>
          <w:lang w:eastAsia="en-AU"/>
        </w:rPr>
      </w:pPr>
      <w:hyperlink w:anchor="_Toc80282663" w:history="1">
        <w:r w:rsidR="004C2FE3" w:rsidRPr="001C63F8">
          <w:rPr>
            <w:rStyle w:val="Hyperlink"/>
            <w:rFonts w:ascii="Calibri" w:eastAsiaTheme="majorEastAsia" w:hAnsi="Calibri" w:cstheme="majorBidi"/>
          </w:rPr>
          <w:t>Background and methodology</w:t>
        </w:r>
        <w:r w:rsidR="004C2FE3">
          <w:rPr>
            <w:webHidden/>
          </w:rPr>
          <w:tab/>
        </w:r>
        <w:r w:rsidR="004C2FE3">
          <w:rPr>
            <w:webHidden/>
          </w:rPr>
          <w:fldChar w:fldCharType="begin"/>
        </w:r>
        <w:r w:rsidR="004C2FE3">
          <w:rPr>
            <w:webHidden/>
          </w:rPr>
          <w:instrText xml:space="preserve"> PAGEREF _Toc80282663 \h </w:instrText>
        </w:r>
        <w:r w:rsidR="004C2FE3">
          <w:rPr>
            <w:webHidden/>
          </w:rPr>
        </w:r>
        <w:r w:rsidR="004C2FE3">
          <w:rPr>
            <w:webHidden/>
          </w:rPr>
          <w:fldChar w:fldCharType="separate"/>
        </w:r>
        <w:r w:rsidR="00306E42">
          <w:rPr>
            <w:webHidden/>
          </w:rPr>
          <w:t>14</w:t>
        </w:r>
        <w:r w:rsidR="004C2FE3">
          <w:rPr>
            <w:webHidden/>
          </w:rPr>
          <w:fldChar w:fldCharType="end"/>
        </w:r>
      </w:hyperlink>
    </w:p>
    <w:p w14:paraId="169E346C" w14:textId="00BA40D2" w:rsidR="00455DA3" w:rsidRPr="00A81131" w:rsidRDefault="00455DA3" w:rsidP="00455DA3">
      <w:pPr>
        <w:rPr>
          <w:noProof/>
        </w:rPr>
      </w:pPr>
      <w:r w:rsidRPr="00A81131">
        <w:rPr>
          <w:bCs/>
          <w:noProof/>
        </w:rPr>
        <w:fldChar w:fldCharType="end"/>
      </w:r>
    </w:p>
    <w:p w14:paraId="4E4DE0EF" w14:textId="77777777" w:rsidR="00455DA3" w:rsidRPr="00A81131" w:rsidRDefault="00455DA3" w:rsidP="00455DA3"/>
    <w:p w14:paraId="1CBB1887" w14:textId="77777777" w:rsidR="00455DA3" w:rsidRPr="00A81131" w:rsidRDefault="00455DA3" w:rsidP="00455DA3">
      <w:pPr>
        <w:pStyle w:val="ListParagraph"/>
      </w:pPr>
    </w:p>
    <w:p w14:paraId="50A8B581" w14:textId="77777777" w:rsidR="00455DA3" w:rsidRPr="00A81131" w:rsidRDefault="00455DA3" w:rsidP="00455DA3"/>
    <w:p w14:paraId="7347F41F" w14:textId="72EB0996" w:rsidR="00455DA3" w:rsidRPr="00A81131" w:rsidRDefault="00455DA3" w:rsidP="00455DA3">
      <w:pPr>
        <w:pStyle w:val="Heading1"/>
        <w:keepNext w:val="0"/>
        <w:spacing w:before="0" w:after="240" w:line="240" w:lineRule="auto"/>
        <w:contextualSpacing/>
      </w:pPr>
      <w:r w:rsidRPr="00A81131">
        <w:br w:type="page"/>
      </w:r>
    </w:p>
    <w:p w14:paraId="2A6D366F" w14:textId="072BAF6E" w:rsidR="008D2106" w:rsidRPr="00A81131" w:rsidRDefault="004C2FE3" w:rsidP="00B6603E">
      <w:pPr>
        <w:pStyle w:val="Heading1"/>
        <w:keepNext w:val="0"/>
        <w:spacing w:before="0" w:after="220" w:line="240" w:lineRule="auto"/>
        <w:contextualSpacing/>
        <w:rPr>
          <w:rFonts w:ascii="Calibri" w:eastAsiaTheme="majorEastAsia" w:hAnsi="Calibri" w:cstheme="majorBidi"/>
          <w:color w:val="003D6B"/>
          <w:sz w:val="36"/>
          <w:szCs w:val="36"/>
        </w:rPr>
      </w:pPr>
      <w:bookmarkStart w:id="9" w:name="_Toc80282658"/>
      <w:r>
        <w:rPr>
          <w:rFonts w:ascii="Calibri" w:eastAsiaTheme="majorEastAsia" w:hAnsi="Calibri" w:cstheme="majorBidi"/>
          <w:color w:val="003D6B"/>
          <w:sz w:val="36"/>
          <w:szCs w:val="36"/>
        </w:rPr>
        <w:lastRenderedPageBreak/>
        <w:t>Setting the scene</w:t>
      </w:r>
      <w:bookmarkEnd w:id="9"/>
    </w:p>
    <w:p w14:paraId="7712A04D" w14:textId="6A68EA45" w:rsidR="00F17252" w:rsidRDefault="005F2AA2" w:rsidP="00681DAC">
      <w:bookmarkStart w:id="10" w:name="_Hlk80342519"/>
      <w:r w:rsidRPr="00A81131">
        <w:rPr>
          <w:bCs/>
        </w:rPr>
        <w:t xml:space="preserve">The employment projections presented in this paper give </w:t>
      </w:r>
      <w:r w:rsidRPr="00A81131">
        <w:t>insight into the change the Australian labour market faces over the medium term</w:t>
      </w:r>
      <w:r w:rsidR="00F17252">
        <w:t xml:space="preserve"> as it recovers from the impacts of the COVID-19 pandemic</w:t>
      </w:r>
      <w:r w:rsidRPr="00A81131">
        <w:t xml:space="preserve">. </w:t>
      </w:r>
      <w:r w:rsidR="00F17252">
        <w:t>As with all such exercises, these employment projections are subject to an inherent degree of uncertainty</w:t>
      </w:r>
      <w:r w:rsidR="00420E54">
        <w:t>,</w:t>
      </w:r>
      <w:r w:rsidR="00F17252">
        <w:t xml:space="preserve"> which has been exacerbated </w:t>
      </w:r>
      <w:r w:rsidR="003D54BA">
        <w:t>by</w:t>
      </w:r>
      <w:r w:rsidR="00F17252">
        <w:t xml:space="preserve"> </w:t>
      </w:r>
      <w:r w:rsidR="006A2B8B">
        <w:t xml:space="preserve">both </w:t>
      </w:r>
      <w:r w:rsidR="00F17252">
        <w:t xml:space="preserve">the volatility </w:t>
      </w:r>
      <w:r w:rsidR="00F76713">
        <w:t>resulting from</w:t>
      </w:r>
      <w:r w:rsidR="00F17252">
        <w:t xml:space="preserve"> the </w:t>
      </w:r>
      <w:r w:rsidR="006A2B8B">
        <w:t xml:space="preserve">initial </w:t>
      </w:r>
      <w:r w:rsidR="003D54BA">
        <w:t xml:space="preserve">outbreak of the </w:t>
      </w:r>
      <w:r w:rsidR="00F17252">
        <w:t>COVID-19 pandemic</w:t>
      </w:r>
      <w:r w:rsidR="006A2B8B" w:rsidRPr="006A2B8B">
        <w:t xml:space="preserve"> </w:t>
      </w:r>
      <w:r w:rsidR="006A2B8B">
        <w:t xml:space="preserve">and from the </w:t>
      </w:r>
      <w:r w:rsidR="00CD204E">
        <w:t xml:space="preserve">recent </w:t>
      </w:r>
      <w:r w:rsidR="006A2B8B" w:rsidRPr="00F76713">
        <w:t>re-introduction of restrictions</w:t>
      </w:r>
      <w:r w:rsidR="001F3874">
        <w:t>,</w:t>
      </w:r>
      <w:r w:rsidR="006A2B8B" w:rsidRPr="00F76713">
        <w:t xml:space="preserve"> </w:t>
      </w:r>
      <w:r w:rsidR="006A2B8B">
        <w:t xml:space="preserve">which </w:t>
      </w:r>
      <w:r w:rsidR="007B31AC">
        <w:t xml:space="preserve">has </w:t>
      </w:r>
      <w:r w:rsidR="006A2B8B">
        <w:t>impact</w:t>
      </w:r>
      <w:r w:rsidR="007B31AC">
        <w:t>ed</w:t>
      </w:r>
      <w:r w:rsidR="006A2B8B">
        <w:t xml:space="preserve"> a large proportion of Australia’s population</w:t>
      </w:r>
      <w:r w:rsidR="00F17252">
        <w:t xml:space="preserve">. These employment projections are </w:t>
      </w:r>
      <w:r w:rsidR="00F17252" w:rsidRPr="004336C8">
        <w:t>based on forecast and projected total employment growth rates published</w:t>
      </w:r>
      <w:r w:rsidR="00F17252">
        <w:t xml:space="preserve"> </w:t>
      </w:r>
      <w:r w:rsidR="00F17252" w:rsidRPr="004336C8">
        <w:t>in the 2020−21 Mid-</w:t>
      </w:r>
      <w:r w:rsidR="00830AF5">
        <w:t>Y</w:t>
      </w:r>
      <w:r w:rsidR="00830AF5" w:rsidRPr="004336C8">
        <w:t xml:space="preserve">ear </w:t>
      </w:r>
      <w:r w:rsidR="00F51E6A">
        <w:t>E</w:t>
      </w:r>
      <w:r w:rsidR="00F17252" w:rsidRPr="004336C8">
        <w:t xml:space="preserve">conomic and </w:t>
      </w:r>
      <w:r w:rsidR="00830AF5">
        <w:t>F</w:t>
      </w:r>
      <w:r w:rsidR="00830AF5" w:rsidRPr="004336C8">
        <w:t xml:space="preserve">iscal </w:t>
      </w:r>
      <w:r w:rsidR="00830AF5">
        <w:t>O</w:t>
      </w:r>
      <w:r w:rsidR="00830AF5" w:rsidRPr="004336C8">
        <w:t xml:space="preserve">utlook </w:t>
      </w:r>
      <w:r w:rsidR="00F17252" w:rsidRPr="004336C8">
        <w:t>(MYEFO)</w:t>
      </w:r>
      <w:r w:rsidR="00F17252">
        <w:t xml:space="preserve"> and implicitly follow the assumptions made in that publication.  </w:t>
      </w:r>
    </w:p>
    <w:p w14:paraId="58C144AF" w14:textId="0B4AB167" w:rsidR="007636CA" w:rsidRPr="00A81131" w:rsidRDefault="00F17252" w:rsidP="00681DAC">
      <w:r>
        <w:t xml:space="preserve">The employment projections </w:t>
      </w:r>
      <w:r w:rsidR="00CC375F" w:rsidRPr="009C203C">
        <w:t xml:space="preserve">provide data and insights about the </w:t>
      </w:r>
      <w:r>
        <w:t xml:space="preserve">likely trajectory </w:t>
      </w:r>
      <w:r w:rsidR="00CC375F" w:rsidRPr="009C203C">
        <w:t xml:space="preserve">of </w:t>
      </w:r>
      <w:r w:rsidR="00F76713" w:rsidRPr="009C203C">
        <w:t xml:space="preserve">employment </w:t>
      </w:r>
      <w:r w:rsidR="00F76713">
        <w:t xml:space="preserve">in </w:t>
      </w:r>
      <w:r w:rsidR="00CC375F" w:rsidRPr="009C203C">
        <w:t>sectors and occupations in the labour market</w:t>
      </w:r>
      <w:r w:rsidR="007337A6">
        <w:t>.</w:t>
      </w:r>
      <w:r w:rsidR="00CC375F">
        <w:t xml:space="preserve"> </w:t>
      </w:r>
      <w:r w:rsidR="007337A6">
        <w:t>The data</w:t>
      </w:r>
      <w:r w:rsidR="002A5311">
        <w:t xml:space="preserve"> </w:t>
      </w:r>
      <w:r w:rsidR="005F2AA2" w:rsidRPr="00A81131">
        <w:t xml:space="preserve">help employers, job seekers and policy makers understand where the job opportunities are likely to be in the future to make informed planning decisions. </w:t>
      </w:r>
      <w:r w:rsidR="007636CA" w:rsidRPr="00A81131">
        <w:t xml:space="preserve">The Employment Outlook to </w:t>
      </w:r>
      <w:r w:rsidR="00CC375F">
        <w:t>November 2025</w:t>
      </w:r>
      <w:r w:rsidR="007636CA" w:rsidRPr="00A81131">
        <w:t xml:space="preserve"> is based on employment projections produced by the </w:t>
      </w:r>
      <w:r w:rsidR="00EB4287">
        <w:t>National Skills Commission</w:t>
      </w:r>
      <w:r w:rsidR="007636CA" w:rsidRPr="00A81131">
        <w:t xml:space="preserve"> for the period </w:t>
      </w:r>
      <w:r w:rsidR="00CC375F">
        <w:t>November 2020</w:t>
      </w:r>
      <w:r w:rsidR="007636CA" w:rsidRPr="00A81131">
        <w:t xml:space="preserve"> to </w:t>
      </w:r>
      <w:r w:rsidR="00CC375F">
        <w:t>November 2025</w:t>
      </w:r>
      <w:r w:rsidR="007636CA" w:rsidRPr="00A81131">
        <w:t xml:space="preserve">. The report outlines the employment outlook </w:t>
      </w:r>
      <w:r w:rsidR="007636CA" w:rsidRPr="00A81131">
        <w:rPr>
          <w:iCs/>
        </w:rPr>
        <w:t xml:space="preserve">across industries, occupations, skill levels, </w:t>
      </w:r>
      <w:r w:rsidR="007636CA" w:rsidRPr="00A81131">
        <w:t xml:space="preserve">states and territories, and regions. </w:t>
      </w:r>
    </w:p>
    <w:p w14:paraId="3F89AA57" w14:textId="498EF8C8" w:rsidR="00C106E8" w:rsidRPr="00830AF5" w:rsidRDefault="00C106E8" w:rsidP="00830AF5">
      <w:pPr>
        <w:jc w:val="both"/>
        <w:rPr>
          <w:i/>
          <w:iCs/>
        </w:rPr>
      </w:pPr>
      <w:r>
        <w:rPr>
          <w:i/>
          <w:iCs/>
        </w:rPr>
        <w:t>Recent employment growth</w:t>
      </w:r>
    </w:p>
    <w:p w14:paraId="78F923A4" w14:textId="332EFC88" w:rsidR="00EF6997" w:rsidRPr="00A81131" w:rsidRDefault="005A7CFD" w:rsidP="00681DAC">
      <w:pPr>
        <w:rPr>
          <w:rFonts w:ascii="Calibri" w:eastAsiaTheme="minorHAnsi" w:hAnsi="Calibri" w:cs="Calibri"/>
        </w:rPr>
      </w:pPr>
      <w:bookmarkStart w:id="11" w:name="_Hlk80624427"/>
      <w:r w:rsidRPr="00306E42">
        <w:t xml:space="preserve">Over the five years to </w:t>
      </w:r>
      <w:r w:rsidR="006C2A2E" w:rsidRPr="00306E42">
        <w:t xml:space="preserve">July </w:t>
      </w:r>
      <w:r w:rsidR="00EB4287" w:rsidRPr="00306E42">
        <w:t>2021</w:t>
      </w:r>
      <w:r w:rsidR="00C0374C" w:rsidRPr="00306E42">
        <w:t xml:space="preserve"> (latest available data at time of publication)</w:t>
      </w:r>
      <w:r w:rsidRPr="00306E42">
        <w:t>, employment increased by 1,</w:t>
      </w:r>
      <w:r w:rsidR="006C2A2E" w:rsidRPr="00306E42">
        <w:t>154</w:t>
      </w:r>
      <w:r w:rsidRPr="00306E42">
        <w:t>,</w:t>
      </w:r>
      <w:r w:rsidR="006C2A2E" w:rsidRPr="00306E42">
        <w:t xml:space="preserve">700 </w:t>
      </w:r>
      <w:r w:rsidRPr="00306E42">
        <w:t xml:space="preserve">(or </w:t>
      </w:r>
      <w:r w:rsidR="00EB2AD7" w:rsidRPr="00306E42">
        <w:t>9</w:t>
      </w:r>
      <w:r w:rsidRPr="00306E42">
        <w:t>.</w:t>
      </w:r>
      <w:r w:rsidR="006C2A2E" w:rsidRPr="00306E42">
        <w:t xml:space="preserve">6 </w:t>
      </w:r>
      <w:r w:rsidRPr="00306E42">
        <w:t xml:space="preserve">per cent), </w:t>
      </w:r>
      <w:r w:rsidR="00C246F3" w:rsidRPr="00306E42">
        <w:t>or</w:t>
      </w:r>
      <w:r w:rsidRPr="00306E42">
        <w:t xml:space="preserve"> </w:t>
      </w:r>
      <w:r w:rsidR="00EB4287" w:rsidRPr="00306E42">
        <w:t>1.9</w:t>
      </w:r>
      <w:r w:rsidRPr="00306E42">
        <w:t xml:space="preserve"> per cent per annum, above the rate of growth recorded over the last decade (of 1.</w:t>
      </w:r>
      <w:r w:rsidR="00EB2AD7" w:rsidRPr="00306E42">
        <w:t>6</w:t>
      </w:r>
      <w:r w:rsidRPr="00306E42">
        <w:t xml:space="preserve"> per cent). In </w:t>
      </w:r>
      <w:r w:rsidR="00EB4287" w:rsidRPr="00306E42">
        <w:t xml:space="preserve">seasonally adjusted </w:t>
      </w:r>
      <w:r w:rsidRPr="00306E42">
        <w:t>terms, employment growth has risen strongly over the last year</w:t>
      </w:r>
      <w:r w:rsidR="00763F52" w:rsidRPr="00306E42">
        <w:t xml:space="preserve"> (</w:t>
      </w:r>
      <w:r w:rsidRPr="00306E42">
        <w:t xml:space="preserve">up by </w:t>
      </w:r>
      <w:r w:rsidR="006C2A2E" w:rsidRPr="00306E42">
        <w:t>5.4</w:t>
      </w:r>
      <w:r w:rsidRPr="00306E42">
        <w:t xml:space="preserve"> per cent or </w:t>
      </w:r>
      <w:r w:rsidR="006C2A2E" w:rsidRPr="00306E42">
        <w:t>676</w:t>
      </w:r>
      <w:r w:rsidRPr="00306E42">
        <w:t>,</w:t>
      </w:r>
      <w:r w:rsidR="006C2A2E" w:rsidRPr="00306E42">
        <w:t>600</w:t>
      </w:r>
      <w:r w:rsidRPr="00306E42">
        <w:t>) to stand at a record high of 1</w:t>
      </w:r>
      <w:r w:rsidR="00307DC5" w:rsidRPr="00306E42">
        <w:t>3</w:t>
      </w:r>
      <w:r w:rsidRPr="00306E42">
        <w:t>,</w:t>
      </w:r>
      <w:r w:rsidR="006C2A2E" w:rsidRPr="00306E42">
        <w:t>156</w:t>
      </w:r>
      <w:r w:rsidRPr="00306E42">
        <w:t>,</w:t>
      </w:r>
      <w:r w:rsidR="006C2A2E" w:rsidRPr="00306E42">
        <w:t xml:space="preserve">400 </w:t>
      </w:r>
      <w:r w:rsidRPr="00306E42">
        <w:t xml:space="preserve">in </w:t>
      </w:r>
      <w:r w:rsidR="006C2A2E" w:rsidRPr="00306E42">
        <w:t xml:space="preserve">July </w:t>
      </w:r>
      <w:r w:rsidRPr="00306E42">
        <w:t>20</w:t>
      </w:r>
      <w:r w:rsidR="00EB4287" w:rsidRPr="00306E42">
        <w:t>21</w:t>
      </w:r>
      <w:r w:rsidRPr="00306E42">
        <w:t xml:space="preserve">, </w:t>
      </w:r>
      <w:r w:rsidR="00E21CCA" w:rsidRPr="00306E42">
        <w:t xml:space="preserve">as the labour market </w:t>
      </w:r>
      <w:r w:rsidR="009367E0" w:rsidRPr="00306E42">
        <w:t xml:space="preserve">has continued to </w:t>
      </w:r>
      <w:r w:rsidR="00E21CCA" w:rsidRPr="00306E42">
        <w:t xml:space="preserve">recover from the trough </w:t>
      </w:r>
      <w:r w:rsidR="002C4BBB" w:rsidRPr="00306E42">
        <w:t xml:space="preserve">in </w:t>
      </w:r>
      <w:r w:rsidR="009367E0" w:rsidRPr="00306E42">
        <w:t xml:space="preserve">employment in </w:t>
      </w:r>
      <w:r w:rsidR="002C4BBB" w:rsidRPr="00306E42">
        <w:t>May 2020</w:t>
      </w:r>
      <w:r w:rsidR="00306E42" w:rsidRPr="00306E42">
        <w:t>,</w:t>
      </w:r>
      <w:r w:rsidR="009367E0" w:rsidRPr="00306E42">
        <w:t xml:space="preserve"> due to the initial impact of COVID-19</w:t>
      </w:r>
      <w:r w:rsidR="002C4BBB" w:rsidRPr="00306E42">
        <w:t>.</w:t>
      </w:r>
      <w:r w:rsidR="009367E0" w:rsidRPr="00306E42">
        <w:t xml:space="preserve"> Considerable uncertainty, however, continues to surround the short to medium</w:t>
      </w:r>
      <w:r w:rsidR="00306E42" w:rsidRPr="00306E42">
        <w:t>-</w:t>
      </w:r>
      <w:r w:rsidR="009367E0" w:rsidRPr="00306E42">
        <w:t>term outlook for the labour market</w:t>
      </w:r>
      <w:r w:rsidR="00306E42" w:rsidRPr="00306E42">
        <w:t>,</w:t>
      </w:r>
      <w:r w:rsidR="009367E0" w:rsidRPr="00306E42">
        <w:t xml:space="preserve"> given the recent escalation in COVID-19 cases across some </w:t>
      </w:r>
      <w:r w:rsidR="00306E42" w:rsidRPr="00306E42">
        <w:t xml:space="preserve">Australian </w:t>
      </w:r>
      <w:r w:rsidR="009367E0" w:rsidRPr="00306E42">
        <w:t>jurisdictions.</w:t>
      </w:r>
    </w:p>
    <w:bookmarkEnd w:id="10"/>
    <w:bookmarkEnd w:id="11"/>
    <w:p w14:paraId="55587950" w14:textId="0FECEB36" w:rsidR="00B6603E" w:rsidRPr="00A81131" w:rsidRDefault="00816305" w:rsidP="00681DAC">
      <w:r w:rsidRPr="00A81131">
        <w:t xml:space="preserve">A number of services industries made large contributions to employment growth over the five years to </w:t>
      </w:r>
      <w:r w:rsidR="00307DC5">
        <w:t>May</w:t>
      </w:r>
      <w:r w:rsidR="00C45B7A" w:rsidRPr="00A81131">
        <w:t xml:space="preserve"> </w:t>
      </w:r>
      <w:r w:rsidR="00EC7251" w:rsidRPr="00A81131">
        <w:t>20</w:t>
      </w:r>
      <w:r w:rsidR="00307DC5">
        <w:t>21</w:t>
      </w:r>
      <w:r w:rsidRPr="00A81131">
        <w:t xml:space="preserve"> (latest available industry employment data), led by </w:t>
      </w:r>
      <w:r w:rsidR="00C45B7A" w:rsidRPr="00A81131">
        <w:t xml:space="preserve">the Health Care and Social Assistance industry (up by </w:t>
      </w:r>
      <w:r w:rsidR="00307DC5">
        <w:t>267</w:t>
      </w:r>
      <w:r w:rsidR="0060794A" w:rsidRPr="00A81131">
        <w:t>,</w:t>
      </w:r>
      <w:r w:rsidR="00307DC5">
        <w:t>9</w:t>
      </w:r>
      <w:r w:rsidR="00C45B7A" w:rsidRPr="00A81131">
        <w:t xml:space="preserve">00 or </w:t>
      </w:r>
      <w:r w:rsidR="00307DC5">
        <w:t>17</w:t>
      </w:r>
      <w:r w:rsidR="00C45B7A" w:rsidRPr="00A81131">
        <w:t>.</w:t>
      </w:r>
      <w:r w:rsidR="00307DC5">
        <w:t>1</w:t>
      </w:r>
      <w:r w:rsidR="00C45B7A" w:rsidRPr="00A81131">
        <w:t xml:space="preserve"> per cent), </w:t>
      </w:r>
      <w:r w:rsidR="0060794A" w:rsidRPr="00A81131">
        <w:t xml:space="preserve">followed by </w:t>
      </w:r>
      <w:r w:rsidR="00EC7251" w:rsidRPr="00A81131">
        <w:t>Professional, Scientific and Technical Services (</w:t>
      </w:r>
      <w:r w:rsidR="0060794A" w:rsidRPr="00A81131">
        <w:t>2</w:t>
      </w:r>
      <w:r w:rsidR="00307DC5">
        <w:t>63</w:t>
      </w:r>
      <w:r w:rsidR="0060794A" w:rsidRPr="00A81131">
        <w:t>,</w:t>
      </w:r>
      <w:r w:rsidR="00307DC5">
        <w:t>7</w:t>
      </w:r>
      <w:r w:rsidR="00EC7251" w:rsidRPr="00A81131">
        <w:t xml:space="preserve">00 or </w:t>
      </w:r>
      <w:r w:rsidR="0060794A" w:rsidRPr="00A81131">
        <w:t>2</w:t>
      </w:r>
      <w:r w:rsidR="00307DC5">
        <w:t>6</w:t>
      </w:r>
      <w:r w:rsidR="0060794A" w:rsidRPr="00A81131">
        <w:t>.</w:t>
      </w:r>
      <w:r w:rsidR="00307DC5">
        <w:t>9</w:t>
      </w:r>
      <w:r w:rsidR="00EC7251" w:rsidRPr="00A81131">
        <w:t xml:space="preserve"> per cent), Education and Training (</w:t>
      </w:r>
      <w:r w:rsidR="00307DC5">
        <w:t>206</w:t>
      </w:r>
      <w:r w:rsidR="0060794A" w:rsidRPr="00A81131">
        <w:t>,</w:t>
      </w:r>
      <w:r w:rsidR="00307DC5">
        <w:t>9</w:t>
      </w:r>
      <w:r w:rsidR="00EC7251" w:rsidRPr="00A81131">
        <w:t xml:space="preserve">00 or </w:t>
      </w:r>
      <w:r w:rsidR="00307DC5">
        <w:t>22</w:t>
      </w:r>
      <w:r w:rsidR="0060794A" w:rsidRPr="00A81131">
        <w:t>.</w:t>
      </w:r>
      <w:r w:rsidR="00307DC5">
        <w:t>0</w:t>
      </w:r>
      <w:r w:rsidR="00EC7251" w:rsidRPr="00A81131">
        <w:t xml:space="preserve"> per cent), </w:t>
      </w:r>
      <w:r w:rsidR="0060794A" w:rsidRPr="00A81131">
        <w:t xml:space="preserve">and </w:t>
      </w:r>
      <w:r w:rsidR="003D1E4A" w:rsidRPr="003D1E4A">
        <w:t xml:space="preserve">Public Administration and Safety </w:t>
      </w:r>
      <w:r w:rsidR="00EC7251" w:rsidRPr="00A81131">
        <w:t>(</w:t>
      </w:r>
      <w:r w:rsidR="0060794A" w:rsidRPr="00A81131">
        <w:t>1</w:t>
      </w:r>
      <w:r w:rsidR="003D1E4A">
        <w:t>0</w:t>
      </w:r>
      <w:r w:rsidR="0060794A" w:rsidRPr="00A81131">
        <w:t>3,</w:t>
      </w:r>
      <w:r w:rsidR="003D1E4A">
        <w:t>5</w:t>
      </w:r>
      <w:r w:rsidR="00EC7251" w:rsidRPr="00A81131">
        <w:t xml:space="preserve">00 or </w:t>
      </w:r>
      <w:r w:rsidR="0060794A" w:rsidRPr="00A81131">
        <w:t>1</w:t>
      </w:r>
      <w:r w:rsidR="003D1E4A">
        <w:t>3</w:t>
      </w:r>
      <w:r w:rsidR="0060794A" w:rsidRPr="00A81131">
        <w:t>.</w:t>
      </w:r>
      <w:r w:rsidR="003D1E4A">
        <w:t>6</w:t>
      </w:r>
      <w:r w:rsidR="009C681E" w:rsidRPr="00A81131">
        <w:t xml:space="preserve"> per cent)</w:t>
      </w:r>
      <w:r w:rsidR="00EC7251" w:rsidRPr="00A81131">
        <w:t xml:space="preserve">. </w:t>
      </w:r>
      <w:r w:rsidRPr="00A81131">
        <w:t xml:space="preserve">By contrast, the largest falls in employment </w:t>
      </w:r>
      <w:r w:rsidR="00C246F3">
        <w:t>were</w:t>
      </w:r>
      <w:r w:rsidRPr="00A81131">
        <w:t xml:space="preserve"> in the </w:t>
      </w:r>
      <w:r w:rsidR="003D1E4A" w:rsidRPr="003D1E4A">
        <w:t>Agriculture, Forestry and Fishing</w:t>
      </w:r>
      <w:r w:rsidR="003D1E4A">
        <w:t xml:space="preserve"> </w:t>
      </w:r>
      <w:r w:rsidRPr="00A81131">
        <w:t xml:space="preserve">industry (down by </w:t>
      </w:r>
      <w:r w:rsidR="003D1E4A">
        <w:t>24,3</w:t>
      </w:r>
      <w:r w:rsidRPr="00A81131">
        <w:t xml:space="preserve">00 or </w:t>
      </w:r>
      <w:r w:rsidR="003D1E4A">
        <w:t>7</w:t>
      </w:r>
      <w:r w:rsidR="0060794A" w:rsidRPr="00A81131">
        <w:t>.4</w:t>
      </w:r>
      <w:r w:rsidRPr="00A81131">
        <w:t xml:space="preserve"> per cent) and </w:t>
      </w:r>
      <w:r w:rsidR="003D1E4A" w:rsidRPr="003D1E4A">
        <w:t xml:space="preserve">Information Media and Telecommunications </w:t>
      </w:r>
      <w:r w:rsidRPr="00A81131">
        <w:t>(</w:t>
      </w:r>
      <w:r w:rsidR="003D1E4A">
        <w:t>15,</w:t>
      </w:r>
      <w:r w:rsidR="0060794A" w:rsidRPr="00A81131">
        <w:t>9</w:t>
      </w:r>
      <w:r w:rsidRPr="00A81131">
        <w:t xml:space="preserve">00 or </w:t>
      </w:r>
      <w:r w:rsidR="003D1E4A">
        <w:t>8.2 </w:t>
      </w:r>
      <w:r w:rsidRPr="00A81131">
        <w:t>per cent).</w:t>
      </w:r>
    </w:p>
    <w:p w14:paraId="3E32CA54" w14:textId="0CA9B849" w:rsidR="00455DA3" w:rsidRPr="00A81131" w:rsidRDefault="004336C8" w:rsidP="00681DAC">
      <w:r w:rsidRPr="004336C8">
        <w:t>The N</w:t>
      </w:r>
      <w:r>
        <w:t xml:space="preserve">ational </w:t>
      </w:r>
      <w:r w:rsidRPr="004336C8">
        <w:t>S</w:t>
      </w:r>
      <w:r>
        <w:t xml:space="preserve">kills </w:t>
      </w:r>
      <w:r w:rsidRPr="004336C8">
        <w:t>C</w:t>
      </w:r>
      <w:r>
        <w:t>ommission</w:t>
      </w:r>
      <w:r w:rsidRPr="004336C8">
        <w:t xml:space="preserve">’s </w:t>
      </w:r>
      <w:r>
        <w:t xml:space="preserve">(NSC’s) five year </w:t>
      </w:r>
      <w:r w:rsidRPr="004336C8">
        <w:t>employment projections to November 2025</w:t>
      </w:r>
      <w:r>
        <w:t xml:space="preserve"> </w:t>
      </w:r>
      <w:r w:rsidR="0079265D">
        <w:t xml:space="preserve">used in this analysis </w:t>
      </w:r>
      <w:r w:rsidRPr="004336C8">
        <w:t>are based on forecast and projected total employment growth rates published</w:t>
      </w:r>
      <w:r>
        <w:t xml:space="preserve"> </w:t>
      </w:r>
      <w:r w:rsidRPr="004336C8">
        <w:t xml:space="preserve">in the 2020−21 MYEFO and </w:t>
      </w:r>
      <w:r w:rsidR="00763F52">
        <w:t>L</w:t>
      </w:r>
      <w:r w:rsidRPr="004336C8">
        <w:t xml:space="preserve">abour </w:t>
      </w:r>
      <w:r w:rsidR="00763F52">
        <w:t>F</w:t>
      </w:r>
      <w:r w:rsidRPr="004336C8">
        <w:t xml:space="preserve">orce </w:t>
      </w:r>
      <w:r w:rsidR="00763F52">
        <w:t xml:space="preserve">Survey </w:t>
      </w:r>
      <w:r w:rsidRPr="004336C8">
        <w:t>employment data to November 2020.</w:t>
      </w:r>
      <w:r>
        <w:rPr>
          <w:rStyle w:val="FootnoteReference"/>
        </w:rPr>
        <w:footnoteReference w:id="1"/>
      </w:r>
      <w:r w:rsidRPr="004336C8">
        <w:t xml:space="preserve"> </w:t>
      </w:r>
      <w:r w:rsidR="00592F09">
        <w:t xml:space="preserve">Based on these data, </w:t>
      </w:r>
      <w:r w:rsidRPr="004336C8">
        <w:t xml:space="preserve">Figure </w:t>
      </w:r>
      <w:r w:rsidR="0079265D">
        <w:t>1</w:t>
      </w:r>
      <w:r w:rsidRPr="004336C8">
        <w:t xml:space="preserve"> shows that total employment is projected to increase by 991,600 (or 7.8</w:t>
      </w:r>
      <w:r w:rsidR="00763F52">
        <w:t xml:space="preserve"> per cent</w:t>
      </w:r>
      <w:r w:rsidRPr="004336C8">
        <w:t>) over the five years</w:t>
      </w:r>
      <w:r w:rsidR="00A229FF">
        <w:t xml:space="preserve"> to November 2025</w:t>
      </w:r>
      <w:r>
        <w:t xml:space="preserve">. </w:t>
      </w:r>
      <w:r w:rsidR="0008629B" w:rsidRPr="009C203C">
        <w:t>At this stage of the recovery, it appears that long-term</w:t>
      </w:r>
      <w:r w:rsidR="0008629B">
        <w:t>, pre-COVID</w:t>
      </w:r>
      <w:r w:rsidR="0008629B">
        <w:noBreakHyphen/>
        <w:t>19</w:t>
      </w:r>
      <w:r w:rsidR="0008629B" w:rsidRPr="009C203C">
        <w:t xml:space="preserve"> trends will continue to reassert themselves as the main driver</w:t>
      </w:r>
      <w:r w:rsidR="00A75503">
        <w:t>s</w:t>
      </w:r>
      <w:r w:rsidR="0008629B" w:rsidRPr="009C203C">
        <w:t xml:space="preserve"> of employment growth</w:t>
      </w:r>
      <w:r w:rsidR="0008629B">
        <w:t>. E</w:t>
      </w:r>
      <w:r w:rsidR="0008629B" w:rsidRPr="009C203C">
        <w:t>mployment has rebounded sharply to pre-</w:t>
      </w:r>
      <w:r w:rsidR="0008629B">
        <w:t>COVID</w:t>
      </w:r>
      <w:r w:rsidR="0008629B">
        <w:noBreakHyphen/>
        <w:t>19</w:t>
      </w:r>
      <w:r w:rsidR="0008629B" w:rsidRPr="009C203C">
        <w:t xml:space="preserve"> levels and this growth is beginning to moderate, reinforcing the structural shift towards services-based industries and skilled occupations.</w:t>
      </w:r>
    </w:p>
    <w:p w14:paraId="3D88D14E" w14:textId="1B9038F6" w:rsidR="00C95546" w:rsidRPr="00A81131" w:rsidRDefault="00455DA3" w:rsidP="00CA2FAE">
      <w:pPr>
        <w:keepNext/>
        <w:spacing w:line="240" w:lineRule="auto"/>
        <w:rPr>
          <w:b/>
          <w:iCs/>
        </w:rPr>
      </w:pPr>
      <w:r w:rsidRPr="00830AF5">
        <w:rPr>
          <w:rStyle w:val="SubtleEmphasis"/>
          <w:b/>
          <w:i w:val="0"/>
          <w:color w:val="auto"/>
        </w:rPr>
        <w:lastRenderedPageBreak/>
        <w:t xml:space="preserve">Figure 1: Employment level, past and projected growth to </w:t>
      </w:r>
      <w:r w:rsidR="00CC375F" w:rsidRPr="00830AF5">
        <w:rPr>
          <w:rStyle w:val="SubtleEmphasis"/>
          <w:b/>
          <w:i w:val="0"/>
          <w:color w:val="auto"/>
        </w:rPr>
        <w:t>November 2025</w:t>
      </w:r>
      <w:r w:rsidRPr="00830AF5">
        <w:rPr>
          <w:rStyle w:val="SubtleEmphasis"/>
          <w:b/>
          <w:i w:val="0"/>
          <w:color w:val="auto"/>
        </w:rPr>
        <w:t>, Australia (‘000)</w:t>
      </w:r>
    </w:p>
    <w:p w14:paraId="5A9A1ADA" w14:textId="1A435C0B" w:rsidR="009160EC" w:rsidRDefault="00BB0302">
      <w:pPr>
        <w:spacing w:after="0" w:line="240" w:lineRule="auto"/>
        <w:rPr>
          <w:rFonts w:ascii="Calibri" w:eastAsiaTheme="majorEastAsia" w:hAnsi="Calibri" w:cstheme="majorBidi"/>
          <w:b/>
          <w:bCs/>
          <w:color w:val="003D6B"/>
          <w:sz w:val="36"/>
          <w:szCs w:val="36"/>
        </w:rPr>
      </w:pPr>
      <w:r>
        <w:rPr>
          <w:rFonts w:ascii="Calibri" w:eastAsiaTheme="majorEastAsia" w:hAnsi="Calibri" w:cstheme="majorBidi"/>
          <w:b/>
          <w:bCs/>
          <w:noProof/>
          <w:color w:val="003D6B"/>
          <w:sz w:val="36"/>
          <w:szCs w:val="36"/>
          <w:lang w:eastAsia="en-AU"/>
        </w:rPr>
        <w:drawing>
          <wp:inline distT="0" distB="0" distL="0" distR="0" wp14:anchorId="76240352" wp14:editId="2AA1BFAF">
            <wp:extent cx="5962650" cy="3243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3243580"/>
                    </a:xfrm>
                    <a:prstGeom prst="rect">
                      <a:avLst/>
                    </a:prstGeom>
                    <a:noFill/>
                  </pic:spPr>
                </pic:pic>
              </a:graphicData>
            </a:graphic>
          </wp:inline>
        </w:drawing>
      </w:r>
    </w:p>
    <w:p w14:paraId="35DD53C9" w14:textId="45285B96" w:rsidR="007D0B86" w:rsidRDefault="0079265D" w:rsidP="00681DAC">
      <w:pPr>
        <w:spacing w:after="120"/>
        <w:rPr>
          <w:rFonts w:cs="Myriad Pro Light"/>
          <w:color w:val="000000"/>
          <w:sz w:val="16"/>
          <w:szCs w:val="16"/>
        </w:rPr>
      </w:pPr>
      <w:r w:rsidRPr="00320E6D">
        <w:rPr>
          <w:rFonts w:cs="Myriad Pro Light"/>
          <w:color w:val="000000"/>
          <w:sz w:val="16"/>
          <w:szCs w:val="16"/>
        </w:rPr>
        <w:t xml:space="preserve">Source: ABS, Labour </w:t>
      </w:r>
      <w:r w:rsidR="00F77557">
        <w:rPr>
          <w:rFonts w:cs="Myriad Pro Light"/>
          <w:color w:val="000000"/>
          <w:sz w:val="16"/>
          <w:szCs w:val="16"/>
        </w:rPr>
        <w:t>F</w:t>
      </w:r>
      <w:r w:rsidRPr="00320E6D">
        <w:rPr>
          <w:rFonts w:cs="Myriad Pro Light"/>
          <w:color w:val="000000"/>
          <w:sz w:val="16"/>
          <w:szCs w:val="16"/>
        </w:rPr>
        <w:t xml:space="preserve">orce, Australia, seasonally adjusted, and </w:t>
      </w:r>
      <w:r w:rsidR="007D0B86">
        <w:rPr>
          <w:rFonts w:cs="Myriad Pro Light"/>
          <w:color w:val="000000"/>
          <w:sz w:val="16"/>
          <w:szCs w:val="16"/>
        </w:rPr>
        <w:t>NSC Employment Projections</w:t>
      </w:r>
      <w:r w:rsidR="004767EE">
        <w:rPr>
          <w:rFonts w:cs="Myriad Pro Light"/>
          <w:color w:val="000000"/>
          <w:sz w:val="16"/>
          <w:szCs w:val="16"/>
        </w:rPr>
        <w:t>, five years to November 2025</w:t>
      </w:r>
      <w:bookmarkStart w:id="12" w:name="_Toc80282659"/>
    </w:p>
    <w:p w14:paraId="18171DA3" w14:textId="25E644C4" w:rsidR="00681DAC" w:rsidRDefault="00681DAC">
      <w:pPr>
        <w:spacing w:after="0" w:line="240" w:lineRule="auto"/>
        <w:rPr>
          <w:rFonts w:cs="Myriad Pro Light"/>
          <w:color w:val="000000"/>
          <w:sz w:val="16"/>
          <w:szCs w:val="16"/>
        </w:rPr>
      </w:pPr>
      <w:r>
        <w:rPr>
          <w:rFonts w:cs="Myriad Pro Light"/>
          <w:color w:val="000000"/>
          <w:sz w:val="16"/>
          <w:szCs w:val="16"/>
        </w:rPr>
        <w:br w:type="page"/>
      </w:r>
    </w:p>
    <w:p w14:paraId="65050C89" w14:textId="046871AB" w:rsidR="00455DA3" w:rsidRPr="00A81131" w:rsidRDefault="004C2FE3" w:rsidP="00455DA3">
      <w:pPr>
        <w:pStyle w:val="Heading1"/>
        <w:keepNext w:val="0"/>
        <w:spacing w:before="0" w:after="240" w:line="240" w:lineRule="auto"/>
        <w:contextualSpacing/>
        <w:rPr>
          <w:rFonts w:ascii="Calibri" w:eastAsiaTheme="majorEastAsia" w:hAnsi="Calibri" w:cstheme="majorBidi"/>
          <w:color w:val="003D6B"/>
          <w:sz w:val="36"/>
          <w:szCs w:val="36"/>
        </w:rPr>
      </w:pPr>
      <w:r>
        <w:rPr>
          <w:rFonts w:ascii="Calibri" w:eastAsiaTheme="majorEastAsia" w:hAnsi="Calibri" w:cstheme="majorBidi"/>
          <w:color w:val="003D6B"/>
          <w:sz w:val="36"/>
          <w:szCs w:val="36"/>
        </w:rPr>
        <w:lastRenderedPageBreak/>
        <w:t>What industries are driving growth?</w:t>
      </w:r>
      <w:bookmarkEnd w:id="12"/>
    </w:p>
    <w:p w14:paraId="0DBEE0D4" w14:textId="52666C01" w:rsidR="00A379E8" w:rsidRDefault="00D414A9" w:rsidP="00681DAC">
      <w:r>
        <w:t>R</w:t>
      </w:r>
      <w:r w:rsidRPr="00D414A9">
        <w:t>eflecting a diverse and resilient labour market</w:t>
      </w:r>
      <w:r>
        <w:t>,</w:t>
      </w:r>
      <w:r w:rsidRPr="00D414A9">
        <w:rPr>
          <w:iCs/>
        </w:rPr>
        <w:t xml:space="preserve"> </w:t>
      </w:r>
      <w:r>
        <w:rPr>
          <w:rStyle w:val="SubtleEmphasis"/>
          <w:i w:val="0"/>
          <w:color w:val="auto"/>
        </w:rPr>
        <w:t>e</w:t>
      </w:r>
      <w:r w:rsidR="00455DA3" w:rsidRPr="00A81131">
        <w:rPr>
          <w:rStyle w:val="SubtleEmphasis"/>
          <w:i w:val="0"/>
          <w:color w:val="auto"/>
        </w:rPr>
        <w:t xml:space="preserve">mployment is projected to increase in </w:t>
      </w:r>
      <w:r w:rsidR="00250D6D" w:rsidRPr="00A81131">
        <w:rPr>
          <w:rStyle w:val="SubtleEmphasis"/>
          <w:i w:val="0"/>
          <w:color w:val="auto"/>
        </w:rPr>
        <w:t>1</w:t>
      </w:r>
      <w:r w:rsidR="00ED6286">
        <w:rPr>
          <w:rStyle w:val="SubtleEmphasis"/>
          <w:i w:val="0"/>
          <w:color w:val="auto"/>
        </w:rPr>
        <w:t>7</w:t>
      </w:r>
      <w:r w:rsidR="00015675" w:rsidRPr="00A81131">
        <w:rPr>
          <w:rStyle w:val="SubtleEmphasis"/>
          <w:i w:val="0"/>
          <w:color w:val="auto"/>
        </w:rPr>
        <w:t xml:space="preserve"> of the </w:t>
      </w:r>
      <w:r w:rsidR="007F34FF" w:rsidRPr="00A81131">
        <w:rPr>
          <w:rStyle w:val="SubtleEmphasis"/>
          <w:i w:val="0"/>
          <w:color w:val="auto"/>
        </w:rPr>
        <w:t xml:space="preserve">19 broad industries </w:t>
      </w:r>
      <w:r w:rsidR="004965A8" w:rsidRPr="00A81131">
        <w:rPr>
          <w:rStyle w:val="SubtleEmphasis"/>
          <w:i w:val="0"/>
          <w:color w:val="auto"/>
        </w:rPr>
        <w:t xml:space="preserve">over the five years to </w:t>
      </w:r>
      <w:r w:rsidR="00CC375F">
        <w:rPr>
          <w:rStyle w:val="SubtleEmphasis"/>
          <w:i w:val="0"/>
          <w:color w:val="auto"/>
        </w:rPr>
        <w:t>November 2025</w:t>
      </w:r>
      <w:r w:rsidR="004B7BF3">
        <w:rPr>
          <w:rStyle w:val="SubtleEmphasis"/>
          <w:i w:val="0"/>
          <w:color w:val="auto"/>
        </w:rPr>
        <w:t xml:space="preserve"> (Figure 2)</w:t>
      </w:r>
      <w:r w:rsidR="00B4798F" w:rsidRPr="00A81131">
        <w:rPr>
          <w:rStyle w:val="SubtleEmphasis"/>
          <w:i w:val="0"/>
          <w:color w:val="auto"/>
        </w:rPr>
        <w:t>.</w:t>
      </w:r>
      <w:r w:rsidR="00455DA3" w:rsidRPr="00A81131">
        <w:rPr>
          <w:rStyle w:val="SubtleEmphasis"/>
          <w:i w:val="0"/>
          <w:color w:val="auto"/>
        </w:rPr>
        <w:t xml:space="preserve"> </w:t>
      </w:r>
      <w:r w:rsidR="00985694">
        <w:rPr>
          <w:rStyle w:val="SubtleEmphasis"/>
          <w:i w:val="0"/>
          <w:color w:val="auto"/>
        </w:rPr>
        <w:t xml:space="preserve">In November 2020, </w:t>
      </w:r>
      <w:r w:rsidR="00985694" w:rsidRPr="00985694">
        <w:rPr>
          <w:rStyle w:val="SubtleEmphasis"/>
          <w:i w:val="0"/>
          <w:color w:val="auto"/>
        </w:rPr>
        <w:t>employment exceeded pre-COVID</w:t>
      </w:r>
      <w:r w:rsidR="00985694">
        <w:rPr>
          <w:rStyle w:val="SubtleEmphasis"/>
          <w:i w:val="0"/>
          <w:color w:val="auto"/>
        </w:rPr>
        <w:t>-19</w:t>
      </w:r>
      <w:r w:rsidR="00985694" w:rsidRPr="00985694">
        <w:rPr>
          <w:rStyle w:val="SubtleEmphasis"/>
          <w:i w:val="0"/>
          <w:color w:val="auto"/>
        </w:rPr>
        <w:t xml:space="preserve"> levels in eight of these industries and is projected to exceed this level in a further seven industries</w:t>
      </w:r>
      <w:r w:rsidR="00985694" w:rsidRPr="00985694" w:rsidDel="00985694">
        <w:rPr>
          <w:rStyle w:val="SubtleEmphasis"/>
          <w:i w:val="0"/>
          <w:color w:val="auto"/>
        </w:rPr>
        <w:t xml:space="preserve"> </w:t>
      </w:r>
      <w:r w:rsidR="00ED6286" w:rsidRPr="009C203C">
        <w:t>.</w:t>
      </w:r>
      <w:r w:rsidR="00360FB6">
        <w:rPr>
          <w:rStyle w:val="FootnoteReference"/>
        </w:rPr>
        <w:footnoteReference w:id="2"/>
      </w:r>
      <w:r w:rsidR="00ED6286" w:rsidRPr="009C203C">
        <w:t xml:space="preserve"> Small declines in employment are projected for </w:t>
      </w:r>
      <w:r>
        <w:t>M</w:t>
      </w:r>
      <w:r w:rsidR="00ED6286" w:rsidRPr="009C203C">
        <w:t>anufacturing (</w:t>
      </w:r>
      <w:r w:rsidR="00ED6286">
        <w:t xml:space="preserve">down </w:t>
      </w:r>
      <w:r w:rsidR="00ED6286" w:rsidRPr="009C203C">
        <w:t>5</w:t>
      </w:r>
      <w:r w:rsidR="00ED6286">
        <w:t>,</w:t>
      </w:r>
      <w:r w:rsidR="00ED6286" w:rsidRPr="009C203C">
        <w:t xml:space="preserve">900) and </w:t>
      </w:r>
      <w:r>
        <w:t>I</w:t>
      </w:r>
      <w:r w:rsidR="00ED6286" w:rsidRPr="009C203C">
        <w:t xml:space="preserve">nformation </w:t>
      </w:r>
      <w:r>
        <w:t>M</w:t>
      </w:r>
      <w:r w:rsidR="00ED6286" w:rsidRPr="009C203C">
        <w:t xml:space="preserve">edia and </w:t>
      </w:r>
      <w:r>
        <w:t>T</w:t>
      </w:r>
      <w:r w:rsidR="00ED6286" w:rsidRPr="009C203C">
        <w:t>elecommunications (</w:t>
      </w:r>
      <w:r w:rsidR="00ED6286">
        <w:t xml:space="preserve">down </w:t>
      </w:r>
      <w:r w:rsidR="00ED6286" w:rsidRPr="009C203C">
        <w:t>7</w:t>
      </w:r>
      <w:r w:rsidR="00ED6286">
        <w:t>,</w:t>
      </w:r>
      <w:r w:rsidR="00ED6286" w:rsidRPr="009C203C">
        <w:t>500).</w:t>
      </w:r>
    </w:p>
    <w:p w14:paraId="6447146C" w14:textId="77777777" w:rsidR="004B7BF3" w:rsidRPr="008B5770" w:rsidRDefault="004B7BF3" w:rsidP="004B7BF3">
      <w:pPr>
        <w:keepNext/>
        <w:spacing w:after="0"/>
        <w:jc w:val="both"/>
        <w:rPr>
          <w:rStyle w:val="SubtleEmphasis"/>
          <w:b/>
          <w:i w:val="0"/>
          <w:color w:val="auto"/>
        </w:rPr>
      </w:pPr>
      <w:r w:rsidRPr="008B5770">
        <w:rPr>
          <w:rStyle w:val="SubtleEmphasis"/>
          <w:b/>
          <w:i w:val="0"/>
          <w:color w:val="auto"/>
        </w:rPr>
        <w:t xml:space="preserve">Figure 2: </w:t>
      </w:r>
      <w:r w:rsidRPr="00A11B4E">
        <w:rPr>
          <w:b/>
        </w:rPr>
        <w:t>Industry contribution to projected employment growth – five years to November 2025</w:t>
      </w:r>
    </w:p>
    <w:p w14:paraId="15E74CA0" w14:textId="5E47D3FE" w:rsidR="004B7BF3" w:rsidRDefault="004B7BF3" w:rsidP="004B7BF3">
      <w:pPr>
        <w:spacing w:after="0"/>
        <w:rPr>
          <w:rStyle w:val="SubtleEmphasis"/>
          <w:b/>
          <w:i w:val="0"/>
          <w:color w:val="auto"/>
        </w:rPr>
      </w:pPr>
      <w:r w:rsidRPr="00BF7BB3">
        <w:rPr>
          <w:noProof/>
          <w:lang w:eastAsia="en-AU"/>
        </w:rPr>
        <w:drawing>
          <wp:inline distT="0" distB="0" distL="0" distR="0" wp14:anchorId="65736459" wp14:editId="16DD9C73">
            <wp:extent cx="5415711" cy="36468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627" cy="3656190"/>
                    </a:xfrm>
                    <a:prstGeom prst="rect">
                      <a:avLst/>
                    </a:prstGeom>
                    <a:noFill/>
                  </pic:spPr>
                </pic:pic>
              </a:graphicData>
            </a:graphic>
          </wp:inline>
        </w:drawing>
      </w:r>
    </w:p>
    <w:p w14:paraId="049CB229" w14:textId="53BEDA97" w:rsidR="004B7BF3" w:rsidRPr="004B7BF3" w:rsidRDefault="004B7BF3" w:rsidP="00320E6D">
      <w:pPr>
        <w:spacing w:after="120"/>
        <w:rPr>
          <w:rStyle w:val="SubtleEmphasis"/>
          <w:i w:val="0"/>
          <w:color w:val="auto"/>
          <w:sz w:val="16"/>
          <w:szCs w:val="16"/>
        </w:rPr>
      </w:pPr>
      <w:r w:rsidRPr="004B7BF3">
        <w:rPr>
          <w:rFonts w:cs="Myriad Pro Light"/>
          <w:color w:val="000000"/>
          <w:sz w:val="16"/>
          <w:szCs w:val="16"/>
        </w:rPr>
        <w:t>Source: NSC, 2020 Employment Projections, five years to November 2025</w:t>
      </w:r>
    </w:p>
    <w:p w14:paraId="4003C2CF" w14:textId="292D526F" w:rsidR="00D414A9" w:rsidRPr="00D414A9" w:rsidRDefault="00D414A9" w:rsidP="00681DAC">
      <w:pPr>
        <w:rPr>
          <w:iCs/>
        </w:rPr>
      </w:pPr>
      <w:r w:rsidRPr="00D414A9">
        <w:t xml:space="preserve">The long-term structural shift in employment towards services industries </w:t>
      </w:r>
      <w:r>
        <w:t xml:space="preserve">is projected to </w:t>
      </w:r>
      <w:r w:rsidRPr="00D414A9">
        <w:t>continue</w:t>
      </w:r>
      <w:r>
        <w:t xml:space="preserve"> with</w:t>
      </w:r>
      <w:r w:rsidRPr="00D414A9">
        <w:t xml:space="preserve"> </w:t>
      </w:r>
      <w:r>
        <w:t>f</w:t>
      </w:r>
      <w:r w:rsidRPr="00D414A9">
        <w:t xml:space="preserve">our services industries – </w:t>
      </w:r>
      <w:r>
        <w:t>H</w:t>
      </w:r>
      <w:r w:rsidRPr="00D414A9">
        <w:t xml:space="preserve">ealth </w:t>
      </w:r>
      <w:r>
        <w:t>C</w:t>
      </w:r>
      <w:r w:rsidRPr="00D414A9">
        <w:t xml:space="preserve">are and </w:t>
      </w:r>
      <w:r>
        <w:t>S</w:t>
      </w:r>
      <w:r w:rsidRPr="00D414A9">
        <w:t xml:space="preserve">ocial </w:t>
      </w:r>
      <w:r>
        <w:t>A</w:t>
      </w:r>
      <w:r w:rsidRPr="00D414A9">
        <w:t xml:space="preserve">ssistance, </w:t>
      </w:r>
      <w:r>
        <w:t>A</w:t>
      </w:r>
      <w:r w:rsidRPr="00D414A9">
        <w:t xml:space="preserve">ccommodation and </w:t>
      </w:r>
      <w:r>
        <w:t>F</w:t>
      </w:r>
      <w:r w:rsidRPr="00D414A9">
        <w:t xml:space="preserve">ood </w:t>
      </w:r>
      <w:r>
        <w:t>S</w:t>
      </w:r>
      <w:r w:rsidRPr="00D414A9">
        <w:t xml:space="preserve">ervices, </w:t>
      </w:r>
      <w:r>
        <w:t>P</w:t>
      </w:r>
      <w:r w:rsidRPr="00D414A9">
        <w:t xml:space="preserve">rofessional, </w:t>
      </w:r>
      <w:r>
        <w:t>S</w:t>
      </w:r>
      <w:r w:rsidRPr="00D414A9">
        <w:t xml:space="preserve">cientific and </w:t>
      </w:r>
      <w:r>
        <w:t>T</w:t>
      </w:r>
      <w:r w:rsidRPr="00D414A9">
        <w:t xml:space="preserve">echnical </w:t>
      </w:r>
      <w:r>
        <w:t>S</w:t>
      </w:r>
      <w:r w:rsidRPr="00D414A9">
        <w:t xml:space="preserve">ervices and </w:t>
      </w:r>
      <w:r>
        <w:t>E</w:t>
      </w:r>
      <w:r w:rsidRPr="00D414A9">
        <w:t xml:space="preserve">ducation and </w:t>
      </w:r>
      <w:r>
        <w:t>T</w:t>
      </w:r>
      <w:r w:rsidRPr="00D414A9">
        <w:t>raining –</w:t>
      </w:r>
      <w:r w:rsidR="004B7BF3">
        <w:t xml:space="preserve"> </w:t>
      </w:r>
      <w:r w:rsidRPr="00D414A9">
        <w:t>expected to generate more than</w:t>
      </w:r>
      <w:r>
        <w:t xml:space="preserve"> </w:t>
      </w:r>
      <w:r w:rsidRPr="00D414A9">
        <w:t>three-fifths (or 64.4</w:t>
      </w:r>
      <w:r w:rsidR="00763F52">
        <w:t xml:space="preserve"> per cent</w:t>
      </w:r>
      <w:r w:rsidRPr="00D414A9">
        <w:t>) of the total projected employment growth.</w:t>
      </w:r>
    </w:p>
    <w:p w14:paraId="642D9031" w14:textId="4EC7B3C1" w:rsidR="00E42642" w:rsidRPr="00A81131" w:rsidRDefault="00EE4E63" w:rsidP="00AF6545">
      <w:pPr>
        <w:pStyle w:val="ListParagraph"/>
        <w:numPr>
          <w:ilvl w:val="0"/>
          <w:numId w:val="26"/>
        </w:numPr>
        <w:ind w:left="714" w:hanging="357"/>
        <w:jc w:val="both"/>
        <w:rPr>
          <w:rStyle w:val="SubtleEmphasis"/>
          <w:i w:val="0"/>
          <w:color w:val="auto"/>
        </w:rPr>
      </w:pPr>
      <w:r w:rsidRPr="00A81131">
        <w:rPr>
          <w:rStyle w:val="SubtleEmphasis"/>
          <w:b/>
          <w:i w:val="0"/>
          <w:color w:val="auto"/>
        </w:rPr>
        <w:t>Health Care and Social Assistance</w:t>
      </w:r>
      <w:r w:rsidR="006102B6" w:rsidRPr="00A81131">
        <w:rPr>
          <w:rStyle w:val="SubtleEmphasis"/>
          <w:b/>
          <w:i w:val="0"/>
          <w:color w:val="auto"/>
        </w:rPr>
        <w:t>,</w:t>
      </w:r>
      <w:r w:rsidRPr="00A81131">
        <w:rPr>
          <w:rStyle w:val="SubtleEmphasis"/>
          <w:i w:val="0"/>
          <w:color w:val="auto"/>
        </w:rPr>
        <w:t xml:space="preserve"> </w:t>
      </w:r>
      <w:r w:rsidR="006102B6" w:rsidRPr="00A81131">
        <w:t xml:space="preserve">the primary provider of new jobs in the Australian labour market since the 1990s, </w:t>
      </w:r>
      <w:r w:rsidR="00ED6286" w:rsidRPr="009C203C">
        <w:t>is projected to make the largest contribution to employment growth over the period (increasing by 249,500</w:t>
      </w:r>
      <w:r w:rsidR="00ED6286">
        <w:t xml:space="preserve"> or 14.2 per cent</w:t>
      </w:r>
      <w:r w:rsidR="004B7BF3">
        <w:t>)</w:t>
      </w:r>
      <w:r w:rsidR="00ED6286" w:rsidRPr="009C203C">
        <w:t>.</w:t>
      </w:r>
      <w:r w:rsidR="006C0E8F">
        <w:t xml:space="preserve"> </w:t>
      </w:r>
      <w:r w:rsidR="006C0E8F" w:rsidRPr="00BF7BB3">
        <w:t>This growth is supported by continued investment in public health care at the state and federal levels along with ongoing demand generated by the National Disability Insurance Scheme. Increasing demand for childcare and Australia’s ageing population</w:t>
      </w:r>
      <w:r w:rsidR="006C0E8F" w:rsidRPr="00BF7BB3" w:rsidDel="001C55C8">
        <w:t xml:space="preserve"> </w:t>
      </w:r>
      <w:r w:rsidR="006C0E8F" w:rsidRPr="00BF7BB3">
        <w:t>also contribute to this strong projected growth, with employment in this industry having been relatively resilient to the impacts of COVID-19.</w:t>
      </w:r>
    </w:p>
    <w:p w14:paraId="4F06FBBB" w14:textId="4041FBEC" w:rsidR="007C5355" w:rsidRDefault="007C5355" w:rsidP="007C5355">
      <w:pPr>
        <w:pStyle w:val="ListParagraph"/>
        <w:numPr>
          <w:ilvl w:val="1"/>
          <w:numId w:val="26"/>
        </w:numPr>
        <w:jc w:val="both"/>
        <w:rPr>
          <w:rStyle w:val="SubtleEmphasis"/>
          <w:i w:val="0"/>
          <w:color w:val="auto"/>
        </w:rPr>
      </w:pPr>
      <w:r w:rsidRPr="00873033">
        <w:rPr>
          <w:rFonts w:cs="Calibri"/>
        </w:rPr>
        <w:t xml:space="preserve">Australia’s ageing population, the NDIS rollout and increased demand for childcare services can be seen in the large projected </w:t>
      </w:r>
      <w:r w:rsidRPr="00873033">
        <w:rPr>
          <w:rStyle w:val="SubtleEmphasis"/>
          <w:i w:val="0"/>
          <w:color w:val="auto"/>
        </w:rPr>
        <w:t xml:space="preserve">increases in employment for </w:t>
      </w:r>
      <w:r w:rsidR="00873033" w:rsidRPr="00873033">
        <w:rPr>
          <w:rStyle w:val="SubtleEmphasis"/>
          <w:i w:val="0"/>
          <w:color w:val="auto"/>
        </w:rPr>
        <w:t xml:space="preserve">Hospitals (up by 68,500 or </w:t>
      </w:r>
      <w:r w:rsidR="00873033" w:rsidRPr="00873033">
        <w:rPr>
          <w:rStyle w:val="SubtleEmphasis"/>
          <w:i w:val="0"/>
          <w:color w:val="auto"/>
        </w:rPr>
        <w:lastRenderedPageBreak/>
        <w:t xml:space="preserve">14.1 per cent), </w:t>
      </w:r>
      <w:r w:rsidRPr="00873033">
        <w:rPr>
          <w:rStyle w:val="SubtleEmphasis"/>
          <w:i w:val="0"/>
          <w:color w:val="auto"/>
        </w:rPr>
        <w:t>Other Social Assistance Services</w:t>
      </w:r>
      <w:r w:rsidRPr="00873033">
        <w:rPr>
          <w:rStyle w:val="FootnoteReference"/>
          <w:iCs/>
        </w:rPr>
        <w:footnoteReference w:id="3"/>
      </w:r>
      <w:r w:rsidRPr="00873033">
        <w:rPr>
          <w:rStyle w:val="SubtleEmphasis"/>
          <w:i w:val="0"/>
          <w:color w:val="auto"/>
        </w:rPr>
        <w:t xml:space="preserve"> (5</w:t>
      </w:r>
      <w:r w:rsidR="00873033" w:rsidRPr="00873033">
        <w:rPr>
          <w:rStyle w:val="SubtleEmphasis"/>
          <w:i w:val="0"/>
          <w:color w:val="auto"/>
        </w:rPr>
        <w:t>8</w:t>
      </w:r>
      <w:r w:rsidRPr="00873033">
        <w:rPr>
          <w:rStyle w:val="SubtleEmphasis"/>
          <w:i w:val="0"/>
          <w:color w:val="auto"/>
        </w:rPr>
        <w:t>,</w:t>
      </w:r>
      <w:r w:rsidR="00873033" w:rsidRPr="00873033">
        <w:rPr>
          <w:rStyle w:val="SubtleEmphasis"/>
          <w:i w:val="0"/>
          <w:color w:val="auto"/>
        </w:rPr>
        <w:t>3</w:t>
      </w:r>
      <w:r w:rsidRPr="00873033">
        <w:rPr>
          <w:rStyle w:val="SubtleEmphasis"/>
          <w:i w:val="0"/>
          <w:color w:val="auto"/>
        </w:rPr>
        <w:t xml:space="preserve">00 or </w:t>
      </w:r>
      <w:r w:rsidR="00873033" w:rsidRPr="00873033">
        <w:rPr>
          <w:rStyle w:val="SubtleEmphasis"/>
          <w:i w:val="0"/>
          <w:color w:val="auto"/>
        </w:rPr>
        <w:t>17.9</w:t>
      </w:r>
      <w:r w:rsidRPr="00873033">
        <w:rPr>
          <w:rStyle w:val="SubtleEmphasis"/>
          <w:i w:val="0"/>
          <w:color w:val="auto"/>
        </w:rPr>
        <w:t> per cent), Allied Health Services</w:t>
      </w:r>
      <w:r w:rsidRPr="00873033">
        <w:rPr>
          <w:rStyle w:val="FootnoteReference"/>
          <w:iCs/>
        </w:rPr>
        <w:footnoteReference w:id="4"/>
      </w:r>
      <w:r w:rsidRPr="00873033">
        <w:rPr>
          <w:rStyle w:val="SubtleEmphasis"/>
          <w:i w:val="0"/>
          <w:color w:val="auto"/>
        </w:rPr>
        <w:t xml:space="preserve"> (up by 35,</w:t>
      </w:r>
      <w:r w:rsidR="00873033" w:rsidRPr="00873033">
        <w:rPr>
          <w:rStyle w:val="SubtleEmphasis"/>
          <w:i w:val="0"/>
          <w:color w:val="auto"/>
        </w:rPr>
        <w:t>2</w:t>
      </w:r>
      <w:r w:rsidRPr="00873033">
        <w:rPr>
          <w:rStyle w:val="SubtleEmphasis"/>
          <w:i w:val="0"/>
          <w:color w:val="auto"/>
        </w:rPr>
        <w:t>00 or 1</w:t>
      </w:r>
      <w:r w:rsidR="00873033" w:rsidRPr="00873033">
        <w:rPr>
          <w:rStyle w:val="SubtleEmphasis"/>
          <w:i w:val="0"/>
          <w:color w:val="auto"/>
        </w:rPr>
        <w:t>5</w:t>
      </w:r>
      <w:r w:rsidRPr="00873033">
        <w:rPr>
          <w:rStyle w:val="SubtleEmphasis"/>
          <w:i w:val="0"/>
          <w:color w:val="auto"/>
        </w:rPr>
        <w:t>.</w:t>
      </w:r>
      <w:r w:rsidR="00873033" w:rsidRPr="00873033">
        <w:rPr>
          <w:rStyle w:val="SubtleEmphasis"/>
          <w:i w:val="0"/>
          <w:color w:val="auto"/>
        </w:rPr>
        <w:t>9</w:t>
      </w:r>
      <w:r w:rsidRPr="00873033">
        <w:rPr>
          <w:rStyle w:val="SubtleEmphasis"/>
          <w:i w:val="0"/>
          <w:color w:val="auto"/>
        </w:rPr>
        <w:t xml:space="preserve"> per cent), Residential Care Services (</w:t>
      </w:r>
      <w:r w:rsidR="00873033" w:rsidRPr="00873033">
        <w:rPr>
          <w:rStyle w:val="SubtleEmphasis"/>
          <w:i w:val="0"/>
          <w:color w:val="auto"/>
        </w:rPr>
        <w:t>25</w:t>
      </w:r>
      <w:r w:rsidRPr="00873033">
        <w:rPr>
          <w:rStyle w:val="SubtleEmphasis"/>
          <w:i w:val="0"/>
          <w:color w:val="auto"/>
        </w:rPr>
        <w:t>,</w:t>
      </w:r>
      <w:r w:rsidR="00873033" w:rsidRPr="00873033">
        <w:rPr>
          <w:rStyle w:val="SubtleEmphasis"/>
          <w:i w:val="0"/>
          <w:color w:val="auto"/>
        </w:rPr>
        <w:t>6</w:t>
      </w:r>
      <w:r w:rsidRPr="00873033">
        <w:rPr>
          <w:rStyle w:val="SubtleEmphasis"/>
          <w:i w:val="0"/>
          <w:color w:val="auto"/>
        </w:rPr>
        <w:t>00 or 1</w:t>
      </w:r>
      <w:r w:rsidR="00873033" w:rsidRPr="00873033">
        <w:rPr>
          <w:rStyle w:val="SubtleEmphasis"/>
          <w:i w:val="0"/>
          <w:color w:val="auto"/>
        </w:rPr>
        <w:t>0</w:t>
      </w:r>
      <w:r w:rsidRPr="00873033">
        <w:rPr>
          <w:rStyle w:val="SubtleEmphasis"/>
          <w:i w:val="0"/>
          <w:color w:val="auto"/>
        </w:rPr>
        <w:t>.</w:t>
      </w:r>
      <w:r w:rsidR="00873033" w:rsidRPr="00873033">
        <w:rPr>
          <w:rStyle w:val="SubtleEmphasis"/>
          <w:i w:val="0"/>
          <w:color w:val="auto"/>
        </w:rPr>
        <w:t>8</w:t>
      </w:r>
      <w:r w:rsidRPr="00873033">
        <w:rPr>
          <w:rStyle w:val="SubtleEmphasis"/>
          <w:i w:val="0"/>
          <w:color w:val="auto"/>
        </w:rPr>
        <w:t xml:space="preserve"> per cent), Medical Services (3</w:t>
      </w:r>
      <w:r w:rsidR="00873033" w:rsidRPr="00873033">
        <w:rPr>
          <w:rStyle w:val="SubtleEmphasis"/>
          <w:i w:val="0"/>
          <w:color w:val="auto"/>
        </w:rPr>
        <w:t>4</w:t>
      </w:r>
      <w:r w:rsidRPr="00873033">
        <w:rPr>
          <w:rStyle w:val="SubtleEmphasis"/>
          <w:i w:val="0"/>
          <w:color w:val="auto"/>
        </w:rPr>
        <w:t>,600 or 1</w:t>
      </w:r>
      <w:r w:rsidR="00873033" w:rsidRPr="00873033">
        <w:rPr>
          <w:rStyle w:val="SubtleEmphasis"/>
          <w:i w:val="0"/>
          <w:color w:val="auto"/>
        </w:rPr>
        <w:t>5</w:t>
      </w:r>
      <w:r w:rsidRPr="00873033">
        <w:rPr>
          <w:rStyle w:val="SubtleEmphasis"/>
          <w:i w:val="0"/>
          <w:color w:val="auto"/>
        </w:rPr>
        <w:t>.</w:t>
      </w:r>
      <w:r w:rsidR="00873033" w:rsidRPr="00873033">
        <w:rPr>
          <w:rStyle w:val="SubtleEmphasis"/>
          <w:i w:val="0"/>
          <w:color w:val="auto"/>
        </w:rPr>
        <w:t>7</w:t>
      </w:r>
      <w:r w:rsidRPr="00873033">
        <w:rPr>
          <w:rStyle w:val="SubtleEmphasis"/>
          <w:i w:val="0"/>
          <w:color w:val="auto"/>
        </w:rPr>
        <w:t> per cent) and Child Care Services (1</w:t>
      </w:r>
      <w:r w:rsidR="00873033" w:rsidRPr="00873033">
        <w:rPr>
          <w:rStyle w:val="SubtleEmphasis"/>
          <w:i w:val="0"/>
          <w:color w:val="auto"/>
        </w:rPr>
        <w:t>4</w:t>
      </w:r>
      <w:r w:rsidRPr="00873033">
        <w:rPr>
          <w:rStyle w:val="SubtleEmphasis"/>
          <w:i w:val="0"/>
          <w:color w:val="auto"/>
        </w:rPr>
        <w:t>,</w:t>
      </w:r>
      <w:r w:rsidR="00873033" w:rsidRPr="00873033">
        <w:rPr>
          <w:rStyle w:val="SubtleEmphasis"/>
          <w:i w:val="0"/>
          <w:color w:val="auto"/>
        </w:rPr>
        <w:t>2</w:t>
      </w:r>
      <w:r w:rsidRPr="00873033">
        <w:rPr>
          <w:rStyle w:val="SubtleEmphasis"/>
          <w:i w:val="0"/>
          <w:color w:val="auto"/>
        </w:rPr>
        <w:t>00 or 1</w:t>
      </w:r>
      <w:r w:rsidR="00873033" w:rsidRPr="00873033">
        <w:rPr>
          <w:rStyle w:val="SubtleEmphasis"/>
          <w:i w:val="0"/>
          <w:color w:val="auto"/>
        </w:rPr>
        <w:t>0</w:t>
      </w:r>
      <w:r w:rsidRPr="00873033">
        <w:rPr>
          <w:rStyle w:val="SubtleEmphasis"/>
          <w:i w:val="0"/>
          <w:color w:val="auto"/>
        </w:rPr>
        <w:t>.</w:t>
      </w:r>
      <w:r w:rsidR="00873033" w:rsidRPr="00873033">
        <w:rPr>
          <w:rStyle w:val="SubtleEmphasis"/>
          <w:i w:val="0"/>
          <w:color w:val="auto"/>
        </w:rPr>
        <w:t>2</w:t>
      </w:r>
      <w:r w:rsidRPr="00873033">
        <w:rPr>
          <w:rStyle w:val="SubtleEmphasis"/>
          <w:i w:val="0"/>
          <w:color w:val="auto"/>
        </w:rPr>
        <w:t xml:space="preserve"> per cent). </w:t>
      </w:r>
    </w:p>
    <w:p w14:paraId="3E6A6586" w14:textId="57829A9E" w:rsidR="00E2061E" w:rsidRPr="00873033" w:rsidRDefault="00E2061E" w:rsidP="007C5355">
      <w:pPr>
        <w:pStyle w:val="ListParagraph"/>
        <w:numPr>
          <w:ilvl w:val="1"/>
          <w:numId w:val="26"/>
        </w:numPr>
        <w:jc w:val="both"/>
        <w:rPr>
          <w:rStyle w:val="SubtleEmphasis"/>
          <w:i w:val="0"/>
          <w:color w:val="auto"/>
        </w:rPr>
      </w:pPr>
      <w:r>
        <w:rPr>
          <w:rStyle w:val="SubtleEmphasis"/>
          <w:i w:val="0"/>
          <w:color w:val="auto"/>
        </w:rPr>
        <w:t xml:space="preserve">The industry’s projected employment growth is broad-based across Australia, with the industry contributing the largest share to projected employment growth for </w:t>
      </w:r>
      <w:r>
        <w:rPr>
          <w:rFonts w:eastAsia="Times New Roman"/>
        </w:rPr>
        <w:t>all states, territories, capital cities and regional areas (except for regional WA).</w:t>
      </w:r>
    </w:p>
    <w:p w14:paraId="5C3B99D9" w14:textId="77777777" w:rsidR="006C0E8F" w:rsidRPr="00BF7BB3" w:rsidRDefault="006C0E8F" w:rsidP="00AF6545">
      <w:pPr>
        <w:numPr>
          <w:ilvl w:val="0"/>
          <w:numId w:val="26"/>
        </w:numPr>
        <w:spacing w:after="0"/>
        <w:ind w:left="714" w:hanging="357"/>
      </w:pPr>
      <w:r w:rsidRPr="00BF7BB3">
        <w:rPr>
          <w:b/>
        </w:rPr>
        <w:t>Accommodation and Food Services</w:t>
      </w:r>
      <w:r w:rsidRPr="00BF7BB3">
        <w:t xml:space="preserve"> employment is projected to recover from the major impact of COVID-19 and associated restrictions. </w:t>
      </w:r>
      <w:r w:rsidRPr="00BF7BB3">
        <w:rPr>
          <w:bCs/>
        </w:rPr>
        <w:t>Employment in the industry declined</w:t>
      </w:r>
      <w:r w:rsidRPr="00BF7BB3">
        <w:rPr>
          <w:b/>
        </w:rPr>
        <w:t xml:space="preserve"> </w:t>
      </w:r>
      <w:r w:rsidRPr="00BF7BB3">
        <w:rPr>
          <w:bCs/>
        </w:rPr>
        <w:t xml:space="preserve">by 105,400 (or 11.2 per cent) from February to November 2020, but </w:t>
      </w:r>
      <w:r w:rsidRPr="00BF7BB3">
        <w:t xml:space="preserve">is projected to rebound strongly, increasing by 139,900 (or 16.8 per cent) over the five years to November 2025. </w:t>
      </w:r>
    </w:p>
    <w:p w14:paraId="5B5518D1" w14:textId="5F57ABBD" w:rsidR="00194F8F" w:rsidRDefault="006C0E8F" w:rsidP="00AF6545">
      <w:pPr>
        <w:pStyle w:val="ListParagraph"/>
        <w:numPr>
          <w:ilvl w:val="1"/>
          <w:numId w:val="26"/>
        </w:numPr>
        <w:spacing w:after="120"/>
        <w:ind w:left="1434" w:hanging="357"/>
        <w:jc w:val="both"/>
      </w:pPr>
      <w:r w:rsidRPr="00BF7BB3">
        <w:t>It is anticipated that this rebound will predominantly be due to strong growth in Cafes, Restaurants and Takeaway Food Services</w:t>
      </w:r>
      <w:r w:rsidR="003B548B" w:rsidRPr="00BF7BB3">
        <w:t xml:space="preserve"> </w:t>
      </w:r>
      <w:r w:rsidRPr="00BF7BB3">
        <w:t xml:space="preserve">(up by 114,100 or 19.6 per cent) and Accommodation (up by 23,800 or 30.9 per cent), offsetting the losses experienced by these sectors during the COVID-19 pandemic. </w:t>
      </w:r>
    </w:p>
    <w:p w14:paraId="758A093F" w14:textId="799B7143" w:rsidR="006C0E8F" w:rsidRPr="00BF7BB3" w:rsidRDefault="006C0E8F" w:rsidP="00AF6545">
      <w:pPr>
        <w:pStyle w:val="ListParagraph"/>
        <w:numPr>
          <w:ilvl w:val="1"/>
          <w:numId w:val="26"/>
        </w:numPr>
        <w:spacing w:after="120"/>
        <w:ind w:left="1434" w:hanging="357"/>
        <w:jc w:val="both"/>
      </w:pPr>
      <w:r w:rsidRPr="00BF7BB3">
        <w:t xml:space="preserve">Employment has already made a strong recovery in some sectors within the industry, with Pubs, Taverns and Bars exceeding its February 2020 seasonally adjusted level </w:t>
      </w:r>
      <w:r w:rsidR="00397078">
        <w:t>by</w:t>
      </w:r>
      <w:r w:rsidRPr="00BF7BB3">
        <w:t xml:space="preserve"> November 2020.</w:t>
      </w:r>
    </w:p>
    <w:p w14:paraId="74BBAE1E" w14:textId="77777777" w:rsidR="006C0E8F" w:rsidRPr="00BF7BB3" w:rsidRDefault="006C0E8F" w:rsidP="00830AF5">
      <w:pPr>
        <w:numPr>
          <w:ilvl w:val="0"/>
          <w:numId w:val="26"/>
        </w:numPr>
        <w:spacing w:after="0"/>
        <w:ind w:left="714" w:hanging="357"/>
        <w:jc w:val="both"/>
      </w:pPr>
      <w:r w:rsidRPr="00BF7BB3">
        <w:t xml:space="preserve">Employment in </w:t>
      </w:r>
      <w:r w:rsidRPr="00BF7BB3">
        <w:rPr>
          <w:b/>
        </w:rPr>
        <w:t>Professional, Scientific and Technical Services</w:t>
      </w:r>
      <w:r w:rsidRPr="00BF7BB3">
        <w:t xml:space="preserve"> is projected to increase by 131,100 (or 11.0 per cent) over the five years to November 2025, reflecting ongoing strength in demand for the services of qualified and highly educated workers throughout the economy. </w:t>
      </w:r>
    </w:p>
    <w:p w14:paraId="2266B2C1" w14:textId="41646606" w:rsidR="00E42642" w:rsidRPr="003B548B" w:rsidRDefault="006C0E8F" w:rsidP="00AF6545">
      <w:pPr>
        <w:pStyle w:val="ListParagraph"/>
        <w:numPr>
          <w:ilvl w:val="1"/>
          <w:numId w:val="26"/>
        </w:numPr>
        <w:spacing w:after="120"/>
        <w:ind w:left="1434" w:hanging="357"/>
        <w:jc w:val="both"/>
        <w:rPr>
          <w:rStyle w:val="SubtleEmphasis"/>
          <w:i w:val="0"/>
          <w:color w:val="auto"/>
        </w:rPr>
      </w:pPr>
      <w:r w:rsidRPr="00BF7BB3">
        <w:t xml:space="preserve">Major contributions to the industry’s employment growth are expected to come from Computer System Design and Related Services (projected to grow by 47,200 or 16.0 per </w:t>
      </w:r>
      <w:r w:rsidRPr="003B548B">
        <w:t>cent), Architectural, Engineering and Technical Services (25,700 or 9.0 per cent) and Legal and Accounting Services (25,300 or 8.6 per cent)</w:t>
      </w:r>
      <w:r w:rsidR="00397078">
        <w:t>,</w:t>
      </w:r>
      <w:r w:rsidR="003B548B" w:rsidRPr="003B548B">
        <w:t xml:space="preserve"> reflecting </w:t>
      </w:r>
      <w:r w:rsidR="003B548B" w:rsidRPr="003B548B">
        <w:rPr>
          <w:rFonts w:cs="Calibri"/>
        </w:rPr>
        <w:t>c</w:t>
      </w:r>
      <w:r w:rsidR="003B548B" w:rsidRPr="003B548B">
        <w:rPr>
          <w:rStyle w:val="SubtleEmphasis"/>
          <w:i w:val="0"/>
          <w:color w:val="auto"/>
        </w:rPr>
        <w:t>ontinuing strong demand for business services</w:t>
      </w:r>
      <w:r w:rsidRPr="003B548B">
        <w:t>.</w:t>
      </w:r>
      <w:r w:rsidR="00EE4E63" w:rsidRPr="003B548B">
        <w:rPr>
          <w:rStyle w:val="SubtleEmphasis"/>
          <w:i w:val="0"/>
          <w:color w:val="auto"/>
        </w:rPr>
        <w:t xml:space="preserve"> </w:t>
      </w:r>
    </w:p>
    <w:p w14:paraId="78FC9B09" w14:textId="3719C5D5" w:rsidR="006C0E8F" w:rsidRDefault="006C0E8F" w:rsidP="00830AF5">
      <w:pPr>
        <w:numPr>
          <w:ilvl w:val="0"/>
          <w:numId w:val="26"/>
        </w:numPr>
        <w:spacing w:after="0"/>
        <w:ind w:left="714" w:hanging="357"/>
        <w:jc w:val="both"/>
      </w:pPr>
      <w:r w:rsidRPr="00BF7BB3">
        <w:t xml:space="preserve">Employment in </w:t>
      </w:r>
      <w:r w:rsidRPr="00EC53E1">
        <w:rPr>
          <w:b/>
          <w:bCs/>
        </w:rPr>
        <w:t>Education and Training</w:t>
      </w:r>
      <w:r w:rsidRPr="003B548B">
        <w:t xml:space="preserve"> </w:t>
      </w:r>
      <w:r w:rsidRPr="00BF7BB3">
        <w:t>is projected to increase by 118,600 (or 10.8 per cent) over the five years to November 2025. While the tertiary education sector is expected to record subdued employment growth</w:t>
      </w:r>
      <w:r w:rsidR="00397078">
        <w:t xml:space="preserve"> (up by 11,400 or 4.5 per cent) as education exports recover slowly</w:t>
      </w:r>
      <w:r w:rsidRPr="00BF7BB3">
        <w:t>, this is expected to be offset by a larger school aged population and growing demand for adult and community education.</w:t>
      </w:r>
    </w:p>
    <w:p w14:paraId="2F6A6183" w14:textId="42259CE1" w:rsidR="003B548B" w:rsidRPr="00EA5905" w:rsidRDefault="003B548B" w:rsidP="003B548B">
      <w:pPr>
        <w:pStyle w:val="ListParagraph"/>
        <w:numPr>
          <w:ilvl w:val="1"/>
          <w:numId w:val="26"/>
        </w:numPr>
        <w:jc w:val="both"/>
        <w:rPr>
          <w:iCs/>
        </w:rPr>
      </w:pPr>
      <w:r w:rsidRPr="00EA5905">
        <w:rPr>
          <w:rStyle w:val="SubtleEmphasis"/>
          <w:i w:val="0"/>
          <w:color w:val="auto"/>
        </w:rPr>
        <w:t>Strong growth is projected for the School Education (57,900 or 9.7 per cent) and for the Adult, Community and Other Education (3</w:t>
      </w:r>
      <w:r w:rsidR="00EA5905" w:rsidRPr="00EA5905">
        <w:rPr>
          <w:rStyle w:val="SubtleEmphasis"/>
          <w:i w:val="0"/>
          <w:color w:val="auto"/>
        </w:rPr>
        <w:t>6</w:t>
      </w:r>
      <w:r w:rsidRPr="00EA5905">
        <w:rPr>
          <w:rStyle w:val="SubtleEmphasis"/>
          <w:i w:val="0"/>
          <w:color w:val="auto"/>
        </w:rPr>
        <w:t>,</w:t>
      </w:r>
      <w:r w:rsidR="00EA5905" w:rsidRPr="00EA5905">
        <w:rPr>
          <w:rStyle w:val="SubtleEmphasis"/>
          <w:i w:val="0"/>
          <w:color w:val="auto"/>
        </w:rPr>
        <w:t>2</w:t>
      </w:r>
      <w:r w:rsidRPr="00EA5905">
        <w:rPr>
          <w:rStyle w:val="SubtleEmphasis"/>
          <w:i w:val="0"/>
          <w:color w:val="auto"/>
        </w:rPr>
        <w:t xml:space="preserve">00 or </w:t>
      </w:r>
      <w:r w:rsidR="00EA5905" w:rsidRPr="00EA5905">
        <w:rPr>
          <w:rStyle w:val="SubtleEmphasis"/>
          <w:i w:val="0"/>
          <w:color w:val="auto"/>
        </w:rPr>
        <w:t>23.0</w:t>
      </w:r>
      <w:r w:rsidRPr="00EA5905">
        <w:rPr>
          <w:rStyle w:val="SubtleEmphasis"/>
          <w:i w:val="0"/>
          <w:color w:val="auto"/>
        </w:rPr>
        <w:t xml:space="preserve"> per cent) sector</w:t>
      </w:r>
      <w:r w:rsidR="00582FB4">
        <w:rPr>
          <w:rStyle w:val="SubtleEmphasis"/>
          <w:i w:val="0"/>
          <w:color w:val="auto"/>
        </w:rPr>
        <w:t>s</w:t>
      </w:r>
      <w:r w:rsidRPr="00EA5905">
        <w:rPr>
          <w:rFonts w:cs="Calibri"/>
        </w:rPr>
        <w:t>.</w:t>
      </w:r>
    </w:p>
    <w:p w14:paraId="0AE6852C" w14:textId="131C813B" w:rsidR="00843BD1" w:rsidRPr="00E353E5" w:rsidRDefault="002F70B4" w:rsidP="00681DAC">
      <w:r w:rsidRPr="00A81131">
        <w:rPr>
          <w:rStyle w:val="SubtleEmphasis"/>
          <w:i w:val="0"/>
          <w:color w:val="auto"/>
        </w:rPr>
        <w:t xml:space="preserve">By contrast, </w:t>
      </w:r>
      <w:r w:rsidR="00B4798F" w:rsidRPr="00A81131">
        <w:rPr>
          <w:rStyle w:val="SubtleEmphasis"/>
          <w:i w:val="0"/>
          <w:color w:val="auto"/>
        </w:rPr>
        <w:t xml:space="preserve">declines in employment are projected for </w:t>
      </w:r>
      <w:r w:rsidR="007F34FF" w:rsidRPr="00A81131">
        <w:rPr>
          <w:rStyle w:val="SubtleEmphasis"/>
          <w:i w:val="0"/>
          <w:color w:val="auto"/>
        </w:rPr>
        <w:t xml:space="preserve">the </w:t>
      </w:r>
      <w:r w:rsidR="006102B6" w:rsidRPr="00A81131">
        <w:rPr>
          <w:rFonts w:cstheme="minorHAnsi"/>
        </w:rPr>
        <w:t>Manufacturing and Information Media and Telecommunications</w:t>
      </w:r>
      <w:r w:rsidR="007F34FF" w:rsidRPr="00A81131">
        <w:rPr>
          <w:rStyle w:val="SubtleEmphasis"/>
          <w:i w:val="0"/>
          <w:color w:val="auto"/>
        </w:rPr>
        <w:t xml:space="preserve"> industries</w:t>
      </w:r>
      <w:r w:rsidR="00B4798F" w:rsidRPr="00A81131">
        <w:rPr>
          <w:rStyle w:val="SubtleEmphasis"/>
          <w:i w:val="0"/>
          <w:color w:val="auto"/>
        </w:rPr>
        <w:t xml:space="preserve">. </w:t>
      </w:r>
      <w:r w:rsidR="00843BD1" w:rsidRPr="00E353E5">
        <w:rPr>
          <w:rStyle w:val="SubtleEmphasis"/>
          <w:i w:val="0"/>
          <w:color w:val="auto"/>
        </w:rPr>
        <w:t xml:space="preserve">The </w:t>
      </w:r>
      <w:r w:rsidR="007C5355" w:rsidRPr="00E353E5">
        <w:rPr>
          <w:rStyle w:val="SubtleEmphasis"/>
          <w:i w:val="0"/>
          <w:color w:val="auto"/>
        </w:rPr>
        <w:t>total employment growth rate</w:t>
      </w:r>
      <w:r w:rsidR="007C5355">
        <w:rPr>
          <w:rStyle w:val="SubtleEmphasis"/>
          <w:i w:val="0"/>
          <w:color w:val="auto"/>
        </w:rPr>
        <w:t>, however, declines</w:t>
      </w:r>
      <w:r w:rsidR="007C5355" w:rsidRPr="00E353E5">
        <w:rPr>
          <w:rStyle w:val="SubtleEmphasis"/>
          <w:i w:val="0"/>
          <w:color w:val="auto"/>
        </w:rPr>
        <w:t xml:space="preserve"> by less than 0.5 of a percentage </w:t>
      </w:r>
      <w:proofErr w:type="gramStart"/>
      <w:r w:rsidR="007C5355" w:rsidRPr="00E353E5">
        <w:rPr>
          <w:rStyle w:val="SubtleEmphasis"/>
          <w:i w:val="0"/>
          <w:color w:val="auto"/>
        </w:rPr>
        <w:t>point</w:t>
      </w:r>
      <w:proofErr w:type="gramEnd"/>
      <w:r w:rsidR="007C5355" w:rsidRPr="00E353E5">
        <w:rPr>
          <w:rStyle w:val="SubtleEmphasis"/>
          <w:i w:val="0"/>
          <w:color w:val="auto"/>
        </w:rPr>
        <w:t xml:space="preserve"> </w:t>
      </w:r>
      <w:r w:rsidR="007C5355">
        <w:rPr>
          <w:rStyle w:val="SubtleEmphasis"/>
          <w:i w:val="0"/>
          <w:color w:val="auto"/>
        </w:rPr>
        <w:t xml:space="preserve">as a result of the </w:t>
      </w:r>
      <w:r w:rsidR="00843BD1" w:rsidRPr="00E353E5">
        <w:rPr>
          <w:rStyle w:val="SubtleEmphasis"/>
          <w:i w:val="0"/>
          <w:color w:val="auto"/>
        </w:rPr>
        <w:t xml:space="preserve">projected employment in these two industries. </w:t>
      </w:r>
    </w:p>
    <w:p w14:paraId="619F4D24" w14:textId="07E80114" w:rsidR="007C62AF" w:rsidRPr="007C62AF" w:rsidRDefault="000B14C1" w:rsidP="00AF6545">
      <w:pPr>
        <w:pStyle w:val="ListParagraph"/>
        <w:numPr>
          <w:ilvl w:val="0"/>
          <w:numId w:val="27"/>
        </w:numPr>
        <w:jc w:val="both"/>
        <w:rPr>
          <w:iCs/>
        </w:rPr>
      </w:pPr>
      <w:r w:rsidRPr="00A81131">
        <w:rPr>
          <w:rFonts w:cs="Calibri"/>
        </w:rPr>
        <w:t xml:space="preserve">Employment in </w:t>
      </w:r>
      <w:r w:rsidRPr="00A81131">
        <w:rPr>
          <w:rFonts w:cs="Calibri"/>
          <w:b/>
        </w:rPr>
        <w:t>Manufacturing</w:t>
      </w:r>
      <w:r w:rsidRPr="00A81131">
        <w:rPr>
          <w:rFonts w:cs="Calibri"/>
        </w:rPr>
        <w:t xml:space="preserve"> is projected to fall by </w:t>
      </w:r>
      <w:r w:rsidR="006C0E8F">
        <w:rPr>
          <w:rFonts w:cs="Calibri"/>
        </w:rPr>
        <w:t>59</w:t>
      </w:r>
      <w:r w:rsidRPr="00A81131">
        <w:rPr>
          <w:rFonts w:cs="Calibri"/>
        </w:rPr>
        <w:t>00 (or 0.</w:t>
      </w:r>
      <w:r w:rsidR="006C0E8F">
        <w:rPr>
          <w:rFonts w:cs="Calibri"/>
        </w:rPr>
        <w:t>7</w:t>
      </w:r>
      <w:r w:rsidRPr="00A81131">
        <w:rPr>
          <w:rFonts w:cs="Calibri"/>
        </w:rPr>
        <w:t xml:space="preserve"> per cent) over the five years to </w:t>
      </w:r>
      <w:r w:rsidR="00CC375F">
        <w:rPr>
          <w:rFonts w:cs="Calibri"/>
        </w:rPr>
        <w:t>November 2025</w:t>
      </w:r>
      <w:r w:rsidRPr="00A81131">
        <w:rPr>
          <w:rFonts w:cs="Calibri"/>
        </w:rPr>
        <w:t xml:space="preserve">. </w:t>
      </w:r>
      <w:r w:rsidR="007C62AF" w:rsidRPr="00BF7BB3">
        <w:t>The long-term decline in some Manufacturing sectors is expected continue, with employment in the Transport Equipment Manufacturing sector projected to decline by 5200 (or 9.0 per cent) and in</w:t>
      </w:r>
      <w:r w:rsidR="00116297">
        <w:t xml:space="preserve"> the</w:t>
      </w:r>
      <w:r w:rsidR="007C62AF" w:rsidRPr="00BF7BB3">
        <w:t xml:space="preserve"> Textile, Leather, Clothing and Footwear Manufacturing sector by 4,700 (or 15.3 per cent). Even so, there are positive signs within the industry, with projected </w:t>
      </w:r>
      <w:r w:rsidR="008E04E1">
        <w:t xml:space="preserve">employment </w:t>
      </w:r>
      <w:r w:rsidR="007C62AF" w:rsidRPr="00BF7BB3">
        <w:t xml:space="preserve">growth </w:t>
      </w:r>
      <w:r w:rsidR="007C62AF" w:rsidRPr="00BF7BB3">
        <w:lastRenderedPageBreak/>
        <w:t>of 6,400 (or 8.5 per cent) in the Primary Metal and Metal Product Manufacturing sector, supported by significant domestic infrastructure investment and the redevelopment of modern manufacturing in Australia.</w:t>
      </w:r>
    </w:p>
    <w:p w14:paraId="3651885B" w14:textId="04BD3249" w:rsidR="00123066" w:rsidRPr="004712C5" w:rsidRDefault="000B14C1" w:rsidP="00830AF5">
      <w:pPr>
        <w:pStyle w:val="ListParagraph"/>
        <w:numPr>
          <w:ilvl w:val="0"/>
          <w:numId w:val="27"/>
        </w:numPr>
        <w:jc w:val="both"/>
        <w:rPr>
          <w:rStyle w:val="SubtleEmphasis"/>
          <w:rFonts w:asciiTheme="minorHAnsi" w:eastAsiaTheme="minorEastAsia" w:hAnsiTheme="minorHAnsi" w:cstheme="minorBidi"/>
          <w:i w:val="0"/>
          <w:color w:val="auto"/>
        </w:rPr>
      </w:pPr>
      <w:r w:rsidRPr="00A81131">
        <w:rPr>
          <w:rFonts w:cs="Calibri"/>
          <w:noProof/>
          <w:lang w:eastAsia="en-AU"/>
        </w:rPr>
        <w:t xml:space="preserve">Employment in the </w:t>
      </w:r>
      <w:r w:rsidRPr="00A81131">
        <w:rPr>
          <w:rFonts w:cs="Calibri"/>
          <w:b/>
          <w:noProof/>
          <w:lang w:eastAsia="en-AU"/>
        </w:rPr>
        <w:t>Information Media and Telecommunications</w:t>
      </w:r>
      <w:r w:rsidRPr="00A81131">
        <w:rPr>
          <w:rFonts w:cs="Calibri"/>
          <w:noProof/>
          <w:lang w:eastAsia="en-AU"/>
        </w:rPr>
        <w:t xml:space="preserve"> </w:t>
      </w:r>
      <w:r w:rsidRPr="00A81131">
        <w:rPr>
          <w:rFonts w:cs="Calibri"/>
        </w:rPr>
        <w:t xml:space="preserve">industry is projected to fall by </w:t>
      </w:r>
      <w:r w:rsidR="006C0E8F">
        <w:rPr>
          <w:rFonts w:cs="Calibri"/>
        </w:rPr>
        <w:t>75</w:t>
      </w:r>
      <w:r w:rsidRPr="00A81131">
        <w:rPr>
          <w:rFonts w:cs="Calibri"/>
        </w:rPr>
        <w:t>00 (or 3</w:t>
      </w:r>
      <w:r w:rsidR="006C0E8F">
        <w:rPr>
          <w:rFonts w:cs="Calibri"/>
        </w:rPr>
        <w:t>.9</w:t>
      </w:r>
      <w:r w:rsidRPr="00A81131">
        <w:rPr>
          <w:rFonts w:cs="Calibri"/>
        </w:rPr>
        <w:t xml:space="preserve"> per cent)</w:t>
      </w:r>
      <w:r w:rsidR="000D1681">
        <w:rPr>
          <w:rFonts w:cs="Calibri"/>
        </w:rPr>
        <w:t>,</w:t>
      </w:r>
      <w:r w:rsidRPr="00A81131">
        <w:rPr>
          <w:rFonts w:cs="Calibri"/>
        </w:rPr>
        <w:t xml:space="preserve"> reflecting market consolidation</w:t>
      </w:r>
      <w:r w:rsidR="009C1B45">
        <w:rPr>
          <w:rFonts w:cs="Calibri"/>
        </w:rPr>
        <w:t xml:space="preserve"> and</w:t>
      </w:r>
      <w:r w:rsidRPr="00A81131">
        <w:rPr>
          <w:rFonts w:cs="Calibri"/>
        </w:rPr>
        <w:t xml:space="preserve"> the shift towards non-physical media</w:t>
      </w:r>
      <w:r w:rsidR="00614843">
        <w:rPr>
          <w:rFonts w:cs="Calibri"/>
        </w:rPr>
        <w:t xml:space="preserve">, with employment in </w:t>
      </w:r>
      <w:r w:rsidR="00614843" w:rsidRPr="00614843">
        <w:rPr>
          <w:rFonts w:cs="Calibri"/>
        </w:rPr>
        <w:t>Newspaper, Periodical, Book and Directory Publishing</w:t>
      </w:r>
      <w:r w:rsidR="00614843">
        <w:rPr>
          <w:rFonts w:cs="Calibri"/>
        </w:rPr>
        <w:t xml:space="preserve"> projected to decline by</w:t>
      </w:r>
      <w:r w:rsidRPr="00A81131">
        <w:rPr>
          <w:rFonts w:cs="Calibri"/>
        </w:rPr>
        <w:t xml:space="preserve"> </w:t>
      </w:r>
      <w:r w:rsidR="00614843">
        <w:rPr>
          <w:rFonts w:cs="Calibri"/>
        </w:rPr>
        <w:t>3900 (or</w:t>
      </w:r>
      <w:r w:rsidR="007C5355">
        <w:rPr>
          <w:rFonts w:cs="Calibri"/>
        </w:rPr>
        <w:t xml:space="preserve"> </w:t>
      </w:r>
      <w:r w:rsidR="00614843">
        <w:rPr>
          <w:rFonts w:cs="Calibri"/>
        </w:rPr>
        <w:t>25.0 per cent)</w:t>
      </w:r>
      <w:r w:rsidR="00AD0840">
        <w:rPr>
          <w:rFonts w:cs="Calibri"/>
        </w:rPr>
        <w:t>. I</w:t>
      </w:r>
      <w:r w:rsidRPr="00A81131">
        <w:rPr>
          <w:rFonts w:cs="Calibri"/>
        </w:rPr>
        <w:t xml:space="preserve">ncreased </w:t>
      </w:r>
      <w:r w:rsidRPr="00E353E5">
        <w:rPr>
          <w:rFonts w:cs="Calibri"/>
        </w:rPr>
        <w:t>competitive pressures, particularly in the Telecommunications sector</w:t>
      </w:r>
      <w:r w:rsidR="00537D40">
        <w:rPr>
          <w:rFonts w:cs="Calibri"/>
        </w:rPr>
        <w:t xml:space="preserve">, </w:t>
      </w:r>
      <w:r w:rsidR="00816AD9">
        <w:rPr>
          <w:rFonts w:cs="Calibri"/>
        </w:rPr>
        <w:t>see</w:t>
      </w:r>
      <w:r w:rsidR="00614843">
        <w:rPr>
          <w:rFonts w:cs="Calibri"/>
        </w:rPr>
        <w:t xml:space="preserve"> employment projected to fall by 6000 (or 6.8 per cent)</w:t>
      </w:r>
      <w:r w:rsidRPr="00E353E5">
        <w:rPr>
          <w:rFonts w:cs="Calibri"/>
        </w:rPr>
        <w:t>.</w:t>
      </w:r>
      <w:r w:rsidR="00123066" w:rsidRPr="000742C2">
        <w:rPr>
          <w:rFonts w:cs="Calibri"/>
        </w:rPr>
        <w:t xml:space="preserve">On the other hand, employment in Motion Picture and Video </w:t>
      </w:r>
      <w:r w:rsidR="00123066" w:rsidRPr="00120D59">
        <w:rPr>
          <w:rFonts w:cs="Calibri"/>
        </w:rPr>
        <w:t>Activities is projected to grow by 2300 (or 7.2 per cent).</w:t>
      </w:r>
    </w:p>
    <w:p w14:paraId="37E0FA15" w14:textId="77777777" w:rsidR="00830AF5" w:rsidRDefault="003F6549" w:rsidP="00681DAC">
      <w:pPr>
        <w:rPr>
          <w:rFonts w:cs="Calibri"/>
        </w:rPr>
      </w:pPr>
      <w:r w:rsidRPr="00830AF5">
        <w:rPr>
          <w:rStyle w:val="SubtleEmphasis"/>
          <w:i w:val="0"/>
          <w:color w:val="auto"/>
        </w:rPr>
        <w:t>A</w:t>
      </w:r>
      <w:r w:rsidR="00A065FA" w:rsidRPr="00830AF5">
        <w:rPr>
          <w:rStyle w:val="SubtleEmphasis"/>
          <w:i w:val="0"/>
          <w:color w:val="auto"/>
        </w:rPr>
        <w:t xml:space="preserve">t the detailed level, </w:t>
      </w:r>
      <w:r w:rsidRPr="00830AF5">
        <w:rPr>
          <w:rStyle w:val="SubtleEmphasis"/>
          <w:i w:val="0"/>
          <w:color w:val="auto"/>
        </w:rPr>
        <w:t xml:space="preserve">as identified above, </w:t>
      </w:r>
      <w:r w:rsidR="00A065FA" w:rsidRPr="00830AF5">
        <w:rPr>
          <w:rStyle w:val="SubtleEmphasis"/>
          <w:i w:val="0"/>
          <w:color w:val="auto"/>
        </w:rPr>
        <w:t>sectors from industries with high</w:t>
      </w:r>
      <w:r w:rsidR="00475E58" w:rsidRPr="00830AF5">
        <w:rPr>
          <w:rStyle w:val="SubtleEmphasis"/>
          <w:i w:val="0"/>
          <w:color w:val="auto"/>
        </w:rPr>
        <w:t xml:space="preserve"> </w:t>
      </w:r>
      <w:r w:rsidR="00120D59" w:rsidRPr="00830AF5">
        <w:rPr>
          <w:rStyle w:val="SubtleEmphasis"/>
          <w:i w:val="0"/>
          <w:color w:val="auto"/>
        </w:rPr>
        <w:t xml:space="preserve">or </w:t>
      </w:r>
      <w:r w:rsidR="00475E58" w:rsidRPr="00830AF5">
        <w:rPr>
          <w:rStyle w:val="SubtleEmphasis"/>
          <w:i w:val="0"/>
          <w:color w:val="auto"/>
        </w:rPr>
        <w:t>negative</w:t>
      </w:r>
      <w:r w:rsidR="00A065FA" w:rsidRPr="00830AF5">
        <w:rPr>
          <w:rStyle w:val="SubtleEmphasis"/>
          <w:i w:val="0"/>
          <w:color w:val="auto"/>
        </w:rPr>
        <w:t xml:space="preserve"> projected growth are particularly prominent amongst the </w:t>
      </w:r>
      <w:r w:rsidR="00E222E6" w:rsidRPr="00830AF5">
        <w:rPr>
          <w:rStyle w:val="SubtleEmphasis"/>
          <w:i w:val="0"/>
          <w:color w:val="auto"/>
        </w:rPr>
        <w:t>strongest changes at more detailed levels of the industry classification</w:t>
      </w:r>
      <w:r w:rsidRPr="00830AF5">
        <w:rPr>
          <w:rStyle w:val="SubtleEmphasis"/>
          <w:i w:val="0"/>
          <w:color w:val="auto"/>
        </w:rPr>
        <w:t>.</w:t>
      </w:r>
      <w:r w:rsidR="00A065FA" w:rsidRPr="00830AF5">
        <w:rPr>
          <w:rStyle w:val="SubtleEmphasis"/>
          <w:i w:val="0"/>
          <w:color w:val="auto"/>
        </w:rPr>
        <w:t xml:space="preserve"> </w:t>
      </w:r>
      <w:r w:rsidRPr="00830AF5">
        <w:rPr>
          <w:rStyle w:val="SubtleEmphasis"/>
          <w:i w:val="0"/>
          <w:color w:val="auto"/>
        </w:rPr>
        <w:t>There is, however,</w:t>
      </w:r>
      <w:r w:rsidR="00A065FA" w:rsidRPr="00830AF5">
        <w:rPr>
          <w:rStyle w:val="SubtleEmphasis"/>
          <w:i w:val="0"/>
          <w:color w:val="auto"/>
        </w:rPr>
        <w:t xml:space="preserve"> s</w:t>
      </w:r>
      <w:r w:rsidR="00A065FA" w:rsidRPr="00830AF5">
        <w:rPr>
          <w:rFonts w:cs="Calibri"/>
        </w:rPr>
        <w:t xml:space="preserve">trong employment growth projected for some sectors in industries </w:t>
      </w:r>
      <w:r w:rsidRPr="00830AF5">
        <w:rPr>
          <w:rFonts w:cs="Calibri"/>
        </w:rPr>
        <w:t>w</w:t>
      </w:r>
      <w:r w:rsidR="000D1681" w:rsidRPr="00830AF5">
        <w:rPr>
          <w:rFonts w:cs="Calibri"/>
        </w:rPr>
        <w:t>h</w:t>
      </w:r>
      <w:r w:rsidRPr="00830AF5">
        <w:rPr>
          <w:rFonts w:cs="Calibri"/>
        </w:rPr>
        <w:t>ere</w:t>
      </w:r>
      <w:r w:rsidR="00A065FA" w:rsidRPr="00830AF5">
        <w:rPr>
          <w:rFonts w:cs="Calibri"/>
        </w:rPr>
        <w:t xml:space="preserve"> </w:t>
      </w:r>
      <w:r w:rsidRPr="00830AF5">
        <w:rPr>
          <w:rFonts w:cs="Calibri"/>
        </w:rPr>
        <w:t xml:space="preserve">employment growth is expected </w:t>
      </w:r>
      <w:r w:rsidR="00A065FA" w:rsidRPr="00830AF5">
        <w:rPr>
          <w:rFonts w:cs="Calibri"/>
        </w:rPr>
        <w:t xml:space="preserve">to </w:t>
      </w:r>
      <w:r w:rsidRPr="00830AF5">
        <w:rPr>
          <w:rFonts w:cs="Calibri"/>
        </w:rPr>
        <w:t>be</w:t>
      </w:r>
      <w:r w:rsidR="00A065FA" w:rsidRPr="00830AF5">
        <w:rPr>
          <w:rFonts w:cs="Calibri"/>
        </w:rPr>
        <w:t xml:space="preserve"> below average (7.8 per cent). </w:t>
      </w:r>
    </w:p>
    <w:p w14:paraId="57010DE0" w14:textId="77777777" w:rsidR="00830AF5" w:rsidRDefault="00BB0F85" w:rsidP="00681DAC">
      <w:pPr>
        <w:pStyle w:val="ListParagraph"/>
        <w:numPr>
          <w:ilvl w:val="0"/>
          <w:numId w:val="41"/>
        </w:numPr>
        <w:ind w:left="709"/>
        <w:jc w:val="both"/>
      </w:pPr>
      <w:r w:rsidRPr="00BB0F85">
        <w:t>While</w:t>
      </w:r>
      <w:r w:rsidRPr="00830AF5">
        <w:rPr>
          <w:b/>
          <w:bCs/>
        </w:rPr>
        <w:t xml:space="preserve"> </w:t>
      </w:r>
      <w:r w:rsidR="00A065FA" w:rsidRPr="00830AF5">
        <w:rPr>
          <w:b/>
          <w:bCs/>
        </w:rPr>
        <w:t>Construction</w:t>
      </w:r>
      <w:r w:rsidR="00A065FA" w:rsidRPr="00BF7BB3">
        <w:t xml:space="preserve"> employment is projected to rise by </w:t>
      </w:r>
      <w:r w:rsidRPr="00BF7BB3">
        <w:t xml:space="preserve">6.8 per cent </w:t>
      </w:r>
      <w:r w:rsidR="00A065FA" w:rsidRPr="00BF7BB3">
        <w:t>(or</w:t>
      </w:r>
      <w:r w:rsidR="003F6549">
        <w:t xml:space="preserve"> </w:t>
      </w:r>
      <w:r w:rsidR="003F6549" w:rsidRPr="00BF7BB3">
        <w:t>80,700</w:t>
      </w:r>
      <w:r w:rsidR="00A065FA" w:rsidRPr="00BF7BB3">
        <w:t>) over the five years to November 2025</w:t>
      </w:r>
      <w:r w:rsidR="000D1681">
        <w:t>,</w:t>
      </w:r>
      <w:r>
        <w:t xml:space="preserve"> t</w:t>
      </w:r>
      <w:r w:rsidR="00A065FA" w:rsidRPr="00BF7BB3">
        <w:t xml:space="preserve">here is strong projected employment growth in Building Installation Services (up 23,900 or 8.4 per cent) and in Residential Construction (16,300 or 10.6 per cent), initially supported by Government stimulus measures and reflected in the surge in dwelling approvals since mid-2020. In addition, significant investment in infrastructure is reflected in the above average </w:t>
      </w:r>
      <w:r w:rsidR="004F2767">
        <w:t xml:space="preserve">projected </w:t>
      </w:r>
      <w:r w:rsidR="00A065FA" w:rsidRPr="00BF7BB3">
        <w:t>growth in</w:t>
      </w:r>
      <w:r w:rsidR="004F2767">
        <w:t xml:space="preserve"> the</w:t>
      </w:r>
      <w:r w:rsidR="00A065FA" w:rsidRPr="00BF7BB3">
        <w:t xml:space="preserve"> Heavy and Civil Engineering Construction sector (9,900 or 8.8 per cent</w:t>
      </w:r>
      <w:r w:rsidR="00A065FA">
        <w:t>).</w:t>
      </w:r>
    </w:p>
    <w:p w14:paraId="694C613A" w14:textId="3D829E56" w:rsidR="00BB0F85" w:rsidRDefault="00664D70" w:rsidP="00681DAC">
      <w:pPr>
        <w:pStyle w:val="ListParagraph"/>
        <w:numPr>
          <w:ilvl w:val="0"/>
          <w:numId w:val="41"/>
        </w:numPr>
        <w:ind w:left="709"/>
        <w:jc w:val="both"/>
      </w:pPr>
      <w:r>
        <w:t>Strong employment growth is projected in</w:t>
      </w:r>
      <w:r w:rsidR="00BB0F85">
        <w:t xml:space="preserve"> the</w:t>
      </w:r>
      <w:r w:rsidR="00D3315D" w:rsidRPr="00D3315D">
        <w:t xml:space="preserve"> Pharmaceutical and Other Store-Based Retailing</w:t>
      </w:r>
      <w:r w:rsidR="00D3315D">
        <w:t xml:space="preserve"> </w:t>
      </w:r>
      <w:r w:rsidR="00BB0F85">
        <w:t xml:space="preserve">sector </w:t>
      </w:r>
      <w:r w:rsidR="00D3315D">
        <w:t>(up by 24,000 or 10.4 per cent)</w:t>
      </w:r>
      <w:r>
        <w:t xml:space="preserve"> despite </w:t>
      </w:r>
      <w:r w:rsidR="00BB0F85">
        <w:t xml:space="preserve">projected employment growth </w:t>
      </w:r>
      <w:r w:rsidR="00F63F5F">
        <w:t>i</w:t>
      </w:r>
      <w:r w:rsidR="00BB0F85">
        <w:t xml:space="preserve">n the </w:t>
      </w:r>
      <w:r w:rsidR="00BB0F85" w:rsidRPr="00830AF5">
        <w:rPr>
          <w:b/>
          <w:bCs/>
        </w:rPr>
        <w:t>Retail Trade</w:t>
      </w:r>
      <w:r w:rsidR="00BB0F85">
        <w:t xml:space="preserve"> </w:t>
      </w:r>
      <w:r w:rsidR="00866E4C">
        <w:t xml:space="preserve">industry </w:t>
      </w:r>
      <w:r w:rsidR="00BB0F85">
        <w:t>of 4.1 per cent</w:t>
      </w:r>
      <w:r w:rsidR="00866E4C">
        <w:t>.</w:t>
      </w:r>
    </w:p>
    <w:p w14:paraId="792D97B7" w14:textId="20B2A2D6" w:rsidR="003F6549" w:rsidRPr="00540DF3" w:rsidRDefault="003F6549" w:rsidP="00681DAC">
      <w:pPr>
        <w:rPr>
          <w:rStyle w:val="SubtleEmphasis"/>
          <w:i w:val="0"/>
          <w:iCs w:val="0"/>
          <w:color w:val="auto"/>
        </w:rPr>
      </w:pPr>
      <w:r w:rsidRPr="00540DF3">
        <w:rPr>
          <w:rStyle w:val="SubtleEmphasis"/>
          <w:i w:val="0"/>
          <w:iCs w:val="0"/>
          <w:color w:val="auto"/>
        </w:rPr>
        <w:t>The converse is also the case with e</w:t>
      </w:r>
      <w:r w:rsidR="004721BE" w:rsidRPr="00540DF3">
        <w:rPr>
          <w:rStyle w:val="SubtleEmphasis"/>
          <w:i w:val="0"/>
          <w:iCs w:val="0"/>
          <w:color w:val="auto"/>
        </w:rPr>
        <w:t xml:space="preserve">mployment declines projected for some sectors in industries that are projected to experience employment growth. </w:t>
      </w:r>
    </w:p>
    <w:p w14:paraId="6D72C9C6" w14:textId="60FD954A" w:rsidR="003F6549" w:rsidRPr="003F6549" w:rsidRDefault="004721BE" w:rsidP="00681DAC">
      <w:pPr>
        <w:pStyle w:val="ListParagraph"/>
        <w:numPr>
          <w:ilvl w:val="0"/>
          <w:numId w:val="37"/>
        </w:numPr>
        <w:ind w:left="709"/>
        <w:jc w:val="both"/>
        <w:rPr>
          <w:rStyle w:val="SubtleEmphasis"/>
          <w:i w:val="0"/>
          <w:iCs w:val="0"/>
          <w:color w:val="auto"/>
        </w:rPr>
      </w:pPr>
      <w:r w:rsidRPr="003F6549">
        <w:rPr>
          <w:rStyle w:val="SubtleEmphasis"/>
          <w:i w:val="0"/>
          <w:iCs w:val="0"/>
          <w:color w:val="auto"/>
        </w:rPr>
        <w:t xml:space="preserve">Notably, the large projected employment declines in Department Stores (down by 4100 or </w:t>
      </w:r>
      <w:r w:rsidR="00F63F5F">
        <w:rPr>
          <w:rStyle w:val="SubtleEmphasis"/>
          <w:i w:val="0"/>
          <w:iCs w:val="0"/>
          <w:color w:val="auto"/>
        </w:rPr>
        <w:t>5</w:t>
      </w:r>
      <w:r w:rsidRPr="003F6549">
        <w:rPr>
          <w:rStyle w:val="SubtleEmphasis"/>
          <w:i w:val="0"/>
          <w:iCs w:val="0"/>
          <w:color w:val="auto"/>
        </w:rPr>
        <w:t>.3 per cent)</w:t>
      </w:r>
      <w:r w:rsidR="00F63F5F">
        <w:rPr>
          <w:rStyle w:val="SubtleEmphasis"/>
          <w:i w:val="0"/>
          <w:iCs w:val="0"/>
          <w:color w:val="auto"/>
        </w:rPr>
        <w:t>,</w:t>
      </w:r>
      <w:r w:rsidRPr="003F6549">
        <w:rPr>
          <w:rStyle w:val="SubtleEmphasis"/>
          <w:i w:val="0"/>
          <w:iCs w:val="0"/>
          <w:color w:val="auto"/>
        </w:rPr>
        <w:t xml:space="preserve"> Clothing, Footwear and Personal Accessory Retailing (down by 2400 or 1.5 per cent) </w:t>
      </w:r>
      <w:r w:rsidR="00F63F5F" w:rsidRPr="003F6549">
        <w:rPr>
          <w:rStyle w:val="SubtleEmphasis"/>
          <w:i w:val="0"/>
          <w:iCs w:val="0"/>
          <w:color w:val="auto"/>
        </w:rPr>
        <w:t xml:space="preserve">and </w:t>
      </w:r>
      <w:r w:rsidR="00F63F5F" w:rsidRPr="00F63F5F">
        <w:rPr>
          <w:rStyle w:val="SubtleEmphasis"/>
          <w:i w:val="0"/>
          <w:iCs w:val="0"/>
          <w:color w:val="auto"/>
        </w:rPr>
        <w:t>Fuel Retailing</w:t>
      </w:r>
      <w:r w:rsidR="00F63F5F">
        <w:rPr>
          <w:rStyle w:val="SubtleEmphasis"/>
          <w:i w:val="0"/>
          <w:iCs w:val="0"/>
          <w:color w:val="auto"/>
        </w:rPr>
        <w:t xml:space="preserve"> (</w:t>
      </w:r>
      <w:r w:rsidR="00F63F5F" w:rsidRPr="003F6549">
        <w:rPr>
          <w:rStyle w:val="SubtleEmphasis"/>
          <w:i w:val="0"/>
          <w:iCs w:val="0"/>
          <w:color w:val="auto"/>
        </w:rPr>
        <w:t>down by 1</w:t>
      </w:r>
      <w:r w:rsidR="00F63F5F">
        <w:rPr>
          <w:rStyle w:val="SubtleEmphasis"/>
          <w:i w:val="0"/>
          <w:iCs w:val="0"/>
          <w:color w:val="auto"/>
        </w:rPr>
        <w:t>4</w:t>
      </w:r>
      <w:r w:rsidR="00F63F5F" w:rsidRPr="003F6549">
        <w:rPr>
          <w:rStyle w:val="SubtleEmphasis"/>
          <w:i w:val="0"/>
          <w:iCs w:val="0"/>
          <w:color w:val="auto"/>
        </w:rPr>
        <w:t xml:space="preserve">00 or </w:t>
      </w:r>
      <w:r w:rsidR="00F63F5F">
        <w:rPr>
          <w:rStyle w:val="SubtleEmphasis"/>
          <w:i w:val="0"/>
          <w:iCs w:val="0"/>
          <w:color w:val="auto"/>
        </w:rPr>
        <w:t>4</w:t>
      </w:r>
      <w:r w:rsidR="00F63F5F" w:rsidRPr="003F6549">
        <w:rPr>
          <w:rStyle w:val="SubtleEmphasis"/>
          <w:i w:val="0"/>
          <w:iCs w:val="0"/>
          <w:color w:val="auto"/>
        </w:rPr>
        <w:t>.</w:t>
      </w:r>
      <w:r w:rsidR="00F63F5F">
        <w:rPr>
          <w:rStyle w:val="SubtleEmphasis"/>
          <w:i w:val="0"/>
          <w:iCs w:val="0"/>
          <w:color w:val="auto"/>
        </w:rPr>
        <w:t>2</w:t>
      </w:r>
      <w:r w:rsidR="00F63F5F" w:rsidRPr="003F6549">
        <w:rPr>
          <w:rStyle w:val="SubtleEmphasis"/>
          <w:i w:val="0"/>
          <w:iCs w:val="0"/>
          <w:color w:val="auto"/>
        </w:rPr>
        <w:t xml:space="preserve"> per cent</w:t>
      </w:r>
      <w:r w:rsidR="00F63F5F">
        <w:rPr>
          <w:rStyle w:val="SubtleEmphasis"/>
          <w:i w:val="0"/>
          <w:iCs w:val="0"/>
          <w:color w:val="auto"/>
        </w:rPr>
        <w:t>)</w:t>
      </w:r>
      <w:r w:rsidR="00F63F5F" w:rsidRPr="003F6549">
        <w:rPr>
          <w:rStyle w:val="SubtleEmphasis"/>
          <w:i w:val="0"/>
          <w:iCs w:val="0"/>
          <w:color w:val="auto"/>
        </w:rPr>
        <w:t xml:space="preserve"> </w:t>
      </w:r>
      <w:r w:rsidRPr="003F6549">
        <w:rPr>
          <w:rStyle w:val="SubtleEmphasis"/>
          <w:i w:val="0"/>
          <w:iCs w:val="0"/>
          <w:color w:val="auto"/>
        </w:rPr>
        <w:t>reflect increased competitive pressure</w:t>
      </w:r>
      <w:r w:rsidR="00A8185C">
        <w:rPr>
          <w:rStyle w:val="SubtleEmphasis"/>
          <w:i w:val="0"/>
          <w:iCs w:val="0"/>
          <w:color w:val="auto"/>
        </w:rPr>
        <w:t>s</w:t>
      </w:r>
      <w:r w:rsidRPr="003F6549">
        <w:rPr>
          <w:rStyle w:val="SubtleEmphasis"/>
          <w:i w:val="0"/>
          <w:iCs w:val="0"/>
          <w:color w:val="auto"/>
        </w:rPr>
        <w:t xml:space="preserve"> within the </w:t>
      </w:r>
      <w:r w:rsidRPr="00540DF3">
        <w:rPr>
          <w:rStyle w:val="SubtleEmphasis"/>
          <w:b/>
          <w:bCs/>
          <w:i w:val="0"/>
          <w:iCs w:val="0"/>
          <w:color w:val="auto"/>
        </w:rPr>
        <w:t>Retail Trade</w:t>
      </w:r>
      <w:r w:rsidRPr="003F6549">
        <w:rPr>
          <w:rStyle w:val="SubtleEmphasis"/>
          <w:i w:val="0"/>
          <w:iCs w:val="0"/>
          <w:color w:val="auto"/>
        </w:rPr>
        <w:t xml:space="preserve"> industry. </w:t>
      </w:r>
    </w:p>
    <w:p w14:paraId="50C5351C" w14:textId="55A1BFC1" w:rsidR="003F6549" w:rsidRDefault="004721BE" w:rsidP="00763F52">
      <w:pPr>
        <w:pStyle w:val="ListParagraph"/>
        <w:numPr>
          <w:ilvl w:val="0"/>
          <w:numId w:val="37"/>
        </w:numPr>
        <w:spacing w:before="240"/>
        <w:ind w:left="709"/>
        <w:jc w:val="both"/>
        <w:rPr>
          <w:rStyle w:val="SubtleEmphasis"/>
          <w:i w:val="0"/>
          <w:iCs w:val="0"/>
          <w:color w:val="auto"/>
        </w:rPr>
      </w:pPr>
      <w:r w:rsidRPr="003F6549">
        <w:rPr>
          <w:rStyle w:val="SubtleEmphasis"/>
          <w:i w:val="0"/>
          <w:iCs w:val="0"/>
          <w:color w:val="auto"/>
        </w:rPr>
        <w:t>The projected employment declines in the Agriculture and Fishing Support Services (by 2200 or 13.3 per cent) and Dairy Cattle Farming (by 1700 or 9.4 per cent</w:t>
      </w:r>
      <w:r w:rsidR="003F6549">
        <w:rPr>
          <w:rStyle w:val="SubtleEmphasis"/>
          <w:i w:val="0"/>
          <w:iCs w:val="0"/>
          <w:color w:val="auto"/>
        </w:rPr>
        <w:t>)</w:t>
      </w:r>
      <w:r w:rsidR="00A8185C">
        <w:rPr>
          <w:rStyle w:val="SubtleEmphasis"/>
          <w:i w:val="0"/>
          <w:iCs w:val="0"/>
          <w:color w:val="auto"/>
        </w:rPr>
        <w:t xml:space="preserve"> sectors </w:t>
      </w:r>
      <w:r w:rsidR="00F97C41">
        <w:rPr>
          <w:rStyle w:val="SubtleEmphasis"/>
          <w:i w:val="0"/>
          <w:iCs w:val="0"/>
          <w:color w:val="auto"/>
        </w:rPr>
        <w:t xml:space="preserve">within the </w:t>
      </w:r>
      <w:r w:rsidR="00F97C41" w:rsidRPr="00540DF3">
        <w:rPr>
          <w:rStyle w:val="SubtleEmphasis"/>
          <w:b/>
          <w:bCs/>
          <w:i w:val="0"/>
          <w:iCs w:val="0"/>
          <w:color w:val="auto"/>
        </w:rPr>
        <w:t>Agriculture, Forestry and Fishing</w:t>
      </w:r>
      <w:r w:rsidR="0062322D" w:rsidRPr="00540DF3">
        <w:rPr>
          <w:rStyle w:val="SubtleEmphasis"/>
          <w:b/>
          <w:bCs/>
          <w:i w:val="0"/>
          <w:iCs w:val="0"/>
          <w:color w:val="auto"/>
        </w:rPr>
        <w:t xml:space="preserve"> </w:t>
      </w:r>
      <w:r w:rsidR="0062322D">
        <w:rPr>
          <w:rStyle w:val="SubtleEmphasis"/>
          <w:i w:val="0"/>
          <w:iCs w:val="0"/>
          <w:color w:val="auto"/>
        </w:rPr>
        <w:t>industry</w:t>
      </w:r>
      <w:r w:rsidRPr="003F6549">
        <w:rPr>
          <w:rStyle w:val="SubtleEmphasis"/>
          <w:i w:val="0"/>
          <w:iCs w:val="0"/>
          <w:color w:val="auto"/>
        </w:rPr>
        <w:t>.</w:t>
      </w:r>
    </w:p>
    <w:p w14:paraId="2D9ACA5E" w14:textId="700B447E" w:rsidR="000D1681" w:rsidRDefault="004721BE" w:rsidP="00681DAC">
      <w:pPr>
        <w:pStyle w:val="ListParagraph"/>
        <w:numPr>
          <w:ilvl w:val="0"/>
          <w:numId w:val="37"/>
        </w:numPr>
        <w:ind w:left="709"/>
        <w:jc w:val="both"/>
        <w:rPr>
          <w:rStyle w:val="SubtleEmphasis"/>
          <w:i w:val="0"/>
          <w:iCs w:val="0"/>
          <w:color w:val="auto"/>
        </w:rPr>
      </w:pPr>
      <w:r w:rsidRPr="003F6549">
        <w:rPr>
          <w:rStyle w:val="SubtleEmphasis"/>
          <w:i w:val="0"/>
          <w:iCs w:val="0"/>
          <w:color w:val="auto"/>
        </w:rPr>
        <w:t xml:space="preserve">Other </w:t>
      </w:r>
      <w:r w:rsidR="006B6ED4">
        <w:rPr>
          <w:rStyle w:val="SubtleEmphasis"/>
          <w:i w:val="0"/>
          <w:iCs w:val="0"/>
          <w:color w:val="auto"/>
        </w:rPr>
        <w:t xml:space="preserve">large </w:t>
      </w:r>
      <w:r w:rsidRPr="003F6549">
        <w:rPr>
          <w:rStyle w:val="SubtleEmphasis"/>
          <w:i w:val="0"/>
          <w:iCs w:val="0"/>
          <w:color w:val="auto"/>
        </w:rPr>
        <w:t>projected declines include Building Completion Services (down by 8</w:t>
      </w:r>
      <w:r w:rsidR="00FF2417" w:rsidRPr="003F6549">
        <w:rPr>
          <w:rStyle w:val="SubtleEmphasis"/>
          <w:i w:val="0"/>
          <w:iCs w:val="0"/>
          <w:color w:val="auto"/>
        </w:rPr>
        <w:t>4</w:t>
      </w:r>
      <w:r w:rsidRPr="003F6549">
        <w:rPr>
          <w:rStyle w:val="SubtleEmphasis"/>
          <w:i w:val="0"/>
          <w:iCs w:val="0"/>
          <w:color w:val="auto"/>
        </w:rPr>
        <w:t xml:space="preserve">00 or 7.0 per cent) </w:t>
      </w:r>
      <w:r w:rsidR="000150F5">
        <w:rPr>
          <w:rStyle w:val="SubtleEmphasis"/>
          <w:i w:val="0"/>
          <w:iCs w:val="0"/>
          <w:color w:val="auto"/>
        </w:rPr>
        <w:t xml:space="preserve">in the </w:t>
      </w:r>
      <w:r w:rsidR="000150F5">
        <w:rPr>
          <w:rStyle w:val="SubtleEmphasis"/>
          <w:b/>
          <w:bCs/>
          <w:i w:val="0"/>
          <w:iCs w:val="0"/>
          <w:color w:val="auto"/>
        </w:rPr>
        <w:t xml:space="preserve">Construction </w:t>
      </w:r>
      <w:r w:rsidR="000150F5">
        <w:rPr>
          <w:rStyle w:val="SubtleEmphasis"/>
          <w:i w:val="0"/>
          <w:iCs w:val="0"/>
          <w:color w:val="auto"/>
        </w:rPr>
        <w:t xml:space="preserve">industry </w:t>
      </w:r>
      <w:r w:rsidRPr="003F6549">
        <w:rPr>
          <w:rStyle w:val="SubtleEmphasis"/>
          <w:i w:val="0"/>
          <w:iCs w:val="0"/>
          <w:color w:val="auto"/>
        </w:rPr>
        <w:t xml:space="preserve">and </w:t>
      </w:r>
      <w:r w:rsidR="00F63F5F" w:rsidRPr="00F63F5F">
        <w:rPr>
          <w:rStyle w:val="SubtleEmphasis"/>
          <w:i w:val="0"/>
          <w:iCs w:val="0"/>
          <w:color w:val="auto"/>
        </w:rPr>
        <w:t xml:space="preserve">Machinery and Equipment Repair and Maintenance </w:t>
      </w:r>
      <w:r w:rsidRPr="003F6549">
        <w:rPr>
          <w:rStyle w:val="SubtleEmphasis"/>
          <w:i w:val="0"/>
          <w:iCs w:val="0"/>
          <w:color w:val="auto"/>
        </w:rPr>
        <w:t xml:space="preserve">(down by </w:t>
      </w:r>
      <w:r w:rsidR="00F63F5F">
        <w:rPr>
          <w:rStyle w:val="SubtleEmphasis"/>
          <w:i w:val="0"/>
          <w:iCs w:val="0"/>
          <w:color w:val="auto"/>
        </w:rPr>
        <w:t>22</w:t>
      </w:r>
      <w:r w:rsidRPr="003F6549">
        <w:rPr>
          <w:rStyle w:val="SubtleEmphasis"/>
          <w:i w:val="0"/>
          <w:iCs w:val="0"/>
          <w:color w:val="auto"/>
        </w:rPr>
        <w:t xml:space="preserve">00 or </w:t>
      </w:r>
      <w:r w:rsidR="00F63F5F">
        <w:rPr>
          <w:rStyle w:val="SubtleEmphasis"/>
          <w:i w:val="0"/>
          <w:iCs w:val="0"/>
          <w:color w:val="auto"/>
        </w:rPr>
        <w:t>3.5</w:t>
      </w:r>
      <w:r w:rsidRPr="003F6549">
        <w:rPr>
          <w:rStyle w:val="SubtleEmphasis"/>
          <w:i w:val="0"/>
          <w:iCs w:val="0"/>
          <w:color w:val="auto"/>
        </w:rPr>
        <w:t xml:space="preserve"> per cent)</w:t>
      </w:r>
      <w:r w:rsidR="000150F5">
        <w:rPr>
          <w:rStyle w:val="SubtleEmphasis"/>
          <w:i w:val="0"/>
          <w:iCs w:val="0"/>
          <w:color w:val="auto"/>
        </w:rPr>
        <w:t xml:space="preserve"> in the </w:t>
      </w:r>
      <w:r w:rsidR="000150F5" w:rsidRPr="00540DF3">
        <w:rPr>
          <w:rStyle w:val="SubtleEmphasis"/>
          <w:b/>
          <w:bCs/>
          <w:i w:val="0"/>
          <w:iCs w:val="0"/>
          <w:color w:val="auto"/>
        </w:rPr>
        <w:t>Other Services</w:t>
      </w:r>
      <w:r w:rsidR="000150F5">
        <w:rPr>
          <w:rStyle w:val="SubtleEmphasis"/>
          <w:i w:val="0"/>
          <w:iCs w:val="0"/>
          <w:color w:val="auto"/>
        </w:rPr>
        <w:t xml:space="preserve"> industry</w:t>
      </w:r>
      <w:r w:rsidRPr="003F6549">
        <w:rPr>
          <w:rStyle w:val="SubtleEmphasis"/>
          <w:i w:val="0"/>
          <w:iCs w:val="0"/>
          <w:color w:val="auto"/>
        </w:rPr>
        <w:t>.</w:t>
      </w:r>
    </w:p>
    <w:p w14:paraId="14CC6801" w14:textId="3F16A982" w:rsidR="000D1681" w:rsidRDefault="000D1681" w:rsidP="00681DAC">
      <w:pPr>
        <w:rPr>
          <w:rStyle w:val="SubtleEmphasis"/>
          <w:i w:val="0"/>
          <w:iCs w:val="0"/>
          <w:color w:val="auto"/>
        </w:rPr>
      </w:pPr>
      <w:r>
        <w:rPr>
          <w:rStyle w:val="SubtleEmphasis"/>
          <w:i w:val="0"/>
          <w:iCs w:val="0"/>
          <w:color w:val="auto"/>
        </w:rPr>
        <w:t xml:space="preserve">Projected employment growth by industry and detailed sector can be explored using the Employment Outlook dashboard, which can be found on the </w:t>
      </w:r>
      <w:hyperlink r:id="rId10" w:history="1">
        <w:r w:rsidRPr="00507D12">
          <w:rPr>
            <w:rStyle w:val="Hyperlink"/>
          </w:rPr>
          <w:t>Labour Market Information Portal Tableau page</w:t>
        </w:r>
      </w:hyperlink>
      <w:r>
        <w:rPr>
          <w:rStyle w:val="SubtleEmphasis"/>
          <w:i w:val="0"/>
          <w:iCs w:val="0"/>
          <w:color w:val="auto"/>
        </w:rPr>
        <w:t>.</w:t>
      </w:r>
    </w:p>
    <w:p w14:paraId="2D66A3B2" w14:textId="55A2B629" w:rsidR="00681DAC" w:rsidRDefault="00681DAC">
      <w:pPr>
        <w:spacing w:after="0" w:line="240" w:lineRule="auto"/>
        <w:rPr>
          <w:rStyle w:val="SubtleEmphasis"/>
          <w:i w:val="0"/>
          <w:iCs w:val="0"/>
          <w:color w:val="auto"/>
        </w:rPr>
      </w:pPr>
      <w:r>
        <w:rPr>
          <w:rStyle w:val="SubtleEmphasis"/>
          <w:i w:val="0"/>
          <w:iCs w:val="0"/>
          <w:color w:val="auto"/>
        </w:rPr>
        <w:br w:type="page"/>
      </w:r>
    </w:p>
    <w:p w14:paraId="58DB8B59" w14:textId="7DEC6E8F" w:rsidR="005A09FB" w:rsidRPr="00A81131" w:rsidRDefault="004C2FE3" w:rsidP="005A09FB">
      <w:pPr>
        <w:pStyle w:val="Heading1"/>
        <w:keepNext w:val="0"/>
        <w:spacing w:before="0" w:after="240" w:line="240" w:lineRule="auto"/>
        <w:contextualSpacing/>
        <w:rPr>
          <w:rFonts w:ascii="Calibri" w:eastAsiaTheme="majorEastAsia" w:hAnsi="Calibri" w:cstheme="majorBidi"/>
          <w:color w:val="003D6B"/>
          <w:sz w:val="36"/>
          <w:szCs w:val="36"/>
        </w:rPr>
      </w:pPr>
      <w:bookmarkStart w:id="13" w:name="_Toc80282660"/>
      <w:r>
        <w:rPr>
          <w:rFonts w:ascii="Calibri" w:eastAsiaTheme="majorEastAsia" w:hAnsi="Calibri" w:cstheme="majorBidi"/>
          <w:color w:val="003D6B"/>
          <w:sz w:val="36"/>
          <w:szCs w:val="36"/>
        </w:rPr>
        <w:lastRenderedPageBreak/>
        <w:t xml:space="preserve">Jobs and skills on the </w:t>
      </w:r>
      <w:r w:rsidR="008B247C">
        <w:rPr>
          <w:rFonts w:ascii="Calibri" w:eastAsiaTheme="majorEastAsia" w:hAnsi="Calibri" w:cstheme="majorBidi"/>
          <w:color w:val="003D6B"/>
          <w:sz w:val="36"/>
          <w:szCs w:val="36"/>
        </w:rPr>
        <w:t>increase</w:t>
      </w:r>
      <w:bookmarkEnd w:id="13"/>
    </w:p>
    <w:p w14:paraId="45D1D2F8" w14:textId="435204E3" w:rsidR="001C53B3" w:rsidRPr="00320E6D" w:rsidRDefault="005A09FB" w:rsidP="00681DAC">
      <w:r w:rsidRPr="00A81131">
        <w:rPr>
          <w:rStyle w:val="SubtleEmphasis"/>
          <w:i w:val="0"/>
          <w:color w:val="auto"/>
        </w:rPr>
        <w:t xml:space="preserve">Employment is projected to increase </w:t>
      </w:r>
      <w:r w:rsidR="00C43075" w:rsidRPr="00A81131">
        <w:rPr>
          <w:rStyle w:val="SubtleEmphasis"/>
          <w:i w:val="0"/>
          <w:color w:val="auto"/>
        </w:rPr>
        <w:t>across</w:t>
      </w:r>
      <w:r w:rsidRPr="00A81131">
        <w:rPr>
          <w:rStyle w:val="SubtleEmphasis"/>
          <w:i w:val="0"/>
          <w:color w:val="auto"/>
        </w:rPr>
        <w:t xml:space="preserve"> </w:t>
      </w:r>
      <w:r w:rsidR="00C158AC" w:rsidRPr="00A81131">
        <w:rPr>
          <w:rStyle w:val="SubtleEmphasis"/>
          <w:i w:val="0"/>
          <w:color w:val="auto"/>
        </w:rPr>
        <w:t>all</w:t>
      </w:r>
      <w:r w:rsidR="00AA25D0" w:rsidRPr="00A81131">
        <w:rPr>
          <w:rStyle w:val="SubtleEmphasis"/>
          <w:i w:val="0"/>
          <w:color w:val="auto"/>
        </w:rPr>
        <w:t xml:space="preserve"> </w:t>
      </w:r>
      <w:r w:rsidR="00E353E5" w:rsidRPr="00A81131">
        <w:rPr>
          <w:rStyle w:val="SubtleEmphasis"/>
          <w:i w:val="0"/>
          <w:color w:val="auto"/>
        </w:rPr>
        <w:t xml:space="preserve">eight </w:t>
      </w:r>
      <w:r w:rsidR="00AA25D0" w:rsidRPr="00A81131">
        <w:rPr>
          <w:rStyle w:val="SubtleEmphasis"/>
          <w:i w:val="0"/>
          <w:color w:val="auto"/>
        </w:rPr>
        <w:t xml:space="preserve">of the </w:t>
      </w:r>
      <w:r w:rsidR="00C43075" w:rsidRPr="00A81131">
        <w:rPr>
          <w:rStyle w:val="SubtleEmphasis"/>
          <w:i w:val="0"/>
          <w:color w:val="auto"/>
        </w:rPr>
        <w:t>broad</w:t>
      </w:r>
      <w:r w:rsidRPr="00A81131">
        <w:rPr>
          <w:rStyle w:val="SubtleEmphasis"/>
          <w:i w:val="0"/>
          <w:color w:val="auto"/>
        </w:rPr>
        <w:t xml:space="preserve"> occupational groups </w:t>
      </w:r>
      <w:r w:rsidR="00FD212E">
        <w:rPr>
          <w:rStyle w:val="SubtleEmphasis"/>
          <w:i w:val="0"/>
          <w:color w:val="auto"/>
        </w:rPr>
        <w:t xml:space="preserve">and all five skill levels </w:t>
      </w:r>
      <w:r w:rsidRPr="00A81131">
        <w:rPr>
          <w:rStyle w:val="SubtleEmphasis"/>
          <w:i w:val="0"/>
          <w:color w:val="auto"/>
        </w:rPr>
        <w:t xml:space="preserve">over the five years to </w:t>
      </w:r>
      <w:r w:rsidR="00CC375F">
        <w:rPr>
          <w:rStyle w:val="SubtleEmphasis"/>
          <w:i w:val="0"/>
          <w:color w:val="auto"/>
        </w:rPr>
        <w:t>November 2025</w:t>
      </w:r>
      <w:r w:rsidR="00320E6D">
        <w:rPr>
          <w:rStyle w:val="SubtleEmphasis"/>
          <w:i w:val="0"/>
          <w:color w:val="auto"/>
        </w:rPr>
        <w:t xml:space="preserve"> (Figure 3)</w:t>
      </w:r>
      <w:r w:rsidRPr="00360FB6">
        <w:rPr>
          <w:rStyle w:val="SubtleEmphasis"/>
          <w:i w:val="0"/>
          <w:color w:val="auto"/>
        </w:rPr>
        <w:t xml:space="preserve">. </w:t>
      </w:r>
      <w:r w:rsidR="00E02A38" w:rsidRPr="00A81131">
        <w:rPr>
          <w:rStyle w:val="SubtleEmphasis"/>
          <w:i w:val="0"/>
          <w:color w:val="auto"/>
        </w:rPr>
        <w:t xml:space="preserve">Very strong employment growth is projected to continue for </w:t>
      </w:r>
      <w:r w:rsidR="00E02A38" w:rsidRPr="00FD212E">
        <w:rPr>
          <w:rStyle w:val="SubtleEmphasis"/>
          <w:b/>
          <w:bCs/>
          <w:i w:val="0"/>
          <w:color w:val="auto"/>
        </w:rPr>
        <w:t>Professionals</w:t>
      </w:r>
      <w:r w:rsidR="00E02A38" w:rsidRPr="00A81131">
        <w:rPr>
          <w:rStyle w:val="SubtleEmphasis"/>
          <w:i w:val="0"/>
          <w:color w:val="auto"/>
        </w:rPr>
        <w:t xml:space="preserve"> (</w:t>
      </w:r>
      <w:r w:rsidR="009B00C9" w:rsidRPr="009C203C">
        <w:t>up by 439,500 or 13.2</w:t>
      </w:r>
      <w:r w:rsidR="009B00C9">
        <w:t xml:space="preserve"> per cent</w:t>
      </w:r>
      <w:r w:rsidR="00E02A38" w:rsidRPr="00A81131">
        <w:rPr>
          <w:rStyle w:val="SubtleEmphasis"/>
          <w:i w:val="0"/>
          <w:color w:val="auto"/>
        </w:rPr>
        <w:t xml:space="preserve">) and </w:t>
      </w:r>
      <w:r w:rsidR="00E02A38" w:rsidRPr="00FD212E">
        <w:rPr>
          <w:rStyle w:val="SubtleEmphasis"/>
          <w:b/>
          <w:bCs/>
          <w:i w:val="0"/>
          <w:color w:val="auto"/>
        </w:rPr>
        <w:t>Community and Personal Service Workers</w:t>
      </w:r>
      <w:r w:rsidR="00E02A38" w:rsidRPr="00A81131">
        <w:rPr>
          <w:rStyle w:val="SubtleEmphasis"/>
          <w:i w:val="0"/>
          <w:color w:val="auto"/>
        </w:rPr>
        <w:t xml:space="preserve"> (</w:t>
      </w:r>
      <w:r w:rsidR="009B00C9" w:rsidRPr="009C203C">
        <w:t>up by 186,400 or 14.6</w:t>
      </w:r>
      <w:r w:rsidR="009B00C9">
        <w:t xml:space="preserve"> per cent</w:t>
      </w:r>
      <w:r w:rsidR="00E02A38" w:rsidRPr="00A81131">
        <w:rPr>
          <w:rStyle w:val="SubtleEmphasis"/>
          <w:i w:val="0"/>
          <w:color w:val="auto"/>
        </w:rPr>
        <w:t>), c</w:t>
      </w:r>
      <w:r w:rsidRPr="00A81131">
        <w:rPr>
          <w:rStyle w:val="SubtleEmphasis"/>
          <w:i w:val="0"/>
          <w:color w:val="auto"/>
        </w:rPr>
        <w:t xml:space="preserve">onsistent with </w:t>
      </w:r>
      <w:r w:rsidR="005D4746" w:rsidRPr="00A81131">
        <w:rPr>
          <w:rStyle w:val="SubtleEmphasis"/>
          <w:i w:val="0"/>
          <w:color w:val="auto"/>
        </w:rPr>
        <w:t xml:space="preserve">strong projected growth </w:t>
      </w:r>
      <w:r w:rsidR="00E02A38" w:rsidRPr="00A81131">
        <w:rPr>
          <w:rStyle w:val="SubtleEmphasis"/>
          <w:i w:val="0"/>
          <w:color w:val="auto"/>
        </w:rPr>
        <w:t xml:space="preserve">in the </w:t>
      </w:r>
      <w:r w:rsidR="005D4746" w:rsidRPr="00A81131">
        <w:rPr>
          <w:rStyle w:val="SubtleEmphasis"/>
          <w:i w:val="0"/>
          <w:color w:val="auto"/>
        </w:rPr>
        <w:t>service industries that are leading employers of the</w:t>
      </w:r>
      <w:r w:rsidR="00E02A38" w:rsidRPr="00A81131">
        <w:rPr>
          <w:rStyle w:val="SubtleEmphasis"/>
          <w:i w:val="0"/>
          <w:color w:val="auto"/>
        </w:rPr>
        <w:t>se</w:t>
      </w:r>
      <w:r w:rsidR="005D4746" w:rsidRPr="00A81131">
        <w:rPr>
          <w:rStyle w:val="SubtleEmphasis"/>
          <w:i w:val="0"/>
          <w:color w:val="auto"/>
        </w:rPr>
        <w:t xml:space="preserve"> occupational groups</w:t>
      </w:r>
      <w:r w:rsidRPr="00A81131">
        <w:rPr>
          <w:rStyle w:val="SubtleEmphasis"/>
          <w:i w:val="0"/>
          <w:color w:val="auto"/>
        </w:rPr>
        <w:t xml:space="preserve">. </w:t>
      </w:r>
      <w:r w:rsidR="00803D41">
        <w:rPr>
          <w:rStyle w:val="SubtleEmphasis"/>
          <w:i w:val="0"/>
          <w:color w:val="auto"/>
        </w:rPr>
        <w:t xml:space="preserve">The strong projected employment growth in </w:t>
      </w:r>
      <w:r w:rsidR="00803D41" w:rsidRPr="00803D41">
        <w:rPr>
          <w:rStyle w:val="SubtleEmphasis"/>
          <w:i w:val="0"/>
          <w:color w:val="auto"/>
        </w:rPr>
        <w:t xml:space="preserve">Community and Personal Service Workers </w:t>
      </w:r>
      <w:r w:rsidR="00803D41">
        <w:rPr>
          <w:rStyle w:val="SubtleEmphasis"/>
          <w:i w:val="0"/>
          <w:color w:val="auto"/>
        </w:rPr>
        <w:t>is</w:t>
      </w:r>
      <w:r w:rsidR="00766EB8">
        <w:rPr>
          <w:rStyle w:val="SubtleEmphasis"/>
          <w:i w:val="0"/>
          <w:color w:val="auto"/>
        </w:rPr>
        <w:t>,</w:t>
      </w:r>
      <w:r w:rsidR="00803D41">
        <w:rPr>
          <w:rStyle w:val="SubtleEmphasis"/>
          <w:i w:val="0"/>
          <w:color w:val="auto"/>
        </w:rPr>
        <w:t xml:space="preserve"> </w:t>
      </w:r>
      <w:r w:rsidR="00766EB8">
        <w:rPr>
          <w:rStyle w:val="SubtleEmphasis"/>
          <w:i w:val="0"/>
          <w:color w:val="auto"/>
        </w:rPr>
        <w:t>at least in part,</w:t>
      </w:r>
      <w:r w:rsidR="00803D41">
        <w:rPr>
          <w:rStyle w:val="SubtleEmphasis"/>
          <w:i w:val="0"/>
          <w:color w:val="auto"/>
        </w:rPr>
        <w:t xml:space="preserve"> a product of the </w:t>
      </w:r>
      <w:r w:rsidR="00F5103B">
        <w:rPr>
          <w:rStyle w:val="SubtleEmphasis"/>
          <w:i w:val="0"/>
          <w:color w:val="auto"/>
        </w:rPr>
        <w:t xml:space="preserve">labour market </w:t>
      </w:r>
      <w:r w:rsidR="00803D41">
        <w:rPr>
          <w:rStyle w:val="SubtleEmphasis"/>
          <w:i w:val="0"/>
          <w:color w:val="auto"/>
        </w:rPr>
        <w:t>recovery to be made in the occupation group, as it was the most impacted by the COVID-19 pandemic</w:t>
      </w:r>
      <w:r w:rsidR="00A21B2C">
        <w:rPr>
          <w:rStyle w:val="FootnoteReference"/>
          <w:iCs/>
        </w:rPr>
        <w:footnoteReference w:id="5"/>
      </w:r>
      <w:r w:rsidR="00803D41">
        <w:rPr>
          <w:rStyle w:val="SubtleEmphasis"/>
          <w:i w:val="0"/>
          <w:color w:val="auto"/>
        </w:rPr>
        <w:t xml:space="preserve">. </w:t>
      </w:r>
      <w:r w:rsidRPr="00A81131">
        <w:t xml:space="preserve">Together, these two occupational groups are expected to account for </w:t>
      </w:r>
      <w:r w:rsidR="009B00C9" w:rsidRPr="009C203C">
        <w:t xml:space="preserve">63.1 </w:t>
      </w:r>
      <w:r w:rsidR="00C43075" w:rsidRPr="00A81131">
        <w:rPr>
          <w:rFonts w:cstheme="minorHAnsi"/>
        </w:rPr>
        <w:t xml:space="preserve">per cent </w:t>
      </w:r>
      <w:r w:rsidRPr="00A81131">
        <w:t xml:space="preserve">of the total growth in employment over the next five years. </w:t>
      </w:r>
    </w:p>
    <w:p w14:paraId="073AD234" w14:textId="51D729C1" w:rsidR="00D55524" w:rsidRDefault="009B00C9" w:rsidP="00681DAC">
      <w:pPr>
        <w:rPr>
          <w:rStyle w:val="SubtleEmphasis"/>
          <w:i w:val="0"/>
          <w:color w:val="auto"/>
        </w:rPr>
      </w:pPr>
      <w:r w:rsidRPr="009C203C">
        <w:t>Below average employment growth (</w:t>
      </w:r>
      <w:r w:rsidR="00AC52C4">
        <w:t>the average project</w:t>
      </w:r>
      <w:r w:rsidR="00540DF3">
        <w:t>ed</w:t>
      </w:r>
      <w:r w:rsidR="00AC52C4">
        <w:t xml:space="preserve"> employment growth rate being </w:t>
      </w:r>
      <w:r w:rsidRPr="009C203C">
        <w:t>7.8</w:t>
      </w:r>
      <w:r>
        <w:t xml:space="preserve"> per cent)</w:t>
      </w:r>
      <w:r w:rsidRPr="009C203C">
        <w:t xml:space="preserve"> is projected for all other broad occupation groups. </w:t>
      </w:r>
      <w:r w:rsidRPr="00FD212E">
        <w:rPr>
          <w:b/>
          <w:bCs/>
        </w:rPr>
        <w:t>Managers</w:t>
      </w:r>
      <w:r w:rsidRPr="009C203C">
        <w:t xml:space="preserve"> are projected to grow by 98,300 (or 6.1</w:t>
      </w:r>
      <w:r>
        <w:t xml:space="preserve"> per cent)</w:t>
      </w:r>
      <w:r w:rsidRPr="009C203C">
        <w:t xml:space="preserve">, </w:t>
      </w:r>
      <w:r w:rsidR="00FD212E" w:rsidRPr="00FD212E">
        <w:rPr>
          <w:b/>
          <w:bCs/>
        </w:rPr>
        <w:t>T</w:t>
      </w:r>
      <w:r w:rsidRPr="00FD212E">
        <w:rPr>
          <w:b/>
          <w:bCs/>
        </w:rPr>
        <w:t xml:space="preserve">echnicians and </w:t>
      </w:r>
      <w:r w:rsidR="00FD212E" w:rsidRPr="00FD212E">
        <w:rPr>
          <w:b/>
          <w:bCs/>
        </w:rPr>
        <w:t>T</w:t>
      </w:r>
      <w:r w:rsidRPr="00FD212E">
        <w:rPr>
          <w:b/>
          <w:bCs/>
        </w:rPr>
        <w:t xml:space="preserve">rades </w:t>
      </w:r>
      <w:r w:rsidR="00FD212E" w:rsidRPr="00FD212E">
        <w:rPr>
          <w:b/>
          <w:bCs/>
        </w:rPr>
        <w:t>W</w:t>
      </w:r>
      <w:r w:rsidRPr="00FD212E">
        <w:rPr>
          <w:b/>
          <w:bCs/>
        </w:rPr>
        <w:t>orkers</w:t>
      </w:r>
      <w:r w:rsidRPr="009C203C">
        <w:t xml:space="preserve"> (by 96,300 or 5.4</w:t>
      </w:r>
      <w:r>
        <w:t xml:space="preserve"> per cent)</w:t>
      </w:r>
      <w:r w:rsidRPr="009C203C">
        <w:t xml:space="preserve">, </w:t>
      </w:r>
      <w:r w:rsidR="00FD212E" w:rsidRPr="00FD212E">
        <w:rPr>
          <w:b/>
          <w:bCs/>
        </w:rPr>
        <w:t>L</w:t>
      </w:r>
      <w:r w:rsidRPr="00FD212E">
        <w:rPr>
          <w:b/>
          <w:bCs/>
        </w:rPr>
        <w:t>abourers</w:t>
      </w:r>
      <w:r w:rsidRPr="009C203C">
        <w:t xml:space="preserve"> (51,700 or 4.4</w:t>
      </w:r>
      <w:r>
        <w:t xml:space="preserve"> per cent)</w:t>
      </w:r>
      <w:r w:rsidRPr="009C203C">
        <w:t xml:space="preserve">, </w:t>
      </w:r>
      <w:r w:rsidR="00FD212E" w:rsidRPr="00FD212E">
        <w:rPr>
          <w:b/>
          <w:bCs/>
        </w:rPr>
        <w:t>M</w:t>
      </w:r>
      <w:r w:rsidRPr="00FD212E">
        <w:rPr>
          <w:b/>
          <w:bCs/>
        </w:rPr>
        <w:t xml:space="preserve">achinery </w:t>
      </w:r>
      <w:r w:rsidR="00FD212E" w:rsidRPr="00FD212E">
        <w:rPr>
          <w:b/>
          <w:bCs/>
        </w:rPr>
        <w:t>O</w:t>
      </w:r>
      <w:r w:rsidRPr="00FD212E">
        <w:rPr>
          <w:b/>
          <w:bCs/>
        </w:rPr>
        <w:t xml:space="preserve">perators and </w:t>
      </w:r>
      <w:r w:rsidR="00FD212E" w:rsidRPr="00FD212E">
        <w:rPr>
          <w:b/>
          <w:bCs/>
        </w:rPr>
        <w:t>D</w:t>
      </w:r>
      <w:r w:rsidRPr="00FD212E">
        <w:rPr>
          <w:b/>
          <w:bCs/>
        </w:rPr>
        <w:t>rivers</w:t>
      </w:r>
      <w:r w:rsidRPr="009C203C">
        <w:t xml:space="preserve"> (36,100 or 4.4</w:t>
      </w:r>
      <w:r>
        <w:t xml:space="preserve"> per cent)</w:t>
      </w:r>
      <w:r w:rsidRPr="009C203C">
        <w:t xml:space="preserve"> and </w:t>
      </w:r>
      <w:r w:rsidR="00FD212E" w:rsidRPr="00FD212E">
        <w:rPr>
          <w:b/>
          <w:bCs/>
        </w:rPr>
        <w:t>C</w:t>
      </w:r>
      <w:r w:rsidRPr="00FD212E">
        <w:rPr>
          <w:b/>
          <w:bCs/>
        </w:rPr>
        <w:t xml:space="preserve">lerical and </w:t>
      </w:r>
      <w:r w:rsidR="00FD212E" w:rsidRPr="00FD212E">
        <w:rPr>
          <w:b/>
          <w:bCs/>
        </w:rPr>
        <w:t>A</w:t>
      </w:r>
      <w:r w:rsidRPr="00FD212E">
        <w:rPr>
          <w:b/>
          <w:bCs/>
        </w:rPr>
        <w:t xml:space="preserve">dministrative </w:t>
      </w:r>
      <w:r w:rsidR="00FD212E" w:rsidRPr="00FD212E">
        <w:rPr>
          <w:b/>
          <w:bCs/>
        </w:rPr>
        <w:t>W</w:t>
      </w:r>
      <w:r w:rsidRPr="00FD212E">
        <w:rPr>
          <w:b/>
          <w:bCs/>
        </w:rPr>
        <w:t>orkers</w:t>
      </w:r>
      <w:r w:rsidRPr="009C203C">
        <w:rPr>
          <w:b/>
        </w:rPr>
        <w:t xml:space="preserve"> </w:t>
      </w:r>
      <w:r w:rsidRPr="009C203C">
        <w:t>(up by 61,500 or 3.5</w:t>
      </w:r>
      <w:r>
        <w:t xml:space="preserve"> per cent)</w:t>
      </w:r>
      <w:r w:rsidRPr="009C203C">
        <w:t xml:space="preserve">, while the lowest rate of employment growth is projected for </w:t>
      </w:r>
      <w:r w:rsidR="00FD212E" w:rsidRPr="00FD212E">
        <w:rPr>
          <w:b/>
          <w:bCs/>
        </w:rPr>
        <w:t>S</w:t>
      </w:r>
      <w:r w:rsidRPr="00FD212E">
        <w:rPr>
          <w:b/>
          <w:bCs/>
        </w:rPr>
        <w:t xml:space="preserve">ales </w:t>
      </w:r>
      <w:r w:rsidR="00FD212E" w:rsidRPr="00FD212E">
        <w:rPr>
          <w:b/>
          <w:bCs/>
        </w:rPr>
        <w:t>W</w:t>
      </w:r>
      <w:r w:rsidRPr="00FD212E">
        <w:rPr>
          <w:b/>
          <w:bCs/>
        </w:rPr>
        <w:t>orkers</w:t>
      </w:r>
      <w:r w:rsidRPr="009C203C">
        <w:t xml:space="preserve"> (21,800 or 2.0</w:t>
      </w:r>
      <w:r>
        <w:t xml:space="preserve"> per cent)</w:t>
      </w:r>
      <w:r w:rsidRPr="009C203C">
        <w:t>.</w:t>
      </w:r>
      <w:r w:rsidR="00D55524" w:rsidRPr="00D55524">
        <w:rPr>
          <w:rStyle w:val="SubtleEmphasis"/>
          <w:i w:val="0"/>
          <w:color w:val="auto"/>
        </w:rPr>
        <w:t xml:space="preserve"> </w:t>
      </w:r>
    </w:p>
    <w:p w14:paraId="68EC2322" w14:textId="29A01A1E" w:rsidR="005A09FB" w:rsidRPr="00A81131" w:rsidRDefault="005A09FB" w:rsidP="00D92542">
      <w:pPr>
        <w:keepNext/>
        <w:spacing w:after="0"/>
        <w:rPr>
          <w:rStyle w:val="SubtleEmphasis"/>
          <w:b/>
          <w:i w:val="0"/>
          <w:color w:val="auto"/>
        </w:rPr>
      </w:pPr>
      <w:r w:rsidRPr="00A81131">
        <w:rPr>
          <w:rStyle w:val="SubtleEmphasis"/>
          <w:b/>
          <w:i w:val="0"/>
          <w:color w:val="auto"/>
        </w:rPr>
        <w:t xml:space="preserve">Figure </w:t>
      </w:r>
      <w:r w:rsidR="00D92542">
        <w:rPr>
          <w:rStyle w:val="SubtleEmphasis"/>
          <w:b/>
          <w:i w:val="0"/>
          <w:color w:val="auto"/>
        </w:rPr>
        <w:t>3</w:t>
      </w:r>
      <w:r w:rsidRPr="00A81131">
        <w:rPr>
          <w:rStyle w:val="SubtleEmphasis"/>
          <w:b/>
          <w:i w:val="0"/>
          <w:color w:val="auto"/>
        </w:rPr>
        <w:t xml:space="preserve">: Projected employment growth to </w:t>
      </w:r>
      <w:r w:rsidR="00CC375F">
        <w:rPr>
          <w:rStyle w:val="SubtleEmphasis"/>
          <w:b/>
          <w:i w:val="0"/>
          <w:color w:val="auto"/>
        </w:rPr>
        <w:t>November 2025</w:t>
      </w:r>
      <w:r w:rsidRPr="00A81131">
        <w:rPr>
          <w:rStyle w:val="SubtleEmphasis"/>
          <w:b/>
          <w:i w:val="0"/>
          <w:color w:val="auto"/>
        </w:rPr>
        <w:t xml:space="preserve"> (‘000), by major occupational group</w:t>
      </w:r>
      <w:r w:rsidR="00835CCE">
        <w:rPr>
          <w:rStyle w:val="SubtleEmphasis"/>
          <w:b/>
          <w:i w:val="0"/>
          <w:color w:val="auto"/>
        </w:rPr>
        <w:t xml:space="preserve"> and skill level</w:t>
      </w:r>
      <w:r w:rsidR="00803D41" w:rsidRPr="00A81131">
        <w:rPr>
          <w:rStyle w:val="FootnoteReference"/>
        </w:rPr>
        <w:footnoteReference w:id="6"/>
      </w:r>
    </w:p>
    <w:p w14:paraId="460CAB70" w14:textId="4586770E" w:rsidR="005A09FB" w:rsidRPr="00A81131" w:rsidRDefault="00FD212E" w:rsidP="005A09FB">
      <w:pPr>
        <w:spacing w:after="0"/>
        <w:rPr>
          <w:rStyle w:val="SubtleEmphasis"/>
          <w:b/>
          <w:i w:val="0"/>
          <w:color w:val="auto"/>
        </w:rPr>
      </w:pPr>
      <w:r>
        <w:rPr>
          <w:rStyle w:val="SubtleEmphasis"/>
          <w:b/>
          <w:i w:val="0"/>
          <w:noProof/>
          <w:color w:val="auto"/>
          <w:lang w:eastAsia="en-AU"/>
        </w:rPr>
        <w:drawing>
          <wp:inline distT="0" distB="0" distL="0" distR="0" wp14:anchorId="26C979FB" wp14:editId="50DAB789">
            <wp:extent cx="6064370" cy="30278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421" t="557" r="852" b="1472"/>
                    <a:stretch/>
                  </pic:blipFill>
                  <pic:spPr bwMode="auto">
                    <a:xfrm>
                      <a:off x="0" y="0"/>
                      <a:ext cx="6065410" cy="3028390"/>
                    </a:xfrm>
                    <a:prstGeom prst="rect">
                      <a:avLst/>
                    </a:prstGeom>
                    <a:noFill/>
                    <a:ln>
                      <a:noFill/>
                    </a:ln>
                    <a:extLst>
                      <a:ext uri="{53640926-AAD7-44D8-BBD7-CCE9431645EC}">
                        <a14:shadowObscured xmlns:a14="http://schemas.microsoft.com/office/drawing/2010/main"/>
                      </a:ext>
                    </a:extLst>
                  </pic:spPr>
                </pic:pic>
              </a:graphicData>
            </a:graphic>
          </wp:inline>
        </w:drawing>
      </w:r>
    </w:p>
    <w:p w14:paraId="6F19CA97" w14:textId="77777777" w:rsidR="005A09FB" w:rsidRPr="00A81131" w:rsidRDefault="005A09FB" w:rsidP="005A09FB">
      <w:pPr>
        <w:spacing w:after="0" w:line="240" w:lineRule="auto"/>
        <w:rPr>
          <w:rStyle w:val="SubtleEmphasis"/>
          <w:i w:val="0"/>
          <w:color w:val="auto"/>
        </w:rPr>
      </w:pPr>
    </w:p>
    <w:p w14:paraId="708941C0" w14:textId="05C57895" w:rsidR="00CA59AA" w:rsidRPr="00A81131" w:rsidRDefault="00A15203" w:rsidP="00681DAC">
      <w:r w:rsidRPr="009C203C">
        <w:lastRenderedPageBreak/>
        <w:t>More than nine</w:t>
      </w:r>
      <w:r>
        <w:t>-</w:t>
      </w:r>
      <w:r w:rsidRPr="009C203C">
        <w:t>in</w:t>
      </w:r>
      <w:r>
        <w:t>-</w:t>
      </w:r>
      <w:r w:rsidRPr="009C203C">
        <w:t>ten new jobs are projected to require post-school qualifications, reflecting the importance of tertiary education and skills development beyond secondary school</w:t>
      </w:r>
      <w:r w:rsidR="00CF3E7E" w:rsidRPr="00A81131">
        <w:t xml:space="preserve">. </w:t>
      </w:r>
    </w:p>
    <w:p w14:paraId="0427D2D8" w14:textId="46906AAA" w:rsidR="00A15203" w:rsidRDefault="000179C9" w:rsidP="00681DAC">
      <w:r w:rsidRPr="00A81131">
        <w:t>As shown in Figure </w:t>
      </w:r>
      <w:r w:rsidR="00815A33">
        <w:t>3</w:t>
      </w:r>
      <w:r w:rsidR="00617828" w:rsidRPr="00A81131">
        <w:rPr>
          <w:rFonts w:cstheme="minorHAnsi"/>
        </w:rPr>
        <w:t xml:space="preserve">, </w:t>
      </w:r>
      <w:r w:rsidR="00A15203" w:rsidRPr="009C203C">
        <w:t xml:space="preserve">projected employment growth in </w:t>
      </w:r>
      <w:r w:rsidR="00A11B4E">
        <w:rPr>
          <w:b/>
          <w:bCs/>
        </w:rPr>
        <w:t>skill level</w:t>
      </w:r>
      <w:r w:rsidR="00A15203" w:rsidRPr="00A15203">
        <w:rPr>
          <w:b/>
          <w:bCs/>
        </w:rPr>
        <w:t xml:space="preserve"> 1 occupations</w:t>
      </w:r>
      <w:r w:rsidR="00A15203" w:rsidRPr="009C203C">
        <w:t xml:space="preserve"> (up by 523,100 or 11.8</w:t>
      </w:r>
      <w:r w:rsidR="00A15203">
        <w:t xml:space="preserve"> per cent)</w:t>
      </w:r>
      <w:r w:rsidR="00A15203" w:rsidRPr="009C203C">
        <w:t xml:space="preserve"> alone accounts for over half (52.8</w:t>
      </w:r>
      <w:r w:rsidR="00A15203">
        <w:t xml:space="preserve"> per cent)</w:t>
      </w:r>
      <w:r w:rsidR="00A15203" w:rsidRPr="009C203C">
        <w:t xml:space="preserve"> of the projected total employment growth over the five years to November 2025. While all </w:t>
      </w:r>
      <w:r w:rsidR="00A11B4E">
        <w:t>skill level</w:t>
      </w:r>
      <w:r w:rsidR="00A15203" w:rsidRPr="009C203C">
        <w:t xml:space="preserve"> 1 occupations fall within the </w:t>
      </w:r>
      <w:r w:rsidR="00A15203">
        <w:t>M</w:t>
      </w:r>
      <w:r w:rsidR="00A15203" w:rsidRPr="009C203C">
        <w:t xml:space="preserve">anagers and </w:t>
      </w:r>
      <w:r w:rsidR="00A15203">
        <w:t>P</w:t>
      </w:r>
      <w:r w:rsidR="00A15203" w:rsidRPr="009C203C">
        <w:t>rofessionals occupation groups, over four-fifths (82.8</w:t>
      </w:r>
      <w:r w:rsidR="00A15203">
        <w:t xml:space="preserve"> per cent)</w:t>
      </w:r>
      <w:r w:rsidR="00A15203" w:rsidRPr="009C203C">
        <w:t xml:space="preserve"> of employment growth in </w:t>
      </w:r>
      <w:r w:rsidR="00A11B4E">
        <w:t>skill level</w:t>
      </w:r>
      <w:r w:rsidR="00A15203" w:rsidRPr="009C203C">
        <w:t xml:space="preserve"> 1 occupations is delivered by the </w:t>
      </w:r>
      <w:r w:rsidR="00AB678C">
        <w:t>P</w:t>
      </w:r>
      <w:r w:rsidR="00A15203" w:rsidRPr="009C203C">
        <w:t>rofessionals occupation group.</w:t>
      </w:r>
    </w:p>
    <w:p w14:paraId="65BE3953" w14:textId="6E153326" w:rsidR="00E86E9E" w:rsidRPr="009C203C" w:rsidRDefault="00E86E9E" w:rsidP="00681DAC">
      <w:pPr>
        <w:pStyle w:val="ListParagraph"/>
        <w:numPr>
          <w:ilvl w:val="0"/>
          <w:numId w:val="34"/>
        </w:numPr>
        <w:ind w:left="709"/>
        <w:jc w:val="both"/>
      </w:pPr>
      <w:r w:rsidRPr="00307617">
        <w:t xml:space="preserve">Over the five years to November 2025, employment in STEM occupations </w:t>
      </w:r>
      <w:r>
        <w:t xml:space="preserve">– using science, technology, </w:t>
      </w:r>
      <w:proofErr w:type="gramStart"/>
      <w:r>
        <w:t>engineering</w:t>
      </w:r>
      <w:proofErr w:type="gramEnd"/>
      <w:r>
        <w:t xml:space="preserve"> and maths – </w:t>
      </w:r>
      <w:r w:rsidRPr="00307617">
        <w:t>is projected to grow by 12.9</w:t>
      </w:r>
      <w:r w:rsidR="00763F52" w:rsidRPr="00763F52">
        <w:t xml:space="preserve"> </w:t>
      </w:r>
      <w:r w:rsidR="00763F52">
        <w:t>per cent</w:t>
      </w:r>
      <w:r w:rsidRPr="00307617">
        <w:t>. This is well above the all occupations average (of 7.8</w:t>
      </w:r>
      <w:r w:rsidR="00763F52" w:rsidRPr="00763F52">
        <w:t xml:space="preserve"> </w:t>
      </w:r>
      <w:r w:rsidR="00763F52">
        <w:t>per cent</w:t>
      </w:r>
      <w:r w:rsidRPr="00307617">
        <w:t>) and more than twice as fast as non-STEM occupations (6.2</w:t>
      </w:r>
      <w:r w:rsidR="00763F52" w:rsidRPr="00763F52">
        <w:t xml:space="preserve"> </w:t>
      </w:r>
      <w:r w:rsidR="00763F52">
        <w:t>per cent</w:t>
      </w:r>
      <w:r w:rsidRPr="00307617">
        <w:t>).</w:t>
      </w:r>
    </w:p>
    <w:p w14:paraId="06D05B59" w14:textId="2425FA81" w:rsidR="00A15203" w:rsidRPr="009C203C" w:rsidRDefault="00A15203" w:rsidP="00681DAC">
      <w:r w:rsidRPr="009C203C">
        <w:t>The importance of skills and training in the labour market is also evident</w:t>
      </w:r>
      <w:r>
        <w:t>,</w:t>
      </w:r>
      <w:r w:rsidRPr="009C203C">
        <w:t xml:space="preserve"> with projected employment growth for </w:t>
      </w:r>
      <w:r w:rsidR="00A11B4E">
        <w:rPr>
          <w:b/>
          <w:bCs/>
        </w:rPr>
        <w:t>skill level</w:t>
      </w:r>
      <w:r w:rsidRPr="00A15203">
        <w:rPr>
          <w:b/>
          <w:bCs/>
        </w:rPr>
        <w:t xml:space="preserve"> 4 occupations</w:t>
      </w:r>
      <w:r w:rsidRPr="009C203C">
        <w:t xml:space="preserve"> (up by 233,</w:t>
      </w:r>
      <w:r w:rsidR="006D4F04">
        <w:t>7</w:t>
      </w:r>
      <w:r w:rsidRPr="009C203C">
        <w:t>00 or 7.7</w:t>
      </w:r>
      <w:r>
        <w:t xml:space="preserve"> per cent)</w:t>
      </w:r>
      <w:r w:rsidRPr="009C203C">
        <w:t xml:space="preserve"> making the second largest contribution to total employment growth. Skill level 4 occupations are found in all broad occupation groups except </w:t>
      </w:r>
      <w:r w:rsidR="008724F9">
        <w:t>M</w:t>
      </w:r>
      <w:r w:rsidRPr="009C203C">
        <w:t xml:space="preserve">anagers and </w:t>
      </w:r>
      <w:r w:rsidR="008724F9">
        <w:t>P</w:t>
      </w:r>
      <w:r w:rsidRPr="009C203C">
        <w:t xml:space="preserve">rofessionals. The </w:t>
      </w:r>
      <w:r>
        <w:t>C</w:t>
      </w:r>
      <w:r w:rsidRPr="009C203C">
        <w:t xml:space="preserve">ommunity and </w:t>
      </w:r>
      <w:r>
        <w:t>P</w:t>
      </w:r>
      <w:r w:rsidRPr="009C203C">
        <w:t>ersonal Service Workers occupation group makes up almost two-thirds (59.8</w:t>
      </w:r>
      <w:r>
        <w:t xml:space="preserve"> per cent)</w:t>
      </w:r>
      <w:r w:rsidRPr="009C203C">
        <w:t xml:space="preserve"> of </w:t>
      </w:r>
      <w:r w:rsidR="00AB678C">
        <w:t xml:space="preserve">projected </w:t>
      </w:r>
      <w:r w:rsidRPr="009C203C">
        <w:t xml:space="preserve">employment growth in </w:t>
      </w:r>
      <w:r w:rsidR="00A11B4E">
        <w:t>skill level</w:t>
      </w:r>
      <w:r w:rsidRPr="009C203C">
        <w:t xml:space="preserve"> 4 occupations</w:t>
      </w:r>
      <w:r w:rsidR="002B16CA">
        <w:t xml:space="preserve"> while p</w:t>
      </w:r>
      <w:r w:rsidR="00AB678C">
        <w:t>rojected e</w:t>
      </w:r>
      <w:r w:rsidR="00A41515" w:rsidRPr="009C203C">
        <w:t xml:space="preserve">mployment growth is moderated </w:t>
      </w:r>
      <w:r w:rsidR="00A41515">
        <w:t xml:space="preserve">marginally </w:t>
      </w:r>
      <w:r w:rsidR="00A41515" w:rsidRPr="009C203C">
        <w:t xml:space="preserve">by declines in </w:t>
      </w:r>
      <w:r w:rsidR="00A41515">
        <w:t>Sales</w:t>
      </w:r>
      <w:r w:rsidR="00A41515" w:rsidRPr="009C203C">
        <w:t xml:space="preserve"> </w:t>
      </w:r>
      <w:r w:rsidR="00F152DB">
        <w:t>W</w:t>
      </w:r>
      <w:r w:rsidR="00A41515" w:rsidRPr="009C203C">
        <w:t xml:space="preserve">orkers, resulting in </w:t>
      </w:r>
      <w:r w:rsidR="00A41515">
        <w:t xml:space="preserve">a </w:t>
      </w:r>
      <w:r w:rsidR="00A41515" w:rsidRPr="009C203C">
        <w:t>negative contribution</w:t>
      </w:r>
      <w:r w:rsidR="00E172E3">
        <w:t xml:space="preserve"> </w:t>
      </w:r>
      <w:r w:rsidR="00A41515" w:rsidRPr="009C203C">
        <w:t>from this occupation group.</w:t>
      </w:r>
    </w:p>
    <w:p w14:paraId="024D25A0" w14:textId="36715B53" w:rsidR="00A15203" w:rsidRPr="009C203C" w:rsidRDefault="00A15203" w:rsidP="00681DAC">
      <w:r w:rsidRPr="009C203C">
        <w:t xml:space="preserve">Robust growth is projected for </w:t>
      </w:r>
      <w:r w:rsidR="00A11B4E">
        <w:rPr>
          <w:b/>
          <w:bCs/>
        </w:rPr>
        <w:t>skill level</w:t>
      </w:r>
      <w:r w:rsidRPr="00A15203">
        <w:rPr>
          <w:b/>
          <w:bCs/>
        </w:rPr>
        <w:t xml:space="preserve"> 2 occupations</w:t>
      </w:r>
      <w:r w:rsidRPr="009C203C">
        <w:t xml:space="preserve"> (</w:t>
      </w:r>
      <w:r w:rsidR="00763F52">
        <w:t xml:space="preserve">up by </w:t>
      </w:r>
      <w:r w:rsidRPr="009C203C">
        <w:t>102,300 or 6.6</w:t>
      </w:r>
      <w:r>
        <w:t xml:space="preserve"> per cent)</w:t>
      </w:r>
      <w:r w:rsidRPr="009C203C">
        <w:t>. Almost half of employment growth (49.6</w:t>
      </w:r>
      <w:r>
        <w:t xml:space="preserve"> per cent)</w:t>
      </w:r>
      <w:r w:rsidRPr="009C203C">
        <w:t xml:space="preserve"> at this </w:t>
      </w:r>
      <w:r>
        <w:t xml:space="preserve">skill </w:t>
      </w:r>
      <w:r w:rsidR="00511D47">
        <w:t>l</w:t>
      </w:r>
      <w:r>
        <w:t>evel</w:t>
      </w:r>
      <w:r w:rsidRPr="009C203C">
        <w:t xml:space="preserve"> is delivered by the </w:t>
      </w:r>
      <w:r>
        <w:t>T</w:t>
      </w:r>
      <w:r w:rsidRPr="009C203C">
        <w:t xml:space="preserve">echnician and </w:t>
      </w:r>
      <w:r>
        <w:t>T</w:t>
      </w:r>
      <w:r w:rsidRPr="009C203C">
        <w:t xml:space="preserve">rade </w:t>
      </w:r>
      <w:r>
        <w:t>W</w:t>
      </w:r>
      <w:r w:rsidRPr="009C203C">
        <w:t>orkers occupation group.</w:t>
      </w:r>
    </w:p>
    <w:p w14:paraId="64A918C1" w14:textId="63595B45" w:rsidR="00A15203" w:rsidRDefault="00A15203" w:rsidP="00681DAC">
      <w:r w:rsidRPr="009C203C">
        <w:t>Subdued employment growth (of 67,900 or 3.6</w:t>
      </w:r>
      <w:r>
        <w:t xml:space="preserve"> per cent)</w:t>
      </w:r>
      <w:r w:rsidRPr="009C203C">
        <w:t xml:space="preserve"> is projected for </w:t>
      </w:r>
      <w:r w:rsidR="00A11B4E">
        <w:rPr>
          <w:b/>
          <w:bCs/>
        </w:rPr>
        <w:t>skill level</w:t>
      </w:r>
      <w:r w:rsidRPr="00A15203">
        <w:rPr>
          <w:b/>
          <w:bCs/>
        </w:rPr>
        <w:t> 3 occupations</w:t>
      </w:r>
      <w:r w:rsidRPr="009C203C">
        <w:t>, almost two-thirds (65.3</w:t>
      </w:r>
      <w:r>
        <w:t xml:space="preserve"> per cent)</w:t>
      </w:r>
      <w:r w:rsidRPr="009C203C">
        <w:t xml:space="preserve"> of which is delivered by the </w:t>
      </w:r>
      <w:r w:rsidR="00F944CD">
        <w:t>T</w:t>
      </w:r>
      <w:r w:rsidRPr="009C203C">
        <w:t xml:space="preserve">echnician and </w:t>
      </w:r>
      <w:r w:rsidR="00F944CD">
        <w:t>T</w:t>
      </w:r>
      <w:r w:rsidRPr="009C203C">
        <w:t xml:space="preserve">rade </w:t>
      </w:r>
      <w:r w:rsidR="00F944CD">
        <w:t>W</w:t>
      </w:r>
      <w:r w:rsidRPr="009C203C">
        <w:t xml:space="preserve">orkers occupation group. The weakest employment growth is projected for </w:t>
      </w:r>
      <w:r w:rsidR="00A11B4E">
        <w:rPr>
          <w:b/>
          <w:bCs/>
        </w:rPr>
        <w:t>skill level</w:t>
      </w:r>
      <w:r w:rsidRPr="00F944CD">
        <w:rPr>
          <w:b/>
          <w:bCs/>
        </w:rPr>
        <w:t xml:space="preserve"> 5 occupations</w:t>
      </w:r>
      <w:r w:rsidRPr="009C203C">
        <w:t xml:space="preserve"> (</w:t>
      </w:r>
      <w:r w:rsidR="00763F52">
        <w:t xml:space="preserve">up by </w:t>
      </w:r>
      <w:r w:rsidRPr="009C203C">
        <w:t>64,600 or 3.3</w:t>
      </w:r>
      <w:r>
        <w:t xml:space="preserve"> per cent)</w:t>
      </w:r>
      <w:r w:rsidRPr="009C203C">
        <w:t>, most of which (74.7</w:t>
      </w:r>
      <w:r>
        <w:t xml:space="preserve"> per cent)</w:t>
      </w:r>
      <w:r w:rsidRPr="009C203C">
        <w:t xml:space="preserve"> is delivered by occupations from the </w:t>
      </w:r>
      <w:r w:rsidR="00F944CD">
        <w:t>L</w:t>
      </w:r>
      <w:r w:rsidRPr="009C203C">
        <w:t xml:space="preserve">abourers occupation group. At both these skill levels, employment growth is moderated by projected employment declines in </w:t>
      </w:r>
      <w:r w:rsidR="00F944CD">
        <w:t>C</w:t>
      </w:r>
      <w:r w:rsidRPr="009C203C">
        <w:t xml:space="preserve">lerical and </w:t>
      </w:r>
      <w:r w:rsidR="00F944CD">
        <w:t>A</w:t>
      </w:r>
      <w:r w:rsidRPr="009C203C">
        <w:t xml:space="preserve">dministrative </w:t>
      </w:r>
      <w:r>
        <w:t>w</w:t>
      </w:r>
      <w:r w:rsidRPr="009C203C">
        <w:t>orkers, resulting in negative contributions from this occupation group.</w:t>
      </w:r>
    </w:p>
    <w:p w14:paraId="47A3904B" w14:textId="27BC749E" w:rsidR="00320E6D" w:rsidRPr="00853B85" w:rsidRDefault="004C2FE3" w:rsidP="00320E6D">
      <w:pPr>
        <w:pStyle w:val="Heading1"/>
        <w:spacing w:before="0" w:after="240" w:line="240" w:lineRule="auto"/>
        <w:contextualSpacing/>
        <w:rPr>
          <w:rFonts w:ascii="Calibri" w:eastAsiaTheme="majorEastAsia" w:hAnsi="Calibri" w:cstheme="majorBidi"/>
          <w:color w:val="003D6B"/>
          <w:sz w:val="36"/>
          <w:szCs w:val="36"/>
        </w:rPr>
      </w:pPr>
      <w:bookmarkStart w:id="14" w:name="_Toc80282661"/>
      <w:r>
        <w:rPr>
          <w:rFonts w:ascii="Calibri" w:eastAsiaTheme="majorEastAsia" w:hAnsi="Calibri" w:cstheme="majorBidi"/>
          <w:color w:val="003D6B"/>
          <w:sz w:val="36"/>
          <w:szCs w:val="36"/>
        </w:rPr>
        <w:t xml:space="preserve">The path to </w:t>
      </w:r>
      <w:r w:rsidR="008B247C">
        <w:rPr>
          <w:rFonts w:ascii="Calibri" w:eastAsiaTheme="majorEastAsia" w:hAnsi="Calibri" w:cstheme="majorBidi"/>
          <w:color w:val="003D6B"/>
          <w:sz w:val="36"/>
          <w:szCs w:val="36"/>
        </w:rPr>
        <w:t xml:space="preserve">labour market </w:t>
      </w:r>
      <w:r>
        <w:rPr>
          <w:rFonts w:ascii="Calibri" w:eastAsiaTheme="majorEastAsia" w:hAnsi="Calibri" w:cstheme="majorBidi"/>
          <w:color w:val="003D6B"/>
          <w:sz w:val="36"/>
          <w:szCs w:val="36"/>
        </w:rPr>
        <w:t>recovery</w:t>
      </w:r>
      <w:bookmarkEnd w:id="14"/>
    </w:p>
    <w:p w14:paraId="35A48109" w14:textId="2E41A37E" w:rsidR="00560B6D" w:rsidRDefault="00394775" w:rsidP="00681DAC">
      <w:r>
        <w:t>T</w:t>
      </w:r>
      <w:r w:rsidRPr="009C203C">
        <w:t xml:space="preserve">he impact of </w:t>
      </w:r>
      <w:r>
        <w:t>COVID</w:t>
      </w:r>
      <w:r>
        <w:noBreakHyphen/>
        <w:t>19</w:t>
      </w:r>
      <w:r w:rsidRPr="009C203C">
        <w:t xml:space="preserve"> and the subsequent recovery is a strong </w:t>
      </w:r>
      <w:r w:rsidR="00317E6C">
        <w:t>driver of</w:t>
      </w:r>
      <w:r w:rsidRPr="009C203C">
        <w:t xml:space="preserve"> projected employment growth.</w:t>
      </w:r>
      <w:r>
        <w:t xml:space="preserve"> </w:t>
      </w:r>
      <w:r w:rsidRPr="009C203C">
        <w:t xml:space="preserve">At </w:t>
      </w:r>
      <w:r>
        <w:t>the</w:t>
      </w:r>
      <w:r w:rsidRPr="009C203C">
        <w:t xml:space="preserve"> more detailed</w:t>
      </w:r>
      <w:r w:rsidR="002A2E70">
        <w:t xml:space="preserve"> occupation</w:t>
      </w:r>
      <w:r w:rsidRPr="009C203C">
        <w:t xml:space="preserve"> level,</w:t>
      </w:r>
      <w:r w:rsidR="007D55B4">
        <w:t xml:space="preserve"> </w:t>
      </w:r>
      <w:r w:rsidR="00560B6D" w:rsidRPr="009C203C">
        <w:t xml:space="preserve">employment is projected to </w:t>
      </w:r>
      <w:r w:rsidR="00560B6D">
        <w:t>grow</w:t>
      </w:r>
      <w:r w:rsidR="00560B6D" w:rsidRPr="009C203C">
        <w:t xml:space="preserve"> </w:t>
      </w:r>
      <w:r>
        <w:t>in</w:t>
      </w:r>
      <w:r w:rsidR="00560B6D" w:rsidRPr="009C203C">
        <w:t xml:space="preserve"> </w:t>
      </w:r>
      <w:r>
        <w:t>255</w:t>
      </w:r>
      <w:r w:rsidR="00560B6D" w:rsidRPr="009C203C">
        <w:t xml:space="preserve"> </w:t>
      </w:r>
      <w:r w:rsidRPr="009C203C">
        <w:t xml:space="preserve">out of 358 </w:t>
      </w:r>
      <w:r w:rsidR="00560B6D" w:rsidRPr="009C203C">
        <w:t>occupations</w:t>
      </w:r>
      <w:r w:rsidR="007D55B4">
        <w:t xml:space="preserve"> </w:t>
      </w:r>
      <w:r w:rsidR="002A2E70">
        <w:t>over the five years to November 2025,</w:t>
      </w:r>
      <w:r w:rsidR="002A2E70" w:rsidRPr="009C203C">
        <w:t xml:space="preserve"> </w:t>
      </w:r>
      <w:r w:rsidR="007D55B4">
        <w:t xml:space="preserve">with </w:t>
      </w:r>
      <w:r w:rsidR="007D55B4" w:rsidRPr="009C203C">
        <w:t>employment projected to exceed pre-</w:t>
      </w:r>
      <w:r w:rsidR="007D55B4">
        <w:t>COVID</w:t>
      </w:r>
      <w:r w:rsidR="007D55B4">
        <w:noBreakHyphen/>
        <w:t>19</w:t>
      </w:r>
      <w:r w:rsidR="007D55B4" w:rsidRPr="009C203C">
        <w:t xml:space="preserve"> levels for 197 occupations</w:t>
      </w:r>
      <w:r>
        <w:t>.</w:t>
      </w:r>
      <w:r w:rsidR="007D55B4">
        <w:rPr>
          <w:rStyle w:val="FootnoteReference"/>
        </w:rPr>
        <w:footnoteReference w:id="7"/>
      </w:r>
    </w:p>
    <w:p w14:paraId="0C76CE94" w14:textId="07415645" w:rsidR="006B6ED4" w:rsidRPr="009C203C" w:rsidRDefault="006B6ED4" w:rsidP="00681DAC">
      <w:r w:rsidRPr="009C203C">
        <w:t>Of the 214 occupations that experienced decreases in employment over the May 2020 quarter, over two-thirds (70.1</w:t>
      </w:r>
      <w:r>
        <w:t xml:space="preserve"> per cent)</w:t>
      </w:r>
      <w:r w:rsidRPr="009C203C">
        <w:t xml:space="preserve"> have employment projected to grow and nearly a third are projected to grow at a faster rate than the average across all occupations. For example, Waiters experienced the largest decline over the May 2020 quarter, declining by 73.7</w:t>
      </w:r>
      <w:r w:rsidR="00763F52" w:rsidRPr="00763F52">
        <w:t xml:space="preserve"> </w:t>
      </w:r>
      <w:r w:rsidR="00763F52">
        <w:t>per cent</w:t>
      </w:r>
      <w:r w:rsidRPr="009C203C">
        <w:t xml:space="preserve">, but employment for this occupation is projected to </w:t>
      </w:r>
      <w:r w:rsidRPr="009C203C">
        <w:lastRenderedPageBreak/>
        <w:t>increase by 42.3</w:t>
      </w:r>
      <w:r w:rsidR="00763F52" w:rsidRPr="00763F52">
        <w:t xml:space="preserve"> </w:t>
      </w:r>
      <w:r w:rsidR="00763F52">
        <w:t>per cent</w:t>
      </w:r>
      <w:r w:rsidRPr="009C203C">
        <w:t xml:space="preserve"> over the five years to November 2025 to stand 0.5</w:t>
      </w:r>
      <w:r w:rsidR="00763F52" w:rsidRPr="00763F52">
        <w:t xml:space="preserve"> </w:t>
      </w:r>
      <w:r w:rsidR="00763F52">
        <w:t>per cent</w:t>
      </w:r>
      <w:r w:rsidRPr="009C203C">
        <w:t xml:space="preserve"> below its pre-</w:t>
      </w:r>
      <w:r>
        <w:t>COVID</w:t>
      </w:r>
      <w:r>
        <w:noBreakHyphen/>
        <w:t>19</w:t>
      </w:r>
      <w:r w:rsidRPr="009C203C">
        <w:t xml:space="preserve"> level. Similarly, employment for </w:t>
      </w:r>
      <w:r w:rsidR="002A2E70">
        <w:t>C</w:t>
      </w:r>
      <w:r w:rsidRPr="009C203C">
        <w:t>hefs declined by 33.9</w:t>
      </w:r>
      <w:r w:rsidR="00763F52" w:rsidRPr="00763F52">
        <w:t xml:space="preserve"> </w:t>
      </w:r>
      <w:r w:rsidR="00763F52">
        <w:t>per cent</w:t>
      </w:r>
      <w:r w:rsidRPr="009C203C">
        <w:t xml:space="preserve"> over the May 2020 quarter and </w:t>
      </w:r>
      <w:r w:rsidR="00EB1ABE">
        <w:t>is</w:t>
      </w:r>
      <w:r w:rsidRPr="009C203C">
        <w:t xml:space="preserve"> projected to increase by 19.4</w:t>
      </w:r>
      <w:r w:rsidR="00763F52" w:rsidRPr="00763F52">
        <w:t xml:space="preserve"> </w:t>
      </w:r>
      <w:r w:rsidR="00763F52">
        <w:t>per cent</w:t>
      </w:r>
      <w:r w:rsidRPr="009C203C">
        <w:t xml:space="preserve"> to stand 1.3</w:t>
      </w:r>
      <w:r w:rsidR="00763F52" w:rsidRPr="00763F52">
        <w:t xml:space="preserve"> </w:t>
      </w:r>
      <w:r w:rsidR="00763F52">
        <w:t>per cent</w:t>
      </w:r>
      <w:r w:rsidRPr="009C203C">
        <w:t xml:space="preserve"> below its pre-</w:t>
      </w:r>
      <w:r>
        <w:t>COVID</w:t>
      </w:r>
      <w:r>
        <w:noBreakHyphen/>
        <w:t>19</w:t>
      </w:r>
      <w:r w:rsidRPr="009C203C">
        <w:t xml:space="preserve"> level.</w:t>
      </w:r>
    </w:p>
    <w:p w14:paraId="44DFBE6F" w14:textId="14D5C7F6" w:rsidR="006B6ED4" w:rsidRPr="009C203C" w:rsidRDefault="006B6ED4" w:rsidP="00681DAC">
      <w:pPr>
        <w:rPr>
          <w:rFonts w:cs="Calibri"/>
          <w:color w:val="000000"/>
          <w:lang w:eastAsia="en-AU"/>
        </w:rPr>
      </w:pPr>
      <w:r>
        <w:t>In o</w:t>
      </w:r>
      <w:r w:rsidRPr="009C203C">
        <w:t>ccupations projected to have employment fall the fastest over the five years</w:t>
      </w:r>
      <w:r>
        <w:t>, the impact of COVID</w:t>
      </w:r>
      <w:r>
        <w:noBreakHyphen/>
        <w:t>19</w:t>
      </w:r>
      <w:r w:rsidRPr="009C203C">
        <w:t xml:space="preserve"> </w:t>
      </w:r>
      <w:r>
        <w:t xml:space="preserve">has </w:t>
      </w:r>
      <w:r w:rsidR="00CB37C7">
        <w:t>reinforce</w:t>
      </w:r>
      <w:r w:rsidR="00EB1ABE">
        <w:t>d</w:t>
      </w:r>
      <w:r w:rsidR="00CB37C7" w:rsidRPr="009C203C">
        <w:t xml:space="preserve"> </w:t>
      </w:r>
      <w:r w:rsidRPr="009C203C">
        <w:t xml:space="preserve">existing negative structural trends. Employment in these occupations </w:t>
      </w:r>
      <w:r>
        <w:t xml:space="preserve">has </w:t>
      </w:r>
      <w:r w:rsidRPr="009C203C">
        <w:t xml:space="preserve">been subject to long-term declines as they are particularly exposed to structural trends such as automation and globalisation. The fastest projected declines are for </w:t>
      </w:r>
      <w:r w:rsidR="00C93E0A">
        <w:t>G</w:t>
      </w:r>
      <w:r w:rsidRPr="009C203C">
        <w:rPr>
          <w:rFonts w:cs="Calibri"/>
          <w:color w:val="000000"/>
          <w:lang w:eastAsia="en-AU"/>
        </w:rPr>
        <w:t xml:space="preserve">raphic </w:t>
      </w:r>
      <w:r w:rsidR="00C93E0A">
        <w:rPr>
          <w:rFonts w:cs="Calibri"/>
          <w:color w:val="000000"/>
          <w:lang w:eastAsia="en-AU"/>
        </w:rPr>
        <w:t>P</w:t>
      </w:r>
      <w:r w:rsidRPr="009C203C">
        <w:rPr>
          <w:rFonts w:cs="Calibri"/>
          <w:color w:val="000000"/>
          <w:lang w:eastAsia="en-AU"/>
        </w:rPr>
        <w:t xml:space="preserve">re-press </w:t>
      </w:r>
      <w:r w:rsidR="00C93E0A">
        <w:rPr>
          <w:rFonts w:cs="Calibri"/>
          <w:color w:val="000000"/>
          <w:lang w:eastAsia="en-AU"/>
        </w:rPr>
        <w:t>T</w:t>
      </w:r>
      <w:r w:rsidRPr="009C203C">
        <w:rPr>
          <w:rFonts w:cs="Calibri"/>
          <w:color w:val="000000"/>
          <w:lang w:eastAsia="en-AU"/>
        </w:rPr>
        <w:t xml:space="preserve">rades </w:t>
      </w:r>
      <w:r w:rsidR="00C93E0A">
        <w:rPr>
          <w:rFonts w:cs="Calibri"/>
          <w:color w:val="000000"/>
          <w:lang w:eastAsia="en-AU"/>
        </w:rPr>
        <w:t>W</w:t>
      </w:r>
      <w:r w:rsidRPr="009C203C">
        <w:rPr>
          <w:rFonts w:cs="Calibri"/>
          <w:color w:val="000000"/>
          <w:lang w:eastAsia="en-AU"/>
        </w:rPr>
        <w:t>orkers (projected to decline by 30.2</w:t>
      </w:r>
      <w:r>
        <w:rPr>
          <w:rFonts w:cs="Calibri"/>
          <w:color w:val="000000"/>
          <w:lang w:eastAsia="en-AU"/>
        </w:rPr>
        <w:t xml:space="preserve"> per cent)</w:t>
      </w:r>
      <w:r w:rsidRPr="009C203C">
        <w:rPr>
          <w:rFonts w:cs="Calibri"/>
          <w:color w:val="000000"/>
          <w:lang w:eastAsia="en-AU"/>
        </w:rPr>
        <w:t xml:space="preserve">, followed by </w:t>
      </w:r>
      <w:r w:rsidR="00C93E0A">
        <w:rPr>
          <w:rFonts w:cs="Calibri"/>
          <w:color w:val="000000"/>
          <w:lang w:eastAsia="en-AU"/>
        </w:rPr>
        <w:t>S</w:t>
      </w:r>
      <w:r w:rsidRPr="009C203C">
        <w:rPr>
          <w:rFonts w:cs="Calibri"/>
          <w:color w:val="000000"/>
          <w:lang w:eastAsia="en-AU"/>
        </w:rPr>
        <w:t>ecretaries (down by 25.7</w:t>
      </w:r>
      <w:r>
        <w:rPr>
          <w:rFonts w:cs="Calibri"/>
          <w:color w:val="000000"/>
          <w:lang w:eastAsia="en-AU"/>
        </w:rPr>
        <w:t xml:space="preserve"> per cent)</w:t>
      </w:r>
      <w:r w:rsidRPr="009C203C">
        <w:rPr>
          <w:rFonts w:cs="Calibri"/>
          <w:color w:val="000000"/>
          <w:lang w:eastAsia="en-AU"/>
        </w:rPr>
        <w:t xml:space="preserve">, </w:t>
      </w:r>
      <w:r w:rsidR="00C93E0A">
        <w:rPr>
          <w:rFonts w:cs="Calibri"/>
          <w:color w:val="000000"/>
          <w:lang w:eastAsia="en-AU"/>
        </w:rPr>
        <w:t>S</w:t>
      </w:r>
      <w:r w:rsidRPr="009C203C">
        <w:rPr>
          <w:rFonts w:cs="Calibri"/>
          <w:color w:val="000000"/>
          <w:lang w:eastAsia="en-AU"/>
        </w:rPr>
        <w:t xml:space="preserve">treet </w:t>
      </w:r>
      <w:r w:rsidR="00C93E0A">
        <w:rPr>
          <w:rFonts w:cs="Calibri"/>
          <w:color w:val="000000"/>
          <w:lang w:eastAsia="en-AU"/>
        </w:rPr>
        <w:t>V</w:t>
      </w:r>
      <w:r w:rsidRPr="009C203C">
        <w:rPr>
          <w:rFonts w:cs="Calibri"/>
          <w:color w:val="000000"/>
          <w:lang w:eastAsia="en-AU"/>
        </w:rPr>
        <w:t xml:space="preserve">endors and </w:t>
      </w:r>
      <w:r w:rsidR="00C93E0A">
        <w:rPr>
          <w:rFonts w:cs="Calibri"/>
          <w:color w:val="000000"/>
          <w:lang w:eastAsia="en-AU"/>
        </w:rPr>
        <w:t>R</w:t>
      </w:r>
      <w:r w:rsidRPr="009C203C">
        <w:rPr>
          <w:rFonts w:cs="Calibri"/>
          <w:color w:val="000000"/>
          <w:lang w:eastAsia="en-AU"/>
        </w:rPr>
        <w:t xml:space="preserve">elated </w:t>
      </w:r>
      <w:r w:rsidR="00C93E0A">
        <w:rPr>
          <w:rFonts w:cs="Calibri"/>
          <w:color w:val="000000"/>
          <w:lang w:eastAsia="en-AU"/>
        </w:rPr>
        <w:t>S</w:t>
      </w:r>
      <w:r w:rsidRPr="009C203C">
        <w:rPr>
          <w:rFonts w:cs="Calibri"/>
          <w:color w:val="000000"/>
          <w:lang w:eastAsia="en-AU"/>
        </w:rPr>
        <w:t>alespersons (down by 21.4</w:t>
      </w:r>
      <w:r>
        <w:rPr>
          <w:rFonts w:cs="Calibri"/>
          <w:color w:val="000000"/>
          <w:lang w:eastAsia="en-AU"/>
        </w:rPr>
        <w:t xml:space="preserve"> per cent)</w:t>
      </w:r>
      <w:r w:rsidRPr="009C203C">
        <w:rPr>
          <w:rFonts w:cs="Calibri"/>
          <w:color w:val="000000"/>
          <w:lang w:eastAsia="en-AU"/>
        </w:rPr>
        <w:t xml:space="preserve"> and </w:t>
      </w:r>
      <w:r w:rsidR="00C93E0A">
        <w:rPr>
          <w:rFonts w:cs="Calibri"/>
          <w:color w:val="000000"/>
          <w:lang w:eastAsia="en-AU"/>
        </w:rPr>
        <w:t>S</w:t>
      </w:r>
      <w:r w:rsidRPr="009C203C">
        <w:rPr>
          <w:rFonts w:cs="Calibri"/>
          <w:color w:val="000000"/>
          <w:lang w:eastAsia="en-AU"/>
        </w:rPr>
        <w:t xml:space="preserve">witchboard </w:t>
      </w:r>
      <w:r w:rsidR="00C93E0A">
        <w:rPr>
          <w:rFonts w:cs="Calibri"/>
          <w:color w:val="000000"/>
          <w:lang w:eastAsia="en-AU"/>
        </w:rPr>
        <w:t>O</w:t>
      </w:r>
      <w:r w:rsidRPr="009C203C">
        <w:rPr>
          <w:rFonts w:cs="Calibri"/>
          <w:color w:val="000000"/>
          <w:lang w:eastAsia="en-AU"/>
        </w:rPr>
        <w:t>perators (down by 20.2</w:t>
      </w:r>
      <w:r>
        <w:rPr>
          <w:rFonts w:cs="Calibri"/>
          <w:color w:val="000000"/>
          <w:lang w:eastAsia="en-AU"/>
        </w:rPr>
        <w:t xml:space="preserve"> per cent)</w:t>
      </w:r>
      <w:r w:rsidRPr="009C203C">
        <w:rPr>
          <w:rFonts w:cs="Calibri"/>
          <w:color w:val="000000"/>
          <w:lang w:eastAsia="en-AU"/>
        </w:rPr>
        <w:t>. Employment for each of these occupations has declined by 30</w:t>
      </w:r>
      <w:r w:rsidR="00136C0E">
        <w:rPr>
          <w:rFonts w:cs="Calibri"/>
          <w:color w:val="000000"/>
          <w:lang w:eastAsia="en-AU"/>
        </w:rPr>
        <w:t xml:space="preserve"> per cent</w:t>
      </w:r>
      <w:r w:rsidRPr="009C203C">
        <w:rPr>
          <w:rFonts w:cs="Calibri"/>
          <w:color w:val="000000"/>
          <w:lang w:eastAsia="en-AU"/>
        </w:rPr>
        <w:t xml:space="preserve"> or more over the 10 years to February 2020 (pre-</w:t>
      </w:r>
      <w:r>
        <w:rPr>
          <w:rFonts w:cs="Calibri"/>
          <w:color w:val="000000"/>
          <w:lang w:eastAsia="en-AU"/>
        </w:rPr>
        <w:t>COVID</w:t>
      </w:r>
      <w:r>
        <w:rPr>
          <w:rFonts w:cs="Calibri"/>
          <w:color w:val="000000"/>
          <w:lang w:eastAsia="en-AU"/>
        </w:rPr>
        <w:noBreakHyphen/>
        <w:t>19</w:t>
      </w:r>
      <w:r w:rsidRPr="009C203C">
        <w:rPr>
          <w:rFonts w:cs="Calibri"/>
          <w:color w:val="000000"/>
          <w:lang w:eastAsia="en-AU"/>
        </w:rPr>
        <w:t>).</w:t>
      </w:r>
    </w:p>
    <w:p w14:paraId="0B74CD6C" w14:textId="52715827" w:rsidR="007D55B4" w:rsidRPr="009C203C" w:rsidRDefault="007D55B4" w:rsidP="00681DAC">
      <w:r w:rsidRPr="009C203C">
        <w:t xml:space="preserve">The two occupations projected to have the largest increases in employment </w:t>
      </w:r>
      <w:r>
        <w:t>(top right quadrant of Figure 4) –</w:t>
      </w:r>
      <w:r w:rsidRPr="009C203C">
        <w:t xml:space="preserve"> the </w:t>
      </w:r>
      <w:r>
        <w:t>s</w:t>
      </w:r>
      <w:r w:rsidRPr="009C203C">
        <w:t xml:space="preserve">kill </w:t>
      </w:r>
      <w:r>
        <w:t>l</w:t>
      </w:r>
      <w:r w:rsidRPr="009C203C">
        <w:t xml:space="preserve">evel 4 occupation </w:t>
      </w:r>
      <w:r w:rsidR="003D377E">
        <w:t>A</w:t>
      </w:r>
      <w:r w:rsidRPr="009C203C">
        <w:t xml:space="preserve">ged and </w:t>
      </w:r>
      <w:r w:rsidR="003D377E">
        <w:t>D</w:t>
      </w:r>
      <w:r w:rsidRPr="009C203C">
        <w:t xml:space="preserve">isabled </w:t>
      </w:r>
      <w:r w:rsidR="003D377E">
        <w:t>C</w:t>
      </w:r>
      <w:r w:rsidRPr="009C203C">
        <w:t>arers (projected to grow by 54,700 or 24.7</w:t>
      </w:r>
      <w:r>
        <w:t xml:space="preserve"> per cent)</w:t>
      </w:r>
      <w:r w:rsidRPr="009C203C">
        <w:t xml:space="preserve"> and the </w:t>
      </w:r>
      <w:r>
        <w:t>s</w:t>
      </w:r>
      <w:r w:rsidRPr="009C203C">
        <w:t xml:space="preserve">kill </w:t>
      </w:r>
      <w:r>
        <w:t>l</w:t>
      </w:r>
      <w:r w:rsidRPr="009C203C">
        <w:t xml:space="preserve">evel 1 occupation </w:t>
      </w:r>
      <w:r w:rsidR="003D377E">
        <w:t>R</w:t>
      </w:r>
      <w:r w:rsidRPr="009C203C">
        <w:t xml:space="preserve">egistered </w:t>
      </w:r>
      <w:r w:rsidR="003D377E">
        <w:t>N</w:t>
      </w:r>
      <w:r w:rsidRPr="009C203C">
        <w:t>urses (</w:t>
      </w:r>
      <w:bookmarkStart w:id="15" w:name="_Hlk71206791"/>
      <w:r w:rsidRPr="009C203C">
        <w:t>46,500</w:t>
      </w:r>
      <w:bookmarkEnd w:id="15"/>
      <w:r w:rsidRPr="009C203C">
        <w:t xml:space="preserve"> or 15.6</w:t>
      </w:r>
      <w:r>
        <w:t xml:space="preserve"> per cent)</w:t>
      </w:r>
      <w:r w:rsidRPr="009C203C">
        <w:t xml:space="preserve"> </w:t>
      </w:r>
      <w:r>
        <w:t>–</w:t>
      </w:r>
      <w:r w:rsidRPr="009C203C">
        <w:t xml:space="preserve"> almost all work in the </w:t>
      </w:r>
      <w:r>
        <w:t>H</w:t>
      </w:r>
      <w:r w:rsidRPr="009C203C">
        <w:t xml:space="preserve">ealth </w:t>
      </w:r>
      <w:r>
        <w:t>C</w:t>
      </w:r>
      <w:r w:rsidRPr="009C203C">
        <w:t xml:space="preserve">are and </w:t>
      </w:r>
      <w:r>
        <w:t>S</w:t>
      </w:r>
      <w:r w:rsidRPr="009C203C">
        <w:t xml:space="preserve">ocial </w:t>
      </w:r>
      <w:r>
        <w:t>A</w:t>
      </w:r>
      <w:r w:rsidRPr="009C203C">
        <w:t>ssistance industry</w:t>
      </w:r>
      <w:r>
        <w:t>. T</w:t>
      </w:r>
      <w:r w:rsidRPr="009C203C">
        <w:t xml:space="preserve">he majority of the </w:t>
      </w:r>
      <w:r>
        <w:t>s</w:t>
      </w:r>
      <w:r w:rsidRPr="009C203C">
        <w:t xml:space="preserve">kill </w:t>
      </w:r>
      <w:r>
        <w:t>l</w:t>
      </w:r>
      <w:r w:rsidRPr="009C203C">
        <w:t xml:space="preserve">evel 3 occupation </w:t>
      </w:r>
      <w:r w:rsidR="003D377E">
        <w:t>C</w:t>
      </w:r>
      <w:r w:rsidRPr="009C203C">
        <w:t xml:space="preserve">hild </w:t>
      </w:r>
      <w:r w:rsidR="003D377E">
        <w:t>C</w:t>
      </w:r>
      <w:r w:rsidRPr="009C203C">
        <w:t>arers (</w:t>
      </w:r>
      <w:r w:rsidR="00763F52">
        <w:t xml:space="preserve">up by </w:t>
      </w:r>
      <w:r w:rsidRPr="009C203C">
        <w:t>13,300 or 10.2</w:t>
      </w:r>
      <w:r>
        <w:t xml:space="preserve"> per cent)</w:t>
      </w:r>
      <w:r w:rsidRPr="009C203C">
        <w:t xml:space="preserve"> and the </w:t>
      </w:r>
      <w:r>
        <w:t>s</w:t>
      </w:r>
      <w:r w:rsidRPr="009C203C">
        <w:t xml:space="preserve">kill </w:t>
      </w:r>
      <w:r>
        <w:t>l</w:t>
      </w:r>
      <w:r w:rsidRPr="009C203C">
        <w:t>evel</w:t>
      </w:r>
      <w:r>
        <w:t> </w:t>
      </w:r>
      <w:r w:rsidRPr="009C203C">
        <w:t xml:space="preserve">4 occupations </w:t>
      </w:r>
      <w:r w:rsidR="001C0BEB">
        <w:t>W</w:t>
      </w:r>
      <w:r w:rsidRPr="009C203C">
        <w:t xml:space="preserve">elfare </w:t>
      </w:r>
      <w:r w:rsidR="001C0BEB">
        <w:t>S</w:t>
      </w:r>
      <w:r w:rsidRPr="009C203C">
        <w:t xml:space="preserve">upport </w:t>
      </w:r>
      <w:r w:rsidR="001C0BEB">
        <w:t>W</w:t>
      </w:r>
      <w:r w:rsidRPr="009C203C">
        <w:t>orkers (11,000 or 17.7</w:t>
      </w:r>
      <w:r>
        <w:t xml:space="preserve"> per cent)</w:t>
      </w:r>
      <w:r w:rsidRPr="009C203C">
        <w:t xml:space="preserve"> and </w:t>
      </w:r>
      <w:r w:rsidR="001C0BEB">
        <w:t>S</w:t>
      </w:r>
      <w:r w:rsidRPr="009C203C">
        <w:t xml:space="preserve">ocial </w:t>
      </w:r>
      <w:r w:rsidR="001C0BEB">
        <w:t>W</w:t>
      </w:r>
      <w:r w:rsidRPr="009C203C">
        <w:t>orkers (4600 or 15.2</w:t>
      </w:r>
      <w:r>
        <w:t xml:space="preserve"> per cent) also work mostly in the Health Care and Social Assistance industry</w:t>
      </w:r>
      <w:r w:rsidRPr="009C203C">
        <w:t xml:space="preserve">. Registered </w:t>
      </w:r>
      <w:r w:rsidR="001C0BEB">
        <w:t>N</w:t>
      </w:r>
      <w:r w:rsidRPr="009C203C">
        <w:t xml:space="preserve">urses are in the </w:t>
      </w:r>
      <w:r>
        <w:t>P</w:t>
      </w:r>
      <w:r w:rsidRPr="009C203C">
        <w:t xml:space="preserve">rofessionals occupation group while the rest of these occupations belong to the </w:t>
      </w:r>
      <w:r>
        <w:t>C</w:t>
      </w:r>
      <w:r w:rsidRPr="009C203C">
        <w:t xml:space="preserve">ommunity and </w:t>
      </w:r>
      <w:r>
        <w:t>P</w:t>
      </w:r>
      <w:r w:rsidRPr="009C203C">
        <w:t xml:space="preserve">ersonal </w:t>
      </w:r>
      <w:r>
        <w:t>S</w:t>
      </w:r>
      <w:r w:rsidRPr="009C203C">
        <w:t xml:space="preserve">ervice </w:t>
      </w:r>
      <w:r>
        <w:t>W</w:t>
      </w:r>
      <w:r w:rsidRPr="009C203C">
        <w:t>orkers occupation group.</w:t>
      </w:r>
    </w:p>
    <w:p w14:paraId="1F44524B" w14:textId="707695C6" w:rsidR="00F76F4A" w:rsidRPr="00A81131" w:rsidRDefault="00F76F4A" w:rsidP="00CD5CAA">
      <w:pPr>
        <w:keepNext/>
        <w:spacing w:after="0"/>
        <w:rPr>
          <w:rStyle w:val="SubtleEmphasis"/>
          <w:b/>
          <w:i w:val="0"/>
          <w:color w:val="auto"/>
        </w:rPr>
      </w:pPr>
      <w:r w:rsidRPr="00A81131">
        <w:rPr>
          <w:rStyle w:val="SubtleEmphasis"/>
          <w:b/>
          <w:i w:val="0"/>
          <w:color w:val="auto"/>
        </w:rPr>
        <w:t xml:space="preserve">Figure </w:t>
      </w:r>
      <w:r w:rsidR="00D92542">
        <w:rPr>
          <w:rStyle w:val="SubtleEmphasis"/>
          <w:b/>
          <w:i w:val="0"/>
          <w:color w:val="auto"/>
        </w:rPr>
        <w:t>4</w:t>
      </w:r>
      <w:r w:rsidRPr="00A81131">
        <w:rPr>
          <w:rStyle w:val="SubtleEmphasis"/>
          <w:b/>
          <w:i w:val="0"/>
          <w:color w:val="auto"/>
        </w:rPr>
        <w:t>: Projected employment changes</w:t>
      </w:r>
      <w:r w:rsidR="00244C59" w:rsidRPr="00A81131">
        <w:rPr>
          <w:rStyle w:val="SubtleEmphasis"/>
          <w:b/>
          <w:i w:val="0"/>
          <w:color w:val="auto"/>
        </w:rPr>
        <w:t xml:space="preserve"> </w:t>
      </w:r>
      <w:r w:rsidR="00F944CD">
        <w:rPr>
          <w:rStyle w:val="SubtleEmphasis"/>
          <w:b/>
          <w:i w:val="0"/>
          <w:color w:val="auto"/>
        </w:rPr>
        <w:t>by</w:t>
      </w:r>
      <w:r w:rsidR="00244C59" w:rsidRPr="00A81131">
        <w:rPr>
          <w:rStyle w:val="SubtleEmphasis"/>
          <w:b/>
          <w:i w:val="0"/>
          <w:color w:val="auto"/>
        </w:rPr>
        <w:t xml:space="preserve"> occupation</w:t>
      </w:r>
      <w:r w:rsidR="00F944CD">
        <w:rPr>
          <w:rStyle w:val="SubtleEmphasis"/>
          <w:b/>
          <w:i w:val="0"/>
          <w:color w:val="auto"/>
        </w:rPr>
        <w:t xml:space="preserve"> group</w:t>
      </w:r>
      <w:r w:rsidRPr="00A81131">
        <w:rPr>
          <w:rStyle w:val="SubtleEmphasis"/>
          <w:b/>
          <w:i w:val="0"/>
          <w:color w:val="auto"/>
        </w:rPr>
        <w:t xml:space="preserve"> </w:t>
      </w:r>
      <w:r w:rsidR="00F944CD">
        <w:rPr>
          <w:rStyle w:val="SubtleEmphasis"/>
          <w:b/>
          <w:i w:val="0"/>
          <w:color w:val="auto"/>
        </w:rPr>
        <w:t>and</w:t>
      </w:r>
      <w:r w:rsidRPr="00A81131">
        <w:rPr>
          <w:rStyle w:val="SubtleEmphasis"/>
          <w:b/>
          <w:i w:val="0"/>
          <w:color w:val="auto"/>
        </w:rPr>
        <w:t xml:space="preserve"> skill level (‘000s and percentage growth)</w:t>
      </w:r>
    </w:p>
    <w:p w14:paraId="288A3B1F" w14:textId="2CF172A2" w:rsidR="001B0A37" w:rsidRPr="00681DAC" w:rsidRDefault="00A11B4E" w:rsidP="00681DAC">
      <w:pPr>
        <w:spacing w:after="0" w:line="240" w:lineRule="auto"/>
      </w:pPr>
      <w:r>
        <w:rPr>
          <w:noProof/>
          <w:lang w:eastAsia="en-AU"/>
        </w:rPr>
        <w:drawing>
          <wp:inline distT="0" distB="0" distL="0" distR="0" wp14:anchorId="25D66653" wp14:editId="2D9E7ED5">
            <wp:extent cx="6005195" cy="43160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316095"/>
                    </a:xfrm>
                    <a:prstGeom prst="rect">
                      <a:avLst/>
                    </a:prstGeom>
                    <a:noFill/>
                  </pic:spPr>
                </pic:pic>
              </a:graphicData>
            </a:graphic>
          </wp:inline>
        </w:drawing>
      </w:r>
    </w:p>
    <w:p w14:paraId="68C5B8CF" w14:textId="307CAC96" w:rsidR="00D92542" w:rsidRPr="009C203C" w:rsidRDefault="00D92542" w:rsidP="00681DAC">
      <w:r w:rsidRPr="009C203C">
        <w:t xml:space="preserve">Occupations largely employed in the </w:t>
      </w:r>
      <w:r>
        <w:t>A</w:t>
      </w:r>
      <w:r w:rsidRPr="009C203C">
        <w:t xml:space="preserve">ccommodation and </w:t>
      </w:r>
      <w:r>
        <w:t>F</w:t>
      </w:r>
      <w:r w:rsidRPr="009C203C">
        <w:t xml:space="preserve">ood </w:t>
      </w:r>
      <w:r w:rsidR="005D3ACB">
        <w:t>S</w:t>
      </w:r>
      <w:r w:rsidRPr="009C203C">
        <w:t xml:space="preserve">ervices industry include </w:t>
      </w:r>
      <w:r w:rsidR="00DD7A20">
        <w:t>W</w:t>
      </w:r>
      <w:r w:rsidRPr="009C203C">
        <w:t>aiters (projected to grow by 42,300 or 42.3</w:t>
      </w:r>
      <w:r>
        <w:t xml:space="preserve"> per cent)</w:t>
      </w:r>
      <w:r w:rsidRPr="009C203C">
        <w:t xml:space="preserve">, </w:t>
      </w:r>
      <w:r w:rsidR="00DD7A20">
        <w:t>C</w:t>
      </w:r>
      <w:r w:rsidRPr="009C203C">
        <w:t xml:space="preserve">afe and </w:t>
      </w:r>
      <w:r w:rsidR="00DD7A20">
        <w:t>R</w:t>
      </w:r>
      <w:r w:rsidRPr="009C203C">
        <w:t xml:space="preserve">estaurant </w:t>
      </w:r>
      <w:r w:rsidR="00DD7A20">
        <w:t>M</w:t>
      </w:r>
      <w:r w:rsidRPr="009C203C">
        <w:t>anagers (21,300 or 35.0</w:t>
      </w:r>
      <w:r>
        <w:t xml:space="preserve"> per cent)</w:t>
      </w:r>
      <w:r w:rsidRPr="009C203C">
        <w:t xml:space="preserve">, </w:t>
      </w:r>
      <w:r>
        <w:lastRenderedPageBreak/>
        <w:t>c</w:t>
      </w:r>
      <w:r w:rsidRPr="009C203C">
        <w:t>hefs (18,300 or 19.4</w:t>
      </w:r>
      <w:r>
        <w:t xml:space="preserve"> per cent)</w:t>
      </w:r>
      <w:r w:rsidRPr="009C203C">
        <w:t xml:space="preserve"> and </w:t>
      </w:r>
      <w:r w:rsidR="00DD7A20">
        <w:t>B</w:t>
      </w:r>
      <w:r w:rsidRPr="009C203C">
        <w:t xml:space="preserve">ar </w:t>
      </w:r>
      <w:r w:rsidR="00990D16">
        <w:t>A</w:t>
      </w:r>
      <w:r w:rsidRPr="009C203C">
        <w:t xml:space="preserve">ttendants and </w:t>
      </w:r>
      <w:r w:rsidR="00990D16">
        <w:t>B</w:t>
      </w:r>
      <w:r w:rsidRPr="009C203C">
        <w:t>aristas (10,300 or 10.2</w:t>
      </w:r>
      <w:r>
        <w:t xml:space="preserve"> per cent)</w:t>
      </w:r>
      <w:r w:rsidRPr="009C203C">
        <w:t xml:space="preserve">. </w:t>
      </w:r>
      <w:r>
        <w:t>W</w:t>
      </w:r>
      <w:r w:rsidRPr="009C203C">
        <w:t xml:space="preserve">aiters and </w:t>
      </w:r>
      <w:r w:rsidR="00990D16">
        <w:t>B</w:t>
      </w:r>
      <w:r w:rsidRPr="009C203C">
        <w:t xml:space="preserve">ar </w:t>
      </w:r>
      <w:r w:rsidR="00C15D14">
        <w:t>A</w:t>
      </w:r>
      <w:r w:rsidRPr="009C203C">
        <w:t xml:space="preserve">ttendants and </w:t>
      </w:r>
      <w:r w:rsidR="00990D16">
        <w:t>B</w:t>
      </w:r>
      <w:r w:rsidRPr="009C203C">
        <w:t xml:space="preserve">aristas are </w:t>
      </w:r>
      <w:r>
        <w:t>s</w:t>
      </w:r>
      <w:r w:rsidRPr="009C203C">
        <w:t xml:space="preserve">kill </w:t>
      </w:r>
      <w:r>
        <w:t>l</w:t>
      </w:r>
      <w:r w:rsidRPr="009C203C">
        <w:t xml:space="preserve">evel 4 occupations in the </w:t>
      </w:r>
      <w:r>
        <w:t>C</w:t>
      </w:r>
      <w:r w:rsidRPr="009C203C">
        <w:t xml:space="preserve">ommunity and </w:t>
      </w:r>
      <w:r>
        <w:t>P</w:t>
      </w:r>
      <w:r w:rsidRPr="009C203C">
        <w:t xml:space="preserve">ersonal </w:t>
      </w:r>
      <w:r>
        <w:t>S</w:t>
      </w:r>
      <w:r w:rsidRPr="009C203C">
        <w:t xml:space="preserve">ervice </w:t>
      </w:r>
      <w:r>
        <w:t>W</w:t>
      </w:r>
      <w:r w:rsidRPr="009C203C">
        <w:t>orkers occupation group</w:t>
      </w:r>
      <w:r>
        <w:t>. C</w:t>
      </w:r>
      <w:r w:rsidRPr="009C203C">
        <w:t xml:space="preserve">afe and </w:t>
      </w:r>
      <w:r w:rsidR="00990D16">
        <w:t>R</w:t>
      </w:r>
      <w:r w:rsidRPr="009C203C">
        <w:t xml:space="preserve">estaurant </w:t>
      </w:r>
      <w:r w:rsidR="00990D16">
        <w:t>M</w:t>
      </w:r>
      <w:r w:rsidRPr="009C203C">
        <w:t xml:space="preserve">anagers and </w:t>
      </w:r>
      <w:r w:rsidR="00990D16">
        <w:t>C</w:t>
      </w:r>
      <w:r w:rsidRPr="009C203C">
        <w:t xml:space="preserve">hefs are </w:t>
      </w:r>
      <w:r>
        <w:t>s</w:t>
      </w:r>
      <w:r w:rsidRPr="009C203C">
        <w:t xml:space="preserve">kill </w:t>
      </w:r>
      <w:r>
        <w:t>l</w:t>
      </w:r>
      <w:r w:rsidRPr="009C203C">
        <w:t xml:space="preserve">evel 2 occupations in the </w:t>
      </w:r>
      <w:r>
        <w:t>M</w:t>
      </w:r>
      <w:r w:rsidRPr="009C203C">
        <w:t xml:space="preserve">anagers and </w:t>
      </w:r>
      <w:r>
        <w:t>T</w:t>
      </w:r>
      <w:r w:rsidRPr="009C203C">
        <w:t xml:space="preserve">echnicians and </w:t>
      </w:r>
      <w:r>
        <w:t>T</w:t>
      </w:r>
      <w:r w:rsidRPr="009C203C">
        <w:t xml:space="preserve">rade </w:t>
      </w:r>
      <w:r>
        <w:t>W</w:t>
      </w:r>
      <w:r w:rsidRPr="009C203C">
        <w:t>orkers occupation groups respectively.</w:t>
      </w:r>
    </w:p>
    <w:p w14:paraId="02E2B8A7" w14:textId="42977EC7" w:rsidR="00D92542" w:rsidRPr="009C203C" w:rsidRDefault="00D92542" w:rsidP="00681DAC">
      <w:r w:rsidRPr="009C203C">
        <w:t xml:space="preserve">In addition, a number of </w:t>
      </w:r>
      <w:r w:rsidR="00A11B4E">
        <w:t>skill level</w:t>
      </w:r>
      <w:r w:rsidRPr="009C203C">
        <w:t xml:space="preserve"> 5 occupations are projected to record strong employment growth over the period</w:t>
      </w:r>
      <w:r>
        <w:t>,</w:t>
      </w:r>
      <w:r w:rsidRPr="009C203C">
        <w:t xml:space="preserve"> including </w:t>
      </w:r>
      <w:r w:rsidR="00990D16">
        <w:t>C</w:t>
      </w:r>
      <w:r w:rsidRPr="009C203C">
        <w:t xml:space="preserve">ommercial </w:t>
      </w:r>
      <w:r w:rsidR="00990D16">
        <w:t>C</w:t>
      </w:r>
      <w:r w:rsidRPr="009C203C">
        <w:t>leaners (</w:t>
      </w:r>
      <w:r w:rsidR="00763F52">
        <w:t xml:space="preserve">up by </w:t>
      </w:r>
      <w:r w:rsidRPr="009C203C">
        <w:t>13,400 or 7.8</w:t>
      </w:r>
      <w:r>
        <w:t xml:space="preserve"> per cent) – </w:t>
      </w:r>
      <w:r w:rsidRPr="009C203C">
        <w:t xml:space="preserve">half of whom are employed in the </w:t>
      </w:r>
      <w:r>
        <w:t>A</w:t>
      </w:r>
      <w:r w:rsidRPr="009C203C">
        <w:t xml:space="preserve">dministrative and </w:t>
      </w:r>
      <w:r>
        <w:t>S</w:t>
      </w:r>
      <w:r w:rsidRPr="009C203C">
        <w:t xml:space="preserve">upport </w:t>
      </w:r>
      <w:r>
        <w:t>S</w:t>
      </w:r>
      <w:r w:rsidRPr="009C203C">
        <w:t xml:space="preserve">ervices industry, </w:t>
      </w:r>
      <w:r w:rsidR="00990D16">
        <w:t>S</w:t>
      </w:r>
      <w:r w:rsidRPr="009C203C">
        <w:t xml:space="preserve">ales </w:t>
      </w:r>
      <w:r w:rsidR="00990D16">
        <w:t>A</w:t>
      </w:r>
      <w:r w:rsidRPr="009C203C">
        <w:t>ssistants (11,300 or 2.2</w:t>
      </w:r>
      <w:r>
        <w:t xml:space="preserve"> per cent) –</w:t>
      </w:r>
      <w:r w:rsidRPr="009C203C">
        <w:t xml:space="preserve"> mostly employed in </w:t>
      </w:r>
      <w:r>
        <w:t>R</w:t>
      </w:r>
      <w:r w:rsidRPr="009C203C">
        <w:t xml:space="preserve">etail </w:t>
      </w:r>
      <w:r>
        <w:t>T</w:t>
      </w:r>
      <w:r w:rsidRPr="009C203C">
        <w:t xml:space="preserve">rade, and </w:t>
      </w:r>
      <w:r w:rsidR="00990D16">
        <w:t>K</w:t>
      </w:r>
      <w:r w:rsidRPr="009C203C">
        <w:t>itchenhands (8700 or 6.9</w:t>
      </w:r>
      <w:r>
        <w:t xml:space="preserve"> per cent) –</w:t>
      </w:r>
      <w:r w:rsidRPr="009C203C">
        <w:t xml:space="preserve"> mostly employed in </w:t>
      </w:r>
      <w:r>
        <w:t>A</w:t>
      </w:r>
      <w:r w:rsidRPr="009C203C">
        <w:t xml:space="preserve">ccommodation and </w:t>
      </w:r>
      <w:r>
        <w:t>F</w:t>
      </w:r>
      <w:r w:rsidRPr="009C203C">
        <w:t xml:space="preserve">ood </w:t>
      </w:r>
      <w:r>
        <w:t>S</w:t>
      </w:r>
      <w:r w:rsidRPr="009C203C">
        <w:t xml:space="preserve">ervices. </w:t>
      </w:r>
      <w:r>
        <w:t>T</w:t>
      </w:r>
      <w:r w:rsidRPr="009C203C">
        <w:t>he strong projected employment growth of such occupations</w:t>
      </w:r>
      <w:r>
        <w:t xml:space="preserve">, along with </w:t>
      </w:r>
      <w:r w:rsidR="00990D16">
        <w:t>F</w:t>
      </w:r>
      <w:r w:rsidRPr="009C203C">
        <w:t xml:space="preserve">ast </w:t>
      </w:r>
      <w:r w:rsidR="00990D16">
        <w:t>F</w:t>
      </w:r>
      <w:r w:rsidRPr="009C203C">
        <w:t xml:space="preserve">ood </w:t>
      </w:r>
      <w:r w:rsidR="00990D16">
        <w:t>C</w:t>
      </w:r>
      <w:r w:rsidRPr="009C203C">
        <w:t xml:space="preserve">ooks, </w:t>
      </w:r>
      <w:r w:rsidR="00990D16">
        <w:t>C</w:t>
      </w:r>
      <w:r w:rsidRPr="009C203C">
        <w:t xml:space="preserve">heckout </w:t>
      </w:r>
      <w:r w:rsidR="00990D16">
        <w:t>O</w:t>
      </w:r>
      <w:r w:rsidRPr="009C203C">
        <w:t xml:space="preserve">perators and </w:t>
      </w:r>
      <w:r w:rsidR="00990D16">
        <w:t>C</w:t>
      </w:r>
      <w:r w:rsidRPr="009C203C">
        <w:t xml:space="preserve">ashiers and </w:t>
      </w:r>
      <w:r w:rsidR="00990D16">
        <w:t>H</w:t>
      </w:r>
      <w:r w:rsidRPr="009C203C">
        <w:t>andypersons</w:t>
      </w:r>
      <w:r>
        <w:t>,</w:t>
      </w:r>
      <w:r w:rsidRPr="009C203C">
        <w:t xml:space="preserve"> reflects the many opportunities available in </w:t>
      </w:r>
      <w:r>
        <w:t>s</w:t>
      </w:r>
      <w:r w:rsidRPr="009C203C">
        <w:t xml:space="preserve">kill </w:t>
      </w:r>
      <w:r>
        <w:t>l</w:t>
      </w:r>
      <w:r w:rsidRPr="009C203C">
        <w:t>evel 5 occupations, providing career platforms for job seekers and those looking to enter the labour force.</w:t>
      </w:r>
    </w:p>
    <w:p w14:paraId="08BF9E08" w14:textId="563B25FC" w:rsidR="0073799F" w:rsidRPr="009C203C" w:rsidRDefault="0073799F" w:rsidP="00681DAC">
      <w:r w:rsidRPr="009C203C">
        <w:t>The occupations with the weakest projected employment growth</w:t>
      </w:r>
      <w:r>
        <w:t xml:space="preserve">, </w:t>
      </w:r>
      <w:r w:rsidRPr="009C203C">
        <w:t xml:space="preserve">in the bottom left quadrant of </w:t>
      </w:r>
      <w:r w:rsidRPr="0081292E">
        <w:t xml:space="preserve">Figure </w:t>
      </w:r>
      <w:r w:rsidR="00853B85">
        <w:t>4</w:t>
      </w:r>
      <w:r>
        <w:t>,</w:t>
      </w:r>
      <w:r w:rsidRPr="009C203C">
        <w:t xml:space="preserve"> face ongoing challenges, such as from globalisation and technological change</w:t>
      </w:r>
      <w:r>
        <w:t>.</w:t>
      </w:r>
      <w:r w:rsidRPr="009C203C">
        <w:rPr>
          <w:rStyle w:val="FootnoteReference"/>
        </w:rPr>
        <w:footnoteReference w:id="8"/>
      </w:r>
      <w:r w:rsidRPr="009C203C">
        <w:t xml:space="preserve"> Some of these occupations are from the </w:t>
      </w:r>
      <w:r>
        <w:t>C</w:t>
      </w:r>
      <w:r w:rsidRPr="009C203C">
        <w:t xml:space="preserve">lerical and </w:t>
      </w:r>
      <w:r>
        <w:t>A</w:t>
      </w:r>
      <w:r w:rsidRPr="009C203C">
        <w:t xml:space="preserve">dministrative </w:t>
      </w:r>
      <w:r>
        <w:t>w</w:t>
      </w:r>
      <w:r w:rsidRPr="009C203C">
        <w:t xml:space="preserve">orkers and </w:t>
      </w:r>
      <w:r w:rsidR="00A11B4E">
        <w:t>skill level</w:t>
      </w:r>
      <w:r w:rsidRPr="009C203C">
        <w:t xml:space="preserve"> 2 groups, where work is routine in nature and susceptible to automation, such as </w:t>
      </w:r>
      <w:r w:rsidR="00990D16">
        <w:t>S</w:t>
      </w:r>
      <w:r w:rsidRPr="009C203C">
        <w:t>ecretaries (projected to fall by 8000 or 25.7</w:t>
      </w:r>
      <w:r>
        <w:t xml:space="preserve"> per cent)</w:t>
      </w:r>
      <w:r w:rsidRPr="009C203C">
        <w:t xml:space="preserve">, </w:t>
      </w:r>
      <w:r w:rsidR="00990D16">
        <w:t>R</w:t>
      </w:r>
      <w:r w:rsidRPr="009C203C">
        <w:t xml:space="preserve">etail </w:t>
      </w:r>
      <w:r w:rsidR="00990D16">
        <w:t>M</w:t>
      </w:r>
      <w:r w:rsidRPr="009C203C">
        <w:t>anagers (7200 or 3.5</w:t>
      </w:r>
      <w:r>
        <w:t xml:space="preserve"> per cent)</w:t>
      </w:r>
      <w:r w:rsidRPr="009C203C">
        <w:t xml:space="preserve">, </w:t>
      </w:r>
      <w:r w:rsidR="00990D16">
        <w:t>P</w:t>
      </w:r>
      <w:r w:rsidRPr="009C203C">
        <w:t xml:space="preserve">ersonal </w:t>
      </w:r>
      <w:r w:rsidR="00990D16">
        <w:t>A</w:t>
      </w:r>
      <w:r w:rsidRPr="009C203C">
        <w:t>ssistants (6000 or 11.3</w:t>
      </w:r>
      <w:r>
        <w:t xml:space="preserve"> per cent)</w:t>
      </w:r>
      <w:r w:rsidRPr="009C203C">
        <w:t xml:space="preserve"> and </w:t>
      </w:r>
      <w:r w:rsidR="00990D16">
        <w:t>C</w:t>
      </w:r>
      <w:r w:rsidRPr="009C203C">
        <w:t xml:space="preserve">all or </w:t>
      </w:r>
      <w:r w:rsidR="00990D16">
        <w:t>C</w:t>
      </w:r>
      <w:r w:rsidRPr="009C203C">
        <w:t xml:space="preserve">ontact </w:t>
      </w:r>
      <w:r w:rsidR="00990D16">
        <w:t>C</w:t>
      </w:r>
      <w:r w:rsidRPr="009C203C">
        <w:t xml:space="preserve">entre and </w:t>
      </w:r>
      <w:r w:rsidR="00990D16">
        <w:t>C</w:t>
      </w:r>
      <w:r w:rsidRPr="009C203C">
        <w:t xml:space="preserve">ustomer </w:t>
      </w:r>
      <w:r w:rsidR="00990D16">
        <w:t>S</w:t>
      </w:r>
      <w:r w:rsidRPr="009C203C">
        <w:t xml:space="preserve">ervice </w:t>
      </w:r>
      <w:r w:rsidR="00990D16">
        <w:t>M</w:t>
      </w:r>
      <w:r w:rsidRPr="009C203C">
        <w:t>anagers (4800 or 17.6</w:t>
      </w:r>
      <w:r>
        <w:t xml:space="preserve"> per cent)</w:t>
      </w:r>
      <w:r w:rsidRPr="009C203C">
        <w:t>.</w:t>
      </w:r>
    </w:p>
    <w:p w14:paraId="51257586" w14:textId="554FE1E4" w:rsidR="00916B88" w:rsidRDefault="0073799F" w:rsidP="00681DAC">
      <w:r w:rsidRPr="009C203C">
        <w:t xml:space="preserve">The impact of continuing structural change on </w:t>
      </w:r>
      <w:r>
        <w:t>the M</w:t>
      </w:r>
      <w:r w:rsidRPr="009C203C">
        <w:t xml:space="preserve">anufacturing industry is expected to sustain the pre-existing trend of falling employment in occupations </w:t>
      </w:r>
      <w:r>
        <w:t xml:space="preserve">such as </w:t>
      </w:r>
      <w:r w:rsidR="00990D16">
        <w:t>E</w:t>
      </w:r>
      <w:r w:rsidRPr="009C203C">
        <w:t xml:space="preserve">ngineering </w:t>
      </w:r>
      <w:r w:rsidR="00990D16">
        <w:t>P</w:t>
      </w:r>
      <w:r w:rsidRPr="009C203C">
        <w:t xml:space="preserve">roduction </w:t>
      </w:r>
      <w:r w:rsidR="00990D16">
        <w:t>W</w:t>
      </w:r>
      <w:r w:rsidRPr="009C203C">
        <w:t>orkers (projected to fall by 1600 or 8.0</w:t>
      </w:r>
      <w:r>
        <w:t xml:space="preserve"> per cent)</w:t>
      </w:r>
      <w:r w:rsidRPr="009C203C">
        <w:t xml:space="preserve">, </w:t>
      </w:r>
      <w:r w:rsidR="00990D16">
        <w:t>P</w:t>
      </w:r>
      <w:r w:rsidRPr="009C203C">
        <w:t>rinters (1100 or 11.2</w:t>
      </w:r>
      <w:r>
        <w:t xml:space="preserve"> per cent)</w:t>
      </w:r>
      <w:r w:rsidRPr="009C203C">
        <w:t>,</w:t>
      </w:r>
      <w:r>
        <w:t xml:space="preserve"> </w:t>
      </w:r>
      <w:r w:rsidR="00990D16">
        <w:t>P</w:t>
      </w:r>
      <w:r w:rsidRPr="009C203C">
        <w:t xml:space="preserve">lastics and </w:t>
      </w:r>
      <w:r w:rsidR="00990D16">
        <w:t>R</w:t>
      </w:r>
      <w:r w:rsidRPr="009C203C">
        <w:t xml:space="preserve">ubber </w:t>
      </w:r>
      <w:r w:rsidR="00990D16">
        <w:t>P</w:t>
      </w:r>
      <w:r w:rsidRPr="009C203C">
        <w:t xml:space="preserve">roduction </w:t>
      </w:r>
      <w:r w:rsidR="00990D16">
        <w:t>M</w:t>
      </w:r>
      <w:r w:rsidRPr="009C203C">
        <w:t xml:space="preserve">achine </w:t>
      </w:r>
      <w:r w:rsidR="00990D16">
        <w:t>O</w:t>
      </w:r>
      <w:r w:rsidRPr="009C203C">
        <w:t>perators (900 or 10.8</w:t>
      </w:r>
      <w:r>
        <w:t xml:space="preserve"> per cent)</w:t>
      </w:r>
      <w:r w:rsidRPr="009C203C">
        <w:t xml:space="preserve">, </w:t>
      </w:r>
      <w:r w:rsidR="00990D16">
        <w:t>T</w:t>
      </w:r>
      <w:r w:rsidRPr="009C203C">
        <w:t xml:space="preserve">imber and </w:t>
      </w:r>
      <w:r w:rsidR="00990D16">
        <w:t>W</w:t>
      </w:r>
      <w:r w:rsidRPr="009C203C">
        <w:t xml:space="preserve">ood </w:t>
      </w:r>
      <w:r w:rsidR="00990D16">
        <w:t>P</w:t>
      </w:r>
      <w:r w:rsidRPr="009C203C">
        <w:t xml:space="preserve">rocess </w:t>
      </w:r>
      <w:r w:rsidR="00990D16">
        <w:t>W</w:t>
      </w:r>
      <w:r w:rsidRPr="009C203C">
        <w:t>orkers (800 or 14.9</w:t>
      </w:r>
      <w:r>
        <w:t xml:space="preserve"> per cent)</w:t>
      </w:r>
      <w:r w:rsidRPr="009C203C">
        <w:t xml:space="preserve">, </w:t>
      </w:r>
      <w:r w:rsidR="00990D16">
        <w:t>M</w:t>
      </w:r>
      <w:r w:rsidRPr="009C203C">
        <w:t xml:space="preserve">etal </w:t>
      </w:r>
      <w:r w:rsidR="00990D16">
        <w:t>E</w:t>
      </w:r>
      <w:r w:rsidRPr="009C203C">
        <w:t xml:space="preserve">ngineering </w:t>
      </w:r>
      <w:r w:rsidR="00990D16">
        <w:t>P</w:t>
      </w:r>
      <w:r w:rsidRPr="009C203C">
        <w:t xml:space="preserve">rocess </w:t>
      </w:r>
      <w:r w:rsidR="00990D16">
        <w:t>W</w:t>
      </w:r>
      <w:r w:rsidRPr="009C203C">
        <w:t>orkers (800 or 10.1</w:t>
      </w:r>
      <w:r>
        <w:t xml:space="preserve"> per cent)</w:t>
      </w:r>
      <w:r w:rsidRPr="009C203C">
        <w:t xml:space="preserve">, </w:t>
      </w:r>
      <w:r w:rsidR="00990D16">
        <w:t>C</w:t>
      </w:r>
      <w:r w:rsidRPr="009C203C">
        <w:t xml:space="preserve">lothing </w:t>
      </w:r>
      <w:r w:rsidR="00990D16">
        <w:t>T</w:t>
      </w:r>
      <w:r w:rsidRPr="009C203C">
        <w:t xml:space="preserve">rades </w:t>
      </w:r>
      <w:r w:rsidR="00990D16">
        <w:t>W</w:t>
      </w:r>
      <w:r w:rsidRPr="009C203C">
        <w:t>orkers (800 or 7.7</w:t>
      </w:r>
      <w:r>
        <w:t xml:space="preserve"> per cent)</w:t>
      </w:r>
      <w:r w:rsidRPr="009C203C">
        <w:t xml:space="preserve">, </w:t>
      </w:r>
      <w:r w:rsidR="00990D16">
        <w:t>W</w:t>
      </w:r>
      <w:r w:rsidRPr="009C203C">
        <w:t xml:space="preserve">ood </w:t>
      </w:r>
      <w:r w:rsidR="00990D16">
        <w:t>M</w:t>
      </w:r>
      <w:r w:rsidRPr="009C203C">
        <w:t xml:space="preserve">achinists and </w:t>
      </w:r>
      <w:r w:rsidR="00990D16">
        <w:t>O</w:t>
      </w:r>
      <w:r w:rsidRPr="009C203C">
        <w:t xml:space="preserve">ther </w:t>
      </w:r>
      <w:r w:rsidR="00990D16">
        <w:t>W</w:t>
      </w:r>
      <w:r w:rsidRPr="009C203C">
        <w:t xml:space="preserve">ood </w:t>
      </w:r>
      <w:r w:rsidR="00990D16">
        <w:t>T</w:t>
      </w:r>
      <w:r w:rsidRPr="009C203C">
        <w:t xml:space="preserve">rades </w:t>
      </w:r>
      <w:r w:rsidR="00990D16">
        <w:t>W</w:t>
      </w:r>
      <w:r w:rsidRPr="009C203C">
        <w:t>orkers (600 or 14.2</w:t>
      </w:r>
      <w:r>
        <w:t xml:space="preserve"> per cent)</w:t>
      </w:r>
      <w:r w:rsidRPr="009C203C">
        <w:t xml:space="preserve"> and </w:t>
      </w:r>
      <w:r w:rsidR="00990D16">
        <w:t>P</w:t>
      </w:r>
      <w:r w:rsidRPr="009C203C">
        <w:t xml:space="preserve">rint </w:t>
      </w:r>
      <w:r w:rsidR="00990D16">
        <w:t>F</w:t>
      </w:r>
      <w:r w:rsidRPr="009C203C">
        <w:t xml:space="preserve">inishers and </w:t>
      </w:r>
      <w:r w:rsidR="00990D16">
        <w:t>S</w:t>
      </w:r>
      <w:r w:rsidRPr="009C203C">
        <w:t xml:space="preserve">creen </w:t>
      </w:r>
      <w:r w:rsidR="00990D16">
        <w:t>P</w:t>
      </w:r>
      <w:r w:rsidRPr="009C203C">
        <w:t>rinters (400 or 11.2</w:t>
      </w:r>
      <w:r>
        <w:t xml:space="preserve"> per cent)</w:t>
      </w:r>
      <w:r w:rsidRPr="009C203C">
        <w:t xml:space="preserve">. These occupations range across </w:t>
      </w:r>
      <w:r>
        <w:t>s</w:t>
      </w:r>
      <w:r w:rsidRPr="009C203C">
        <w:t xml:space="preserve">kill </w:t>
      </w:r>
      <w:r>
        <w:t>l</w:t>
      </w:r>
      <w:r w:rsidRPr="009C203C">
        <w:t>evels 3, 4 and 5.</w:t>
      </w:r>
    </w:p>
    <w:p w14:paraId="22AF5073" w14:textId="78199DA5" w:rsidR="006B6ED4" w:rsidRDefault="006B6ED4" w:rsidP="00681DAC">
      <w:r>
        <w:rPr>
          <w:rFonts w:cs="Calibri"/>
        </w:rPr>
        <w:t>Figure 4 shows that</w:t>
      </w:r>
      <w:r w:rsidRPr="00A81131">
        <w:t xml:space="preserve"> projected employment growth differs greatly within each </w:t>
      </w:r>
      <w:r w:rsidR="00A11B4E">
        <w:t>skill level</w:t>
      </w:r>
      <w:r w:rsidRPr="00A81131">
        <w:t xml:space="preserve"> and there are many opportunities available within each </w:t>
      </w:r>
      <w:r w:rsidR="00A11B4E">
        <w:t>skill level</w:t>
      </w:r>
      <w:r>
        <w:t>.</w:t>
      </w:r>
      <w:r w:rsidRPr="00A81131">
        <w:rPr>
          <w:rStyle w:val="FootnoteReference"/>
        </w:rPr>
        <w:footnoteReference w:id="9"/>
      </w:r>
      <w:r w:rsidRPr="00A81131">
        <w:t xml:space="preserve"> </w:t>
      </w:r>
      <w:r w:rsidR="007305C6">
        <w:t>O</w:t>
      </w:r>
      <w:r w:rsidR="00990D16" w:rsidRPr="00A81131">
        <w:rPr>
          <w:rFonts w:cs="Calibri"/>
        </w:rPr>
        <w:t xml:space="preserve">ccupations with the strongest projected employment growth </w:t>
      </w:r>
      <w:r w:rsidR="00990D16">
        <w:rPr>
          <w:rFonts w:cs="Calibri"/>
        </w:rPr>
        <w:t xml:space="preserve">are </w:t>
      </w:r>
      <w:r w:rsidR="00990D16" w:rsidRPr="00A81131">
        <w:rPr>
          <w:rFonts w:cs="Calibri"/>
        </w:rPr>
        <w:t>dominated by higher skilled occupations (</w:t>
      </w:r>
      <w:r w:rsidR="00A11B4E">
        <w:rPr>
          <w:rFonts w:cs="Calibri"/>
        </w:rPr>
        <w:t>skill level</w:t>
      </w:r>
      <w:r w:rsidR="00990D16" w:rsidRPr="00A81131">
        <w:rPr>
          <w:rFonts w:cs="Calibri"/>
        </w:rPr>
        <w:t>s 1 and 2) or requir</w:t>
      </w:r>
      <w:r w:rsidR="00990D16">
        <w:rPr>
          <w:rFonts w:cs="Calibri"/>
        </w:rPr>
        <w:t xml:space="preserve">e </w:t>
      </w:r>
      <w:r w:rsidR="00990D16" w:rsidRPr="00A81131">
        <w:rPr>
          <w:rFonts w:cs="Calibri"/>
        </w:rPr>
        <w:t>some training but hav</w:t>
      </w:r>
      <w:r w:rsidR="00990D16">
        <w:rPr>
          <w:rFonts w:cs="Calibri"/>
        </w:rPr>
        <w:t>ing</w:t>
      </w:r>
      <w:r w:rsidR="00990D16" w:rsidRPr="00A81131">
        <w:rPr>
          <w:rFonts w:cs="Calibri"/>
        </w:rPr>
        <w:t xml:space="preserve"> a strong emphasis on human interactions (</w:t>
      </w:r>
      <w:r w:rsidR="007305C6">
        <w:rPr>
          <w:rFonts w:cs="Calibri"/>
        </w:rPr>
        <w:t>s</w:t>
      </w:r>
      <w:r w:rsidR="00990D16" w:rsidRPr="00A81131">
        <w:rPr>
          <w:rFonts w:cs="Calibri"/>
        </w:rPr>
        <w:t>kill level 4)</w:t>
      </w:r>
      <w:r w:rsidR="00990D16">
        <w:rPr>
          <w:rFonts w:cs="Calibri"/>
        </w:rPr>
        <w:t xml:space="preserve">. </w:t>
      </w:r>
    </w:p>
    <w:p w14:paraId="2EFF86AC" w14:textId="17FFE345" w:rsidR="00DD7A20" w:rsidRDefault="00DD7A20" w:rsidP="00681DAC">
      <w:r>
        <w:rPr>
          <w:rStyle w:val="SubtleEmphasis"/>
          <w:i w:val="0"/>
          <w:iCs w:val="0"/>
          <w:color w:val="auto"/>
        </w:rPr>
        <w:t xml:space="preserve">Projected employment growth by occupation and skill level can be explored </w:t>
      </w:r>
      <w:r w:rsidR="00B17B61">
        <w:rPr>
          <w:rStyle w:val="SubtleEmphasis"/>
          <w:i w:val="0"/>
          <w:iCs w:val="0"/>
          <w:color w:val="auto"/>
        </w:rPr>
        <w:t xml:space="preserve">further </w:t>
      </w:r>
      <w:r>
        <w:rPr>
          <w:rStyle w:val="SubtleEmphasis"/>
          <w:i w:val="0"/>
          <w:iCs w:val="0"/>
          <w:color w:val="auto"/>
        </w:rPr>
        <w:t xml:space="preserve">using the Employment Outlook dashboard, which can be found on the </w:t>
      </w:r>
      <w:hyperlink r:id="rId13" w:history="1">
        <w:r w:rsidR="00507D12" w:rsidRPr="00507D12">
          <w:rPr>
            <w:rStyle w:val="Hyperlink"/>
          </w:rPr>
          <w:t>Labour Market Information Portal Tableau page</w:t>
        </w:r>
      </w:hyperlink>
      <w:r w:rsidR="00507D12">
        <w:rPr>
          <w:rStyle w:val="SubtleEmphasis"/>
          <w:i w:val="0"/>
          <w:iCs w:val="0"/>
          <w:color w:val="auto"/>
        </w:rPr>
        <w:t>.</w:t>
      </w:r>
    </w:p>
    <w:p w14:paraId="5829561D" w14:textId="77777777" w:rsidR="00815A33" w:rsidRPr="00815A33" w:rsidRDefault="00815A33" w:rsidP="00815A33">
      <w:pPr>
        <w:pStyle w:val="Pa5"/>
        <w:pageBreakBefore/>
        <w:spacing w:after="100"/>
        <w:rPr>
          <w:rFonts w:ascii="Myriad Pro Light" w:hAnsi="Myriad Pro Light" w:cs="Myriad Pro Light"/>
          <w:color w:val="000000"/>
          <w:sz w:val="19"/>
          <w:szCs w:val="19"/>
        </w:rPr>
      </w:pPr>
    </w:p>
    <w:p w14:paraId="6F2AB83D" w14:textId="32155775" w:rsidR="00455DA3" w:rsidRPr="00A81131" w:rsidRDefault="00DD7A20" w:rsidP="00815A33">
      <w:pPr>
        <w:pStyle w:val="Heading1"/>
        <w:keepNext w:val="0"/>
        <w:spacing w:before="0" w:after="240" w:line="240" w:lineRule="auto"/>
        <w:contextualSpacing/>
        <w:rPr>
          <w:rFonts w:ascii="Calibri" w:eastAsiaTheme="majorEastAsia" w:hAnsi="Calibri" w:cstheme="majorBidi"/>
          <w:color w:val="003D6B"/>
          <w:sz w:val="36"/>
          <w:szCs w:val="36"/>
        </w:rPr>
      </w:pPr>
      <w:bookmarkStart w:id="16" w:name="_Toc80282662"/>
      <w:r>
        <w:rPr>
          <w:rFonts w:ascii="Calibri" w:eastAsiaTheme="majorEastAsia" w:hAnsi="Calibri" w:cstheme="majorBidi"/>
          <w:color w:val="003D6B"/>
          <w:sz w:val="36"/>
          <w:szCs w:val="36"/>
        </w:rPr>
        <w:t>Where will the</w:t>
      </w:r>
      <w:r w:rsidR="00812D94">
        <w:rPr>
          <w:rFonts w:ascii="Calibri" w:eastAsiaTheme="majorEastAsia" w:hAnsi="Calibri" w:cstheme="majorBidi"/>
          <w:color w:val="003D6B"/>
          <w:sz w:val="36"/>
          <w:szCs w:val="36"/>
        </w:rPr>
        <w:t xml:space="preserve"> new</w:t>
      </w:r>
      <w:r>
        <w:rPr>
          <w:rFonts w:ascii="Calibri" w:eastAsiaTheme="majorEastAsia" w:hAnsi="Calibri" w:cstheme="majorBidi"/>
          <w:color w:val="003D6B"/>
          <w:sz w:val="36"/>
          <w:szCs w:val="36"/>
        </w:rPr>
        <w:t xml:space="preserve"> jobs be located?</w:t>
      </w:r>
      <w:bookmarkEnd w:id="16"/>
    </w:p>
    <w:p w14:paraId="0B5871DC" w14:textId="6DBF7D11" w:rsidR="0073799F" w:rsidRDefault="0073799F" w:rsidP="00681DAC">
      <w:pPr>
        <w:rPr>
          <w:rFonts w:ascii="Calibri" w:eastAsiaTheme="minorHAnsi" w:hAnsi="Calibri" w:cs="Calibri"/>
        </w:rPr>
      </w:pPr>
      <w:r>
        <w:t xml:space="preserve">Over the five years to November 2025, employment is projected to increase in all states and territories and in all major statistical areas. </w:t>
      </w:r>
    </w:p>
    <w:p w14:paraId="1D70C3E9" w14:textId="09C1B24A" w:rsidR="003F05F6" w:rsidRPr="00BB67C6" w:rsidRDefault="0073799F" w:rsidP="00681DAC">
      <w:pPr>
        <w:rPr>
          <w:rFonts w:eastAsia="Times New Roman"/>
        </w:rPr>
      </w:pPr>
      <w:r w:rsidRPr="00BB67C6">
        <w:rPr>
          <w:rFonts w:eastAsia="Times New Roman"/>
        </w:rPr>
        <w:t xml:space="preserve">New South Wales, Victoria and Queensland are projected to make the largest contributions to employment growth over the five years to November 2025, with employment projected to increase by 327,000 (or 8.0 per cent) in </w:t>
      </w:r>
      <w:r w:rsidRPr="00BB67C6">
        <w:rPr>
          <w:rFonts w:eastAsia="Times New Roman"/>
          <w:b/>
          <w:bCs/>
        </w:rPr>
        <w:t>New South Wales</w:t>
      </w:r>
      <w:r w:rsidRPr="00BB67C6">
        <w:rPr>
          <w:rFonts w:eastAsia="Times New Roman"/>
        </w:rPr>
        <w:t xml:space="preserve">, by 303,800 (or 9.0 per cent) in </w:t>
      </w:r>
      <w:r w:rsidRPr="00BB67C6">
        <w:rPr>
          <w:rFonts w:eastAsia="Times New Roman"/>
          <w:b/>
          <w:bCs/>
        </w:rPr>
        <w:t>Victoria</w:t>
      </w:r>
      <w:r w:rsidRPr="00BB67C6">
        <w:rPr>
          <w:rFonts w:eastAsia="Times New Roman"/>
        </w:rPr>
        <w:t xml:space="preserve">, and by 203,100 (or 8.1 per cent) in </w:t>
      </w:r>
      <w:r w:rsidRPr="00BB67C6">
        <w:rPr>
          <w:rFonts w:eastAsia="Times New Roman"/>
          <w:b/>
          <w:bCs/>
        </w:rPr>
        <w:t>Queensland</w:t>
      </w:r>
      <w:r w:rsidRPr="00BB67C6">
        <w:rPr>
          <w:rFonts w:eastAsia="Times New Roman"/>
        </w:rPr>
        <w:t xml:space="preserve">. In these states, as in all states, territories, capital cities and regional areas (except </w:t>
      </w:r>
      <w:r w:rsidR="00511D47" w:rsidRPr="00BB67C6">
        <w:rPr>
          <w:rFonts w:eastAsia="Times New Roman"/>
        </w:rPr>
        <w:t>for</w:t>
      </w:r>
      <w:r w:rsidRPr="00BB67C6">
        <w:rPr>
          <w:rFonts w:eastAsia="Times New Roman"/>
        </w:rPr>
        <w:t xml:space="preserve"> regional WA), the largest contribution to projected employment growth is made by Health Care and Social Assistance. Professional, Scientific and Technical Services is the second largest contributor </w:t>
      </w:r>
      <w:r w:rsidR="0045519F">
        <w:rPr>
          <w:rFonts w:eastAsia="Times New Roman"/>
        </w:rPr>
        <w:t xml:space="preserve">to projected employment growth </w:t>
      </w:r>
      <w:r w:rsidRPr="00BB67C6">
        <w:rPr>
          <w:rFonts w:eastAsia="Times New Roman"/>
        </w:rPr>
        <w:t xml:space="preserve">in Victoria and New South Wales (15.3 per cent and 15.9 per cent respectively, compared with 13.2 per cent nationally), while Accommodation and Food Services makes the second largest contribution to projected employment growth in Queensland (17.1 per cent compared with 14.1 per cent nationally). </w:t>
      </w:r>
    </w:p>
    <w:p w14:paraId="07F1DB23" w14:textId="66E1715C" w:rsidR="003F05F6" w:rsidRPr="00BB67C6" w:rsidRDefault="0073799F" w:rsidP="00681DAC">
      <w:pPr>
        <w:rPr>
          <w:rFonts w:eastAsia="Times New Roman"/>
        </w:rPr>
      </w:pPr>
      <w:r w:rsidRPr="00BB67C6">
        <w:rPr>
          <w:rFonts w:eastAsia="Times New Roman"/>
          <w:lang w:eastAsia="en-AU"/>
        </w:rPr>
        <w:t xml:space="preserve">Employment growth over the five years to </w:t>
      </w:r>
      <w:r w:rsidRPr="00BB67C6">
        <w:rPr>
          <w:rFonts w:eastAsia="Times New Roman"/>
        </w:rPr>
        <w:t xml:space="preserve">November 2025 </w:t>
      </w:r>
      <w:r w:rsidRPr="00BB67C6">
        <w:rPr>
          <w:rFonts w:eastAsia="Times New Roman"/>
          <w:lang w:eastAsia="en-AU"/>
        </w:rPr>
        <w:t xml:space="preserve">is projected to be slowest in </w:t>
      </w:r>
      <w:r w:rsidRPr="00BB67C6">
        <w:rPr>
          <w:rFonts w:eastAsia="Times New Roman"/>
          <w:b/>
          <w:bCs/>
          <w:lang w:eastAsia="en-AU"/>
        </w:rPr>
        <w:t>Tasmania</w:t>
      </w:r>
      <w:r w:rsidRPr="00BB67C6">
        <w:rPr>
          <w:rFonts w:eastAsia="Times New Roman"/>
          <w:lang w:eastAsia="en-AU"/>
        </w:rPr>
        <w:t xml:space="preserve"> (up by 9900 or 4.0 per cent), followed by the </w:t>
      </w:r>
      <w:r w:rsidRPr="00BB67C6">
        <w:rPr>
          <w:rFonts w:eastAsia="Times New Roman"/>
          <w:b/>
          <w:bCs/>
          <w:lang w:eastAsia="en-AU"/>
        </w:rPr>
        <w:t>Northern Territory</w:t>
      </w:r>
      <w:r w:rsidRPr="00BB67C6">
        <w:rPr>
          <w:rFonts w:eastAsia="Times New Roman"/>
          <w:lang w:eastAsia="en-AU"/>
        </w:rPr>
        <w:t xml:space="preserve"> (up by 5300 or 4.1 per cent) and </w:t>
      </w:r>
      <w:r w:rsidRPr="00BB67C6">
        <w:rPr>
          <w:rFonts w:eastAsia="Times New Roman"/>
          <w:b/>
          <w:bCs/>
          <w:lang w:eastAsia="en-AU"/>
        </w:rPr>
        <w:t>South Australia</w:t>
      </w:r>
      <w:r w:rsidRPr="00BB67C6">
        <w:rPr>
          <w:rFonts w:eastAsia="Times New Roman"/>
          <w:lang w:eastAsia="en-AU"/>
        </w:rPr>
        <w:t xml:space="preserve"> (up by 42,600 or 5.0 per cent).</w:t>
      </w:r>
      <w:r w:rsidRPr="00BB67C6">
        <w:rPr>
          <w:rFonts w:eastAsia="Times New Roman"/>
        </w:rPr>
        <w:t xml:space="preserve"> In Tasmania (36.3 per cent) and in the Northern Territory (49.9 per cent)</w:t>
      </w:r>
      <w:r w:rsidR="00665EF4">
        <w:rPr>
          <w:rFonts w:eastAsia="Times New Roman"/>
        </w:rPr>
        <w:t>,</w:t>
      </w:r>
      <w:r w:rsidRPr="00BB67C6">
        <w:rPr>
          <w:rFonts w:eastAsia="Times New Roman"/>
        </w:rPr>
        <w:t xml:space="preserve"> the contribution of</w:t>
      </w:r>
      <w:r w:rsidR="00665EF4">
        <w:rPr>
          <w:rFonts w:eastAsia="Times New Roman"/>
        </w:rPr>
        <w:t xml:space="preserve"> the</w:t>
      </w:r>
      <w:r w:rsidRPr="00BB67C6">
        <w:rPr>
          <w:rFonts w:eastAsia="Times New Roman"/>
        </w:rPr>
        <w:t xml:space="preserve"> Health Care and Social Assistance</w:t>
      </w:r>
      <w:r w:rsidR="00665EF4">
        <w:rPr>
          <w:rFonts w:eastAsia="Times New Roman"/>
        </w:rPr>
        <w:t xml:space="preserve"> industry</w:t>
      </w:r>
      <w:r w:rsidRPr="00BB67C6">
        <w:rPr>
          <w:rFonts w:eastAsia="Times New Roman"/>
        </w:rPr>
        <w:t xml:space="preserve"> to projected total employment growth is well above the national average (25.2 per cent), while the contribution of the Professional, Scientific and Technical Services industry in South Australia (10.3 per cent) and the Northern Territory (1.8 per cent), is well below the 13.2 per cent contribution at the national level. </w:t>
      </w:r>
    </w:p>
    <w:p w14:paraId="27031964" w14:textId="4AA2CEFA" w:rsidR="0073799F" w:rsidRPr="00681DAC" w:rsidRDefault="0073799F" w:rsidP="00681DAC">
      <w:pPr>
        <w:rPr>
          <w:rFonts w:eastAsia="Times New Roman"/>
        </w:rPr>
      </w:pPr>
      <w:r w:rsidRPr="00BB67C6">
        <w:rPr>
          <w:rFonts w:eastAsia="Times New Roman"/>
          <w:b/>
          <w:bCs/>
        </w:rPr>
        <w:t>Western Australia</w:t>
      </w:r>
      <w:r w:rsidRPr="00BB67C6">
        <w:rPr>
          <w:rFonts w:eastAsia="Times New Roman"/>
        </w:rPr>
        <w:t xml:space="preserve"> (up by 86,600 or 6.4 per cent) and the </w:t>
      </w:r>
      <w:r w:rsidRPr="00BB67C6">
        <w:rPr>
          <w:rFonts w:eastAsia="Times New Roman"/>
          <w:b/>
          <w:bCs/>
        </w:rPr>
        <w:t>Australian Capital Territory</w:t>
      </w:r>
      <w:r w:rsidRPr="00BB67C6">
        <w:rPr>
          <w:rFonts w:eastAsia="Times New Roman"/>
        </w:rPr>
        <w:t xml:space="preserve"> (up by 13,300 or 5.8 per cent) are also projected to record below average rates of employment growth. In Western Australia, Mining, where employment is expected to increase by 16,200, makes the second largest contribution to projected employment growth (18.7 per cent). As in Victoria and New South Wales, Professional, Scientific and Technical Services makes the second largest contribution to projected employment growth in the Australian Capital Territory (23.0 per cent)</w:t>
      </w:r>
      <w:r w:rsidR="0042687C">
        <w:rPr>
          <w:rFonts w:eastAsia="Times New Roman"/>
        </w:rPr>
        <w:t>,</w:t>
      </w:r>
      <w:r w:rsidRPr="00BB67C6">
        <w:rPr>
          <w:rFonts w:eastAsia="Times New Roman"/>
        </w:rPr>
        <w:t xml:space="preserve"> while the contribution of the Public Administration and Safety industry </w:t>
      </w:r>
      <w:r w:rsidR="0042687C">
        <w:rPr>
          <w:rFonts w:eastAsia="Times New Roman"/>
        </w:rPr>
        <w:t xml:space="preserve">to projected employment growth </w:t>
      </w:r>
      <w:r w:rsidRPr="00BB67C6">
        <w:rPr>
          <w:rFonts w:eastAsia="Times New Roman"/>
        </w:rPr>
        <w:t>is also significant (22.5 per cent</w:t>
      </w:r>
      <w:r w:rsidR="0042687C">
        <w:rPr>
          <w:rFonts w:eastAsia="Times New Roman"/>
        </w:rPr>
        <w:t>,</w:t>
      </w:r>
      <w:r w:rsidRPr="00BB67C6">
        <w:rPr>
          <w:rFonts w:eastAsia="Times New Roman"/>
        </w:rPr>
        <w:t xml:space="preserve"> compared with 3.7 per cent nationally).</w:t>
      </w:r>
    </w:p>
    <w:p w14:paraId="03D0C4F8" w14:textId="3ADB55A3" w:rsidR="00E050A8" w:rsidRPr="00D065E8" w:rsidRDefault="00455DA3" w:rsidP="00E050A8">
      <w:pPr>
        <w:pStyle w:val="NoSpacing"/>
        <w:rPr>
          <w:b/>
        </w:rPr>
      </w:pPr>
      <w:r w:rsidRPr="00D065E8">
        <w:rPr>
          <w:b/>
        </w:rPr>
        <w:t xml:space="preserve">Figure </w:t>
      </w:r>
      <w:r w:rsidR="009F0745">
        <w:rPr>
          <w:b/>
        </w:rPr>
        <w:t>5</w:t>
      </w:r>
      <w:r w:rsidRPr="00D065E8">
        <w:rPr>
          <w:b/>
        </w:rPr>
        <w:t xml:space="preserve">: Projected employment growth by </w:t>
      </w:r>
      <w:r w:rsidR="00D87E33" w:rsidRPr="00D065E8">
        <w:rPr>
          <w:b/>
        </w:rPr>
        <w:t>s</w:t>
      </w:r>
      <w:r w:rsidRPr="00D065E8">
        <w:rPr>
          <w:b/>
        </w:rPr>
        <w:t>tate/</w:t>
      </w:r>
      <w:r w:rsidR="00D87E33" w:rsidRPr="00D065E8">
        <w:rPr>
          <w:b/>
        </w:rPr>
        <w:t>t</w:t>
      </w:r>
      <w:r w:rsidRPr="00D065E8">
        <w:rPr>
          <w:b/>
        </w:rPr>
        <w:t xml:space="preserve">erritory – five years to </w:t>
      </w:r>
      <w:r w:rsidR="00CC375F" w:rsidRPr="00D065E8">
        <w:rPr>
          <w:b/>
        </w:rPr>
        <w:t>November 2025</w:t>
      </w:r>
      <w:r w:rsidRPr="00D065E8">
        <w:rPr>
          <w:b/>
        </w:rPr>
        <w:t xml:space="preserve"> (</w:t>
      </w:r>
      <w:r w:rsidR="00E167D3" w:rsidRPr="00D065E8">
        <w:rPr>
          <w:b/>
        </w:rPr>
        <w:t>’000</w:t>
      </w:r>
      <w:r w:rsidR="001C795A" w:rsidRPr="00D065E8">
        <w:rPr>
          <w:b/>
        </w:rPr>
        <w:t xml:space="preserve"> and per cent</w:t>
      </w:r>
      <w:r w:rsidR="006A1214" w:rsidRPr="00D065E8">
        <w:rPr>
          <w:b/>
        </w:rPr>
        <w:t>)</w:t>
      </w:r>
    </w:p>
    <w:p w14:paraId="7A921E3F" w14:textId="471D60C6" w:rsidR="007E7D59" w:rsidRPr="00A81131" w:rsidRDefault="00D065E8" w:rsidP="00E050A8">
      <w:pPr>
        <w:pStyle w:val="NoSpacing"/>
        <w:spacing w:after="240"/>
        <w:rPr>
          <w:rFonts w:eastAsiaTheme="majorEastAsia" w:cstheme="majorBidi"/>
          <w:b/>
          <w:bCs/>
          <w:color w:val="003D6B"/>
          <w:sz w:val="36"/>
          <w:szCs w:val="36"/>
        </w:rPr>
      </w:pPr>
      <w:r>
        <w:rPr>
          <w:rFonts w:eastAsiaTheme="majorEastAsia" w:cstheme="majorBidi"/>
          <w:b/>
          <w:bCs/>
          <w:noProof/>
          <w:color w:val="003D6B"/>
          <w:sz w:val="36"/>
          <w:szCs w:val="36"/>
          <w:lang w:eastAsia="en-AU"/>
        </w:rPr>
        <w:drawing>
          <wp:inline distT="0" distB="0" distL="0" distR="0" wp14:anchorId="50155D45" wp14:editId="53E9B04D">
            <wp:extent cx="6066155" cy="25120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155" cy="2512060"/>
                    </a:xfrm>
                    <a:prstGeom prst="rect">
                      <a:avLst/>
                    </a:prstGeom>
                    <a:noFill/>
                  </pic:spPr>
                </pic:pic>
              </a:graphicData>
            </a:graphic>
          </wp:inline>
        </w:drawing>
      </w:r>
    </w:p>
    <w:p w14:paraId="2C901BED" w14:textId="77777777" w:rsidR="00E75866" w:rsidRDefault="003F05F6" w:rsidP="00681DAC">
      <w:pPr>
        <w:rPr>
          <w:rFonts w:eastAsia="Times New Roman"/>
        </w:rPr>
      </w:pPr>
      <w:r>
        <w:rPr>
          <w:rFonts w:eastAsia="Times New Roman"/>
        </w:rPr>
        <w:lastRenderedPageBreak/>
        <w:t>E</w:t>
      </w:r>
      <w:r w:rsidR="0073799F" w:rsidRPr="0073799F">
        <w:rPr>
          <w:rFonts w:eastAsia="Times New Roman"/>
        </w:rPr>
        <w:t xml:space="preserve">mployment in </w:t>
      </w:r>
      <w:r w:rsidR="0073799F" w:rsidRPr="0073799F">
        <w:rPr>
          <w:rFonts w:eastAsia="Times New Roman"/>
          <w:b/>
          <w:bCs/>
        </w:rPr>
        <w:t xml:space="preserve">capital cities </w:t>
      </w:r>
      <w:r w:rsidR="0073799F" w:rsidRPr="0073799F">
        <w:rPr>
          <w:rFonts w:eastAsia="Times New Roman"/>
        </w:rPr>
        <w:t xml:space="preserve">is projected to grow by 746,800 (or 8.4 per cent) over the five years to November 2025, making up 75.3 per cent of total projected growth. </w:t>
      </w:r>
      <w:r>
        <w:rPr>
          <w:rFonts w:eastAsia="Times New Roman"/>
        </w:rPr>
        <w:t xml:space="preserve">This growth is driven by the concentration of high growth industries in capital cities. </w:t>
      </w:r>
      <w:r w:rsidR="0073799F" w:rsidRPr="00567716">
        <w:rPr>
          <w:rFonts w:eastAsia="Times New Roman"/>
        </w:rPr>
        <w:t>The Health Care and Social Assistance industry is the largest driver of growth in capital cities (22.9 per cent of total growth in capital cities), followed by Professional, Scientific and Technical Services (15.0 per cent) and Accommodation and Food Services (13.3 per cent).</w:t>
      </w:r>
      <w:r>
        <w:rPr>
          <w:rFonts w:eastAsia="Times New Roman"/>
        </w:rPr>
        <w:t xml:space="preserve"> </w:t>
      </w:r>
    </w:p>
    <w:p w14:paraId="0BC12E39" w14:textId="77059773" w:rsidR="003F05F6" w:rsidRDefault="008A4FE6" w:rsidP="00681DAC">
      <w:pPr>
        <w:rPr>
          <w:rFonts w:eastAsia="Times New Roman"/>
        </w:rPr>
      </w:pPr>
      <w:r w:rsidRPr="00567716">
        <w:rPr>
          <w:rFonts w:eastAsia="Times New Roman"/>
        </w:rPr>
        <w:t>In s</w:t>
      </w:r>
      <w:r w:rsidR="0073799F" w:rsidRPr="00567716">
        <w:rPr>
          <w:rFonts w:eastAsia="Times New Roman"/>
        </w:rPr>
        <w:t>ix of the seven industries that are projected to grow above the national average growth rate</w:t>
      </w:r>
      <w:r w:rsidR="003F05F6">
        <w:rPr>
          <w:rFonts w:eastAsia="Times New Roman"/>
        </w:rPr>
        <w:t>,</w:t>
      </w:r>
      <w:r w:rsidR="0073799F" w:rsidRPr="00567716">
        <w:rPr>
          <w:rFonts w:eastAsia="Times New Roman"/>
        </w:rPr>
        <w:t xml:space="preserve"> </w:t>
      </w:r>
      <w:proofErr w:type="gramStart"/>
      <w:r w:rsidRPr="00567716">
        <w:rPr>
          <w:rFonts w:eastAsia="Times New Roman"/>
        </w:rPr>
        <w:t>the majority of</w:t>
      </w:r>
      <w:proofErr w:type="gramEnd"/>
      <w:r w:rsidRPr="00567716">
        <w:rPr>
          <w:rFonts w:eastAsia="Times New Roman"/>
        </w:rPr>
        <w:t xml:space="preserve"> employment is</w:t>
      </w:r>
      <w:r w:rsidR="0073799F" w:rsidRPr="00567716">
        <w:rPr>
          <w:rFonts w:eastAsia="Times New Roman"/>
        </w:rPr>
        <w:t xml:space="preserve"> located in </w:t>
      </w:r>
      <w:r w:rsidRPr="00567716">
        <w:rPr>
          <w:rFonts w:eastAsia="Times New Roman"/>
        </w:rPr>
        <w:t xml:space="preserve">the </w:t>
      </w:r>
      <w:r w:rsidR="0073799F" w:rsidRPr="00567716">
        <w:rPr>
          <w:rFonts w:eastAsia="Times New Roman"/>
        </w:rPr>
        <w:t>capital cities, with the Mining industry being the only exception.</w:t>
      </w:r>
      <w:r w:rsidR="003F05F6">
        <w:rPr>
          <w:rFonts w:eastAsia="Times New Roman"/>
        </w:rPr>
        <w:t xml:space="preserve"> </w:t>
      </w:r>
      <w:r w:rsidR="0073799F">
        <w:rPr>
          <w:rFonts w:eastAsia="Times New Roman"/>
        </w:rPr>
        <w:t>Five of the seven high-growth industries are projected to further increase their concentration in capital cities, with only the Administrative and Support Services and Arts and Recreation Services having higher growth rates in regional areas.</w:t>
      </w:r>
      <w:r w:rsidR="003F05F6">
        <w:t xml:space="preserve"> </w:t>
      </w:r>
    </w:p>
    <w:p w14:paraId="7C98B1B9" w14:textId="4E9BD0B7" w:rsidR="0073799F" w:rsidRDefault="008A4FE6" w:rsidP="00681DAC">
      <w:pPr>
        <w:rPr>
          <w:rFonts w:eastAsia="Times New Roman"/>
        </w:rPr>
      </w:pPr>
      <w:r w:rsidRPr="00A81131">
        <w:t>Employment is projected to grow at a higher rate in the capital cities than in the rest of the state or territory</w:t>
      </w:r>
      <w:r w:rsidR="00EA4E76">
        <w:t xml:space="preserve"> region</w:t>
      </w:r>
      <w:r w:rsidRPr="00A81131">
        <w:t xml:space="preserve"> within each state and territory except </w:t>
      </w:r>
      <w:r>
        <w:t xml:space="preserve">for </w:t>
      </w:r>
      <w:r w:rsidRPr="00A81131">
        <w:t>Queensland</w:t>
      </w:r>
      <w:r>
        <w:t xml:space="preserve"> and the Northern Territory</w:t>
      </w:r>
      <w:r w:rsidRPr="00A81131">
        <w:t>.</w:t>
      </w:r>
      <w:r w:rsidR="003F05F6">
        <w:rPr>
          <w:rFonts w:cstheme="minorHAnsi"/>
        </w:rPr>
        <w:t xml:space="preserve"> </w:t>
      </w:r>
      <w:r w:rsidRPr="00F76713">
        <w:rPr>
          <w:rFonts w:cstheme="minorHAnsi"/>
        </w:rPr>
        <w:t>The highest capital city concentration of projected employment growth is in Western Australia (</w:t>
      </w:r>
      <w:r w:rsidR="00A46554" w:rsidRPr="00F76713">
        <w:rPr>
          <w:rFonts w:cstheme="minorHAnsi"/>
        </w:rPr>
        <w:t>92</w:t>
      </w:r>
      <w:r w:rsidRPr="00F76713">
        <w:rPr>
          <w:rFonts w:cstheme="minorHAnsi"/>
        </w:rPr>
        <w:t>.</w:t>
      </w:r>
      <w:r w:rsidR="00A46554" w:rsidRPr="003F319F">
        <w:rPr>
          <w:rFonts w:cstheme="minorHAnsi"/>
        </w:rPr>
        <w:t>8</w:t>
      </w:r>
      <w:r w:rsidRPr="003F319F">
        <w:rPr>
          <w:rFonts w:cstheme="minorHAnsi"/>
        </w:rPr>
        <w:t xml:space="preserve"> per cent)</w:t>
      </w:r>
      <w:r w:rsidR="00EA4E76">
        <w:rPr>
          <w:rFonts w:cstheme="minorHAnsi"/>
        </w:rPr>
        <w:t>,</w:t>
      </w:r>
      <w:r w:rsidRPr="003F319F">
        <w:rPr>
          <w:rFonts w:cstheme="minorHAnsi"/>
        </w:rPr>
        <w:t xml:space="preserve"> and the lowest in Queensland (4</w:t>
      </w:r>
      <w:r w:rsidR="00A46554" w:rsidRPr="003F319F">
        <w:rPr>
          <w:rFonts w:cstheme="minorHAnsi"/>
        </w:rPr>
        <w:t>8</w:t>
      </w:r>
      <w:r w:rsidRPr="003F319F">
        <w:rPr>
          <w:rFonts w:cstheme="minorHAnsi"/>
        </w:rPr>
        <w:t>.</w:t>
      </w:r>
      <w:r w:rsidR="00A46554" w:rsidRPr="003F319F">
        <w:rPr>
          <w:rFonts w:cstheme="minorHAnsi"/>
        </w:rPr>
        <w:t>0</w:t>
      </w:r>
      <w:r w:rsidRPr="00766EB8">
        <w:rPr>
          <w:rFonts w:cstheme="minorHAnsi"/>
        </w:rPr>
        <w:t xml:space="preserve"> per cent).</w:t>
      </w:r>
    </w:p>
    <w:p w14:paraId="0D9CDA10" w14:textId="609EFEA4" w:rsidR="003F05F6" w:rsidRDefault="0073799F" w:rsidP="00681DAC">
      <w:pPr>
        <w:rPr>
          <w:rFonts w:eastAsia="Times New Roman"/>
        </w:rPr>
      </w:pPr>
      <w:r w:rsidRPr="0073799F">
        <w:rPr>
          <w:rFonts w:eastAsia="Times New Roman"/>
        </w:rPr>
        <w:t xml:space="preserve">Employment in </w:t>
      </w:r>
      <w:r w:rsidRPr="00567716">
        <w:rPr>
          <w:rFonts w:eastAsia="Times New Roman"/>
          <w:b/>
        </w:rPr>
        <w:t>r</w:t>
      </w:r>
      <w:r w:rsidRPr="0073799F">
        <w:rPr>
          <w:rFonts w:eastAsia="Times New Roman"/>
          <w:b/>
          <w:bCs/>
        </w:rPr>
        <w:t>egional Australia</w:t>
      </w:r>
      <w:r w:rsidRPr="0073799F">
        <w:rPr>
          <w:rFonts w:eastAsia="Times New Roman"/>
        </w:rPr>
        <w:t xml:space="preserve"> is projected to grow by 244,800 (or 6.2 per cent) over the five years to November 2025, making up 24.7 per cent of total projected growth.</w:t>
      </w:r>
      <w:r w:rsidR="003F05F6">
        <w:rPr>
          <w:rFonts w:eastAsia="Times New Roman"/>
        </w:rPr>
        <w:t xml:space="preserve"> </w:t>
      </w:r>
      <w:r w:rsidRPr="00567716">
        <w:rPr>
          <w:rFonts w:eastAsia="Times New Roman"/>
        </w:rPr>
        <w:t>The Health Care and Social Assistance industry is the largest driver of growth in regional areas (32.0 per cent of total growth in regional areas), followed by Accommodation and Food Services (16.5 per cent) and Education and Training (10.6 per cent).</w:t>
      </w:r>
    </w:p>
    <w:p w14:paraId="38C42480" w14:textId="4A79224F" w:rsidR="00504D7D" w:rsidRPr="00F76713" w:rsidRDefault="0073799F" w:rsidP="00681DAC">
      <w:pPr>
        <w:rPr>
          <w:rFonts w:eastAsia="Times New Roman"/>
        </w:rPr>
      </w:pPr>
      <w:r w:rsidRPr="003C4B64">
        <w:rPr>
          <w:rFonts w:eastAsia="Times New Roman"/>
        </w:rPr>
        <w:t xml:space="preserve">The regions where employment is projected to grow fastest are regional Queensland (up by 8.4 per cent), regional </w:t>
      </w:r>
      <w:r w:rsidR="008F2146" w:rsidRPr="003C4B64">
        <w:rPr>
          <w:rFonts w:eastAsia="Times New Roman"/>
        </w:rPr>
        <w:t>Victoria (up by 6.4 per cent)</w:t>
      </w:r>
      <w:r w:rsidRPr="003C4B64">
        <w:rPr>
          <w:rFonts w:eastAsia="Times New Roman"/>
        </w:rPr>
        <w:t xml:space="preserve"> and regional</w:t>
      </w:r>
      <w:r w:rsidR="008F2146">
        <w:rPr>
          <w:rFonts w:eastAsia="Times New Roman"/>
        </w:rPr>
        <w:t xml:space="preserve"> </w:t>
      </w:r>
      <w:r w:rsidR="008F2146" w:rsidRPr="003C4B64">
        <w:rPr>
          <w:rFonts w:eastAsia="Times New Roman"/>
        </w:rPr>
        <w:t>New South Wales (up by 5.9 per cent)</w:t>
      </w:r>
      <w:r w:rsidRPr="003C4B64">
        <w:rPr>
          <w:rFonts w:eastAsia="Times New Roman"/>
        </w:rPr>
        <w:t>.</w:t>
      </w:r>
      <w:r w:rsidR="003F05F6" w:rsidRPr="003C4B64">
        <w:t xml:space="preserve"> </w:t>
      </w:r>
      <w:r w:rsidR="00504D7D" w:rsidRPr="003C4B64">
        <w:t>The regional areas of Victoria and Queensland are also projected to have employment growth stronger than metropolitan areas in most of the smaller states. Employment in the Rest of Victoria (up by 6.4 per cent or 46,700) and the Rest of Queensland (8.</w:t>
      </w:r>
      <w:r w:rsidR="008A4FE6" w:rsidRPr="003C4B64">
        <w:t>4</w:t>
      </w:r>
      <w:r w:rsidR="00504D7D" w:rsidRPr="003C4B64">
        <w:t xml:space="preserve"> per cent or 1</w:t>
      </w:r>
      <w:r w:rsidR="008A4FE6" w:rsidRPr="003C4B64">
        <w:t>05</w:t>
      </w:r>
      <w:r w:rsidR="00504D7D" w:rsidRPr="003C4B64">
        <w:t>,</w:t>
      </w:r>
      <w:r w:rsidR="008A4FE6" w:rsidRPr="003C4B64">
        <w:t>6</w:t>
      </w:r>
      <w:r w:rsidR="00504D7D" w:rsidRPr="003C4B64">
        <w:t xml:space="preserve">00) are both projected to grow at higher rates than is employment in </w:t>
      </w:r>
      <w:r w:rsidR="003C4B64" w:rsidRPr="003C4B64">
        <w:t>the Australian Capital Territory (5.8 per cent or 13,300)</w:t>
      </w:r>
      <w:r w:rsidR="003C4B64">
        <w:t>,</w:t>
      </w:r>
      <w:r w:rsidR="003C4B64" w:rsidRPr="003C4B64">
        <w:t xml:space="preserve"> </w:t>
      </w:r>
      <w:r w:rsidR="00504D7D" w:rsidRPr="003C4B64">
        <w:t>Greater Adelaide (</w:t>
      </w:r>
      <w:r w:rsidR="008A4FE6" w:rsidRPr="003C4B64">
        <w:t>5</w:t>
      </w:r>
      <w:r w:rsidR="00504D7D" w:rsidRPr="003C4B64">
        <w:t>.</w:t>
      </w:r>
      <w:r w:rsidR="008A4FE6" w:rsidRPr="003C4B64">
        <w:t>9</w:t>
      </w:r>
      <w:r w:rsidR="00504D7D" w:rsidRPr="003C4B64">
        <w:t xml:space="preserve"> per cent or </w:t>
      </w:r>
      <w:r w:rsidR="008A4FE6" w:rsidRPr="003C4B64">
        <w:t>39</w:t>
      </w:r>
      <w:r w:rsidR="00504D7D" w:rsidRPr="003C4B64">
        <w:t>,</w:t>
      </w:r>
      <w:r w:rsidR="008A4FE6" w:rsidRPr="003C4B64">
        <w:t>3</w:t>
      </w:r>
      <w:r w:rsidR="00504D7D" w:rsidRPr="003C4B64">
        <w:t>00) and Greater Hobart (</w:t>
      </w:r>
      <w:r w:rsidR="008A4FE6" w:rsidRPr="003C4B64">
        <w:t>6</w:t>
      </w:r>
      <w:r w:rsidR="00504D7D" w:rsidRPr="003C4B64">
        <w:t>.</w:t>
      </w:r>
      <w:r w:rsidR="003C4B64" w:rsidRPr="003C4B64">
        <w:t xml:space="preserve">3 </w:t>
      </w:r>
      <w:r w:rsidR="00504D7D" w:rsidRPr="003C4B64">
        <w:t>per cent or 7</w:t>
      </w:r>
      <w:r w:rsidR="008A4FE6" w:rsidRPr="003C4B64">
        <w:t>2</w:t>
      </w:r>
      <w:r w:rsidR="00504D7D" w:rsidRPr="003C4B64">
        <w:t>00).</w:t>
      </w:r>
    </w:p>
    <w:p w14:paraId="7228D39E" w14:textId="7F6AECEC" w:rsidR="001C267C" w:rsidRDefault="001C267C" w:rsidP="00681DAC">
      <w:r>
        <w:rPr>
          <w:rStyle w:val="SubtleEmphasis"/>
          <w:i w:val="0"/>
          <w:iCs w:val="0"/>
          <w:color w:val="auto"/>
        </w:rPr>
        <w:t xml:space="preserve">Projected employment growth by state and major </w:t>
      </w:r>
      <w:r>
        <w:t xml:space="preserve">statistical areas </w:t>
      </w:r>
      <w:r>
        <w:rPr>
          <w:rStyle w:val="SubtleEmphasis"/>
          <w:i w:val="0"/>
          <w:iCs w:val="0"/>
          <w:color w:val="auto"/>
        </w:rPr>
        <w:t xml:space="preserve">can be explored using the Employment Outlook dashboard, which can be found on the </w:t>
      </w:r>
      <w:hyperlink r:id="rId15" w:history="1">
        <w:r w:rsidR="00507D12" w:rsidRPr="00507D12">
          <w:rPr>
            <w:rStyle w:val="Hyperlink"/>
          </w:rPr>
          <w:t>Labour Market Information Portal Tableau page</w:t>
        </w:r>
      </w:hyperlink>
      <w:r w:rsidR="00507D12">
        <w:rPr>
          <w:rStyle w:val="SubtleEmphasis"/>
          <w:i w:val="0"/>
          <w:iCs w:val="0"/>
          <w:color w:val="auto"/>
        </w:rPr>
        <w:t>.</w:t>
      </w:r>
    </w:p>
    <w:p w14:paraId="2A05F0C6" w14:textId="77777777" w:rsidR="00E37B3D" w:rsidRPr="00E37B3D" w:rsidRDefault="00E37B3D" w:rsidP="00681DAC">
      <w:pPr>
        <w:rPr>
          <w:rFonts w:ascii="Calibri" w:eastAsia="Times New Roman" w:hAnsi="Calibri" w:cs="Calibri"/>
          <w:lang w:eastAsia="en-AU"/>
        </w:rPr>
      </w:pPr>
      <w:r w:rsidRPr="00E37B3D">
        <w:rPr>
          <w:rFonts w:ascii="Calibri" w:eastAsia="Times New Roman" w:hAnsi="Calibri" w:cs="Calibri"/>
          <w:lang w:eastAsia="en-AU"/>
        </w:rPr>
        <w:t>Employment is projected to exceed pre-COVID-19 levels by November 2025 in all states and territories. Employment in November 2020 exceeded pre-COVID-19 levels in Greater Perth and the Rest of Western Australia only. As shown in Figure 6, at the metro and regional level, employment is projected to exceed pre-COVID-19 levels by November 2025 everywhere except for the Rest of South Australia and Darwin.</w:t>
      </w:r>
    </w:p>
    <w:p w14:paraId="631BAF55" w14:textId="77777777" w:rsidR="00A11B4E" w:rsidRDefault="00A11B4E" w:rsidP="00A11B4E">
      <w:pPr>
        <w:spacing w:after="0" w:line="240" w:lineRule="auto"/>
      </w:pPr>
    </w:p>
    <w:p w14:paraId="09B150C5" w14:textId="77777777" w:rsidR="00A11B4E" w:rsidRDefault="00A11B4E">
      <w:pPr>
        <w:spacing w:after="0" w:line="240" w:lineRule="auto"/>
        <w:rPr>
          <w:rFonts w:ascii="Calibri" w:eastAsia="Calibri" w:hAnsi="Calibri" w:cs="Times New Roman"/>
          <w:b/>
        </w:rPr>
      </w:pPr>
      <w:r>
        <w:rPr>
          <w:b/>
        </w:rPr>
        <w:br w:type="page"/>
      </w:r>
    </w:p>
    <w:p w14:paraId="1A7009FA" w14:textId="71894C63" w:rsidR="000D6EBD" w:rsidRDefault="00A11B4E" w:rsidP="00A11B4E">
      <w:pPr>
        <w:pStyle w:val="NoSpacing"/>
        <w:rPr>
          <w:rFonts w:eastAsiaTheme="majorEastAsia" w:cstheme="majorBidi"/>
          <w:color w:val="003D6B"/>
          <w:sz w:val="36"/>
          <w:szCs w:val="36"/>
        </w:rPr>
      </w:pPr>
      <w:r w:rsidRPr="00FE36CA">
        <w:rPr>
          <w:b/>
        </w:rPr>
        <w:lastRenderedPageBreak/>
        <w:t xml:space="preserve">Figure 6: </w:t>
      </w:r>
      <w:r w:rsidRPr="00A11B4E">
        <w:rPr>
          <w:b/>
        </w:rPr>
        <w:t>Pre-COVID</w:t>
      </w:r>
      <w:r w:rsidRPr="00A11B4E">
        <w:rPr>
          <w:b/>
        </w:rPr>
        <w:noBreakHyphen/>
        <w:t>19, projection base and projected employment levels for metro and regional areas</w:t>
      </w:r>
      <w:r>
        <w:rPr>
          <w:noProof/>
          <w:lang w:eastAsia="en-AU"/>
        </w:rPr>
        <w:drawing>
          <wp:inline distT="0" distB="0" distL="0" distR="0" wp14:anchorId="13388116" wp14:editId="5C150F4C">
            <wp:extent cx="6120130" cy="4161790"/>
            <wp:effectExtent l="0" t="0" r="0" b="0"/>
            <wp:docPr id="5" name="Chart 5">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n-AU"/>
        </w:rPr>
        <w:drawing>
          <wp:inline distT="0" distB="0" distL="0" distR="0" wp14:anchorId="34BA59BA" wp14:editId="1456AF37">
            <wp:extent cx="6120130" cy="3943350"/>
            <wp:effectExtent l="0" t="0" r="0" b="0"/>
            <wp:docPr id="3" name="Chart 3">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746155" w14:textId="61B2A2F1" w:rsidR="005902F3" w:rsidRPr="004C2FE3" w:rsidRDefault="00D065E8" w:rsidP="00D065E8">
      <w:pPr>
        <w:rPr>
          <w:i/>
          <w:sz w:val="16"/>
          <w:szCs w:val="16"/>
        </w:rPr>
      </w:pPr>
      <w:r w:rsidRPr="004C2FE3">
        <w:rPr>
          <w:i/>
          <w:sz w:val="16"/>
          <w:szCs w:val="16"/>
        </w:rPr>
        <w:t>Source: National Skills Commission, 2020 Employment Projections, five years to November 2025</w:t>
      </w:r>
      <w:r w:rsidR="00B771FB" w:rsidRPr="004C2FE3">
        <w:rPr>
          <w:i/>
          <w:sz w:val="16"/>
          <w:szCs w:val="16"/>
        </w:rPr>
        <w:t xml:space="preserve"> </w:t>
      </w:r>
      <w:r w:rsidRPr="004C2FE3">
        <w:rPr>
          <w:i/>
          <w:sz w:val="16"/>
          <w:szCs w:val="16"/>
        </w:rPr>
        <w:t>and</w:t>
      </w:r>
      <w:r w:rsidRPr="004C2FE3">
        <w:rPr>
          <w:bCs/>
          <w:i/>
          <w:sz w:val="16"/>
          <w:szCs w:val="16"/>
        </w:rPr>
        <w:t xml:space="preserve"> </w:t>
      </w:r>
      <w:r w:rsidRPr="004C2FE3">
        <w:rPr>
          <w:i/>
          <w:sz w:val="16"/>
          <w:szCs w:val="16"/>
        </w:rPr>
        <w:t>ABS, Labour Force, Australia, Detailed</w:t>
      </w:r>
      <w:r w:rsidR="00FA0906">
        <w:rPr>
          <w:i/>
          <w:sz w:val="16"/>
          <w:szCs w:val="16"/>
        </w:rPr>
        <w:t>,</w:t>
      </w:r>
      <w:r w:rsidRPr="004C2FE3">
        <w:rPr>
          <w:i/>
          <w:sz w:val="16"/>
          <w:szCs w:val="16"/>
        </w:rPr>
        <w:t xml:space="preserve"> National Skills Commission seasonally adjusted</w:t>
      </w:r>
    </w:p>
    <w:p w14:paraId="29E5AEBE" w14:textId="17661304" w:rsidR="00A11B4E" w:rsidRDefault="00A11B4E" w:rsidP="00D065E8"/>
    <w:p w14:paraId="41F44982" w14:textId="77777777" w:rsidR="004C2FE3" w:rsidRDefault="004C2FE3" w:rsidP="00D065E8"/>
    <w:p w14:paraId="31AA3879" w14:textId="794C3287" w:rsidR="00455DA3" w:rsidRPr="00A81131" w:rsidRDefault="00455DA3" w:rsidP="00455DA3">
      <w:pPr>
        <w:pStyle w:val="Heading1"/>
        <w:keepNext w:val="0"/>
        <w:spacing w:before="0" w:after="240" w:line="240" w:lineRule="auto"/>
        <w:contextualSpacing/>
        <w:rPr>
          <w:rFonts w:ascii="Calibri" w:eastAsiaTheme="majorEastAsia" w:hAnsi="Calibri" w:cstheme="majorBidi"/>
          <w:color w:val="003D6B"/>
          <w:sz w:val="36"/>
          <w:szCs w:val="36"/>
        </w:rPr>
      </w:pPr>
      <w:bookmarkStart w:id="17" w:name="_Toc80282663"/>
      <w:r w:rsidRPr="00A81131">
        <w:rPr>
          <w:rFonts w:ascii="Calibri" w:eastAsiaTheme="majorEastAsia" w:hAnsi="Calibri" w:cstheme="majorBidi"/>
          <w:color w:val="003D6B"/>
          <w:sz w:val="36"/>
          <w:szCs w:val="36"/>
        </w:rPr>
        <w:lastRenderedPageBreak/>
        <w:t>Background and methodology</w:t>
      </w:r>
      <w:bookmarkEnd w:id="17"/>
    </w:p>
    <w:p w14:paraId="1B706E24" w14:textId="630724C1" w:rsidR="005902F3" w:rsidRPr="005902F3" w:rsidRDefault="00455DA3" w:rsidP="005902F3">
      <w:pPr>
        <w:spacing w:before="120" w:after="120"/>
        <w:jc w:val="both"/>
        <w:rPr>
          <w:rFonts w:ascii="Calibri" w:hAnsi="Calibri" w:cs="Calibri"/>
        </w:rPr>
      </w:pPr>
      <w:r w:rsidRPr="005902F3">
        <w:rPr>
          <w:rFonts w:ascii="Calibri" w:hAnsi="Calibri" w:cs="Calibri"/>
        </w:rPr>
        <w:t xml:space="preserve">Each year, the </w:t>
      </w:r>
      <w:r w:rsidR="00D065E8" w:rsidRPr="005902F3">
        <w:rPr>
          <w:rFonts w:ascii="Calibri" w:hAnsi="Calibri" w:cs="Calibri"/>
        </w:rPr>
        <w:t>National Skills Commission</w:t>
      </w:r>
      <w:r w:rsidR="00D86001" w:rsidRPr="005902F3">
        <w:rPr>
          <w:rFonts w:ascii="Calibri" w:hAnsi="Calibri" w:cs="Calibri"/>
        </w:rPr>
        <w:t xml:space="preserve"> </w:t>
      </w:r>
      <w:r w:rsidRPr="005902F3">
        <w:rPr>
          <w:rFonts w:ascii="Calibri" w:hAnsi="Calibri" w:cs="Calibri"/>
        </w:rPr>
        <w:t>produces employment projections by industry, occupation</w:t>
      </w:r>
      <w:r w:rsidR="00506209" w:rsidRPr="005902F3">
        <w:rPr>
          <w:rFonts w:ascii="Calibri" w:hAnsi="Calibri" w:cs="Calibri"/>
        </w:rPr>
        <w:t>,</w:t>
      </w:r>
      <w:r w:rsidR="00BD2EC2" w:rsidRPr="005902F3">
        <w:rPr>
          <w:rFonts w:ascii="Calibri" w:hAnsi="Calibri" w:cs="Calibri"/>
        </w:rPr>
        <w:t xml:space="preserve"> skill level</w:t>
      </w:r>
      <w:r w:rsidRPr="005902F3">
        <w:rPr>
          <w:rFonts w:ascii="Calibri" w:hAnsi="Calibri" w:cs="Calibri"/>
        </w:rPr>
        <w:t xml:space="preserve"> and region for the following five years, the latest being the five years to </w:t>
      </w:r>
      <w:r w:rsidR="00CC375F" w:rsidRPr="005902F3">
        <w:rPr>
          <w:rFonts w:ascii="Calibri" w:hAnsi="Calibri" w:cs="Calibri"/>
        </w:rPr>
        <w:t>November 2025</w:t>
      </w:r>
      <w:r w:rsidRPr="005902F3">
        <w:rPr>
          <w:rFonts w:ascii="Calibri" w:hAnsi="Calibri" w:cs="Calibri"/>
        </w:rPr>
        <w:t xml:space="preserve">. These projections are designed to provide a guide to the future direction of </w:t>
      </w:r>
      <w:r w:rsidR="00E449D8" w:rsidRPr="005902F3">
        <w:rPr>
          <w:rFonts w:ascii="Calibri" w:hAnsi="Calibri" w:cs="Calibri"/>
        </w:rPr>
        <w:t>the labour market. H</w:t>
      </w:r>
      <w:r w:rsidRPr="005902F3">
        <w:rPr>
          <w:rFonts w:ascii="Calibri" w:hAnsi="Calibri" w:cs="Calibri"/>
        </w:rPr>
        <w:t xml:space="preserve">owever, like all such exercises, they are subject to an inherent degree of uncertainty. </w:t>
      </w:r>
      <w:r w:rsidR="009E0C67" w:rsidRPr="005902F3">
        <w:rPr>
          <w:rFonts w:ascii="Calibri" w:hAnsi="Calibri" w:cs="Calibri"/>
        </w:rPr>
        <w:t>Caution should be exercised when using these projections. A</w:t>
      </w:r>
      <w:r w:rsidRPr="005902F3">
        <w:rPr>
          <w:rFonts w:ascii="Calibri" w:hAnsi="Calibri" w:cs="Calibri"/>
        </w:rPr>
        <w:t xml:space="preserve">ll efforts have been made to ensure these projections are as accurate as possible, </w:t>
      </w:r>
      <w:r w:rsidR="009E0C67" w:rsidRPr="005902F3">
        <w:rPr>
          <w:rFonts w:ascii="Calibri" w:hAnsi="Calibri" w:cs="Calibri"/>
        </w:rPr>
        <w:t>however</w:t>
      </w:r>
      <w:r w:rsidR="0084221B" w:rsidRPr="005902F3">
        <w:rPr>
          <w:rFonts w:ascii="Calibri" w:hAnsi="Calibri" w:cs="Calibri"/>
        </w:rPr>
        <w:t>,</w:t>
      </w:r>
      <w:r w:rsidR="009E0C67" w:rsidRPr="005902F3">
        <w:rPr>
          <w:rFonts w:ascii="Calibri" w:hAnsi="Calibri" w:cs="Calibri"/>
        </w:rPr>
        <w:t xml:space="preserve"> </w:t>
      </w:r>
      <w:r w:rsidR="005860C0">
        <w:rPr>
          <w:rFonts w:ascii="Calibri" w:hAnsi="Calibri" w:cs="Calibri"/>
        </w:rPr>
        <w:t xml:space="preserve">the </w:t>
      </w:r>
      <w:r w:rsidR="009E0C67" w:rsidRPr="005902F3">
        <w:rPr>
          <w:rFonts w:ascii="Calibri" w:hAnsi="Calibri" w:cs="Calibri"/>
        </w:rPr>
        <w:t xml:space="preserve">data used is inherently volatile and there </w:t>
      </w:r>
      <w:r w:rsidR="0013134E" w:rsidRPr="005902F3">
        <w:rPr>
          <w:rFonts w:ascii="Calibri" w:hAnsi="Calibri" w:cs="Calibri"/>
        </w:rPr>
        <w:t xml:space="preserve">are </w:t>
      </w:r>
      <w:proofErr w:type="gramStart"/>
      <w:r w:rsidR="009E0C67" w:rsidRPr="005902F3">
        <w:rPr>
          <w:rFonts w:ascii="Calibri" w:hAnsi="Calibri" w:cs="Calibri"/>
        </w:rPr>
        <w:t xml:space="preserve">a </w:t>
      </w:r>
      <w:r w:rsidRPr="005902F3">
        <w:rPr>
          <w:rFonts w:ascii="Calibri" w:hAnsi="Calibri" w:cs="Calibri"/>
        </w:rPr>
        <w:t>la</w:t>
      </w:r>
      <w:r w:rsidR="00E449D8" w:rsidRPr="005902F3">
        <w:rPr>
          <w:rFonts w:ascii="Calibri" w:hAnsi="Calibri" w:cs="Calibri"/>
        </w:rPr>
        <w:t>rge number of</w:t>
      </w:r>
      <w:proofErr w:type="gramEnd"/>
      <w:r w:rsidR="00E449D8" w:rsidRPr="005902F3">
        <w:rPr>
          <w:rFonts w:ascii="Calibri" w:hAnsi="Calibri" w:cs="Calibri"/>
        </w:rPr>
        <w:t xml:space="preserve"> small series</w:t>
      </w:r>
      <w:r w:rsidRPr="005902F3">
        <w:rPr>
          <w:rFonts w:ascii="Calibri" w:hAnsi="Calibri" w:cs="Calibri"/>
        </w:rPr>
        <w:t xml:space="preserve">. </w:t>
      </w:r>
      <w:r w:rsidR="005902F3" w:rsidRPr="005902F3">
        <w:rPr>
          <w:rFonts w:ascii="Calibri" w:hAnsi="Calibri" w:cs="Calibri"/>
        </w:rPr>
        <w:t xml:space="preserve">Please note that due to the unprecedented changes in labour market indicators </w:t>
      </w:r>
      <w:proofErr w:type="gramStart"/>
      <w:r w:rsidR="005902F3" w:rsidRPr="005902F3">
        <w:rPr>
          <w:rFonts w:ascii="Calibri" w:hAnsi="Calibri" w:cs="Calibri"/>
        </w:rPr>
        <w:t>as a result of</w:t>
      </w:r>
      <w:proofErr w:type="gramEnd"/>
      <w:r w:rsidR="005902F3" w:rsidRPr="005902F3">
        <w:rPr>
          <w:rFonts w:ascii="Calibri" w:hAnsi="Calibri" w:cs="Calibri"/>
        </w:rPr>
        <w:t xml:space="preserve"> COVID-19, the ABS ceased the publication of trend estimates in March 2020, which have in the past been a key component for the employment projections. Seasonally adjusted data, which are more </w:t>
      </w:r>
      <w:r w:rsidR="000C6CFD">
        <w:rPr>
          <w:rFonts w:ascii="Calibri" w:hAnsi="Calibri" w:cs="Calibri"/>
        </w:rPr>
        <w:t>variable</w:t>
      </w:r>
      <w:r w:rsidR="005902F3" w:rsidRPr="005902F3">
        <w:rPr>
          <w:rFonts w:ascii="Calibri" w:hAnsi="Calibri" w:cs="Calibri"/>
        </w:rPr>
        <w:t xml:space="preserve">, have been used instead. </w:t>
      </w:r>
    </w:p>
    <w:p w14:paraId="33C2982A" w14:textId="57A251DB" w:rsidR="007C51E3" w:rsidRPr="00A81131" w:rsidRDefault="007C51E3" w:rsidP="007C51E3">
      <w:pPr>
        <w:spacing w:before="120" w:after="120"/>
        <w:jc w:val="both"/>
        <w:rPr>
          <w:rFonts w:ascii="Calibri" w:hAnsi="Calibri" w:cs="Calibri"/>
        </w:rPr>
      </w:pPr>
      <w:r w:rsidRPr="00A81131">
        <w:rPr>
          <w:rFonts w:ascii="Calibri" w:hAnsi="Calibri" w:cs="Calibri"/>
        </w:rPr>
        <w:t xml:space="preserve">The projections have been derived from best practice time series models that summarise the information that is in a time series and convert it into a forecast. The projections are made by combining forecasts from autoregressive integrated moving average (ARIMA) and exponential smoothing with damped trend (ESWDT) models, with some adjustments made to take account of research undertaken by the </w:t>
      </w:r>
      <w:r w:rsidR="005902F3">
        <w:rPr>
          <w:rFonts w:ascii="Calibri" w:hAnsi="Calibri" w:cs="Calibri"/>
        </w:rPr>
        <w:t>National Skills Commission</w:t>
      </w:r>
      <w:r w:rsidRPr="00A81131">
        <w:rPr>
          <w:rFonts w:ascii="Calibri" w:hAnsi="Calibri" w:cs="Calibri"/>
        </w:rPr>
        <w:t xml:space="preserve"> and known future industry developments. The projection for total employment growth is consistent with employment growth </w:t>
      </w:r>
      <w:r w:rsidR="005902F3">
        <w:rPr>
          <w:rFonts w:ascii="Calibri" w:hAnsi="Calibri" w:cs="Calibri"/>
        </w:rPr>
        <w:t>to November</w:t>
      </w:r>
      <w:r w:rsidRPr="00A81131">
        <w:rPr>
          <w:rFonts w:ascii="Calibri" w:hAnsi="Calibri" w:cs="Calibri"/>
        </w:rPr>
        <w:t xml:space="preserve"> </w:t>
      </w:r>
      <w:r w:rsidR="00EC7251" w:rsidRPr="00A81131">
        <w:rPr>
          <w:rFonts w:ascii="Calibri" w:hAnsi="Calibri" w:cs="Calibri"/>
        </w:rPr>
        <w:t>20</w:t>
      </w:r>
      <w:r w:rsidR="005902F3">
        <w:rPr>
          <w:rFonts w:ascii="Calibri" w:hAnsi="Calibri" w:cs="Calibri"/>
        </w:rPr>
        <w:t>20</w:t>
      </w:r>
      <w:r w:rsidRPr="00A81131">
        <w:rPr>
          <w:rFonts w:ascii="Calibri" w:hAnsi="Calibri" w:cs="Calibri"/>
        </w:rPr>
        <w:t xml:space="preserve"> and the Government’s forecasts and projections for total employment growth from </w:t>
      </w:r>
      <w:r w:rsidR="00EC7251" w:rsidRPr="00A81131">
        <w:rPr>
          <w:rFonts w:ascii="Calibri" w:hAnsi="Calibri" w:cs="Calibri"/>
        </w:rPr>
        <w:t>20</w:t>
      </w:r>
      <w:r w:rsidR="005902F3">
        <w:rPr>
          <w:rFonts w:ascii="Calibri" w:hAnsi="Calibri" w:cs="Calibri"/>
        </w:rPr>
        <w:t>20</w:t>
      </w:r>
      <w:r w:rsidRPr="00A81131">
        <w:rPr>
          <w:rFonts w:ascii="Calibri" w:hAnsi="Calibri" w:cs="Calibri"/>
        </w:rPr>
        <w:t>-</w:t>
      </w:r>
      <w:r w:rsidR="002A7577" w:rsidRPr="00A81131">
        <w:rPr>
          <w:rFonts w:ascii="Calibri" w:hAnsi="Calibri" w:cs="Calibri"/>
        </w:rPr>
        <w:t>2</w:t>
      </w:r>
      <w:r w:rsidR="005902F3">
        <w:rPr>
          <w:rFonts w:ascii="Calibri" w:hAnsi="Calibri" w:cs="Calibri"/>
        </w:rPr>
        <w:t>1</w:t>
      </w:r>
      <w:r w:rsidRPr="00A81131">
        <w:rPr>
          <w:rFonts w:ascii="Calibri" w:hAnsi="Calibri" w:cs="Calibri"/>
        </w:rPr>
        <w:t xml:space="preserve"> onwards, as published in the </w:t>
      </w:r>
      <w:r w:rsidR="00EC7251" w:rsidRPr="00A81131">
        <w:rPr>
          <w:rFonts w:ascii="Calibri" w:hAnsi="Calibri" w:cs="Calibri"/>
        </w:rPr>
        <w:t>20</w:t>
      </w:r>
      <w:r w:rsidR="005902F3">
        <w:rPr>
          <w:rFonts w:ascii="Calibri" w:hAnsi="Calibri" w:cs="Calibri"/>
        </w:rPr>
        <w:t>20</w:t>
      </w:r>
      <w:r w:rsidRPr="00A81131">
        <w:rPr>
          <w:rFonts w:ascii="Calibri" w:hAnsi="Calibri" w:cs="Calibri"/>
        </w:rPr>
        <w:t>-</w:t>
      </w:r>
      <w:r w:rsidR="002A7577" w:rsidRPr="00A81131">
        <w:rPr>
          <w:rFonts w:ascii="Calibri" w:hAnsi="Calibri" w:cs="Calibri"/>
        </w:rPr>
        <w:t>2</w:t>
      </w:r>
      <w:r w:rsidR="005902F3">
        <w:rPr>
          <w:rFonts w:ascii="Calibri" w:hAnsi="Calibri" w:cs="Calibri"/>
        </w:rPr>
        <w:t>1</w:t>
      </w:r>
      <w:r w:rsidRPr="00A81131">
        <w:rPr>
          <w:rFonts w:ascii="Calibri" w:hAnsi="Calibri" w:cs="Calibri"/>
        </w:rPr>
        <w:t xml:space="preserve"> </w:t>
      </w:r>
      <w:r w:rsidR="005902F3">
        <w:rPr>
          <w:rFonts w:ascii="Calibri" w:hAnsi="Calibri" w:cs="Calibri"/>
        </w:rPr>
        <w:t>MYEFO</w:t>
      </w:r>
      <w:r w:rsidRPr="00A81131">
        <w:rPr>
          <w:rFonts w:ascii="Calibri" w:hAnsi="Calibri" w:cs="Calibri"/>
        </w:rPr>
        <w:t>.</w:t>
      </w:r>
    </w:p>
    <w:p w14:paraId="392F4A24" w14:textId="027CC2E3" w:rsidR="00455DA3" w:rsidRPr="00A81131" w:rsidRDefault="00455DA3" w:rsidP="00455DA3">
      <w:pPr>
        <w:jc w:val="both"/>
      </w:pPr>
      <w:r w:rsidRPr="00A81131">
        <w:t xml:space="preserve">The projections for total employment by state and territory are not directly comparable with the forecasts and projections published in state and territory budgets, which typically have shorter forecast horizons and different base periods. The </w:t>
      </w:r>
      <w:r w:rsidR="005902F3">
        <w:t>National Skills Commission</w:t>
      </w:r>
      <w:r w:rsidR="00D86001" w:rsidRPr="00A81131">
        <w:t>’</w:t>
      </w:r>
      <w:r w:rsidR="005902F3">
        <w:t>s</w:t>
      </w:r>
      <w:r w:rsidR="00D86001" w:rsidRPr="00A81131">
        <w:t xml:space="preserve"> </w:t>
      </w:r>
      <w:r w:rsidRPr="00A81131">
        <w:t xml:space="preserve">projections are also medium term and point-in-time </w:t>
      </w:r>
      <w:proofErr w:type="gramStart"/>
      <w:r w:rsidRPr="00A81131">
        <w:t>projections, and</w:t>
      </w:r>
      <w:proofErr w:type="gramEnd"/>
      <w:r w:rsidRPr="00A81131">
        <w:t xml:space="preserve"> are thus not indicative of expected employment growth in the short term.</w:t>
      </w:r>
    </w:p>
    <w:p w14:paraId="663C2988" w14:textId="637A29D7" w:rsidR="00455DA3" w:rsidRPr="00A81131" w:rsidRDefault="00455DA3" w:rsidP="00455DA3">
      <w:pPr>
        <w:jc w:val="both"/>
      </w:pPr>
      <w:r w:rsidRPr="00A81131">
        <w:t xml:space="preserve">Further information on </w:t>
      </w:r>
      <w:r w:rsidR="005902F3">
        <w:t>National Skills Commission</w:t>
      </w:r>
      <w:r w:rsidR="005902F3" w:rsidRPr="00A81131">
        <w:t>’</w:t>
      </w:r>
      <w:r w:rsidR="005902F3">
        <w:t>s</w:t>
      </w:r>
      <w:r w:rsidR="005902F3" w:rsidRPr="00A81131">
        <w:t xml:space="preserve"> </w:t>
      </w:r>
      <w:r w:rsidRPr="00A81131">
        <w:t xml:space="preserve">projections, including downloadable spreadsheets, can be found at: </w:t>
      </w:r>
      <w:hyperlink r:id="rId18" w:history="1">
        <w:r w:rsidR="005902F3">
          <w:rPr>
            <w:rStyle w:val="Hyperlink"/>
          </w:rPr>
          <w:t>Employment</w:t>
        </w:r>
        <w:r w:rsidR="00511D47">
          <w:rPr>
            <w:rStyle w:val="Hyperlink"/>
          </w:rPr>
          <w:t xml:space="preserve"> </w:t>
        </w:r>
        <w:r w:rsidR="005902F3">
          <w:rPr>
            <w:rStyle w:val="Hyperlink"/>
          </w:rPr>
          <w:t>Projections</w:t>
        </w:r>
      </w:hyperlink>
      <w:r w:rsidR="001C795A" w:rsidRPr="00A81131">
        <w:t>.</w:t>
      </w:r>
    </w:p>
    <w:p w14:paraId="2D1245A3" w14:textId="371510E4" w:rsidR="00455DA3" w:rsidRPr="00A81131" w:rsidRDefault="00455DA3" w:rsidP="0084722A">
      <w:pPr>
        <w:spacing w:after="0"/>
        <w:jc w:val="both"/>
      </w:pPr>
      <w:r w:rsidRPr="00A81131">
        <w:t xml:space="preserve">Additional </w:t>
      </w:r>
      <w:r w:rsidR="00812D94">
        <w:t xml:space="preserve">labour market </w:t>
      </w:r>
      <w:r w:rsidRPr="00A81131">
        <w:t xml:space="preserve">information can be obtained from the following links: </w:t>
      </w:r>
    </w:p>
    <w:p w14:paraId="31064207" w14:textId="12578E73" w:rsidR="00455DA3" w:rsidRPr="00A81131" w:rsidRDefault="00455DA3" w:rsidP="0084722A">
      <w:pPr>
        <w:pStyle w:val="ListParagraph"/>
        <w:numPr>
          <w:ilvl w:val="0"/>
          <w:numId w:val="13"/>
        </w:numPr>
        <w:spacing w:before="120" w:after="0"/>
        <w:ind w:left="714" w:hanging="357"/>
        <w:jc w:val="both"/>
      </w:pPr>
      <w:r w:rsidRPr="00A81131">
        <w:t xml:space="preserve">Job Outlook </w:t>
      </w:r>
      <w:r w:rsidRPr="00A81131">
        <w:rPr>
          <w:rStyle w:val="Hyperlink"/>
          <w:u w:val="none"/>
        </w:rPr>
        <w:t>(</w:t>
      </w:r>
      <w:hyperlink r:id="rId19" w:history="1">
        <w:r w:rsidRPr="00A81131">
          <w:rPr>
            <w:rStyle w:val="Hyperlink"/>
          </w:rPr>
          <w:t>joboutlook.gov.au</w:t>
        </w:r>
      </w:hyperlink>
      <w:r w:rsidRPr="00A81131">
        <w:rPr>
          <w:rStyle w:val="Hyperlink"/>
          <w:u w:val="none"/>
        </w:rPr>
        <w:t>)</w:t>
      </w:r>
      <w:r w:rsidR="00BA6651" w:rsidRPr="00A81131">
        <w:rPr>
          <w:rStyle w:val="Hyperlink"/>
          <w:u w:val="none"/>
        </w:rPr>
        <w:t xml:space="preserve">, </w:t>
      </w:r>
      <w:r w:rsidR="00BA6651" w:rsidRPr="005902F3">
        <w:t xml:space="preserve">the Department’s </w:t>
      </w:r>
      <w:r w:rsidR="00812D94">
        <w:t>occupational</w:t>
      </w:r>
      <w:r w:rsidR="00BA6651" w:rsidRPr="005902F3">
        <w:t xml:space="preserve"> information </w:t>
      </w:r>
      <w:r w:rsidR="009720F4">
        <w:t>website</w:t>
      </w:r>
      <w:r w:rsidR="00BA6651" w:rsidRPr="005902F3">
        <w:t xml:space="preserve"> </w:t>
      </w:r>
    </w:p>
    <w:p w14:paraId="581FC8C7" w14:textId="4BE1ECC8" w:rsidR="00455DA3" w:rsidRPr="00A81131" w:rsidRDefault="00455DA3" w:rsidP="00455DA3">
      <w:pPr>
        <w:pStyle w:val="ListParagraph"/>
        <w:numPr>
          <w:ilvl w:val="0"/>
          <w:numId w:val="13"/>
        </w:numPr>
        <w:spacing w:after="120"/>
        <w:jc w:val="both"/>
      </w:pPr>
      <w:r w:rsidRPr="00A81131">
        <w:t xml:space="preserve">Labour Market Information Portal (LMIP) </w:t>
      </w:r>
      <w:r w:rsidRPr="00A81131">
        <w:rPr>
          <w:rStyle w:val="Hyperlink"/>
          <w:u w:val="none"/>
        </w:rPr>
        <w:t>(</w:t>
      </w:r>
      <w:hyperlink r:id="rId20" w:history="1">
        <w:r w:rsidR="0097292C" w:rsidRPr="00A81131">
          <w:rPr>
            <w:rStyle w:val="Hyperlink"/>
          </w:rPr>
          <w:t>lmip.gov.au</w:t>
        </w:r>
      </w:hyperlink>
      <w:r w:rsidRPr="00A81131">
        <w:t>)</w:t>
      </w:r>
      <w:r w:rsidR="00BA6651" w:rsidRPr="00A81131">
        <w:t>, for labour market data</w:t>
      </w:r>
      <w:r w:rsidR="00673B83">
        <w:t>, reporting</w:t>
      </w:r>
      <w:r w:rsidR="00BA6651" w:rsidRPr="00A81131">
        <w:t xml:space="preserve"> and analysis</w:t>
      </w:r>
      <w:r w:rsidRPr="00A81131">
        <w:t xml:space="preserve"> </w:t>
      </w:r>
    </w:p>
    <w:p w14:paraId="2AF8EB79" w14:textId="1202E1B1" w:rsidR="004236D8" w:rsidRPr="00A81131" w:rsidRDefault="0097292C" w:rsidP="00455DA3">
      <w:pPr>
        <w:jc w:val="both"/>
      </w:pPr>
      <w:r w:rsidRPr="00A81131">
        <w:t xml:space="preserve">For further information, please contact Phillip Wise (02 6121 8871) or email </w:t>
      </w:r>
      <w:hyperlink r:id="rId21" w:history="1">
        <w:r w:rsidR="005902F3" w:rsidRPr="009004F3">
          <w:rPr>
            <w:rStyle w:val="Hyperlink"/>
          </w:rPr>
          <w:t>phillip.wise@skillscommission.gov.au</w:t>
        </w:r>
      </w:hyperlink>
      <w:r w:rsidRPr="00A81131">
        <w:t xml:space="preserve">. Any media enquiries should be directed to the </w:t>
      </w:r>
      <w:r w:rsidR="005902F3">
        <w:t>National Skills Commission</w:t>
      </w:r>
      <w:r w:rsidRPr="00A81131">
        <w:t xml:space="preserve"> media unit (</w:t>
      </w:r>
      <w:hyperlink r:id="rId22" w:history="1">
        <w:r w:rsidR="005902F3">
          <w:rPr>
            <w:rStyle w:val="Hyperlink"/>
            <w:color w:val="3D3DDD"/>
            <w:shd w:val="clear" w:color="auto" w:fill="FFFFFF"/>
          </w:rPr>
          <w:t>media@skillscommission.gov.au</w:t>
        </w:r>
      </w:hyperlink>
      <w:r w:rsidRPr="00A81131">
        <w:t>).</w:t>
      </w:r>
    </w:p>
    <w:p w14:paraId="2A6E5434" w14:textId="77777777" w:rsidR="001C2CC0" w:rsidRPr="00A81131" w:rsidRDefault="001C2CC0" w:rsidP="00455DA3">
      <w:pPr>
        <w:jc w:val="both"/>
      </w:pPr>
    </w:p>
    <w:p w14:paraId="65A12129" w14:textId="77777777" w:rsidR="00455DA3" w:rsidRPr="00A81131" w:rsidRDefault="00455DA3" w:rsidP="00455DA3">
      <w:pPr>
        <w:jc w:val="both"/>
      </w:pPr>
      <w:r w:rsidRPr="00A81131">
        <w:t>Labour Market Research and Analysis Branch</w:t>
      </w:r>
    </w:p>
    <w:p w14:paraId="71820CAA" w14:textId="083DD073" w:rsidR="00455DA3" w:rsidRPr="00A81131" w:rsidRDefault="005902F3" w:rsidP="00455DA3">
      <w:pPr>
        <w:jc w:val="both"/>
      </w:pPr>
      <w:r>
        <w:t>National Skills Commission</w:t>
      </w:r>
    </w:p>
    <w:p w14:paraId="252CCFBE" w14:textId="3A9CD6E8" w:rsidR="004974D8" w:rsidRPr="004974D8" w:rsidRDefault="00742779" w:rsidP="00B364F5">
      <w:pPr>
        <w:spacing w:after="0" w:line="240" w:lineRule="auto"/>
        <w:jc w:val="both"/>
        <w:rPr>
          <w:rStyle w:val="SubtleEmphasis"/>
          <w:i w:val="0"/>
          <w:iCs w:val="0"/>
          <w:color w:val="auto"/>
        </w:rPr>
      </w:pPr>
      <w:r>
        <w:t>August</w:t>
      </w:r>
      <w:r w:rsidR="000C2CB0" w:rsidRPr="00A81131">
        <w:t xml:space="preserve"> 202</w:t>
      </w:r>
      <w:r>
        <w:t>1</w:t>
      </w:r>
    </w:p>
    <w:sectPr w:rsidR="004974D8" w:rsidRPr="004974D8" w:rsidSect="000D6EBD">
      <w:headerReference w:type="even" r:id="rId23"/>
      <w:headerReference w:type="default" r:id="rId24"/>
      <w:footerReference w:type="even" r:id="rId25"/>
      <w:footerReference w:type="default" r:id="rId26"/>
      <w:headerReference w:type="first" r:id="rId27"/>
      <w:footerReference w:type="first" r:id="rId28"/>
      <w:pgSz w:w="11906" w:h="16838"/>
      <w:pgMar w:top="964" w:right="1134" w:bottom="284"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9D584" w14:textId="77777777" w:rsidR="00FE36CA" w:rsidRDefault="00FE36CA" w:rsidP="00930C49">
      <w:pPr>
        <w:spacing w:after="0" w:line="240" w:lineRule="auto"/>
      </w:pPr>
      <w:r>
        <w:separator/>
      </w:r>
    </w:p>
  </w:endnote>
  <w:endnote w:type="continuationSeparator" w:id="0">
    <w:p w14:paraId="306792BA" w14:textId="77777777" w:rsidR="00FE36CA" w:rsidRDefault="00FE36CA" w:rsidP="0093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Gotham Bold">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F5DD" w14:textId="77777777" w:rsidR="00306E42" w:rsidRDefault="00306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3917F" w14:textId="6E57C2A7" w:rsidR="00FE36CA" w:rsidRDefault="00507D12" w:rsidP="007F669C">
    <w:pPr>
      <w:pStyle w:val="Footer"/>
      <w:tabs>
        <w:tab w:val="clear" w:pos="9026"/>
        <w:tab w:val="right" w:pos="8647"/>
      </w:tabs>
      <w:ind w:firstLine="720"/>
      <w:jc w:val="right"/>
    </w:pPr>
    <w:sdt>
      <w:sdtPr>
        <w:id w:val="-154452442"/>
        <w:docPartObj>
          <w:docPartGallery w:val="Page Numbers (Bottom of Page)"/>
          <w:docPartUnique/>
        </w:docPartObj>
      </w:sdtPr>
      <w:sdtEndPr>
        <w:rPr>
          <w:noProof/>
        </w:rPr>
      </w:sdtEndPr>
      <w:sdtContent>
        <w:r w:rsidR="00FE36CA">
          <w:fldChar w:fldCharType="begin"/>
        </w:r>
        <w:r w:rsidR="00FE36CA">
          <w:instrText xml:space="preserve"> PAGE   \* MERGEFORMAT </w:instrText>
        </w:r>
        <w:r w:rsidR="00FE36CA">
          <w:fldChar w:fldCharType="separate"/>
        </w:r>
        <w:r w:rsidR="004C2FE3">
          <w:rPr>
            <w:noProof/>
          </w:rPr>
          <w:t>14</w:t>
        </w:r>
        <w:r w:rsidR="00FE36C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654458"/>
      <w:docPartObj>
        <w:docPartGallery w:val="Page Numbers (Bottom of Page)"/>
        <w:docPartUnique/>
      </w:docPartObj>
    </w:sdtPr>
    <w:sdtEndPr>
      <w:rPr>
        <w:noProof/>
      </w:rPr>
    </w:sdtEndPr>
    <w:sdtContent>
      <w:p w14:paraId="7A479EC3" w14:textId="1000FE06" w:rsidR="00FE36CA" w:rsidRDefault="00FE36CA">
        <w:pPr>
          <w:pStyle w:val="Footer"/>
          <w:jc w:val="right"/>
        </w:pPr>
        <w:r>
          <w:fldChar w:fldCharType="begin"/>
        </w:r>
        <w:r>
          <w:instrText xml:space="preserve"> PAGE   \* MERGEFORMAT </w:instrText>
        </w:r>
        <w:r>
          <w:fldChar w:fldCharType="separate"/>
        </w:r>
        <w:r w:rsidR="004C2FE3">
          <w:rPr>
            <w:noProof/>
          </w:rPr>
          <w:t>1</w:t>
        </w:r>
        <w:r>
          <w:rPr>
            <w:noProof/>
          </w:rPr>
          <w:fldChar w:fldCharType="end"/>
        </w:r>
      </w:p>
    </w:sdtContent>
  </w:sdt>
  <w:p w14:paraId="476FA99D" w14:textId="5733D38D" w:rsidR="00FE36CA" w:rsidRPr="003B5B80" w:rsidRDefault="00FE36CA" w:rsidP="002C03CB">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5515B" w14:textId="77777777" w:rsidR="00FE36CA" w:rsidRDefault="00FE36CA" w:rsidP="00930C49">
      <w:pPr>
        <w:spacing w:after="0" w:line="240" w:lineRule="auto"/>
      </w:pPr>
      <w:r>
        <w:separator/>
      </w:r>
    </w:p>
  </w:footnote>
  <w:footnote w:type="continuationSeparator" w:id="0">
    <w:p w14:paraId="522E8FCC" w14:textId="77777777" w:rsidR="00FE36CA" w:rsidRDefault="00FE36CA" w:rsidP="00930C49">
      <w:pPr>
        <w:spacing w:after="0" w:line="240" w:lineRule="auto"/>
      </w:pPr>
      <w:r>
        <w:continuationSeparator/>
      </w:r>
    </w:p>
  </w:footnote>
  <w:footnote w:id="1">
    <w:p w14:paraId="293980C3" w14:textId="450FA4B0" w:rsidR="00FE36CA" w:rsidRPr="004336C8" w:rsidRDefault="00FE36CA" w:rsidP="00E37B3D">
      <w:pPr>
        <w:pStyle w:val="FootnoteText"/>
        <w:spacing w:line="276" w:lineRule="auto"/>
        <w:rPr>
          <w:sz w:val="18"/>
          <w:szCs w:val="18"/>
        </w:rPr>
      </w:pPr>
      <w:r>
        <w:rPr>
          <w:rStyle w:val="FootnoteReference"/>
        </w:rPr>
        <w:footnoteRef/>
      </w:r>
      <w:r>
        <w:t xml:space="preserve"> </w:t>
      </w:r>
      <w:r w:rsidRPr="004336C8">
        <w:rPr>
          <w:sz w:val="18"/>
          <w:szCs w:val="18"/>
        </w:rPr>
        <w:t>Applying the forecast and projected employment growth rates from the 2021-22 Budget, published on 11 May 2021</w:t>
      </w:r>
      <w:r>
        <w:rPr>
          <w:sz w:val="18"/>
          <w:szCs w:val="18"/>
        </w:rPr>
        <w:t xml:space="preserve">, </w:t>
      </w:r>
      <w:r w:rsidRPr="004336C8">
        <w:rPr>
          <w:sz w:val="18"/>
          <w:szCs w:val="18"/>
        </w:rPr>
        <w:t>to the</w:t>
      </w:r>
      <w:r>
        <w:rPr>
          <w:sz w:val="18"/>
          <w:szCs w:val="18"/>
        </w:rPr>
        <w:t xml:space="preserve"> November 2020 detailed LFS</w:t>
      </w:r>
      <w:r w:rsidRPr="004336C8">
        <w:rPr>
          <w:sz w:val="18"/>
          <w:szCs w:val="18"/>
        </w:rPr>
        <w:t xml:space="preserve"> data results in no material difference</w:t>
      </w:r>
      <w:r>
        <w:rPr>
          <w:sz w:val="18"/>
          <w:szCs w:val="18"/>
        </w:rPr>
        <w:t xml:space="preserve"> </w:t>
      </w:r>
      <w:r w:rsidRPr="004336C8">
        <w:rPr>
          <w:sz w:val="18"/>
          <w:szCs w:val="18"/>
        </w:rPr>
        <w:t xml:space="preserve">to the </w:t>
      </w:r>
      <w:proofErr w:type="gramStart"/>
      <w:r w:rsidRPr="004336C8">
        <w:rPr>
          <w:sz w:val="18"/>
          <w:szCs w:val="18"/>
        </w:rPr>
        <w:t>future outlook</w:t>
      </w:r>
      <w:proofErr w:type="gramEnd"/>
      <w:r w:rsidRPr="004336C8">
        <w:rPr>
          <w:sz w:val="18"/>
          <w:szCs w:val="18"/>
        </w:rPr>
        <w:t xml:space="preserve"> for employment over </w:t>
      </w:r>
      <w:r>
        <w:rPr>
          <w:sz w:val="18"/>
          <w:szCs w:val="18"/>
        </w:rPr>
        <w:t>this</w:t>
      </w:r>
      <w:r w:rsidRPr="004336C8">
        <w:rPr>
          <w:sz w:val="18"/>
          <w:szCs w:val="18"/>
        </w:rPr>
        <w:t xml:space="preserve"> five-year period.</w:t>
      </w:r>
    </w:p>
  </w:footnote>
  <w:footnote w:id="2">
    <w:p w14:paraId="2BF0551B" w14:textId="31CAE2B9" w:rsidR="00FE36CA" w:rsidRPr="00360FB6" w:rsidRDefault="00FE36CA" w:rsidP="00E37B3D">
      <w:pPr>
        <w:pStyle w:val="FootnoteText"/>
        <w:spacing w:line="276" w:lineRule="auto"/>
        <w:rPr>
          <w:sz w:val="18"/>
          <w:szCs w:val="18"/>
        </w:rPr>
      </w:pPr>
      <w:r>
        <w:rPr>
          <w:rStyle w:val="FootnoteReference"/>
        </w:rPr>
        <w:footnoteRef/>
      </w:r>
      <w:r>
        <w:t xml:space="preserve"> </w:t>
      </w:r>
      <w:r w:rsidRPr="00360FB6">
        <w:rPr>
          <w:sz w:val="18"/>
          <w:szCs w:val="18"/>
        </w:rPr>
        <w:t>It is important to note that the employment projections are a point forecast for November 2025 and provide no data for employment in the intervening five-year period. That is, the recovery path of employment for occupations can only be implied by the NSC’s employment projections. Low projected employment growth may indicate a slow recovery. However, it is entirely possible that employment will exceed pre-COVID-19 levels in the five-year period before settling at a lower point as longer-term trends unrelated to COVID-19 impact employment levels.</w:t>
      </w:r>
    </w:p>
  </w:footnote>
  <w:footnote w:id="3">
    <w:p w14:paraId="59F40C4C" w14:textId="77777777" w:rsidR="00FE36CA" w:rsidRDefault="00FE36CA" w:rsidP="00E37B3D">
      <w:pPr>
        <w:pStyle w:val="FootnoteText"/>
        <w:spacing w:line="276" w:lineRule="auto"/>
      </w:pPr>
      <w:r w:rsidRPr="00D228D4">
        <w:rPr>
          <w:rStyle w:val="FootnoteReference"/>
          <w:sz w:val="18"/>
        </w:rPr>
        <w:footnoteRef/>
      </w:r>
      <w:r w:rsidRPr="00D228D4">
        <w:rPr>
          <w:sz w:val="18"/>
        </w:rPr>
        <w:t xml:space="preserve"> Other Social Assistance Services includes Aged Care Assistance Services, Disabilities Assistance Services, Youth Welfare Services an</w:t>
      </w:r>
      <w:r>
        <w:rPr>
          <w:sz w:val="18"/>
        </w:rPr>
        <w:t>d Welfare Counselling Services.</w:t>
      </w:r>
    </w:p>
  </w:footnote>
  <w:footnote w:id="4">
    <w:p w14:paraId="0288B7E0" w14:textId="77777777" w:rsidR="00FE36CA" w:rsidRDefault="00FE36CA" w:rsidP="00E37B3D">
      <w:pPr>
        <w:pStyle w:val="FootnoteText"/>
        <w:spacing w:line="276" w:lineRule="auto"/>
      </w:pPr>
      <w:r w:rsidRPr="00D228D4">
        <w:rPr>
          <w:rStyle w:val="FootnoteReference"/>
          <w:sz w:val="18"/>
        </w:rPr>
        <w:footnoteRef/>
      </w:r>
      <w:r w:rsidRPr="00D228D4">
        <w:rPr>
          <w:sz w:val="18"/>
        </w:rPr>
        <w:t xml:space="preserve"> Allied Health Services includes Dental Services, Optometry and Optical Dispensing, Physiotherapy Services and Chiropractic and Osteopathic Services</w:t>
      </w:r>
      <w:r>
        <w:rPr>
          <w:sz w:val="18"/>
        </w:rPr>
        <w:t>.</w:t>
      </w:r>
    </w:p>
  </w:footnote>
  <w:footnote w:id="5">
    <w:p w14:paraId="56912868" w14:textId="5D0FB87C" w:rsidR="00A21B2C" w:rsidRDefault="00A21B2C" w:rsidP="00E37B3D">
      <w:pPr>
        <w:pStyle w:val="FootnoteText"/>
        <w:spacing w:line="276" w:lineRule="auto"/>
      </w:pPr>
      <w:r>
        <w:rPr>
          <w:rStyle w:val="FootnoteReference"/>
        </w:rPr>
        <w:footnoteRef/>
      </w:r>
      <w:r>
        <w:t xml:space="preserve"> </w:t>
      </w:r>
      <w:r w:rsidRPr="00E37B3D">
        <w:rPr>
          <w:rStyle w:val="SubtleEmphasis"/>
          <w:i w:val="0"/>
          <w:color w:val="auto"/>
          <w:sz w:val="18"/>
          <w:szCs w:val="18"/>
        </w:rPr>
        <w:t xml:space="preserve">Employment in Community and Personal Service Workers fell by 21.9 per cent over the </w:t>
      </w:r>
      <w:r w:rsidRPr="00540DF3">
        <w:rPr>
          <w:rStyle w:val="SubtleEmphasis"/>
          <w:i w:val="0"/>
          <w:color w:val="auto"/>
          <w:sz w:val="18"/>
          <w:szCs w:val="18"/>
        </w:rPr>
        <w:t xml:space="preserve">quarter to May </w:t>
      </w:r>
      <w:r w:rsidR="00540DF3" w:rsidRPr="00E37B3D">
        <w:rPr>
          <w:rStyle w:val="SubtleEmphasis"/>
          <w:i w:val="0"/>
          <w:color w:val="auto"/>
          <w:sz w:val="18"/>
          <w:szCs w:val="18"/>
        </w:rPr>
        <w:t>20</w:t>
      </w:r>
      <w:r w:rsidR="00461FBD" w:rsidRPr="00540DF3">
        <w:rPr>
          <w:rStyle w:val="SubtleEmphasis"/>
          <w:i w:val="0"/>
          <w:color w:val="auto"/>
          <w:sz w:val="18"/>
          <w:szCs w:val="18"/>
        </w:rPr>
        <w:t>20</w:t>
      </w:r>
      <w:r w:rsidRPr="00540DF3">
        <w:rPr>
          <w:rStyle w:val="SubtleEmphasis"/>
          <w:i w:val="0"/>
          <w:color w:val="auto"/>
          <w:sz w:val="18"/>
          <w:szCs w:val="18"/>
        </w:rPr>
        <w:t xml:space="preserve"> and remained 10.3 per cent below its pre-COVID-19 level in November 2020.</w:t>
      </w:r>
    </w:p>
  </w:footnote>
  <w:footnote w:id="6">
    <w:p w14:paraId="7E16CB55" w14:textId="77777777" w:rsidR="00FE36CA" w:rsidRPr="00572E03" w:rsidRDefault="00FE36CA" w:rsidP="00E37B3D">
      <w:pPr>
        <w:pStyle w:val="NoSpacing"/>
        <w:spacing w:line="276" w:lineRule="auto"/>
        <w:rPr>
          <w:sz w:val="18"/>
          <w:szCs w:val="18"/>
        </w:rPr>
      </w:pPr>
      <w:r w:rsidRPr="00D8582F">
        <w:rPr>
          <w:rStyle w:val="FootnoteReference"/>
          <w:sz w:val="18"/>
          <w:szCs w:val="18"/>
        </w:rPr>
        <w:footnoteRef/>
      </w:r>
      <w:r>
        <w:rPr>
          <w:sz w:val="18"/>
          <w:szCs w:val="18"/>
        </w:rPr>
        <w:t xml:space="preserve"> </w:t>
      </w:r>
      <w:r w:rsidRPr="00572E03">
        <w:rPr>
          <w:sz w:val="18"/>
          <w:szCs w:val="18"/>
        </w:rPr>
        <w:t>The Australian Bureau of Statistics (ABS) classifies occupations according to five skill levels commensurate with the following qualification(s)</w:t>
      </w:r>
      <w:r>
        <w:rPr>
          <w:sz w:val="18"/>
          <w:szCs w:val="18"/>
        </w:rPr>
        <w:t xml:space="preserve"> or where relevant </w:t>
      </w:r>
      <w:r w:rsidRPr="00D8582F">
        <w:rPr>
          <w:sz w:val="18"/>
          <w:szCs w:val="18"/>
        </w:rPr>
        <w:t>work experience</w:t>
      </w:r>
      <w:r>
        <w:rPr>
          <w:sz w:val="18"/>
          <w:szCs w:val="18"/>
        </w:rPr>
        <w:t xml:space="preserve"> with training</w:t>
      </w:r>
      <w:r w:rsidRPr="00D8582F">
        <w:rPr>
          <w:sz w:val="18"/>
          <w:szCs w:val="18"/>
        </w:rPr>
        <w:t xml:space="preserve"> may be a substitute for formal qualifications</w:t>
      </w:r>
      <w:r w:rsidRPr="00572E03">
        <w:rPr>
          <w:sz w:val="18"/>
          <w:szCs w:val="18"/>
        </w:rPr>
        <w:t>:</w:t>
      </w:r>
    </w:p>
    <w:p w14:paraId="4B83854C" w14:textId="77777777" w:rsidR="00FE36CA" w:rsidRPr="00572E03" w:rsidRDefault="00FE36CA" w:rsidP="00E37B3D">
      <w:pPr>
        <w:pStyle w:val="NoSpacing"/>
        <w:spacing w:line="276" w:lineRule="auto"/>
        <w:rPr>
          <w:sz w:val="18"/>
          <w:szCs w:val="18"/>
        </w:rPr>
      </w:pPr>
      <w:r w:rsidRPr="00572E03">
        <w:rPr>
          <w:sz w:val="18"/>
          <w:szCs w:val="18"/>
        </w:rPr>
        <w:t>•</w:t>
      </w:r>
      <w:r w:rsidRPr="00572E03">
        <w:rPr>
          <w:sz w:val="18"/>
          <w:szCs w:val="18"/>
        </w:rPr>
        <w:tab/>
        <w:t xml:space="preserve">Skill level 1: </w:t>
      </w:r>
      <w:proofErr w:type="gramStart"/>
      <w:r w:rsidRPr="00572E03">
        <w:rPr>
          <w:sz w:val="18"/>
          <w:szCs w:val="18"/>
        </w:rPr>
        <w:t>Bachelor</w:t>
      </w:r>
      <w:proofErr w:type="gramEnd"/>
      <w:r w:rsidRPr="00572E03">
        <w:rPr>
          <w:sz w:val="18"/>
          <w:szCs w:val="18"/>
        </w:rPr>
        <w:t xml:space="preserve"> degree or higher qualification</w:t>
      </w:r>
    </w:p>
    <w:p w14:paraId="0F9D938C" w14:textId="77777777" w:rsidR="00FE36CA" w:rsidRPr="00572E03" w:rsidRDefault="00FE36CA" w:rsidP="00E37B3D">
      <w:pPr>
        <w:pStyle w:val="NoSpacing"/>
        <w:spacing w:line="276" w:lineRule="auto"/>
        <w:rPr>
          <w:sz w:val="18"/>
          <w:szCs w:val="18"/>
        </w:rPr>
      </w:pPr>
      <w:r w:rsidRPr="00572E03">
        <w:rPr>
          <w:sz w:val="18"/>
          <w:szCs w:val="18"/>
        </w:rPr>
        <w:t>•</w:t>
      </w:r>
      <w:r w:rsidRPr="00572E03">
        <w:rPr>
          <w:sz w:val="18"/>
          <w:szCs w:val="18"/>
        </w:rPr>
        <w:tab/>
        <w:t>Skill level 2: Advanced Diploma or Diploma</w:t>
      </w:r>
    </w:p>
    <w:p w14:paraId="2B321AA8" w14:textId="77777777" w:rsidR="00FE36CA" w:rsidRPr="00572E03" w:rsidRDefault="00FE36CA" w:rsidP="00E37B3D">
      <w:pPr>
        <w:pStyle w:val="NoSpacing"/>
        <w:spacing w:line="276" w:lineRule="auto"/>
        <w:rPr>
          <w:sz w:val="18"/>
          <w:szCs w:val="18"/>
        </w:rPr>
      </w:pPr>
      <w:r w:rsidRPr="00572E03">
        <w:rPr>
          <w:sz w:val="18"/>
          <w:szCs w:val="18"/>
        </w:rPr>
        <w:t>•</w:t>
      </w:r>
      <w:r w:rsidRPr="00572E03">
        <w:rPr>
          <w:sz w:val="18"/>
          <w:szCs w:val="18"/>
        </w:rPr>
        <w:tab/>
        <w:t>Skill level 3: Certificate IV or Certificate III with at least two years on-the-job training</w:t>
      </w:r>
    </w:p>
    <w:p w14:paraId="3C356CBC" w14:textId="77777777" w:rsidR="00FE36CA" w:rsidRPr="00572E03" w:rsidRDefault="00FE36CA" w:rsidP="00E37B3D">
      <w:pPr>
        <w:pStyle w:val="NoSpacing"/>
        <w:spacing w:line="276" w:lineRule="auto"/>
        <w:rPr>
          <w:sz w:val="18"/>
          <w:szCs w:val="18"/>
        </w:rPr>
      </w:pPr>
      <w:r w:rsidRPr="00572E03">
        <w:rPr>
          <w:sz w:val="18"/>
          <w:szCs w:val="18"/>
        </w:rPr>
        <w:t>•</w:t>
      </w:r>
      <w:r w:rsidRPr="00572E03">
        <w:rPr>
          <w:sz w:val="18"/>
          <w:szCs w:val="18"/>
        </w:rPr>
        <w:tab/>
        <w:t xml:space="preserve">Skill level 4: Certificate II or III </w:t>
      </w:r>
    </w:p>
    <w:p w14:paraId="689929A2" w14:textId="77777777" w:rsidR="00FE36CA" w:rsidRPr="00572E03" w:rsidRDefault="00FE36CA" w:rsidP="00E37B3D">
      <w:pPr>
        <w:pStyle w:val="NoSpacing"/>
        <w:spacing w:line="276" w:lineRule="auto"/>
        <w:rPr>
          <w:sz w:val="18"/>
          <w:szCs w:val="18"/>
        </w:rPr>
      </w:pPr>
      <w:r w:rsidRPr="00572E03">
        <w:rPr>
          <w:sz w:val="18"/>
          <w:szCs w:val="18"/>
        </w:rPr>
        <w:t>•</w:t>
      </w:r>
      <w:r w:rsidRPr="00572E03">
        <w:rPr>
          <w:sz w:val="18"/>
          <w:szCs w:val="18"/>
        </w:rPr>
        <w:tab/>
        <w:t>Skill level 5: Certificate I or secondary education</w:t>
      </w:r>
      <w:r w:rsidRPr="00D8582F">
        <w:rPr>
          <w:i/>
          <w:sz w:val="18"/>
          <w:szCs w:val="18"/>
        </w:rPr>
        <w:t xml:space="preserve"> </w:t>
      </w:r>
    </w:p>
  </w:footnote>
  <w:footnote w:id="7">
    <w:p w14:paraId="5749CE85" w14:textId="77777777" w:rsidR="00FE36CA" w:rsidRPr="009C203C" w:rsidRDefault="00FE36CA" w:rsidP="00FD1442">
      <w:r>
        <w:rPr>
          <w:rStyle w:val="FootnoteReference"/>
        </w:rPr>
        <w:footnoteRef/>
      </w:r>
      <w:r>
        <w:t xml:space="preserve"> </w:t>
      </w:r>
      <w:r w:rsidRPr="007D55B4">
        <w:rPr>
          <w:sz w:val="18"/>
          <w:szCs w:val="18"/>
        </w:rPr>
        <w:t xml:space="preserve">It is important to note that the employment projections are a point forecast for November 2025 and provide no data for employment in the intervening five-year period. That is, the recovery path of employment for occupations can only be implied by the NSC’s employment projections. Low projected employment growth may indicate a slow </w:t>
      </w:r>
      <w:proofErr w:type="gramStart"/>
      <w:r w:rsidRPr="007D55B4">
        <w:rPr>
          <w:sz w:val="18"/>
          <w:szCs w:val="18"/>
        </w:rPr>
        <w:t>recovery,</w:t>
      </w:r>
      <w:proofErr w:type="gramEnd"/>
      <w:r w:rsidRPr="007D55B4">
        <w:rPr>
          <w:sz w:val="18"/>
          <w:szCs w:val="18"/>
        </w:rPr>
        <w:t xml:space="preserve"> however, it is entirely possible that employment will exceed pre-COVID</w:t>
      </w:r>
      <w:r w:rsidRPr="007D55B4">
        <w:rPr>
          <w:sz w:val="18"/>
          <w:szCs w:val="18"/>
        </w:rPr>
        <w:noBreakHyphen/>
        <w:t>19 levels in the five-year period prior to settling at a lower point as longer term trends unrelated to COVID</w:t>
      </w:r>
      <w:r w:rsidRPr="007D55B4">
        <w:rPr>
          <w:sz w:val="18"/>
          <w:szCs w:val="18"/>
        </w:rPr>
        <w:noBreakHyphen/>
        <w:t>19 impact employment levels.</w:t>
      </w:r>
      <w:r w:rsidRPr="009C203C">
        <w:t xml:space="preserve"> </w:t>
      </w:r>
    </w:p>
    <w:p w14:paraId="225AB377" w14:textId="45849876" w:rsidR="00FE36CA" w:rsidRDefault="00FE36CA" w:rsidP="00E37B3D">
      <w:pPr>
        <w:pStyle w:val="FootnoteText"/>
        <w:spacing w:line="276" w:lineRule="auto"/>
      </w:pPr>
    </w:p>
  </w:footnote>
  <w:footnote w:id="8">
    <w:p w14:paraId="1D1E2469" w14:textId="73A9FEE9" w:rsidR="00FE36CA" w:rsidRDefault="00FE36CA" w:rsidP="00E37B3D">
      <w:pPr>
        <w:pStyle w:val="FootnoteText"/>
        <w:spacing w:line="276" w:lineRule="auto"/>
      </w:pPr>
      <w:r>
        <w:rPr>
          <w:rStyle w:val="FootnoteReference"/>
        </w:rPr>
        <w:footnoteRef/>
      </w:r>
      <w:r>
        <w:t xml:space="preserve"> </w:t>
      </w:r>
      <w:r w:rsidRPr="00E37B3D">
        <w:rPr>
          <w:sz w:val="18"/>
          <w:szCs w:val="18"/>
        </w:rPr>
        <w:t xml:space="preserve">For more on this topic see ‘Trends in automatability’ in Chapter 2 of </w:t>
      </w:r>
      <w:r w:rsidRPr="00E37B3D">
        <w:rPr>
          <w:i/>
          <w:iCs/>
          <w:sz w:val="18"/>
          <w:szCs w:val="18"/>
        </w:rPr>
        <w:t>State of Australia’s Skills</w:t>
      </w:r>
      <w:r w:rsidRPr="00E37B3D">
        <w:rPr>
          <w:sz w:val="18"/>
          <w:szCs w:val="18"/>
        </w:rPr>
        <w:t>, NSC</w:t>
      </w:r>
      <w:r w:rsidR="00946B2D" w:rsidRPr="00E37B3D">
        <w:rPr>
          <w:sz w:val="18"/>
          <w:szCs w:val="18"/>
        </w:rPr>
        <w:t>,</w:t>
      </w:r>
      <w:r w:rsidRPr="00E37B3D">
        <w:rPr>
          <w:sz w:val="18"/>
          <w:szCs w:val="18"/>
        </w:rPr>
        <w:t xml:space="preserve"> 2021.</w:t>
      </w:r>
    </w:p>
  </w:footnote>
  <w:footnote w:id="9">
    <w:p w14:paraId="411D672A" w14:textId="25727C92" w:rsidR="00FE36CA" w:rsidRDefault="00FE36CA" w:rsidP="00E37B3D">
      <w:pPr>
        <w:pStyle w:val="FootnoteText"/>
        <w:spacing w:line="276" w:lineRule="auto"/>
      </w:pPr>
      <w:r>
        <w:rPr>
          <w:rStyle w:val="FootnoteReference"/>
        </w:rPr>
        <w:footnoteRef/>
      </w:r>
      <w:r>
        <w:t xml:space="preserve"> </w:t>
      </w:r>
      <w:r>
        <w:rPr>
          <w:sz w:val="18"/>
          <w:szCs w:val="18"/>
        </w:rPr>
        <w:t>T</w:t>
      </w:r>
      <w:r w:rsidRPr="00920182">
        <w:rPr>
          <w:sz w:val="18"/>
          <w:szCs w:val="18"/>
        </w:rPr>
        <w:t xml:space="preserve">hese projections only account for net employment growth, with many opportunities presented through the replacement of people leaving occupations and the workforce entirely. The </w:t>
      </w:r>
      <w:r>
        <w:rPr>
          <w:sz w:val="18"/>
          <w:szCs w:val="18"/>
        </w:rPr>
        <w:t>National Skills Commission</w:t>
      </w:r>
      <w:r w:rsidRPr="00920182">
        <w:rPr>
          <w:sz w:val="18"/>
          <w:szCs w:val="18"/>
        </w:rPr>
        <w:t xml:space="preserve"> estimates that there </w:t>
      </w:r>
      <w:r>
        <w:rPr>
          <w:sz w:val="18"/>
          <w:szCs w:val="18"/>
        </w:rPr>
        <w:t>were more than 4.2</w:t>
      </w:r>
      <w:r w:rsidRPr="00920182">
        <w:rPr>
          <w:sz w:val="18"/>
          <w:szCs w:val="18"/>
        </w:rPr>
        <w:t xml:space="preserve"> million jobs created through turnover </w:t>
      </w:r>
      <w:r>
        <w:rPr>
          <w:sz w:val="18"/>
          <w:szCs w:val="18"/>
        </w:rPr>
        <w:t>over the year to February 2020</w:t>
      </w:r>
      <w:r w:rsidR="00A24C61">
        <w:rPr>
          <w:sz w:val="18"/>
          <w:szCs w:val="18"/>
        </w:rPr>
        <w:t xml:space="preserve"> (pre-COVID-19)</w:t>
      </w:r>
      <w:r w:rsidRPr="00920182">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58DC" w14:textId="695AC5AF" w:rsidR="00FE36CA" w:rsidRDefault="00FE36CA">
    <w:pPr>
      <w:pStyle w:val="Header"/>
    </w:pPr>
    <w:r>
      <w:rPr>
        <w:noProof/>
        <w:lang w:eastAsia="en-AU"/>
      </w:rPr>
      <mc:AlternateContent>
        <mc:Choice Requires="wps">
          <w:drawing>
            <wp:anchor distT="0" distB="0" distL="114300" distR="114300" simplePos="0" relativeHeight="251667456" behindDoc="1" locked="0" layoutInCell="0" allowOverlap="1" wp14:anchorId="6AB6DD34" wp14:editId="46376779">
              <wp:simplePos x="0" y="0"/>
              <wp:positionH relativeFrom="margin">
                <wp:align>center</wp:align>
              </wp:positionH>
              <wp:positionV relativeFrom="margin">
                <wp:align>center</wp:align>
              </wp:positionV>
              <wp:extent cx="7548880" cy="1078230"/>
              <wp:effectExtent l="0" t="2400300" r="0" b="226504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8880" cy="1078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643F1" w14:textId="77777777" w:rsidR="00FE36CA" w:rsidRDefault="00FE36CA" w:rsidP="00A81EC3">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DRAFT: NOT FOR QUOTATION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B6DD34" id="_x0000_t202" coordsize="21600,21600" o:spt="202" path="m,l,21600r21600,l21600,xe">
              <v:stroke joinstyle="miter"/>
              <v:path gradientshapeok="t" o:connecttype="rect"/>
            </v:shapetype>
            <v:shape id="WordArt 5" o:spid="_x0000_s1026" type="#_x0000_t202" style="position:absolute;margin-left:0;margin-top:0;width:594.4pt;height:84.9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" o:allowincell="f" filled="f" stroked="f">
              <v:stroke joinstyle="round"/>
              <o:lock v:ext="edit" shapetype="t"/>
              <v:textbox style="mso-fit-shape-to-text:t">
                <w:txbxContent>
                  <w:p w14:paraId="6FB643F1" w14:textId="77777777" w:rsidR="00FE36CA" w:rsidRDefault="00FE36CA" w:rsidP="00A81EC3">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DRAFT: NOT FOR QUOTATION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974D" w14:textId="5A5EC275" w:rsidR="00FE36CA" w:rsidRDefault="00FE36CA" w:rsidP="00455DA3">
    <w:pPr>
      <w:pStyle w:val="Header"/>
      <w:jc w:val="right"/>
    </w:pPr>
    <w:r>
      <w:t>Employment Outlook to November 2025</w:t>
    </w:r>
  </w:p>
  <w:p w14:paraId="7649659F" w14:textId="77777777" w:rsidR="00FE36CA" w:rsidRPr="00455DA3" w:rsidRDefault="00FE36CA" w:rsidP="00455DA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02675" w14:textId="139229D0" w:rsidR="00FE36CA" w:rsidRDefault="00FE36CA" w:rsidP="0069703D">
    <w:pPr>
      <w:pStyle w:val="Header"/>
      <w:jc w:val="right"/>
    </w:pPr>
    <w:r w:rsidRPr="00BF7BB3">
      <w:rPr>
        <w:noProof/>
        <w:lang w:eastAsia="en-AU"/>
      </w:rPr>
      <w:drawing>
        <wp:inline distT="0" distB="0" distL="0" distR="0" wp14:anchorId="4ADC2179" wp14:editId="79FCF07A">
          <wp:extent cx="3240031" cy="775718"/>
          <wp:effectExtent l="0" t="0" r="0" b="5715"/>
          <wp:docPr id="14" name="AG | NSC" descr="Australian Government and National Skill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 | NSC" descr="Australian Government and National Skills Commission"/>
                  <pic:cNvPicPr/>
                </pic:nvPicPr>
                <pic:blipFill>
                  <a:blip r:embed="rId1"/>
                  <a:stretch>
                    <a:fillRect/>
                  </a:stretch>
                </pic:blipFill>
                <pic:spPr>
                  <a:xfrm>
                    <a:off x="0" y="0"/>
                    <a:ext cx="3240031" cy="775718"/>
                  </a:xfrm>
                  <a:prstGeom prst="rect">
                    <a:avLst/>
                  </a:prstGeom>
                </pic:spPr>
              </pic:pic>
            </a:graphicData>
          </a:graphic>
        </wp:inline>
      </w:drawing>
    </w:r>
    <w:r>
      <w:tab/>
    </w:r>
    <w:r>
      <w:tab/>
      <w:t>Employment Outlook to November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9CA"/>
    <w:multiLevelType w:val="multilevel"/>
    <w:tmpl w:val="BE44C77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9D6FBD"/>
    <w:multiLevelType w:val="hybridMultilevel"/>
    <w:tmpl w:val="305A6A50"/>
    <w:lvl w:ilvl="0" w:tplc="E3E8EA40">
      <w:numFmt w:val="bullet"/>
      <w:lvlText w:val=""/>
      <w:lvlJc w:val="left"/>
      <w:pPr>
        <w:ind w:left="405" w:hanging="360"/>
      </w:pPr>
      <w:rPr>
        <w:rFonts w:ascii="Symbol" w:eastAsia="Calibri" w:hAnsi="Symbol"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08F3781F"/>
    <w:multiLevelType w:val="hybridMultilevel"/>
    <w:tmpl w:val="2B5E1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446F2"/>
    <w:multiLevelType w:val="hybridMultilevel"/>
    <w:tmpl w:val="D7824744"/>
    <w:lvl w:ilvl="0" w:tplc="0C090001">
      <w:start w:val="1"/>
      <w:numFmt w:val="bullet"/>
      <w:lvlText w:val=""/>
      <w:lvlJc w:val="left"/>
      <w:pPr>
        <w:ind w:left="-346" w:hanging="360"/>
      </w:pPr>
      <w:rPr>
        <w:rFonts w:ascii="Symbol" w:hAnsi="Symbol" w:hint="default"/>
      </w:rPr>
    </w:lvl>
    <w:lvl w:ilvl="1" w:tplc="0C090003" w:tentative="1">
      <w:start w:val="1"/>
      <w:numFmt w:val="bullet"/>
      <w:lvlText w:val="o"/>
      <w:lvlJc w:val="left"/>
      <w:pPr>
        <w:ind w:left="374" w:hanging="360"/>
      </w:pPr>
      <w:rPr>
        <w:rFonts w:ascii="Courier New" w:hAnsi="Courier New" w:cs="Courier New" w:hint="default"/>
      </w:rPr>
    </w:lvl>
    <w:lvl w:ilvl="2" w:tplc="0C090005" w:tentative="1">
      <w:start w:val="1"/>
      <w:numFmt w:val="bullet"/>
      <w:lvlText w:val=""/>
      <w:lvlJc w:val="left"/>
      <w:pPr>
        <w:ind w:left="1094" w:hanging="360"/>
      </w:pPr>
      <w:rPr>
        <w:rFonts w:ascii="Wingdings" w:hAnsi="Wingdings" w:hint="default"/>
      </w:rPr>
    </w:lvl>
    <w:lvl w:ilvl="3" w:tplc="0C090001" w:tentative="1">
      <w:start w:val="1"/>
      <w:numFmt w:val="bullet"/>
      <w:lvlText w:val=""/>
      <w:lvlJc w:val="left"/>
      <w:pPr>
        <w:ind w:left="1814" w:hanging="360"/>
      </w:pPr>
      <w:rPr>
        <w:rFonts w:ascii="Symbol" w:hAnsi="Symbol" w:hint="default"/>
      </w:rPr>
    </w:lvl>
    <w:lvl w:ilvl="4" w:tplc="0C090003" w:tentative="1">
      <w:start w:val="1"/>
      <w:numFmt w:val="bullet"/>
      <w:lvlText w:val="o"/>
      <w:lvlJc w:val="left"/>
      <w:pPr>
        <w:ind w:left="2534" w:hanging="360"/>
      </w:pPr>
      <w:rPr>
        <w:rFonts w:ascii="Courier New" w:hAnsi="Courier New" w:cs="Courier New" w:hint="default"/>
      </w:rPr>
    </w:lvl>
    <w:lvl w:ilvl="5" w:tplc="0C090005" w:tentative="1">
      <w:start w:val="1"/>
      <w:numFmt w:val="bullet"/>
      <w:lvlText w:val=""/>
      <w:lvlJc w:val="left"/>
      <w:pPr>
        <w:ind w:left="3254" w:hanging="360"/>
      </w:pPr>
      <w:rPr>
        <w:rFonts w:ascii="Wingdings" w:hAnsi="Wingdings" w:hint="default"/>
      </w:rPr>
    </w:lvl>
    <w:lvl w:ilvl="6" w:tplc="0C090001" w:tentative="1">
      <w:start w:val="1"/>
      <w:numFmt w:val="bullet"/>
      <w:lvlText w:val=""/>
      <w:lvlJc w:val="left"/>
      <w:pPr>
        <w:ind w:left="3974" w:hanging="360"/>
      </w:pPr>
      <w:rPr>
        <w:rFonts w:ascii="Symbol" w:hAnsi="Symbol" w:hint="default"/>
      </w:rPr>
    </w:lvl>
    <w:lvl w:ilvl="7" w:tplc="0C090003" w:tentative="1">
      <w:start w:val="1"/>
      <w:numFmt w:val="bullet"/>
      <w:lvlText w:val="o"/>
      <w:lvlJc w:val="left"/>
      <w:pPr>
        <w:ind w:left="4694" w:hanging="360"/>
      </w:pPr>
      <w:rPr>
        <w:rFonts w:ascii="Courier New" w:hAnsi="Courier New" w:cs="Courier New" w:hint="default"/>
      </w:rPr>
    </w:lvl>
    <w:lvl w:ilvl="8" w:tplc="0C090005" w:tentative="1">
      <w:start w:val="1"/>
      <w:numFmt w:val="bullet"/>
      <w:lvlText w:val=""/>
      <w:lvlJc w:val="left"/>
      <w:pPr>
        <w:ind w:left="5414" w:hanging="360"/>
      </w:pPr>
      <w:rPr>
        <w:rFonts w:ascii="Wingdings" w:hAnsi="Wingdings" w:hint="default"/>
      </w:rPr>
    </w:lvl>
  </w:abstractNum>
  <w:abstractNum w:abstractNumId="4" w15:restartNumberingAfterBreak="0">
    <w:nsid w:val="11F109E2"/>
    <w:multiLevelType w:val="hybridMultilevel"/>
    <w:tmpl w:val="95D80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E5E55"/>
    <w:multiLevelType w:val="hybridMultilevel"/>
    <w:tmpl w:val="51CA1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158C3"/>
    <w:multiLevelType w:val="hybridMultilevel"/>
    <w:tmpl w:val="3E4EBCE6"/>
    <w:lvl w:ilvl="0" w:tplc="C846C536">
      <w:numFmt w:val="bullet"/>
      <w:lvlText w:val="-"/>
      <w:lvlJc w:val="left"/>
      <w:pPr>
        <w:ind w:left="76" w:hanging="360"/>
      </w:pPr>
      <w:rPr>
        <w:rFonts w:ascii="Calibri" w:eastAsiaTheme="majorEastAsia"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7" w15:restartNumberingAfterBreak="0">
    <w:nsid w:val="1F5E101E"/>
    <w:multiLevelType w:val="hybridMultilevel"/>
    <w:tmpl w:val="054CA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392C67"/>
    <w:multiLevelType w:val="hybridMultilevel"/>
    <w:tmpl w:val="58483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1477D7"/>
    <w:multiLevelType w:val="hybridMultilevel"/>
    <w:tmpl w:val="81B8E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45C3D"/>
    <w:multiLevelType w:val="hybridMultilevel"/>
    <w:tmpl w:val="B6AC8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B25228"/>
    <w:multiLevelType w:val="hybridMultilevel"/>
    <w:tmpl w:val="A49A2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B1E63A4">
      <w:numFmt w:val="bullet"/>
      <w:lvlText w:val="-"/>
      <w:lvlJc w:val="left"/>
      <w:pPr>
        <w:ind w:left="2061" w:hanging="360"/>
      </w:pPr>
      <w:rPr>
        <w:rFonts w:ascii="Calibri" w:eastAsiaTheme="minorHAnsi" w:hAnsi="Calibri" w:cs="Calibri" w:hint="default"/>
      </w:rPr>
    </w:lvl>
    <w:lvl w:ilvl="3" w:tplc="3B1E63A4">
      <w:numFmt w:val="bullet"/>
      <w:lvlText w:val="-"/>
      <w:lvlJc w:val="left"/>
      <w:pPr>
        <w:ind w:left="2880" w:hanging="360"/>
      </w:pPr>
      <w:rPr>
        <w:rFonts w:ascii="Calibri" w:eastAsiaTheme="minorHAnsi" w:hAnsi="Calibri" w:cs="Calibr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51AA1"/>
    <w:multiLevelType w:val="hybridMultilevel"/>
    <w:tmpl w:val="92984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662BA"/>
    <w:multiLevelType w:val="hybridMultilevel"/>
    <w:tmpl w:val="6FE2AC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35954C0C"/>
    <w:multiLevelType w:val="hybridMultilevel"/>
    <w:tmpl w:val="62C6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3A3C3A"/>
    <w:multiLevelType w:val="hybridMultilevel"/>
    <w:tmpl w:val="85244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C06D55"/>
    <w:multiLevelType w:val="hybridMultilevel"/>
    <w:tmpl w:val="2C74B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93B1B"/>
    <w:multiLevelType w:val="hybridMultilevel"/>
    <w:tmpl w:val="FFC26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4D32066"/>
    <w:multiLevelType w:val="hybridMultilevel"/>
    <w:tmpl w:val="432E8C76"/>
    <w:lvl w:ilvl="0" w:tplc="E242B7A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F620E1E6">
      <w:numFmt w:val="bullet"/>
      <w:lvlText w:val="•"/>
      <w:lvlJc w:val="left"/>
      <w:pPr>
        <w:ind w:left="2880" w:hanging="1440"/>
      </w:pPr>
      <w:rPr>
        <w:rFonts w:ascii="Calibri" w:eastAsia="Times New Roman" w:hAnsi="Calibri" w:cs="Calibri"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7182D67"/>
    <w:multiLevelType w:val="hybridMultilevel"/>
    <w:tmpl w:val="FEC6B1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84123D2"/>
    <w:multiLevelType w:val="hybridMultilevel"/>
    <w:tmpl w:val="ED86B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DC2329"/>
    <w:multiLevelType w:val="hybridMultilevel"/>
    <w:tmpl w:val="C23C12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121880"/>
    <w:multiLevelType w:val="hybridMultilevel"/>
    <w:tmpl w:val="5B88F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64DC7"/>
    <w:multiLevelType w:val="hybridMultilevel"/>
    <w:tmpl w:val="22046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B25BAD"/>
    <w:multiLevelType w:val="hybridMultilevel"/>
    <w:tmpl w:val="E618D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F622964"/>
    <w:multiLevelType w:val="hybridMultilevel"/>
    <w:tmpl w:val="50B49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A44F2D"/>
    <w:multiLevelType w:val="hybridMultilevel"/>
    <w:tmpl w:val="6DBC3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3919C0"/>
    <w:multiLevelType w:val="hybridMultilevel"/>
    <w:tmpl w:val="BC5CBA5C"/>
    <w:lvl w:ilvl="0" w:tplc="2494A8A8">
      <w:start w:val="6"/>
      <w:numFmt w:val="bullet"/>
      <w:lvlText w:val=""/>
      <w:lvlJc w:val="left"/>
      <w:pPr>
        <w:ind w:left="405" w:hanging="360"/>
      </w:pPr>
      <w:rPr>
        <w:rFonts w:ascii="Symbol" w:eastAsia="Calibri" w:hAnsi="Symbol"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8" w15:restartNumberingAfterBreak="0">
    <w:nsid w:val="52AA0F52"/>
    <w:multiLevelType w:val="hybridMultilevel"/>
    <w:tmpl w:val="D792B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3E784D"/>
    <w:multiLevelType w:val="hybridMultilevel"/>
    <w:tmpl w:val="F5A43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C21DE2"/>
    <w:multiLevelType w:val="hybridMultilevel"/>
    <w:tmpl w:val="512EA060"/>
    <w:lvl w:ilvl="0" w:tplc="C846C536">
      <w:numFmt w:val="bullet"/>
      <w:lvlText w:val="-"/>
      <w:lvlJc w:val="left"/>
      <w:pPr>
        <w:ind w:left="76"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CC337B"/>
    <w:multiLevelType w:val="hybridMultilevel"/>
    <w:tmpl w:val="5DA26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D62F70"/>
    <w:multiLevelType w:val="hybridMultilevel"/>
    <w:tmpl w:val="21981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753342D"/>
    <w:multiLevelType w:val="hybridMultilevel"/>
    <w:tmpl w:val="D0329C9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4" w15:restartNumberingAfterBreak="0">
    <w:nsid w:val="69EA1453"/>
    <w:multiLevelType w:val="hybridMultilevel"/>
    <w:tmpl w:val="298895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256DF6"/>
    <w:multiLevelType w:val="hybridMultilevel"/>
    <w:tmpl w:val="78E8C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E16F00"/>
    <w:multiLevelType w:val="multilevel"/>
    <w:tmpl w:val="62EA17A6"/>
    <w:lvl w:ilvl="0">
      <w:start w:val="1"/>
      <w:numFmt w:val="decimal"/>
      <w:suff w:val="nothing"/>
      <w:lvlText w:val="Part %1"/>
      <w:lvlJc w:val="left"/>
      <w:pPr>
        <w:ind w:left="0" w:firstLine="0"/>
      </w:pPr>
      <w:rPr>
        <w:rFonts w:asciiTheme="minorHAnsi" w:hAnsiTheme="minorHAnsi" w:hint="default"/>
        <w:color w:val="1F497D" w:themeColor="text2"/>
        <w:spacing w:val="-20"/>
        <w:sz w:val="60"/>
      </w:rPr>
    </w:lvl>
    <w:lvl w:ilvl="1">
      <w:start w:val="1"/>
      <w:numFmt w:val="decimal"/>
      <w:lvlText w:val="%1.%2"/>
      <w:lvlJc w:val="left"/>
      <w:pPr>
        <w:tabs>
          <w:tab w:val="num" w:pos="510"/>
        </w:tabs>
        <w:ind w:left="0" w:firstLine="0"/>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37" w15:restartNumberingAfterBreak="0">
    <w:nsid w:val="73461FEB"/>
    <w:multiLevelType w:val="hybridMultilevel"/>
    <w:tmpl w:val="706A281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8" w15:restartNumberingAfterBreak="0">
    <w:nsid w:val="76666A72"/>
    <w:multiLevelType w:val="hybridMultilevel"/>
    <w:tmpl w:val="714AAFAC"/>
    <w:lvl w:ilvl="0" w:tplc="C22CCEE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A50765"/>
    <w:multiLevelType w:val="hybridMultilevel"/>
    <w:tmpl w:val="000E65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412695"/>
    <w:multiLevelType w:val="hybridMultilevel"/>
    <w:tmpl w:val="D27A5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15"/>
  </w:num>
  <w:num w:numId="4">
    <w:abstractNumId w:val="3"/>
  </w:num>
  <w:num w:numId="5">
    <w:abstractNumId w:val="8"/>
  </w:num>
  <w:num w:numId="6">
    <w:abstractNumId w:val="10"/>
  </w:num>
  <w:num w:numId="7">
    <w:abstractNumId w:val="2"/>
  </w:num>
  <w:num w:numId="8">
    <w:abstractNumId w:val="31"/>
  </w:num>
  <w:num w:numId="9">
    <w:abstractNumId w:val="37"/>
  </w:num>
  <w:num w:numId="10">
    <w:abstractNumId w:val="11"/>
  </w:num>
  <w:num w:numId="11">
    <w:abstractNumId w:val="26"/>
  </w:num>
  <w:num w:numId="12">
    <w:abstractNumId w:val="13"/>
  </w:num>
  <w:num w:numId="13">
    <w:abstractNumId w:val="12"/>
  </w:num>
  <w:num w:numId="14">
    <w:abstractNumId w:val="6"/>
  </w:num>
  <w:num w:numId="15">
    <w:abstractNumId w:val="30"/>
  </w:num>
  <w:num w:numId="16">
    <w:abstractNumId w:val="19"/>
  </w:num>
  <w:num w:numId="17">
    <w:abstractNumId w:val="38"/>
  </w:num>
  <w:num w:numId="18">
    <w:abstractNumId w:val="18"/>
  </w:num>
  <w:num w:numId="19">
    <w:abstractNumId w:val="14"/>
  </w:num>
  <w:num w:numId="20">
    <w:abstractNumId w:val="1"/>
  </w:num>
  <w:num w:numId="21">
    <w:abstractNumId w:val="29"/>
  </w:num>
  <w:num w:numId="22">
    <w:abstractNumId w:val="27"/>
  </w:num>
  <w:num w:numId="23">
    <w:abstractNumId w:val="17"/>
  </w:num>
  <w:num w:numId="24">
    <w:abstractNumId w:val="28"/>
  </w:num>
  <w:num w:numId="25">
    <w:abstractNumId w:val="24"/>
  </w:num>
  <w:num w:numId="26">
    <w:abstractNumId w:val="9"/>
  </w:num>
  <w:num w:numId="27">
    <w:abstractNumId w:val="40"/>
  </w:num>
  <w:num w:numId="28">
    <w:abstractNumId w:val="25"/>
  </w:num>
  <w:num w:numId="29">
    <w:abstractNumId w:val="0"/>
  </w:num>
  <w:num w:numId="30">
    <w:abstractNumId w:val="20"/>
  </w:num>
  <w:num w:numId="31">
    <w:abstractNumId w:val="4"/>
  </w:num>
  <w:num w:numId="32">
    <w:abstractNumId w:val="36"/>
  </w:num>
  <w:num w:numId="33">
    <w:abstractNumId w:val="32"/>
  </w:num>
  <w:num w:numId="34">
    <w:abstractNumId w:val="5"/>
  </w:num>
  <w:num w:numId="35">
    <w:abstractNumId w:val="22"/>
  </w:num>
  <w:num w:numId="36">
    <w:abstractNumId w:val="16"/>
  </w:num>
  <w:num w:numId="37">
    <w:abstractNumId w:val="33"/>
  </w:num>
  <w:num w:numId="38">
    <w:abstractNumId w:val="39"/>
  </w:num>
  <w:num w:numId="39">
    <w:abstractNumId w:val="21"/>
  </w:num>
  <w:num w:numId="40">
    <w:abstractNumId w:val="3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85f4cbd0-3a95-4b5b-bddf-099068d13597"/>
    <w:docVar w:name="_AMO_XmlVersion" w:val="Empty"/>
  </w:docVars>
  <w:rsids>
    <w:rsidRoot w:val="00930C49"/>
    <w:rsid w:val="00002D89"/>
    <w:rsid w:val="00004D47"/>
    <w:rsid w:val="00004E4A"/>
    <w:rsid w:val="000107D0"/>
    <w:rsid w:val="000132DC"/>
    <w:rsid w:val="00013812"/>
    <w:rsid w:val="000150F5"/>
    <w:rsid w:val="00015675"/>
    <w:rsid w:val="00015B05"/>
    <w:rsid w:val="00016DF4"/>
    <w:rsid w:val="000179C9"/>
    <w:rsid w:val="00017E0D"/>
    <w:rsid w:val="00020F4A"/>
    <w:rsid w:val="000224F6"/>
    <w:rsid w:val="00023B25"/>
    <w:rsid w:val="0002601A"/>
    <w:rsid w:val="00026263"/>
    <w:rsid w:val="00027252"/>
    <w:rsid w:val="0003043E"/>
    <w:rsid w:val="000311E8"/>
    <w:rsid w:val="00034D61"/>
    <w:rsid w:val="00035948"/>
    <w:rsid w:val="0003691C"/>
    <w:rsid w:val="000370CD"/>
    <w:rsid w:val="0004697A"/>
    <w:rsid w:val="000525EE"/>
    <w:rsid w:val="0005438B"/>
    <w:rsid w:val="00054F11"/>
    <w:rsid w:val="000567F1"/>
    <w:rsid w:val="000572E9"/>
    <w:rsid w:val="00060942"/>
    <w:rsid w:val="00060C36"/>
    <w:rsid w:val="000615E9"/>
    <w:rsid w:val="00062429"/>
    <w:rsid w:val="00063D3E"/>
    <w:rsid w:val="000643CA"/>
    <w:rsid w:val="0006532E"/>
    <w:rsid w:val="0007241E"/>
    <w:rsid w:val="000742C2"/>
    <w:rsid w:val="000749E2"/>
    <w:rsid w:val="00075215"/>
    <w:rsid w:val="00077014"/>
    <w:rsid w:val="00083C52"/>
    <w:rsid w:val="0008629B"/>
    <w:rsid w:val="00091052"/>
    <w:rsid w:val="000A04DA"/>
    <w:rsid w:val="000A1938"/>
    <w:rsid w:val="000A6833"/>
    <w:rsid w:val="000A703B"/>
    <w:rsid w:val="000A7D76"/>
    <w:rsid w:val="000B028A"/>
    <w:rsid w:val="000B06E7"/>
    <w:rsid w:val="000B14C1"/>
    <w:rsid w:val="000B22C3"/>
    <w:rsid w:val="000B38A7"/>
    <w:rsid w:val="000B3CE5"/>
    <w:rsid w:val="000B3D81"/>
    <w:rsid w:val="000B3E16"/>
    <w:rsid w:val="000B5D67"/>
    <w:rsid w:val="000C03B8"/>
    <w:rsid w:val="000C0C5D"/>
    <w:rsid w:val="000C2CB0"/>
    <w:rsid w:val="000C3824"/>
    <w:rsid w:val="000C391B"/>
    <w:rsid w:val="000C6CFD"/>
    <w:rsid w:val="000C712C"/>
    <w:rsid w:val="000D080C"/>
    <w:rsid w:val="000D0E92"/>
    <w:rsid w:val="000D0FB6"/>
    <w:rsid w:val="000D1681"/>
    <w:rsid w:val="000D2D67"/>
    <w:rsid w:val="000D459B"/>
    <w:rsid w:val="000D51AE"/>
    <w:rsid w:val="000D6064"/>
    <w:rsid w:val="000D6EBD"/>
    <w:rsid w:val="000D76BA"/>
    <w:rsid w:val="000E3D79"/>
    <w:rsid w:val="000E4724"/>
    <w:rsid w:val="000F0F3D"/>
    <w:rsid w:val="000F1AC0"/>
    <w:rsid w:val="000F3BE1"/>
    <w:rsid w:val="000F44B6"/>
    <w:rsid w:val="000F4BB6"/>
    <w:rsid w:val="00100C91"/>
    <w:rsid w:val="00101D76"/>
    <w:rsid w:val="00104DDF"/>
    <w:rsid w:val="00106D9B"/>
    <w:rsid w:val="00116297"/>
    <w:rsid w:val="001176A6"/>
    <w:rsid w:val="0011772C"/>
    <w:rsid w:val="00120C50"/>
    <w:rsid w:val="00120D59"/>
    <w:rsid w:val="001213FA"/>
    <w:rsid w:val="00123066"/>
    <w:rsid w:val="00123BDE"/>
    <w:rsid w:val="00125355"/>
    <w:rsid w:val="00126D31"/>
    <w:rsid w:val="001300E2"/>
    <w:rsid w:val="0013134E"/>
    <w:rsid w:val="00131693"/>
    <w:rsid w:val="00134177"/>
    <w:rsid w:val="00135DF7"/>
    <w:rsid w:val="00136975"/>
    <w:rsid w:val="00136C0E"/>
    <w:rsid w:val="00142458"/>
    <w:rsid w:val="00147033"/>
    <w:rsid w:val="001504E1"/>
    <w:rsid w:val="00150A51"/>
    <w:rsid w:val="001539FE"/>
    <w:rsid w:val="0015454E"/>
    <w:rsid w:val="0015518E"/>
    <w:rsid w:val="00163B20"/>
    <w:rsid w:val="001664A9"/>
    <w:rsid w:val="001677A2"/>
    <w:rsid w:val="00171F99"/>
    <w:rsid w:val="001721FE"/>
    <w:rsid w:val="00172580"/>
    <w:rsid w:val="00173582"/>
    <w:rsid w:val="00177DCD"/>
    <w:rsid w:val="001808C9"/>
    <w:rsid w:val="00182272"/>
    <w:rsid w:val="00184315"/>
    <w:rsid w:val="001845ED"/>
    <w:rsid w:val="001847D9"/>
    <w:rsid w:val="001857D8"/>
    <w:rsid w:val="00185AC2"/>
    <w:rsid w:val="00192895"/>
    <w:rsid w:val="00192B74"/>
    <w:rsid w:val="00193543"/>
    <w:rsid w:val="00194F8F"/>
    <w:rsid w:val="001951D2"/>
    <w:rsid w:val="001953C8"/>
    <w:rsid w:val="00195817"/>
    <w:rsid w:val="001A021D"/>
    <w:rsid w:val="001A0F80"/>
    <w:rsid w:val="001A2C0A"/>
    <w:rsid w:val="001A56A4"/>
    <w:rsid w:val="001A66FD"/>
    <w:rsid w:val="001A73CA"/>
    <w:rsid w:val="001B0866"/>
    <w:rsid w:val="001B0A37"/>
    <w:rsid w:val="001B2439"/>
    <w:rsid w:val="001B2C8D"/>
    <w:rsid w:val="001B68D4"/>
    <w:rsid w:val="001C0BEB"/>
    <w:rsid w:val="001C2304"/>
    <w:rsid w:val="001C267C"/>
    <w:rsid w:val="001C29F3"/>
    <w:rsid w:val="001C2CC0"/>
    <w:rsid w:val="001C53B3"/>
    <w:rsid w:val="001C740A"/>
    <w:rsid w:val="001C795A"/>
    <w:rsid w:val="001D24D0"/>
    <w:rsid w:val="001D40F6"/>
    <w:rsid w:val="001E07EE"/>
    <w:rsid w:val="001E0D82"/>
    <w:rsid w:val="001E3604"/>
    <w:rsid w:val="001E53ED"/>
    <w:rsid w:val="001E6478"/>
    <w:rsid w:val="001E6550"/>
    <w:rsid w:val="001E719E"/>
    <w:rsid w:val="001F193E"/>
    <w:rsid w:val="001F2990"/>
    <w:rsid w:val="001F3467"/>
    <w:rsid w:val="001F34A8"/>
    <w:rsid w:val="001F3874"/>
    <w:rsid w:val="001F6C45"/>
    <w:rsid w:val="001F74DA"/>
    <w:rsid w:val="002008C3"/>
    <w:rsid w:val="0020418A"/>
    <w:rsid w:val="0020602B"/>
    <w:rsid w:val="00206E97"/>
    <w:rsid w:val="002102CC"/>
    <w:rsid w:val="0021178D"/>
    <w:rsid w:val="00212BD6"/>
    <w:rsid w:val="00215F53"/>
    <w:rsid w:val="00216127"/>
    <w:rsid w:val="00217952"/>
    <w:rsid w:val="00221B8B"/>
    <w:rsid w:val="00222D11"/>
    <w:rsid w:val="00223653"/>
    <w:rsid w:val="00225693"/>
    <w:rsid w:val="00225764"/>
    <w:rsid w:val="002328BE"/>
    <w:rsid w:val="00234535"/>
    <w:rsid w:val="0023568E"/>
    <w:rsid w:val="00236C19"/>
    <w:rsid w:val="00240939"/>
    <w:rsid w:val="002433CD"/>
    <w:rsid w:val="002435A0"/>
    <w:rsid w:val="00244C59"/>
    <w:rsid w:val="002478E9"/>
    <w:rsid w:val="00250D6D"/>
    <w:rsid w:val="00253E09"/>
    <w:rsid w:val="00254887"/>
    <w:rsid w:val="002559AE"/>
    <w:rsid w:val="0025614E"/>
    <w:rsid w:val="00262475"/>
    <w:rsid w:val="002627AC"/>
    <w:rsid w:val="00263AF9"/>
    <w:rsid w:val="00264EE7"/>
    <w:rsid w:val="002668EC"/>
    <w:rsid w:val="00270BAF"/>
    <w:rsid w:val="00274BA9"/>
    <w:rsid w:val="00275CBA"/>
    <w:rsid w:val="00276D38"/>
    <w:rsid w:val="00287DDA"/>
    <w:rsid w:val="002903B3"/>
    <w:rsid w:val="0029313D"/>
    <w:rsid w:val="00294CEA"/>
    <w:rsid w:val="002A2E70"/>
    <w:rsid w:val="002A5311"/>
    <w:rsid w:val="002A7577"/>
    <w:rsid w:val="002B12F9"/>
    <w:rsid w:val="002B16CA"/>
    <w:rsid w:val="002B2343"/>
    <w:rsid w:val="002B2950"/>
    <w:rsid w:val="002B3008"/>
    <w:rsid w:val="002B391B"/>
    <w:rsid w:val="002B7B1C"/>
    <w:rsid w:val="002B7B55"/>
    <w:rsid w:val="002C03CB"/>
    <w:rsid w:val="002C31AF"/>
    <w:rsid w:val="002C4BBB"/>
    <w:rsid w:val="002C53CF"/>
    <w:rsid w:val="002C68B8"/>
    <w:rsid w:val="002D0133"/>
    <w:rsid w:val="002D0CC8"/>
    <w:rsid w:val="002D0F67"/>
    <w:rsid w:val="002D4137"/>
    <w:rsid w:val="002E0B97"/>
    <w:rsid w:val="002E2649"/>
    <w:rsid w:val="002E5E08"/>
    <w:rsid w:val="002E63C4"/>
    <w:rsid w:val="002F2894"/>
    <w:rsid w:val="002F70B4"/>
    <w:rsid w:val="002F7506"/>
    <w:rsid w:val="00302476"/>
    <w:rsid w:val="003024F0"/>
    <w:rsid w:val="003054D2"/>
    <w:rsid w:val="00306401"/>
    <w:rsid w:val="00306E42"/>
    <w:rsid w:val="00307DC5"/>
    <w:rsid w:val="00310611"/>
    <w:rsid w:val="003112BF"/>
    <w:rsid w:val="003152DC"/>
    <w:rsid w:val="003158CE"/>
    <w:rsid w:val="003163FD"/>
    <w:rsid w:val="00316D32"/>
    <w:rsid w:val="003175E8"/>
    <w:rsid w:val="00317E6C"/>
    <w:rsid w:val="00320E6D"/>
    <w:rsid w:val="003262D4"/>
    <w:rsid w:val="00326449"/>
    <w:rsid w:val="003264B9"/>
    <w:rsid w:val="0032688E"/>
    <w:rsid w:val="00326ED5"/>
    <w:rsid w:val="003311EF"/>
    <w:rsid w:val="003319DB"/>
    <w:rsid w:val="00332ACF"/>
    <w:rsid w:val="00333B68"/>
    <w:rsid w:val="0033412E"/>
    <w:rsid w:val="0033515C"/>
    <w:rsid w:val="003363D7"/>
    <w:rsid w:val="003368AB"/>
    <w:rsid w:val="003400C6"/>
    <w:rsid w:val="003408D4"/>
    <w:rsid w:val="00341AD4"/>
    <w:rsid w:val="003454C2"/>
    <w:rsid w:val="00345F33"/>
    <w:rsid w:val="00345FFB"/>
    <w:rsid w:val="0034684A"/>
    <w:rsid w:val="00346893"/>
    <w:rsid w:val="00346A3F"/>
    <w:rsid w:val="00350BBA"/>
    <w:rsid w:val="00352328"/>
    <w:rsid w:val="00352CB5"/>
    <w:rsid w:val="0035329B"/>
    <w:rsid w:val="0035543C"/>
    <w:rsid w:val="003576E9"/>
    <w:rsid w:val="00360746"/>
    <w:rsid w:val="003608BE"/>
    <w:rsid w:val="00360FB6"/>
    <w:rsid w:val="00362177"/>
    <w:rsid w:val="003621B7"/>
    <w:rsid w:val="00363273"/>
    <w:rsid w:val="00363907"/>
    <w:rsid w:val="00364C33"/>
    <w:rsid w:val="003704B1"/>
    <w:rsid w:val="00371EF0"/>
    <w:rsid w:val="0037638C"/>
    <w:rsid w:val="003767DC"/>
    <w:rsid w:val="003806EF"/>
    <w:rsid w:val="00380C96"/>
    <w:rsid w:val="00394775"/>
    <w:rsid w:val="00396C23"/>
    <w:rsid w:val="00397078"/>
    <w:rsid w:val="003A3A11"/>
    <w:rsid w:val="003A61A2"/>
    <w:rsid w:val="003A699F"/>
    <w:rsid w:val="003B0686"/>
    <w:rsid w:val="003B3C31"/>
    <w:rsid w:val="003B548B"/>
    <w:rsid w:val="003B5B80"/>
    <w:rsid w:val="003B7120"/>
    <w:rsid w:val="003C4B64"/>
    <w:rsid w:val="003C7682"/>
    <w:rsid w:val="003D18EA"/>
    <w:rsid w:val="003D1E4A"/>
    <w:rsid w:val="003D247D"/>
    <w:rsid w:val="003D377E"/>
    <w:rsid w:val="003D3DA4"/>
    <w:rsid w:val="003D54BA"/>
    <w:rsid w:val="003E28A6"/>
    <w:rsid w:val="003E4944"/>
    <w:rsid w:val="003F05F6"/>
    <w:rsid w:val="003F2635"/>
    <w:rsid w:val="003F319F"/>
    <w:rsid w:val="003F38A7"/>
    <w:rsid w:val="003F402D"/>
    <w:rsid w:val="003F46CE"/>
    <w:rsid w:val="003F6549"/>
    <w:rsid w:val="003F7AED"/>
    <w:rsid w:val="004037B6"/>
    <w:rsid w:val="00404D53"/>
    <w:rsid w:val="00406D9B"/>
    <w:rsid w:val="00413FA9"/>
    <w:rsid w:val="0041419C"/>
    <w:rsid w:val="004153CF"/>
    <w:rsid w:val="00416F1F"/>
    <w:rsid w:val="00420E54"/>
    <w:rsid w:val="0042141D"/>
    <w:rsid w:val="00421EA3"/>
    <w:rsid w:val="004236D8"/>
    <w:rsid w:val="00425826"/>
    <w:rsid w:val="00426563"/>
    <w:rsid w:val="0042687C"/>
    <w:rsid w:val="00426E1E"/>
    <w:rsid w:val="00431005"/>
    <w:rsid w:val="00431678"/>
    <w:rsid w:val="00431D96"/>
    <w:rsid w:val="004336C8"/>
    <w:rsid w:val="00435A6D"/>
    <w:rsid w:val="00450A1D"/>
    <w:rsid w:val="00450BF2"/>
    <w:rsid w:val="0045519F"/>
    <w:rsid w:val="00455DA3"/>
    <w:rsid w:val="00461FBD"/>
    <w:rsid w:val="004659F6"/>
    <w:rsid w:val="0046661A"/>
    <w:rsid w:val="0046707F"/>
    <w:rsid w:val="004708A6"/>
    <w:rsid w:val="00470DA2"/>
    <w:rsid w:val="004712C5"/>
    <w:rsid w:val="004721BE"/>
    <w:rsid w:val="004725D4"/>
    <w:rsid w:val="00474578"/>
    <w:rsid w:val="00475E58"/>
    <w:rsid w:val="004767EE"/>
    <w:rsid w:val="0047747C"/>
    <w:rsid w:val="00480243"/>
    <w:rsid w:val="00480C42"/>
    <w:rsid w:val="00481277"/>
    <w:rsid w:val="00481996"/>
    <w:rsid w:val="004829C9"/>
    <w:rsid w:val="004841E8"/>
    <w:rsid w:val="00484DD1"/>
    <w:rsid w:val="0048546C"/>
    <w:rsid w:val="00487E73"/>
    <w:rsid w:val="00493484"/>
    <w:rsid w:val="00494506"/>
    <w:rsid w:val="004965A8"/>
    <w:rsid w:val="00496744"/>
    <w:rsid w:val="004974D8"/>
    <w:rsid w:val="004A27F2"/>
    <w:rsid w:val="004A5107"/>
    <w:rsid w:val="004B1071"/>
    <w:rsid w:val="004B1404"/>
    <w:rsid w:val="004B3D62"/>
    <w:rsid w:val="004B4A18"/>
    <w:rsid w:val="004B58E0"/>
    <w:rsid w:val="004B645C"/>
    <w:rsid w:val="004B7343"/>
    <w:rsid w:val="004B7BF3"/>
    <w:rsid w:val="004C2FE3"/>
    <w:rsid w:val="004C3A5F"/>
    <w:rsid w:val="004C5FDA"/>
    <w:rsid w:val="004C629F"/>
    <w:rsid w:val="004D24E2"/>
    <w:rsid w:val="004D2EAE"/>
    <w:rsid w:val="004D499F"/>
    <w:rsid w:val="004D4D9C"/>
    <w:rsid w:val="004D7155"/>
    <w:rsid w:val="004E22FA"/>
    <w:rsid w:val="004E2423"/>
    <w:rsid w:val="004E41E2"/>
    <w:rsid w:val="004E74AD"/>
    <w:rsid w:val="004E7D30"/>
    <w:rsid w:val="004E7E18"/>
    <w:rsid w:val="004F093F"/>
    <w:rsid w:val="004F2767"/>
    <w:rsid w:val="004F276C"/>
    <w:rsid w:val="004F4865"/>
    <w:rsid w:val="004F7628"/>
    <w:rsid w:val="00500216"/>
    <w:rsid w:val="00500ECB"/>
    <w:rsid w:val="00500FDD"/>
    <w:rsid w:val="00504D7D"/>
    <w:rsid w:val="00505E0C"/>
    <w:rsid w:val="00506209"/>
    <w:rsid w:val="00507D12"/>
    <w:rsid w:val="005103CF"/>
    <w:rsid w:val="00511A71"/>
    <w:rsid w:val="00511D47"/>
    <w:rsid w:val="00514F9F"/>
    <w:rsid w:val="0052002D"/>
    <w:rsid w:val="005207C2"/>
    <w:rsid w:val="005223F9"/>
    <w:rsid w:val="005228E4"/>
    <w:rsid w:val="005262C3"/>
    <w:rsid w:val="00526636"/>
    <w:rsid w:val="005267CC"/>
    <w:rsid w:val="00530534"/>
    <w:rsid w:val="005364C7"/>
    <w:rsid w:val="00537D40"/>
    <w:rsid w:val="00537EFB"/>
    <w:rsid w:val="00540DF3"/>
    <w:rsid w:val="00541E5E"/>
    <w:rsid w:val="0054307C"/>
    <w:rsid w:val="00543119"/>
    <w:rsid w:val="0054668F"/>
    <w:rsid w:val="00547EF2"/>
    <w:rsid w:val="00551D86"/>
    <w:rsid w:val="005521DE"/>
    <w:rsid w:val="00552E35"/>
    <w:rsid w:val="00552F29"/>
    <w:rsid w:val="00554647"/>
    <w:rsid w:val="0055613F"/>
    <w:rsid w:val="00557EE5"/>
    <w:rsid w:val="00560B6D"/>
    <w:rsid w:val="005624EA"/>
    <w:rsid w:val="00564985"/>
    <w:rsid w:val="0056511C"/>
    <w:rsid w:val="0056583A"/>
    <w:rsid w:val="00565A20"/>
    <w:rsid w:val="00565E26"/>
    <w:rsid w:val="00565E2B"/>
    <w:rsid w:val="00566D82"/>
    <w:rsid w:val="00567716"/>
    <w:rsid w:val="00570F27"/>
    <w:rsid w:val="00572383"/>
    <w:rsid w:val="00572430"/>
    <w:rsid w:val="005724D8"/>
    <w:rsid w:val="00572E31"/>
    <w:rsid w:val="00575422"/>
    <w:rsid w:val="00575F1A"/>
    <w:rsid w:val="00580BA5"/>
    <w:rsid w:val="00581465"/>
    <w:rsid w:val="00582FB4"/>
    <w:rsid w:val="005860C0"/>
    <w:rsid w:val="005871AD"/>
    <w:rsid w:val="005902F3"/>
    <w:rsid w:val="0059117E"/>
    <w:rsid w:val="00591309"/>
    <w:rsid w:val="00591AD7"/>
    <w:rsid w:val="00592F09"/>
    <w:rsid w:val="005973D1"/>
    <w:rsid w:val="005A000A"/>
    <w:rsid w:val="005A09FB"/>
    <w:rsid w:val="005A11AF"/>
    <w:rsid w:val="005A2EB8"/>
    <w:rsid w:val="005A5E65"/>
    <w:rsid w:val="005A7CFD"/>
    <w:rsid w:val="005B0E42"/>
    <w:rsid w:val="005B17E6"/>
    <w:rsid w:val="005B3176"/>
    <w:rsid w:val="005B454B"/>
    <w:rsid w:val="005C1971"/>
    <w:rsid w:val="005C20FB"/>
    <w:rsid w:val="005C2327"/>
    <w:rsid w:val="005C7271"/>
    <w:rsid w:val="005D09F1"/>
    <w:rsid w:val="005D236C"/>
    <w:rsid w:val="005D3ACB"/>
    <w:rsid w:val="005D4615"/>
    <w:rsid w:val="005D4746"/>
    <w:rsid w:val="005D4ED0"/>
    <w:rsid w:val="005D572E"/>
    <w:rsid w:val="005D59CF"/>
    <w:rsid w:val="005E0ADF"/>
    <w:rsid w:val="005E5585"/>
    <w:rsid w:val="005E6C13"/>
    <w:rsid w:val="005F181C"/>
    <w:rsid w:val="005F2AA2"/>
    <w:rsid w:val="005F528B"/>
    <w:rsid w:val="005F54C4"/>
    <w:rsid w:val="00600BB1"/>
    <w:rsid w:val="00601566"/>
    <w:rsid w:val="00602FB4"/>
    <w:rsid w:val="00603FDF"/>
    <w:rsid w:val="0060794A"/>
    <w:rsid w:val="00607ACB"/>
    <w:rsid w:val="006102B6"/>
    <w:rsid w:val="006125FB"/>
    <w:rsid w:val="00613648"/>
    <w:rsid w:val="00614843"/>
    <w:rsid w:val="00617828"/>
    <w:rsid w:val="00617ADF"/>
    <w:rsid w:val="00620BCE"/>
    <w:rsid w:val="0062322D"/>
    <w:rsid w:val="00624C80"/>
    <w:rsid w:val="00625433"/>
    <w:rsid w:val="00625A5D"/>
    <w:rsid w:val="00625B58"/>
    <w:rsid w:val="00625EB5"/>
    <w:rsid w:val="0063154E"/>
    <w:rsid w:val="006316C8"/>
    <w:rsid w:val="00632683"/>
    <w:rsid w:val="00632E08"/>
    <w:rsid w:val="00633D95"/>
    <w:rsid w:val="00637BBB"/>
    <w:rsid w:val="0064079E"/>
    <w:rsid w:val="00641544"/>
    <w:rsid w:val="00641A69"/>
    <w:rsid w:val="00641CEB"/>
    <w:rsid w:val="00643655"/>
    <w:rsid w:val="00643854"/>
    <w:rsid w:val="0064506B"/>
    <w:rsid w:val="0064623C"/>
    <w:rsid w:val="006462B1"/>
    <w:rsid w:val="0064784C"/>
    <w:rsid w:val="00650853"/>
    <w:rsid w:val="0065272F"/>
    <w:rsid w:val="00655458"/>
    <w:rsid w:val="00661DC2"/>
    <w:rsid w:val="00664D70"/>
    <w:rsid w:val="00665EF4"/>
    <w:rsid w:val="006710B5"/>
    <w:rsid w:val="006726C9"/>
    <w:rsid w:val="00672F11"/>
    <w:rsid w:val="0067352D"/>
    <w:rsid w:val="00673B83"/>
    <w:rsid w:val="00677D20"/>
    <w:rsid w:val="006806E4"/>
    <w:rsid w:val="00681DAC"/>
    <w:rsid w:val="00683DCE"/>
    <w:rsid w:val="00686E3B"/>
    <w:rsid w:val="00687B8D"/>
    <w:rsid w:val="006906BB"/>
    <w:rsid w:val="0069550D"/>
    <w:rsid w:val="0069703D"/>
    <w:rsid w:val="006A0F04"/>
    <w:rsid w:val="006A1214"/>
    <w:rsid w:val="006A2B53"/>
    <w:rsid w:val="006A2B8B"/>
    <w:rsid w:val="006A3B5C"/>
    <w:rsid w:val="006A44D5"/>
    <w:rsid w:val="006A5D76"/>
    <w:rsid w:val="006A7106"/>
    <w:rsid w:val="006B0F5E"/>
    <w:rsid w:val="006B1E8A"/>
    <w:rsid w:val="006B3A56"/>
    <w:rsid w:val="006B5F87"/>
    <w:rsid w:val="006B6ED4"/>
    <w:rsid w:val="006C045B"/>
    <w:rsid w:val="006C0A10"/>
    <w:rsid w:val="006C0E8F"/>
    <w:rsid w:val="006C2A2E"/>
    <w:rsid w:val="006C57A6"/>
    <w:rsid w:val="006C61B5"/>
    <w:rsid w:val="006D1F2D"/>
    <w:rsid w:val="006D32AC"/>
    <w:rsid w:val="006D4F04"/>
    <w:rsid w:val="006D5FBF"/>
    <w:rsid w:val="006D790C"/>
    <w:rsid w:val="006E0CD2"/>
    <w:rsid w:val="006E6328"/>
    <w:rsid w:val="006E7411"/>
    <w:rsid w:val="006F20E9"/>
    <w:rsid w:val="006F2F27"/>
    <w:rsid w:val="006F711D"/>
    <w:rsid w:val="0070219E"/>
    <w:rsid w:val="007033EA"/>
    <w:rsid w:val="00703B2E"/>
    <w:rsid w:val="00704337"/>
    <w:rsid w:val="007057B7"/>
    <w:rsid w:val="00707DFD"/>
    <w:rsid w:val="00714A94"/>
    <w:rsid w:val="00715828"/>
    <w:rsid w:val="00717401"/>
    <w:rsid w:val="0071771C"/>
    <w:rsid w:val="00721600"/>
    <w:rsid w:val="007234E6"/>
    <w:rsid w:val="00723537"/>
    <w:rsid w:val="007305C6"/>
    <w:rsid w:val="007337A6"/>
    <w:rsid w:val="0073481F"/>
    <w:rsid w:val="00735635"/>
    <w:rsid w:val="0073703A"/>
    <w:rsid w:val="0073799F"/>
    <w:rsid w:val="00737AB0"/>
    <w:rsid w:val="00740330"/>
    <w:rsid w:val="0074096C"/>
    <w:rsid w:val="00740BE8"/>
    <w:rsid w:val="00740E11"/>
    <w:rsid w:val="00742779"/>
    <w:rsid w:val="00742FE0"/>
    <w:rsid w:val="0074478C"/>
    <w:rsid w:val="0074534F"/>
    <w:rsid w:val="00746A88"/>
    <w:rsid w:val="0074744D"/>
    <w:rsid w:val="007539EB"/>
    <w:rsid w:val="007552B3"/>
    <w:rsid w:val="007609F2"/>
    <w:rsid w:val="00761FF6"/>
    <w:rsid w:val="007636CA"/>
    <w:rsid w:val="00763F52"/>
    <w:rsid w:val="00766EB8"/>
    <w:rsid w:val="007670D3"/>
    <w:rsid w:val="00767262"/>
    <w:rsid w:val="007725D7"/>
    <w:rsid w:val="0077292D"/>
    <w:rsid w:val="00773928"/>
    <w:rsid w:val="00776210"/>
    <w:rsid w:val="00776E29"/>
    <w:rsid w:val="0078268A"/>
    <w:rsid w:val="0078302F"/>
    <w:rsid w:val="007867B0"/>
    <w:rsid w:val="0079248F"/>
    <w:rsid w:val="0079265D"/>
    <w:rsid w:val="0079295D"/>
    <w:rsid w:val="007946EE"/>
    <w:rsid w:val="00794C1F"/>
    <w:rsid w:val="00796A38"/>
    <w:rsid w:val="00796FD3"/>
    <w:rsid w:val="007A5585"/>
    <w:rsid w:val="007A6697"/>
    <w:rsid w:val="007B0B9C"/>
    <w:rsid w:val="007B2FF5"/>
    <w:rsid w:val="007B31AC"/>
    <w:rsid w:val="007B34E5"/>
    <w:rsid w:val="007B38AB"/>
    <w:rsid w:val="007B57C4"/>
    <w:rsid w:val="007C298E"/>
    <w:rsid w:val="007C3943"/>
    <w:rsid w:val="007C51E3"/>
    <w:rsid w:val="007C5355"/>
    <w:rsid w:val="007C62AF"/>
    <w:rsid w:val="007C744F"/>
    <w:rsid w:val="007C751E"/>
    <w:rsid w:val="007C7BF6"/>
    <w:rsid w:val="007D0B86"/>
    <w:rsid w:val="007D0FAC"/>
    <w:rsid w:val="007D55B4"/>
    <w:rsid w:val="007D7E89"/>
    <w:rsid w:val="007E1068"/>
    <w:rsid w:val="007E1C67"/>
    <w:rsid w:val="007E4053"/>
    <w:rsid w:val="007E525A"/>
    <w:rsid w:val="007E7590"/>
    <w:rsid w:val="007E7D59"/>
    <w:rsid w:val="007F038E"/>
    <w:rsid w:val="007F0894"/>
    <w:rsid w:val="007F0B0F"/>
    <w:rsid w:val="007F126A"/>
    <w:rsid w:val="007F200A"/>
    <w:rsid w:val="007F34FF"/>
    <w:rsid w:val="007F479C"/>
    <w:rsid w:val="007F669C"/>
    <w:rsid w:val="007F69C4"/>
    <w:rsid w:val="007F6BD6"/>
    <w:rsid w:val="008012E1"/>
    <w:rsid w:val="00801BDD"/>
    <w:rsid w:val="008028A6"/>
    <w:rsid w:val="00803D41"/>
    <w:rsid w:val="00804AE5"/>
    <w:rsid w:val="0080562C"/>
    <w:rsid w:val="008060A0"/>
    <w:rsid w:val="00812D94"/>
    <w:rsid w:val="0081326C"/>
    <w:rsid w:val="008158DD"/>
    <w:rsid w:val="00815A33"/>
    <w:rsid w:val="00816305"/>
    <w:rsid w:val="00816AD9"/>
    <w:rsid w:val="00825E37"/>
    <w:rsid w:val="008263DA"/>
    <w:rsid w:val="00826AAE"/>
    <w:rsid w:val="00830463"/>
    <w:rsid w:val="00830AF5"/>
    <w:rsid w:val="00831249"/>
    <w:rsid w:val="00832B3C"/>
    <w:rsid w:val="00833AD1"/>
    <w:rsid w:val="008341A7"/>
    <w:rsid w:val="008346A8"/>
    <w:rsid w:val="00835CCE"/>
    <w:rsid w:val="0084221B"/>
    <w:rsid w:val="00843BD1"/>
    <w:rsid w:val="0084722A"/>
    <w:rsid w:val="00852BCA"/>
    <w:rsid w:val="00853A3B"/>
    <w:rsid w:val="00853B85"/>
    <w:rsid w:val="00855DDC"/>
    <w:rsid w:val="00860562"/>
    <w:rsid w:val="008655F8"/>
    <w:rsid w:val="00865842"/>
    <w:rsid w:val="00866E4C"/>
    <w:rsid w:val="008724F9"/>
    <w:rsid w:val="00873033"/>
    <w:rsid w:val="00873170"/>
    <w:rsid w:val="008737B9"/>
    <w:rsid w:val="00873961"/>
    <w:rsid w:val="00875C2B"/>
    <w:rsid w:val="00881149"/>
    <w:rsid w:val="008815E4"/>
    <w:rsid w:val="00882348"/>
    <w:rsid w:val="00885105"/>
    <w:rsid w:val="00886915"/>
    <w:rsid w:val="00887ECD"/>
    <w:rsid w:val="00893147"/>
    <w:rsid w:val="00893C01"/>
    <w:rsid w:val="00893D61"/>
    <w:rsid w:val="0089737E"/>
    <w:rsid w:val="008A0612"/>
    <w:rsid w:val="008A28D9"/>
    <w:rsid w:val="008A4FE6"/>
    <w:rsid w:val="008A649F"/>
    <w:rsid w:val="008A7C56"/>
    <w:rsid w:val="008B1086"/>
    <w:rsid w:val="008B14E9"/>
    <w:rsid w:val="008B247C"/>
    <w:rsid w:val="008B36B3"/>
    <w:rsid w:val="008B565A"/>
    <w:rsid w:val="008B5770"/>
    <w:rsid w:val="008B68D7"/>
    <w:rsid w:val="008B71A7"/>
    <w:rsid w:val="008C4964"/>
    <w:rsid w:val="008C5219"/>
    <w:rsid w:val="008C56C4"/>
    <w:rsid w:val="008D2106"/>
    <w:rsid w:val="008D42D7"/>
    <w:rsid w:val="008E04E1"/>
    <w:rsid w:val="008E5D69"/>
    <w:rsid w:val="008E6246"/>
    <w:rsid w:val="008F2146"/>
    <w:rsid w:val="008F5C6A"/>
    <w:rsid w:val="008F64DE"/>
    <w:rsid w:val="008F655A"/>
    <w:rsid w:val="008F6CA0"/>
    <w:rsid w:val="008F7326"/>
    <w:rsid w:val="0090146E"/>
    <w:rsid w:val="009056CA"/>
    <w:rsid w:val="009061F1"/>
    <w:rsid w:val="00910FDB"/>
    <w:rsid w:val="00912B4C"/>
    <w:rsid w:val="009160EC"/>
    <w:rsid w:val="00916B88"/>
    <w:rsid w:val="00916BDC"/>
    <w:rsid w:val="00920182"/>
    <w:rsid w:val="00922225"/>
    <w:rsid w:val="00922284"/>
    <w:rsid w:val="00922CAE"/>
    <w:rsid w:val="00930C49"/>
    <w:rsid w:val="009317E8"/>
    <w:rsid w:val="00931991"/>
    <w:rsid w:val="00932844"/>
    <w:rsid w:val="00935EBB"/>
    <w:rsid w:val="009367E0"/>
    <w:rsid w:val="009409AB"/>
    <w:rsid w:val="00940D12"/>
    <w:rsid w:val="009415CC"/>
    <w:rsid w:val="009419EB"/>
    <w:rsid w:val="00941E5F"/>
    <w:rsid w:val="00945A6C"/>
    <w:rsid w:val="00945A99"/>
    <w:rsid w:val="00946B2D"/>
    <w:rsid w:val="00951750"/>
    <w:rsid w:val="009517C1"/>
    <w:rsid w:val="00951E24"/>
    <w:rsid w:val="00952871"/>
    <w:rsid w:val="00955C2D"/>
    <w:rsid w:val="0095678A"/>
    <w:rsid w:val="0096217E"/>
    <w:rsid w:val="00962410"/>
    <w:rsid w:val="009645D7"/>
    <w:rsid w:val="00966DEE"/>
    <w:rsid w:val="00971B6E"/>
    <w:rsid w:val="009720F4"/>
    <w:rsid w:val="00972397"/>
    <w:rsid w:val="0097292C"/>
    <w:rsid w:val="0097371C"/>
    <w:rsid w:val="00974112"/>
    <w:rsid w:val="00975A11"/>
    <w:rsid w:val="00976493"/>
    <w:rsid w:val="00976F57"/>
    <w:rsid w:val="00980562"/>
    <w:rsid w:val="00980EDE"/>
    <w:rsid w:val="00980FA3"/>
    <w:rsid w:val="009825F4"/>
    <w:rsid w:val="00985694"/>
    <w:rsid w:val="0098609C"/>
    <w:rsid w:val="00990D16"/>
    <w:rsid w:val="00992565"/>
    <w:rsid w:val="009964F1"/>
    <w:rsid w:val="009A05C6"/>
    <w:rsid w:val="009A05E9"/>
    <w:rsid w:val="009A2F57"/>
    <w:rsid w:val="009A3D9D"/>
    <w:rsid w:val="009A40E1"/>
    <w:rsid w:val="009A63BB"/>
    <w:rsid w:val="009A73A8"/>
    <w:rsid w:val="009A7DC2"/>
    <w:rsid w:val="009B00C9"/>
    <w:rsid w:val="009B2772"/>
    <w:rsid w:val="009B3F85"/>
    <w:rsid w:val="009B612B"/>
    <w:rsid w:val="009B643E"/>
    <w:rsid w:val="009C1B45"/>
    <w:rsid w:val="009C41CC"/>
    <w:rsid w:val="009C5F07"/>
    <w:rsid w:val="009C681E"/>
    <w:rsid w:val="009C7529"/>
    <w:rsid w:val="009D2134"/>
    <w:rsid w:val="009D38D5"/>
    <w:rsid w:val="009D5EBE"/>
    <w:rsid w:val="009D64F7"/>
    <w:rsid w:val="009D6687"/>
    <w:rsid w:val="009D7781"/>
    <w:rsid w:val="009E0C67"/>
    <w:rsid w:val="009E2935"/>
    <w:rsid w:val="009E7068"/>
    <w:rsid w:val="009E759F"/>
    <w:rsid w:val="009E763D"/>
    <w:rsid w:val="009E7BEB"/>
    <w:rsid w:val="009F024B"/>
    <w:rsid w:val="009F0745"/>
    <w:rsid w:val="009F1567"/>
    <w:rsid w:val="009F22B3"/>
    <w:rsid w:val="00A002D8"/>
    <w:rsid w:val="00A04965"/>
    <w:rsid w:val="00A05250"/>
    <w:rsid w:val="00A054F6"/>
    <w:rsid w:val="00A05D51"/>
    <w:rsid w:val="00A065FA"/>
    <w:rsid w:val="00A06E0A"/>
    <w:rsid w:val="00A11A5D"/>
    <w:rsid w:val="00A11B4E"/>
    <w:rsid w:val="00A13D10"/>
    <w:rsid w:val="00A147C5"/>
    <w:rsid w:val="00A14BBA"/>
    <w:rsid w:val="00A15203"/>
    <w:rsid w:val="00A15233"/>
    <w:rsid w:val="00A15C2D"/>
    <w:rsid w:val="00A16F52"/>
    <w:rsid w:val="00A1743E"/>
    <w:rsid w:val="00A20D4A"/>
    <w:rsid w:val="00A21480"/>
    <w:rsid w:val="00A21B2C"/>
    <w:rsid w:val="00A229FF"/>
    <w:rsid w:val="00A24C61"/>
    <w:rsid w:val="00A25674"/>
    <w:rsid w:val="00A27D3E"/>
    <w:rsid w:val="00A31E7B"/>
    <w:rsid w:val="00A33E52"/>
    <w:rsid w:val="00A34137"/>
    <w:rsid w:val="00A359C7"/>
    <w:rsid w:val="00A35BAC"/>
    <w:rsid w:val="00A379E8"/>
    <w:rsid w:val="00A41511"/>
    <w:rsid w:val="00A41515"/>
    <w:rsid w:val="00A41AD5"/>
    <w:rsid w:val="00A45F2A"/>
    <w:rsid w:val="00A46554"/>
    <w:rsid w:val="00A474E3"/>
    <w:rsid w:val="00A50771"/>
    <w:rsid w:val="00A52263"/>
    <w:rsid w:val="00A53F25"/>
    <w:rsid w:val="00A53F64"/>
    <w:rsid w:val="00A55324"/>
    <w:rsid w:val="00A57708"/>
    <w:rsid w:val="00A607D5"/>
    <w:rsid w:val="00A63FAF"/>
    <w:rsid w:val="00A64083"/>
    <w:rsid w:val="00A64CE9"/>
    <w:rsid w:val="00A65894"/>
    <w:rsid w:val="00A70DFC"/>
    <w:rsid w:val="00A725E1"/>
    <w:rsid w:val="00A72C31"/>
    <w:rsid w:val="00A75503"/>
    <w:rsid w:val="00A81131"/>
    <w:rsid w:val="00A8185C"/>
    <w:rsid w:val="00A81DAB"/>
    <w:rsid w:val="00A81EC3"/>
    <w:rsid w:val="00A83D25"/>
    <w:rsid w:val="00A86FD1"/>
    <w:rsid w:val="00A87301"/>
    <w:rsid w:val="00A9340E"/>
    <w:rsid w:val="00A95663"/>
    <w:rsid w:val="00A95E73"/>
    <w:rsid w:val="00AA003A"/>
    <w:rsid w:val="00AA25D0"/>
    <w:rsid w:val="00AA39BA"/>
    <w:rsid w:val="00AA3BC1"/>
    <w:rsid w:val="00AA3C08"/>
    <w:rsid w:val="00AA4F02"/>
    <w:rsid w:val="00AB0850"/>
    <w:rsid w:val="00AB0B0D"/>
    <w:rsid w:val="00AB207A"/>
    <w:rsid w:val="00AB26AB"/>
    <w:rsid w:val="00AB3AE5"/>
    <w:rsid w:val="00AB5A7F"/>
    <w:rsid w:val="00AB6412"/>
    <w:rsid w:val="00AB678C"/>
    <w:rsid w:val="00AC2159"/>
    <w:rsid w:val="00AC4D10"/>
    <w:rsid w:val="00AC52C4"/>
    <w:rsid w:val="00AC5980"/>
    <w:rsid w:val="00AD0840"/>
    <w:rsid w:val="00AD248E"/>
    <w:rsid w:val="00AD68E1"/>
    <w:rsid w:val="00AE2D7D"/>
    <w:rsid w:val="00AE3A25"/>
    <w:rsid w:val="00AE410D"/>
    <w:rsid w:val="00AE4476"/>
    <w:rsid w:val="00AE5EA0"/>
    <w:rsid w:val="00AE7695"/>
    <w:rsid w:val="00AF00F0"/>
    <w:rsid w:val="00AF055C"/>
    <w:rsid w:val="00AF0921"/>
    <w:rsid w:val="00AF4304"/>
    <w:rsid w:val="00AF6545"/>
    <w:rsid w:val="00B030C7"/>
    <w:rsid w:val="00B05A71"/>
    <w:rsid w:val="00B06570"/>
    <w:rsid w:val="00B113AC"/>
    <w:rsid w:val="00B14E32"/>
    <w:rsid w:val="00B15412"/>
    <w:rsid w:val="00B16059"/>
    <w:rsid w:val="00B17B61"/>
    <w:rsid w:val="00B22156"/>
    <w:rsid w:val="00B309EA"/>
    <w:rsid w:val="00B31620"/>
    <w:rsid w:val="00B319A5"/>
    <w:rsid w:val="00B3243B"/>
    <w:rsid w:val="00B33AA8"/>
    <w:rsid w:val="00B34E71"/>
    <w:rsid w:val="00B36192"/>
    <w:rsid w:val="00B364F5"/>
    <w:rsid w:val="00B426DF"/>
    <w:rsid w:val="00B4410E"/>
    <w:rsid w:val="00B4453E"/>
    <w:rsid w:val="00B45745"/>
    <w:rsid w:val="00B47598"/>
    <w:rsid w:val="00B4798F"/>
    <w:rsid w:val="00B51B35"/>
    <w:rsid w:val="00B528C3"/>
    <w:rsid w:val="00B52E48"/>
    <w:rsid w:val="00B54F37"/>
    <w:rsid w:val="00B57429"/>
    <w:rsid w:val="00B63517"/>
    <w:rsid w:val="00B65249"/>
    <w:rsid w:val="00B65536"/>
    <w:rsid w:val="00B65CA3"/>
    <w:rsid w:val="00B66019"/>
    <w:rsid w:val="00B66026"/>
    <w:rsid w:val="00B6603E"/>
    <w:rsid w:val="00B7365E"/>
    <w:rsid w:val="00B7437C"/>
    <w:rsid w:val="00B74470"/>
    <w:rsid w:val="00B771FB"/>
    <w:rsid w:val="00B774CA"/>
    <w:rsid w:val="00B806BA"/>
    <w:rsid w:val="00B80845"/>
    <w:rsid w:val="00B81A9B"/>
    <w:rsid w:val="00B83D6B"/>
    <w:rsid w:val="00B87379"/>
    <w:rsid w:val="00B9096A"/>
    <w:rsid w:val="00B91FFE"/>
    <w:rsid w:val="00B929D2"/>
    <w:rsid w:val="00B938C1"/>
    <w:rsid w:val="00B95998"/>
    <w:rsid w:val="00B96709"/>
    <w:rsid w:val="00B971DA"/>
    <w:rsid w:val="00BA058D"/>
    <w:rsid w:val="00BA20E7"/>
    <w:rsid w:val="00BA22DB"/>
    <w:rsid w:val="00BA418A"/>
    <w:rsid w:val="00BA4B4D"/>
    <w:rsid w:val="00BA6568"/>
    <w:rsid w:val="00BA6651"/>
    <w:rsid w:val="00BA7AA7"/>
    <w:rsid w:val="00BB0302"/>
    <w:rsid w:val="00BB039D"/>
    <w:rsid w:val="00BB0F85"/>
    <w:rsid w:val="00BB29C9"/>
    <w:rsid w:val="00BB3B69"/>
    <w:rsid w:val="00BB50F7"/>
    <w:rsid w:val="00BB67C6"/>
    <w:rsid w:val="00BC0358"/>
    <w:rsid w:val="00BC1C2F"/>
    <w:rsid w:val="00BC21FB"/>
    <w:rsid w:val="00BC4D25"/>
    <w:rsid w:val="00BC75B4"/>
    <w:rsid w:val="00BD0A01"/>
    <w:rsid w:val="00BD1B2B"/>
    <w:rsid w:val="00BD20FF"/>
    <w:rsid w:val="00BD2EC2"/>
    <w:rsid w:val="00BE05B1"/>
    <w:rsid w:val="00BE18A2"/>
    <w:rsid w:val="00BE58C6"/>
    <w:rsid w:val="00BE6ABD"/>
    <w:rsid w:val="00BF4FD4"/>
    <w:rsid w:val="00BF7C15"/>
    <w:rsid w:val="00C02614"/>
    <w:rsid w:val="00C02A50"/>
    <w:rsid w:val="00C0374C"/>
    <w:rsid w:val="00C0560B"/>
    <w:rsid w:val="00C06A3A"/>
    <w:rsid w:val="00C10269"/>
    <w:rsid w:val="00C10637"/>
    <w:rsid w:val="00C106E8"/>
    <w:rsid w:val="00C13F8D"/>
    <w:rsid w:val="00C158AC"/>
    <w:rsid w:val="00C15D14"/>
    <w:rsid w:val="00C16680"/>
    <w:rsid w:val="00C177A2"/>
    <w:rsid w:val="00C203AC"/>
    <w:rsid w:val="00C20DD9"/>
    <w:rsid w:val="00C23E79"/>
    <w:rsid w:val="00C246F3"/>
    <w:rsid w:val="00C24AD7"/>
    <w:rsid w:val="00C25EB4"/>
    <w:rsid w:val="00C26067"/>
    <w:rsid w:val="00C3056A"/>
    <w:rsid w:val="00C33189"/>
    <w:rsid w:val="00C40C3A"/>
    <w:rsid w:val="00C43075"/>
    <w:rsid w:val="00C443FF"/>
    <w:rsid w:val="00C4527D"/>
    <w:rsid w:val="00C45338"/>
    <w:rsid w:val="00C45B7A"/>
    <w:rsid w:val="00C47269"/>
    <w:rsid w:val="00C50121"/>
    <w:rsid w:val="00C56F4A"/>
    <w:rsid w:val="00C570ED"/>
    <w:rsid w:val="00C57FEC"/>
    <w:rsid w:val="00C6125D"/>
    <w:rsid w:val="00C62317"/>
    <w:rsid w:val="00C635E3"/>
    <w:rsid w:val="00C70AC9"/>
    <w:rsid w:val="00C710E4"/>
    <w:rsid w:val="00C72268"/>
    <w:rsid w:val="00C728DB"/>
    <w:rsid w:val="00C74054"/>
    <w:rsid w:val="00C75D70"/>
    <w:rsid w:val="00C77B12"/>
    <w:rsid w:val="00C8015C"/>
    <w:rsid w:val="00C81AB0"/>
    <w:rsid w:val="00C84F4C"/>
    <w:rsid w:val="00C8536B"/>
    <w:rsid w:val="00C85F61"/>
    <w:rsid w:val="00C87788"/>
    <w:rsid w:val="00C93E0A"/>
    <w:rsid w:val="00C94984"/>
    <w:rsid w:val="00C95546"/>
    <w:rsid w:val="00C966BE"/>
    <w:rsid w:val="00C97CA9"/>
    <w:rsid w:val="00CA075C"/>
    <w:rsid w:val="00CA2B45"/>
    <w:rsid w:val="00CA2FAE"/>
    <w:rsid w:val="00CA59AA"/>
    <w:rsid w:val="00CB0A10"/>
    <w:rsid w:val="00CB37C7"/>
    <w:rsid w:val="00CC02FF"/>
    <w:rsid w:val="00CC375F"/>
    <w:rsid w:val="00CC56AD"/>
    <w:rsid w:val="00CC5978"/>
    <w:rsid w:val="00CC6DDC"/>
    <w:rsid w:val="00CD03D2"/>
    <w:rsid w:val="00CD204E"/>
    <w:rsid w:val="00CD27D1"/>
    <w:rsid w:val="00CD461E"/>
    <w:rsid w:val="00CD4B0A"/>
    <w:rsid w:val="00CD5CAA"/>
    <w:rsid w:val="00CD7224"/>
    <w:rsid w:val="00CD752C"/>
    <w:rsid w:val="00CE0E64"/>
    <w:rsid w:val="00CE0F22"/>
    <w:rsid w:val="00CE3E01"/>
    <w:rsid w:val="00CE4BD3"/>
    <w:rsid w:val="00CE55D3"/>
    <w:rsid w:val="00CE6BBE"/>
    <w:rsid w:val="00CF3E7E"/>
    <w:rsid w:val="00CF4161"/>
    <w:rsid w:val="00CF4DDE"/>
    <w:rsid w:val="00CF6754"/>
    <w:rsid w:val="00CF6EB1"/>
    <w:rsid w:val="00D00033"/>
    <w:rsid w:val="00D00401"/>
    <w:rsid w:val="00D030F9"/>
    <w:rsid w:val="00D037AA"/>
    <w:rsid w:val="00D03B17"/>
    <w:rsid w:val="00D03B83"/>
    <w:rsid w:val="00D065E8"/>
    <w:rsid w:val="00D1342C"/>
    <w:rsid w:val="00D135D2"/>
    <w:rsid w:val="00D14C35"/>
    <w:rsid w:val="00D2029C"/>
    <w:rsid w:val="00D21271"/>
    <w:rsid w:val="00D21650"/>
    <w:rsid w:val="00D2175B"/>
    <w:rsid w:val="00D228D4"/>
    <w:rsid w:val="00D2338F"/>
    <w:rsid w:val="00D23606"/>
    <w:rsid w:val="00D27A62"/>
    <w:rsid w:val="00D304A1"/>
    <w:rsid w:val="00D30B91"/>
    <w:rsid w:val="00D32EC5"/>
    <w:rsid w:val="00D3315D"/>
    <w:rsid w:val="00D40C24"/>
    <w:rsid w:val="00D414A9"/>
    <w:rsid w:val="00D415C5"/>
    <w:rsid w:val="00D415EE"/>
    <w:rsid w:val="00D41E3B"/>
    <w:rsid w:val="00D45C92"/>
    <w:rsid w:val="00D463CA"/>
    <w:rsid w:val="00D470DF"/>
    <w:rsid w:val="00D47CC3"/>
    <w:rsid w:val="00D47E6D"/>
    <w:rsid w:val="00D53C89"/>
    <w:rsid w:val="00D54C4C"/>
    <w:rsid w:val="00D5529C"/>
    <w:rsid w:val="00D55350"/>
    <w:rsid w:val="00D55524"/>
    <w:rsid w:val="00D55EAD"/>
    <w:rsid w:val="00D56EB0"/>
    <w:rsid w:val="00D60C16"/>
    <w:rsid w:val="00D63F4D"/>
    <w:rsid w:val="00D6668C"/>
    <w:rsid w:val="00D70682"/>
    <w:rsid w:val="00D73975"/>
    <w:rsid w:val="00D75076"/>
    <w:rsid w:val="00D757E4"/>
    <w:rsid w:val="00D774E2"/>
    <w:rsid w:val="00D80025"/>
    <w:rsid w:val="00D80EB0"/>
    <w:rsid w:val="00D80FFE"/>
    <w:rsid w:val="00D83928"/>
    <w:rsid w:val="00D85341"/>
    <w:rsid w:val="00D8582F"/>
    <w:rsid w:val="00D85B5C"/>
    <w:rsid w:val="00D86001"/>
    <w:rsid w:val="00D8699F"/>
    <w:rsid w:val="00D87E33"/>
    <w:rsid w:val="00D91823"/>
    <w:rsid w:val="00D92542"/>
    <w:rsid w:val="00D92872"/>
    <w:rsid w:val="00D93021"/>
    <w:rsid w:val="00D95124"/>
    <w:rsid w:val="00D95859"/>
    <w:rsid w:val="00D95B0D"/>
    <w:rsid w:val="00D97307"/>
    <w:rsid w:val="00D97718"/>
    <w:rsid w:val="00D97F74"/>
    <w:rsid w:val="00DA104A"/>
    <w:rsid w:val="00DA5293"/>
    <w:rsid w:val="00DB4259"/>
    <w:rsid w:val="00DB78F7"/>
    <w:rsid w:val="00DB7CD8"/>
    <w:rsid w:val="00DC05BF"/>
    <w:rsid w:val="00DC140C"/>
    <w:rsid w:val="00DC4648"/>
    <w:rsid w:val="00DC4E30"/>
    <w:rsid w:val="00DC79B3"/>
    <w:rsid w:val="00DD0AA5"/>
    <w:rsid w:val="00DD1E3C"/>
    <w:rsid w:val="00DD3126"/>
    <w:rsid w:val="00DD3E25"/>
    <w:rsid w:val="00DD6125"/>
    <w:rsid w:val="00DD7A20"/>
    <w:rsid w:val="00DE2BB3"/>
    <w:rsid w:val="00DE357C"/>
    <w:rsid w:val="00DE5240"/>
    <w:rsid w:val="00DE6804"/>
    <w:rsid w:val="00DF334C"/>
    <w:rsid w:val="00DF3544"/>
    <w:rsid w:val="00DF3C25"/>
    <w:rsid w:val="00DF3FED"/>
    <w:rsid w:val="00DF7F3B"/>
    <w:rsid w:val="00E0164B"/>
    <w:rsid w:val="00E02292"/>
    <w:rsid w:val="00E02A38"/>
    <w:rsid w:val="00E050A8"/>
    <w:rsid w:val="00E05AB7"/>
    <w:rsid w:val="00E0688F"/>
    <w:rsid w:val="00E07AF0"/>
    <w:rsid w:val="00E12021"/>
    <w:rsid w:val="00E12427"/>
    <w:rsid w:val="00E13F59"/>
    <w:rsid w:val="00E14C2A"/>
    <w:rsid w:val="00E167D3"/>
    <w:rsid w:val="00E172E3"/>
    <w:rsid w:val="00E17968"/>
    <w:rsid w:val="00E2061E"/>
    <w:rsid w:val="00E21494"/>
    <w:rsid w:val="00E21CCA"/>
    <w:rsid w:val="00E222E6"/>
    <w:rsid w:val="00E234E5"/>
    <w:rsid w:val="00E24B9D"/>
    <w:rsid w:val="00E3162C"/>
    <w:rsid w:val="00E31BB0"/>
    <w:rsid w:val="00E34F26"/>
    <w:rsid w:val="00E3515F"/>
    <w:rsid w:val="00E353E5"/>
    <w:rsid w:val="00E37B3D"/>
    <w:rsid w:val="00E40783"/>
    <w:rsid w:val="00E41330"/>
    <w:rsid w:val="00E42642"/>
    <w:rsid w:val="00E4312E"/>
    <w:rsid w:val="00E449D8"/>
    <w:rsid w:val="00E53DEB"/>
    <w:rsid w:val="00E53F1E"/>
    <w:rsid w:val="00E55A30"/>
    <w:rsid w:val="00E55C37"/>
    <w:rsid w:val="00E56984"/>
    <w:rsid w:val="00E57FA4"/>
    <w:rsid w:val="00E6167B"/>
    <w:rsid w:val="00E65DE5"/>
    <w:rsid w:val="00E661D8"/>
    <w:rsid w:val="00E67805"/>
    <w:rsid w:val="00E67FBA"/>
    <w:rsid w:val="00E709A2"/>
    <w:rsid w:val="00E720EF"/>
    <w:rsid w:val="00E72F65"/>
    <w:rsid w:val="00E75866"/>
    <w:rsid w:val="00E81C25"/>
    <w:rsid w:val="00E82C48"/>
    <w:rsid w:val="00E83219"/>
    <w:rsid w:val="00E840B1"/>
    <w:rsid w:val="00E85A45"/>
    <w:rsid w:val="00E86E9E"/>
    <w:rsid w:val="00E908CF"/>
    <w:rsid w:val="00E90D2E"/>
    <w:rsid w:val="00E918A0"/>
    <w:rsid w:val="00E94A9E"/>
    <w:rsid w:val="00E977F8"/>
    <w:rsid w:val="00EA2C8D"/>
    <w:rsid w:val="00EA4E76"/>
    <w:rsid w:val="00EA526C"/>
    <w:rsid w:val="00EA5905"/>
    <w:rsid w:val="00EA5B56"/>
    <w:rsid w:val="00EA709A"/>
    <w:rsid w:val="00EA7BD9"/>
    <w:rsid w:val="00EB1ABE"/>
    <w:rsid w:val="00EB2AD7"/>
    <w:rsid w:val="00EB362C"/>
    <w:rsid w:val="00EB4287"/>
    <w:rsid w:val="00EB6FBC"/>
    <w:rsid w:val="00EC01F7"/>
    <w:rsid w:val="00EC48E0"/>
    <w:rsid w:val="00EC53E1"/>
    <w:rsid w:val="00EC7251"/>
    <w:rsid w:val="00ED3A28"/>
    <w:rsid w:val="00ED5A36"/>
    <w:rsid w:val="00ED6286"/>
    <w:rsid w:val="00EE1B3C"/>
    <w:rsid w:val="00EE28DC"/>
    <w:rsid w:val="00EE2A6D"/>
    <w:rsid w:val="00EE4E63"/>
    <w:rsid w:val="00EE7CD5"/>
    <w:rsid w:val="00EF2359"/>
    <w:rsid w:val="00EF24B2"/>
    <w:rsid w:val="00EF538B"/>
    <w:rsid w:val="00EF6997"/>
    <w:rsid w:val="00F02320"/>
    <w:rsid w:val="00F04324"/>
    <w:rsid w:val="00F05CEB"/>
    <w:rsid w:val="00F113C8"/>
    <w:rsid w:val="00F1395C"/>
    <w:rsid w:val="00F152DB"/>
    <w:rsid w:val="00F15E0E"/>
    <w:rsid w:val="00F16CD6"/>
    <w:rsid w:val="00F17088"/>
    <w:rsid w:val="00F17252"/>
    <w:rsid w:val="00F20A0F"/>
    <w:rsid w:val="00F30253"/>
    <w:rsid w:val="00F37A88"/>
    <w:rsid w:val="00F4031C"/>
    <w:rsid w:val="00F42068"/>
    <w:rsid w:val="00F422D5"/>
    <w:rsid w:val="00F42D9F"/>
    <w:rsid w:val="00F42F33"/>
    <w:rsid w:val="00F47965"/>
    <w:rsid w:val="00F503A8"/>
    <w:rsid w:val="00F5103B"/>
    <w:rsid w:val="00F51E6A"/>
    <w:rsid w:val="00F5412B"/>
    <w:rsid w:val="00F543E1"/>
    <w:rsid w:val="00F56D50"/>
    <w:rsid w:val="00F56F66"/>
    <w:rsid w:val="00F6386B"/>
    <w:rsid w:val="00F63F5F"/>
    <w:rsid w:val="00F64277"/>
    <w:rsid w:val="00F6641A"/>
    <w:rsid w:val="00F66567"/>
    <w:rsid w:val="00F67F0E"/>
    <w:rsid w:val="00F71E6D"/>
    <w:rsid w:val="00F73054"/>
    <w:rsid w:val="00F76713"/>
    <w:rsid w:val="00F76F4A"/>
    <w:rsid w:val="00F77557"/>
    <w:rsid w:val="00F813C3"/>
    <w:rsid w:val="00F82A8E"/>
    <w:rsid w:val="00F86BEE"/>
    <w:rsid w:val="00F87CCF"/>
    <w:rsid w:val="00F90634"/>
    <w:rsid w:val="00F90C8B"/>
    <w:rsid w:val="00F944CD"/>
    <w:rsid w:val="00F94BE1"/>
    <w:rsid w:val="00F955F3"/>
    <w:rsid w:val="00F97C41"/>
    <w:rsid w:val="00FA0906"/>
    <w:rsid w:val="00FA16C4"/>
    <w:rsid w:val="00FA1AFC"/>
    <w:rsid w:val="00FA200E"/>
    <w:rsid w:val="00FA357F"/>
    <w:rsid w:val="00FA4259"/>
    <w:rsid w:val="00FA5128"/>
    <w:rsid w:val="00FA6C94"/>
    <w:rsid w:val="00FB3C20"/>
    <w:rsid w:val="00FB56F5"/>
    <w:rsid w:val="00FB58B4"/>
    <w:rsid w:val="00FB6B29"/>
    <w:rsid w:val="00FC030B"/>
    <w:rsid w:val="00FC29DF"/>
    <w:rsid w:val="00FC3677"/>
    <w:rsid w:val="00FC78CC"/>
    <w:rsid w:val="00FD1279"/>
    <w:rsid w:val="00FD1442"/>
    <w:rsid w:val="00FD16BC"/>
    <w:rsid w:val="00FD1F31"/>
    <w:rsid w:val="00FD212E"/>
    <w:rsid w:val="00FD2225"/>
    <w:rsid w:val="00FD2419"/>
    <w:rsid w:val="00FE01E4"/>
    <w:rsid w:val="00FE0293"/>
    <w:rsid w:val="00FE36CA"/>
    <w:rsid w:val="00FE69F5"/>
    <w:rsid w:val="00FE7719"/>
    <w:rsid w:val="00FE78D6"/>
    <w:rsid w:val="00FF0F79"/>
    <w:rsid w:val="00FF1288"/>
    <w:rsid w:val="00FF2417"/>
    <w:rsid w:val="00FF2CB4"/>
    <w:rsid w:val="00FF4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o:shapelayout v:ext="edit">
      <o:idmap v:ext="edit" data="1"/>
    </o:shapelayout>
  </w:shapeDefaults>
  <w:decimalSymbol w:val="."/>
  <w:listSeparator w:val=","/>
  <w14:docId w14:val="5FF6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49"/>
    <w:pPr>
      <w:spacing w:after="200" w:line="276" w:lineRule="auto"/>
    </w:pPr>
    <w:rPr>
      <w:rFonts w:asciiTheme="minorHAnsi" w:eastAsiaTheme="minorEastAsia" w:hAnsiTheme="minorHAnsi" w:cstheme="minorBidi"/>
      <w:sz w:val="22"/>
      <w:szCs w:val="22"/>
      <w:lang w:eastAsia="en-US"/>
    </w:rPr>
  </w:style>
  <w:style w:type="paragraph" w:styleId="Heading1">
    <w:name w:val="heading 1"/>
    <w:basedOn w:val="Normal"/>
    <w:next w:val="Normal"/>
    <w:link w:val="Heading1Char"/>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4">
    <w:name w:val="heading 4"/>
    <w:aliases w:val="Table heading"/>
    <w:basedOn w:val="Normal"/>
    <w:next w:val="Normal"/>
    <w:link w:val="Heading4Char"/>
    <w:uiPriority w:val="9"/>
    <w:unhideWhenUsed/>
    <w:qFormat/>
    <w:rsid w:val="00930C49"/>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unhideWhenUsed/>
    <w:qFormat/>
    <w:rsid w:val="00D065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4Char">
    <w:name w:val="Heading 4 Char"/>
    <w:aliases w:val="Table heading Char"/>
    <w:basedOn w:val="DefaultParagraphFont"/>
    <w:link w:val="Heading4"/>
    <w:uiPriority w:val="9"/>
    <w:rsid w:val="00930C49"/>
    <w:rPr>
      <w:rFonts w:ascii="Calibri" w:eastAsiaTheme="majorEastAsia" w:hAnsi="Calibri" w:cstheme="majorBidi"/>
      <w:b/>
      <w:bCs/>
      <w:i/>
      <w:iCs/>
      <w:sz w:val="22"/>
      <w:szCs w:val="22"/>
      <w:lang w:eastAsia="en-US"/>
    </w:rPr>
  </w:style>
  <w:style w:type="character" w:styleId="Hyperlink">
    <w:name w:val="Hyperlink"/>
    <w:basedOn w:val="DefaultParagraphFont"/>
    <w:uiPriority w:val="99"/>
    <w:unhideWhenUsed/>
    <w:rsid w:val="00930C49"/>
    <w:rPr>
      <w:color w:val="0000FF" w:themeColor="hyperlink"/>
      <w:u w:val="single"/>
    </w:rPr>
  </w:style>
  <w:style w:type="character" w:customStyle="1" w:styleId="Heading1Char">
    <w:name w:val="Heading 1 Char"/>
    <w:basedOn w:val="DefaultParagraphFont"/>
    <w:link w:val="Heading1"/>
    <w:uiPriority w:val="9"/>
    <w:rsid w:val="00930C49"/>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rsid w:val="00930C49"/>
    <w:rPr>
      <w:rFonts w:ascii="Arial" w:hAnsi="Arial" w:cs="Arial"/>
      <w:b/>
      <w:bCs/>
      <w:iCs/>
      <w:sz w:val="26"/>
      <w:szCs w:val="28"/>
      <w:lang w:eastAsia="en-US"/>
    </w:rPr>
  </w:style>
  <w:style w:type="paragraph" w:styleId="Title">
    <w:name w:val="Title"/>
    <w:basedOn w:val="Normal"/>
    <w:next w:val="Normal"/>
    <w:link w:val="TitleChar"/>
    <w:uiPriority w:val="10"/>
    <w:qFormat/>
    <w:rsid w:val="00930C49"/>
    <w:pPr>
      <w:spacing w:before="360"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930C49"/>
    <w:rPr>
      <w:rFonts w:ascii="Calibri" w:eastAsiaTheme="majorEastAsia" w:hAnsi="Calibri" w:cstheme="majorBidi"/>
      <w:color w:val="003D6B"/>
      <w:spacing w:val="5"/>
      <w:sz w:val="60"/>
      <w:szCs w:val="60"/>
      <w:lang w:eastAsia="en-US"/>
    </w:rPr>
  </w:style>
  <w:style w:type="paragraph" w:styleId="Subtitle">
    <w:name w:val="Subtitle"/>
    <w:aliases w:val="Table subheading"/>
    <w:basedOn w:val="Normal"/>
    <w:next w:val="Normal"/>
    <w:link w:val="SubtitleChar"/>
    <w:uiPriority w:val="11"/>
    <w:qFormat/>
    <w:rsid w:val="00930C49"/>
    <w:pPr>
      <w:spacing w:after="240"/>
    </w:pPr>
    <w:rPr>
      <w:rFonts w:ascii="Calibri" w:eastAsiaTheme="majorEastAsia" w:hAnsi="Calibri" w:cstheme="majorBidi"/>
      <w:iCs/>
      <w:color w:val="003D6B"/>
      <w:spacing w:val="13"/>
      <w:sz w:val="40"/>
      <w:szCs w:val="40"/>
    </w:rPr>
  </w:style>
  <w:style w:type="character" w:customStyle="1" w:styleId="SubtitleChar">
    <w:name w:val="Subtitle Char"/>
    <w:aliases w:val="Table subheading Char"/>
    <w:basedOn w:val="DefaultParagraphFont"/>
    <w:link w:val="Subtitle"/>
    <w:uiPriority w:val="11"/>
    <w:rsid w:val="00930C49"/>
    <w:rPr>
      <w:rFonts w:ascii="Calibri" w:eastAsiaTheme="majorEastAsia" w:hAnsi="Calibri" w:cstheme="majorBidi"/>
      <w:iCs/>
      <w:color w:val="003D6B"/>
      <w:spacing w:val="13"/>
      <w:sz w:val="40"/>
      <w:szCs w:val="40"/>
      <w:lang w:eastAsia="en-US"/>
    </w:rPr>
  </w:style>
  <w:style w:type="paragraph" w:styleId="TOCHeading">
    <w:name w:val="TOC Heading"/>
    <w:basedOn w:val="Heading1"/>
    <w:next w:val="Normal"/>
    <w:uiPriority w:val="39"/>
    <w:unhideWhenUsed/>
    <w:qFormat/>
    <w:rsid w:val="00930C49"/>
    <w:pPr>
      <w:keepNext w:val="0"/>
      <w:spacing w:before="0" w:after="240"/>
      <w:contextualSpacing/>
      <w:outlineLvl w:val="9"/>
    </w:pPr>
    <w:rPr>
      <w:rFonts w:ascii="Calibri" w:eastAsiaTheme="majorEastAsia" w:hAnsi="Calibri" w:cstheme="majorBidi"/>
      <w:color w:val="003D6B"/>
      <w:sz w:val="36"/>
      <w:szCs w:val="28"/>
      <w:lang w:bidi="en-US"/>
    </w:rPr>
  </w:style>
  <w:style w:type="paragraph" w:styleId="Header">
    <w:name w:val="header"/>
    <w:basedOn w:val="Normal"/>
    <w:link w:val="HeaderChar"/>
    <w:uiPriority w:val="99"/>
    <w:unhideWhenUsed/>
    <w:rsid w:val="00930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C49"/>
    <w:rPr>
      <w:rFonts w:asciiTheme="minorHAnsi" w:eastAsiaTheme="minorEastAsia" w:hAnsiTheme="minorHAnsi" w:cstheme="minorBidi"/>
      <w:sz w:val="22"/>
      <w:szCs w:val="22"/>
      <w:lang w:eastAsia="en-US"/>
    </w:rPr>
  </w:style>
  <w:style w:type="paragraph" w:styleId="Footer">
    <w:name w:val="footer"/>
    <w:basedOn w:val="Normal"/>
    <w:link w:val="FooterChar"/>
    <w:uiPriority w:val="99"/>
    <w:unhideWhenUsed/>
    <w:rsid w:val="00930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C49"/>
    <w:rPr>
      <w:rFonts w:asciiTheme="minorHAnsi" w:eastAsiaTheme="minorEastAsia" w:hAnsiTheme="minorHAnsi" w:cstheme="minorBidi"/>
      <w:sz w:val="22"/>
      <w:szCs w:val="22"/>
      <w:lang w:eastAsia="en-US"/>
    </w:rPr>
  </w:style>
  <w:style w:type="paragraph" w:styleId="TOC1">
    <w:name w:val="toc 1"/>
    <w:basedOn w:val="Normal"/>
    <w:next w:val="Normal"/>
    <w:autoRedefine/>
    <w:uiPriority w:val="39"/>
    <w:unhideWhenUsed/>
    <w:rsid w:val="00930C49"/>
    <w:pPr>
      <w:tabs>
        <w:tab w:val="right" w:leader="dot" w:pos="9016"/>
      </w:tabs>
      <w:spacing w:after="100"/>
    </w:pPr>
    <w:rPr>
      <w:b/>
      <w:noProof/>
    </w:rPr>
  </w:style>
  <w:style w:type="paragraph" w:styleId="TOC2">
    <w:name w:val="toc 2"/>
    <w:basedOn w:val="Normal"/>
    <w:next w:val="Normal"/>
    <w:autoRedefine/>
    <w:uiPriority w:val="39"/>
    <w:unhideWhenUsed/>
    <w:qFormat/>
    <w:rsid w:val="00930C49"/>
    <w:pPr>
      <w:spacing w:after="100"/>
      <w:ind w:left="220"/>
    </w:pPr>
  </w:style>
  <w:style w:type="paragraph" w:styleId="BalloonText">
    <w:name w:val="Balloon Text"/>
    <w:basedOn w:val="Normal"/>
    <w:link w:val="BalloonTextChar"/>
    <w:uiPriority w:val="99"/>
    <w:semiHidden/>
    <w:unhideWhenUsed/>
    <w:rsid w:val="00930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49"/>
    <w:rPr>
      <w:rFonts w:ascii="Tahoma" w:eastAsiaTheme="minorEastAsia" w:hAnsi="Tahoma" w:cs="Tahoma"/>
      <w:sz w:val="16"/>
      <w:szCs w:val="16"/>
      <w:lang w:eastAsia="en-US"/>
    </w:rPr>
  </w:style>
  <w:style w:type="character" w:styleId="SubtleEmphasis">
    <w:name w:val="Subtle Emphasis"/>
    <w:basedOn w:val="DefaultParagraphFont"/>
    <w:uiPriority w:val="19"/>
    <w:qFormat/>
    <w:rsid w:val="00930C49"/>
    <w:rPr>
      <w:i/>
      <w:iCs/>
      <w:color w:val="808080" w:themeColor="text1" w:themeTint="7F"/>
    </w:rPr>
  </w:style>
  <w:style w:type="paragraph" w:styleId="ListParagraph">
    <w:name w:val="List Paragraph"/>
    <w:basedOn w:val="Normal"/>
    <w:uiPriority w:val="34"/>
    <w:qFormat/>
    <w:rsid w:val="00930C49"/>
    <w:pPr>
      <w:ind w:left="720"/>
      <w:contextualSpacing/>
    </w:pPr>
    <w:rPr>
      <w:rFonts w:ascii="Calibri" w:eastAsia="Calibri" w:hAnsi="Calibri" w:cs="Times New Roman"/>
    </w:rPr>
  </w:style>
  <w:style w:type="paragraph" w:styleId="NoSpacing">
    <w:name w:val="No Spacing"/>
    <w:link w:val="NoSpacingChar"/>
    <w:uiPriority w:val="1"/>
    <w:qFormat/>
    <w:rsid w:val="00930C49"/>
    <w:rPr>
      <w:rFonts w:ascii="Calibri" w:eastAsia="Calibri" w:hAnsi="Calibri"/>
      <w:sz w:val="22"/>
      <w:szCs w:val="22"/>
      <w:lang w:eastAsia="en-US"/>
    </w:rPr>
  </w:style>
  <w:style w:type="character" w:customStyle="1" w:styleId="Heading3Char">
    <w:name w:val="Heading 3 Char"/>
    <w:link w:val="Heading3"/>
    <w:uiPriority w:val="9"/>
    <w:rsid w:val="00930C49"/>
    <w:rPr>
      <w:rFonts w:asciiTheme="minorHAnsi" w:eastAsiaTheme="minorEastAsia" w:hAnsiTheme="minorHAnsi" w:cs="Arial"/>
      <w:b/>
      <w:bCs/>
      <w:sz w:val="22"/>
      <w:szCs w:val="26"/>
      <w:lang w:eastAsia="en-US"/>
    </w:rPr>
  </w:style>
  <w:style w:type="table" w:styleId="TableGrid">
    <w:name w:val="Table Grid"/>
    <w:basedOn w:val="TableNormal"/>
    <w:uiPriority w:val="59"/>
    <w:rsid w:val="00930C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30C49"/>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AFPC 1-9,AFPC Footnote Text"/>
    <w:basedOn w:val="Normal"/>
    <w:link w:val="FootnoteTextChar"/>
    <w:uiPriority w:val="99"/>
    <w:unhideWhenUsed/>
    <w:qFormat/>
    <w:rsid w:val="00930C49"/>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930C49"/>
    <w:rPr>
      <w:rFonts w:ascii="Calibri" w:eastAsia="Calibri" w:hAnsi="Calibri"/>
      <w:lang w:eastAsia="en-US"/>
    </w:rPr>
  </w:style>
  <w:style w:type="character" w:styleId="FootnoteReference">
    <w:name w:val="footnote reference"/>
    <w:aliases w:val="AFPC Footnote Reference"/>
    <w:uiPriority w:val="99"/>
    <w:unhideWhenUsed/>
    <w:rsid w:val="00930C49"/>
    <w:rPr>
      <w:vertAlign w:val="superscript"/>
    </w:rPr>
  </w:style>
  <w:style w:type="character" w:styleId="CommentReference">
    <w:name w:val="annotation reference"/>
    <w:uiPriority w:val="99"/>
    <w:semiHidden/>
    <w:unhideWhenUsed/>
    <w:rsid w:val="00930C49"/>
    <w:rPr>
      <w:sz w:val="16"/>
      <w:szCs w:val="16"/>
    </w:rPr>
  </w:style>
  <w:style w:type="paragraph" w:styleId="CommentText">
    <w:name w:val="annotation text"/>
    <w:basedOn w:val="Normal"/>
    <w:link w:val="CommentTextChar"/>
    <w:uiPriority w:val="99"/>
    <w:unhideWhenUsed/>
    <w:rsid w:val="00930C49"/>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30C49"/>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930C49"/>
    <w:rPr>
      <w:b/>
      <w:bCs/>
    </w:rPr>
  </w:style>
  <w:style w:type="character" w:customStyle="1" w:styleId="CommentSubjectChar">
    <w:name w:val="Comment Subject Char"/>
    <w:basedOn w:val="CommentTextChar"/>
    <w:link w:val="CommentSubject"/>
    <w:uiPriority w:val="99"/>
    <w:semiHidden/>
    <w:rsid w:val="00930C49"/>
    <w:rPr>
      <w:rFonts w:ascii="Calibri" w:eastAsia="Calibri" w:hAnsi="Calibri"/>
      <w:b/>
      <w:bCs/>
      <w:lang w:eastAsia="en-US"/>
    </w:rPr>
  </w:style>
  <w:style w:type="character" w:styleId="FollowedHyperlink">
    <w:name w:val="FollowedHyperlink"/>
    <w:uiPriority w:val="99"/>
    <w:semiHidden/>
    <w:unhideWhenUsed/>
    <w:rsid w:val="00930C49"/>
    <w:rPr>
      <w:color w:val="800080"/>
      <w:u w:val="single"/>
    </w:rPr>
  </w:style>
  <w:style w:type="paragraph" w:styleId="BodyTextIndent">
    <w:name w:val="Body Text Indent"/>
    <w:basedOn w:val="Normal"/>
    <w:link w:val="BodyTextIndentChar"/>
    <w:rsid w:val="00BC21FB"/>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BC21FB"/>
    <w:rPr>
      <w:rFonts w:ascii="Arial" w:hAnsi="Arial"/>
      <w:sz w:val="22"/>
      <w:lang w:eastAsia="en-US"/>
    </w:rPr>
  </w:style>
  <w:style w:type="paragraph" w:styleId="NormalWeb">
    <w:name w:val="Normal (Web)"/>
    <w:basedOn w:val="Normal"/>
    <w:uiPriority w:val="99"/>
    <w:unhideWhenUsed/>
    <w:rsid w:val="00015675"/>
    <w:pPr>
      <w:spacing w:before="240" w:after="240"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710E4"/>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6102B6"/>
    <w:rPr>
      <w:rFonts w:ascii="Calibri" w:eastAsia="Calibri" w:hAnsi="Calibri"/>
      <w:sz w:val="22"/>
      <w:szCs w:val="22"/>
      <w:lang w:eastAsia="en-US"/>
    </w:rPr>
  </w:style>
  <w:style w:type="paragraph" w:customStyle="1" w:styleId="Bullet">
    <w:name w:val="Bullet"/>
    <w:basedOn w:val="Normal"/>
    <w:rsid w:val="00617828"/>
    <w:pPr>
      <w:numPr>
        <w:numId w:val="29"/>
      </w:numPr>
      <w:spacing w:before="280" w:line="240" w:lineRule="auto"/>
    </w:pPr>
    <w:rPr>
      <w:rFonts w:ascii="Times New Roman" w:eastAsia="Times New Roman" w:hAnsi="Times New Roman" w:cs="Times New Roman"/>
      <w:sz w:val="24"/>
      <w:szCs w:val="20"/>
      <w:lang w:eastAsia="en-AU"/>
    </w:rPr>
  </w:style>
  <w:style w:type="paragraph" w:customStyle="1" w:styleId="Dash">
    <w:name w:val="Dash"/>
    <w:basedOn w:val="Normal"/>
    <w:rsid w:val="00617828"/>
    <w:pPr>
      <w:numPr>
        <w:ilvl w:val="1"/>
        <w:numId w:val="29"/>
      </w:numPr>
      <w:spacing w:line="240" w:lineRule="auto"/>
    </w:pPr>
    <w:rPr>
      <w:rFonts w:ascii="Times New Roman" w:eastAsia="Times New Roman" w:hAnsi="Times New Roman" w:cs="Times New Roman"/>
      <w:sz w:val="24"/>
      <w:szCs w:val="20"/>
      <w:lang w:eastAsia="en-AU"/>
    </w:rPr>
  </w:style>
  <w:style w:type="paragraph" w:customStyle="1" w:styleId="DoubleDot">
    <w:name w:val="Double Dot"/>
    <w:basedOn w:val="Normal"/>
    <w:rsid w:val="00617828"/>
    <w:pPr>
      <w:numPr>
        <w:ilvl w:val="2"/>
        <w:numId w:val="29"/>
      </w:numPr>
      <w:spacing w:line="240" w:lineRule="auto"/>
    </w:pPr>
    <w:rPr>
      <w:rFonts w:ascii="Times New Roman" w:eastAsia="Times New Roman" w:hAnsi="Times New Roman" w:cs="Times New Roman"/>
      <w:sz w:val="24"/>
      <w:szCs w:val="20"/>
      <w:lang w:eastAsia="en-AU"/>
    </w:rPr>
  </w:style>
  <w:style w:type="paragraph" w:styleId="BodyText2">
    <w:name w:val="Body Text 2"/>
    <w:basedOn w:val="Normal"/>
    <w:link w:val="BodyText2Char"/>
    <w:semiHidden/>
    <w:rsid w:val="006C0E8F"/>
    <w:pPr>
      <w:spacing w:before="120" w:after="120" w:line="480" w:lineRule="auto"/>
    </w:pPr>
    <w:rPr>
      <w:rFonts w:eastAsia="SimSun" w:cs="Times New Roman"/>
      <w:color w:val="262626"/>
      <w:spacing w:val="-4"/>
      <w:sz w:val="20"/>
      <w:szCs w:val="20"/>
      <w:lang w:val="en-GB" w:eastAsia="en-GB"/>
    </w:rPr>
  </w:style>
  <w:style w:type="character" w:customStyle="1" w:styleId="BodyText2Char">
    <w:name w:val="Body Text 2 Char"/>
    <w:basedOn w:val="DefaultParagraphFont"/>
    <w:link w:val="BodyText2"/>
    <w:semiHidden/>
    <w:rsid w:val="006C0E8F"/>
    <w:rPr>
      <w:rFonts w:asciiTheme="minorHAnsi" w:eastAsia="SimSun" w:hAnsiTheme="minorHAnsi"/>
      <w:color w:val="262626"/>
      <w:spacing w:val="-4"/>
      <w:lang w:val="en-GB" w:eastAsia="en-GB"/>
    </w:rPr>
  </w:style>
  <w:style w:type="character" w:customStyle="1" w:styleId="Heading5Char">
    <w:name w:val="Heading 5 Char"/>
    <w:basedOn w:val="DefaultParagraphFont"/>
    <w:link w:val="Heading5"/>
    <w:uiPriority w:val="9"/>
    <w:semiHidden/>
    <w:rsid w:val="00D065E8"/>
    <w:rPr>
      <w:rFonts w:asciiTheme="majorHAnsi" w:eastAsiaTheme="majorEastAsia" w:hAnsiTheme="majorHAnsi" w:cstheme="majorBidi"/>
      <w:color w:val="365F91" w:themeColor="accent1" w:themeShade="BF"/>
      <w:sz w:val="22"/>
      <w:szCs w:val="22"/>
      <w:lang w:eastAsia="en-US"/>
    </w:rPr>
  </w:style>
  <w:style w:type="character" w:customStyle="1" w:styleId="UnresolvedMention1">
    <w:name w:val="Unresolved Mention1"/>
    <w:basedOn w:val="DefaultParagraphFont"/>
    <w:uiPriority w:val="99"/>
    <w:semiHidden/>
    <w:unhideWhenUsed/>
    <w:rsid w:val="005902F3"/>
    <w:rPr>
      <w:color w:val="605E5C"/>
      <w:shd w:val="clear" w:color="auto" w:fill="E1DFDD"/>
    </w:rPr>
  </w:style>
  <w:style w:type="character" w:customStyle="1" w:styleId="A8">
    <w:name w:val="A8"/>
    <w:uiPriority w:val="99"/>
    <w:rsid w:val="004336C8"/>
    <w:rPr>
      <w:rFonts w:cs="Myriad Pro Light"/>
      <w:color w:val="000000"/>
      <w:sz w:val="11"/>
      <w:szCs w:val="11"/>
    </w:rPr>
  </w:style>
  <w:style w:type="paragraph" w:customStyle="1" w:styleId="Pa12">
    <w:name w:val="Pa12"/>
    <w:basedOn w:val="Normal"/>
    <w:next w:val="Normal"/>
    <w:uiPriority w:val="99"/>
    <w:rsid w:val="00815A33"/>
    <w:pPr>
      <w:autoSpaceDE w:val="0"/>
      <w:autoSpaceDN w:val="0"/>
      <w:adjustRightInd w:val="0"/>
      <w:spacing w:after="0" w:line="261" w:lineRule="atLeast"/>
    </w:pPr>
    <w:rPr>
      <w:rFonts w:ascii="Gotham Bold" w:eastAsia="Times New Roman" w:hAnsi="Gotham Bold" w:cs="Times New Roman"/>
      <w:sz w:val="24"/>
      <w:szCs w:val="24"/>
      <w:lang w:eastAsia="en-AU"/>
    </w:rPr>
  </w:style>
  <w:style w:type="paragraph" w:customStyle="1" w:styleId="Pa5">
    <w:name w:val="Pa5"/>
    <w:basedOn w:val="Normal"/>
    <w:next w:val="Normal"/>
    <w:uiPriority w:val="99"/>
    <w:rsid w:val="00815A33"/>
    <w:pPr>
      <w:autoSpaceDE w:val="0"/>
      <w:autoSpaceDN w:val="0"/>
      <w:adjustRightInd w:val="0"/>
      <w:spacing w:after="0" w:line="191" w:lineRule="atLeast"/>
    </w:pPr>
    <w:rPr>
      <w:rFonts w:ascii="Gotham Bold" w:eastAsia="Times New Roman" w:hAnsi="Gotham Bold" w:cs="Times New Roman"/>
      <w:sz w:val="24"/>
      <w:szCs w:val="24"/>
      <w:lang w:eastAsia="en-AU"/>
    </w:rPr>
  </w:style>
  <w:style w:type="paragraph" w:customStyle="1" w:styleId="Pa10">
    <w:name w:val="Pa10"/>
    <w:basedOn w:val="Normal"/>
    <w:next w:val="Normal"/>
    <w:uiPriority w:val="99"/>
    <w:rsid w:val="00815A33"/>
    <w:pPr>
      <w:autoSpaceDE w:val="0"/>
      <w:autoSpaceDN w:val="0"/>
      <w:adjustRightInd w:val="0"/>
      <w:spacing w:after="0" w:line="191" w:lineRule="atLeast"/>
    </w:pPr>
    <w:rPr>
      <w:rFonts w:ascii="Gotham Bold" w:eastAsia="Times New Roman" w:hAnsi="Gotham Bold" w:cs="Times New Roman"/>
      <w:sz w:val="24"/>
      <w:szCs w:val="24"/>
      <w:lang w:eastAsia="en-AU"/>
    </w:rPr>
  </w:style>
  <w:style w:type="character" w:customStyle="1" w:styleId="A5">
    <w:name w:val="A5"/>
    <w:uiPriority w:val="99"/>
    <w:rsid w:val="00815A33"/>
    <w:rPr>
      <w:rFonts w:ascii="Gotham Medium" w:hAnsi="Gotham Medium" w:cs="Gotham Medium"/>
      <w:color w:val="000000"/>
      <w:sz w:val="19"/>
      <w:szCs w:val="19"/>
    </w:rPr>
  </w:style>
  <w:style w:type="paragraph" w:customStyle="1" w:styleId="Pa9">
    <w:name w:val="Pa9"/>
    <w:basedOn w:val="Normal"/>
    <w:next w:val="Normal"/>
    <w:uiPriority w:val="99"/>
    <w:rsid w:val="00815A33"/>
    <w:pPr>
      <w:autoSpaceDE w:val="0"/>
      <w:autoSpaceDN w:val="0"/>
      <w:adjustRightInd w:val="0"/>
      <w:spacing w:after="0" w:line="161" w:lineRule="atLeast"/>
    </w:pPr>
    <w:rPr>
      <w:rFonts w:ascii="Gotham Bold" w:eastAsia="Times New Roman" w:hAnsi="Gotham Bold" w:cs="Times New Roman"/>
      <w:sz w:val="24"/>
      <w:szCs w:val="24"/>
      <w:lang w:eastAsia="en-AU"/>
    </w:rPr>
  </w:style>
  <w:style w:type="character" w:styleId="UnresolvedMention">
    <w:name w:val="Unresolved Mention"/>
    <w:basedOn w:val="DefaultParagraphFont"/>
    <w:uiPriority w:val="99"/>
    <w:semiHidden/>
    <w:unhideWhenUsed/>
    <w:rsid w:val="0050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00245">
      <w:bodyDiv w:val="1"/>
      <w:marLeft w:val="0"/>
      <w:marRight w:val="0"/>
      <w:marTop w:val="0"/>
      <w:marBottom w:val="0"/>
      <w:divBdr>
        <w:top w:val="none" w:sz="0" w:space="0" w:color="auto"/>
        <w:left w:val="none" w:sz="0" w:space="0" w:color="auto"/>
        <w:bottom w:val="none" w:sz="0" w:space="0" w:color="auto"/>
        <w:right w:val="none" w:sz="0" w:space="0" w:color="auto"/>
      </w:divBdr>
    </w:div>
    <w:div w:id="59404271">
      <w:bodyDiv w:val="1"/>
      <w:marLeft w:val="0"/>
      <w:marRight w:val="0"/>
      <w:marTop w:val="0"/>
      <w:marBottom w:val="0"/>
      <w:divBdr>
        <w:top w:val="none" w:sz="0" w:space="0" w:color="auto"/>
        <w:left w:val="none" w:sz="0" w:space="0" w:color="auto"/>
        <w:bottom w:val="none" w:sz="0" w:space="0" w:color="auto"/>
        <w:right w:val="none" w:sz="0" w:space="0" w:color="auto"/>
      </w:divBdr>
    </w:div>
    <w:div w:id="126360339">
      <w:bodyDiv w:val="1"/>
      <w:marLeft w:val="0"/>
      <w:marRight w:val="0"/>
      <w:marTop w:val="0"/>
      <w:marBottom w:val="0"/>
      <w:divBdr>
        <w:top w:val="none" w:sz="0" w:space="0" w:color="auto"/>
        <w:left w:val="none" w:sz="0" w:space="0" w:color="auto"/>
        <w:bottom w:val="none" w:sz="0" w:space="0" w:color="auto"/>
        <w:right w:val="none" w:sz="0" w:space="0" w:color="auto"/>
      </w:divBdr>
    </w:div>
    <w:div w:id="177744498">
      <w:bodyDiv w:val="1"/>
      <w:marLeft w:val="0"/>
      <w:marRight w:val="0"/>
      <w:marTop w:val="0"/>
      <w:marBottom w:val="0"/>
      <w:divBdr>
        <w:top w:val="none" w:sz="0" w:space="0" w:color="auto"/>
        <w:left w:val="none" w:sz="0" w:space="0" w:color="auto"/>
        <w:bottom w:val="none" w:sz="0" w:space="0" w:color="auto"/>
        <w:right w:val="none" w:sz="0" w:space="0" w:color="auto"/>
      </w:divBdr>
    </w:div>
    <w:div w:id="181403793">
      <w:bodyDiv w:val="1"/>
      <w:marLeft w:val="0"/>
      <w:marRight w:val="0"/>
      <w:marTop w:val="0"/>
      <w:marBottom w:val="0"/>
      <w:divBdr>
        <w:top w:val="none" w:sz="0" w:space="0" w:color="auto"/>
        <w:left w:val="none" w:sz="0" w:space="0" w:color="auto"/>
        <w:bottom w:val="none" w:sz="0" w:space="0" w:color="auto"/>
        <w:right w:val="none" w:sz="0" w:space="0" w:color="auto"/>
      </w:divBdr>
    </w:div>
    <w:div w:id="309482664">
      <w:bodyDiv w:val="1"/>
      <w:marLeft w:val="0"/>
      <w:marRight w:val="0"/>
      <w:marTop w:val="0"/>
      <w:marBottom w:val="0"/>
      <w:divBdr>
        <w:top w:val="none" w:sz="0" w:space="0" w:color="auto"/>
        <w:left w:val="none" w:sz="0" w:space="0" w:color="auto"/>
        <w:bottom w:val="none" w:sz="0" w:space="0" w:color="auto"/>
        <w:right w:val="none" w:sz="0" w:space="0" w:color="auto"/>
      </w:divBdr>
    </w:div>
    <w:div w:id="350496513">
      <w:bodyDiv w:val="1"/>
      <w:marLeft w:val="0"/>
      <w:marRight w:val="0"/>
      <w:marTop w:val="0"/>
      <w:marBottom w:val="0"/>
      <w:divBdr>
        <w:top w:val="none" w:sz="0" w:space="0" w:color="auto"/>
        <w:left w:val="none" w:sz="0" w:space="0" w:color="auto"/>
        <w:bottom w:val="none" w:sz="0" w:space="0" w:color="auto"/>
        <w:right w:val="none" w:sz="0" w:space="0" w:color="auto"/>
      </w:divBdr>
    </w:div>
    <w:div w:id="432669210">
      <w:bodyDiv w:val="1"/>
      <w:marLeft w:val="0"/>
      <w:marRight w:val="0"/>
      <w:marTop w:val="0"/>
      <w:marBottom w:val="0"/>
      <w:divBdr>
        <w:top w:val="none" w:sz="0" w:space="0" w:color="auto"/>
        <w:left w:val="none" w:sz="0" w:space="0" w:color="auto"/>
        <w:bottom w:val="none" w:sz="0" w:space="0" w:color="auto"/>
        <w:right w:val="none" w:sz="0" w:space="0" w:color="auto"/>
      </w:divBdr>
    </w:div>
    <w:div w:id="595866413">
      <w:bodyDiv w:val="1"/>
      <w:marLeft w:val="0"/>
      <w:marRight w:val="0"/>
      <w:marTop w:val="0"/>
      <w:marBottom w:val="0"/>
      <w:divBdr>
        <w:top w:val="none" w:sz="0" w:space="0" w:color="auto"/>
        <w:left w:val="none" w:sz="0" w:space="0" w:color="auto"/>
        <w:bottom w:val="none" w:sz="0" w:space="0" w:color="auto"/>
        <w:right w:val="none" w:sz="0" w:space="0" w:color="auto"/>
      </w:divBdr>
    </w:div>
    <w:div w:id="620918224">
      <w:bodyDiv w:val="1"/>
      <w:marLeft w:val="0"/>
      <w:marRight w:val="0"/>
      <w:marTop w:val="0"/>
      <w:marBottom w:val="0"/>
      <w:divBdr>
        <w:top w:val="none" w:sz="0" w:space="0" w:color="auto"/>
        <w:left w:val="none" w:sz="0" w:space="0" w:color="auto"/>
        <w:bottom w:val="none" w:sz="0" w:space="0" w:color="auto"/>
        <w:right w:val="none" w:sz="0" w:space="0" w:color="auto"/>
      </w:divBdr>
    </w:div>
    <w:div w:id="738097338">
      <w:bodyDiv w:val="1"/>
      <w:marLeft w:val="0"/>
      <w:marRight w:val="0"/>
      <w:marTop w:val="0"/>
      <w:marBottom w:val="0"/>
      <w:divBdr>
        <w:top w:val="none" w:sz="0" w:space="0" w:color="auto"/>
        <w:left w:val="none" w:sz="0" w:space="0" w:color="auto"/>
        <w:bottom w:val="none" w:sz="0" w:space="0" w:color="auto"/>
        <w:right w:val="none" w:sz="0" w:space="0" w:color="auto"/>
      </w:divBdr>
    </w:div>
    <w:div w:id="746658450">
      <w:bodyDiv w:val="1"/>
      <w:marLeft w:val="0"/>
      <w:marRight w:val="0"/>
      <w:marTop w:val="0"/>
      <w:marBottom w:val="0"/>
      <w:divBdr>
        <w:top w:val="none" w:sz="0" w:space="0" w:color="auto"/>
        <w:left w:val="none" w:sz="0" w:space="0" w:color="auto"/>
        <w:bottom w:val="none" w:sz="0" w:space="0" w:color="auto"/>
        <w:right w:val="none" w:sz="0" w:space="0" w:color="auto"/>
      </w:divBdr>
    </w:div>
    <w:div w:id="961619769">
      <w:bodyDiv w:val="1"/>
      <w:marLeft w:val="0"/>
      <w:marRight w:val="0"/>
      <w:marTop w:val="0"/>
      <w:marBottom w:val="0"/>
      <w:divBdr>
        <w:top w:val="none" w:sz="0" w:space="0" w:color="auto"/>
        <w:left w:val="none" w:sz="0" w:space="0" w:color="auto"/>
        <w:bottom w:val="none" w:sz="0" w:space="0" w:color="auto"/>
        <w:right w:val="none" w:sz="0" w:space="0" w:color="auto"/>
      </w:divBdr>
    </w:div>
    <w:div w:id="998584238">
      <w:bodyDiv w:val="1"/>
      <w:marLeft w:val="0"/>
      <w:marRight w:val="0"/>
      <w:marTop w:val="0"/>
      <w:marBottom w:val="0"/>
      <w:divBdr>
        <w:top w:val="none" w:sz="0" w:space="0" w:color="auto"/>
        <w:left w:val="none" w:sz="0" w:space="0" w:color="auto"/>
        <w:bottom w:val="none" w:sz="0" w:space="0" w:color="auto"/>
        <w:right w:val="none" w:sz="0" w:space="0" w:color="auto"/>
      </w:divBdr>
    </w:div>
    <w:div w:id="1192768491">
      <w:bodyDiv w:val="1"/>
      <w:marLeft w:val="0"/>
      <w:marRight w:val="0"/>
      <w:marTop w:val="0"/>
      <w:marBottom w:val="0"/>
      <w:divBdr>
        <w:top w:val="none" w:sz="0" w:space="0" w:color="auto"/>
        <w:left w:val="none" w:sz="0" w:space="0" w:color="auto"/>
        <w:bottom w:val="none" w:sz="0" w:space="0" w:color="auto"/>
        <w:right w:val="none" w:sz="0" w:space="0" w:color="auto"/>
      </w:divBdr>
    </w:div>
    <w:div w:id="1266497545">
      <w:bodyDiv w:val="1"/>
      <w:marLeft w:val="0"/>
      <w:marRight w:val="0"/>
      <w:marTop w:val="0"/>
      <w:marBottom w:val="0"/>
      <w:divBdr>
        <w:top w:val="none" w:sz="0" w:space="0" w:color="auto"/>
        <w:left w:val="none" w:sz="0" w:space="0" w:color="auto"/>
        <w:bottom w:val="none" w:sz="0" w:space="0" w:color="auto"/>
        <w:right w:val="none" w:sz="0" w:space="0" w:color="auto"/>
      </w:divBdr>
    </w:div>
    <w:div w:id="1467892099">
      <w:bodyDiv w:val="1"/>
      <w:marLeft w:val="0"/>
      <w:marRight w:val="0"/>
      <w:marTop w:val="0"/>
      <w:marBottom w:val="0"/>
      <w:divBdr>
        <w:top w:val="none" w:sz="0" w:space="0" w:color="auto"/>
        <w:left w:val="none" w:sz="0" w:space="0" w:color="auto"/>
        <w:bottom w:val="none" w:sz="0" w:space="0" w:color="auto"/>
        <w:right w:val="none" w:sz="0" w:space="0" w:color="auto"/>
      </w:divBdr>
    </w:div>
    <w:div w:id="1487891712">
      <w:bodyDiv w:val="1"/>
      <w:marLeft w:val="0"/>
      <w:marRight w:val="0"/>
      <w:marTop w:val="0"/>
      <w:marBottom w:val="0"/>
      <w:divBdr>
        <w:top w:val="none" w:sz="0" w:space="0" w:color="auto"/>
        <w:left w:val="none" w:sz="0" w:space="0" w:color="auto"/>
        <w:bottom w:val="none" w:sz="0" w:space="0" w:color="auto"/>
        <w:right w:val="none" w:sz="0" w:space="0" w:color="auto"/>
      </w:divBdr>
    </w:div>
    <w:div w:id="1580211202">
      <w:bodyDiv w:val="1"/>
      <w:marLeft w:val="0"/>
      <w:marRight w:val="0"/>
      <w:marTop w:val="0"/>
      <w:marBottom w:val="0"/>
      <w:divBdr>
        <w:top w:val="none" w:sz="0" w:space="0" w:color="auto"/>
        <w:left w:val="none" w:sz="0" w:space="0" w:color="auto"/>
        <w:bottom w:val="none" w:sz="0" w:space="0" w:color="auto"/>
        <w:right w:val="none" w:sz="0" w:space="0" w:color="auto"/>
      </w:divBdr>
    </w:div>
    <w:div w:id="1615794896">
      <w:bodyDiv w:val="1"/>
      <w:marLeft w:val="0"/>
      <w:marRight w:val="0"/>
      <w:marTop w:val="0"/>
      <w:marBottom w:val="0"/>
      <w:divBdr>
        <w:top w:val="none" w:sz="0" w:space="0" w:color="auto"/>
        <w:left w:val="none" w:sz="0" w:space="0" w:color="auto"/>
        <w:bottom w:val="none" w:sz="0" w:space="0" w:color="auto"/>
        <w:right w:val="none" w:sz="0" w:space="0" w:color="auto"/>
      </w:divBdr>
    </w:div>
    <w:div w:id="1710106614">
      <w:bodyDiv w:val="1"/>
      <w:marLeft w:val="0"/>
      <w:marRight w:val="0"/>
      <w:marTop w:val="96"/>
      <w:marBottom w:val="0"/>
      <w:divBdr>
        <w:top w:val="none" w:sz="0" w:space="0" w:color="auto"/>
        <w:left w:val="none" w:sz="0" w:space="0" w:color="auto"/>
        <w:bottom w:val="none" w:sz="0" w:space="0" w:color="auto"/>
        <w:right w:val="none" w:sz="0" w:space="0" w:color="auto"/>
      </w:divBdr>
      <w:divsChild>
        <w:div w:id="686978919">
          <w:marLeft w:val="0"/>
          <w:marRight w:val="0"/>
          <w:marTop w:val="0"/>
          <w:marBottom w:val="0"/>
          <w:divBdr>
            <w:top w:val="none" w:sz="0" w:space="0" w:color="auto"/>
            <w:left w:val="none" w:sz="0" w:space="0" w:color="auto"/>
            <w:bottom w:val="none" w:sz="0" w:space="0" w:color="auto"/>
            <w:right w:val="none" w:sz="0" w:space="0" w:color="auto"/>
          </w:divBdr>
          <w:divsChild>
            <w:div w:id="350573702">
              <w:marLeft w:val="0"/>
              <w:marRight w:val="0"/>
              <w:marTop w:val="780"/>
              <w:marBottom w:val="0"/>
              <w:divBdr>
                <w:top w:val="none" w:sz="0" w:space="0" w:color="auto"/>
                <w:left w:val="none" w:sz="0" w:space="0" w:color="auto"/>
                <w:bottom w:val="none" w:sz="0" w:space="0" w:color="auto"/>
                <w:right w:val="none" w:sz="0" w:space="0" w:color="auto"/>
              </w:divBdr>
              <w:divsChild>
                <w:div w:id="1062214331">
                  <w:marLeft w:val="0"/>
                  <w:marRight w:val="0"/>
                  <w:marTop w:val="0"/>
                  <w:marBottom w:val="0"/>
                  <w:divBdr>
                    <w:top w:val="none" w:sz="0" w:space="0" w:color="auto"/>
                    <w:left w:val="none" w:sz="0" w:space="0" w:color="auto"/>
                    <w:bottom w:val="none" w:sz="0" w:space="0" w:color="auto"/>
                    <w:right w:val="none" w:sz="0" w:space="0" w:color="auto"/>
                  </w:divBdr>
                  <w:divsChild>
                    <w:div w:id="20530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460117">
      <w:bodyDiv w:val="1"/>
      <w:marLeft w:val="0"/>
      <w:marRight w:val="0"/>
      <w:marTop w:val="0"/>
      <w:marBottom w:val="0"/>
      <w:divBdr>
        <w:top w:val="none" w:sz="0" w:space="0" w:color="auto"/>
        <w:left w:val="none" w:sz="0" w:space="0" w:color="auto"/>
        <w:bottom w:val="none" w:sz="0" w:space="0" w:color="auto"/>
        <w:right w:val="none" w:sz="0" w:space="0" w:color="auto"/>
      </w:divBdr>
    </w:div>
    <w:div w:id="1935287330">
      <w:bodyDiv w:val="1"/>
      <w:marLeft w:val="0"/>
      <w:marRight w:val="0"/>
      <w:marTop w:val="0"/>
      <w:marBottom w:val="0"/>
      <w:divBdr>
        <w:top w:val="none" w:sz="0" w:space="0" w:color="auto"/>
        <w:left w:val="none" w:sz="0" w:space="0" w:color="auto"/>
        <w:bottom w:val="none" w:sz="0" w:space="0" w:color="auto"/>
        <w:right w:val="none" w:sz="0" w:space="0" w:color="auto"/>
      </w:divBdr>
    </w:div>
    <w:div w:id="1971864844">
      <w:bodyDiv w:val="1"/>
      <w:marLeft w:val="0"/>
      <w:marRight w:val="0"/>
      <w:marTop w:val="0"/>
      <w:marBottom w:val="0"/>
      <w:divBdr>
        <w:top w:val="none" w:sz="0" w:space="0" w:color="auto"/>
        <w:left w:val="none" w:sz="0" w:space="0" w:color="auto"/>
        <w:bottom w:val="none" w:sz="0" w:space="0" w:color="auto"/>
        <w:right w:val="none" w:sz="0" w:space="0" w:color="auto"/>
      </w:divBdr>
    </w:div>
    <w:div w:id="20449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ublic.tableau.com/app/profile/occupation.and.industry.analysis/viz/EmploymentOutlookDashboard/Coverpage" TargetMode="External"/><Relationship Id="rId18" Type="http://schemas.openxmlformats.org/officeDocument/2006/relationships/hyperlink" Target="https://lmip.gov.au/default.aspx?LMIP/GainInsights/EmploymentProjection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hillip.wise@skillscommission.gov.a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lmip.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public.tableau.com/app/profile/occupation.and.industry.analysis/viz/EmploymentOutlookDashboard/Coverpag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ublic.tableau.com/app/profile/occupation.and.industry.analysis/viz/EmploymentOutlookDashboard/Coverpage" TargetMode="External"/><Relationship Id="rId19" Type="http://schemas.openxmlformats.org/officeDocument/2006/relationships/hyperlink" Target="http://joboutlook.gov.au/"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media@skillscommission.gov.au"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ACCESS.application.enet\SPECIAL$\NSC%20-%20OIAS\OSAS\12%20Projections\2020%20Projections%20-%20five%20years%20to%20November%202025\Publications%20&amp;%20Presentations\Employment%20Outlook\SOAS%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CCESS.application.enet\SPECIAL$\NSC%20-%20OIAS\OSAS\12%20Projections\2020%20Projections%20-%20five%20years%20to%20November%202025\Publications%20&amp;%20Presentations\Employment%20Outlook\SOAS%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4134671219194945E-2"/>
          <c:y val="3.8217505420518084E-2"/>
          <c:w val="0.90822521078670471"/>
          <c:h val="0.83743031132966084"/>
        </c:manualLayout>
      </c:layout>
      <c:scatterChart>
        <c:scatterStyle val="lineMarker"/>
        <c:varyColors val="0"/>
        <c:ser>
          <c:idx val="3"/>
          <c:order val="0"/>
          <c:tx>
            <c:strRef>
              <c:f>'MSR PCL'!$E$15</c:f>
              <c:strCache>
                <c:ptCount val="1"/>
                <c:pt idx="0">
                  <c:v>February 2020</c:v>
                </c:pt>
              </c:strCache>
            </c:strRef>
          </c:tx>
          <c:spPr>
            <a:ln w="19050">
              <a:noFill/>
            </a:ln>
          </c:spPr>
          <c:marker>
            <c:symbol val="x"/>
            <c:size val="10"/>
            <c:spPr>
              <a:ln>
                <a:solidFill>
                  <a:schemeClr val="tx1"/>
                </a:solidFill>
              </a:ln>
            </c:spPr>
          </c:marker>
          <c:dLbls>
            <c:delete val="1"/>
          </c:dLbls>
          <c:xVal>
            <c:numRef>
              <c:f>'MSR PCL'!$E$4:$E$11</c:f>
              <c:numCache>
                <c:formatCode>_-* #,##0.0_-;\-* #,##0.0_-;_-* "-"??_-;_-@_-</c:formatCode>
                <c:ptCount val="8"/>
                <c:pt idx="0">
                  <c:v>2815.3690261600009</c:v>
                </c:pt>
                <c:pt idx="1">
                  <c:v>2700.1777190500002</c:v>
                </c:pt>
                <c:pt idx="2">
                  <c:v>1321.6158997899986</c:v>
                </c:pt>
                <c:pt idx="3">
                  <c:v>1283.8392871499993</c:v>
                </c:pt>
                <c:pt idx="4">
                  <c:v>1265.8978353000002</c:v>
                </c:pt>
                <c:pt idx="5">
                  <c:v>1088.3760877500006</c:v>
                </c:pt>
                <c:pt idx="6">
                  <c:v>727.5172397499997</c:v>
                </c:pt>
                <c:pt idx="7">
                  <c:v>673.43340077999972</c:v>
                </c:pt>
              </c:numCache>
            </c:numRef>
          </c:xVal>
          <c:yVal>
            <c:numRef>
              <c:f>'MSR PCL'!$F$4:$F$11</c:f>
              <c:numCache>
                <c:formatCode>General</c:formatCode>
                <c:ptCount val="8"/>
                <c:pt idx="0">
                  <c:v>3.5</c:v>
                </c:pt>
                <c:pt idx="1">
                  <c:v>3.1</c:v>
                </c:pt>
                <c:pt idx="2">
                  <c:v>2.7</c:v>
                </c:pt>
                <c:pt idx="3">
                  <c:v>2.2000000000000002</c:v>
                </c:pt>
                <c:pt idx="4">
                  <c:v>1.7</c:v>
                </c:pt>
                <c:pt idx="5">
                  <c:v>1.2</c:v>
                </c:pt>
                <c:pt idx="6">
                  <c:v>0.7</c:v>
                </c:pt>
                <c:pt idx="7">
                  <c:v>0.2</c:v>
                </c:pt>
              </c:numCache>
            </c:numRef>
          </c:yVal>
          <c:smooth val="0"/>
          <c:extLst>
            <c:ext xmlns:c16="http://schemas.microsoft.com/office/drawing/2014/chart" uri="{C3380CC4-5D6E-409C-BE32-E72D297353CC}">
              <c16:uniqueId val="{00000000-8C3B-46BC-919D-6323AF644DC7}"/>
            </c:ext>
          </c:extLst>
        </c:ser>
        <c:ser>
          <c:idx val="1"/>
          <c:order val="1"/>
          <c:tx>
            <c:strRef>
              <c:f>'MSR PCL'!$C$15</c:f>
              <c:strCache>
                <c:ptCount val="1"/>
                <c:pt idx="0">
                  <c:v>November 2020</c:v>
                </c:pt>
              </c:strCache>
            </c:strRef>
          </c:tx>
          <c:spPr>
            <a:ln w="25400" cap="rnd">
              <a:noFill/>
              <a:round/>
            </a:ln>
            <a:effectLst/>
          </c:spPr>
          <c:marker>
            <c:symbol val="circle"/>
            <c:size val="8"/>
            <c:spPr>
              <a:solidFill>
                <a:srgbClr val="00A7B0"/>
              </a:solidFill>
              <a:ln w="9525">
                <a:solidFill>
                  <a:srgbClr val="00A7B0"/>
                </a:solidFill>
              </a:ln>
              <a:effectLst/>
            </c:spPr>
          </c:marker>
          <c:dLbls>
            <c:dLbl>
              <c:idx val="0"/>
              <c:layout>
                <c:manualLayout>
                  <c:x val="-0.10884955752212397"/>
                  <c:y val="0"/>
                </c:manualLayout>
              </c:layout>
              <c:tx>
                <c:rich>
                  <a:bodyPr/>
                  <a:lstStyle/>
                  <a:p>
                    <a:fld id="{EACC54FE-C6F3-49C1-923B-F9EADAABE914}"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C3B-46BC-919D-6323AF644DC7}"/>
                </c:ext>
              </c:extLst>
            </c:dLbl>
            <c:dLbl>
              <c:idx val="1"/>
              <c:tx>
                <c:rich>
                  <a:bodyPr/>
                  <a:lstStyle/>
                  <a:p>
                    <a:fld id="{3E2E1FE6-6DC9-4EC3-B700-EC31A8E22AAD}"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C3B-46BC-919D-6323AF644DC7}"/>
                </c:ext>
              </c:extLst>
            </c:dLbl>
            <c:dLbl>
              <c:idx val="2"/>
              <c:tx>
                <c:rich>
                  <a:bodyPr/>
                  <a:lstStyle/>
                  <a:p>
                    <a:fld id="{7B2BE320-E9E6-4F26-8F70-B22C0468B1CF}"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C3B-46BC-919D-6323AF644DC7}"/>
                </c:ext>
              </c:extLst>
            </c:dLbl>
            <c:dLbl>
              <c:idx val="3"/>
              <c:tx>
                <c:rich>
                  <a:bodyPr/>
                  <a:lstStyle/>
                  <a:p>
                    <a:fld id="{6EC7340A-685D-4770-A41B-DCB918E8AAEF}"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C3B-46BC-919D-6323AF644DC7}"/>
                </c:ext>
              </c:extLst>
            </c:dLbl>
            <c:dLbl>
              <c:idx val="4"/>
              <c:layout>
                <c:manualLayout>
                  <c:x val="-0.10453260529480578"/>
                  <c:y val="-2.91757840991982E-3"/>
                </c:manualLayout>
              </c:layout>
              <c:tx>
                <c:rich>
                  <a:bodyPr/>
                  <a:lstStyle/>
                  <a:p>
                    <a:fld id="{1AEDA407-7B0D-41DC-B32B-6DA40D8E7648}"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C3B-46BC-919D-6323AF644DC7}"/>
                </c:ext>
              </c:extLst>
            </c:dLbl>
            <c:dLbl>
              <c:idx val="5"/>
              <c:tx>
                <c:rich>
                  <a:bodyPr/>
                  <a:lstStyle/>
                  <a:p>
                    <a:fld id="{C91E9556-3836-486A-A098-083F8D039055}"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C3B-46BC-919D-6323AF644DC7}"/>
                </c:ext>
              </c:extLst>
            </c:dLbl>
            <c:dLbl>
              <c:idx val="6"/>
              <c:tx>
                <c:rich>
                  <a:bodyPr/>
                  <a:lstStyle/>
                  <a:p>
                    <a:fld id="{7D6805A2-2BCB-4385-8223-A4443387CDCD}"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C3B-46BC-919D-6323AF644DC7}"/>
                </c:ext>
              </c:extLst>
            </c:dLbl>
            <c:dLbl>
              <c:idx val="7"/>
              <c:tx>
                <c:rich>
                  <a:bodyPr/>
                  <a:lstStyle/>
                  <a:p>
                    <a:fld id="{76B44FC2-188F-49BA-981E-749CF3C71544}"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C3B-46BC-919D-6323AF644DC7}"/>
                </c:ext>
              </c:extLst>
            </c:dLbl>
            <c:spPr>
              <a:noFill/>
              <a:ln>
                <a:solidFill>
                  <a:srgbClr val="00A7B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l"/>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x"/>
            <c:errBarType val="both"/>
            <c:errValType val="cust"/>
            <c:noEndCap val="1"/>
            <c:plus>
              <c:numRef>
                <c:f>'MSR PCL'!$G$16:$G$22</c:f>
                <c:numCache>
                  <c:formatCode>General</c:formatCode>
                  <c:ptCount val="7"/>
                  <c:pt idx="0">
                    <c:v>6.2591534985156727</c:v>
                  </c:pt>
                  <c:pt idx="1">
                    <c:v>13.296583516452472</c:v>
                  </c:pt>
                  <c:pt idx="2">
                    <c:v>3.3004914913988443</c:v>
                  </c:pt>
                  <c:pt idx="3">
                    <c:v>2.7759178428332802</c:v>
                  </c:pt>
                  <c:pt idx="4">
                    <c:v>7.1683473292587365</c:v>
                  </c:pt>
                  <c:pt idx="5">
                    <c:v>2.6451049235640909</c:v>
                  </c:pt>
                  <c:pt idx="6">
                    <c:v>2.6765224953603308</c:v>
                  </c:pt>
                </c:numCache>
              </c:numRef>
            </c:plus>
            <c:minus>
              <c:numRef>
                <c:f>'MSR PCL'!$H$16:$H$22</c:f>
                <c:numCache>
                  <c:formatCode>General</c:formatCode>
                  <c:ptCount val="7"/>
                  <c:pt idx="0">
                    <c:v>0</c:v>
                  </c:pt>
                  <c:pt idx="1">
                    <c:v>0</c:v>
                  </c:pt>
                  <c:pt idx="2">
                    <c:v>0</c:v>
                  </c:pt>
                  <c:pt idx="3">
                    <c:v>0</c:v>
                  </c:pt>
                  <c:pt idx="4">
                    <c:v>0</c:v>
                  </c:pt>
                  <c:pt idx="5">
                    <c:v>0</c:v>
                  </c:pt>
                  <c:pt idx="6">
                    <c:v>0</c:v>
                  </c:pt>
                </c:numCache>
              </c:numRef>
            </c:minus>
            <c:spPr>
              <a:noFill/>
              <a:ln w="9525" cap="flat" cmpd="sng" algn="ctr">
                <a:solidFill>
                  <a:schemeClr val="tx1">
                    <a:lumMod val="65000"/>
                    <a:lumOff val="35000"/>
                  </a:schemeClr>
                </a:solidFill>
                <a:round/>
              </a:ln>
              <a:effectLst/>
            </c:spPr>
          </c:errBars>
          <c:xVal>
            <c:numRef>
              <c:f>'MSR PCL'!$C$4:$C$11</c:f>
              <c:numCache>
                <c:formatCode>_-* #,##0.0_-;\-* #,##0.0_-;_-* "-"??_-;_-@_-</c:formatCode>
                <c:ptCount val="8"/>
                <c:pt idx="0">
                  <c:v>2808.8202120847859</c:v>
                </c:pt>
                <c:pt idx="1">
                  <c:v>2651.9258875038777</c:v>
                </c:pt>
                <c:pt idx="2">
                  <c:v>1308.9580796150838</c:v>
                </c:pt>
                <c:pt idx="3">
                  <c:v>1279.1877112409172</c:v>
                </c:pt>
                <c:pt idx="4">
                  <c:v>1263.9149152901832</c:v>
                </c:pt>
                <c:pt idx="5">
                  <c:v>1096.9499486485652</c:v>
                </c:pt>
                <c:pt idx="6">
                  <c:v>725.6461090376423</c:v>
                </c:pt>
                <c:pt idx="7">
                  <c:v>671.1013198354392</c:v>
                </c:pt>
              </c:numCache>
            </c:numRef>
          </c:xVal>
          <c:yVal>
            <c:numRef>
              <c:f>'MSR PCL'!$F$4:$F$11</c:f>
              <c:numCache>
                <c:formatCode>General</c:formatCode>
                <c:ptCount val="8"/>
                <c:pt idx="0">
                  <c:v>3.5</c:v>
                </c:pt>
                <c:pt idx="1">
                  <c:v>3.1</c:v>
                </c:pt>
                <c:pt idx="2">
                  <c:v>2.7</c:v>
                </c:pt>
                <c:pt idx="3">
                  <c:v>2.2000000000000002</c:v>
                </c:pt>
                <c:pt idx="4">
                  <c:v>1.7</c:v>
                </c:pt>
                <c:pt idx="5">
                  <c:v>1.2</c:v>
                </c:pt>
                <c:pt idx="6">
                  <c:v>0.7</c:v>
                </c:pt>
                <c:pt idx="7">
                  <c:v>0.2</c:v>
                </c:pt>
              </c:numCache>
            </c:numRef>
          </c:yVal>
          <c:smooth val="0"/>
          <c:extLst>
            <c:ext xmlns:c15="http://schemas.microsoft.com/office/drawing/2012/chart" uri="{02D57815-91ED-43cb-92C2-25804820EDAC}">
              <c15:datalabelsRange>
                <c15:f>'MSR PCL'!$C$4:$C$11</c15:f>
                <c15:dlblRangeCache>
                  <c:ptCount val="8"/>
                  <c:pt idx="0">
                    <c:v> 2,808.8 </c:v>
                  </c:pt>
                  <c:pt idx="1">
                    <c:v> 2,651.9 </c:v>
                  </c:pt>
                  <c:pt idx="2">
                    <c:v> 1,309.0 </c:v>
                  </c:pt>
                  <c:pt idx="3">
                    <c:v> 1,279.2 </c:v>
                  </c:pt>
                  <c:pt idx="4">
                    <c:v> 1,263.9 </c:v>
                  </c:pt>
                  <c:pt idx="5">
                    <c:v> 1,096.9 </c:v>
                  </c:pt>
                  <c:pt idx="6">
                    <c:v> 725.6 </c:v>
                  </c:pt>
                  <c:pt idx="7">
                    <c:v> 671.1 </c:v>
                  </c:pt>
                </c15:dlblRangeCache>
              </c15:datalabelsRange>
            </c:ext>
            <c:ext xmlns:c16="http://schemas.microsoft.com/office/drawing/2014/chart" uri="{C3380CC4-5D6E-409C-BE32-E72D297353CC}">
              <c16:uniqueId val="{00000009-8C3B-46BC-919D-6323AF644DC7}"/>
            </c:ext>
          </c:extLst>
        </c:ser>
        <c:ser>
          <c:idx val="0"/>
          <c:order val="2"/>
          <c:tx>
            <c:strRef>
              <c:f>'MSR PCL'!$D$15</c:f>
              <c:strCache>
                <c:ptCount val="1"/>
                <c:pt idx="0">
                  <c:v>November 2025</c:v>
                </c:pt>
              </c:strCache>
            </c:strRef>
          </c:tx>
          <c:spPr>
            <a:ln w="25400" cap="rnd">
              <a:noFill/>
              <a:round/>
            </a:ln>
            <a:effectLst/>
          </c:spPr>
          <c:marker>
            <c:symbol val="circle"/>
            <c:size val="8"/>
            <c:spPr>
              <a:solidFill>
                <a:srgbClr val="3E3EDD"/>
              </a:solidFill>
              <a:ln w="9525">
                <a:solidFill>
                  <a:srgbClr val="3E3EDD"/>
                </a:solidFill>
              </a:ln>
              <a:effectLst/>
            </c:spPr>
          </c:marker>
          <c:dLbls>
            <c:dLbl>
              <c:idx val="0"/>
              <c:tx>
                <c:rich>
                  <a:bodyPr/>
                  <a:lstStyle/>
                  <a:p>
                    <a:fld id="{3F8326F4-2496-429A-BB0B-48A888B3686B}"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C3B-46BC-919D-6323AF644DC7}"/>
                </c:ext>
              </c:extLst>
            </c:dLbl>
            <c:dLbl>
              <c:idx val="1"/>
              <c:tx>
                <c:rich>
                  <a:bodyPr/>
                  <a:lstStyle/>
                  <a:p>
                    <a:fld id="{BCE541FD-F342-44D7-A25D-CB1C7AD227F6}"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C3B-46BC-919D-6323AF644DC7}"/>
                </c:ext>
              </c:extLst>
            </c:dLbl>
            <c:dLbl>
              <c:idx val="2"/>
              <c:tx>
                <c:rich>
                  <a:bodyPr/>
                  <a:lstStyle/>
                  <a:p>
                    <a:fld id="{FEFD3ED4-1B2C-4F0C-9F21-04E2027BE60A}"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8C3B-46BC-919D-6323AF644DC7}"/>
                </c:ext>
              </c:extLst>
            </c:dLbl>
            <c:dLbl>
              <c:idx val="3"/>
              <c:tx>
                <c:rich>
                  <a:bodyPr/>
                  <a:lstStyle/>
                  <a:p>
                    <a:fld id="{7E4AC873-D73C-486E-80E6-2EDED35F312B}"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8C3B-46BC-919D-6323AF644DC7}"/>
                </c:ext>
              </c:extLst>
            </c:dLbl>
            <c:dLbl>
              <c:idx val="4"/>
              <c:tx>
                <c:rich>
                  <a:bodyPr/>
                  <a:lstStyle/>
                  <a:p>
                    <a:fld id="{FEA1F7A7-792C-4840-B0DE-04C269E73598}"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8C3B-46BC-919D-6323AF644DC7}"/>
                </c:ext>
              </c:extLst>
            </c:dLbl>
            <c:dLbl>
              <c:idx val="5"/>
              <c:layout>
                <c:manualLayout>
                  <c:x val="1.5732546705998034E-2"/>
                  <c:y val="-1.0697663922712641E-16"/>
                </c:manualLayout>
              </c:layout>
              <c:tx>
                <c:rich>
                  <a:bodyPr/>
                  <a:lstStyle/>
                  <a:p>
                    <a:fld id="{A61BFCE7-207F-430E-B891-45089D3F9908}"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8C3B-46BC-919D-6323AF644DC7}"/>
                </c:ext>
              </c:extLst>
            </c:dLbl>
            <c:dLbl>
              <c:idx val="6"/>
              <c:layout>
                <c:manualLayout>
                  <c:x val="-3.8298250555034094E-3"/>
                  <c:y val="-2.9175784099197666E-3"/>
                </c:manualLayout>
              </c:layout>
              <c:tx>
                <c:rich>
                  <a:bodyPr/>
                  <a:lstStyle/>
                  <a:p>
                    <a:fld id="{B8993C6F-2E67-4095-9E44-D545B1072800}"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8C3B-46BC-919D-6323AF644DC7}"/>
                </c:ext>
              </c:extLst>
            </c:dLbl>
            <c:dLbl>
              <c:idx val="7"/>
              <c:tx>
                <c:rich>
                  <a:bodyPr/>
                  <a:lstStyle/>
                  <a:p>
                    <a:fld id="{2143B341-3CF8-49C1-A653-6B2808A2866B}"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8C3B-46BC-919D-6323AF644DC7}"/>
                </c:ext>
              </c:extLst>
            </c:dLbl>
            <c:spPr>
              <a:noFill/>
              <a:ln>
                <a:solidFill>
                  <a:srgbClr val="3E3EDD"/>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xVal>
            <c:numRef>
              <c:f>'MSR PCL'!$D$4:$D$11</c:f>
              <c:numCache>
                <c:formatCode>_-* #,##0.0_-;\-* #,##0.0_-;_-* "-"??_-;_-@_-</c:formatCode>
                <c:ptCount val="8"/>
                <c:pt idx="0">
                  <c:v>3058.33369056113</c:v>
                </c:pt>
                <c:pt idx="1">
                  <c:v>2909.0245731112659</c:v>
                </c:pt>
                <c:pt idx="2">
                  <c:v>1386.4712793270783</c:v>
                </c:pt>
                <c:pt idx="3">
                  <c:v>1376.7129226722652</c:v>
                </c:pt>
                <c:pt idx="4">
                  <c:v>1369.5011653830361</c:v>
                </c:pt>
                <c:pt idx="5">
                  <c:v>1177.2795207369397</c:v>
                </c:pt>
                <c:pt idx="6">
                  <c:v>772.33155023422114</c:v>
                </c:pt>
                <c:pt idx="7">
                  <c:v>710.36788154536225</c:v>
                </c:pt>
              </c:numCache>
            </c:numRef>
          </c:xVal>
          <c:yVal>
            <c:numRef>
              <c:f>'MSR PCL'!$F$4:$F$11</c:f>
              <c:numCache>
                <c:formatCode>General</c:formatCode>
                <c:ptCount val="8"/>
                <c:pt idx="0">
                  <c:v>3.5</c:v>
                </c:pt>
                <c:pt idx="1">
                  <c:v>3.1</c:v>
                </c:pt>
                <c:pt idx="2">
                  <c:v>2.7</c:v>
                </c:pt>
                <c:pt idx="3">
                  <c:v>2.2000000000000002</c:v>
                </c:pt>
                <c:pt idx="4">
                  <c:v>1.7</c:v>
                </c:pt>
                <c:pt idx="5">
                  <c:v>1.2</c:v>
                </c:pt>
                <c:pt idx="6">
                  <c:v>0.7</c:v>
                </c:pt>
                <c:pt idx="7">
                  <c:v>0.2</c:v>
                </c:pt>
              </c:numCache>
            </c:numRef>
          </c:yVal>
          <c:smooth val="0"/>
          <c:extLst>
            <c:ext xmlns:c15="http://schemas.microsoft.com/office/drawing/2012/chart" uri="{02D57815-91ED-43cb-92C2-25804820EDAC}">
              <c15:datalabelsRange>
                <c15:f>'MSR PCL'!$D$4:$D$11</c15:f>
                <c15:dlblRangeCache>
                  <c:ptCount val="8"/>
                  <c:pt idx="0">
                    <c:v> 3,058.3 </c:v>
                  </c:pt>
                  <c:pt idx="1">
                    <c:v> 2,909.0 </c:v>
                  </c:pt>
                  <c:pt idx="2">
                    <c:v> 1,386.5 </c:v>
                  </c:pt>
                  <c:pt idx="3">
                    <c:v> 1,376.7 </c:v>
                  </c:pt>
                  <c:pt idx="4">
                    <c:v> 1,369.5 </c:v>
                  </c:pt>
                  <c:pt idx="5">
                    <c:v> 1,177.3 </c:v>
                  </c:pt>
                  <c:pt idx="6">
                    <c:v> 772.3 </c:v>
                  </c:pt>
                  <c:pt idx="7">
                    <c:v> 710.4 </c:v>
                  </c:pt>
                </c15:dlblRangeCache>
              </c15:datalabelsRange>
            </c:ext>
            <c:ext xmlns:c16="http://schemas.microsoft.com/office/drawing/2014/chart" uri="{C3380CC4-5D6E-409C-BE32-E72D297353CC}">
              <c16:uniqueId val="{00000012-8C3B-46BC-919D-6323AF644DC7}"/>
            </c:ext>
          </c:extLst>
        </c:ser>
        <c:ser>
          <c:idx val="2"/>
          <c:order val="3"/>
          <c:tx>
            <c:v>Average</c:v>
          </c:tx>
          <c:spPr>
            <a:ln w="25400" cap="rnd">
              <a:noFill/>
              <a:round/>
            </a:ln>
            <a:effectLst/>
          </c:spPr>
          <c:marker>
            <c:symbol val="circle"/>
            <c:size val="5"/>
            <c:spPr>
              <a:noFill/>
              <a:ln w="9525">
                <a:noFill/>
              </a:ln>
              <a:effectLst/>
            </c:spPr>
          </c:marker>
          <c:dLbls>
            <c:dLbl>
              <c:idx val="0"/>
              <c:tx>
                <c:rich>
                  <a:bodyPr/>
                  <a:lstStyle/>
                  <a:p>
                    <a:fld id="{456FB5AC-DA5E-42D9-9BDC-B4E728DC999E}"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8C3B-46BC-919D-6323AF644DC7}"/>
                </c:ext>
              </c:extLst>
            </c:dLbl>
            <c:dLbl>
              <c:idx val="1"/>
              <c:tx>
                <c:rich>
                  <a:bodyPr/>
                  <a:lstStyle/>
                  <a:p>
                    <a:fld id="{7F045929-F177-4ACE-9F94-7D6E836F6619}"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8C3B-46BC-919D-6323AF644DC7}"/>
                </c:ext>
              </c:extLst>
            </c:dLbl>
            <c:dLbl>
              <c:idx val="2"/>
              <c:tx>
                <c:rich>
                  <a:bodyPr/>
                  <a:lstStyle/>
                  <a:p>
                    <a:fld id="{46FA357B-8784-44B4-A3D0-7CE2F55041BF}"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8C3B-46BC-919D-6323AF644DC7}"/>
                </c:ext>
              </c:extLst>
            </c:dLbl>
            <c:dLbl>
              <c:idx val="3"/>
              <c:tx>
                <c:rich>
                  <a:bodyPr/>
                  <a:lstStyle/>
                  <a:p>
                    <a:fld id="{D9D9EB19-5F24-4B8F-A0F6-CA89726BD01C}"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8C3B-46BC-919D-6323AF644DC7}"/>
                </c:ext>
              </c:extLst>
            </c:dLbl>
            <c:dLbl>
              <c:idx val="4"/>
              <c:tx>
                <c:rich>
                  <a:bodyPr/>
                  <a:lstStyle/>
                  <a:p>
                    <a:fld id="{C9724754-800F-4058-8C90-E8F402F326F6}"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8C3B-46BC-919D-6323AF644DC7}"/>
                </c:ext>
              </c:extLst>
            </c:dLbl>
            <c:dLbl>
              <c:idx val="5"/>
              <c:tx>
                <c:rich>
                  <a:bodyPr/>
                  <a:lstStyle/>
                  <a:p>
                    <a:fld id="{A3C3A687-0D99-4C17-9733-7B323C104F85}"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8C3B-46BC-919D-6323AF644DC7}"/>
                </c:ext>
              </c:extLst>
            </c:dLbl>
            <c:dLbl>
              <c:idx val="6"/>
              <c:tx>
                <c:rich>
                  <a:bodyPr/>
                  <a:lstStyle/>
                  <a:p>
                    <a:fld id="{BDCA8E87-F2D6-436F-A12D-20E078FD6AB0}"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8C3B-46BC-919D-6323AF644DC7}"/>
                </c:ext>
              </c:extLst>
            </c:dLbl>
            <c:dLbl>
              <c:idx val="7"/>
              <c:tx>
                <c:rich>
                  <a:bodyPr/>
                  <a:lstStyle/>
                  <a:p>
                    <a:fld id="{C7CAA77E-F4BB-495D-9944-802228FD51F2}"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8C3B-46BC-919D-6323AF644DC7}"/>
                </c:ext>
              </c:extLst>
            </c:dLbl>
            <c:spPr>
              <a:noFill/>
              <a:ln>
                <a:noFill/>
              </a:ln>
              <a:effectLst/>
            </c:spPr>
            <c:txPr>
              <a:bodyPr rot="0" spcFirstLastPara="1" vertOverflow="ellipsis" vert="horz" wrap="non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xVal>
            <c:numRef>
              <c:f>'MSR PCL'!$I$4:$I$11</c:f>
              <c:numCache>
                <c:formatCode>_-* #,##0_-;\-* #,##0_-;_-* "-"??_-;_-@_-</c:formatCode>
                <c:ptCount val="8"/>
                <c:pt idx="0">
                  <c:v>2933.5769513229579</c:v>
                </c:pt>
                <c:pt idx="1">
                  <c:v>2780.475230307572</c:v>
                </c:pt>
                <c:pt idx="2">
                  <c:v>1347.7146794710811</c:v>
                </c:pt>
                <c:pt idx="3">
                  <c:v>1327.9503169565912</c:v>
                </c:pt>
                <c:pt idx="4">
                  <c:v>1316.7080403366097</c:v>
                </c:pt>
                <c:pt idx="5">
                  <c:v>1137.1147346927523</c:v>
                </c:pt>
                <c:pt idx="6">
                  <c:v>748.98882963593178</c:v>
                </c:pt>
                <c:pt idx="7">
                  <c:v>690.73460069040073</c:v>
                </c:pt>
              </c:numCache>
            </c:numRef>
          </c:xVal>
          <c:yVal>
            <c:numRef>
              <c:f>'MSR PCL'!$F$4:$F$11</c:f>
              <c:numCache>
                <c:formatCode>General</c:formatCode>
                <c:ptCount val="8"/>
                <c:pt idx="0">
                  <c:v>3.5</c:v>
                </c:pt>
                <c:pt idx="1">
                  <c:v>3.1</c:v>
                </c:pt>
                <c:pt idx="2">
                  <c:v>2.7</c:v>
                </c:pt>
                <c:pt idx="3">
                  <c:v>2.2000000000000002</c:v>
                </c:pt>
                <c:pt idx="4">
                  <c:v>1.7</c:v>
                </c:pt>
                <c:pt idx="5">
                  <c:v>1.2</c:v>
                </c:pt>
                <c:pt idx="6">
                  <c:v>0.7</c:v>
                </c:pt>
                <c:pt idx="7">
                  <c:v>0.2</c:v>
                </c:pt>
              </c:numCache>
            </c:numRef>
          </c:yVal>
          <c:smooth val="0"/>
          <c:extLst>
            <c:ext xmlns:c15="http://schemas.microsoft.com/office/drawing/2012/chart" uri="{02D57815-91ED-43cb-92C2-25804820EDAC}">
              <c15:datalabelsRange>
                <c15:f>'MSR PCL'!$B$4:$B$11</c15:f>
                <c15:dlblRangeCache>
                  <c:ptCount val="8"/>
                  <c:pt idx="0">
                    <c:v>    Greater Sydney</c:v>
                  </c:pt>
                  <c:pt idx="1">
                    <c:v>    Greater Melbourne</c:v>
                  </c:pt>
                  <c:pt idx="2">
                    <c:v>    Rest of NSW</c:v>
                  </c:pt>
                  <c:pt idx="3">
                    <c:v>    Greater Brisbane</c:v>
                  </c:pt>
                  <c:pt idx="4">
                    <c:v>    Rest of Qld</c:v>
                  </c:pt>
                  <c:pt idx="5">
                    <c:v>    Greater Perth</c:v>
                  </c:pt>
                  <c:pt idx="6">
                    <c:v>    Rest of Vic.</c:v>
                  </c:pt>
                  <c:pt idx="7">
                    <c:v>    Greater Adelaide</c:v>
                  </c:pt>
                </c15:dlblRangeCache>
              </c15:datalabelsRange>
            </c:ext>
            <c:ext xmlns:c16="http://schemas.microsoft.com/office/drawing/2014/chart" uri="{C3380CC4-5D6E-409C-BE32-E72D297353CC}">
              <c16:uniqueId val="{0000001B-8C3B-46BC-919D-6323AF644DC7}"/>
            </c:ext>
          </c:extLst>
        </c:ser>
        <c:dLbls>
          <c:dLblPos val="t"/>
          <c:showLegendKey val="0"/>
          <c:showVal val="1"/>
          <c:showCatName val="0"/>
          <c:showSerName val="0"/>
          <c:showPercent val="0"/>
          <c:showBubbleSize val="0"/>
        </c:dLbls>
        <c:axId val="96507727"/>
        <c:axId val="902608415"/>
      </c:scatterChart>
      <c:valAx>
        <c:axId val="96507727"/>
        <c:scaling>
          <c:orientation val="minMax"/>
          <c:min val="500"/>
        </c:scaling>
        <c:delete val="0"/>
        <c:axPos val="b"/>
        <c:title>
          <c:tx>
            <c:rich>
              <a:bodyPr/>
              <a:lstStyle/>
              <a:p>
                <a:pPr>
                  <a:defRPr/>
                </a:pPr>
                <a:r>
                  <a:rPr lang="en-AU"/>
                  <a:t>Employment ('000)</a:t>
                </a:r>
              </a:p>
            </c:rich>
          </c:tx>
          <c:overlay val="0"/>
        </c:title>
        <c:numFmt formatCode="#,##0" sourceLinked="0"/>
        <c:majorTickMark val="cross"/>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902608415"/>
        <c:crosses val="autoZero"/>
        <c:crossBetween val="midCat"/>
      </c:valAx>
      <c:valAx>
        <c:axId val="902608415"/>
        <c:scaling>
          <c:orientation val="minMax"/>
        </c:scaling>
        <c:delete val="1"/>
        <c:axPos val="l"/>
        <c:numFmt formatCode="General" sourceLinked="1"/>
        <c:majorTickMark val="none"/>
        <c:minorTickMark val="none"/>
        <c:tickLblPos val="nextTo"/>
        <c:crossAx val="96507727"/>
        <c:crosses val="autoZero"/>
        <c:crossBetween val="midCat"/>
      </c:valAx>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4134671219194945E-2"/>
          <c:y val="6.1662123965273586E-3"/>
          <c:w val="0.90822521078670471"/>
          <c:h val="0.86948162729658796"/>
        </c:manualLayout>
      </c:layout>
      <c:scatterChart>
        <c:scatterStyle val="lineMarker"/>
        <c:varyColors val="0"/>
        <c:ser>
          <c:idx val="3"/>
          <c:order val="0"/>
          <c:tx>
            <c:strRef>
              <c:f>'MSR PCL'!$E$15</c:f>
              <c:strCache>
                <c:ptCount val="1"/>
                <c:pt idx="0">
                  <c:v>February 2020</c:v>
                </c:pt>
              </c:strCache>
            </c:strRef>
          </c:tx>
          <c:spPr>
            <a:ln w="19050">
              <a:noFill/>
            </a:ln>
          </c:spPr>
          <c:marker>
            <c:symbol val="x"/>
            <c:size val="10"/>
            <c:spPr>
              <a:ln>
                <a:solidFill>
                  <a:schemeClr val="tx1"/>
                </a:solidFill>
              </a:ln>
            </c:spPr>
          </c:marker>
          <c:dLbls>
            <c:delete val="1"/>
          </c:dLbls>
          <c:xVal>
            <c:numRef>
              <c:f>'MSR PCL'!$E$16:$E$22</c:f>
              <c:numCache>
                <c:formatCode>_-* #,##0.0_-;\-* #,##0.0_-;_-* "-"??_-;_-@_-</c:formatCode>
                <c:ptCount val="7"/>
                <c:pt idx="0">
                  <c:v>278.16450380999993</c:v>
                </c:pt>
                <c:pt idx="1">
                  <c:v>233.47206156999994</c:v>
                </c:pt>
                <c:pt idx="2">
                  <c:v>182.31228490000001</c:v>
                </c:pt>
                <c:pt idx="3">
                  <c:v>136.65858652</c:v>
                </c:pt>
                <c:pt idx="4">
                  <c:v>116.99183160000003</c:v>
                </c:pt>
                <c:pt idx="5">
                  <c:v>82.525269299999977</c:v>
                </c:pt>
                <c:pt idx="6">
                  <c:v>48.687401029999997</c:v>
                </c:pt>
              </c:numCache>
            </c:numRef>
          </c:xVal>
          <c:yVal>
            <c:numRef>
              <c:f>'MSR PCL'!$F$16:$F$22</c:f>
              <c:numCache>
                <c:formatCode>General</c:formatCode>
                <c:ptCount val="7"/>
                <c:pt idx="0">
                  <c:v>3.5</c:v>
                </c:pt>
                <c:pt idx="1">
                  <c:v>3</c:v>
                </c:pt>
                <c:pt idx="2">
                  <c:v>2.5</c:v>
                </c:pt>
                <c:pt idx="3">
                  <c:v>2</c:v>
                </c:pt>
                <c:pt idx="4">
                  <c:v>1.5</c:v>
                </c:pt>
                <c:pt idx="5">
                  <c:v>1</c:v>
                </c:pt>
                <c:pt idx="6">
                  <c:v>0.5</c:v>
                </c:pt>
              </c:numCache>
            </c:numRef>
          </c:yVal>
          <c:smooth val="0"/>
          <c:extLst>
            <c:ext xmlns:c16="http://schemas.microsoft.com/office/drawing/2014/chart" uri="{C3380CC4-5D6E-409C-BE32-E72D297353CC}">
              <c16:uniqueId val="{00000000-D93E-4BF4-8A03-D0853305A551}"/>
            </c:ext>
          </c:extLst>
        </c:ser>
        <c:ser>
          <c:idx val="1"/>
          <c:order val="1"/>
          <c:tx>
            <c:strRef>
              <c:f>'MSR PCL'!$C$15</c:f>
              <c:strCache>
                <c:ptCount val="1"/>
                <c:pt idx="0">
                  <c:v>November 2020</c:v>
                </c:pt>
              </c:strCache>
            </c:strRef>
          </c:tx>
          <c:spPr>
            <a:ln w="25400" cap="rnd">
              <a:noFill/>
              <a:round/>
            </a:ln>
            <a:effectLst/>
          </c:spPr>
          <c:marker>
            <c:symbol val="circle"/>
            <c:size val="8"/>
            <c:spPr>
              <a:solidFill>
                <a:srgbClr val="00A7B0"/>
              </a:solidFill>
              <a:ln w="9525">
                <a:solidFill>
                  <a:srgbClr val="00A7B0"/>
                </a:solidFill>
              </a:ln>
              <a:effectLst/>
            </c:spPr>
          </c:marker>
          <c:dLbls>
            <c:dLbl>
              <c:idx val="0"/>
              <c:layout>
                <c:manualLayout>
                  <c:x val="-0.10884955752212397"/>
                  <c:y val="0"/>
                </c:manualLayout>
              </c:layout>
              <c:tx>
                <c:rich>
                  <a:bodyPr/>
                  <a:lstStyle/>
                  <a:p>
                    <a:fld id="{3AB52823-A969-4EDA-869A-AD0AE9288BD1}"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D93E-4BF4-8A03-D0853305A551}"/>
                </c:ext>
              </c:extLst>
            </c:dLbl>
            <c:dLbl>
              <c:idx val="1"/>
              <c:tx>
                <c:rich>
                  <a:bodyPr/>
                  <a:lstStyle/>
                  <a:p>
                    <a:fld id="{31DD057C-EDDD-4690-BF31-5981F6DC146A}"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93E-4BF4-8A03-D0853305A551}"/>
                </c:ext>
              </c:extLst>
            </c:dLbl>
            <c:dLbl>
              <c:idx val="2"/>
              <c:tx>
                <c:rich>
                  <a:bodyPr/>
                  <a:lstStyle/>
                  <a:p>
                    <a:fld id="{93D6C7A5-203C-4B4C-B289-D9B51E5975BB}"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93E-4BF4-8A03-D0853305A551}"/>
                </c:ext>
              </c:extLst>
            </c:dLbl>
            <c:dLbl>
              <c:idx val="3"/>
              <c:tx>
                <c:rich>
                  <a:bodyPr/>
                  <a:lstStyle/>
                  <a:p>
                    <a:fld id="{F45D4789-F19A-4E2A-B36C-A44E107F5401}"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93E-4BF4-8A03-D0853305A551}"/>
                </c:ext>
              </c:extLst>
            </c:dLbl>
            <c:dLbl>
              <c:idx val="4"/>
              <c:layout>
                <c:manualLayout>
                  <c:x val="-6.0888981797629277E-2"/>
                  <c:y val="4.0846097738876735E-2"/>
                </c:manualLayout>
              </c:layout>
              <c:tx>
                <c:rich>
                  <a:bodyPr/>
                  <a:lstStyle/>
                  <a:p>
                    <a:fld id="{B50FC153-5C7C-445C-BABD-79185CDE7C73}"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D93E-4BF4-8A03-D0853305A551}"/>
                </c:ext>
              </c:extLst>
            </c:dLbl>
            <c:dLbl>
              <c:idx val="5"/>
              <c:tx>
                <c:rich>
                  <a:bodyPr/>
                  <a:lstStyle/>
                  <a:p>
                    <a:fld id="{CE29776D-270A-453F-B57E-F4C178C72735}"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93E-4BF4-8A03-D0853305A551}"/>
                </c:ext>
              </c:extLst>
            </c:dLbl>
            <c:dLbl>
              <c:idx val="6"/>
              <c:tx>
                <c:rich>
                  <a:bodyPr/>
                  <a:lstStyle/>
                  <a:p>
                    <a:fld id="{5FFEBDE8-E52A-44A2-A411-D32A39C0C3C9}" type="CELLRANGE">
                      <a:rPr lang="en-AU"/>
                      <a:pPr/>
                      <a:t>[CELLRANGE]</a:t>
                    </a:fld>
                    <a:endParaRPr lang="en-AU"/>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93E-4BF4-8A03-D0853305A551}"/>
                </c:ext>
              </c:extLst>
            </c:dLbl>
            <c:spPr>
              <a:noFill/>
              <a:ln>
                <a:solidFill>
                  <a:srgbClr val="00A7B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l"/>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x"/>
            <c:errBarType val="both"/>
            <c:errValType val="cust"/>
            <c:noEndCap val="1"/>
            <c:plus>
              <c:numRef>
                <c:f>'MSR PCL'!$G$16:$G$22</c:f>
                <c:numCache>
                  <c:formatCode>General</c:formatCode>
                  <c:ptCount val="7"/>
                  <c:pt idx="0">
                    <c:v>6.2591534985156727</c:v>
                  </c:pt>
                  <c:pt idx="1">
                    <c:v>13.296583516452472</c:v>
                  </c:pt>
                  <c:pt idx="2">
                    <c:v>3.3004914913988443</c:v>
                  </c:pt>
                  <c:pt idx="3">
                    <c:v>2.7759178428332802</c:v>
                  </c:pt>
                  <c:pt idx="4">
                    <c:v>7.1683473292587365</c:v>
                  </c:pt>
                  <c:pt idx="5">
                    <c:v>2.6451049235640909</c:v>
                  </c:pt>
                  <c:pt idx="6">
                    <c:v>2.6765224953603308</c:v>
                  </c:pt>
                </c:numCache>
              </c:numRef>
            </c:plus>
            <c:minus>
              <c:numRef>
                <c:f>'MSR PCL'!$H$16:$H$22</c:f>
                <c:numCache>
                  <c:formatCode>General</c:formatCode>
                  <c:ptCount val="7"/>
                  <c:pt idx="0">
                    <c:v>0</c:v>
                  </c:pt>
                  <c:pt idx="1">
                    <c:v>0</c:v>
                  </c:pt>
                  <c:pt idx="2">
                    <c:v>0</c:v>
                  </c:pt>
                  <c:pt idx="3">
                    <c:v>0</c:v>
                  </c:pt>
                  <c:pt idx="4">
                    <c:v>0</c:v>
                  </c:pt>
                  <c:pt idx="5">
                    <c:v>0</c:v>
                  </c:pt>
                  <c:pt idx="6">
                    <c:v>0</c:v>
                  </c:pt>
                </c:numCache>
              </c:numRef>
            </c:minus>
            <c:spPr>
              <a:noFill/>
              <a:ln w="9525" cap="flat" cmpd="sng" algn="ctr">
                <a:solidFill>
                  <a:schemeClr val="tx1">
                    <a:lumMod val="65000"/>
                    <a:lumOff val="35000"/>
                  </a:schemeClr>
                </a:solidFill>
                <a:round/>
              </a:ln>
              <a:effectLst/>
            </c:spPr>
          </c:errBars>
          <c:xVal>
            <c:numRef>
              <c:f>'MSR PCL'!$C$16:$C$22</c:f>
              <c:numCache>
                <c:formatCode>_-* #,##0.0_-;\-* #,##0.0_-;_-* "-"??_-;_-@_-</c:formatCode>
                <c:ptCount val="7"/>
                <c:pt idx="0">
                  <c:v>278.77288061238977</c:v>
                </c:pt>
                <c:pt idx="1">
                  <c:v>227.74660320000001</c:v>
                </c:pt>
                <c:pt idx="2">
                  <c:v>177.69509041553391</c:v>
                </c:pt>
                <c:pt idx="3">
                  <c:v>134.79369684034452</c:v>
                </c:pt>
                <c:pt idx="4">
                  <c:v>114.01398571032171</c:v>
                </c:pt>
                <c:pt idx="5">
                  <c:v>79.607732850685821</c:v>
                </c:pt>
                <c:pt idx="6">
                  <c:v>47.710936170943825</c:v>
                </c:pt>
              </c:numCache>
            </c:numRef>
          </c:xVal>
          <c:yVal>
            <c:numRef>
              <c:f>'MSR PCL'!$F$16:$F$22</c:f>
              <c:numCache>
                <c:formatCode>General</c:formatCode>
                <c:ptCount val="7"/>
                <c:pt idx="0">
                  <c:v>3.5</c:v>
                </c:pt>
                <c:pt idx="1">
                  <c:v>3</c:v>
                </c:pt>
                <c:pt idx="2">
                  <c:v>2.5</c:v>
                </c:pt>
                <c:pt idx="3">
                  <c:v>2</c:v>
                </c:pt>
                <c:pt idx="4">
                  <c:v>1.5</c:v>
                </c:pt>
                <c:pt idx="5">
                  <c:v>1</c:v>
                </c:pt>
                <c:pt idx="6">
                  <c:v>0.5</c:v>
                </c:pt>
              </c:numCache>
            </c:numRef>
          </c:yVal>
          <c:smooth val="0"/>
          <c:extLst>
            <c:ext xmlns:c15="http://schemas.microsoft.com/office/drawing/2012/chart" uri="{02D57815-91ED-43cb-92C2-25804820EDAC}">
              <c15:datalabelsRange>
                <c15:f>'MSR PCL'!$C$16:$C$22</c15:f>
                <c15:dlblRangeCache>
                  <c:ptCount val="7"/>
                  <c:pt idx="0">
                    <c:v> 278.8 </c:v>
                  </c:pt>
                  <c:pt idx="1">
                    <c:v> 227.7 </c:v>
                  </c:pt>
                  <c:pt idx="2">
                    <c:v> 177.7 </c:v>
                  </c:pt>
                  <c:pt idx="3">
                    <c:v> 134.8 </c:v>
                  </c:pt>
                  <c:pt idx="4">
                    <c:v> 114.0 </c:v>
                  </c:pt>
                  <c:pt idx="5">
                    <c:v> 79.6 </c:v>
                  </c:pt>
                  <c:pt idx="6">
                    <c:v> 47.7 </c:v>
                  </c:pt>
                </c15:dlblRangeCache>
              </c15:datalabelsRange>
            </c:ext>
            <c:ext xmlns:c16="http://schemas.microsoft.com/office/drawing/2014/chart" uri="{C3380CC4-5D6E-409C-BE32-E72D297353CC}">
              <c16:uniqueId val="{00000008-D93E-4BF4-8A03-D0853305A551}"/>
            </c:ext>
          </c:extLst>
        </c:ser>
        <c:ser>
          <c:idx val="0"/>
          <c:order val="2"/>
          <c:tx>
            <c:strRef>
              <c:f>'MSR PCL'!$D$15</c:f>
              <c:strCache>
                <c:ptCount val="1"/>
                <c:pt idx="0">
                  <c:v>November 2025</c:v>
                </c:pt>
              </c:strCache>
            </c:strRef>
          </c:tx>
          <c:spPr>
            <a:ln w="25400" cap="rnd">
              <a:noFill/>
              <a:round/>
            </a:ln>
            <a:effectLst/>
          </c:spPr>
          <c:marker>
            <c:symbol val="circle"/>
            <c:size val="8"/>
            <c:spPr>
              <a:solidFill>
                <a:srgbClr val="3E3EDD"/>
              </a:solidFill>
              <a:ln w="9525">
                <a:solidFill>
                  <a:srgbClr val="3E3EDD"/>
                </a:solidFill>
              </a:ln>
              <a:effectLst/>
            </c:spPr>
          </c:marker>
          <c:dLbls>
            <c:dLbl>
              <c:idx val="0"/>
              <c:tx>
                <c:rich>
                  <a:bodyPr/>
                  <a:lstStyle/>
                  <a:p>
                    <a:fld id="{2C27C04E-115A-4BE6-B1A0-FA88179B7E2E}"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93E-4BF4-8A03-D0853305A551}"/>
                </c:ext>
              </c:extLst>
            </c:dLbl>
            <c:dLbl>
              <c:idx val="1"/>
              <c:tx>
                <c:rich>
                  <a:bodyPr/>
                  <a:lstStyle/>
                  <a:p>
                    <a:fld id="{63CE0CCF-8DDE-4B64-8694-BD48C54165C0}"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D93E-4BF4-8A03-D0853305A551}"/>
                </c:ext>
              </c:extLst>
            </c:dLbl>
            <c:dLbl>
              <c:idx val="2"/>
              <c:tx>
                <c:rich>
                  <a:bodyPr/>
                  <a:lstStyle/>
                  <a:p>
                    <a:fld id="{965798B0-140F-4720-A945-6023BAC52147}"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D93E-4BF4-8A03-D0853305A551}"/>
                </c:ext>
              </c:extLst>
            </c:dLbl>
            <c:dLbl>
              <c:idx val="3"/>
              <c:tx>
                <c:rich>
                  <a:bodyPr/>
                  <a:lstStyle/>
                  <a:p>
                    <a:fld id="{E1E5F660-5776-47BF-97F9-2FFC15B7E95D}"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D93E-4BF4-8A03-D0853305A551}"/>
                </c:ext>
              </c:extLst>
            </c:dLbl>
            <c:dLbl>
              <c:idx val="4"/>
              <c:tx>
                <c:rich>
                  <a:bodyPr/>
                  <a:lstStyle/>
                  <a:p>
                    <a:fld id="{06FC7E40-6A8A-4C51-BC86-F6A51E5DC51B}"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D93E-4BF4-8A03-D0853305A551}"/>
                </c:ext>
              </c:extLst>
            </c:dLbl>
            <c:dLbl>
              <c:idx val="5"/>
              <c:layout>
                <c:manualLayout>
                  <c:x val="1.5732546705998034E-2"/>
                  <c:y val="-1.0697663922712641E-16"/>
                </c:manualLayout>
              </c:layout>
              <c:tx>
                <c:rich>
                  <a:bodyPr/>
                  <a:lstStyle/>
                  <a:p>
                    <a:fld id="{E206BFD3-857F-495F-B8FE-8D001F1B4BFA}"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D93E-4BF4-8A03-D0853305A551}"/>
                </c:ext>
              </c:extLst>
            </c:dLbl>
            <c:dLbl>
              <c:idx val="6"/>
              <c:layout>
                <c:manualLayout>
                  <c:x val="-5.7938776909258203E-3"/>
                  <c:y val="-1.0697663922712641E-16"/>
                </c:manualLayout>
              </c:layout>
              <c:tx>
                <c:rich>
                  <a:bodyPr/>
                  <a:lstStyle/>
                  <a:p>
                    <a:fld id="{2A9A8341-15C4-4D51-B4B7-36E8E96DB78D}"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D93E-4BF4-8A03-D0853305A551}"/>
                </c:ext>
              </c:extLst>
            </c:dLbl>
            <c:spPr>
              <a:noFill/>
              <a:ln>
                <a:solidFill>
                  <a:srgbClr val="3E3EDD"/>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xVal>
            <c:numRef>
              <c:f>'MSR PCL'!$D$16:$D$22</c:f>
              <c:numCache>
                <c:formatCode>_-* #,##0.0_-;\-* #,##0.0_-;_-* "-"??_-;_-@_-</c:formatCode>
                <c:ptCount val="7"/>
                <c:pt idx="0">
                  <c:v>285.03203411090544</c:v>
                </c:pt>
                <c:pt idx="1">
                  <c:v>241.04318671645248</c:v>
                </c:pt>
                <c:pt idx="2">
                  <c:v>180.99558190693276</c:v>
                </c:pt>
                <c:pt idx="3">
                  <c:v>137.5696146831778</c:v>
                </c:pt>
                <c:pt idx="4">
                  <c:v>121.18233303958044</c:v>
                </c:pt>
                <c:pt idx="5">
                  <c:v>82.252837774249912</c:v>
                </c:pt>
                <c:pt idx="6">
                  <c:v>50.387458666304155</c:v>
                </c:pt>
              </c:numCache>
            </c:numRef>
          </c:xVal>
          <c:yVal>
            <c:numRef>
              <c:f>'MSR PCL'!$F$16:$F$22</c:f>
              <c:numCache>
                <c:formatCode>General</c:formatCode>
                <c:ptCount val="7"/>
                <c:pt idx="0">
                  <c:v>3.5</c:v>
                </c:pt>
                <c:pt idx="1">
                  <c:v>3</c:v>
                </c:pt>
                <c:pt idx="2">
                  <c:v>2.5</c:v>
                </c:pt>
                <c:pt idx="3">
                  <c:v>2</c:v>
                </c:pt>
                <c:pt idx="4">
                  <c:v>1.5</c:v>
                </c:pt>
                <c:pt idx="5">
                  <c:v>1</c:v>
                </c:pt>
                <c:pt idx="6">
                  <c:v>0.5</c:v>
                </c:pt>
              </c:numCache>
            </c:numRef>
          </c:yVal>
          <c:smooth val="0"/>
          <c:extLst>
            <c:ext xmlns:c15="http://schemas.microsoft.com/office/drawing/2012/chart" uri="{02D57815-91ED-43cb-92C2-25804820EDAC}">
              <c15:datalabelsRange>
                <c15:f>'MSR PCL'!$D$16:$D$22</c15:f>
                <c15:dlblRangeCache>
                  <c:ptCount val="7"/>
                  <c:pt idx="0">
                    <c:v> 285.0 </c:v>
                  </c:pt>
                  <c:pt idx="1">
                    <c:v> 241.0 </c:v>
                  </c:pt>
                  <c:pt idx="2">
                    <c:v> 181.0 </c:v>
                  </c:pt>
                  <c:pt idx="3">
                    <c:v> 137.6 </c:v>
                  </c:pt>
                  <c:pt idx="4">
                    <c:v> 121.2 </c:v>
                  </c:pt>
                  <c:pt idx="5">
                    <c:v> 82.3 </c:v>
                  </c:pt>
                  <c:pt idx="6">
                    <c:v> 50.4 </c:v>
                  </c:pt>
                </c15:dlblRangeCache>
              </c15:datalabelsRange>
            </c:ext>
            <c:ext xmlns:c16="http://schemas.microsoft.com/office/drawing/2014/chart" uri="{C3380CC4-5D6E-409C-BE32-E72D297353CC}">
              <c16:uniqueId val="{00000010-D93E-4BF4-8A03-D0853305A551}"/>
            </c:ext>
          </c:extLst>
        </c:ser>
        <c:ser>
          <c:idx val="2"/>
          <c:order val="3"/>
          <c:tx>
            <c:v>Average</c:v>
          </c:tx>
          <c:spPr>
            <a:ln w="25400" cap="rnd">
              <a:noFill/>
              <a:round/>
            </a:ln>
            <a:effectLst/>
          </c:spPr>
          <c:marker>
            <c:symbol val="circle"/>
            <c:size val="5"/>
            <c:spPr>
              <a:noFill/>
              <a:ln w="9525">
                <a:noFill/>
              </a:ln>
              <a:effectLst/>
            </c:spPr>
          </c:marker>
          <c:dLbls>
            <c:dLbl>
              <c:idx val="0"/>
              <c:tx>
                <c:rich>
                  <a:bodyPr/>
                  <a:lstStyle/>
                  <a:p>
                    <a:fld id="{32CFFB75-ED87-479D-8007-C5F7D1B7ADC6}"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D93E-4BF4-8A03-D0853305A551}"/>
                </c:ext>
              </c:extLst>
            </c:dLbl>
            <c:dLbl>
              <c:idx val="1"/>
              <c:tx>
                <c:rich>
                  <a:bodyPr/>
                  <a:lstStyle/>
                  <a:p>
                    <a:fld id="{6BC4359E-11D5-4668-A064-D2D7D5F23867}"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D93E-4BF4-8A03-D0853305A551}"/>
                </c:ext>
              </c:extLst>
            </c:dLbl>
            <c:dLbl>
              <c:idx val="2"/>
              <c:tx>
                <c:rich>
                  <a:bodyPr/>
                  <a:lstStyle/>
                  <a:p>
                    <a:fld id="{67056062-D019-4686-A401-F3204C4F358B}"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D93E-4BF4-8A03-D0853305A551}"/>
                </c:ext>
              </c:extLst>
            </c:dLbl>
            <c:dLbl>
              <c:idx val="3"/>
              <c:tx>
                <c:rich>
                  <a:bodyPr/>
                  <a:lstStyle/>
                  <a:p>
                    <a:fld id="{D269D80B-DCFD-4A23-9439-50C5B3DB349E}"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D93E-4BF4-8A03-D0853305A551}"/>
                </c:ext>
              </c:extLst>
            </c:dLbl>
            <c:dLbl>
              <c:idx val="4"/>
              <c:tx>
                <c:rich>
                  <a:bodyPr/>
                  <a:lstStyle/>
                  <a:p>
                    <a:fld id="{2D49BCEA-E619-4589-A89B-0AC84E1DA152}"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D93E-4BF4-8A03-D0853305A551}"/>
                </c:ext>
              </c:extLst>
            </c:dLbl>
            <c:dLbl>
              <c:idx val="5"/>
              <c:tx>
                <c:rich>
                  <a:bodyPr/>
                  <a:lstStyle/>
                  <a:p>
                    <a:fld id="{4E79C708-B6C5-4A7F-87FE-58AF11A42F98}"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D93E-4BF4-8A03-D0853305A551}"/>
                </c:ext>
              </c:extLst>
            </c:dLbl>
            <c:dLbl>
              <c:idx val="6"/>
              <c:tx>
                <c:rich>
                  <a:bodyPr/>
                  <a:lstStyle/>
                  <a:p>
                    <a:fld id="{BAD3EF36-9D57-4221-BAC5-A143AD75F21A}"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D93E-4BF4-8A03-D0853305A551}"/>
                </c:ext>
              </c:extLst>
            </c:dLbl>
            <c:spPr>
              <a:noFill/>
              <a:ln>
                <a:noFill/>
              </a:ln>
              <a:effectLst/>
            </c:spPr>
            <c:txPr>
              <a:bodyPr rot="0" spcFirstLastPara="1" vertOverflow="ellipsis" vert="horz" wrap="non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xVal>
            <c:numRef>
              <c:f>'MSR PCL'!$I$16:$I$22</c:f>
              <c:numCache>
                <c:formatCode>_-* #,##0_-;\-* #,##0_-;_-* "-"??_-;_-@_-</c:formatCode>
                <c:ptCount val="7"/>
                <c:pt idx="0">
                  <c:v>281.90245736164763</c:v>
                </c:pt>
                <c:pt idx="1">
                  <c:v>234.39489495822625</c:v>
                </c:pt>
                <c:pt idx="2">
                  <c:v>179.34533616123332</c:v>
                </c:pt>
                <c:pt idx="3">
                  <c:v>136.18165576176116</c:v>
                </c:pt>
                <c:pt idx="4">
                  <c:v>117.59815937495108</c:v>
                </c:pt>
                <c:pt idx="5">
                  <c:v>80.930285312467873</c:v>
                </c:pt>
                <c:pt idx="6">
                  <c:v>49.04919741862399</c:v>
                </c:pt>
              </c:numCache>
            </c:numRef>
          </c:xVal>
          <c:yVal>
            <c:numRef>
              <c:f>'MSR PCL'!$F$16:$F$22</c:f>
              <c:numCache>
                <c:formatCode>General</c:formatCode>
                <c:ptCount val="7"/>
                <c:pt idx="0">
                  <c:v>3.5</c:v>
                </c:pt>
                <c:pt idx="1">
                  <c:v>3</c:v>
                </c:pt>
                <c:pt idx="2">
                  <c:v>2.5</c:v>
                </c:pt>
                <c:pt idx="3">
                  <c:v>2</c:v>
                </c:pt>
                <c:pt idx="4">
                  <c:v>1.5</c:v>
                </c:pt>
                <c:pt idx="5">
                  <c:v>1</c:v>
                </c:pt>
                <c:pt idx="6">
                  <c:v>0.5</c:v>
                </c:pt>
              </c:numCache>
            </c:numRef>
          </c:yVal>
          <c:smooth val="0"/>
          <c:extLst>
            <c:ext xmlns:c15="http://schemas.microsoft.com/office/drawing/2012/chart" uri="{02D57815-91ED-43cb-92C2-25804820EDAC}">
              <c15:datalabelsRange>
                <c15:f>'MSR PCL'!$B$16:$B$22</c15:f>
                <c15:dlblRangeCache>
                  <c:ptCount val="7"/>
                  <c:pt idx="0">
                    <c:v>    Rest of WA</c:v>
                  </c:pt>
                  <c:pt idx="1">
                    <c:v>  Australian Capital Territory</c:v>
                  </c:pt>
                  <c:pt idx="2">
                    <c:v>    Rest of SA</c:v>
                  </c:pt>
                  <c:pt idx="3">
                    <c:v>    Rest of Tas.</c:v>
                  </c:pt>
                  <c:pt idx="4">
                    <c:v>    Greater Hobart</c:v>
                  </c:pt>
                  <c:pt idx="5">
                    <c:v>      Darwin</c:v>
                  </c:pt>
                  <c:pt idx="6">
                    <c:v>      Northern Territory - Outback</c:v>
                  </c:pt>
                </c15:dlblRangeCache>
              </c15:datalabelsRange>
            </c:ext>
            <c:ext xmlns:c16="http://schemas.microsoft.com/office/drawing/2014/chart" uri="{C3380CC4-5D6E-409C-BE32-E72D297353CC}">
              <c16:uniqueId val="{00000018-D93E-4BF4-8A03-D0853305A551}"/>
            </c:ext>
          </c:extLst>
        </c:ser>
        <c:dLbls>
          <c:dLblPos val="t"/>
          <c:showLegendKey val="0"/>
          <c:showVal val="1"/>
          <c:showCatName val="0"/>
          <c:showSerName val="0"/>
          <c:showPercent val="0"/>
          <c:showBubbleSize val="0"/>
        </c:dLbls>
        <c:axId val="96507727"/>
        <c:axId val="902608415"/>
      </c:scatterChart>
      <c:valAx>
        <c:axId val="96507727"/>
        <c:scaling>
          <c:orientation val="minMax"/>
        </c:scaling>
        <c:delete val="0"/>
        <c:axPos val="b"/>
        <c:title>
          <c:tx>
            <c:rich>
              <a:bodyPr/>
              <a:lstStyle/>
              <a:p>
                <a:pPr>
                  <a:defRPr/>
                </a:pPr>
                <a:r>
                  <a:rPr lang="en-AU"/>
                  <a:t>Employment ('000)</a:t>
                </a:r>
              </a:p>
            </c:rich>
          </c:tx>
          <c:overlay val="0"/>
        </c:title>
        <c:numFmt formatCode="#,##0" sourceLinked="0"/>
        <c:majorTickMark val="cross"/>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902608415"/>
        <c:crosses val="autoZero"/>
        <c:crossBetween val="midCat"/>
      </c:valAx>
      <c:valAx>
        <c:axId val="902608415"/>
        <c:scaling>
          <c:orientation val="minMax"/>
        </c:scaling>
        <c:delete val="1"/>
        <c:axPos val="l"/>
        <c:numFmt formatCode="General" sourceLinked="1"/>
        <c:majorTickMark val="none"/>
        <c:minorTickMark val="none"/>
        <c:tickLblPos val="nextTo"/>
        <c:crossAx val="965077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54BC86A8723743B7BA5AC09EB06F0E" ma:contentTypeVersion="13" ma:contentTypeDescription="Create a new document." ma:contentTypeScope="" ma:versionID="7ed4f186139079ea0b90d738627a0b13">
  <xsd:schema xmlns:xsd="http://www.w3.org/2001/XMLSchema" xmlns:xs="http://www.w3.org/2001/XMLSchema" xmlns:p="http://schemas.microsoft.com/office/2006/metadata/properties" xmlns:ns2="ee4a207e-7b80-4e90-b194-bce8ab9d81cc" xmlns:ns3="c5020e2f-1e7c-444c-ba66-5d259398e682" targetNamespace="http://schemas.microsoft.com/office/2006/metadata/properties" ma:root="true" ma:fieldsID="3dc064bec476e279ec5053489c9cad3e" ns2:_="" ns3:_="">
    <xsd:import namespace="ee4a207e-7b80-4e90-b194-bce8ab9d81cc"/>
    <xsd:import namespace="c5020e2f-1e7c-444c-ba66-5d259398e6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207e-7b80-4e90-b194-bce8ab9d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020e2f-1e7c-444c-ba66-5d259398e6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480D0-9108-47E3-8896-B67C8009B8FF}">
  <ds:schemaRefs>
    <ds:schemaRef ds:uri="http://schemas.openxmlformats.org/officeDocument/2006/bibliography"/>
  </ds:schemaRefs>
</ds:datastoreItem>
</file>

<file path=customXml/itemProps2.xml><?xml version="1.0" encoding="utf-8"?>
<ds:datastoreItem xmlns:ds="http://schemas.openxmlformats.org/officeDocument/2006/customXml" ds:itemID="{D07B47ED-6C5A-41D9-8E6C-BDA3EA71BAB7}"/>
</file>

<file path=customXml/itemProps3.xml><?xml version="1.0" encoding="utf-8"?>
<ds:datastoreItem xmlns:ds="http://schemas.openxmlformats.org/officeDocument/2006/customXml" ds:itemID="{8C49B291-1220-4BAB-9BFC-1267C2ECDA60}"/>
</file>

<file path=customXml/itemProps4.xml><?xml version="1.0" encoding="utf-8"?>
<ds:datastoreItem xmlns:ds="http://schemas.openxmlformats.org/officeDocument/2006/customXml" ds:itemID="{4FC4596B-CFA9-4545-8A2F-1DA49A608A12}"/>
</file>

<file path=docProps/app.xml><?xml version="1.0" encoding="utf-8"?>
<Properties xmlns="http://schemas.openxmlformats.org/officeDocument/2006/extended-properties" xmlns:vt="http://schemas.openxmlformats.org/officeDocument/2006/docPropsVTypes">
  <Template>Normal.dotm</Template>
  <TotalTime>0</TotalTime>
  <Pages>14</Pages>
  <Words>4778</Words>
  <Characters>27251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2021-08-23T03:43:00Z</dcterms:created>
  <dcterms:modified xsi:type="dcterms:W3CDTF">2021-08-31T02:29:00Z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0x0101007454BC86A8723743B7BA5AC09EB06F0E</vt:lpwstr>
  </property>
</Properties>
</file>