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xml" ContentType="application/vnd.openxmlformats-officedocument.themeOverrid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F716" w14:textId="77777777" w:rsidR="00BC327B" w:rsidRPr="00E85606" w:rsidRDefault="00BC327B" w:rsidP="00BC327B">
      <w:r w:rsidRPr="007B237E">
        <w:rPr>
          <w:noProof/>
          <w:lang w:eastAsia="en-AU"/>
        </w:rPr>
        <w:drawing>
          <wp:anchor distT="0" distB="0" distL="114300" distR="114300" simplePos="0" relativeHeight="251660288" behindDoc="0" locked="0" layoutInCell="1" allowOverlap="1" wp14:anchorId="3A6555B7" wp14:editId="425DD5B7">
            <wp:simplePos x="0" y="0"/>
            <wp:positionH relativeFrom="margin">
              <wp:posOffset>11430</wp:posOffset>
            </wp:positionH>
            <wp:positionV relativeFrom="page">
              <wp:posOffset>613410</wp:posOffset>
            </wp:positionV>
            <wp:extent cx="3234055" cy="857250"/>
            <wp:effectExtent l="0" t="0" r="4445" b="0"/>
            <wp:wrapTopAndBottom/>
            <wp:docPr id="1" name="Picture 1" descr="Australian Government, Jobs and Skills Australia. Ma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Jobs and Skills Australia. May 2023"/>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234055" cy="857250"/>
                    </a:xfrm>
                    <a:prstGeom prst="rect">
                      <a:avLst/>
                    </a:prstGeom>
                  </pic:spPr>
                </pic:pic>
              </a:graphicData>
            </a:graphic>
            <wp14:sizeRelH relativeFrom="margin">
              <wp14:pctWidth>0</wp14:pctWidth>
            </wp14:sizeRelH>
            <wp14:sizeRelV relativeFrom="margin">
              <wp14:pctHeight>0</wp14:pctHeight>
            </wp14:sizeRelV>
          </wp:anchor>
        </w:drawing>
      </w:r>
    </w:p>
    <w:p w14:paraId="6827D285" w14:textId="77777777" w:rsidR="00BC327B" w:rsidRPr="00E85606" w:rsidRDefault="00BC327B" w:rsidP="00BC327B"/>
    <w:p w14:paraId="5AC415C0" w14:textId="77777777" w:rsidR="00BC327B" w:rsidRPr="000C0905" w:rsidRDefault="00BC327B" w:rsidP="00BC327B">
      <w:pPr>
        <w:spacing w:line="720" w:lineRule="auto"/>
        <w:ind w:firstLine="142"/>
        <w:rPr>
          <w:color w:val="FFFFFF" w:themeColor="background1"/>
        </w:rPr>
      </w:pPr>
    </w:p>
    <w:p w14:paraId="2F8353FF" w14:textId="77777777" w:rsidR="00BC327B" w:rsidRPr="006D7461" w:rsidRDefault="00BC327B" w:rsidP="00BC327B">
      <w:pPr>
        <w:pStyle w:val="Title"/>
        <w:spacing w:before="0" w:after="360"/>
        <w:ind w:left="426"/>
        <w:rPr>
          <w:rFonts w:cs="Arial"/>
          <w:color w:val="000000" w:themeColor="text1"/>
          <w:sz w:val="96"/>
          <w:szCs w:val="96"/>
        </w:rPr>
      </w:pPr>
      <w:r w:rsidRPr="006D7461">
        <w:rPr>
          <w:rFonts w:cs="Arial"/>
          <w:color w:val="000000" w:themeColor="text1"/>
          <w:sz w:val="96"/>
          <w:szCs w:val="96"/>
        </w:rPr>
        <w:t>Labour Market</w:t>
      </w:r>
      <w:r w:rsidRPr="006D7461">
        <w:rPr>
          <w:rFonts w:cs="Arial"/>
          <w:color w:val="000000" w:themeColor="text1"/>
          <w:sz w:val="96"/>
          <w:szCs w:val="96"/>
        </w:rPr>
        <w:br/>
        <w:t>Update</w:t>
      </w:r>
    </w:p>
    <w:p w14:paraId="5C3A3108" w14:textId="79D46651" w:rsidR="00BC327B" w:rsidRPr="006D7461" w:rsidRDefault="00BC327B" w:rsidP="00BC327B">
      <w:pPr>
        <w:pStyle w:val="Title-Subtitle"/>
        <w:spacing w:before="0" w:after="120"/>
        <w:ind w:left="426"/>
        <w:rPr>
          <w:rFonts w:cs="Arial"/>
          <w:b w:val="0"/>
          <w:bCs/>
          <w:i/>
          <w:iCs/>
          <w:sz w:val="24"/>
          <w:szCs w:val="24"/>
        </w:rPr>
      </w:pPr>
      <w:r w:rsidRPr="006D7461">
        <w:rPr>
          <w:rFonts w:cs="Arial"/>
          <w:b w:val="0"/>
          <w:bCs/>
          <w:i/>
          <w:iCs/>
          <w:sz w:val="24"/>
          <w:szCs w:val="24"/>
        </w:rPr>
        <w:t xml:space="preserve">The data in this document reflect the quarter to </w:t>
      </w:r>
      <w:r>
        <w:rPr>
          <w:rFonts w:cs="Arial"/>
          <w:b w:val="0"/>
          <w:bCs/>
          <w:i/>
          <w:iCs/>
          <w:sz w:val="24"/>
          <w:szCs w:val="24"/>
        </w:rPr>
        <w:t>March</w:t>
      </w:r>
      <w:r w:rsidRPr="006D7461">
        <w:rPr>
          <w:rFonts w:cs="Arial"/>
          <w:b w:val="0"/>
          <w:bCs/>
          <w:i/>
          <w:iCs/>
          <w:sz w:val="24"/>
          <w:szCs w:val="24"/>
        </w:rPr>
        <w:t xml:space="preserve"> 202</w:t>
      </w:r>
      <w:r>
        <w:rPr>
          <w:rFonts w:cs="Arial"/>
          <w:b w:val="0"/>
          <w:bCs/>
          <w:i/>
          <w:iCs/>
          <w:sz w:val="24"/>
          <w:szCs w:val="24"/>
        </w:rPr>
        <w:t>3</w:t>
      </w:r>
      <w:r w:rsidRPr="006D7461">
        <w:rPr>
          <w:rFonts w:cs="Arial"/>
          <w:b w:val="0"/>
          <w:bCs/>
          <w:i/>
          <w:iCs/>
          <w:sz w:val="24"/>
          <w:szCs w:val="24"/>
        </w:rPr>
        <w:t xml:space="preserve">, </w:t>
      </w:r>
      <w:r w:rsidRPr="006D7461">
        <w:rPr>
          <w:rFonts w:cs="Arial"/>
          <w:b w:val="0"/>
          <w:bCs/>
          <w:i/>
          <w:iCs/>
          <w:sz w:val="24"/>
          <w:szCs w:val="24"/>
        </w:rPr>
        <w:br/>
        <w:t xml:space="preserve">and are current as at </w:t>
      </w:r>
      <w:r>
        <w:rPr>
          <w:rFonts w:cs="Arial"/>
          <w:b w:val="0"/>
          <w:bCs/>
          <w:i/>
          <w:iCs/>
          <w:sz w:val="24"/>
          <w:szCs w:val="24"/>
        </w:rPr>
        <w:t>5</w:t>
      </w:r>
      <w:r w:rsidRPr="006D7461">
        <w:rPr>
          <w:rFonts w:cs="Arial"/>
          <w:b w:val="0"/>
          <w:bCs/>
          <w:i/>
          <w:iCs/>
          <w:sz w:val="24"/>
          <w:szCs w:val="24"/>
        </w:rPr>
        <w:t xml:space="preserve"> </w:t>
      </w:r>
      <w:r>
        <w:rPr>
          <w:rFonts w:cs="Arial"/>
          <w:b w:val="0"/>
          <w:bCs/>
          <w:i/>
          <w:iCs/>
          <w:sz w:val="24"/>
          <w:szCs w:val="24"/>
        </w:rPr>
        <w:t>Ma</w:t>
      </w:r>
      <w:r w:rsidRPr="006D7461">
        <w:rPr>
          <w:rFonts w:cs="Arial"/>
          <w:b w:val="0"/>
          <w:bCs/>
          <w:i/>
          <w:iCs/>
          <w:sz w:val="24"/>
          <w:szCs w:val="24"/>
        </w:rPr>
        <w:t>y 2023</w:t>
      </w:r>
    </w:p>
    <w:p w14:paraId="3F77E01D" w14:textId="77777777" w:rsidR="00BC327B" w:rsidRPr="006D7461" w:rsidRDefault="00BC327B" w:rsidP="00BC327B">
      <w:pPr>
        <w:pStyle w:val="Heading1"/>
        <w:spacing w:before="240"/>
        <w:ind w:left="426"/>
        <w:rPr>
          <w:rFonts w:cs="Arial"/>
          <w:color w:val="000000" w:themeColor="text1"/>
        </w:rPr>
      </w:pPr>
    </w:p>
    <w:p w14:paraId="7DC984C5" w14:textId="6B9D1319" w:rsidR="00D31218" w:rsidRPr="00BC327B" w:rsidRDefault="00BC327B" w:rsidP="00BC327B">
      <w:pPr>
        <w:rPr>
          <w:rFonts w:cs="Arial"/>
          <w:color w:val="FFFFFF" w:themeColor="background1"/>
        </w:rPr>
      </w:pPr>
      <w:r w:rsidRPr="000C0905">
        <w:rPr>
          <w:rFonts w:cs="Arial"/>
          <w:color w:val="FFFFFF" w:themeColor="background1"/>
        </w:rPr>
        <w:br w:type="page"/>
      </w:r>
      <w:r w:rsidRPr="000C0905">
        <w:rPr>
          <w:noProof/>
          <w:color w:val="FFFFFF" w:themeColor="background1"/>
          <w:lang w:eastAsia="en-AU"/>
        </w:rPr>
        <w:drawing>
          <wp:anchor distT="0" distB="0" distL="114300" distR="114300" simplePos="0" relativeHeight="251659264" behindDoc="1" locked="1" layoutInCell="1" allowOverlap="1" wp14:anchorId="088EB988" wp14:editId="0029E3E4">
            <wp:simplePos x="0" y="0"/>
            <wp:positionH relativeFrom="page">
              <wp:posOffset>-9525</wp:posOffset>
            </wp:positionH>
            <wp:positionV relativeFrom="page">
              <wp:posOffset>-19050</wp:posOffset>
            </wp:positionV>
            <wp:extent cx="7623175" cy="10778490"/>
            <wp:effectExtent l="0" t="0" r="0" b="38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623175" cy="107784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eastAsiaTheme="minorHAnsi" w:cs="Arial"/>
          <w:b w:val="0"/>
          <w:color w:val="000000" w:themeColor="text1"/>
          <w:sz w:val="22"/>
          <w:szCs w:val="22"/>
          <w:lang w:val="en-AU"/>
        </w:rPr>
        <w:id w:val="1288544012"/>
        <w:docPartObj>
          <w:docPartGallery w:val="Table of Contents"/>
          <w:docPartUnique/>
        </w:docPartObj>
      </w:sdtPr>
      <w:sdtEndPr>
        <w:rPr>
          <w:bCs/>
          <w:noProof/>
        </w:rPr>
      </w:sdtEndPr>
      <w:sdtContent>
        <w:p w14:paraId="1789F62F" w14:textId="2E3E4841" w:rsidR="0021626E" w:rsidRPr="00BB36CB" w:rsidRDefault="0021626E">
          <w:pPr>
            <w:pStyle w:val="TOCHeading"/>
            <w:rPr>
              <w:rFonts w:cs="Arial"/>
            </w:rPr>
          </w:pPr>
          <w:r w:rsidRPr="00BB36CB">
            <w:rPr>
              <w:rFonts w:cs="Arial"/>
            </w:rPr>
            <w:t>Contents</w:t>
          </w:r>
        </w:p>
        <w:p w14:paraId="729916A4" w14:textId="0E2E593C" w:rsidR="004740C5" w:rsidRDefault="0021626E" w:rsidP="0072010D">
          <w:pPr>
            <w:pStyle w:val="TOC1"/>
            <w:tabs>
              <w:tab w:val="right" w:leader="dot" w:pos="10490"/>
            </w:tabs>
            <w:rPr>
              <w:rFonts w:asciiTheme="minorHAnsi" w:eastAsiaTheme="minorEastAsia" w:hAnsiTheme="minorHAnsi"/>
              <w:b w:val="0"/>
              <w:noProof/>
              <w:color w:val="auto"/>
              <w:lang w:eastAsia="en-AU"/>
            </w:rPr>
          </w:pPr>
          <w:r w:rsidRPr="00BB36CB">
            <w:rPr>
              <w:rFonts w:cs="Arial"/>
            </w:rPr>
            <w:fldChar w:fldCharType="begin"/>
          </w:r>
          <w:r w:rsidRPr="00BB36CB">
            <w:rPr>
              <w:rFonts w:cs="Arial"/>
            </w:rPr>
            <w:instrText xml:space="preserve"> TOC \o "1-3" \h \z \u </w:instrText>
          </w:r>
          <w:r w:rsidRPr="00BB36CB">
            <w:rPr>
              <w:rFonts w:cs="Arial"/>
            </w:rPr>
            <w:fldChar w:fldCharType="separate"/>
          </w:r>
          <w:hyperlink w:anchor="_Toc134785318" w:history="1">
            <w:r w:rsidR="004740C5" w:rsidRPr="0060514E">
              <w:rPr>
                <w:rStyle w:val="Hyperlink"/>
                <w:rFonts w:cs="Arial"/>
                <w:noProof/>
              </w:rPr>
              <w:t>Executive summary</w:t>
            </w:r>
            <w:r w:rsidR="004740C5">
              <w:rPr>
                <w:noProof/>
                <w:webHidden/>
              </w:rPr>
              <w:tab/>
            </w:r>
            <w:r w:rsidR="004740C5">
              <w:rPr>
                <w:noProof/>
                <w:webHidden/>
              </w:rPr>
              <w:fldChar w:fldCharType="begin"/>
            </w:r>
            <w:r w:rsidR="004740C5">
              <w:rPr>
                <w:noProof/>
                <w:webHidden/>
              </w:rPr>
              <w:instrText xml:space="preserve"> PAGEREF _Toc134785318 \h </w:instrText>
            </w:r>
            <w:r w:rsidR="004740C5">
              <w:rPr>
                <w:noProof/>
                <w:webHidden/>
              </w:rPr>
            </w:r>
            <w:r w:rsidR="004740C5">
              <w:rPr>
                <w:noProof/>
                <w:webHidden/>
              </w:rPr>
              <w:fldChar w:fldCharType="separate"/>
            </w:r>
            <w:r w:rsidR="00EF1019">
              <w:rPr>
                <w:noProof/>
                <w:webHidden/>
              </w:rPr>
              <w:t>3</w:t>
            </w:r>
            <w:r w:rsidR="004740C5">
              <w:rPr>
                <w:noProof/>
                <w:webHidden/>
              </w:rPr>
              <w:fldChar w:fldCharType="end"/>
            </w:r>
          </w:hyperlink>
        </w:p>
        <w:p w14:paraId="760696B9" w14:textId="4C451B47" w:rsidR="004740C5" w:rsidRDefault="00000000" w:rsidP="0072010D">
          <w:pPr>
            <w:pStyle w:val="TOC1"/>
            <w:tabs>
              <w:tab w:val="right" w:leader="dot" w:pos="10490"/>
            </w:tabs>
            <w:rPr>
              <w:rFonts w:asciiTheme="minorHAnsi" w:eastAsiaTheme="minorEastAsia" w:hAnsiTheme="minorHAnsi"/>
              <w:b w:val="0"/>
              <w:noProof/>
              <w:color w:val="auto"/>
              <w:lang w:eastAsia="en-AU"/>
            </w:rPr>
          </w:pPr>
          <w:hyperlink w:anchor="_Toc134785319" w:history="1">
            <w:r w:rsidR="004740C5" w:rsidRPr="0060514E">
              <w:rPr>
                <w:rStyle w:val="Hyperlink"/>
                <w:rFonts w:cs="Arial"/>
                <w:noProof/>
              </w:rPr>
              <w:t>Recent labour market outcomes</w:t>
            </w:r>
            <w:r w:rsidR="004740C5">
              <w:rPr>
                <w:noProof/>
                <w:webHidden/>
              </w:rPr>
              <w:tab/>
            </w:r>
            <w:r w:rsidR="004740C5">
              <w:rPr>
                <w:noProof/>
                <w:webHidden/>
              </w:rPr>
              <w:fldChar w:fldCharType="begin"/>
            </w:r>
            <w:r w:rsidR="004740C5">
              <w:rPr>
                <w:noProof/>
                <w:webHidden/>
              </w:rPr>
              <w:instrText xml:space="preserve"> PAGEREF _Toc134785319 \h </w:instrText>
            </w:r>
            <w:r w:rsidR="004740C5">
              <w:rPr>
                <w:noProof/>
                <w:webHidden/>
              </w:rPr>
            </w:r>
            <w:r w:rsidR="004740C5">
              <w:rPr>
                <w:noProof/>
                <w:webHidden/>
              </w:rPr>
              <w:fldChar w:fldCharType="separate"/>
            </w:r>
            <w:r w:rsidR="00EF1019">
              <w:rPr>
                <w:noProof/>
                <w:webHidden/>
              </w:rPr>
              <w:t>4</w:t>
            </w:r>
            <w:r w:rsidR="004740C5">
              <w:rPr>
                <w:noProof/>
                <w:webHidden/>
              </w:rPr>
              <w:fldChar w:fldCharType="end"/>
            </w:r>
          </w:hyperlink>
        </w:p>
        <w:p w14:paraId="75D12EDD" w14:textId="7ECDED98" w:rsidR="004740C5" w:rsidRDefault="00000000" w:rsidP="0072010D">
          <w:pPr>
            <w:pStyle w:val="TOC3"/>
            <w:rPr>
              <w:rFonts w:asciiTheme="minorHAnsi" w:eastAsiaTheme="minorEastAsia" w:hAnsiTheme="minorHAnsi"/>
              <w:noProof/>
              <w:color w:val="auto"/>
              <w:lang w:eastAsia="en-AU"/>
            </w:rPr>
          </w:pPr>
          <w:hyperlink w:anchor="_Toc134785320" w:history="1">
            <w:r w:rsidR="004740C5" w:rsidRPr="0060514E">
              <w:rPr>
                <w:rStyle w:val="Hyperlink"/>
                <w:noProof/>
              </w:rPr>
              <w:t>State and Territory labour market outcomes</w:t>
            </w:r>
            <w:r w:rsidR="004740C5">
              <w:rPr>
                <w:noProof/>
                <w:webHidden/>
              </w:rPr>
              <w:tab/>
            </w:r>
            <w:r w:rsidR="004740C5">
              <w:rPr>
                <w:noProof/>
                <w:webHidden/>
              </w:rPr>
              <w:fldChar w:fldCharType="begin"/>
            </w:r>
            <w:r w:rsidR="004740C5">
              <w:rPr>
                <w:noProof/>
                <w:webHidden/>
              </w:rPr>
              <w:instrText xml:space="preserve"> PAGEREF _Toc134785320 \h </w:instrText>
            </w:r>
            <w:r w:rsidR="004740C5">
              <w:rPr>
                <w:noProof/>
                <w:webHidden/>
              </w:rPr>
            </w:r>
            <w:r w:rsidR="004740C5">
              <w:rPr>
                <w:noProof/>
                <w:webHidden/>
              </w:rPr>
              <w:fldChar w:fldCharType="separate"/>
            </w:r>
            <w:r w:rsidR="00EF1019">
              <w:rPr>
                <w:noProof/>
                <w:webHidden/>
              </w:rPr>
              <w:t>6</w:t>
            </w:r>
            <w:r w:rsidR="004740C5">
              <w:rPr>
                <w:noProof/>
                <w:webHidden/>
              </w:rPr>
              <w:fldChar w:fldCharType="end"/>
            </w:r>
          </w:hyperlink>
        </w:p>
        <w:p w14:paraId="74FFD7A2" w14:textId="2F5197F3" w:rsidR="004740C5" w:rsidRDefault="00000000" w:rsidP="0072010D">
          <w:pPr>
            <w:pStyle w:val="TOC3"/>
            <w:rPr>
              <w:rFonts w:asciiTheme="minorHAnsi" w:eastAsiaTheme="minorEastAsia" w:hAnsiTheme="minorHAnsi"/>
              <w:noProof/>
              <w:color w:val="auto"/>
              <w:lang w:eastAsia="en-AU"/>
            </w:rPr>
          </w:pPr>
          <w:hyperlink w:anchor="_Toc134785321" w:history="1">
            <w:r w:rsidR="004740C5" w:rsidRPr="0060514E">
              <w:rPr>
                <w:rStyle w:val="Hyperlink"/>
                <w:noProof/>
              </w:rPr>
              <w:t>Wages: variability in annual growth between different indicators</w:t>
            </w:r>
            <w:r w:rsidR="004740C5">
              <w:rPr>
                <w:noProof/>
                <w:webHidden/>
              </w:rPr>
              <w:tab/>
            </w:r>
            <w:r w:rsidR="004740C5">
              <w:rPr>
                <w:noProof/>
                <w:webHidden/>
              </w:rPr>
              <w:fldChar w:fldCharType="begin"/>
            </w:r>
            <w:r w:rsidR="004740C5">
              <w:rPr>
                <w:noProof/>
                <w:webHidden/>
              </w:rPr>
              <w:instrText xml:space="preserve"> PAGEREF _Toc134785321 \h </w:instrText>
            </w:r>
            <w:r w:rsidR="004740C5">
              <w:rPr>
                <w:noProof/>
                <w:webHidden/>
              </w:rPr>
            </w:r>
            <w:r w:rsidR="004740C5">
              <w:rPr>
                <w:noProof/>
                <w:webHidden/>
              </w:rPr>
              <w:fldChar w:fldCharType="separate"/>
            </w:r>
            <w:r w:rsidR="00EF1019">
              <w:rPr>
                <w:noProof/>
                <w:webHidden/>
              </w:rPr>
              <w:t>6</w:t>
            </w:r>
            <w:r w:rsidR="004740C5">
              <w:rPr>
                <w:noProof/>
                <w:webHidden/>
              </w:rPr>
              <w:fldChar w:fldCharType="end"/>
            </w:r>
          </w:hyperlink>
        </w:p>
        <w:p w14:paraId="16004BBA" w14:textId="54F35D9A" w:rsidR="004740C5" w:rsidRDefault="00000000" w:rsidP="0072010D">
          <w:pPr>
            <w:pStyle w:val="TOC1"/>
            <w:tabs>
              <w:tab w:val="right" w:leader="dot" w:pos="10490"/>
            </w:tabs>
            <w:rPr>
              <w:rFonts w:asciiTheme="minorHAnsi" w:eastAsiaTheme="minorEastAsia" w:hAnsiTheme="minorHAnsi"/>
              <w:b w:val="0"/>
              <w:noProof/>
              <w:color w:val="auto"/>
              <w:lang w:eastAsia="en-AU"/>
            </w:rPr>
          </w:pPr>
          <w:hyperlink w:anchor="_Toc134785322" w:history="1">
            <w:r w:rsidR="004740C5" w:rsidRPr="0060514E">
              <w:rPr>
                <w:rStyle w:val="Hyperlink"/>
                <w:rFonts w:cs="Arial"/>
                <w:noProof/>
              </w:rPr>
              <w:t>Employment growth has varied considerably across skill levels, occupations and industries</w:t>
            </w:r>
            <w:r w:rsidR="004740C5">
              <w:rPr>
                <w:noProof/>
                <w:webHidden/>
              </w:rPr>
              <w:tab/>
            </w:r>
            <w:r w:rsidR="004740C5">
              <w:rPr>
                <w:noProof/>
                <w:webHidden/>
              </w:rPr>
              <w:fldChar w:fldCharType="begin"/>
            </w:r>
            <w:r w:rsidR="004740C5">
              <w:rPr>
                <w:noProof/>
                <w:webHidden/>
              </w:rPr>
              <w:instrText xml:space="preserve"> PAGEREF _Toc134785322 \h </w:instrText>
            </w:r>
            <w:r w:rsidR="004740C5">
              <w:rPr>
                <w:noProof/>
                <w:webHidden/>
              </w:rPr>
            </w:r>
            <w:r w:rsidR="004740C5">
              <w:rPr>
                <w:noProof/>
                <w:webHidden/>
              </w:rPr>
              <w:fldChar w:fldCharType="separate"/>
            </w:r>
            <w:r w:rsidR="00EF1019">
              <w:rPr>
                <w:noProof/>
                <w:webHidden/>
              </w:rPr>
              <w:t>7</w:t>
            </w:r>
            <w:r w:rsidR="004740C5">
              <w:rPr>
                <w:noProof/>
                <w:webHidden/>
              </w:rPr>
              <w:fldChar w:fldCharType="end"/>
            </w:r>
          </w:hyperlink>
        </w:p>
        <w:p w14:paraId="2465EB60" w14:textId="0D90754A" w:rsidR="004740C5" w:rsidRDefault="00000000" w:rsidP="0072010D">
          <w:pPr>
            <w:pStyle w:val="TOC3"/>
            <w:rPr>
              <w:rFonts w:asciiTheme="minorHAnsi" w:eastAsiaTheme="minorEastAsia" w:hAnsiTheme="minorHAnsi"/>
              <w:noProof/>
              <w:color w:val="auto"/>
              <w:lang w:eastAsia="en-AU"/>
            </w:rPr>
          </w:pPr>
          <w:hyperlink w:anchor="_Toc134785323" w:history="1">
            <w:r w:rsidR="004740C5" w:rsidRPr="0060514E">
              <w:rPr>
                <w:rStyle w:val="Hyperlink"/>
                <w:noProof/>
              </w:rPr>
              <w:t>Record employment in Health Care and Social Assistance, Construction, and Education and Training</w:t>
            </w:r>
            <w:r w:rsidR="004740C5">
              <w:rPr>
                <w:noProof/>
                <w:webHidden/>
              </w:rPr>
              <w:tab/>
            </w:r>
            <w:r w:rsidR="004740C5">
              <w:rPr>
                <w:noProof/>
                <w:webHidden/>
              </w:rPr>
              <w:fldChar w:fldCharType="begin"/>
            </w:r>
            <w:r w:rsidR="004740C5">
              <w:rPr>
                <w:noProof/>
                <w:webHidden/>
              </w:rPr>
              <w:instrText xml:space="preserve"> PAGEREF _Toc134785323 \h </w:instrText>
            </w:r>
            <w:r w:rsidR="004740C5">
              <w:rPr>
                <w:noProof/>
                <w:webHidden/>
              </w:rPr>
            </w:r>
            <w:r w:rsidR="004740C5">
              <w:rPr>
                <w:noProof/>
                <w:webHidden/>
              </w:rPr>
              <w:fldChar w:fldCharType="separate"/>
            </w:r>
            <w:r w:rsidR="00EF1019">
              <w:rPr>
                <w:noProof/>
                <w:webHidden/>
              </w:rPr>
              <w:t>9</w:t>
            </w:r>
            <w:r w:rsidR="004740C5">
              <w:rPr>
                <w:noProof/>
                <w:webHidden/>
              </w:rPr>
              <w:fldChar w:fldCharType="end"/>
            </w:r>
          </w:hyperlink>
        </w:p>
        <w:p w14:paraId="75037C51" w14:textId="1536DB30" w:rsidR="004740C5" w:rsidRDefault="00000000" w:rsidP="0072010D">
          <w:pPr>
            <w:pStyle w:val="TOC1"/>
            <w:tabs>
              <w:tab w:val="right" w:leader="dot" w:pos="10490"/>
            </w:tabs>
            <w:rPr>
              <w:rFonts w:asciiTheme="minorHAnsi" w:eastAsiaTheme="minorEastAsia" w:hAnsiTheme="minorHAnsi"/>
              <w:b w:val="0"/>
              <w:noProof/>
              <w:color w:val="auto"/>
              <w:lang w:eastAsia="en-AU"/>
            </w:rPr>
          </w:pPr>
          <w:hyperlink w:anchor="_Toc134785324" w:history="1">
            <w:r w:rsidR="004740C5" w:rsidRPr="0060514E">
              <w:rPr>
                <w:rStyle w:val="Hyperlink"/>
                <w:rFonts w:cs="Arial"/>
                <w:noProof/>
              </w:rPr>
              <w:t>Job advertisements and recruitment activity have stabilised</w:t>
            </w:r>
            <w:r w:rsidR="004740C5">
              <w:rPr>
                <w:noProof/>
                <w:webHidden/>
              </w:rPr>
              <w:tab/>
            </w:r>
            <w:r w:rsidR="004740C5">
              <w:rPr>
                <w:noProof/>
                <w:webHidden/>
              </w:rPr>
              <w:fldChar w:fldCharType="begin"/>
            </w:r>
            <w:r w:rsidR="004740C5">
              <w:rPr>
                <w:noProof/>
                <w:webHidden/>
              </w:rPr>
              <w:instrText xml:space="preserve"> PAGEREF _Toc134785324 \h </w:instrText>
            </w:r>
            <w:r w:rsidR="004740C5">
              <w:rPr>
                <w:noProof/>
                <w:webHidden/>
              </w:rPr>
            </w:r>
            <w:r w:rsidR="004740C5">
              <w:rPr>
                <w:noProof/>
                <w:webHidden/>
              </w:rPr>
              <w:fldChar w:fldCharType="separate"/>
            </w:r>
            <w:r w:rsidR="00EF1019">
              <w:rPr>
                <w:noProof/>
                <w:webHidden/>
              </w:rPr>
              <w:t>11</w:t>
            </w:r>
            <w:r w:rsidR="004740C5">
              <w:rPr>
                <w:noProof/>
                <w:webHidden/>
              </w:rPr>
              <w:fldChar w:fldCharType="end"/>
            </w:r>
          </w:hyperlink>
        </w:p>
        <w:p w14:paraId="21C52358" w14:textId="73D454BA" w:rsidR="004740C5" w:rsidRDefault="00000000" w:rsidP="0072010D">
          <w:pPr>
            <w:pStyle w:val="TOC3"/>
            <w:rPr>
              <w:rFonts w:asciiTheme="minorHAnsi" w:eastAsiaTheme="minorEastAsia" w:hAnsiTheme="minorHAnsi"/>
              <w:noProof/>
              <w:color w:val="auto"/>
              <w:lang w:eastAsia="en-AU"/>
            </w:rPr>
          </w:pPr>
          <w:hyperlink w:anchor="_Toc134785325" w:history="1">
            <w:r w:rsidR="004740C5" w:rsidRPr="0060514E">
              <w:rPr>
                <w:rStyle w:val="Hyperlink"/>
                <w:noProof/>
              </w:rPr>
              <w:t>Monthly job advertisements have stabilised but remain below their mid-2022 peak</w:t>
            </w:r>
            <w:r w:rsidR="004740C5">
              <w:rPr>
                <w:noProof/>
                <w:webHidden/>
              </w:rPr>
              <w:tab/>
            </w:r>
            <w:r w:rsidR="004740C5">
              <w:rPr>
                <w:noProof/>
                <w:webHidden/>
              </w:rPr>
              <w:fldChar w:fldCharType="begin"/>
            </w:r>
            <w:r w:rsidR="004740C5">
              <w:rPr>
                <w:noProof/>
                <w:webHidden/>
              </w:rPr>
              <w:instrText xml:space="preserve"> PAGEREF _Toc134785325 \h </w:instrText>
            </w:r>
            <w:r w:rsidR="004740C5">
              <w:rPr>
                <w:noProof/>
                <w:webHidden/>
              </w:rPr>
            </w:r>
            <w:r w:rsidR="004740C5">
              <w:rPr>
                <w:noProof/>
                <w:webHidden/>
              </w:rPr>
              <w:fldChar w:fldCharType="separate"/>
            </w:r>
            <w:r w:rsidR="00EF1019">
              <w:rPr>
                <w:noProof/>
                <w:webHidden/>
              </w:rPr>
              <w:t>11</w:t>
            </w:r>
            <w:r w:rsidR="004740C5">
              <w:rPr>
                <w:noProof/>
                <w:webHidden/>
              </w:rPr>
              <w:fldChar w:fldCharType="end"/>
            </w:r>
          </w:hyperlink>
        </w:p>
        <w:p w14:paraId="22E99A72" w14:textId="67761017" w:rsidR="004740C5" w:rsidRDefault="00000000" w:rsidP="0072010D">
          <w:pPr>
            <w:pStyle w:val="TOC3"/>
            <w:rPr>
              <w:rFonts w:asciiTheme="minorHAnsi" w:eastAsiaTheme="minorEastAsia" w:hAnsiTheme="minorHAnsi"/>
              <w:noProof/>
              <w:color w:val="auto"/>
              <w:lang w:eastAsia="en-AU"/>
            </w:rPr>
          </w:pPr>
          <w:hyperlink w:anchor="_Toc134785326" w:history="1">
            <w:r w:rsidR="004740C5" w:rsidRPr="0060514E">
              <w:rPr>
                <w:rStyle w:val="Hyperlink"/>
                <w:noProof/>
              </w:rPr>
              <w:t>Many employers are still recruiting, with recruiting for turnover beginning to increase</w:t>
            </w:r>
            <w:r w:rsidR="004740C5">
              <w:rPr>
                <w:noProof/>
                <w:webHidden/>
              </w:rPr>
              <w:tab/>
            </w:r>
            <w:r w:rsidR="004740C5">
              <w:rPr>
                <w:noProof/>
                <w:webHidden/>
              </w:rPr>
              <w:fldChar w:fldCharType="begin"/>
            </w:r>
            <w:r w:rsidR="004740C5">
              <w:rPr>
                <w:noProof/>
                <w:webHidden/>
              </w:rPr>
              <w:instrText xml:space="preserve"> PAGEREF _Toc134785326 \h </w:instrText>
            </w:r>
            <w:r w:rsidR="004740C5">
              <w:rPr>
                <w:noProof/>
                <w:webHidden/>
              </w:rPr>
            </w:r>
            <w:r w:rsidR="004740C5">
              <w:rPr>
                <w:noProof/>
                <w:webHidden/>
              </w:rPr>
              <w:fldChar w:fldCharType="separate"/>
            </w:r>
            <w:r w:rsidR="00EF1019">
              <w:rPr>
                <w:noProof/>
                <w:webHidden/>
              </w:rPr>
              <w:t>11</w:t>
            </w:r>
            <w:r w:rsidR="004740C5">
              <w:rPr>
                <w:noProof/>
                <w:webHidden/>
              </w:rPr>
              <w:fldChar w:fldCharType="end"/>
            </w:r>
          </w:hyperlink>
        </w:p>
        <w:p w14:paraId="76D6D915" w14:textId="3636DD5F" w:rsidR="004740C5" w:rsidRDefault="00000000" w:rsidP="0072010D">
          <w:pPr>
            <w:pStyle w:val="TOC1"/>
            <w:tabs>
              <w:tab w:val="right" w:leader="dot" w:pos="10490"/>
            </w:tabs>
            <w:rPr>
              <w:rFonts w:asciiTheme="minorHAnsi" w:eastAsiaTheme="minorEastAsia" w:hAnsiTheme="minorHAnsi"/>
              <w:b w:val="0"/>
              <w:noProof/>
              <w:color w:val="auto"/>
              <w:lang w:eastAsia="en-AU"/>
            </w:rPr>
          </w:pPr>
          <w:hyperlink w:anchor="_Toc134785327" w:history="1">
            <w:r w:rsidR="004740C5" w:rsidRPr="0060514E">
              <w:rPr>
                <w:rStyle w:val="Hyperlink"/>
                <w:rFonts w:cs="Arial"/>
                <w:noProof/>
              </w:rPr>
              <w:t>Recruitment difficulty has eased slightly, as more advertised roles are being filled</w:t>
            </w:r>
            <w:r w:rsidR="004740C5">
              <w:rPr>
                <w:noProof/>
                <w:webHidden/>
              </w:rPr>
              <w:tab/>
            </w:r>
            <w:r w:rsidR="004740C5">
              <w:rPr>
                <w:noProof/>
                <w:webHidden/>
              </w:rPr>
              <w:fldChar w:fldCharType="begin"/>
            </w:r>
            <w:r w:rsidR="004740C5">
              <w:rPr>
                <w:noProof/>
                <w:webHidden/>
              </w:rPr>
              <w:instrText xml:space="preserve"> PAGEREF _Toc134785327 \h </w:instrText>
            </w:r>
            <w:r w:rsidR="004740C5">
              <w:rPr>
                <w:noProof/>
                <w:webHidden/>
              </w:rPr>
            </w:r>
            <w:r w:rsidR="004740C5">
              <w:rPr>
                <w:noProof/>
                <w:webHidden/>
              </w:rPr>
              <w:fldChar w:fldCharType="separate"/>
            </w:r>
            <w:r w:rsidR="00EF1019">
              <w:rPr>
                <w:noProof/>
                <w:webHidden/>
              </w:rPr>
              <w:t>13</w:t>
            </w:r>
            <w:r w:rsidR="004740C5">
              <w:rPr>
                <w:noProof/>
                <w:webHidden/>
              </w:rPr>
              <w:fldChar w:fldCharType="end"/>
            </w:r>
          </w:hyperlink>
        </w:p>
        <w:p w14:paraId="2B52FA62" w14:textId="6F0A2A83" w:rsidR="004740C5" w:rsidRDefault="00000000" w:rsidP="0072010D">
          <w:pPr>
            <w:pStyle w:val="TOC1"/>
            <w:tabs>
              <w:tab w:val="right" w:leader="dot" w:pos="10490"/>
            </w:tabs>
            <w:rPr>
              <w:rFonts w:asciiTheme="minorHAnsi" w:eastAsiaTheme="minorEastAsia" w:hAnsiTheme="minorHAnsi"/>
              <w:b w:val="0"/>
              <w:noProof/>
              <w:color w:val="auto"/>
              <w:lang w:eastAsia="en-AU"/>
            </w:rPr>
          </w:pPr>
          <w:hyperlink w:anchor="_Toc134785328" w:history="1">
            <w:r w:rsidR="004740C5" w:rsidRPr="0060514E">
              <w:rPr>
                <w:rStyle w:val="Hyperlink"/>
                <w:rFonts w:cs="Arial"/>
                <w:noProof/>
              </w:rPr>
              <w:t>Labour demand and recruitment difficulty remain highest for the higher skill levels</w:t>
            </w:r>
            <w:r w:rsidR="004740C5">
              <w:rPr>
                <w:noProof/>
                <w:webHidden/>
              </w:rPr>
              <w:tab/>
            </w:r>
            <w:r w:rsidR="004740C5">
              <w:rPr>
                <w:noProof/>
                <w:webHidden/>
              </w:rPr>
              <w:fldChar w:fldCharType="begin"/>
            </w:r>
            <w:r w:rsidR="004740C5">
              <w:rPr>
                <w:noProof/>
                <w:webHidden/>
              </w:rPr>
              <w:instrText xml:space="preserve"> PAGEREF _Toc134785328 \h </w:instrText>
            </w:r>
            <w:r w:rsidR="004740C5">
              <w:rPr>
                <w:noProof/>
                <w:webHidden/>
              </w:rPr>
            </w:r>
            <w:r w:rsidR="004740C5">
              <w:rPr>
                <w:noProof/>
                <w:webHidden/>
              </w:rPr>
              <w:fldChar w:fldCharType="separate"/>
            </w:r>
            <w:r w:rsidR="00EF1019">
              <w:rPr>
                <w:noProof/>
                <w:webHidden/>
              </w:rPr>
              <w:t>15</w:t>
            </w:r>
            <w:r w:rsidR="004740C5">
              <w:rPr>
                <w:noProof/>
                <w:webHidden/>
              </w:rPr>
              <w:fldChar w:fldCharType="end"/>
            </w:r>
          </w:hyperlink>
        </w:p>
        <w:p w14:paraId="295C4FE7" w14:textId="4FDDE30D" w:rsidR="004740C5" w:rsidRDefault="00000000" w:rsidP="0072010D">
          <w:pPr>
            <w:pStyle w:val="TOC1"/>
            <w:tabs>
              <w:tab w:val="right" w:leader="dot" w:pos="10490"/>
            </w:tabs>
            <w:rPr>
              <w:rFonts w:asciiTheme="minorHAnsi" w:eastAsiaTheme="minorEastAsia" w:hAnsiTheme="minorHAnsi"/>
              <w:b w:val="0"/>
              <w:noProof/>
              <w:color w:val="auto"/>
              <w:lang w:eastAsia="en-AU"/>
            </w:rPr>
          </w:pPr>
          <w:hyperlink w:anchor="_Toc134785329" w:history="1">
            <w:r w:rsidR="004740C5" w:rsidRPr="0060514E">
              <w:rPr>
                <w:rStyle w:val="Hyperlink"/>
                <w:rFonts w:cs="Arial"/>
                <w:noProof/>
              </w:rPr>
              <w:t>Labour markets are similarly tight in many other countries</w:t>
            </w:r>
            <w:r w:rsidR="004740C5">
              <w:rPr>
                <w:noProof/>
                <w:webHidden/>
              </w:rPr>
              <w:tab/>
            </w:r>
            <w:r w:rsidR="004740C5">
              <w:rPr>
                <w:noProof/>
                <w:webHidden/>
              </w:rPr>
              <w:fldChar w:fldCharType="begin"/>
            </w:r>
            <w:r w:rsidR="004740C5">
              <w:rPr>
                <w:noProof/>
                <w:webHidden/>
              </w:rPr>
              <w:instrText xml:space="preserve"> PAGEREF _Toc134785329 \h </w:instrText>
            </w:r>
            <w:r w:rsidR="004740C5">
              <w:rPr>
                <w:noProof/>
                <w:webHidden/>
              </w:rPr>
            </w:r>
            <w:r w:rsidR="004740C5">
              <w:rPr>
                <w:noProof/>
                <w:webHidden/>
              </w:rPr>
              <w:fldChar w:fldCharType="separate"/>
            </w:r>
            <w:r w:rsidR="00EF1019">
              <w:rPr>
                <w:noProof/>
                <w:webHidden/>
              </w:rPr>
              <w:t>16</w:t>
            </w:r>
            <w:r w:rsidR="004740C5">
              <w:rPr>
                <w:noProof/>
                <w:webHidden/>
              </w:rPr>
              <w:fldChar w:fldCharType="end"/>
            </w:r>
          </w:hyperlink>
        </w:p>
        <w:p w14:paraId="557223A3" w14:textId="03B2C756" w:rsidR="004740C5" w:rsidRDefault="00000000" w:rsidP="0072010D">
          <w:pPr>
            <w:pStyle w:val="TOC3"/>
            <w:rPr>
              <w:rFonts w:asciiTheme="minorHAnsi" w:eastAsiaTheme="minorEastAsia" w:hAnsiTheme="minorHAnsi"/>
              <w:noProof/>
              <w:color w:val="auto"/>
              <w:lang w:eastAsia="en-AU"/>
            </w:rPr>
          </w:pPr>
          <w:hyperlink w:anchor="_Toc134785330" w:history="1">
            <w:r w:rsidR="004740C5" w:rsidRPr="0060514E">
              <w:rPr>
                <w:rStyle w:val="Hyperlink"/>
                <w:rFonts w:cs="Arial"/>
                <w:bCs/>
                <w:noProof/>
              </w:rPr>
              <w:t>The outlook for labour markets in advanced economies remains strong</w:t>
            </w:r>
            <w:r w:rsidR="004740C5">
              <w:rPr>
                <w:noProof/>
                <w:webHidden/>
              </w:rPr>
              <w:tab/>
            </w:r>
            <w:r w:rsidR="004740C5">
              <w:rPr>
                <w:noProof/>
                <w:webHidden/>
              </w:rPr>
              <w:fldChar w:fldCharType="begin"/>
            </w:r>
            <w:r w:rsidR="004740C5">
              <w:rPr>
                <w:noProof/>
                <w:webHidden/>
              </w:rPr>
              <w:instrText xml:space="preserve"> PAGEREF _Toc134785330 \h </w:instrText>
            </w:r>
            <w:r w:rsidR="004740C5">
              <w:rPr>
                <w:noProof/>
                <w:webHidden/>
              </w:rPr>
            </w:r>
            <w:r w:rsidR="004740C5">
              <w:rPr>
                <w:noProof/>
                <w:webHidden/>
              </w:rPr>
              <w:fldChar w:fldCharType="separate"/>
            </w:r>
            <w:r w:rsidR="00EF1019">
              <w:rPr>
                <w:noProof/>
                <w:webHidden/>
              </w:rPr>
              <w:t>16</w:t>
            </w:r>
            <w:r w:rsidR="004740C5">
              <w:rPr>
                <w:noProof/>
                <w:webHidden/>
              </w:rPr>
              <w:fldChar w:fldCharType="end"/>
            </w:r>
          </w:hyperlink>
        </w:p>
        <w:p w14:paraId="16CE1270" w14:textId="1A99FD32" w:rsidR="004740C5" w:rsidRDefault="00000000" w:rsidP="0072010D">
          <w:pPr>
            <w:pStyle w:val="TOC3"/>
            <w:rPr>
              <w:rFonts w:asciiTheme="minorHAnsi" w:eastAsiaTheme="minorEastAsia" w:hAnsiTheme="minorHAnsi"/>
              <w:noProof/>
              <w:color w:val="auto"/>
              <w:lang w:eastAsia="en-AU"/>
            </w:rPr>
          </w:pPr>
          <w:hyperlink w:anchor="_Toc134785331" w:history="1">
            <w:r w:rsidR="004740C5" w:rsidRPr="0060514E">
              <w:rPr>
                <w:rStyle w:val="Hyperlink"/>
                <w:rFonts w:cs="Arial"/>
                <w:bCs/>
                <w:noProof/>
              </w:rPr>
              <w:t>Job vacancy levels have grown more strongly in Australia than in other countries</w:t>
            </w:r>
            <w:r w:rsidR="004740C5">
              <w:rPr>
                <w:noProof/>
                <w:webHidden/>
              </w:rPr>
              <w:tab/>
            </w:r>
            <w:r w:rsidR="004740C5">
              <w:rPr>
                <w:noProof/>
                <w:webHidden/>
              </w:rPr>
              <w:fldChar w:fldCharType="begin"/>
            </w:r>
            <w:r w:rsidR="004740C5">
              <w:rPr>
                <w:noProof/>
                <w:webHidden/>
              </w:rPr>
              <w:instrText xml:space="preserve"> PAGEREF _Toc134785331 \h </w:instrText>
            </w:r>
            <w:r w:rsidR="004740C5">
              <w:rPr>
                <w:noProof/>
                <w:webHidden/>
              </w:rPr>
            </w:r>
            <w:r w:rsidR="004740C5">
              <w:rPr>
                <w:noProof/>
                <w:webHidden/>
              </w:rPr>
              <w:fldChar w:fldCharType="separate"/>
            </w:r>
            <w:r w:rsidR="00EF1019">
              <w:rPr>
                <w:noProof/>
                <w:webHidden/>
              </w:rPr>
              <w:t>16</w:t>
            </w:r>
            <w:r w:rsidR="004740C5">
              <w:rPr>
                <w:noProof/>
                <w:webHidden/>
              </w:rPr>
              <w:fldChar w:fldCharType="end"/>
            </w:r>
          </w:hyperlink>
        </w:p>
        <w:p w14:paraId="7AA60D94" w14:textId="464F58CD" w:rsidR="004740C5" w:rsidRDefault="00000000" w:rsidP="0072010D">
          <w:pPr>
            <w:pStyle w:val="TOC3"/>
            <w:rPr>
              <w:rFonts w:asciiTheme="minorHAnsi" w:eastAsiaTheme="minorEastAsia" w:hAnsiTheme="minorHAnsi"/>
              <w:noProof/>
              <w:color w:val="auto"/>
              <w:lang w:eastAsia="en-AU"/>
            </w:rPr>
          </w:pPr>
          <w:hyperlink w:anchor="_Toc134785332" w:history="1">
            <w:r w:rsidR="004740C5" w:rsidRPr="0060514E">
              <w:rPr>
                <w:rStyle w:val="Hyperlink"/>
                <w:rFonts w:cs="Arial"/>
                <w:bCs/>
                <w:noProof/>
              </w:rPr>
              <w:t>Many current global skill shortages align with Australian findings</w:t>
            </w:r>
            <w:r w:rsidR="004740C5">
              <w:rPr>
                <w:noProof/>
                <w:webHidden/>
              </w:rPr>
              <w:tab/>
            </w:r>
            <w:r w:rsidR="004740C5">
              <w:rPr>
                <w:noProof/>
                <w:webHidden/>
              </w:rPr>
              <w:fldChar w:fldCharType="begin"/>
            </w:r>
            <w:r w:rsidR="004740C5">
              <w:rPr>
                <w:noProof/>
                <w:webHidden/>
              </w:rPr>
              <w:instrText xml:space="preserve"> PAGEREF _Toc134785332 \h </w:instrText>
            </w:r>
            <w:r w:rsidR="004740C5">
              <w:rPr>
                <w:noProof/>
                <w:webHidden/>
              </w:rPr>
            </w:r>
            <w:r w:rsidR="004740C5">
              <w:rPr>
                <w:noProof/>
                <w:webHidden/>
              </w:rPr>
              <w:fldChar w:fldCharType="separate"/>
            </w:r>
            <w:r w:rsidR="00EF1019">
              <w:rPr>
                <w:noProof/>
                <w:webHidden/>
              </w:rPr>
              <w:t>17</w:t>
            </w:r>
            <w:r w:rsidR="004740C5">
              <w:rPr>
                <w:noProof/>
                <w:webHidden/>
              </w:rPr>
              <w:fldChar w:fldCharType="end"/>
            </w:r>
          </w:hyperlink>
        </w:p>
        <w:p w14:paraId="4F63DE20" w14:textId="63751E5E" w:rsidR="004740C5" w:rsidRDefault="00000000" w:rsidP="0072010D">
          <w:pPr>
            <w:pStyle w:val="TOC1"/>
            <w:tabs>
              <w:tab w:val="right" w:leader="dot" w:pos="10490"/>
            </w:tabs>
            <w:rPr>
              <w:rFonts w:asciiTheme="minorHAnsi" w:eastAsiaTheme="minorEastAsia" w:hAnsiTheme="minorHAnsi"/>
              <w:b w:val="0"/>
              <w:noProof/>
              <w:color w:val="auto"/>
              <w:lang w:eastAsia="en-AU"/>
            </w:rPr>
          </w:pPr>
          <w:hyperlink w:anchor="_Toc134785333" w:history="1">
            <w:r w:rsidR="004740C5" w:rsidRPr="0060514E">
              <w:rPr>
                <w:rStyle w:val="Hyperlink"/>
                <w:rFonts w:cs="Arial"/>
                <w:noProof/>
              </w:rPr>
              <w:t>Key national skills needs</w:t>
            </w:r>
            <w:r w:rsidR="004740C5">
              <w:rPr>
                <w:noProof/>
                <w:webHidden/>
              </w:rPr>
              <w:tab/>
            </w:r>
            <w:r w:rsidR="004740C5">
              <w:rPr>
                <w:noProof/>
                <w:webHidden/>
              </w:rPr>
              <w:fldChar w:fldCharType="begin"/>
            </w:r>
            <w:r w:rsidR="004740C5">
              <w:rPr>
                <w:noProof/>
                <w:webHidden/>
              </w:rPr>
              <w:instrText xml:space="preserve"> PAGEREF _Toc134785333 \h </w:instrText>
            </w:r>
            <w:r w:rsidR="004740C5">
              <w:rPr>
                <w:noProof/>
                <w:webHidden/>
              </w:rPr>
            </w:r>
            <w:r w:rsidR="004740C5">
              <w:rPr>
                <w:noProof/>
                <w:webHidden/>
              </w:rPr>
              <w:fldChar w:fldCharType="separate"/>
            </w:r>
            <w:r w:rsidR="00EF1019">
              <w:rPr>
                <w:noProof/>
                <w:webHidden/>
              </w:rPr>
              <w:t>18</w:t>
            </w:r>
            <w:r w:rsidR="004740C5">
              <w:rPr>
                <w:noProof/>
                <w:webHidden/>
              </w:rPr>
              <w:fldChar w:fldCharType="end"/>
            </w:r>
          </w:hyperlink>
        </w:p>
        <w:p w14:paraId="454D591A" w14:textId="67C8EBF4" w:rsidR="004740C5" w:rsidRDefault="00000000" w:rsidP="0072010D">
          <w:pPr>
            <w:pStyle w:val="TOC3"/>
            <w:rPr>
              <w:rFonts w:asciiTheme="minorHAnsi" w:eastAsiaTheme="minorEastAsia" w:hAnsiTheme="minorHAnsi"/>
              <w:noProof/>
              <w:color w:val="auto"/>
              <w:lang w:eastAsia="en-AU"/>
            </w:rPr>
          </w:pPr>
          <w:hyperlink w:anchor="_Toc134785334" w:history="1">
            <w:r w:rsidR="004740C5" w:rsidRPr="0060514E">
              <w:rPr>
                <w:rStyle w:val="Hyperlink"/>
                <w:noProof/>
              </w:rPr>
              <w:t>Categorising skills pressures – preliminary analysis</w:t>
            </w:r>
            <w:r w:rsidR="004740C5">
              <w:rPr>
                <w:noProof/>
                <w:webHidden/>
              </w:rPr>
              <w:tab/>
            </w:r>
            <w:r w:rsidR="004740C5">
              <w:rPr>
                <w:noProof/>
                <w:webHidden/>
              </w:rPr>
              <w:fldChar w:fldCharType="begin"/>
            </w:r>
            <w:r w:rsidR="004740C5">
              <w:rPr>
                <w:noProof/>
                <w:webHidden/>
              </w:rPr>
              <w:instrText xml:space="preserve"> PAGEREF _Toc134785334 \h </w:instrText>
            </w:r>
            <w:r w:rsidR="004740C5">
              <w:rPr>
                <w:noProof/>
                <w:webHidden/>
              </w:rPr>
            </w:r>
            <w:r w:rsidR="004740C5">
              <w:rPr>
                <w:noProof/>
                <w:webHidden/>
              </w:rPr>
              <w:fldChar w:fldCharType="separate"/>
            </w:r>
            <w:r w:rsidR="00EF1019">
              <w:rPr>
                <w:noProof/>
                <w:webHidden/>
              </w:rPr>
              <w:t>18</w:t>
            </w:r>
            <w:r w:rsidR="004740C5">
              <w:rPr>
                <w:noProof/>
                <w:webHidden/>
              </w:rPr>
              <w:fldChar w:fldCharType="end"/>
            </w:r>
          </w:hyperlink>
        </w:p>
        <w:p w14:paraId="43600E5D" w14:textId="7C7DDDC7" w:rsidR="004740C5" w:rsidRDefault="00000000" w:rsidP="0072010D">
          <w:pPr>
            <w:pStyle w:val="TOC1"/>
            <w:tabs>
              <w:tab w:val="right" w:leader="dot" w:pos="10490"/>
            </w:tabs>
            <w:rPr>
              <w:rFonts w:asciiTheme="minorHAnsi" w:eastAsiaTheme="minorEastAsia" w:hAnsiTheme="minorHAnsi"/>
              <w:b w:val="0"/>
              <w:noProof/>
              <w:color w:val="auto"/>
              <w:lang w:eastAsia="en-AU"/>
            </w:rPr>
          </w:pPr>
          <w:hyperlink w:anchor="_Toc134785335" w:history="1">
            <w:r w:rsidR="004740C5" w:rsidRPr="0060514E">
              <w:rPr>
                <w:rStyle w:val="Hyperlink"/>
                <w:rFonts w:cs="Arial"/>
                <w:noProof/>
              </w:rPr>
              <w:t>Deep dive into key skills needs for regional labour markets</w:t>
            </w:r>
            <w:r w:rsidR="004740C5">
              <w:rPr>
                <w:noProof/>
                <w:webHidden/>
              </w:rPr>
              <w:tab/>
            </w:r>
            <w:r w:rsidR="004740C5">
              <w:rPr>
                <w:noProof/>
                <w:webHidden/>
              </w:rPr>
              <w:fldChar w:fldCharType="begin"/>
            </w:r>
            <w:r w:rsidR="004740C5">
              <w:rPr>
                <w:noProof/>
                <w:webHidden/>
              </w:rPr>
              <w:instrText xml:space="preserve"> PAGEREF _Toc134785335 \h </w:instrText>
            </w:r>
            <w:r w:rsidR="004740C5">
              <w:rPr>
                <w:noProof/>
                <w:webHidden/>
              </w:rPr>
            </w:r>
            <w:r w:rsidR="004740C5">
              <w:rPr>
                <w:noProof/>
                <w:webHidden/>
              </w:rPr>
              <w:fldChar w:fldCharType="separate"/>
            </w:r>
            <w:r w:rsidR="00EF1019">
              <w:rPr>
                <w:noProof/>
                <w:webHidden/>
              </w:rPr>
              <w:t>21</w:t>
            </w:r>
            <w:r w:rsidR="004740C5">
              <w:rPr>
                <w:noProof/>
                <w:webHidden/>
              </w:rPr>
              <w:fldChar w:fldCharType="end"/>
            </w:r>
          </w:hyperlink>
        </w:p>
        <w:p w14:paraId="5713F068" w14:textId="6382211F" w:rsidR="004740C5" w:rsidRDefault="00000000" w:rsidP="0072010D">
          <w:pPr>
            <w:pStyle w:val="TOC3"/>
            <w:rPr>
              <w:rFonts w:asciiTheme="minorHAnsi" w:eastAsiaTheme="minorEastAsia" w:hAnsiTheme="minorHAnsi"/>
              <w:noProof/>
              <w:color w:val="auto"/>
              <w:lang w:eastAsia="en-AU"/>
            </w:rPr>
          </w:pPr>
          <w:hyperlink w:anchor="_Toc134785336" w:history="1">
            <w:r w:rsidR="004740C5" w:rsidRPr="0060514E">
              <w:rPr>
                <w:rStyle w:val="Hyperlink"/>
                <w:noProof/>
              </w:rPr>
              <w:t>Key findings of deep dive</w:t>
            </w:r>
            <w:r w:rsidR="004740C5">
              <w:rPr>
                <w:noProof/>
                <w:webHidden/>
              </w:rPr>
              <w:tab/>
            </w:r>
            <w:r w:rsidR="004740C5">
              <w:rPr>
                <w:noProof/>
                <w:webHidden/>
              </w:rPr>
              <w:fldChar w:fldCharType="begin"/>
            </w:r>
            <w:r w:rsidR="004740C5">
              <w:rPr>
                <w:noProof/>
                <w:webHidden/>
              </w:rPr>
              <w:instrText xml:space="preserve"> PAGEREF _Toc134785336 \h </w:instrText>
            </w:r>
            <w:r w:rsidR="004740C5">
              <w:rPr>
                <w:noProof/>
                <w:webHidden/>
              </w:rPr>
            </w:r>
            <w:r w:rsidR="004740C5">
              <w:rPr>
                <w:noProof/>
                <w:webHidden/>
              </w:rPr>
              <w:fldChar w:fldCharType="separate"/>
            </w:r>
            <w:r w:rsidR="00EF1019">
              <w:rPr>
                <w:noProof/>
                <w:webHidden/>
              </w:rPr>
              <w:t>21</w:t>
            </w:r>
            <w:r w:rsidR="004740C5">
              <w:rPr>
                <w:noProof/>
                <w:webHidden/>
              </w:rPr>
              <w:fldChar w:fldCharType="end"/>
            </w:r>
          </w:hyperlink>
        </w:p>
        <w:p w14:paraId="32FAB1D4" w14:textId="5FF93323" w:rsidR="004740C5" w:rsidRDefault="00000000" w:rsidP="0072010D">
          <w:pPr>
            <w:pStyle w:val="TOC3"/>
            <w:rPr>
              <w:rFonts w:asciiTheme="minorHAnsi" w:eastAsiaTheme="minorEastAsia" w:hAnsiTheme="minorHAnsi"/>
              <w:noProof/>
              <w:color w:val="auto"/>
              <w:lang w:eastAsia="en-AU"/>
            </w:rPr>
          </w:pPr>
          <w:hyperlink w:anchor="_Toc134785337" w:history="1">
            <w:r w:rsidR="004740C5" w:rsidRPr="0060514E">
              <w:rPr>
                <w:rStyle w:val="Hyperlink"/>
                <w:noProof/>
              </w:rPr>
              <w:t>Recruitment methods vary across regions, which affects vacancy rate estimates</w:t>
            </w:r>
            <w:r w:rsidR="004740C5">
              <w:rPr>
                <w:noProof/>
                <w:webHidden/>
              </w:rPr>
              <w:tab/>
            </w:r>
            <w:r w:rsidR="004740C5">
              <w:rPr>
                <w:noProof/>
                <w:webHidden/>
              </w:rPr>
              <w:fldChar w:fldCharType="begin"/>
            </w:r>
            <w:r w:rsidR="004740C5">
              <w:rPr>
                <w:noProof/>
                <w:webHidden/>
              </w:rPr>
              <w:instrText xml:space="preserve"> PAGEREF _Toc134785337 \h </w:instrText>
            </w:r>
            <w:r w:rsidR="004740C5">
              <w:rPr>
                <w:noProof/>
                <w:webHidden/>
              </w:rPr>
            </w:r>
            <w:r w:rsidR="004740C5">
              <w:rPr>
                <w:noProof/>
                <w:webHidden/>
              </w:rPr>
              <w:fldChar w:fldCharType="separate"/>
            </w:r>
            <w:r w:rsidR="00EF1019">
              <w:rPr>
                <w:noProof/>
                <w:webHidden/>
              </w:rPr>
              <w:t>21</w:t>
            </w:r>
            <w:r w:rsidR="004740C5">
              <w:rPr>
                <w:noProof/>
                <w:webHidden/>
              </w:rPr>
              <w:fldChar w:fldCharType="end"/>
            </w:r>
          </w:hyperlink>
        </w:p>
        <w:p w14:paraId="5684E902" w14:textId="035B3357" w:rsidR="004740C5" w:rsidRDefault="00000000" w:rsidP="0072010D">
          <w:pPr>
            <w:pStyle w:val="TOC3"/>
            <w:rPr>
              <w:rFonts w:asciiTheme="minorHAnsi" w:eastAsiaTheme="minorEastAsia" w:hAnsiTheme="minorHAnsi"/>
              <w:noProof/>
              <w:color w:val="auto"/>
              <w:lang w:eastAsia="en-AU"/>
            </w:rPr>
          </w:pPr>
          <w:hyperlink w:anchor="_Toc134785338" w:history="1">
            <w:r w:rsidR="004740C5" w:rsidRPr="0060514E">
              <w:rPr>
                <w:rStyle w:val="Hyperlink"/>
                <w:noProof/>
              </w:rPr>
              <w:t>Regional participation rates are driven by many factors, including (but not limited to) vacancy rates</w:t>
            </w:r>
            <w:r w:rsidR="004740C5">
              <w:rPr>
                <w:noProof/>
                <w:webHidden/>
              </w:rPr>
              <w:tab/>
            </w:r>
            <w:r w:rsidR="004740C5">
              <w:rPr>
                <w:noProof/>
                <w:webHidden/>
              </w:rPr>
              <w:fldChar w:fldCharType="begin"/>
            </w:r>
            <w:r w:rsidR="004740C5">
              <w:rPr>
                <w:noProof/>
                <w:webHidden/>
              </w:rPr>
              <w:instrText xml:space="preserve"> PAGEREF _Toc134785338 \h </w:instrText>
            </w:r>
            <w:r w:rsidR="004740C5">
              <w:rPr>
                <w:noProof/>
                <w:webHidden/>
              </w:rPr>
            </w:r>
            <w:r w:rsidR="004740C5">
              <w:rPr>
                <w:noProof/>
                <w:webHidden/>
              </w:rPr>
              <w:fldChar w:fldCharType="separate"/>
            </w:r>
            <w:r w:rsidR="00EF1019">
              <w:rPr>
                <w:noProof/>
                <w:webHidden/>
              </w:rPr>
              <w:t>22</w:t>
            </w:r>
            <w:r w:rsidR="004740C5">
              <w:rPr>
                <w:noProof/>
                <w:webHidden/>
              </w:rPr>
              <w:fldChar w:fldCharType="end"/>
            </w:r>
          </w:hyperlink>
        </w:p>
        <w:p w14:paraId="43EBC725" w14:textId="474CC73C" w:rsidR="004740C5" w:rsidRDefault="00000000" w:rsidP="0072010D">
          <w:pPr>
            <w:pStyle w:val="TOC3"/>
            <w:rPr>
              <w:rFonts w:asciiTheme="minorHAnsi" w:eastAsiaTheme="minorEastAsia" w:hAnsiTheme="minorHAnsi"/>
              <w:noProof/>
              <w:color w:val="auto"/>
              <w:lang w:eastAsia="en-AU"/>
            </w:rPr>
          </w:pPr>
          <w:hyperlink w:anchor="_Toc134785339" w:history="1">
            <w:r w:rsidR="004740C5" w:rsidRPr="0060514E">
              <w:rPr>
                <w:rStyle w:val="Hyperlink"/>
                <w:noProof/>
              </w:rPr>
              <w:t>Comparing recruitment difficulty in capital cities and regional areas</w:t>
            </w:r>
            <w:r w:rsidR="004740C5">
              <w:rPr>
                <w:noProof/>
                <w:webHidden/>
              </w:rPr>
              <w:tab/>
            </w:r>
            <w:r w:rsidR="004740C5">
              <w:rPr>
                <w:noProof/>
                <w:webHidden/>
              </w:rPr>
              <w:fldChar w:fldCharType="begin"/>
            </w:r>
            <w:r w:rsidR="004740C5">
              <w:rPr>
                <w:noProof/>
                <w:webHidden/>
              </w:rPr>
              <w:instrText xml:space="preserve"> PAGEREF _Toc134785339 \h </w:instrText>
            </w:r>
            <w:r w:rsidR="004740C5">
              <w:rPr>
                <w:noProof/>
                <w:webHidden/>
              </w:rPr>
            </w:r>
            <w:r w:rsidR="004740C5">
              <w:rPr>
                <w:noProof/>
                <w:webHidden/>
              </w:rPr>
              <w:fldChar w:fldCharType="separate"/>
            </w:r>
            <w:r w:rsidR="00EF1019">
              <w:rPr>
                <w:noProof/>
                <w:webHidden/>
              </w:rPr>
              <w:t>23</w:t>
            </w:r>
            <w:r w:rsidR="004740C5">
              <w:rPr>
                <w:noProof/>
                <w:webHidden/>
              </w:rPr>
              <w:fldChar w:fldCharType="end"/>
            </w:r>
          </w:hyperlink>
        </w:p>
        <w:p w14:paraId="4743B2FA" w14:textId="544B4C36" w:rsidR="004740C5" w:rsidRDefault="00000000" w:rsidP="0072010D">
          <w:pPr>
            <w:pStyle w:val="TOC3"/>
            <w:rPr>
              <w:rFonts w:asciiTheme="minorHAnsi" w:eastAsiaTheme="minorEastAsia" w:hAnsiTheme="minorHAnsi"/>
              <w:noProof/>
              <w:color w:val="auto"/>
              <w:lang w:eastAsia="en-AU"/>
            </w:rPr>
          </w:pPr>
          <w:hyperlink w:anchor="_Toc134785340" w:history="1">
            <w:r w:rsidR="004740C5" w:rsidRPr="0060514E">
              <w:rPr>
                <w:rStyle w:val="Hyperlink"/>
                <w:noProof/>
              </w:rPr>
              <w:t>Finding skilled workers: the capital city and regional divide</w:t>
            </w:r>
            <w:r w:rsidR="004740C5">
              <w:rPr>
                <w:noProof/>
                <w:webHidden/>
              </w:rPr>
              <w:tab/>
            </w:r>
            <w:r w:rsidR="004740C5">
              <w:rPr>
                <w:noProof/>
                <w:webHidden/>
              </w:rPr>
              <w:fldChar w:fldCharType="begin"/>
            </w:r>
            <w:r w:rsidR="004740C5">
              <w:rPr>
                <w:noProof/>
                <w:webHidden/>
              </w:rPr>
              <w:instrText xml:space="preserve"> PAGEREF _Toc134785340 \h </w:instrText>
            </w:r>
            <w:r w:rsidR="004740C5">
              <w:rPr>
                <w:noProof/>
                <w:webHidden/>
              </w:rPr>
            </w:r>
            <w:r w:rsidR="004740C5">
              <w:rPr>
                <w:noProof/>
                <w:webHidden/>
              </w:rPr>
              <w:fldChar w:fldCharType="separate"/>
            </w:r>
            <w:r w:rsidR="00EF1019">
              <w:rPr>
                <w:noProof/>
                <w:webHidden/>
              </w:rPr>
              <w:t>25</w:t>
            </w:r>
            <w:r w:rsidR="004740C5">
              <w:rPr>
                <w:noProof/>
                <w:webHidden/>
              </w:rPr>
              <w:fldChar w:fldCharType="end"/>
            </w:r>
          </w:hyperlink>
        </w:p>
        <w:p w14:paraId="0B36072D" w14:textId="0A60F4A9" w:rsidR="004740C5" w:rsidRDefault="00000000" w:rsidP="0072010D">
          <w:pPr>
            <w:pStyle w:val="TOC3"/>
            <w:rPr>
              <w:rFonts w:asciiTheme="minorHAnsi" w:eastAsiaTheme="minorEastAsia" w:hAnsiTheme="minorHAnsi"/>
              <w:noProof/>
              <w:color w:val="auto"/>
              <w:lang w:eastAsia="en-AU"/>
            </w:rPr>
          </w:pPr>
          <w:hyperlink w:anchor="_Toc134785341" w:history="1">
            <w:r w:rsidR="004740C5" w:rsidRPr="0060514E">
              <w:rPr>
                <w:rStyle w:val="Hyperlink"/>
                <w:noProof/>
              </w:rPr>
              <w:t>Regional skills pressure case study: General Practitioners and Resident Medical Officers</w:t>
            </w:r>
            <w:r w:rsidR="004740C5">
              <w:rPr>
                <w:noProof/>
                <w:webHidden/>
              </w:rPr>
              <w:tab/>
            </w:r>
            <w:r w:rsidR="004740C5">
              <w:rPr>
                <w:noProof/>
                <w:webHidden/>
              </w:rPr>
              <w:fldChar w:fldCharType="begin"/>
            </w:r>
            <w:r w:rsidR="004740C5">
              <w:rPr>
                <w:noProof/>
                <w:webHidden/>
              </w:rPr>
              <w:instrText xml:space="preserve"> PAGEREF _Toc134785341 \h </w:instrText>
            </w:r>
            <w:r w:rsidR="004740C5">
              <w:rPr>
                <w:noProof/>
                <w:webHidden/>
              </w:rPr>
            </w:r>
            <w:r w:rsidR="004740C5">
              <w:rPr>
                <w:noProof/>
                <w:webHidden/>
              </w:rPr>
              <w:fldChar w:fldCharType="separate"/>
            </w:r>
            <w:r w:rsidR="00EF1019">
              <w:rPr>
                <w:noProof/>
                <w:webHidden/>
              </w:rPr>
              <w:t>28</w:t>
            </w:r>
            <w:r w:rsidR="004740C5">
              <w:rPr>
                <w:noProof/>
                <w:webHidden/>
              </w:rPr>
              <w:fldChar w:fldCharType="end"/>
            </w:r>
          </w:hyperlink>
        </w:p>
        <w:p w14:paraId="32BE0178" w14:textId="610F56BD" w:rsidR="004740C5" w:rsidRDefault="00000000" w:rsidP="0072010D">
          <w:pPr>
            <w:pStyle w:val="TOC1"/>
            <w:tabs>
              <w:tab w:val="right" w:leader="dot" w:pos="10490"/>
            </w:tabs>
            <w:rPr>
              <w:rFonts w:asciiTheme="minorHAnsi" w:eastAsiaTheme="minorEastAsia" w:hAnsiTheme="minorHAnsi"/>
              <w:b w:val="0"/>
              <w:noProof/>
              <w:color w:val="auto"/>
              <w:lang w:eastAsia="en-AU"/>
            </w:rPr>
          </w:pPr>
          <w:hyperlink w:anchor="_Toc134785342" w:history="1">
            <w:r w:rsidR="004740C5" w:rsidRPr="0060514E">
              <w:rPr>
                <w:rStyle w:val="Hyperlink"/>
                <w:rFonts w:cs="Arial"/>
                <w:noProof/>
              </w:rPr>
              <w:t>Appendix A: Highest IVI vacancy ratios – capital cities and regional areas</w:t>
            </w:r>
            <w:r w:rsidR="004740C5">
              <w:rPr>
                <w:noProof/>
                <w:webHidden/>
              </w:rPr>
              <w:tab/>
            </w:r>
            <w:r w:rsidR="004740C5">
              <w:rPr>
                <w:noProof/>
                <w:webHidden/>
              </w:rPr>
              <w:fldChar w:fldCharType="begin"/>
            </w:r>
            <w:r w:rsidR="004740C5">
              <w:rPr>
                <w:noProof/>
                <w:webHidden/>
              </w:rPr>
              <w:instrText xml:space="preserve"> PAGEREF _Toc134785342 \h </w:instrText>
            </w:r>
            <w:r w:rsidR="004740C5">
              <w:rPr>
                <w:noProof/>
                <w:webHidden/>
              </w:rPr>
            </w:r>
            <w:r w:rsidR="004740C5">
              <w:rPr>
                <w:noProof/>
                <w:webHidden/>
              </w:rPr>
              <w:fldChar w:fldCharType="separate"/>
            </w:r>
            <w:r w:rsidR="00EF1019">
              <w:rPr>
                <w:noProof/>
                <w:webHidden/>
              </w:rPr>
              <w:t>30</w:t>
            </w:r>
            <w:r w:rsidR="004740C5">
              <w:rPr>
                <w:noProof/>
                <w:webHidden/>
              </w:rPr>
              <w:fldChar w:fldCharType="end"/>
            </w:r>
          </w:hyperlink>
        </w:p>
        <w:p w14:paraId="22B6373A" w14:textId="3E4B344E" w:rsidR="0021626E" w:rsidRPr="00BB36CB" w:rsidRDefault="0021626E">
          <w:pPr>
            <w:rPr>
              <w:rFonts w:cs="Arial"/>
            </w:rPr>
          </w:pPr>
          <w:r w:rsidRPr="00BB36CB">
            <w:rPr>
              <w:rFonts w:cs="Arial"/>
              <w:b/>
              <w:bCs/>
              <w:noProof/>
            </w:rPr>
            <w:fldChar w:fldCharType="end"/>
          </w:r>
        </w:p>
      </w:sdtContent>
    </w:sdt>
    <w:p w14:paraId="5A1E16E1" w14:textId="75C6F70C" w:rsidR="0021626E" w:rsidRPr="00BB36CB" w:rsidRDefault="0021626E" w:rsidP="0021626E">
      <w:pPr>
        <w:rPr>
          <w:rFonts w:cs="Arial"/>
        </w:rPr>
      </w:pPr>
      <w:r w:rsidRPr="00BB36CB">
        <w:rPr>
          <w:rFonts w:cs="Arial"/>
        </w:rPr>
        <w:br w:type="page"/>
      </w:r>
    </w:p>
    <w:p w14:paraId="00917AB9" w14:textId="47B7E599" w:rsidR="00AF2694" w:rsidRPr="00BB36CB" w:rsidRDefault="00AF2694" w:rsidP="00AF2694">
      <w:pPr>
        <w:pStyle w:val="Heading1"/>
        <w:spacing w:before="240"/>
        <w:rPr>
          <w:rFonts w:cs="Arial"/>
        </w:rPr>
      </w:pPr>
      <w:bookmarkStart w:id="0" w:name="_Toc134785318"/>
      <w:r>
        <w:rPr>
          <w:rFonts w:cs="Arial"/>
        </w:rPr>
        <w:lastRenderedPageBreak/>
        <w:t>Executive summary</w:t>
      </w:r>
      <w:bookmarkEnd w:id="0"/>
    </w:p>
    <w:p w14:paraId="681DC5A6" w14:textId="57C7723C" w:rsidR="00AF2694" w:rsidRPr="00426619" w:rsidRDefault="00AF2694" w:rsidP="00AF2694">
      <w:pPr>
        <w:pStyle w:val="Bodycopy"/>
        <w:spacing w:after="120"/>
        <w:rPr>
          <w:rFonts w:cs="Arial"/>
        </w:rPr>
      </w:pPr>
      <w:r w:rsidRPr="003A4B02">
        <w:rPr>
          <w:rFonts w:cs="Arial"/>
        </w:rPr>
        <w:t xml:space="preserve">Labour market conditions have been strong over the </w:t>
      </w:r>
      <w:r w:rsidR="00F02850" w:rsidRPr="003A4B02">
        <w:rPr>
          <w:rFonts w:cs="Arial"/>
        </w:rPr>
        <w:t>March 2023</w:t>
      </w:r>
      <w:r w:rsidR="00880A9F" w:rsidRPr="003A4B02">
        <w:rPr>
          <w:rFonts w:cs="Arial"/>
        </w:rPr>
        <w:t xml:space="preserve"> quarter</w:t>
      </w:r>
      <w:r w:rsidRPr="003A4B02">
        <w:rPr>
          <w:rFonts w:cs="Arial"/>
        </w:rPr>
        <w:t xml:space="preserve">, </w:t>
      </w:r>
      <w:r w:rsidR="00620457" w:rsidRPr="003A4B02">
        <w:rPr>
          <w:rFonts w:cs="Arial"/>
        </w:rPr>
        <w:t>with continuing strong demand and growth in labour supply</w:t>
      </w:r>
      <w:r w:rsidR="0097383C" w:rsidRPr="003A4B02">
        <w:rPr>
          <w:rFonts w:cs="Arial"/>
        </w:rPr>
        <w:t>, albeit a</w:t>
      </w:r>
      <w:r w:rsidR="00066F82" w:rsidRPr="003A4B02">
        <w:rPr>
          <w:rFonts w:cs="Arial"/>
        </w:rPr>
        <w:t>n</w:t>
      </w:r>
      <w:r w:rsidR="0097383C" w:rsidRPr="003A4B02">
        <w:rPr>
          <w:rFonts w:cs="Arial"/>
        </w:rPr>
        <w:t xml:space="preserve"> increase in the unemployment rate </w:t>
      </w:r>
      <w:r w:rsidR="00066F82" w:rsidRPr="003A4B02">
        <w:rPr>
          <w:rFonts w:cs="Arial"/>
        </w:rPr>
        <w:t xml:space="preserve">(to 3.7%) </w:t>
      </w:r>
      <w:r w:rsidR="0097383C" w:rsidRPr="003A4B02">
        <w:rPr>
          <w:rFonts w:cs="Arial"/>
        </w:rPr>
        <w:t>was subsequently recorded in April</w:t>
      </w:r>
      <w:r w:rsidR="00620457" w:rsidRPr="003A4B02">
        <w:rPr>
          <w:rFonts w:cs="Arial"/>
        </w:rPr>
        <w:t xml:space="preserve">. </w:t>
      </w:r>
      <w:r w:rsidR="00426619" w:rsidRPr="003A4B02">
        <w:rPr>
          <w:rFonts w:cs="Arial"/>
        </w:rPr>
        <w:t>After s</w:t>
      </w:r>
      <w:r w:rsidR="00620457" w:rsidRPr="003A4B02">
        <w:rPr>
          <w:rFonts w:cs="Arial"/>
        </w:rPr>
        <w:t>igns of a slight easing in the level of demand</w:t>
      </w:r>
      <w:r w:rsidR="00426619" w:rsidRPr="003A4B02">
        <w:rPr>
          <w:rFonts w:cs="Arial"/>
        </w:rPr>
        <w:t xml:space="preserve"> during the December 2022 quarter</w:t>
      </w:r>
      <w:r w:rsidR="00620457" w:rsidRPr="003A4B02">
        <w:rPr>
          <w:rFonts w:cs="Arial"/>
        </w:rPr>
        <w:t>, JSA’s Internet Vacancy Index (IVI</w:t>
      </w:r>
      <w:r w:rsidR="00620457" w:rsidRPr="00426619">
        <w:rPr>
          <w:rFonts w:cs="Arial"/>
        </w:rPr>
        <w:t>) and JSA’s Recruitment Experiences and Outlook Survey (REOS)</w:t>
      </w:r>
      <w:r w:rsidR="00426619" w:rsidRPr="00426619">
        <w:rPr>
          <w:rFonts w:cs="Arial"/>
        </w:rPr>
        <w:t xml:space="preserve"> both indicate that labour demand stabilised in the March 2023 quarter, albeit below the mid-2022 peak</w:t>
      </w:r>
      <w:r w:rsidR="00620457" w:rsidRPr="00426619">
        <w:rPr>
          <w:rFonts w:cs="Arial"/>
        </w:rPr>
        <w:t>.</w:t>
      </w:r>
      <w:r w:rsidR="0077596A" w:rsidRPr="00426619">
        <w:rPr>
          <w:rFonts w:cs="Arial"/>
        </w:rPr>
        <w:t xml:space="preserve"> </w:t>
      </w:r>
    </w:p>
    <w:p w14:paraId="0282D54E" w14:textId="4DB7E29B" w:rsidR="00196A11" w:rsidRDefault="00196A11" w:rsidP="00AF2694">
      <w:pPr>
        <w:pStyle w:val="Bodycopy"/>
        <w:spacing w:after="120"/>
        <w:rPr>
          <w:rFonts w:cs="Arial"/>
        </w:rPr>
      </w:pPr>
      <w:r>
        <w:rPr>
          <w:rFonts w:cs="Arial"/>
        </w:rPr>
        <w:t>Nevertheless, t</w:t>
      </w:r>
      <w:r w:rsidRPr="00E03720">
        <w:rPr>
          <w:rFonts w:cs="Arial"/>
        </w:rPr>
        <w:t xml:space="preserve">otal employment continued to </w:t>
      </w:r>
      <w:r>
        <w:rPr>
          <w:rFonts w:cs="Arial"/>
        </w:rPr>
        <w:t xml:space="preserve">expand </w:t>
      </w:r>
      <w:r w:rsidRPr="00E03720">
        <w:rPr>
          <w:rFonts w:cs="Arial"/>
        </w:rPr>
        <w:t xml:space="preserve">over the </w:t>
      </w:r>
      <w:r>
        <w:rPr>
          <w:rFonts w:cs="Arial"/>
        </w:rPr>
        <w:t>three months to March 2023</w:t>
      </w:r>
      <w:r w:rsidRPr="00E03720">
        <w:rPr>
          <w:rFonts w:cs="Arial"/>
        </w:rPr>
        <w:t xml:space="preserve">. </w:t>
      </w:r>
      <w:r>
        <w:rPr>
          <w:rFonts w:cs="Arial"/>
        </w:rPr>
        <w:t>Ongoing</w:t>
      </w:r>
      <w:r w:rsidRPr="00E03720">
        <w:rPr>
          <w:rFonts w:cs="Arial"/>
        </w:rPr>
        <w:t xml:space="preserve"> strength in full-time employment </w:t>
      </w:r>
      <w:r w:rsidRPr="004C65B5">
        <w:rPr>
          <w:rFonts w:cs="Arial"/>
        </w:rPr>
        <w:t xml:space="preserve">growth, </w:t>
      </w:r>
      <w:r w:rsidRPr="00196A11">
        <w:rPr>
          <w:rFonts w:cs="Arial"/>
        </w:rPr>
        <w:t>together</w:t>
      </w:r>
      <w:r w:rsidRPr="004C65B5">
        <w:rPr>
          <w:rFonts w:cs="Arial"/>
        </w:rPr>
        <w:t xml:space="preserve"> with </w:t>
      </w:r>
      <w:r w:rsidRPr="00196A11">
        <w:rPr>
          <w:rFonts w:cs="Arial"/>
        </w:rPr>
        <w:t xml:space="preserve">an </w:t>
      </w:r>
      <w:r w:rsidRPr="004C65B5">
        <w:rPr>
          <w:rFonts w:cs="Arial"/>
        </w:rPr>
        <w:t>underemployment rate</w:t>
      </w:r>
      <w:r w:rsidRPr="00196A11">
        <w:rPr>
          <w:rFonts w:cs="Arial"/>
        </w:rPr>
        <w:t xml:space="preserve"> well below its </w:t>
      </w:r>
      <w:r w:rsidRPr="004C65B5">
        <w:rPr>
          <w:rFonts w:cs="Arial"/>
        </w:rPr>
        <w:t>decade average prior to the COVID-19 pandemic, suggest</w:t>
      </w:r>
      <w:r w:rsidRPr="00196A11">
        <w:rPr>
          <w:rFonts w:cs="Arial"/>
        </w:rPr>
        <w:t>s</w:t>
      </w:r>
      <w:r w:rsidRPr="004C65B5">
        <w:rPr>
          <w:rFonts w:cs="Arial"/>
        </w:rPr>
        <w:t xml:space="preserve"> </w:t>
      </w:r>
      <w:r>
        <w:rPr>
          <w:rFonts w:cs="Arial"/>
        </w:rPr>
        <w:t>a more efficient</w:t>
      </w:r>
      <w:r w:rsidRPr="004C65B5">
        <w:rPr>
          <w:rFonts w:cs="Arial"/>
        </w:rPr>
        <w:t xml:space="preserve"> utilisation of the workforce</w:t>
      </w:r>
      <w:r>
        <w:rPr>
          <w:rFonts w:cs="Arial"/>
        </w:rPr>
        <w:t xml:space="preserve"> and less spare capacity</w:t>
      </w:r>
      <w:r w:rsidRPr="004C65B5">
        <w:rPr>
          <w:rFonts w:cs="Arial"/>
        </w:rPr>
        <w:t>.</w:t>
      </w:r>
    </w:p>
    <w:p w14:paraId="0118EAAB" w14:textId="4BD17D6E" w:rsidR="00A944E5" w:rsidRPr="004A6A3C" w:rsidRDefault="00AF5EEE" w:rsidP="00AF2694">
      <w:pPr>
        <w:pStyle w:val="Bodycopy"/>
        <w:spacing w:after="120"/>
        <w:rPr>
          <w:rFonts w:cs="Arial"/>
        </w:rPr>
      </w:pPr>
      <w:r>
        <w:rPr>
          <w:rFonts w:cs="Arial"/>
        </w:rPr>
        <w:t>Compositionally</w:t>
      </w:r>
      <w:r w:rsidR="007F135A">
        <w:rPr>
          <w:rFonts w:cs="Arial"/>
        </w:rPr>
        <w:t>,</w:t>
      </w:r>
      <w:r w:rsidR="00C52877" w:rsidRPr="007F6CFB">
        <w:rPr>
          <w:rFonts w:cs="Arial"/>
        </w:rPr>
        <w:t xml:space="preserve"> employment continues to shift towards jobs that are commensurate with some level of post</w:t>
      </w:r>
      <w:r w:rsidR="00D009AD" w:rsidRPr="007F6CFB">
        <w:rPr>
          <w:rFonts w:cs="Arial"/>
        </w:rPr>
        <w:t>-</w:t>
      </w:r>
      <w:r w:rsidR="00C52877" w:rsidRPr="007F6CFB">
        <w:rPr>
          <w:rFonts w:cs="Arial"/>
        </w:rPr>
        <w:t xml:space="preserve">secondary school qualification </w:t>
      </w:r>
      <w:r w:rsidR="00E962E1" w:rsidRPr="007F6CFB">
        <w:rPr>
          <w:rFonts w:cs="Arial"/>
        </w:rPr>
        <w:t>(skill level 1 to 4 jobs) and away from jobs that do not typically require such a qualification (skill level 5 jobs).</w:t>
      </w:r>
      <w:r w:rsidR="0059639A" w:rsidRPr="007F6CFB">
        <w:rPr>
          <w:rFonts w:cs="Arial"/>
        </w:rPr>
        <w:t xml:space="preserve"> </w:t>
      </w:r>
      <w:r w:rsidR="007F6CFB" w:rsidRPr="007F6CFB">
        <w:rPr>
          <w:rFonts w:cs="Arial"/>
        </w:rPr>
        <w:t xml:space="preserve">Over the past year, around 92% of total employment growth </w:t>
      </w:r>
      <w:r w:rsidR="00094E4E">
        <w:rPr>
          <w:rFonts w:cs="Arial"/>
        </w:rPr>
        <w:t>has been</w:t>
      </w:r>
      <w:r w:rsidR="007F6CFB" w:rsidRPr="007F6CFB">
        <w:rPr>
          <w:rFonts w:cs="Arial"/>
        </w:rPr>
        <w:t xml:space="preserve"> in occupations that typically require post-school qualifications, reflecting the importance of both the higher education and VET systems to growing a high-skilled </w:t>
      </w:r>
      <w:r w:rsidR="007F6CFB" w:rsidRPr="004A6A3C">
        <w:rPr>
          <w:rFonts w:cs="Arial"/>
        </w:rPr>
        <w:t xml:space="preserve">Australian workforce. </w:t>
      </w:r>
      <w:r w:rsidR="00E2688B">
        <w:rPr>
          <w:rFonts w:cs="Arial"/>
        </w:rPr>
        <w:t>Around two-thirds</w:t>
      </w:r>
      <w:r w:rsidR="007F6CFB" w:rsidRPr="004A6A3C">
        <w:rPr>
          <w:rFonts w:cs="Arial"/>
        </w:rPr>
        <w:t xml:space="preserve"> of total employment growth over this period was in Skill Level 2 to Skill Level 4 occupations (where VET qualifications are the primary pathway).</w:t>
      </w:r>
    </w:p>
    <w:p w14:paraId="38B620D8" w14:textId="2B661860" w:rsidR="00640013" w:rsidRPr="004A6A3C" w:rsidRDefault="00640013" w:rsidP="00AF2694">
      <w:pPr>
        <w:pStyle w:val="Bodycopy"/>
        <w:spacing w:after="120"/>
        <w:rPr>
          <w:rFonts w:cs="Arial"/>
        </w:rPr>
      </w:pPr>
      <w:r w:rsidRPr="004A6A3C">
        <w:rPr>
          <w:rFonts w:cs="Arial"/>
        </w:rPr>
        <w:t xml:space="preserve">As employment has continued to grow </w:t>
      </w:r>
      <w:r w:rsidR="00426619" w:rsidRPr="004A6A3C">
        <w:rPr>
          <w:rFonts w:cs="Arial"/>
        </w:rPr>
        <w:t>while r</w:t>
      </w:r>
      <w:r w:rsidRPr="004A6A3C">
        <w:rPr>
          <w:rFonts w:cs="Arial"/>
        </w:rPr>
        <w:t>ecruitment activity</w:t>
      </w:r>
      <w:r w:rsidR="00426619" w:rsidRPr="004A6A3C">
        <w:rPr>
          <w:rFonts w:cs="Arial"/>
        </w:rPr>
        <w:t xml:space="preserve"> has stabilised</w:t>
      </w:r>
      <w:r w:rsidRPr="004A6A3C">
        <w:rPr>
          <w:rFonts w:cs="Arial"/>
        </w:rPr>
        <w:t xml:space="preserve">, </w:t>
      </w:r>
      <w:r w:rsidR="00031B8B" w:rsidRPr="004A6A3C">
        <w:rPr>
          <w:rFonts w:cs="Arial"/>
        </w:rPr>
        <w:t xml:space="preserve">levels of recruitment difficulty experienced by employers have declined, while the likelihood of </w:t>
      </w:r>
      <w:r w:rsidR="00534132" w:rsidRPr="004A6A3C">
        <w:rPr>
          <w:rFonts w:cs="Arial"/>
        </w:rPr>
        <w:t>filling an advertised role has increased</w:t>
      </w:r>
      <w:r w:rsidR="00A67A13" w:rsidRPr="004A6A3C">
        <w:rPr>
          <w:rFonts w:cs="Arial"/>
        </w:rPr>
        <w:t xml:space="preserve"> slightly</w:t>
      </w:r>
      <w:r w:rsidR="00E03E11" w:rsidRPr="004A6A3C">
        <w:rPr>
          <w:rFonts w:cs="Arial"/>
        </w:rPr>
        <w:t xml:space="preserve"> </w:t>
      </w:r>
      <w:r w:rsidR="006612B3" w:rsidRPr="004A6A3C">
        <w:rPr>
          <w:rFonts w:cs="Arial"/>
        </w:rPr>
        <w:t xml:space="preserve">- </w:t>
      </w:r>
      <w:r w:rsidR="00E03E11" w:rsidRPr="004A6A3C">
        <w:rPr>
          <w:rFonts w:cs="Arial"/>
        </w:rPr>
        <w:t xml:space="preserve">albeit still below the levels recorded in previous years. </w:t>
      </w:r>
      <w:r w:rsidR="00534132" w:rsidRPr="004A6A3C">
        <w:rPr>
          <w:rFonts w:cs="Arial"/>
        </w:rPr>
        <w:t>The likelihood of filling an advertised role is a key element of Jobs and Skills Australia’s assessment of skills shortage</w:t>
      </w:r>
      <w:r w:rsidR="006612B3" w:rsidRPr="004A6A3C">
        <w:rPr>
          <w:rFonts w:cs="Arial"/>
        </w:rPr>
        <w:t>s. I</w:t>
      </w:r>
      <w:r w:rsidR="008A17F5" w:rsidRPr="004A6A3C">
        <w:rPr>
          <w:rFonts w:cs="Arial"/>
        </w:rPr>
        <w:t xml:space="preserve">mproved fill rates </w:t>
      </w:r>
      <w:r w:rsidR="001F2DFC" w:rsidRPr="004A6A3C">
        <w:rPr>
          <w:rFonts w:cs="Arial"/>
        </w:rPr>
        <w:t>suggest that</w:t>
      </w:r>
      <w:r w:rsidR="008A17F5" w:rsidRPr="004A6A3C">
        <w:rPr>
          <w:rFonts w:cs="Arial"/>
        </w:rPr>
        <w:t>, on average at least,</w:t>
      </w:r>
      <w:r w:rsidR="001F2DFC" w:rsidRPr="004A6A3C">
        <w:rPr>
          <w:rFonts w:cs="Arial"/>
        </w:rPr>
        <w:t xml:space="preserve"> skills shortages may </w:t>
      </w:r>
      <w:r w:rsidR="008A17F5" w:rsidRPr="004A6A3C">
        <w:rPr>
          <w:rFonts w:cs="Arial"/>
        </w:rPr>
        <w:t>h</w:t>
      </w:r>
      <w:r w:rsidR="00A67A13" w:rsidRPr="004A6A3C">
        <w:rPr>
          <w:rFonts w:cs="Arial"/>
        </w:rPr>
        <w:t>ave eased</w:t>
      </w:r>
      <w:r w:rsidR="001F2DFC" w:rsidRPr="004A6A3C">
        <w:rPr>
          <w:rFonts w:cs="Arial"/>
        </w:rPr>
        <w:t xml:space="preserve"> slightly</w:t>
      </w:r>
      <w:r w:rsidR="00A67A13" w:rsidRPr="004A6A3C">
        <w:rPr>
          <w:rFonts w:cs="Arial"/>
        </w:rPr>
        <w:t xml:space="preserve"> in recent months</w:t>
      </w:r>
      <w:r w:rsidR="001F2DFC" w:rsidRPr="004A6A3C">
        <w:rPr>
          <w:rFonts w:cs="Arial"/>
        </w:rPr>
        <w:t>.</w:t>
      </w:r>
    </w:p>
    <w:p w14:paraId="3ADC81DE" w14:textId="2D29E337" w:rsidR="00DD1634" w:rsidRPr="006E16BB" w:rsidRDefault="00B375CF" w:rsidP="00AF2694">
      <w:pPr>
        <w:pStyle w:val="Bodycopy"/>
        <w:spacing w:after="120"/>
        <w:rPr>
          <w:rFonts w:cs="Arial"/>
        </w:rPr>
      </w:pPr>
      <w:r w:rsidRPr="00DF254B">
        <w:rPr>
          <w:rFonts w:cs="Arial"/>
        </w:rPr>
        <w:t xml:space="preserve">Measures of wages growth are also showing promising </w:t>
      </w:r>
      <w:r w:rsidR="00D60242" w:rsidRPr="00DF254B">
        <w:rPr>
          <w:rFonts w:cs="Arial"/>
        </w:rPr>
        <w:t>recent signs</w:t>
      </w:r>
      <w:r w:rsidRPr="00DF254B">
        <w:rPr>
          <w:rFonts w:cs="Arial"/>
        </w:rPr>
        <w:t xml:space="preserve">. The most recent wage price index result (for September 2022) recorded its strongest quarterly growth rate since 2012, while </w:t>
      </w:r>
      <w:r w:rsidR="00710BC1" w:rsidRPr="00DF254B">
        <w:rPr>
          <w:rFonts w:cs="Arial"/>
        </w:rPr>
        <w:t>alternate</w:t>
      </w:r>
      <w:r w:rsidR="0059639A" w:rsidRPr="00DF254B">
        <w:rPr>
          <w:rFonts w:cs="Arial"/>
        </w:rPr>
        <w:t xml:space="preserve"> measures of wages </w:t>
      </w:r>
      <w:r w:rsidR="00F27B3A" w:rsidRPr="00DF254B">
        <w:rPr>
          <w:rFonts w:cs="Arial"/>
        </w:rPr>
        <w:t>t</w:t>
      </w:r>
      <w:r w:rsidR="0059639A" w:rsidRPr="00DF254B">
        <w:rPr>
          <w:rFonts w:cs="Arial"/>
        </w:rPr>
        <w:t xml:space="preserve">hat </w:t>
      </w:r>
      <w:r w:rsidR="00DA70C1" w:rsidRPr="00DF254B">
        <w:rPr>
          <w:rFonts w:cs="Arial"/>
        </w:rPr>
        <w:t>reflect job mobility or newly advertised jobs</w:t>
      </w:r>
      <w:r w:rsidR="005C59DD" w:rsidRPr="00DF254B">
        <w:rPr>
          <w:rFonts w:cs="Arial"/>
        </w:rPr>
        <w:t xml:space="preserve"> </w:t>
      </w:r>
      <w:r w:rsidR="00DA70C1" w:rsidRPr="00DF254B">
        <w:rPr>
          <w:rFonts w:cs="Arial"/>
        </w:rPr>
        <w:t xml:space="preserve">are currently </w:t>
      </w:r>
      <w:r w:rsidR="00710BC1" w:rsidRPr="00DF254B">
        <w:rPr>
          <w:rFonts w:cs="Arial"/>
        </w:rPr>
        <w:t xml:space="preserve">recording annual wage growth rates of </w:t>
      </w:r>
      <w:r w:rsidR="00DF254B" w:rsidRPr="00DF254B">
        <w:rPr>
          <w:rFonts w:cs="Arial"/>
        </w:rPr>
        <w:t>well above 4</w:t>
      </w:r>
      <w:r w:rsidR="00710BC1" w:rsidRPr="00DF254B">
        <w:rPr>
          <w:rFonts w:cs="Arial"/>
        </w:rPr>
        <w:t>%.</w:t>
      </w:r>
      <w:r w:rsidR="005C59DD" w:rsidRPr="00DF254B">
        <w:rPr>
          <w:rFonts w:cs="Arial"/>
        </w:rPr>
        <w:t xml:space="preserve"> The higher recorded levels of wage growth </w:t>
      </w:r>
      <w:r w:rsidR="00C659DB" w:rsidRPr="00DF254B">
        <w:rPr>
          <w:rFonts w:cs="Arial"/>
        </w:rPr>
        <w:t xml:space="preserve">for measures that include the </w:t>
      </w:r>
      <w:r w:rsidR="00C659DB" w:rsidRPr="006E16BB">
        <w:rPr>
          <w:rFonts w:cs="Arial"/>
        </w:rPr>
        <w:t>effects of job mobility are consistent with the workforce continuing to shift towards higher-skilled jobs.</w:t>
      </w:r>
    </w:p>
    <w:p w14:paraId="45258E04" w14:textId="77777777" w:rsidR="00B324B5" w:rsidRDefault="00FB0409" w:rsidP="0039129F">
      <w:pPr>
        <w:pStyle w:val="Bodycopy"/>
        <w:spacing w:after="120"/>
        <w:rPr>
          <w:rFonts w:cs="Arial"/>
        </w:rPr>
      </w:pPr>
      <w:r w:rsidRPr="006E16BB">
        <w:rPr>
          <w:rFonts w:cs="Arial"/>
        </w:rPr>
        <w:t xml:space="preserve">While </w:t>
      </w:r>
      <w:r w:rsidR="009D3BDD" w:rsidRPr="006E16BB">
        <w:rPr>
          <w:rFonts w:cs="Arial"/>
        </w:rPr>
        <w:t xml:space="preserve">many of the macro indicators are positive, some </w:t>
      </w:r>
      <w:r w:rsidR="004E316D" w:rsidRPr="006E16BB">
        <w:rPr>
          <w:rFonts w:cs="Arial"/>
        </w:rPr>
        <w:t xml:space="preserve">more specific </w:t>
      </w:r>
      <w:r w:rsidR="009D3BDD" w:rsidRPr="006E16BB">
        <w:rPr>
          <w:rFonts w:cs="Arial"/>
        </w:rPr>
        <w:t>issues of concern remain</w:t>
      </w:r>
      <w:r w:rsidR="00FC7C88" w:rsidRPr="006E16BB">
        <w:rPr>
          <w:rFonts w:cs="Arial"/>
        </w:rPr>
        <w:t xml:space="preserve"> -</w:t>
      </w:r>
      <w:r w:rsidR="009D3BDD" w:rsidRPr="006E16BB">
        <w:rPr>
          <w:rFonts w:cs="Arial"/>
        </w:rPr>
        <w:t xml:space="preserve"> particularly with respect </w:t>
      </w:r>
      <w:r w:rsidR="005C6C2E" w:rsidRPr="006E16BB">
        <w:rPr>
          <w:rFonts w:cs="Arial"/>
        </w:rPr>
        <w:t xml:space="preserve">to </w:t>
      </w:r>
      <w:r w:rsidR="004E316D" w:rsidRPr="006E16BB">
        <w:rPr>
          <w:rFonts w:cs="Arial"/>
        </w:rPr>
        <w:t>key skills needs</w:t>
      </w:r>
      <w:r w:rsidR="006E16BB" w:rsidRPr="006E16BB">
        <w:rPr>
          <w:rFonts w:cs="Arial"/>
        </w:rPr>
        <w:t xml:space="preserve"> in regional areas</w:t>
      </w:r>
      <w:r w:rsidR="00C9093C" w:rsidRPr="006E16BB">
        <w:rPr>
          <w:rFonts w:cs="Arial"/>
        </w:rPr>
        <w:t xml:space="preserve">, where </w:t>
      </w:r>
      <w:r w:rsidR="004E316D" w:rsidRPr="006E16BB">
        <w:rPr>
          <w:rFonts w:cs="Arial"/>
        </w:rPr>
        <w:t xml:space="preserve">shortages </w:t>
      </w:r>
      <w:r w:rsidR="00C9093C" w:rsidRPr="006E16BB">
        <w:rPr>
          <w:rFonts w:cs="Arial"/>
        </w:rPr>
        <w:t>persist</w:t>
      </w:r>
      <w:r w:rsidR="004604DF" w:rsidRPr="006E16BB">
        <w:rPr>
          <w:rFonts w:cs="Arial"/>
        </w:rPr>
        <w:t xml:space="preserve">. </w:t>
      </w:r>
    </w:p>
    <w:p w14:paraId="1B559FB8" w14:textId="032BDF63" w:rsidR="0039129F" w:rsidRPr="000421F0" w:rsidRDefault="0039129F" w:rsidP="0039129F">
      <w:pPr>
        <w:pStyle w:val="Bodycopy"/>
        <w:spacing w:after="120"/>
        <w:rPr>
          <w:rFonts w:cs="Arial"/>
        </w:rPr>
      </w:pPr>
      <w:r w:rsidRPr="00DF73BA">
        <w:rPr>
          <w:rFonts w:cs="Arial"/>
        </w:rPr>
        <w:t xml:space="preserve">Employers in regional areas have consistently reported a lower </w:t>
      </w:r>
      <w:r>
        <w:rPr>
          <w:rFonts w:cs="Arial"/>
        </w:rPr>
        <w:t xml:space="preserve">likelihood of filling vacancies </w:t>
      </w:r>
      <w:r w:rsidRPr="00DF73BA">
        <w:rPr>
          <w:rFonts w:cs="Arial"/>
        </w:rPr>
        <w:t xml:space="preserve">and fewer applicants per vacancy than those in capital cities. </w:t>
      </w:r>
      <w:r w:rsidRPr="000421F0">
        <w:rPr>
          <w:rFonts w:cs="Arial"/>
        </w:rPr>
        <w:t xml:space="preserve">Some regional areas also continue to face skills pressures for critical roles, such as General Practitioners and Resident Medical Officers, that are much more acute than pressures felt in capital cities for the same occupation. </w:t>
      </w:r>
    </w:p>
    <w:p w14:paraId="2273723B" w14:textId="772D61AE" w:rsidR="00990941" w:rsidRPr="00990941" w:rsidRDefault="0039129F" w:rsidP="00990941">
      <w:pPr>
        <w:pStyle w:val="Bodycopy"/>
        <w:spacing w:after="120"/>
        <w:rPr>
          <w:rFonts w:cs="Arial"/>
        </w:rPr>
      </w:pPr>
      <w:r>
        <w:rPr>
          <w:rFonts w:cs="Arial"/>
        </w:rPr>
        <w:t>At the same time, some regional areas have persistently low participation rates</w:t>
      </w:r>
      <w:r w:rsidR="00B324B5">
        <w:rPr>
          <w:rFonts w:cs="Arial"/>
        </w:rPr>
        <w:t xml:space="preserve"> that are driven by a range of factors </w:t>
      </w:r>
      <w:r w:rsidR="000C1080">
        <w:rPr>
          <w:rFonts w:cs="Arial"/>
        </w:rPr>
        <w:t xml:space="preserve">- </w:t>
      </w:r>
      <w:r w:rsidR="00B324B5">
        <w:rPr>
          <w:rFonts w:cs="Arial"/>
        </w:rPr>
        <w:t xml:space="preserve">such as </w:t>
      </w:r>
      <w:r w:rsidR="00452BD3">
        <w:rPr>
          <w:rFonts w:cs="Arial"/>
        </w:rPr>
        <w:t xml:space="preserve">having </w:t>
      </w:r>
      <w:r w:rsidR="00990941">
        <w:rPr>
          <w:rFonts w:cs="Arial"/>
        </w:rPr>
        <w:t xml:space="preserve">an older </w:t>
      </w:r>
      <w:r w:rsidR="005036D4">
        <w:rPr>
          <w:rFonts w:cs="Arial"/>
        </w:rPr>
        <w:t xml:space="preserve">age demographic, </w:t>
      </w:r>
      <w:r w:rsidR="00452BD3" w:rsidRPr="00E20645">
        <w:rPr>
          <w:rFonts w:cs="Arial"/>
        </w:rPr>
        <w:t>below-average levels of educational attainment,</w:t>
      </w:r>
      <w:r w:rsidR="00452BD3">
        <w:rPr>
          <w:rFonts w:cs="Arial"/>
        </w:rPr>
        <w:t xml:space="preserve"> </w:t>
      </w:r>
      <w:r w:rsidR="0056271E">
        <w:rPr>
          <w:rFonts w:cs="Arial"/>
        </w:rPr>
        <w:t>fewer jobs that are within travelling distance</w:t>
      </w:r>
      <w:r w:rsidR="00DA4926">
        <w:rPr>
          <w:rFonts w:cs="Arial"/>
        </w:rPr>
        <w:t>,</w:t>
      </w:r>
      <w:r w:rsidR="0056271E">
        <w:rPr>
          <w:rFonts w:cs="Arial"/>
        </w:rPr>
        <w:t xml:space="preserve"> </w:t>
      </w:r>
      <w:r w:rsidR="005935A7">
        <w:rPr>
          <w:rFonts w:cs="Arial"/>
        </w:rPr>
        <w:t xml:space="preserve">the relative strength of the </w:t>
      </w:r>
      <w:r w:rsidR="00990941" w:rsidRPr="00990941">
        <w:rPr>
          <w:rFonts w:cs="Arial"/>
        </w:rPr>
        <w:t>main employing industries in the region</w:t>
      </w:r>
      <w:r w:rsidR="00F8195B">
        <w:rPr>
          <w:rFonts w:cs="Arial"/>
        </w:rPr>
        <w:t>,</w:t>
      </w:r>
      <w:r w:rsidR="00DA4926">
        <w:rPr>
          <w:rFonts w:cs="Arial"/>
        </w:rPr>
        <w:t xml:space="preserve"> and a history of labour market disadvantage</w:t>
      </w:r>
      <w:r w:rsidR="005935A7">
        <w:rPr>
          <w:rFonts w:cs="Arial"/>
        </w:rPr>
        <w:t>.</w:t>
      </w:r>
    </w:p>
    <w:p w14:paraId="37619167" w14:textId="19746496" w:rsidR="00873BB7" w:rsidRPr="00194719" w:rsidRDefault="00391251" w:rsidP="00AF2694">
      <w:pPr>
        <w:pStyle w:val="Bodycopy"/>
        <w:spacing w:after="120"/>
        <w:rPr>
          <w:rFonts w:cs="Arial"/>
          <w:color w:val="FF0000"/>
        </w:rPr>
      </w:pPr>
      <w:r w:rsidRPr="006E16BB">
        <w:rPr>
          <w:rFonts w:cs="Arial"/>
        </w:rPr>
        <w:t xml:space="preserve">Jobs and Skills Australia has also </w:t>
      </w:r>
      <w:r w:rsidR="006E16BB" w:rsidRPr="006E16BB">
        <w:rPr>
          <w:rFonts w:cs="Arial"/>
        </w:rPr>
        <w:t xml:space="preserve">expanded </w:t>
      </w:r>
      <w:r w:rsidR="006E16BB">
        <w:rPr>
          <w:rFonts w:cs="Arial"/>
        </w:rPr>
        <w:t xml:space="preserve">upon </w:t>
      </w:r>
      <w:r w:rsidR="006E16BB" w:rsidRPr="006E16BB">
        <w:rPr>
          <w:rFonts w:cs="Arial"/>
        </w:rPr>
        <w:t xml:space="preserve">its </w:t>
      </w:r>
      <w:r w:rsidRPr="006E16BB">
        <w:rPr>
          <w:rFonts w:cs="Arial"/>
        </w:rPr>
        <w:t xml:space="preserve">preliminary analysis of the </w:t>
      </w:r>
      <w:r w:rsidR="00C221F2" w:rsidRPr="006E16BB">
        <w:rPr>
          <w:rFonts w:cs="Arial"/>
        </w:rPr>
        <w:t>underlying drivers of skills shortag</w:t>
      </w:r>
      <w:r w:rsidR="006E16BB" w:rsidRPr="006E16BB">
        <w:rPr>
          <w:rFonts w:cs="Arial"/>
        </w:rPr>
        <w:t>e - with a particular focus on</w:t>
      </w:r>
      <w:r w:rsidR="00C221F2" w:rsidRPr="006E16BB">
        <w:rPr>
          <w:rFonts w:cs="Arial"/>
        </w:rPr>
        <w:t xml:space="preserve"> whether the shortage is primarily driven </w:t>
      </w:r>
      <w:r w:rsidR="00DC3DA6" w:rsidRPr="006E16BB">
        <w:rPr>
          <w:rFonts w:cs="Arial"/>
        </w:rPr>
        <w:t xml:space="preserve">by a lack of people with the essential technical skills, or by other factors (such as </w:t>
      </w:r>
      <w:r w:rsidR="00477DE2" w:rsidRPr="006E16BB">
        <w:rPr>
          <w:rFonts w:cs="Arial"/>
        </w:rPr>
        <w:t xml:space="preserve">non-technical qualities considered important by employers, or by willingness to apply for the vacancies under current </w:t>
      </w:r>
      <w:r w:rsidR="00477DE2" w:rsidRPr="00B65B16">
        <w:rPr>
          <w:rFonts w:cs="Arial"/>
        </w:rPr>
        <w:t>condition</w:t>
      </w:r>
      <w:r w:rsidR="007F660E" w:rsidRPr="00B65B16">
        <w:rPr>
          <w:rFonts w:cs="Arial"/>
        </w:rPr>
        <w:t>s</w:t>
      </w:r>
      <w:r w:rsidR="00477DE2" w:rsidRPr="00B65B16">
        <w:rPr>
          <w:rFonts w:cs="Arial"/>
        </w:rPr>
        <w:t>).</w:t>
      </w:r>
      <w:r w:rsidR="00EF6DC2" w:rsidRPr="00B65B16">
        <w:rPr>
          <w:rFonts w:cs="Arial"/>
        </w:rPr>
        <w:t xml:space="preserve"> Th</w:t>
      </w:r>
      <w:r w:rsidR="00200E9F" w:rsidRPr="00B65B16">
        <w:rPr>
          <w:rFonts w:cs="Arial"/>
        </w:rPr>
        <w:t xml:space="preserve">e expansion of this </w:t>
      </w:r>
      <w:r w:rsidR="00EF6DC2" w:rsidRPr="00B65B16">
        <w:rPr>
          <w:rFonts w:cs="Arial"/>
        </w:rPr>
        <w:t xml:space="preserve">preliminary analysis has found that </w:t>
      </w:r>
      <w:r w:rsidR="000421F0" w:rsidRPr="00B65B16">
        <w:rPr>
          <w:rFonts w:cs="Arial"/>
        </w:rPr>
        <w:t xml:space="preserve">for </w:t>
      </w:r>
      <w:r w:rsidR="00200E9F" w:rsidRPr="00B65B16">
        <w:rPr>
          <w:rFonts w:cs="Arial"/>
        </w:rPr>
        <w:t>key Clerical and Administrative Worker, Sales Worker, Machinery Operators and Driver, and Labourer occupations currently in national shortage</w:t>
      </w:r>
      <w:r w:rsidR="0042606B" w:rsidRPr="00B65B16">
        <w:rPr>
          <w:rFonts w:cs="Arial"/>
        </w:rPr>
        <w:t>, the shortage is primarily driven by challenges in worker retention</w:t>
      </w:r>
      <w:r w:rsidR="00B65B16" w:rsidRPr="00B65B16">
        <w:rPr>
          <w:rFonts w:cs="Arial"/>
        </w:rPr>
        <w:t>. This suggests that th</w:t>
      </w:r>
      <w:r w:rsidR="0042606B" w:rsidRPr="00B65B16">
        <w:rPr>
          <w:rFonts w:cs="Arial"/>
        </w:rPr>
        <w:t xml:space="preserve">ere are sufficient people who have the essential technical skills </w:t>
      </w:r>
      <w:r w:rsidR="00B65B16" w:rsidRPr="00B65B16">
        <w:rPr>
          <w:rFonts w:cs="Arial"/>
        </w:rPr>
        <w:t xml:space="preserve">for these occupations </w:t>
      </w:r>
      <w:r w:rsidR="0042606B" w:rsidRPr="00B65B16">
        <w:rPr>
          <w:rFonts w:cs="Arial"/>
        </w:rPr>
        <w:t>who are not already using them, but they are not willing to apply for the vacancies under current conditions</w:t>
      </w:r>
      <w:r w:rsidR="00205183">
        <w:rPr>
          <w:rFonts w:cs="Arial"/>
        </w:rPr>
        <w:t>. This reinforces</w:t>
      </w:r>
      <w:r w:rsidR="006D2953">
        <w:rPr>
          <w:rFonts w:cs="Arial"/>
        </w:rPr>
        <w:t xml:space="preserve"> the importance of </w:t>
      </w:r>
      <w:r w:rsidR="00194719">
        <w:rPr>
          <w:rFonts w:cs="Arial"/>
        </w:rPr>
        <w:t xml:space="preserve">well-paid, secure jobs with good working conditions </w:t>
      </w:r>
      <w:r w:rsidR="00724C36">
        <w:rPr>
          <w:rFonts w:cs="Arial"/>
        </w:rPr>
        <w:t>in</w:t>
      </w:r>
      <w:r w:rsidR="00194719">
        <w:rPr>
          <w:rFonts w:cs="Arial"/>
        </w:rPr>
        <w:t xml:space="preserve"> helping to address these shortages.</w:t>
      </w:r>
    </w:p>
    <w:p w14:paraId="5C9AD8C9" w14:textId="77777777" w:rsidR="00E03E11" w:rsidRDefault="00E03E11" w:rsidP="00E82011">
      <w:pPr>
        <w:pStyle w:val="Heading1"/>
        <w:spacing w:before="240"/>
        <w:rPr>
          <w:rFonts w:cs="Arial"/>
        </w:rPr>
      </w:pPr>
      <w:r>
        <w:rPr>
          <w:rFonts w:cs="Arial"/>
        </w:rPr>
        <w:br w:type="page"/>
      </w:r>
    </w:p>
    <w:p w14:paraId="493497AA" w14:textId="48255E2E" w:rsidR="00A527CC" w:rsidRPr="00BB36CB" w:rsidRDefault="00873BB7" w:rsidP="00E82011">
      <w:pPr>
        <w:pStyle w:val="Heading1"/>
        <w:spacing w:before="240"/>
        <w:rPr>
          <w:rFonts w:cs="Arial"/>
        </w:rPr>
      </w:pPr>
      <w:bookmarkStart w:id="1" w:name="_Toc134785319"/>
      <w:r>
        <w:rPr>
          <w:rFonts w:cs="Arial"/>
        </w:rPr>
        <w:lastRenderedPageBreak/>
        <w:t>R</w:t>
      </w:r>
      <w:r w:rsidR="00D06717" w:rsidRPr="00BB36CB">
        <w:rPr>
          <w:rFonts w:cs="Arial"/>
        </w:rPr>
        <w:t>ecent labour market outcomes</w:t>
      </w:r>
      <w:bookmarkEnd w:id="1"/>
    </w:p>
    <w:p w14:paraId="3A891703" w14:textId="1992CE0A" w:rsidR="00E338F0" w:rsidRPr="00E03720" w:rsidRDefault="00E338F0" w:rsidP="00E338F0">
      <w:pPr>
        <w:pStyle w:val="Bodycopy"/>
        <w:spacing w:after="120"/>
        <w:rPr>
          <w:rFonts w:cs="Arial"/>
        </w:rPr>
      </w:pPr>
      <w:bookmarkStart w:id="2" w:name="_Toc110414940"/>
      <w:bookmarkStart w:id="3" w:name="_Toc118443202"/>
      <w:bookmarkStart w:id="4" w:name="_Toc118443343"/>
      <w:r w:rsidRPr="00E03720">
        <w:rPr>
          <w:rFonts w:cs="Arial"/>
        </w:rPr>
        <w:t xml:space="preserve">Underlying labour market </w:t>
      </w:r>
      <w:r w:rsidRPr="003A4B02">
        <w:rPr>
          <w:rFonts w:cs="Arial"/>
        </w:rPr>
        <w:t>conditions were strong over the three months to March 2023</w:t>
      </w:r>
      <w:r w:rsidR="0097383C" w:rsidRPr="003A4B02">
        <w:rPr>
          <w:rFonts w:cs="Arial"/>
        </w:rPr>
        <w:t>, albeit a</w:t>
      </w:r>
      <w:r w:rsidR="00066F82" w:rsidRPr="003A4B02">
        <w:rPr>
          <w:rFonts w:cs="Arial"/>
        </w:rPr>
        <w:t>n</w:t>
      </w:r>
      <w:r w:rsidR="0097383C" w:rsidRPr="003A4B02">
        <w:rPr>
          <w:rFonts w:cs="Arial"/>
        </w:rPr>
        <w:t xml:space="preserve"> increase in the unemployment rate </w:t>
      </w:r>
      <w:r w:rsidR="00066F82" w:rsidRPr="003A4B02">
        <w:rPr>
          <w:rFonts w:cs="Arial"/>
        </w:rPr>
        <w:t xml:space="preserve">(to 3.7%) </w:t>
      </w:r>
      <w:r w:rsidR="0097383C" w:rsidRPr="003A4B02">
        <w:rPr>
          <w:rFonts w:cs="Arial"/>
        </w:rPr>
        <w:t>was subsequently recorded in April</w:t>
      </w:r>
      <w:r w:rsidRPr="003A4B02">
        <w:rPr>
          <w:rFonts w:cs="Arial"/>
        </w:rPr>
        <w:t>.</w:t>
      </w:r>
      <w:r w:rsidRPr="00E03720">
        <w:rPr>
          <w:rFonts w:cs="Arial"/>
        </w:rPr>
        <w:t xml:space="preserve"> </w:t>
      </w:r>
    </w:p>
    <w:p w14:paraId="384490DA" w14:textId="77777777" w:rsidR="00E338F0" w:rsidRPr="00E03720" w:rsidRDefault="00E338F0" w:rsidP="00E338F0">
      <w:pPr>
        <w:pStyle w:val="Heading5"/>
      </w:pPr>
      <w:r w:rsidRPr="00E03720">
        <w:t>Table 1: Key labour market indicators, March 2023, and change since December 2022</w:t>
      </w:r>
    </w:p>
    <w:tbl>
      <w:tblPr>
        <w:tblStyle w:val="GridTable4-Accent1"/>
        <w:tblW w:w="5000" w:type="pct"/>
        <w:tblLayout w:type="fixed"/>
        <w:tblLook w:val="04A0" w:firstRow="1" w:lastRow="0" w:firstColumn="1" w:lastColumn="0" w:noHBand="0" w:noVBand="1"/>
      </w:tblPr>
      <w:tblGrid>
        <w:gridCol w:w="1996"/>
        <w:gridCol w:w="2837"/>
        <w:gridCol w:w="1999"/>
        <w:gridCol w:w="2003"/>
        <w:gridCol w:w="1774"/>
      </w:tblGrid>
      <w:tr w:rsidR="00E338F0" w:rsidRPr="00E03720" w14:paraId="44A79F11" w14:textId="77777777" w:rsidTr="001D600D">
        <w:trPr>
          <w:cnfStyle w:val="100000000000" w:firstRow="1" w:lastRow="0" w:firstColumn="0" w:lastColumn="0" w:oddVBand="0" w:evenVBand="0" w:oddHBand="0"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941" w:type="pct"/>
            <w:shd w:val="clear" w:color="auto" w:fill="441170"/>
          </w:tcPr>
          <w:p w14:paraId="3975CEF7" w14:textId="77777777" w:rsidR="00E338F0" w:rsidRPr="00E03720" w:rsidRDefault="00E338F0" w:rsidP="001D600D">
            <w:pPr>
              <w:spacing w:after="120" w:line="276" w:lineRule="auto"/>
              <w:jc w:val="center"/>
              <w:rPr>
                <w:rFonts w:cs="Arial"/>
                <w:color w:val="FFFFFF" w:themeColor="background1"/>
              </w:rPr>
            </w:pPr>
            <w:r w:rsidRPr="00E03720">
              <w:rPr>
                <w:rFonts w:cs="Arial"/>
                <w:color w:val="FFFFFF" w:themeColor="background1"/>
              </w:rPr>
              <w:t>Employment</w:t>
            </w:r>
          </w:p>
        </w:tc>
        <w:tc>
          <w:tcPr>
            <w:tcW w:w="1337" w:type="pct"/>
            <w:shd w:val="clear" w:color="auto" w:fill="441170"/>
          </w:tcPr>
          <w:p w14:paraId="7791B66A" w14:textId="77777777" w:rsidR="00E338F0" w:rsidRPr="00E03720" w:rsidDel="00686F2E" w:rsidRDefault="00E338F0" w:rsidP="001D600D">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E03720">
              <w:rPr>
                <w:rFonts w:cs="Arial"/>
                <w:color w:val="FFFFFF" w:themeColor="background1"/>
              </w:rPr>
              <w:t>Monthly hours worked in all jobs</w:t>
            </w:r>
          </w:p>
        </w:tc>
        <w:tc>
          <w:tcPr>
            <w:tcW w:w="942" w:type="pct"/>
            <w:shd w:val="clear" w:color="auto" w:fill="441170"/>
          </w:tcPr>
          <w:p w14:paraId="2C0FF4CC" w14:textId="77777777" w:rsidR="00E338F0" w:rsidRPr="00E03720" w:rsidRDefault="00E338F0" w:rsidP="001D600D">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E03720">
              <w:rPr>
                <w:rFonts w:cs="Arial"/>
                <w:color w:val="FFFFFF" w:themeColor="background1"/>
              </w:rPr>
              <w:t>Labour force</w:t>
            </w:r>
          </w:p>
        </w:tc>
        <w:tc>
          <w:tcPr>
            <w:tcW w:w="944" w:type="pct"/>
            <w:shd w:val="clear" w:color="auto" w:fill="441170"/>
          </w:tcPr>
          <w:p w14:paraId="7B2F0C59" w14:textId="77777777" w:rsidR="00E338F0" w:rsidRPr="00E03720" w:rsidRDefault="00E338F0" w:rsidP="001D600D">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E03720">
              <w:rPr>
                <w:rFonts w:cs="Arial"/>
                <w:color w:val="FFFFFF" w:themeColor="background1"/>
              </w:rPr>
              <w:t>Unemployment rate</w:t>
            </w:r>
          </w:p>
        </w:tc>
        <w:tc>
          <w:tcPr>
            <w:tcW w:w="836" w:type="pct"/>
            <w:shd w:val="clear" w:color="auto" w:fill="441170"/>
          </w:tcPr>
          <w:p w14:paraId="56F9B528" w14:textId="77777777" w:rsidR="00E338F0" w:rsidRPr="00E03720" w:rsidRDefault="00E338F0" w:rsidP="001D600D">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E03720">
              <w:rPr>
                <w:rFonts w:cs="Arial"/>
                <w:color w:val="FFFFFF" w:themeColor="background1"/>
              </w:rPr>
              <w:t>Participation rate</w:t>
            </w:r>
          </w:p>
        </w:tc>
      </w:tr>
      <w:tr w:rsidR="00E338F0" w:rsidRPr="00E03720" w14:paraId="5422E259" w14:textId="77777777" w:rsidTr="001D600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41" w:type="pct"/>
            <w:shd w:val="clear" w:color="auto" w:fill="FFFFFF" w:themeFill="background1"/>
          </w:tcPr>
          <w:p w14:paraId="6D8E195A" w14:textId="77777777" w:rsidR="00E338F0" w:rsidRPr="00AF523E" w:rsidRDefault="00E338F0" w:rsidP="001D600D">
            <w:pPr>
              <w:spacing w:after="120" w:line="276" w:lineRule="auto"/>
              <w:jc w:val="center"/>
              <w:rPr>
                <w:rFonts w:cs="Arial"/>
                <w:b w:val="0"/>
                <w:bCs w:val="0"/>
              </w:rPr>
            </w:pPr>
            <w:r w:rsidRPr="00E03720">
              <w:rPr>
                <w:rFonts w:cs="Arial"/>
              </w:rPr>
              <w:t xml:space="preserve">↑ </w:t>
            </w:r>
            <w:r w:rsidRPr="00AF523E">
              <w:rPr>
                <w:rFonts w:cs="Arial"/>
                <w:b w:val="0"/>
                <w:bCs w:val="0"/>
              </w:rPr>
              <w:t>0.8%</w:t>
            </w:r>
          </w:p>
          <w:p w14:paraId="7F6F8B27" w14:textId="77777777" w:rsidR="00E338F0" w:rsidRPr="00E03720" w:rsidRDefault="00E338F0" w:rsidP="001D600D">
            <w:pPr>
              <w:spacing w:after="120" w:line="276" w:lineRule="auto"/>
              <w:jc w:val="center"/>
              <w:rPr>
                <w:rFonts w:cs="Arial"/>
              </w:rPr>
            </w:pPr>
            <w:r w:rsidRPr="00AF523E">
              <w:rPr>
                <w:rFonts w:cs="Arial"/>
                <w:b w:val="0"/>
                <w:bCs w:val="0"/>
              </w:rPr>
              <w:t xml:space="preserve"> 13,884,400</w:t>
            </w:r>
          </w:p>
        </w:tc>
        <w:tc>
          <w:tcPr>
            <w:tcW w:w="1337" w:type="pct"/>
            <w:shd w:val="clear" w:color="auto" w:fill="FFFFFF" w:themeFill="background1"/>
          </w:tcPr>
          <w:p w14:paraId="753A41F0" w14:textId="77777777" w:rsidR="00E338F0" w:rsidRPr="00E03720" w:rsidRDefault="00E338F0" w:rsidP="001D600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E03720">
              <w:rPr>
                <w:rFonts w:cs="Arial"/>
              </w:rPr>
              <w:t>↑ 1.4%</w:t>
            </w:r>
          </w:p>
          <w:p w14:paraId="57008E3F" w14:textId="77777777" w:rsidR="00E338F0" w:rsidRPr="00E03720" w:rsidRDefault="00E338F0" w:rsidP="001D600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E03720">
              <w:rPr>
                <w:rFonts w:cs="Arial"/>
              </w:rPr>
              <w:t>1,914.2 million hours</w:t>
            </w:r>
          </w:p>
        </w:tc>
        <w:tc>
          <w:tcPr>
            <w:tcW w:w="942" w:type="pct"/>
            <w:shd w:val="clear" w:color="auto" w:fill="FFFFFF" w:themeFill="background1"/>
          </w:tcPr>
          <w:p w14:paraId="4B5DDCAE" w14:textId="77777777" w:rsidR="00E338F0" w:rsidRPr="00E03720" w:rsidRDefault="00E338F0" w:rsidP="001D600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E03720">
              <w:rPr>
                <w:rFonts w:cs="Arial"/>
              </w:rPr>
              <w:t xml:space="preserve">↑ 0.8% </w:t>
            </w:r>
          </w:p>
          <w:p w14:paraId="6AE7D839" w14:textId="77777777" w:rsidR="00E338F0" w:rsidRPr="00E03720" w:rsidRDefault="00E338F0" w:rsidP="001D600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E03720">
              <w:rPr>
                <w:rFonts w:cs="Arial"/>
              </w:rPr>
              <w:t>14,391,500</w:t>
            </w:r>
          </w:p>
        </w:tc>
        <w:tc>
          <w:tcPr>
            <w:tcW w:w="944" w:type="pct"/>
            <w:shd w:val="clear" w:color="auto" w:fill="FFFFFF" w:themeFill="background1"/>
          </w:tcPr>
          <w:p w14:paraId="5B5EFAD1" w14:textId="77777777" w:rsidR="00E338F0" w:rsidRPr="00E03720" w:rsidRDefault="00E338F0" w:rsidP="001D600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E03720">
              <w:rPr>
                <w:rFonts w:cs="Arial"/>
              </w:rPr>
              <w:t>Steady</w:t>
            </w:r>
          </w:p>
          <w:p w14:paraId="65C9045B" w14:textId="77777777" w:rsidR="00E338F0" w:rsidRPr="00E03720" w:rsidRDefault="00E338F0" w:rsidP="001D600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E03720">
              <w:rPr>
                <w:rFonts w:cs="Arial"/>
              </w:rPr>
              <w:t>3.5%</w:t>
            </w:r>
          </w:p>
        </w:tc>
        <w:tc>
          <w:tcPr>
            <w:tcW w:w="836" w:type="pct"/>
            <w:shd w:val="clear" w:color="auto" w:fill="FFFFFF" w:themeFill="background1"/>
          </w:tcPr>
          <w:p w14:paraId="6BB90E7E" w14:textId="697AC374" w:rsidR="00E338F0" w:rsidRPr="00DA791E" w:rsidRDefault="00E338F0" w:rsidP="001D600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BF5331">
              <w:rPr>
                <w:rFonts w:cs="Arial"/>
              </w:rPr>
              <w:t>↑ 0.1 % pts</w:t>
            </w:r>
          </w:p>
          <w:p w14:paraId="356DE625" w14:textId="77777777" w:rsidR="00E338F0" w:rsidRPr="00DA791E" w:rsidRDefault="00E338F0" w:rsidP="001D600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DA791E">
              <w:rPr>
                <w:rFonts w:cs="Arial"/>
              </w:rPr>
              <w:t>66.7%</w:t>
            </w:r>
          </w:p>
        </w:tc>
      </w:tr>
    </w:tbl>
    <w:p w14:paraId="5952400E" w14:textId="77777777" w:rsidR="00E338F0" w:rsidRPr="00E03720" w:rsidRDefault="00E338F0" w:rsidP="00E338F0">
      <w:pPr>
        <w:pStyle w:val="Source"/>
        <w:rPr>
          <w:rFonts w:ascii="Arial" w:hAnsi="Arial" w:cs="Arial"/>
          <w:i w:val="0"/>
          <w:iCs/>
        </w:rPr>
      </w:pPr>
      <w:r w:rsidRPr="00E03720">
        <w:rPr>
          <w:rFonts w:ascii="Arial" w:hAnsi="Arial" w:cs="Arial"/>
          <w:i w:val="0"/>
          <w:iCs/>
        </w:rPr>
        <w:t xml:space="preserve">ABS, </w:t>
      </w:r>
      <w:r w:rsidRPr="00E03720">
        <w:rPr>
          <w:rFonts w:ascii="Arial" w:hAnsi="Arial" w:cs="Arial"/>
        </w:rPr>
        <w:t>Labour Force, Australia,</w:t>
      </w:r>
      <w:r w:rsidRPr="00E03720">
        <w:rPr>
          <w:rFonts w:ascii="Arial" w:hAnsi="Arial" w:cs="Arial"/>
          <w:i w:val="0"/>
          <w:iCs/>
        </w:rPr>
        <w:t xml:space="preserve"> March 2023, </w:t>
      </w:r>
      <w:r w:rsidRPr="00E03720">
        <w:rPr>
          <w:rFonts w:ascii="Arial" w:hAnsi="Arial" w:cs="Arial"/>
        </w:rPr>
        <w:t>seasonally adjusted</w:t>
      </w:r>
      <w:r w:rsidRPr="00E03720">
        <w:rPr>
          <w:rFonts w:ascii="Arial" w:hAnsi="Arial" w:cs="Arial"/>
          <w:i w:val="0"/>
          <w:iCs/>
        </w:rPr>
        <w:t xml:space="preserve"> </w:t>
      </w:r>
      <w:r w:rsidRPr="00E03720">
        <w:rPr>
          <w:rFonts w:ascii="Arial" w:hAnsi="Arial" w:cs="Arial"/>
        </w:rPr>
        <w:t>data</w:t>
      </w:r>
      <w:r w:rsidRPr="00E03720">
        <w:rPr>
          <w:rFonts w:ascii="Arial" w:hAnsi="Arial" w:cs="Arial"/>
          <w:i w:val="0"/>
          <w:iCs/>
        </w:rPr>
        <w:t>.</w:t>
      </w:r>
    </w:p>
    <w:p w14:paraId="43703D1E" w14:textId="3C5BFE06" w:rsidR="00E338F0" w:rsidRPr="00E03720" w:rsidRDefault="00E338F0" w:rsidP="00E338F0">
      <w:pPr>
        <w:pStyle w:val="BodyText"/>
        <w:rPr>
          <w:rFonts w:ascii="Arial" w:hAnsi="Arial" w:cs="Arial"/>
          <w:sz w:val="22"/>
          <w:szCs w:val="22"/>
        </w:rPr>
      </w:pPr>
      <w:r w:rsidRPr="00E03720">
        <w:rPr>
          <w:rFonts w:ascii="Arial" w:hAnsi="Arial" w:cs="Arial"/>
          <w:sz w:val="22"/>
          <w:szCs w:val="22"/>
        </w:rPr>
        <w:t xml:space="preserve">ABS </w:t>
      </w:r>
      <w:r w:rsidRPr="00E03720">
        <w:rPr>
          <w:rFonts w:ascii="Arial" w:hAnsi="Arial" w:cs="Arial"/>
          <w:i/>
          <w:iCs/>
          <w:sz w:val="22"/>
          <w:szCs w:val="22"/>
        </w:rPr>
        <w:t>Labour Force Survey</w:t>
      </w:r>
      <w:r w:rsidRPr="00E03720">
        <w:rPr>
          <w:rFonts w:ascii="Arial" w:hAnsi="Arial" w:cs="Arial"/>
          <w:sz w:val="22"/>
          <w:szCs w:val="22"/>
        </w:rPr>
        <w:t xml:space="preserve"> figures show that the level of employment increased by a robust 106,100 (or 0.8%) over the three months to March 2023. Encouragingly, the rise in employment over the period was driven entirely by </w:t>
      </w:r>
      <w:r>
        <w:rPr>
          <w:rFonts w:ascii="Arial" w:hAnsi="Arial" w:cs="Arial"/>
          <w:sz w:val="22"/>
          <w:szCs w:val="22"/>
        </w:rPr>
        <w:t xml:space="preserve">a strong increase in </w:t>
      </w:r>
      <w:r w:rsidRPr="00E03720">
        <w:rPr>
          <w:rFonts w:ascii="Arial" w:hAnsi="Arial" w:cs="Arial"/>
          <w:sz w:val="22"/>
          <w:szCs w:val="22"/>
        </w:rPr>
        <w:t xml:space="preserve">full-time employment, which </w:t>
      </w:r>
      <w:r>
        <w:rPr>
          <w:rFonts w:ascii="Arial" w:hAnsi="Arial" w:cs="Arial"/>
          <w:sz w:val="22"/>
          <w:szCs w:val="22"/>
        </w:rPr>
        <w:t>rose</w:t>
      </w:r>
      <w:r w:rsidRPr="00E03720">
        <w:rPr>
          <w:rFonts w:ascii="Arial" w:hAnsi="Arial" w:cs="Arial"/>
          <w:sz w:val="22"/>
          <w:szCs w:val="22"/>
        </w:rPr>
        <w:t xml:space="preserve"> by 107,700 (or 1.1%), while part-time employment decreased by 1,600. </w:t>
      </w:r>
    </w:p>
    <w:p w14:paraId="43E56E2E" w14:textId="5A3BFA32" w:rsidR="00E338F0" w:rsidRPr="00E03720" w:rsidRDefault="00E338F0" w:rsidP="00CB0BE2">
      <w:pPr>
        <w:pStyle w:val="BodyText"/>
        <w:numPr>
          <w:ilvl w:val="0"/>
          <w:numId w:val="22"/>
        </w:numPr>
        <w:rPr>
          <w:rFonts w:ascii="Arial" w:hAnsi="Arial" w:cs="Arial"/>
          <w:sz w:val="22"/>
          <w:szCs w:val="22"/>
        </w:rPr>
      </w:pPr>
      <w:r w:rsidRPr="00E03720">
        <w:rPr>
          <w:rFonts w:ascii="Arial" w:hAnsi="Arial" w:cs="Arial"/>
          <w:sz w:val="22"/>
          <w:szCs w:val="22"/>
        </w:rPr>
        <w:t xml:space="preserve">Significantly, employment for women rose by 79,000 (or 1.2%) over the three months to March 2023, accounting for just under </w:t>
      </w:r>
      <w:r>
        <w:rPr>
          <w:rFonts w:ascii="Arial" w:hAnsi="Arial" w:cs="Arial"/>
          <w:sz w:val="22"/>
          <w:szCs w:val="22"/>
        </w:rPr>
        <w:t>three quarters</w:t>
      </w:r>
      <w:r w:rsidRPr="00E03720">
        <w:rPr>
          <w:rFonts w:ascii="Arial" w:hAnsi="Arial" w:cs="Arial"/>
          <w:sz w:val="22"/>
          <w:szCs w:val="22"/>
        </w:rPr>
        <w:t xml:space="preserve"> of total employment growth over the period. Moreover, the vast majority (87%) of female employment growth over the period was</w:t>
      </w:r>
      <w:r>
        <w:rPr>
          <w:rFonts w:ascii="Arial" w:hAnsi="Arial" w:cs="Arial"/>
          <w:sz w:val="22"/>
          <w:szCs w:val="22"/>
        </w:rPr>
        <w:t xml:space="preserve"> concentrated</w:t>
      </w:r>
      <w:r w:rsidRPr="00E03720">
        <w:rPr>
          <w:rFonts w:ascii="Arial" w:hAnsi="Arial" w:cs="Arial"/>
          <w:sz w:val="22"/>
          <w:szCs w:val="22"/>
        </w:rPr>
        <w:t xml:space="preserve"> in full-time jobs.</w:t>
      </w:r>
    </w:p>
    <w:p w14:paraId="2508FDCF" w14:textId="77777777" w:rsidR="00E338F0" w:rsidRPr="008453B4" w:rsidRDefault="00E338F0" w:rsidP="00E338F0">
      <w:pPr>
        <w:pStyle w:val="BodyText"/>
        <w:rPr>
          <w:rFonts w:ascii="Arial" w:hAnsi="Arial" w:cs="Arial"/>
          <w:sz w:val="22"/>
          <w:szCs w:val="22"/>
        </w:rPr>
      </w:pPr>
      <w:r w:rsidRPr="00E03720">
        <w:rPr>
          <w:rFonts w:ascii="Arial" w:hAnsi="Arial" w:cs="Arial"/>
          <w:sz w:val="22"/>
          <w:szCs w:val="22"/>
        </w:rPr>
        <w:t>The employment-to-population ratio (for persons aged 15 and above) rose slightly over the quarter, from 64.3% in December 2022</w:t>
      </w:r>
      <w:r>
        <w:rPr>
          <w:rFonts w:ascii="Arial" w:hAnsi="Arial" w:cs="Arial"/>
          <w:sz w:val="22"/>
          <w:szCs w:val="22"/>
        </w:rPr>
        <w:t>,</w:t>
      </w:r>
      <w:r w:rsidRPr="00E03720">
        <w:rPr>
          <w:rFonts w:ascii="Arial" w:hAnsi="Arial" w:cs="Arial"/>
          <w:sz w:val="22"/>
          <w:szCs w:val="22"/>
        </w:rPr>
        <w:t xml:space="preserve"> to 64.4% in March 2023, and is </w:t>
      </w:r>
      <w:r>
        <w:rPr>
          <w:rFonts w:ascii="Arial" w:hAnsi="Arial" w:cs="Arial"/>
          <w:sz w:val="22"/>
          <w:szCs w:val="22"/>
        </w:rPr>
        <w:t xml:space="preserve">now </w:t>
      </w:r>
      <w:r w:rsidRPr="00E03720">
        <w:rPr>
          <w:rFonts w:ascii="Arial" w:hAnsi="Arial" w:cs="Arial"/>
          <w:sz w:val="22"/>
          <w:szCs w:val="22"/>
        </w:rPr>
        <w:t xml:space="preserve">just below the record high of 64.5% </w:t>
      </w:r>
      <w:r>
        <w:rPr>
          <w:rFonts w:ascii="Arial" w:hAnsi="Arial" w:cs="Arial"/>
          <w:sz w:val="22"/>
          <w:szCs w:val="22"/>
        </w:rPr>
        <w:t xml:space="preserve">recorded </w:t>
      </w:r>
      <w:r w:rsidRPr="00E03720">
        <w:rPr>
          <w:rFonts w:ascii="Arial" w:hAnsi="Arial" w:cs="Arial"/>
          <w:sz w:val="22"/>
          <w:szCs w:val="22"/>
        </w:rPr>
        <w:t>in November 2022.</w:t>
      </w:r>
    </w:p>
    <w:p w14:paraId="64FDA75E" w14:textId="77777777" w:rsidR="00E338F0" w:rsidRPr="00DA791E" w:rsidRDefault="00E338F0" w:rsidP="00CB0BE2">
      <w:pPr>
        <w:pStyle w:val="BodyText"/>
        <w:numPr>
          <w:ilvl w:val="0"/>
          <w:numId w:val="21"/>
        </w:numPr>
        <w:rPr>
          <w:rFonts w:ascii="Arial" w:hAnsi="Arial" w:cs="Arial"/>
          <w:sz w:val="22"/>
          <w:szCs w:val="22"/>
        </w:rPr>
      </w:pPr>
      <w:r w:rsidRPr="000275B1">
        <w:rPr>
          <w:rFonts w:ascii="Arial" w:hAnsi="Arial" w:cs="Arial"/>
          <w:sz w:val="22"/>
          <w:szCs w:val="22"/>
        </w:rPr>
        <w:t xml:space="preserve">The employment-to-population ratio for </w:t>
      </w:r>
      <w:r>
        <w:rPr>
          <w:rFonts w:ascii="Arial" w:hAnsi="Arial" w:cs="Arial"/>
          <w:sz w:val="22"/>
          <w:szCs w:val="22"/>
        </w:rPr>
        <w:t>women</w:t>
      </w:r>
      <w:r w:rsidRPr="000275B1">
        <w:rPr>
          <w:rFonts w:ascii="Arial" w:hAnsi="Arial" w:cs="Arial"/>
          <w:sz w:val="22"/>
          <w:szCs w:val="22"/>
        </w:rPr>
        <w:t xml:space="preserve"> increased by 0.3 percentage points over the quarter, to a record high of 60.4% in March 2023, although it remains well below the 68.5% </w:t>
      </w:r>
      <w:r>
        <w:rPr>
          <w:rFonts w:ascii="Arial" w:hAnsi="Arial" w:cs="Arial"/>
          <w:sz w:val="22"/>
          <w:szCs w:val="22"/>
        </w:rPr>
        <w:t xml:space="preserve">recorded </w:t>
      </w:r>
      <w:r w:rsidRPr="000275B1">
        <w:rPr>
          <w:rFonts w:ascii="Arial" w:hAnsi="Arial" w:cs="Arial"/>
          <w:sz w:val="22"/>
          <w:szCs w:val="22"/>
        </w:rPr>
        <w:t>for men.</w:t>
      </w:r>
    </w:p>
    <w:p w14:paraId="720AB1B0" w14:textId="1678B73C" w:rsidR="00E338F0" w:rsidRPr="00E03720" w:rsidRDefault="00E338F0" w:rsidP="00E338F0">
      <w:pPr>
        <w:pStyle w:val="BodyText"/>
        <w:rPr>
          <w:rFonts w:ascii="Arial" w:hAnsi="Arial" w:cs="Arial"/>
          <w:sz w:val="22"/>
          <w:szCs w:val="22"/>
        </w:rPr>
      </w:pPr>
      <w:r w:rsidRPr="00E03720">
        <w:rPr>
          <w:rFonts w:ascii="Arial" w:hAnsi="Arial" w:cs="Arial"/>
          <w:sz w:val="22"/>
          <w:szCs w:val="22"/>
        </w:rPr>
        <w:t xml:space="preserve">The unemployment rate was steady over the quarter, at 3.5% in </w:t>
      </w:r>
      <w:r w:rsidRPr="00DA791E">
        <w:rPr>
          <w:rFonts w:ascii="Arial" w:hAnsi="Arial" w:cs="Arial"/>
          <w:sz w:val="22"/>
          <w:szCs w:val="22"/>
        </w:rPr>
        <w:t>March 2023</w:t>
      </w:r>
      <w:r>
        <w:rPr>
          <w:rFonts w:ascii="Arial" w:hAnsi="Arial" w:cs="Arial"/>
          <w:sz w:val="22"/>
          <w:szCs w:val="22"/>
        </w:rPr>
        <w:t>, and remained close to its 50-year low</w:t>
      </w:r>
      <w:r w:rsidRPr="00DA791E">
        <w:rPr>
          <w:rFonts w:ascii="Arial" w:hAnsi="Arial" w:cs="Arial"/>
          <w:sz w:val="22"/>
          <w:szCs w:val="22"/>
        </w:rPr>
        <w:t xml:space="preserve">. The participation rate increased </w:t>
      </w:r>
      <w:r w:rsidRPr="000275B1">
        <w:rPr>
          <w:rFonts w:ascii="Arial" w:hAnsi="Arial" w:cs="Arial"/>
          <w:sz w:val="22"/>
          <w:szCs w:val="22"/>
        </w:rPr>
        <w:t xml:space="preserve">by 0.1 percentage points </w:t>
      </w:r>
      <w:r w:rsidRPr="00DA791E">
        <w:rPr>
          <w:rFonts w:ascii="Arial" w:hAnsi="Arial" w:cs="Arial"/>
          <w:sz w:val="22"/>
          <w:szCs w:val="22"/>
        </w:rPr>
        <w:t>over the period,</w:t>
      </w:r>
      <w:r w:rsidRPr="000275B1">
        <w:rPr>
          <w:rFonts w:ascii="Arial" w:hAnsi="Arial" w:cs="Arial"/>
          <w:sz w:val="22"/>
          <w:szCs w:val="22"/>
        </w:rPr>
        <w:t xml:space="preserve"> to</w:t>
      </w:r>
      <w:r w:rsidRPr="00DA791E">
        <w:rPr>
          <w:rFonts w:ascii="Arial" w:hAnsi="Arial" w:cs="Arial"/>
          <w:sz w:val="22"/>
          <w:szCs w:val="22"/>
        </w:rPr>
        <w:t xml:space="preserve"> 66.7% in March 2023, and i</w:t>
      </w:r>
      <w:r w:rsidRPr="00E03720">
        <w:rPr>
          <w:rFonts w:ascii="Arial" w:hAnsi="Arial" w:cs="Arial"/>
          <w:sz w:val="22"/>
          <w:szCs w:val="22"/>
        </w:rPr>
        <w:t>s close to the equal record high of 66.8%</w:t>
      </w:r>
      <w:r>
        <w:rPr>
          <w:rFonts w:ascii="Arial" w:hAnsi="Arial" w:cs="Arial"/>
          <w:sz w:val="22"/>
          <w:szCs w:val="22"/>
        </w:rPr>
        <w:t xml:space="preserve"> recorded</w:t>
      </w:r>
      <w:r w:rsidRPr="00E03720">
        <w:rPr>
          <w:rFonts w:ascii="Arial" w:hAnsi="Arial" w:cs="Arial"/>
          <w:sz w:val="22"/>
          <w:szCs w:val="22"/>
        </w:rPr>
        <w:t xml:space="preserve"> in June 2022 and November 2022. </w:t>
      </w:r>
    </w:p>
    <w:p w14:paraId="1F4FA666" w14:textId="18066D82" w:rsidR="00E338F0" w:rsidRPr="00E03720" w:rsidRDefault="00E338F0" w:rsidP="00CB0BE2">
      <w:pPr>
        <w:pStyle w:val="BodyText"/>
        <w:numPr>
          <w:ilvl w:val="0"/>
          <w:numId w:val="22"/>
        </w:numPr>
        <w:rPr>
          <w:rFonts w:ascii="Arial" w:hAnsi="Arial" w:cs="Arial"/>
          <w:sz w:val="22"/>
          <w:szCs w:val="22"/>
        </w:rPr>
      </w:pPr>
      <w:r w:rsidRPr="00E03720">
        <w:rPr>
          <w:rFonts w:ascii="Arial" w:hAnsi="Arial" w:cs="Arial"/>
          <w:sz w:val="22"/>
          <w:szCs w:val="22"/>
        </w:rPr>
        <w:t xml:space="preserve">The female unemployment rate fell </w:t>
      </w:r>
      <w:r>
        <w:rPr>
          <w:rFonts w:ascii="Arial" w:hAnsi="Arial" w:cs="Arial"/>
          <w:sz w:val="22"/>
          <w:szCs w:val="22"/>
        </w:rPr>
        <w:t xml:space="preserve">slightly over the quarter, </w:t>
      </w:r>
      <w:r w:rsidRPr="00E03720">
        <w:rPr>
          <w:rFonts w:ascii="Arial" w:hAnsi="Arial" w:cs="Arial"/>
          <w:sz w:val="22"/>
          <w:szCs w:val="22"/>
        </w:rPr>
        <w:t>from 3.5% in December 2022</w:t>
      </w:r>
      <w:r>
        <w:rPr>
          <w:rFonts w:ascii="Arial" w:hAnsi="Arial" w:cs="Arial"/>
          <w:sz w:val="22"/>
          <w:szCs w:val="22"/>
        </w:rPr>
        <w:t>,</w:t>
      </w:r>
      <w:r w:rsidRPr="00E03720">
        <w:rPr>
          <w:rFonts w:ascii="Arial" w:hAnsi="Arial" w:cs="Arial"/>
          <w:sz w:val="22"/>
          <w:szCs w:val="22"/>
        </w:rPr>
        <w:t xml:space="preserve"> to 3.4% in March 2023, and has not been lower since November 1973. Importantly, </w:t>
      </w:r>
      <w:r>
        <w:rPr>
          <w:rFonts w:ascii="Arial" w:hAnsi="Arial" w:cs="Arial"/>
          <w:sz w:val="22"/>
          <w:szCs w:val="22"/>
        </w:rPr>
        <w:t>the decline</w:t>
      </w:r>
      <w:r w:rsidRPr="00E03720">
        <w:rPr>
          <w:rFonts w:ascii="Arial" w:hAnsi="Arial" w:cs="Arial"/>
          <w:sz w:val="22"/>
          <w:szCs w:val="22"/>
        </w:rPr>
        <w:t xml:space="preserve"> occurred in conjunction with a rise in the female participation rate, to a record high of 62.5% in March 2023, although it remains well below the 71.1% recorded for men (see Figure 1).</w:t>
      </w:r>
    </w:p>
    <w:p w14:paraId="5B54B7D9" w14:textId="0D712BBC" w:rsidR="00E338F0" w:rsidRPr="006F461C" w:rsidRDefault="00E338F0" w:rsidP="00E338F0">
      <w:pPr>
        <w:pStyle w:val="Heading5"/>
        <w:rPr>
          <w:color w:val="auto"/>
        </w:rPr>
      </w:pPr>
      <w:r w:rsidRPr="006F461C">
        <w:rPr>
          <w:color w:val="auto"/>
        </w:rPr>
        <w:t>Figure 1: Participation rate by gender (%), March 2003 to March 2023</w:t>
      </w:r>
    </w:p>
    <w:p w14:paraId="5C1DF4F2" w14:textId="7536DE8A" w:rsidR="00E338F0" w:rsidRPr="00903099" w:rsidRDefault="00E338F0" w:rsidP="00E338F0">
      <w:r w:rsidRPr="00903099">
        <w:rPr>
          <w:noProof/>
        </w:rPr>
        <w:drawing>
          <wp:inline distT="0" distB="0" distL="0" distR="0" wp14:anchorId="678C19A4" wp14:editId="0794D484">
            <wp:extent cx="6477000" cy="2886075"/>
            <wp:effectExtent l="0" t="0" r="0" b="0"/>
            <wp:docPr id="14" name="Chart 14" descr="Figure 1: Participation rates by gender, March 2003 to March 2023&#10;Figure 1 is a line chart mapping participation rates by gender over the 20 years to December 2003. It shows that while the participation rate for males was still higher than for females in March 2023 (71.1 per cent compared with 62.5 per cent), the gap has narrowed considerably over the last 20 years falling from 15.7 percentage points in March 2003 to 8.6 percentage points in March 2023.&#10;">
              <a:extLst xmlns:a="http://schemas.openxmlformats.org/drawingml/2006/main">
                <a:ext uri="{FF2B5EF4-FFF2-40B4-BE49-F238E27FC236}">
                  <a16:creationId xmlns:a16="http://schemas.microsoft.com/office/drawing/2014/main" id="{00000000-0008-0000-0800-00000A5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4ABE16" w14:textId="6E8FE93F" w:rsidR="00E338F0" w:rsidRPr="0080041B" w:rsidRDefault="00E338F0" w:rsidP="00E338F0">
      <w:pPr>
        <w:pStyle w:val="Source"/>
        <w:rPr>
          <w:rFonts w:ascii="Arial" w:hAnsi="Arial" w:cs="Arial"/>
          <w:i w:val="0"/>
          <w:iCs/>
          <w:color w:val="auto"/>
        </w:rPr>
      </w:pPr>
      <w:bookmarkStart w:id="5" w:name="_Hlk93564042"/>
      <w:r w:rsidRPr="00903099">
        <w:rPr>
          <w:rFonts w:ascii="Arial" w:hAnsi="Arial" w:cs="Arial"/>
          <w:i w:val="0"/>
          <w:iCs/>
        </w:rPr>
        <w:t xml:space="preserve">ABS, </w:t>
      </w:r>
      <w:r w:rsidRPr="00903099">
        <w:rPr>
          <w:rFonts w:ascii="Arial" w:hAnsi="Arial" w:cs="Arial"/>
        </w:rPr>
        <w:t xml:space="preserve">Labour Force, </w:t>
      </w:r>
      <w:r w:rsidRPr="006F461C">
        <w:rPr>
          <w:rFonts w:ascii="Arial" w:hAnsi="Arial" w:cs="Arial"/>
          <w:color w:val="auto"/>
        </w:rPr>
        <w:t>Australia,</w:t>
      </w:r>
      <w:r w:rsidRPr="006F461C">
        <w:rPr>
          <w:rFonts w:ascii="Arial" w:hAnsi="Arial" w:cs="Arial"/>
          <w:i w:val="0"/>
          <w:iCs/>
          <w:color w:val="auto"/>
        </w:rPr>
        <w:t xml:space="preserve"> March 2023, </w:t>
      </w:r>
      <w:r w:rsidRPr="006F461C">
        <w:rPr>
          <w:rFonts w:ascii="Arial" w:hAnsi="Arial" w:cs="Arial"/>
          <w:color w:val="auto"/>
        </w:rPr>
        <w:t>seasonally adjusted</w:t>
      </w:r>
      <w:r w:rsidRPr="006F461C">
        <w:rPr>
          <w:rFonts w:ascii="Arial" w:hAnsi="Arial" w:cs="Arial"/>
          <w:i w:val="0"/>
          <w:iCs/>
          <w:color w:val="auto"/>
        </w:rPr>
        <w:t xml:space="preserve"> </w:t>
      </w:r>
      <w:r w:rsidRPr="006F461C">
        <w:rPr>
          <w:rFonts w:ascii="Arial" w:hAnsi="Arial" w:cs="Arial"/>
          <w:color w:val="auto"/>
        </w:rPr>
        <w:t>data</w:t>
      </w:r>
      <w:r w:rsidRPr="0080041B">
        <w:rPr>
          <w:rFonts w:ascii="Arial" w:hAnsi="Arial" w:cs="Arial"/>
          <w:i w:val="0"/>
          <w:iCs/>
          <w:color w:val="auto"/>
        </w:rPr>
        <w:t>.</w:t>
      </w:r>
    </w:p>
    <w:bookmarkEnd w:id="5"/>
    <w:p w14:paraId="426B011F" w14:textId="6099C9C2" w:rsidR="00E338F0" w:rsidRPr="00E03720" w:rsidRDefault="00E338F0" w:rsidP="00E338F0">
      <w:pPr>
        <w:pStyle w:val="Heading5"/>
        <w:rPr>
          <w:b w:val="0"/>
        </w:rPr>
      </w:pPr>
      <w:r w:rsidRPr="00E03720">
        <w:rPr>
          <w:b w:val="0"/>
        </w:rPr>
        <w:lastRenderedPageBreak/>
        <w:t xml:space="preserve">The underemployment rate increased </w:t>
      </w:r>
      <w:r>
        <w:rPr>
          <w:b w:val="0"/>
        </w:rPr>
        <w:t xml:space="preserve">slightly over the quarter, </w:t>
      </w:r>
      <w:r w:rsidRPr="00E03720">
        <w:rPr>
          <w:b w:val="0"/>
        </w:rPr>
        <w:t>from 6.1% in December 2022</w:t>
      </w:r>
      <w:r>
        <w:rPr>
          <w:b w:val="0"/>
        </w:rPr>
        <w:t>,</w:t>
      </w:r>
      <w:r w:rsidRPr="00E03720">
        <w:rPr>
          <w:b w:val="0"/>
        </w:rPr>
        <w:t xml:space="preserve"> to 6.2% in March 2023. </w:t>
      </w:r>
      <w:r w:rsidRPr="009C77D2">
        <w:rPr>
          <w:b w:val="0"/>
        </w:rPr>
        <w:t>Females recorded a 0.3 percentage point increase in their underemployment rate over the period, to 7.7% in March 2023, while the male underemployment rate was steady, at 4.9%. Importantly, however, underemployment rate</w:t>
      </w:r>
      <w:r w:rsidRPr="0051135D">
        <w:rPr>
          <w:b w:val="0"/>
        </w:rPr>
        <w:t>s</w:t>
      </w:r>
      <w:r w:rsidRPr="009C77D2">
        <w:rPr>
          <w:b w:val="0"/>
        </w:rPr>
        <w:t xml:space="preserve"> for males, females and all persons </w:t>
      </w:r>
      <w:r w:rsidRPr="0051135D">
        <w:rPr>
          <w:b w:val="0"/>
        </w:rPr>
        <w:t>remain</w:t>
      </w:r>
      <w:r w:rsidRPr="009C77D2">
        <w:rPr>
          <w:b w:val="0"/>
        </w:rPr>
        <w:t xml:space="preserve"> well below the average rates recorded in the 10 years prior to </w:t>
      </w:r>
      <w:r w:rsidRPr="0051135D">
        <w:rPr>
          <w:b w:val="0"/>
        </w:rPr>
        <w:t xml:space="preserve">the </w:t>
      </w:r>
      <w:r w:rsidRPr="009C77D2">
        <w:rPr>
          <w:b w:val="0"/>
        </w:rPr>
        <w:t>onset of the COVID-19 pandemic (of 6.1%, 10.0% and 7.9%, respectively),</w:t>
      </w:r>
      <w:r w:rsidRPr="0051135D">
        <w:rPr>
          <w:b w:val="0"/>
        </w:rPr>
        <w:t xml:space="preserve"> reflecting the underl</w:t>
      </w:r>
      <w:r w:rsidRPr="009C77D2">
        <w:rPr>
          <w:b w:val="0"/>
        </w:rPr>
        <w:t>y</w:t>
      </w:r>
      <w:r w:rsidRPr="0051135D">
        <w:rPr>
          <w:b w:val="0"/>
        </w:rPr>
        <w:t>ing tightness evident in the labour market</w:t>
      </w:r>
      <w:r w:rsidR="00B27D10">
        <w:rPr>
          <w:b w:val="0"/>
        </w:rPr>
        <w:t xml:space="preserve"> (see Figure 2)</w:t>
      </w:r>
      <w:r w:rsidRPr="009C77D2">
        <w:rPr>
          <w:b w:val="0"/>
        </w:rPr>
        <w:t xml:space="preserve">. </w:t>
      </w:r>
    </w:p>
    <w:p w14:paraId="3ADEBC44" w14:textId="15BA8141" w:rsidR="00E338F0" w:rsidRPr="006F461C" w:rsidRDefault="00E338F0" w:rsidP="006F461C">
      <w:pPr>
        <w:pStyle w:val="Heading5"/>
        <w:tabs>
          <w:tab w:val="left" w:pos="8647"/>
        </w:tabs>
        <w:rPr>
          <w:color w:val="auto"/>
        </w:rPr>
      </w:pPr>
      <w:r w:rsidRPr="006F461C">
        <w:rPr>
          <w:color w:val="auto"/>
        </w:rPr>
        <w:t>Figure 2: Underemployment rate by gender (%), March 2003 to March 2023</w:t>
      </w:r>
    </w:p>
    <w:p w14:paraId="0DE95BCA" w14:textId="2058AF30" w:rsidR="00E338F0" w:rsidRPr="006F461C" w:rsidRDefault="00E338F0" w:rsidP="00E338F0">
      <w:pPr>
        <w:pStyle w:val="Bodycopy"/>
        <w:spacing w:before="0" w:after="120"/>
        <w:rPr>
          <w:rFonts w:cs="Arial"/>
          <w:noProof/>
          <w:color w:val="auto"/>
          <w:sz w:val="20"/>
          <w:szCs w:val="20"/>
        </w:rPr>
      </w:pPr>
      <w:r w:rsidRPr="00903099">
        <w:rPr>
          <w:noProof/>
        </w:rPr>
        <w:drawing>
          <wp:inline distT="0" distB="0" distL="0" distR="0" wp14:anchorId="4DA9A58E" wp14:editId="2921F9B5">
            <wp:extent cx="6410325" cy="2743200"/>
            <wp:effectExtent l="0" t="0" r="0" b="0"/>
            <wp:docPr id="15" name="Chart 15" descr="Figure 2: Underemployment rates by gender, March 2003 to March 2023&#10;Figure 2 is a line chart mapping participation rates by gender over the 20 years to March 2023. It shows that while the underemployment rate for males has consistently been lower than for females, both have declined significantly between mid-2021 and March 2023. The underemployment rate recorded for both males and all persons from May 2022 onwards have been at their lowest levels since the second half of 2008&#10;">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731B1D" w14:textId="404BE990" w:rsidR="00E338F0" w:rsidRPr="006F461C" w:rsidRDefault="00E338F0" w:rsidP="00E338F0">
      <w:pPr>
        <w:pStyle w:val="Source"/>
        <w:rPr>
          <w:rFonts w:ascii="Arial" w:hAnsi="Arial" w:cs="Arial"/>
          <w:i w:val="0"/>
          <w:iCs/>
          <w:color w:val="auto"/>
        </w:rPr>
      </w:pPr>
      <w:r w:rsidRPr="006F461C">
        <w:rPr>
          <w:rFonts w:ascii="Arial" w:hAnsi="Arial" w:cs="Arial"/>
          <w:i w:val="0"/>
          <w:iCs/>
          <w:color w:val="auto"/>
        </w:rPr>
        <w:t xml:space="preserve">ABS, </w:t>
      </w:r>
      <w:r w:rsidRPr="006F461C">
        <w:rPr>
          <w:rFonts w:ascii="Arial" w:hAnsi="Arial" w:cs="Arial"/>
          <w:color w:val="auto"/>
        </w:rPr>
        <w:t>Labour Force, Australia,</w:t>
      </w:r>
      <w:r w:rsidRPr="006F461C">
        <w:rPr>
          <w:rFonts w:ascii="Arial" w:hAnsi="Arial" w:cs="Arial"/>
          <w:i w:val="0"/>
          <w:iCs/>
          <w:color w:val="auto"/>
        </w:rPr>
        <w:t xml:space="preserve"> March 2023, </w:t>
      </w:r>
      <w:r w:rsidRPr="006F461C">
        <w:rPr>
          <w:rFonts w:ascii="Arial" w:hAnsi="Arial" w:cs="Arial"/>
          <w:color w:val="auto"/>
        </w:rPr>
        <w:t>seasonally adjusted</w:t>
      </w:r>
      <w:r w:rsidRPr="006F461C">
        <w:rPr>
          <w:rFonts w:ascii="Arial" w:hAnsi="Arial" w:cs="Arial"/>
          <w:i w:val="0"/>
          <w:iCs/>
          <w:color w:val="auto"/>
        </w:rPr>
        <w:t xml:space="preserve"> </w:t>
      </w:r>
      <w:r w:rsidRPr="006F461C">
        <w:rPr>
          <w:rFonts w:ascii="Arial" w:hAnsi="Arial" w:cs="Arial"/>
          <w:color w:val="auto"/>
        </w:rPr>
        <w:t>data</w:t>
      </w:r>
      <w:r w:rsidRPr="006F461C">
        <w:rPr>
          <w:rFonts w:ascii="Arial" w:hAnsi="Arial" w:cs="Arial"/>
          <w:i w:val="0"/>
          <w:iCs/>
          <w:color w:val="auto"/>
        </w:rPr>
        <w:t>.</w:t>
      </w:r>
    </w:p>
    <w:p w14:paraId="76E4135B" w14:textId="7464CE14" w:rsidR="00E338F0" w:rsidRPr="009F518B" w:rsidRDefault="00E338F0" w:rsidP="00E338F0">
      <w:pPr>
        <w:pStyle w:val="Bodycopy"/>
        <w:spacing w:before="0" w:after="120"/>
        <w:rPr>
          <w:rFonts w:cs="Arial"/>
          <w:color w:val="auto"/>
        </w:rPr>
      </w:pPr>
      <w:r w:rsidRPr="0051135D">
        <w:rPr>
          <w:rFonts w:cs="Arial"/>
          <w:color w:val="auto"/>
        </w:rPr>
        <w:t>Against the backdrop of strong underlying labour market conditions, l</w:t>
      </w:r>
      <w:r w:rsidRPr="009F518B">
        <w:rPr>
          <w:rFonts w:cs="Arial"/>
          <w:color w:val="auto"/>
        </w:rPr>
        <w:t>ong-term unemployment (LTU)</w:t>
      </w:r>
      <w:r w:rsidRPr="009F518B">
        <w:rPr>
          <w:rStyle w:val="FootnoteReference"/>
          <w:rFonts w:cs="Arial"/>
          <w:color w:val="auto"/>
        </w:rPr>
        <w:t xml:space="preserve"> </w:t>
      </w:r>
      <w:r w:rsidRPr="009F518B">
        <w:rPr>
          <w:rStyle w:val="FootnoteReference"/>
          <w:rFonts w:cs="Arial"/>
          <w:color w:val="auto"/>
        </w:rPr>
        <w:footnoteReference w:id="2"/>
      </w:r>
      <w:r w:rsidRPr="009F518B">
        <w:rPr>
          <w:rFonts w:cs="Arial"/>
          <w:color w:val="auto"/>
        </w:rPr>
        <w:t xml:space="preserve"> decreased by 11,300 (or 10.1%) over the three months to March 2023, to stand at 100,400,</w:t>
      </w:r>
      <w:r w:rsidRPr="00FB6A4B">
        <w:rPr>
          <w:rFonts w:cs="Arial"/>
          <w:color w:val="auto"/>
        </w:rPr>
        <w:t xml:space="preserve"> the lowest level recorded since September 2009 </w:t>
      </w:r>
      <w:r w:rsidRPr="009F518B">
        <w:rPr>
          <w:rFonts w:cs="Arial"/>
          <w:color w:val="auto"/>
        </w:rPr>
        <w:t>(see Figure 3).</w:t>
      </w:r>
    </w:p>
    <w:p w14:paraId="26C77283" w14:textId="7CA20BF7" w:rsidR="00E338F0" w:rsidRPr="009F518B" w:rsidRDefault="00E338F0" w:rsidP="00CB0BE2">
      <w:pPr>
        <w:pStyle w:val="Bodycopy"/>
        <w:numPr>
          <w:ilvl w:val="0"/>
          <w:numId w:val="2"/>
        </w:numPr>
        <w:spacing w:before="0" w:after="120"/>
        <w:rPr>
          <w:rFonts w:cs="Arial"/>
          <w:color w:val="auto"/>
        </w:rPr>
      </w:pPr>
      <w:r w:rsidRPr="009F518B">
        <w:rPr>
          <w:rFonts w:cs="Arial"/>
          <w:color w:val="auto"/>
        </w:rPr>
        <w:t xml:space="preserve">Female LTU </w:t>
      </w:r>
      <w:r w:rsidRPr="00FB6A4B">
        <w:rPr>
          <w:rFonts w:cs="Arial"/>
          <w:color w:val="auto"/>
        </w:rPr>
        <w:t>declined</w:t>
      </w:r>
      <w:r w:rsidRPr="009F518B">
        <w:rPr>
          <w:rFonts w:cs="Arial"/>
          <w:color w:val="auto"/>
        </w:rPr>
        <w:t xml:space="preserve"> by </w:t>
      </w:r>
      <w:r w:rsidRPr="00FB6A4B">
        <w:rPr>
          <w:rFonts w:cs="Arial"/>
          <w:color w:val="auto"/>
        </w:rPr>
        <w:t>4,800</w:t>
      </w:r>
      <w:r w:rsidRPr="009F518B">
        <w:rPr>
          <w:rFonts w:cs="Arial"/>
          <w:color w:val="auto"/>
        </w:rPr>
        <w:t xml:space="preserve"> (or </w:t>
      </w:r>
      <w:r w:rsidRPr="00FB6A4B">
        <w:rPr>
          <w:rFonts w:cs="Arial"/>
          <w:color w:val="auto"/>
        </w:rPr>
        <w:t>11.0</w:t>
      </w:r>
      <w:r w:rsidRPr="009F518B">
        <w:rPr>
          <w:rFonts w:cs="Arial"/>
          <w:color w:val="auto"/>
        </w:rPr>
        <w:t xml:space="preserve">%) over the three months to </w:t>
      </w:r>
      <w:r w:rsidRPr="00FB6A4B">
        <w:rPr>
          <w:rFonts w:cs="Arial"/>
          <w:color w:val="auto"/>
        </w:rPr>
        <w:t>March 2023</w:t>
      </w:r>
      <w:r w:rsidRPr="009F518B">
        <w:rPr>
          <w:rFonts w:cs="Arial"/>
          <w:color w:val="auto"/>
        </w:rPr>
        <w:t xml:space="preserve">, to stand at </w:t>
      </w:r>
      <w:r w:rsidRPr="00FB6A4B">
        <w:rPr>
          <w:rFonts w:cs="Arial"/>
          <w:color w:val="auto"/>
        </w:rPr>
        <w:t>38,600</w:t>
      </w:r>
      <w:r>
        <w:rPr>
          <w:rFonts w:cs="Arial"/>
          <w:color w:val="auto"/>
        </w:rPr>
        <w:t xml:space="preserve"> - </w:t>
      </w:r>
      <w:r w:rsidRPr="00FB6A4B">
        <w:rPr>
          <w:rFonts w:cs="Arial"/>
          <w:color w:val="auto"/>
        </w:rPr>
        <w:t>the lowest level recorded since May 2009</w:t>
      </w:r>
      <w:r w:rsidRPr="009F518B">
        <w:rPr>
          <w:rFonts w:cs="Arial"/>
          <w:color w:val="auto"/>
        </w:rPr>
        <w:t xml:space="preserve">. </w:t>
      </w:r>
    </w:p>
    <w:p w14:paraId="4C80C728" w14:textId="0E196019" w:rsidR="00E338F0" w:rsidRPr="009F518B" w:rsidRDefault="00E338F0" w:rsidP="00CB0BE2">
      <w:pPr>
        <w:pStyle w:val="Bodycopy"/>
        <w:numPr>
          <w:ilvl w:val="0"/>
          <w:numId w:val="2"/>
        </w:numPr>
        <w:spacing w:before="0" w:after="120"/>
        <w:rPr>
          <w:rFonts w:cs="Arial"/>
          <w:color w:val="auto"/>
        </w:rPr>
      </w:pPr>
      <w:r w:rsidRPr="009F518B">
        <w:rPr>
          <w:rFonts w:cs="Arial"/>
          <w:color w:val="auto"/>
        </w:rPr>
        <w:t xml:space="preserve">Male LTU </w:t>
      </w:r>
      <w:r w:rsidRPr="00EA717D">
        <w:rPr>
          <w:rFonts w:cs="Arial"/>
          <w:color w:val="auto"/>
        </w:rPr>
        <w:t xml:space="preserve">also fell over the period, </w:t>
      </w:r>
      <w:r w:rsidRPr="009F518B">
        <w:rPr>
          <w:rFonts w:cs="Arial"/>
          <w:color w:val="auto"/>
        </w:rPr>
        <w:t xml:space="preserve">by </w:t>
      </w:r>
      <w:r w:rsidRPr="00EA717D">
        <w:rPr>
          <w:rFonts w:cs="Arial"/>
          <w:color w:val="auto"/>
        </w:rPr>
        <w:t xml:space="preserve">6,500 </w:t>
      </w:r>
      <w:r w:rsidRPr="009F518B">
        <w:rPr>
          <w:rFonts w:cs="Arial"/>
          <w:color w:val="auto"/>
        </w:rPr>
        <w:t xml:space="preserve">(or </w:t>
      </w:r>
      <w:r w:rsidRPr="00EA717D">
        <w:rPr>
          <w:rFonts w:cs="Arial"/>
          <w:color w:val="auto"/>
        </w:rPr>
        <w:t>9.5</w:t>
      </w:r>
      <w:r w:rsidRPr="009F518B">
        <w:rPr>
          <w:rFonts w:cs="Arial"/>
          <w:color w:val="auto"/>
        </w:rPr>
        <w:t>%)</w:t>
      </w:r>
      <w:r w:rsidRPr="00EA717D">
        <w:rPr>
          <w:rFonts w:cs="Arial"/>
          <w:color w:val="auto"/>
        </w:rPr>
        <w:t xml:space="preserve">, to 61,800 in March 2023, and remains close to </w:t>
      </w:r>
      <w:r>
        <w:rPr>
          <w:rFonts w:cs="Arial"/>
          <w:color w:val="auto"/>
        </w:rPr>
        <w:t>its</w:t>
      </w:r>
      <w:r w:rsidRPr="00EA717D">
        <w:rPr>
          <w:rFonts w:cs="Arial"/>
          <w:color w:val="auto"/>
        </w:rPr>
        <w:t xml:space="preserve"> lowest level </w:t>
      </w:r>
      <w:r w:rsidRPr="009F518B">
        <w:rPr>
          <w:rFonts w:cs="Arial"/>
          <w:color w:val="auto"/>
        </w:rPr>
        <w:t>(of 61,400 in February 2023)</w:t>
      </w:r>
      <w:r w:rsidRPr="00EA717D">
        <w:rPr>
          <w:rFonts w:cs="Arial"/>
          <w:color w:val="auto"/>
        </w:rPr>
        <w:t xml:space="preserve"> recorded since April 2013. </w:t>
      </w:r>
    </w:p>
    <w:p w14:paraId="036532E2" w14:textId="44A2F4D0" w:rsidR="00E338F0" w:rsidRPr="006F461C" w:rsidRDefault="00E338F0" w:rsidP="00E338F0">
      <w:pPr>
        <w:pStyle w:val="Heading5"/>
        <w:rPr>
          <w:color w:val="auto"/>
        </w:rPr>
      </w:pPr>
      <w:r w:rsidRPr="006F461C">
        <w:rPr>
          <w:color w:val="auto"/>
        </w:rPr>
        <w:t>Figure 3: LTU and annual employment growth – March 2003 to March 2023</w:t>
      </w:r>
    </w:p>
    <w:p w14:paraId="5C5DCA69" w14:textId="39C2D089" w:rsidR="00E338F0" w:rsidRPr="00903099" w:rsidRDefault="00E338F0" w:rsidP="00E338F0">
      <w:r w:rsidRPr="00903099">
        <w:rPr>
          <w:noProof/>
        </w:rPr>
        <w:drawing>
          <wp:inline distT="0" distB="0" distL="0" distR="0" wp14:anchorId="35D7E256" wp14:editId="536F7345">
            <wp:extent cx="6543675" cy="2609850"/>
            <wp:effectExtent l="0" t="0" r="0" b="0"/>
            <wp:docPr id="16" name="Chart 16" descr="Figure 3: Long-term unemployment (LTU) and annual employment growth, March 2003 to March 2023&#10;Figure 3 is a combination chart with bars for annual employment growth as a percentage on the left hand-side and a line chart for long term unemployment (LTU) in thousands on the right hand side, each series covering the 20 years to March 2023. The chart shows that from March 2003, long term unemployment followed a downward trend bottoming out at around 65,000 in mid-2008. As employment growth slowed with the Global Financial Crisis, the numbers of long term unemployed then began to steadily rise, following an upward trend until mid-2015, when the numbers levelled off at between 150,000 to 180,000 for the next 4½ years. With the onset of COVID-19, the number of long term unemployed increased sharply, reaching a high of 246,200 in April 2021, but has since fallen to 100,400 in March 2023. &#10;">
              <a:extLst xmlns:a="http://schemas.openxmlformats.org/drawingml/2006/main">
                <a:ext uri="{FF2B5EF4-FFF2-40B4-BE49-F238E27FC236}">
                  <a16:creationId xmlns:a16="http://schemas.microsoft.com/office/drawing/2014/main" id="{DD01988C-4D0D-4FEE-9D77-65E3A8AF1D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2B14D5" w14:textId="2FDBE376" w:rsidR="00E338F0" w:rsidRPr="006F461C" w:rsidRDefault="00E338F0" w:rsidP="006F461C">
      <w:pPr>
        <w:pStyle w:val="Source"/>
        <w:tabs>
          <w:tab w:val="clear" w:pos="709"/>
        </w:tabs>
        <w:ind w:left="0" w:firstLine="0"/>
        <w:rPr>
          <w:rFonts w:ascii="Arial" w:hAnsi="Arial" w:cs="Arial"/>
          <w:i w:val="0"/>
          <w:iCs/>
          <w:color w:val="auto"/>
        </w:rPr>
      </w:pPr>
      <w:r w:rsidRPr="006F461C">
        <w:rPr>
          <w:rFonts w:ascii="Arial" w:hAnsi="Arial" w:cs="Arial"/>
          <w:i w:val="0"/>
          <w:iCs/>
          <w:color w:val="auto"/>
        </w:rPr>
        <w:t xml:space="preserve">ABS, </w:t>
      </w:r>
      <w:r w:rsidRPr="006F461C">
        <w:rPr>
          <w:rFonts w:ascii="Arial" w:hAnsi="Arial" w:cs="Arial"/>
          <w:color w:val="auto"/>
        </w:rPr>
        <w:t>Labour Force, Australia,</w:t>
      </w:r>
      <w:r w:rsidRPr="006F461C">
        <w:rPr>
          <w:rFonts w:ascii="Arial" w:hAnsi="Arial" w:cs="Arial"/>
          <w:i w:val="0"/>
          <w:iCs/>
          <w:color w:val="auto"/>
        </w:rPr>
        <w:t xml:space="preserve"> </w:t>
      </w:r>
      <w:r w:rsidRPr="006F461C">
        <w:rPr>
          <w:rFonts w:ascii="Arial" w:hAnsi="Arial" w:cs="Arial"/>
          <w:color w:val="auto"/>
        </w:rPr>
        <w:t>Detailed,</w:t>
      </w:r>
      <w:r w:rsidRPr="006F461C">
        <w:rPr>
          <w:rFonts w:ascii="Arial" w:hAnsi="Arial" w:cs="Arial"/>
          <w:i w:val="0"/>
          <w:iCs/>
          <w:color w:val="auto"/>
        </w:rPr>
        <w:t xml:space="preserve"> March 2023, </w:t>
      </w:r>
      <w:r w:rsidRPr="006F461C">
        <w:rPr>
          <w:rFonts w:ascii="Arial" w:hAnsi="Arial" w:cs="Arial"/>
          <w:color w:val="auto"/>
        </w:rPr>
        <w:t>seasonally adjusted</w:t>
      </w:r>
      <w:r w:rsidRPr="006F461C">
        <w:rPr>
          <w:rFonts w:ascii="Arial" w:hAnsi="Arial" w:cs="Arial"/>
          <w:i w:val="0"/>
          <w:iCs/>
          <w:color w:val="auto"/>
        </w:rPr>
        <w:t xml:space="preserve"> </w:t>
      </w:r>
      <w:r w:rsidRPr="006F461C">
        <w:rPr>
          <w:rFonts w:ascii="Arial" w:hAnsi="Arial" w:cs="Arial"/>
          <w:color w:val="auto"/>
        </w:rPr>
        <w:t>data f</w:t>
      </w:r>
      <w:r w:rsidRPr="006F461C">
        <w:rPr>
          <w:rFonts w:ascii="Arial" w:hAnsi="Arial" w:cs="Arial"/>
          <w:i w:val="0"/>
          <w:iCs/>
          <w:color w:val="auto"/>
        </w:rPr>
        <w:t xml:space="preserve">or LTU; ABS, </w:t>
      </w:r>
      <w:r w:rsidRPr="006F461C">
        <w:rPr>
          <w:rFonts w:ascii="Arial" w:hAnsi="Arial" w:cs="Arial"/>
          <w:color w:val="auto"/>
        </w:rPr>
        <w:t>Labour Force, Australia,</w:t>
      </w:r>
      <w:r w:rsidRPr="006F461C">
        <w:rPr>
          <w:rFonts w:ascii="Arial" w:hAnsi="Arial" w:cs="Arial"/>
          <w:i w:val="0"/>
          <w:iCs/>
          <w:color w:val="auto"/>
        </w:rPr>
        <w:t xml:space="preserve"> March 2023, </w:t>
      </w:r>
      <w:r w:rsidRPr="006F461C">
        <w:rPr>
          <w:rFonts w:ascii="Arial" w:hAnsi="Arial" w:cs="Arial"/>
          <w:color w:val="auto"/>
        </w:rPr>
        <w:t>seasonally adjusted</w:t>
      </w:r>
      <w:r w:rsidRPr="006F461C">
        <w:rPr>
          <w:rFonts w:ascii="Arial" w:hAnsi="Arial" w:cs="Arial"/>
          <w:i w:val="0"/>
          <w:iCs/>
          <w:color w:val="auto"/>
        </w:rPr>
        <w:t xml:space="preserve"> data for annual employment growth.</w:t>
      </w:r>
    </w:p>
    <w:p w14:paraId="30CAFE6E" w14:textId="77777777" w:rsidR="00E338F0" w:rsidRPr="00FB6A4B" w:rsidRDefault="00E338F0" w:rsidP="00E338F0">
      <w:pPr>
        <w:pStyle w:val="Heading3"/>
      </w:pPr>
      <w:bookmarkStart w:id="6" w:name="_Toc132621521"/>
      <w:bookmarkStart w:id="7" w:name="_Toc134785320"/>
      <w:r w:rsidRPr="00FB6A4B">
        <w:lastRenderedPageBreak/>
        <w:t>State and Territory labour market outcomes</w:t>
      </w:r>
      <w:bookmarkEnd w:id="6"/>
      <w:bookmarkEnd w:id="7"/>
      <w:r w:rsidRPr="00FB6A4B">
        <w:t xml:space="preserve"> </w:t>
      </w:r>
    </w:p>
    <w:p w14:paraId="768F8DA3" w14:textId="2DB3D688" w:rsidR="00E338F0" w:rsidRPr="00FB6A4B" w:rsidRDefault="00E338F0" w:rsidP="00E338F0">
      <w:pPr>
        <w:pStyle w:val="BodyText"/>
        <w:rPr>
          <w:rFonts w:ascii="Arial" w:hAnsi="Arial" w:cs="Arial"/>
          <w:sz w:val="22"/>
          <w:szCs w:val="22"/>
          <w:lang w:eastAsia="en-AU"/>
        </w:rPr>
      </w:pPr>
      <w:r w:rsidRPr="00FB6A4B">
        <w:rPr>
          <w:rFonts w:ascii="Arial" w:hAnsi="Arial" w:cs="Arial"/>
          <w:sz w:val="22"/>
          <w:szCs w:val="22"/>
          <w:lang w:eastAsia="en-AU"/>
        </w:rPr>
        <w:t xml:space="preserve">Employment rose in seven </w:t>
      </w:r>
      <w:r>
        <w:rPr>
          <w:rFonts w:ascii="Arial" w:hAnsi="Arial" w:cs="Arial"/>
          <w:sz w:val="22"/>
          <w:szCs w:val="22"/>
          <w:lang w:eastAsia="en-AU"/>
        </w:rPr>
        <w:t>of the States and Territories</w:t>
      </w:r>
      <w:r w:rsidRPr="00FB6A4B">
        <w:rPr>
          <w:rFonts w:ascii="Arial" w:hAnsi="Arial" w:cs="Arial"/>
          <w:sz w:val="22"/>
          <w:szCs w:val="22"/>
          <w:lang w:eastAsia="en-AU"/>
        </w:rPr>
        <w:t xml:space="preserve"> </w:t>
      </w:r>
      <w:r>
        <w:rPr>
          <w:rFonts w:ascii="Arial" w:hAnsi="Arial" w:cs="Arial"/>
          <w:sz w:val="22"/>
          <w:szCs w:val="22"/>
          <w:lang w:eastAsia="en-AU"/>
        </w:rPr>
        <w:t xml:space="preserve">but </w:t>
      </w:r>
      <w:r w:rsidRPr="00FB6A4B">
        <w:rPr>
          <w:rFonts w:ascii="Arial" w:hAnsi="Arial" w:cs="Arial"/>
          <w:sz w:val="22"/>
          <w:szCs w:val="22"/>
          <w:lang w:eastAsia="en-AU"/>
        </w:rPr>
        <w:t>fell modestly in New South Wales over the three months to March 2023. Victoria (up by 73,400 or 2.1%) and Queensland (up by 22,300 or 0.8%) recorded the largest increases in employment over the period.</w:t>
      </w:r>
    </w:p>
    <w:p w14:paraId="7C399195" w14:textId="05C9E38D" w:rsidR="00E338F0" w:rsidRPr="00FB6A4B" w:rsidRDefault="00E338F0" w:rsidP="00E338F0">
      <w:pPr>
        <w:pStyle w:val="BodyText"/>
        <w:rPr>
          <w:rFonts w:ascii="Arial" w:hAnsi="Arial" w:cs="Arial"/>
          <w:sz w:val="22"/>
          <w:szCs w:val="22"/>
        </w:rPr>
      </w:pPr>
      <w:r w:rsidRPr="00FB6A4B">
        <w:rPr>
          <w:rFonts w:ascii="Arial" w:hAnsi="Arial" w:cs="Arial"/>
          <w:sz w:val="22"/>
          <w:szCs w:val="22"/>
        </w:rPr>
        <w:t>All jurisdictions recorded an unemployment rate of 4.0% or lower in March 2023. Tasmania recorded the highest unemployment rate (of 4.0%), while the Australian Capital Territory recorded the lowest rate (of 2.8%). The unemployment rate in South Australia, of 3.7% in March 2023, is the lowest rate recorded since the inception of the monthly series in February 1978.</w:t>
      </w:r>
    </w:p>
    <w:p w14:paraId="6F561839" w14:textId="2A925E1C" w:rsidR="00E338F0" w:rsidRPr="002C1FAE" w:rsidRDefault="00E338F0" w:rsidP="00E338F0">
      <w:pPr>
        <w:pStyle w:val="BodyText"/>
        <w:rPr>
          <w:rFonts w:ascii="Arial" w:hAnsi="Arial" w:cs="Arial"/>
          <w:sz w:val="22"/>
          <w:szCs w:val="22"/>
        </w:rPr>
      </w:pPr>
      <w:r w:rsidRPr="00FB6A4B">
        <w:rPr>
          <w:rFonts w:ascii="Arial" w:hAnsi="Arial" w:cs="Arial"/>
          <w:sz w:val="22"/>
          <w:szCs w:val="22"/>
        </w:rPr>
        <w:t xml:space="preserve">The Northern Territory recorded the highest participation rate, of 75.2% in March 2023, while Tasmania recorded the lowest </w:t>
      </w:r>
      <w:r w:rsidRPr="002C1FAE">
        <w:rPr>
          <w:rFonts w:ascii="Arial" w:hAnsi="Arial" w:cs="Arial"/>
          <w:sz w:val="22"/>
          <w:szCs w:val="22"/>
        </w:rPr>
        <w:t xml:space="preserve">participation rate, of 63.7%. </w:t>
      </w:r>
    </w:p>
    <w:p w14:paraId="54EC4515" w14:textId="3EDEE10E" w:rsidR="00E338F0" w:rsidRPr="002C1FAE" w:rsidRDefault="00E338F0" w:rsidP="00E338F0">
      <w:pPr>
        <w:pStyle w:val="BodyText"/>
        <w:rPr>
          <w:rFonts w:ascii="Arial" w:hAnsi="Arial" w:cs="Arial"/>
          <w:sz w:val="22"/>
          <w:szCs w:val="22"/>
        </w:rPr>
      </w:pPr>
      <w:r w:rsidRPr="002C1FAE">
        <w:rPr>
          <w:rFonts w:ascii="Arial" w:hAnsi="Arial" w:cs="Arial"/>
          <w:sz w:val="22"/>
          <w:szCs w:val="22"/>
        </w:rPr>
        <w:t xml:space="preserve">For more in-depth analysis on </w:t>
      </w:r>
      <w:r w:rsidR="009E58D1" w:rsidRPr="002C1FAE">
        <w:rPr>
          <w:rFonts w:ascii="Arial" w:hAnsi="Arial" w:cs="Arial"/>
          <w:sz w:val="22"/>
          <w:szCs w:val="22"/>
        </w:rPr>
        <w:t xml:space="preserve">regional </w:t>
      </w:r>
      <w:r w:rsidRPr="002C1FAE">
        <w:rPr>
          <w:rFonts w:ascii="Arial" w:hAnsi="Arial" w:cs="Arial"/>
          <w:sz w:val="22"/>
          <w:szCs w:val="22"/>
        </w:rPr>
        <w:t xml:space="preserve">participation rates and their relationship with vacancies, and other characteristics influencing participation, see page </w:t>
      </w:r>
      <w:r w:rsidR="0059188E" w:rsidRPr="002C1FAE">
        <w:rPr>
          <w:rFonts w:ascii="Arial" w:hAnsi="Arial" w:cs="Arial"/>
          <w:sz w:val="22"/>
          <w:szCs w:val="22"/>
        </w:rPr>
        <w:t>2</w:t>
      </w:r>
      <w:r w:rsidR="005323B6" w:rsidRPr="002C1FAE">
        <w:rPr>
          <w:rFonts w:ascii="Arial" w:hAnsi="Arial" w:cs="Arial"/>
          <w:sz w:val="22"/>
          <w:szCs w:val="22"/>
        </w:rPr>
        <w:t>1</w:t>
      </w:r>
      <w:r w:rsidRPr="002C1FAE">
        <w:rPr>
          <w:rFonts w:ascii="Arial" w:hAnsi="Arial" w:cs="Arial"/>
          <w:sz w:val="22"/>
          <w:szCs w:val="22"/>
        </w:rPr>
        <w:t xml:space="preserve">. </w:t>
      </w:r>
    </w:p>
    <w:p w14:paraId="78BB5E83" w14:textId="0DF76D38" w:rsidR="00764F5C" w:rsidRPr="008F3408" w:rsidRDefault="000D326F" w:rsidP="00764F5C">
      <w:pPr>
        <w:pStyle w:val="Heading3"/>
      </w:pPr>
      <w:bookmarkStart w:id="8" w:name="_Toc134785321"/>
      <w:r w:rsidRPr="002C1FAE">
        <w:t>Wages: va</w:t>
      </w:r>
      <w:r w:rsidR="00197D97" w:rsidRPr="002C1FAE">
        <w:t xml:space="preserve">riability in </w:t>
      </w:r>
      <w:r w:rsidRPr="002C1FAE">
        <w:t xml:space="preserve">annual </w:t>
      </w:r>
      <w:r w:rsidR="00197D97" w:rsidRPr="002C1FAE">
        <w:t>growth between different</w:t>
      </w:r>
      <w:r w:rsidR="00197D97">
        <w:t xml:space="preserve"> indicators</w:t>
      </w:r>
      <w:bookmarkEnd w:id="8"/>
    </w:p>
    <w:p w14:paraId="0C7483C4" w14:textId="6906921B" w:rsidR="0066318A" w:rsidRDefault="00C3191F" w:rsidP="0066318A">
      <w:pPr>
        <w:pStyle w:val="Source"/>
        <w:numPr>
          <w:ilvl w:val="0"/>
          <w:numId w:val="0"/>
        </w:numPr>
        <w:rPr>
          <w:rFonts w:ascii="Arial" w:hAnsi="Arial" w:cs="Arial"/>
          <w:i w:val="0"/>
          <w:iCs/>
          <w:sz w:val="22"/>
          <w:szCs w:val="22"/>
        </w:rPr>
      </w:pPr>
      <w:r>
        <w:rPr>
          <w:rFonts w:ascii="Arial" w:hAnsi="Arial" w:cs="Arial"/>
          <w:i w:val="0"/>
          <w:iCs/>
          <w:sz w:val="22"/>
          <w:szCs w:val="22"/>
        </w:rPr>
        <w:t>T</w:t>
      </w:r>
      <w:r w:rsidR="0066318A" w:rsidRPr="0066318A">
        <w:rPr>
          <w:rFonts w:ascii="Arial" w:hAnsi="Arial" w:cs="Arial"/>
          <w:i w:val="0"/>
          <w:iCs/>
          <w:sz w:val="22"/>
          <w:szCs w:val="22"/>
        </w:rPr>
        <w:t xml:space="preserve">he most recent wage price index for the </w:t>
      </w:r>
      <w:r w:rsidR="00B46422">
        <w:rPr>
          <w:rFonts w:ascii="Arial" w:hAnsi="Arial" w:cs="Arial"/>
          <w:i w:val="0"/>
          <w:iCs/>
          <w:sz w:val="22"/>
          <w:szCs w:val="22"/>
        </w:rPr>
        <w:t>Dec</w:t>
      </w:r>
      <w:r w:rsidR="0066318A" w:rsidRPr="0066318A">
        <w:rPr>
          <w:rFonts w:ascii="Arial" w:hAnsi="Arial" w:cs="Arial"/>
          <w:i w:val="0"/>
          <w:iCs/>
          <w:sz w:val="22"/>
          <w:szCs w:val="22"/>
        </w:rPr>
        <w:t>ember 2022 quarter showed wages growth of 3.</w:t>
      </w:r>
      <w:r w:rsidR="00B46422">
        <w:rPr>
          <w:rFonts w:ascii="Arial" w:hAnsi="Arial" w:cs="Arial"/>
          <w:i w:val="0"/>
          <w:iCs/>
          <w:sz w:val="22"/>
          <w:szCs w:val="22"/>
        </w:rPr>
        <w:t>3</w:t>
      </w:r>
      <w:r w:rsidR="0066318A" w:rsidRPr="0066318A">
        <w:rPr>
          <w:rFonts w:ascii="Arial" w:hAnsi="Arial" w:cs="Arial"/>
          <w:i w:val="0"/>
          <w:iCs/>
          <w:sz w:val="22"/>
          <w:szCs w:val="22"/>
        </w:rPr>
        <w:t>% through the year</w:t>
      </w:r>
      <w:r w:rsidR="00601020">
        <w:rPr>
          <w:rFonts w:ascii="Arial" w:hAnsi="Arial" w:cs="Arial"/>
          <w:i w:val="0"/>
          <w:iCs/>
          <w:sz w:val="22"/>
          <w:szCs w:val="22"/>
        </w:rPr>
        <w:t xml:space="preserve">, the highest rate of annual growth since </w:t>
      </w:r>
      <w:r w:rsidR="00601020" w:rsidRPr="00FC4DF5">
        <w:rPr>
          <w:rFonts w:ascii="Arial" w:hAnsi="Arial" w:cs="Arial"/>
          <w:i w:val="0"/>
          <w:iCs/>
          <w:sz w:val="22"/>
          <w:szCs w:val="22"/>
        </w:rPr>
        <w:t>December 2012</w:t>
      </w:r>
      <w:r w:rsidR="002A27DB" w:rsidRPr="00FC4DF5">
        <w:rPr>
          <w:rFonts w:ascii="Arial" w:hAnsi="Arial" w:cs="Arial"/>
          <w:i w:val="0"/>
          <w:iCs/>
          <w:sz w:val="22"/>
          <w:szCs w:val="22"/>
        </w:rPr>
        <w:t xml:space="preserve">. </w:t>
      </w:r>
      <w:r w:rsidR="00256DEF" w:rsidRPr="00FC4DF5">
        <w:rPr>
          <w:rFonts w:ascii="Arial" w:hAnsi="Arial" w:cs="Arial"/>
          <w:i w:val="0"/>
          <w:iCs/>
          <w:sz w:val="22"/>
          <w:szCs w:val="22"/>
        </w:rPr>
        <w:t>T</w:t>
      </w:r>
      <w:r w:rsidR="0066318A" w:rsidRPr="00FC4DF5">
        <w:rPr>
          <w:rFonts w:ascii="Arial" w:hAnsi="Arial" w:cs="Arial"/>
          <w:i w:val="0"/>
          <w:iCs/>
          <w:sz w:val="22"/>
          <w:szCs w:val="22"/>
        </w:rPr>
        <w:t xml:space="preserve">he Federal Budget released by the Treasurer on </w:t>
      </w:r>
      <w:r w:rsidR="008E5CAF">
        <w:rPr>
          <w:rFonts w:ascii="Arial" w:hAnsi="Arial" w:cs="Arial"/>
          <w:i w:val="0"/>
          <w:iCs/>
          <w:sz w:val="22"/>
          <w:szCs w:val="22"/>
        </w:rPr>
        <w:t>12 May 2023</w:t>
      </w:r>
      <w:r w:rsidR="0066318A" w:rsidRPr="00FC4DF5">
        <w:rPr>
          <w:rFonts w:ascii="Arial" w:hAnsi="Arial" w:cs="Arial"/>
          <w:i w:val="0"/>
          <w:iCs/>
          <w:sz w:val="22"/>
          <w:szCs w:val="22"/>
        </w:rPr>
        <w:t xml:space="preserve"> showed Treasury’s forecast for nominal growth in the wage price index is 3¾% through the year to</w:t>
      </w:r>
      <w:r w:rsidR="00F45D06">
        <w:rPr>
          <w:rFonts w:ascii="Arial" w:hAnsi="Arial" w:cs="Arial"/>
          <w:i w:val="0"/>
          <w:iCs/>
          <w:sz w:val="22"/>
          <w:szCs w:val="22"/>
        </w:rPr>
        <w:t xml:space="preserve"> </w:t>
      </w:r>
      <w:r w:rsidR="0066318A" w:rsidRPr="00FC4DF5">
        <w:rPr>
          <w:rFonts w:ascii="Arial" w:hAnsi="Arial" w:cs="Arial"/>
          <w:i w:val="0"/>
          <w:iCs/>
          <w:sz w:val="22"/>
          <w:szCs w:val="22"/>
        </w:rPr>
        <w:t xml:space="preserve">June 2023 and </w:t>
      </w:r>
      <w:r w:rsidR="00F45D06">
        <w:rPr>
          <w:rFonts w:ascii="Arial" w:hAnsi="Arial" w:cs="Arial"/>
          <w:i w:val="0"/>
          <w:iCs/>
          <w:sz w:val="22"/>
          <w:szCs w:val="22"/>
        </w:rPr>
        <w:t xml:space="preserve">4% through the year to </w:t>
      </w:r>
      <w:r w:rsidR="0066318A" w:rsidRPr="00FC4DF5">
        <w:rPr>
          <w:rFonts w:ascii="Arial" w:hAnsi="Arial" w:cs="Arial"/>
          <w:i w:val="0"/>
          <w:iCs/>
          <w:sz w:val="22"/>
          <w:szCs w:val="22"/>
        </w:rPr>
        <w:t xml:space="preserve">June 2024. </w:t>
      </w:r>
    </w:p>
    <w:p w14:paraId="2C1039E0" w14:textId="509A23FC" w:rsidR="0003634C" w:rsidRDefault="00D0085B" w:rsidP="00267865">
      <w:pPr>
        <w:pStyle w:val="BodyText"/>
        <w:rPr>
          <w:rFonts w:ascii="Arial" w:hAnsi="Arial" w:cs="Arial"/>
          <w:sz w:val="22"/>
          <w:szCs w:val="22"/>
          <w:lang w:eastAsia="en-AU"/>
        </w:rPr>
      </w:pPr>
      <w:r w:rsidRPr="00D0085B">
        <w:rPr>
          <w:rFonts w:ascii="Arial" w:hAnsi="Arial" w:cs="Arial"/>
          <w:sz w:val="22"/>
          <w:szCs w:val="22"/>
          <w:lang w:eastAsia="en-AU"/>
        </w:rPr>
        <w:t xml:space="preserve">It is important </w:t>
      </w:r>
      <w:r>
        <w:rPr>
          <w:rFonts w:ascii="Arial" w:hAnsi="Arial" w:cs="Arial"/>
          <w:sz w:val="22"/>
          <w:szCs w:val="22"/>
          <w:lang w:eastAsia="en-AU"/>
        </w:rPr>
        <w:t xml:space="preserve">to note that the wage price index does not </w:t>
      </w:r>
      <w:r w:rsidR="007D7573">
        <w:rPr>
          <w:rFonts w:ascii="Arial" w:hAnsi="Arial" w:cs="Arial"/>
          <w:sz w:val="22"/>
          <w:szCs w:val="22"/>
          <w:lang w:eastAsia="en-AU"/>
        </w:rPr>
        <w:t>reflect the impact on overall wages of job mobility – such as movements towards more highly-skilled jobs, or movement</w:t>
      </w:r>
      <w:r w:rsidR="00C92107">
        <w:rPr>
          <w:rFonts w:ascii="Arial" w:hAnsi="Arial" w:cs="Arial"/>
          <w:sz w:val="22"/>
          <w:szCs w:val="22"/>
          <w:lang w:eastAsia="en-AU"/>
        </w:rPr>
        <w:t xml:space="preserve"> of workers</w:t>
      </w:r>
      <w:r w:rsidR="007D7573">
        <w:rPr>
          <w:rFonts w:ascii="Arial" w:hAnsi="Arial" w:cs="Arial"/>
          <w:sz w:val="22"/>
          <w:szCs w:val="22"/>
          <w:lang w:eastAsia="en-AU"/>
        </w:rPr>
        <w:t xml:space="preserve"> </w:t>
      </w:r>
      <w:r w:rsidR="00547A28">
        <w:rPr>
          <w:rFonts w:ascii="Arial" w:hAnsi="Arial" w:cs="Arial"/>
          <w:sz w:val="22"/>
          <w:szCs w:val="22"/>
          <w:lang w:eastAsia="en-AU"/>
        </w:rPr>
        <w:t xml:space="preserve">from lower-productivity </w:t>
      </w:r>
      <w:r w:rsidR="00C92107">
        <w:rPr>
          <w:rFonts w:ascii="Arial" w:hAnsi="Arial" w:cs="Arial"/>
          <w:sz w:val="22"/>
          <w:szCs w:val="22"/>
          <w:lang w:eastAsia="en-AU"/>
        </w:rPr>
        <w:t>firms</w:t>
      </w:r>
      <w:r w:rsidR="00547A28">
        <w:rPr>
          <w:rFonts w:ascii="Arial" w:hAnsi="Arial" w:cs="Arial"/>
          <w:sz w:val="22"/>
          <w:szCs w:val="22"/>
          <w:lang w:eastAsia="en-AU"/>
        </w:rPr>
        <w:t xml:space="preserve"> to higher-productivity </w:t>
      </w:r>
      <w:r w:rsidR="00C92107">
        <w:rPr>
          <w:rFonts w:ascii="Arial" w:hAnsi="Arial" w:cs="Arial"/>
          <w:sz w:val="22"/>
          <w:szCs w:val="22"/>
          <w:lang w:eastAsia="en-AU"/>
        </w:rPr>
        <w:t>firm</w:t>
      </w:r>
      <w:r w:rsidR="00547A28">
        <w:rPr>
          <w:rFonts w:ascii="Arial" w:hAnsi="Arial" w:cs="Arial"/>
          <w:sz w:val="22"/>
          <w:szCs w:val="22"/>
          <w:lang w:eastAsia="en-AU"/>
        </w:rPr>
        <w:t xml:space="preserve">s. </w:t>
      </w:r>
      <w:r w:rsidR="00D7586C">
        <w:rPr>
          <w:rFonts w:ascii="Arial" w:hAnsi="Arial" w:cs="Arial"/>
          <w:sz w:val="22"/>
          <w:szCs w:val="22"/>
          <w:lang w:eastAsia="en-AU"/>
        </w:rPr>
        <w:t xml:space="preserve">Alternative measures of wage </w:t>
      </w:r>
      <w:r w:rsidR="00045368">
        <w:rPr>
          <w:rFonts w:ascii="Arial" w:hAnsi="Arial" w:cs="Arial"/>
          <w:sz w:val="22"/>
          <w:szCs w:val="22"/>
          <w:lang w:eastAsia="en-AU"/>
        </w:rPr>
        <w:t xml:space="preserve">growth seek to reflect job mobility in different ways, leading to different </w:t>
      </w:r>
      <w:r w:rsidR="00AC5D0B">
        <w:rPr>
          <w:rFonts w:ascii="Arial" w:hAnsi="Arial" w:cs="Arial"/>
          <w:sz w:val="22"/>
          <w:szCs w:val="22"/>
          <w:lang w:eastAsia="en-AU"/>
        </w:rPr>
        <w:t xml:space="preserve">measures of wages growth. </w:t>
      </w:r>
    </w:p>
    <w:p w14:paraId="09A27AFA" w14:textId="59036016" w:rsidR="008A1BCA" w:rsidRDefault="00AC5D0B" w:rsidP="00267865">
      <w:pPr>
        <w:pStyle w:val="BodyText"/>
        <w:rPr>
          <w:rFonts w:ascii="Arial" w:hAnsi="Arial" w:cs="Arial"/>
          <w:sz w:val="22"/>
          <w:szCs w:val="22"/>
          <w:lang w:eastAsia="en-AU"/>
        </w:rPr>
      </w:pPr>
      <w:r>
        <w:rPr>
          <w:rFonts w:ascii="Arial" w:hAnsi="Arial" w:cs="Arial"/>
          <w:sz w:val="22"/>
          <w:szCs w:val="22"/>
          <w:lang w:eastAsia="en-AU"/>
        </w:rPr>
        <w:t xml:space="preserve">For example, </w:t>
      </w:r>
      <w:r w:rsidR="00C615EB">
        <w:rPr>
          <w:rFonts w:ascii="Arial" w:hAnsi="Arial" w:cs="Arial"/>
          <w:sz w:val="22"/>
          <w:szCs w:val="22"/>
          <w:lang w:eastAsia="en-AU"/>
        </w:rPr>
        <w:t xml:space="preserve">ABS National Accounts data can be used to calculate </w:t>
      </w:r>
      <w:r w:rsidR="008A1BCA" w:rsidRPr="008A1BCA">
        <w:rPr>
          <w:rFonts w:ascii="Arial" w:hAnsi="Arial" w:cs="Arial"/>
          <w:sz w:val="22"/>
          <w:szCs w:val="22"/>
          <w:lang w:eastAsia="en-AU"/>
        </w:rPr>
        <w:t>Average Earnings on National Accounts</w:t>
      </w:r>
      <w:r w:rsidR="00C615EB">
        <w:rPr>
          <w:rFonts w:ascii="Arial" w:hAnsi="Arial" w:cs="Arial"/>
          <w:sz w:val="22"/>
          <w:szCs w:val="22"/>
          <w:lang w:eastAsia="en-AU"/>
        </w:rPr>
        <w:t xml:space="preserve"> (AENA)</w:t>
      </w:r>
      <w:r w:rsidR="000264AE">
        <w:rPr>
          <w:rFonts w:ascii="Arial" w:hAnsi="Arial" w:cs="Arial"/>
          <w:sz w:val="22"/>
          <w:szCs w:val="22"/>
          <w:lang w:eastAsia="en-AU"/>
        </w:rPr>
        <w:t>. AENA</w:t>
      </w:r>
      <w:r w:rsidR="008A1BCA" w:rsidRPr="008A1BCA">
        <w:rPr>
          <w:rFonts w:ascii="Arial" w:hAnsi="Arial" w:cs="Arial"/>
          <w:sz w:val="22"/>
          <w:szCs w:val="22"/>
          <w:lang w:eastAsia="en-AU"/>
        </w:rPr>
        <w:t xml:space="preserve"> is designed to measure the average level of labour cost per employee and is measured as </w:t>
      </w:r>
      <w:r w:rsidR="0003634C">
        <w:rPr>
          <w:rFonts w:ascii="Arial" w:hAnsi="Arial" w:cs="Arial"/>
          <w:sz w:val="22"/>
          <w:szCs w:val="22"/>
          <w:lang w:eastAsia="en-AU"/>
        </w:rPr>
        <w:t xml:space="preserve">total </w:t>
      </w:r>
      <w:r w:rsidR="008A1BCA" w:rsidRPr="008A1BCA">
        <w:rPr>
          <w:rFonts w:ascii="Arial" w:hAnsi="Arial" w:cs="Arial"/>
          <w:sz w:val="22"/>
          <w:szCs w:val="22"/>
          <w:lang w:eastAsia="en-AU"/>
        </w:rPr>
        <w:t xml:space="preserve">compensation of employees divided by </w:t>
      </w:r>
      <w:r w:rsidR="0003634C">
        <w:rPr>
          <w:rFonts w:ascii="Arial" w:hAnsi="Arial" w:cs="Arial"/>
          <w:sz w:val="22"/>
          <w:szCs w:val="22"/>
          <w:lang w:eastAsia="en-AU"/>
        </w:rPr>
        <w:t xml:space="preserve">the </w:t>
      </w:r>
      <w:r w:rsidR="008A1BCA" w:rsidRPr="008A1BCA">
        <w:rPr>
          <w:rFonts w:ascii="Arial" w:hAnsi="Arial" w:cs="Arial"/>
          <w:sz w:val="22"/>
          <w:szCs w:val="22"/>
          <w:lang w:eastAsia="en-AU"/>
        </w:rPr>
        <w:t>total number of employees</w:t>
      </w:r>
      <w:r w:rsidR="0003634C">
        <w:rPr>
          <w:rFonts w:ascii="Arial" w:hAnsi="Arial" w:cs="Arial"/>
          <w:sz w:val="22"/>
          <w:szCs w:val="22"/>
          <w:lang w:eastAsia="en-AU"/>
        </w:rPr>
        <w:t xml:space="preserve"> – irrespective of whether </w:t>
      </w:r>
      <w:r w:rsidR="00BF44F5">
        <w:rPr>
          <w:rFonts w:ascii="Arial" w:hAnsi="Arial" w:cs="Arial"/>
          <w:sz w:val="22"/>
          <w:szCs w:val="22"/>
          <w:lang w:eastAsia="en-AU"/>
        </w:rPr>
        <w:t>employees have changed jobs or stayed in the same job</w:t>
      </w:r>
      <w:r w:rsidR="008A1BCA" w:rsidRPr="008A1BCA">
        <w:rPr>
          <w:rFonts w:ascii="Arial" w:hAnsi="Arial" w:cs="Arial"/>
          <w:sz w:val="22"/>
          <w:szCs w:val="22"/>
          <w:lang w:eastAsia="en-AU"/>
        </w:rPr>
        <w:t>.</w:t>
      </w:r>
      <w:r w:rsidR="000264AE">
        <w:rPr>
          <w:rFonts w:ascii="Arial" w:hAnsi="Arial" w:cs="Arial"/>
          <w:sz w:val="22"/>
          <w:szCs w:val="22"/>
          <w:lang w:eastAsia="en-AU"/>
        </w:rPr>
        <w:t xml:space="preserve"> </w:t>
      </w:r>
      <w:r w:rsidR="007B7ADD">
        <w:rPr>
          <w:rFonts w:ascii="Arial" w:hAnsi="Arial" w:cs="Arial"/>
          <w:sz w:val="22"/>
          <w:szCs w:val="22"/>
          <w:lang w:eastAsia="en-AU"/>
        </w:rPr>
        <w:t>The most recent</w:t>
      </w:r>
      <w:r w:rsidR="000264AE">
        <w:rPr>
          <w:rFonts w:ascii="Arial" w:hAnsi="Arial" w:cs="Arial"/>
          <w:sz w:val="22"/>
          <w:szCs w:val="22"/>
          <w:lang w:eastAsia="en-AU"/>
        </w:rPr>
        <w:t xml:space="preserve"> National Accounts data </w:t>
      </w:r>
      <w:r w:rsidR="007B7ADD">
        <w:rPr>
          <w:rFonts w:ascii="Arial" w:hAnsi="Arial" w:cs="Arial"/>
          <w:sz w:val="22"/>
          <w:szCs w:val="22"/>
          <w:lang w:eastAsia="en-AU"/>
        </w:rPr>
        <w:t>showed annual growth in AENA of 4.</w:t>
      </w:r>
      <w:r w:rsidR="00FF2129">
        <w:rPr>
          <w:rFonts w:ascii="Arial" w:hAnsi="Arial" w:cs="Arial"/>
          <w:sz w:val="22"/>
          <w:szCs w:val="22"/>
          <w:lang w:eastAsia="en-AU"/>
        </w:rPr>
        <w:t>4</w:t>
      </w:r>
      <w:r w:rsidR="007B7ADD">
        <w:rPr>
          <w:rFonts w:ascii="Arial" w:hAnsi="Arial" w:cs="Arial"/>
          <w:sz w:val="22"/>
          <w:szCs w:val="22"/>
          <w:lang w:eastAsia="en-AU"/>
        </w:rPr>
        <w:t xml:space="preserve">% for the year to </w:t>
      </w:r>
      <w:r w:rsidR="00FF2129">
        <w:rPr>
          <w:rFonts w:ascii="Arial" w:hAnsi="Arial" w:cs="Arial"/>
          <w:sz w:val="22"/>
          <w:szCs w:val="22"/>
          <w:lang w:eastAsia="en-AU"/>
        </w:rPr>
        <w:t>Dec</w:t>
      </w:r>
      <w:r w:rsidR="007B7ADD">
        <w:rPr>
          <w:rFonts w:ascii="Arial" w:hAnsi="Arial" w:cs="Arial"/>
          <w:sz w:val="22"/>
          <w:szCs w:val="22"/>
          <w:lang w:eastAsia="en-AU"/>
        </w:rPr>
        <w:t>ember 2022.</w:t>
      </w:r>
    </w:p>
    <w:p w14:paraId="0C216E85" w14:textId="5EE1B898" w:rsidR="00764F5C" w:rsidRPr="00DF254B" w:rsidRDefault="0077673A" w:rsidP="00764F5C">
      <w:pPr>
        <w:pStyle w:val="BodyText"/>
        <w:rPr>
          <w:rFonts w:ascii="Arial" w:hAnsi="Arial" w:cs="Arial"/>
          <w:sz w:val="22"/>
          <w:szCs w:val="22"/>
          <w:lang w:eastAsia="en-AU"/>
        </w:rPr>
      </w:pPr>
      <w:r>
        <w:rPr>
          <w:rFonts w:ascii="Arial" w:hAnsi="Arial" w:cs="Arial"/>
          <w:sz w:val="22"/>
          <w:szCs w:val="22"/>
          <w:lang w:eastAsia="en-AU"/>
        </w:rPr>
        <w:t xml:space="preserve">A recent addition to published data sources with respect </w:t>
      </w:r>
      <w:r w:rsidR="00E42BEF">
        <w:rPr>
          <w:rFonts w:ascii="Arial" w:hAnsi="Arial" w:cs="Arial"/>
          <w:sz w:val="22"/>
          <w:szCs w:val="22"/>
          <w:lang w:eastAsia="en-AU"/>
        </w:rPr>
        <w:t>to measures of wages growth is t</w:t>
      </w:r>
      <w:r w:rsidRPr="0077673A">
        <w:rPr>
          <w:rFonts w:ascii="Arial" w:hAnsi="Arial" w:cs="Arial"/>
          <w:sz w:val="22"/>
          <w:szCs w:val="22"/>
          <w:lang w:eastAsia="en-AU"/>
        </w:rPr>
        <w:t>he SEEK Advertised Salary Index (ASI)</w:t>
      </w:r>
      <w:r w:rsidR="00C9365F">
        <w:rPr>
          <w:rFonts w:ascii="Arial" w:hAnsi="Arial" w:cs="Arial"/>
          <w:sz w:val="22"/>
          <w:szCs w:val="22"/>
          <w:lang w:eastAsia="en-AU"/>
        </w:rPr>
        <w:t xml:space="preserve">. This </w:t>
      </w:r>
      <w:r w:rsidRPr="0077673A">
        <w:rPr>
          <w:rFonts w:ascii="Arial" w:hAnsi="Arial" w:cs="Arial"/>
          <w:sz w:val="22"/>
          <w:szCs w:val="22"/>
          <w:lang w:eastAsia="en-AU"/>
        </w:rPr>
        <w:t>measures the growth in advertised salaries for jobs posted on SEEK</w:t>
      </w:r>
      <w:r w:rsidR="00A02FFB">
        <w:rPr>
          <w:rFonts w:ascii="Arial" w:hAnsi="Arial" w:cs="Arial"/>
          <w:sz w:val="22"/>
          <w:szCs w:val="22"/>
          <w:lang w:eastAsia="en-AU"/>
        </w:rPr>
        <w:t>, an employment marketplace</w:t>
      </w:r>
      <w:r w:rsidR="00E42BEF">
        <w:rPr>
          <w:rFonts w:ascii="Arial" w:hAnsi="Arial" w:cs="Arial"/>
          <w:sz w:val="22"/>
          <w:szCs w:val="22"/>
          <w:lang w:eastAsia="en-AU"/>
        </w:rPr>
        <w:t xml:space="preserve"> </w:t>
      </w:r>
      <w:r w:rsidRPr="0077673A">
        <w:rPr>
          <w:rFonts w:ascii="Arial" w:hAnsi="Arial" w:cs="Arial"/>
          <w:sz w:val="22"/>
          <w:szCs w:val="22"/>
          <w:lang w:eastAsia="en-AU"/>
        </w:rPr>
        <w:t>in Australia</w:t>
      </w:r>
      <w:r w:rsidR="00A02FFB">
        <w:t xml:space="preserve">, </w:t>
      </w:r>
      <w:r w:rsidR="001443A3" w:rsidRPr="003E5043">
        <w:rPr>
          <w:rFonts w:ascii="Arial" w:hAnsi="Arial" w:cs="Arial"/>
          <w:sz w:val="22"/>
          <w:szCs w:val="22"/>
        </w:rPr>
        <w:t xml:space="preserve">after </w:t>
      </w:r>
      <w:r w:rsidR="001443A3" w:rsidRPr="003E5043">
        <w:rPr>
          <w:rFonts w:ascii="Arial" w:hAnsi="Arial" w:cs="Arial"/>
          <w:sz w:val="22"/>
          <w:szCs w:val="22"/>
          <w:lang w:eastAsia="en-AU"/>
        </w:rPr>
        <w:t>removing</w:t>
      </w:r>
      <w:r w:rsidR="001443A3" w:rsidRPr="001443A3">
        <w:rPr>
          <w:rFonts w:ascii="Arial" w:hAnsi="Arial" w:cs="Arial"/>
          <w:sz w:val="22"/>
          <w:szCs w:val="22"/>
          <w:lang w:eastAsia="en-AU"/>
        </w:rPr>
        <w:t xml:space="preserve"> much of the effect of </w:t>
      </w:r>
      <w:r w:rsidR="001443A3">
        <w:rPr>
          <w:rFonts w:ascii="Arial" w:hAnsi="Arial" w:cs="Arial"/>
          <w:sz w:val="22"/>
          <w:szCs w:val="22"/>
          <w:lang w:eastAsia="en-AU"/>
        </w:rPr>
        <w:t xml:space="preserve">any </w:t>
      </w:r>
      <w:r w:rsidR="001443A3" w:rsidRPr="001443A3">
        <w:rPr>
          <w:rFonts w:ascii="Arial" w:hAnsi="Arial" w:cs="Arial"/>
          <w:sz w:val="22"/>
          <w:szCs w:val="22"/>
          <w:lang w:eastAsia="en-AU"/>
        </w:rPr>
        <w:t>compositional change</w:t>
      </w:r>
      <w:r w:rsidR="001443A3">
        <w:rPr>
          <w:rFonts w:ascii="Arial" w:hAnsi="Arial" w:cs="Arial"/>
          <w:sz w:val="22"/>
          <w:szCs w:val="22"/>
          <w:lang w:eastAsia="en-AU"/>
        </w:rPr>
        <w:t xml:space="preserve"> in jobs being advertised</w:t>
      </w:r>
      <w:r w:rsidRPr="0077673A">
        <w:rPr>
          <w:rFonts w:ascii="Arial" w:hAnsi="Arial" w:cs="Arial"/>
          <w:sz w:val="22"/>
          <w:szCs w:val="22"/>
          <w:lang w:eastAsia="en-AU"/>
        </w:rPr>
        <w:t xml:space="preserve">. </w:t>
      </w:r>
      <w:r w:rsidR="002D038E">
        <w:rPr>
          <w:rFonts w:ascii="Arial" w:hAnsi="Arial" w:cs="Arial"/>
          <w:sz w:val="22"/>
          <w:szCs w:val="22"/>
          <w:lang w:eastAsia="en-AU"/>
        </w:rPr>
        <w:t xml:space="preserve">As this data measures growth in advertised salaries for advertised jobs, it does not reflect </w:t>
      </w:r>
      <w:r w:rsidR="00162B5C">
        <w:rPr>
          <w:rFonts w:ascii="Arial" w:hAnsi="Arial" w:cs="Arial"/>
          <w:sz w:val="22"/>
          <w:szCs w:val="22"/>
          <w:lang w:eastAsia="en-AU"/>
        </w:rPr>
        <w:t xml:space="preserve">wages growth for workers who remain in their existing job. Nonetheless, </w:t>
      </w:r>
      <w:r w:rsidR="00074FC8">
        <w:rPr>
          <w:rFonts w:ascii="Arial" w:hAnsi="Arial" w:cs="Arial"/>
          <w:sz w:val="22"/>
          <w:szCs w:val="22"/>
          <w:lang w:eastAsia="en-AU"/>
        </w:rPr>
        <w:t xml:space="preserve">it offers additional insight into the wages that employers are offering when trying to attract new workers. The SEEK ASI </w:t>
      </w:r>
      <w:r w:rsidR="009A7437">
        <w:rPr>
          <w:rFonts w:ascii="Arial" w:hAnsi="Arial" w:cs="Arial"/>
          <w:sz w:val="22"/>
          <w:szCs w:val="22"/>
          <w:lang w:eastAsia="en-AU"/>
        </w:rPr>
        <w:t xml:space="preserve">for March 2023 </w:t>
      </w:r>
      <w:r w:rsidR="00074FC8">
        <w:rPr>
          <w:rFonts w:ascii="Arial" w:hAnsi="Arial" w:cs="Arial"/>
          <w:sz w:val="22"/>
          <w:szCs w:val="22"/>
          <w:lang w:eastAsia="en-AU"/>
        </w:rPr>
        <w:t>showed annual growth in advertised salaries of 4.</w:t>
      </w:r>
      <w:r w:rsidR="001A2DE3">
        <w:rPr>
          <w:rFonts w:ascii="Arial" w:hAnsi="Arial" w:cs="Arial"/>
          <w:sz w:val="22"/>
          <w:szCs w:val="22"/>
          <w:lang w:eastAsia="en-AU"/>
        </w:rPr>
        <w:t>7</w:t>
      </w:r>
      <w:r w:rsidR="00074FC8">
        <w:rPr>
          <w:rFonts w:ascii="Arial" w:hAnsi="Arial" w:cs="Arial"/>
          <w:sz w:val="22"/>
          <w:szCs w:val="22"/>
          <w:lang w:eastAsia="en-AU"/>
        </w:rPr>
        <w:t>% for the year</w:t>
      </w:r>
      <w:r w:rsidR="00C9365F">
        <w:rPr>
          <w:rStyle w:val="FootnoteReference"/>
          <w:rFonts w:ascii="Arial" w:hAnsi="Arial" w:cs="Arial"/>
          <w:sz w:val="22"/>
          <w:szCs w:val="22"/>
          <w:lang w:eastAsia="en-AU"/>
        </w:rPr>
        <w:footnoteReference w:id="3"/>
      </w:r>
      <w:r w:rsidR="00074FC8">
        <w:rPr>
          <w:rFonts w:ascii="Arial" w:hAnsi="Arial" w:cs="Arial"/>
          <w:sz w:val="22"/>
          <w:szCs w:val="22"/>
          <w:lang w:eastAsia="en-AU"/>
        </w:rPr>
        <w:t>.</w:t>
      </w:r>
    </w:p>
    <w:p w14:paraId="27E93BCD" w14:textId="77777777" w:rsidR="00EB5F39" w:rsidRDefault="00EB5F39" w:rsidP="003C3D67">
      <w:pPr>
        <w:pStyle w:val="Heading1"/>
        <w:spacing w:before="240"/>
        <w:rPr>
          <w:rFonts w:cs="Arial"/>
        </w:rPr>
      </w:pPr>
      <w:r>
        <w:rPr>
          <w:rFonts w:cs="Arial"/>
        </w:rPr>
        <w:br w:type="page"/>
      </w:r>
    </w:p>
    <w:p w14:paraId="4246F7FC" w14:textId="4BC6E26D" w:rsidR="003C3D67" w:rsidRPr="00BB36CB" w:rsidRDefault="003C3D67" w:rsidP="003C3D67">
      <w:pPr>
        <w:pStyle w:val="Heading1"/>
        <w:spacing w:before="240"/>
        <w:rPr>
          <w:rFonts w:cs="Arial"/>
        </w:rPr>
      </w:pPr>
      <w:bookmarkStart w:id="9" w:name="_Toc134785322"/>
      <w:r w:rsidRPr="00BB36CB">
        <w:rPr>
          <w:rFonts w:cs="Arial"/>
        </w:rPr>
        <w:lastRenderedPageBreak/>
        <w:t>Employment growth has varied considerably across skill levels, occupations and industries</w:t>
      </w:r>
      <w:bookmarkEnd w:id="9"/>
      <w:r w:rsidRPr="00BB36CB">
        <w:rPr>
          <w:rFonts w:cs="Arial"/>
        </w:rPr>
        <w:t xml:space="preserve"> </w:t>
      </w:r>
    </w:p>
    <w:bookmarkEnd w:id="2"/>
    <w:p w14:paraId="0A8C6A65" w14:textId="6C454E6C" w:rsidR="00CC46E7" w:rsidRDefault="00DC7990" w:rsidP="00617A0F">
      <w:pPr>
        <w:spacing w:after="120" w:line="276" w:lineRule="auto"/>
        <w:rPr>
          <w:rFonts w:cs="Arial"/>
        </w:rPr>
      </w:pPr>
      <w:r w:rsidRPr="00BB36CB">
        <w:rPr>
          <w:rFonts w:cs="Arial"/>
        </w:rPr>
        <w:t xml:space="preserve">The most recent detailed ABS Labour Force Survey data for the </w:t>
      </w:r>
      <w:r w:rsidR="00B26D68">
        <w:rPr>
          <w:rFonts w:cs="Arial"/>
        </w:rPr>
        <w:t>February 2023</w:t>
      </w:r>
      <w:r w:rsidRPr="00BB36CB">
        <w:rPr>
          <w:rFonts w:cs="Arial"/>
        </w:rPr>
        <w:t xml:space="preserve"> quarter shows that </w:t>
      </w:r>
      <w:r w:rsidR="0057351E">
        <w:rPr>
          <w:rFonts w:cs="Arial"/>
        </w:rPr>
        <w:t xml:space="preserve">over the quarter to February 2023, </w:t>
      </w:r>
      <w:r w:rsidR="00B26D68">
        <w:rPr>
          <w:rFonts w:cs="Arial"/>
        </w:rPr>
        <w:t>e</w:t>
      </w:r>
      <w:r w:rsidR="00B26D68" w:rsidRPr="00B26D68">
        <w:rPr>
          <w:rFonts w:cs="Arial"/>
        </w:rPr>
        <w:t>mployment increased in four Skill Level</w:t>
      </w:r>
      <w:r w:rsidR="00CC46E7" w:rsidRPr="00BB36CB">
        <w:rPr>
          <w:rStyle w:val="FootnoteReference"/>
          <w:rFonts w:cs="Arial"/>
        </w:rPr>
        <w:footnoteReference w:id="4"/>
      </w:r>
      <w:r w:rsidR="00B26D68" w:rsidRPr="00B26D68">
        <w:rPr>
          <w:rFonts w:cs="Arial"/>
        </w:rPr>
        <w:t xml:space="preserve"> groups and declined in one. </w:t>
      </w:r>
    </w:p>
    <w:p w14:paraId="7984855F" w14:textId="67A455F9" w:rsidR="00641C81" w:rsidRPr="00641C81" w:rsidRDefault="00641C81" w:rsidP="00CB0BE2">
      <w:pPr>
        <w:pStyle w:val="ListParagraph"/>
        <w:numPr>
          <w:ilvl w:val="0"/>
          <w:numId w:val="15"/>
        </w:numPr>
        <w:spacing w:after="120" w:line="276" w:lineRule="auto"/>
        <w:rPr>
          <w:rFonts w:cs="Arial"/>
        </w:rPr>
      </w:pPr>
      <w:r w:rsidRPr="00641C81">
        <w:rPr>
          <w:rFonts w:cs="Arial"/>
        </w:rPr>
        <w:t>The largest employment gains were for Skill Level 1 Occupations (up by 55,300, or 1.2 per cent), Skill Level 2 Occupations (up by 53,700, or 3.2 per cent) and Skill Level 5 Occupations (up by 18,300, or 0.9 per cent).</w:t>
      </w:r>
    </w:p>
    <w:p w14:paraId="58DECFF0" w14:textId="26830E4C" w:rsidR="00B26D68" w:rsidRPr="00641C81" w:rsidRDefault="00B26D68" w:rsidP="00CB0BE2">
      <w:pPr>
        <w:pStyle w:val="ListParagraph"/>
        <w:numPr>
          <w:ilvl w:val="0"/>
          <w:numId w:val="15"/>
        </w:numPr>
        <w:spacing w:after="120" w:line="276" w:lineRule="auto"/>
        <w:rPr>
          <w:rFonts w:cs="Arial"/>
        </w:rPr>
      </w:pPr>
      <w:r w:rsidRPr="00641C81">
        <w:rPr>
          <w:rFonts w:cs="Arial"/>
        </w:rPr>
        <w:t>Employment for Skill Level 4 occupations fell by 86,000 (or 2.6%) over the quarter.</w:t>
      </w:r>
    </w:p>
    <w:p w14:paraId="3159ED11" w14:textId="77777777" w:rsidR="001346C3" w:rsidRDefault="004B34CC" w:rsidP="004B34CC">
      <w:pPr>
        <w:spacing w:after="120" w:line="276" w:lineRule="auto"/>
        <w:rPr>
          <w:rFonts w:cs="Arial"/>
        </w:rPr>
      </w:pPr>
      <w:r w:rsidRPr="00BB36CB">
        <w:rPr>
          <w:rFonts w:cs="Arial"/>
        </w:rPr>
        <w:t xml:space="preserve">Over the year to </w:t>
      </w:r>
      <w:r w:rsidR="00F34CB3">
        <w:rPr>
          <w:rFonts w:cs="Arial"/>
        </w:rPr>
        <w:t>February 2023</w:t>
      </w:r>
      <w:r w:rsidRPr="00BB36CB">
        <w:rPr>
          <w:rFonts w:cs="Arial"/>
        </w:rPr>
        <w:t xml:space="preserve">, employment increased in all five skill level groups. </w:t>
      </w:r>
    </w:p>
    <w:p w14:paraId="3B391E85" w14:textId="79684CDF" w:rsidR="00A73E54" w:rsidRPr="001346C3" w:rsidRDefault="004B34CC" w:rsidP="00CB0BE2">
      <w:pPr>
        <w:pStyle w:val="ListParagraph"/>
        <w:numPr>
          <w:ilvl w:val="0"/>
          <w:numId w:val="16"/>
        </w:numPr>
        <w:spacing w:after="120" w:line="276" w:lineRule="auto"/>
        <w:rPr>
          <w:rFonts w:cs="Arial"/>
        </w:rPr>
      </w:pPr>
      <w:r w:rsidRPr="001346C3">
        <w:rPr>
          <w:rFonts w:cs="Arial"/>
        </w:rPr>
        <w:t xml:space="preserve">The largest employment gains were in </w:t>
      </w:r>
      <w:r w:rsidR="00F34CB3" w:rsidRPr="001346C3">
        <w:rPr>
          <w:rFonts w:cs="Arial"/>
        </w:rPr>
        <w:t>Skill Level 3 Occupations (up by 1</w:t>
      </w:r>
      <w:r w:rsidR="009D6FDB" w:rsidRPr="001346C3">
        <w:rPr>
          <w:rFonts w:cs="Arial"/>
        </w:rPr>
        <w:t>21</w:t>
      </w:r>
      <w:r w:rsidR="00F34CB3" w:rsidRPr="001346C3">
        <w:rPr>
          <w:rFonts w:cs="Arial"/>
        </w:rPr>
        <w:t>,</w:t>
      </w:r>
      <w:r w:rsidR="009D6FDB" w:rsidRPr="001346C3">
        <w:rPr>
          <w:rFonts w:cs="Arial"/>
        </w:rPr>
        <w:t>7</w:t>
      </w:r>
      <w:r w:rsidR="00F34CB3" w:rsidRPr="001346C3">
        <w:rPr>
          <w:rFonts w:cs="Arial"/>
        </w:rPr>
        <w:t>00, or 6.</w:t>
      </w:r>
      <w:r w:rsidR="009D6FDB" w:rsidRPr="001346C3">
        <w:rPr>
          <w:rFonts w:cs="Arial"/>
        </w:rPr>
        <w:t>3</w:t>
      </w:r>
      <w:r w:rsidR="00F34CB3" w:rsidRPr="001346C3">
        <w:rPr>
          <w:rFonts w:cs="Arial"/>
        </w:rPr>
        <w:t>%)</w:t>
      </w:r>
      <w:r w:rsidR="009D6FDB" w:rsidRPr="001346C3">
        <w:rPr>
          <w:rFonts w:cs="Arial"/>
        </w:rPr>
        <w:t xml:space="preserve">, </w:t>
      </w:r>
      <w:r w:rsidRPr="001346C3">
        <w:rPr>
          <w:rFonts w:cs="Arial"/>
        </w:rPr>
        <w:t xml:space="preserve">Skill Level 1 Occupations (up by </w:t>
      </w:r>
      <w:r w:rsidR="009D6FDB" w:rsidRPr="001346C3">
        <w:rPr>
          <w:rFonts w:cs="Arial"/>
        </w:rPr>
        <w:t>97</w:t>
      </w:r>
      <w:r w:rsidRPr="001346C3">
        <w:rPr>
          <w:rFonts w:cs="Arial"/>
        </w:rPr>
        <w:t>,</w:t>
      </w:r>
      <w:r w:rsidR="009D6FDB" w:rsidRPr="001346C3">
        <w:rPr>
          <w:rFonts w:cs="Arial"/>
        </w:rPr>
        <w:t>9</w:t>
      </w:r>
      <w:r w:rsidRPr="001346C3">
        <w:rPr>
          <w:rFonts w:cs="Arial"/>
        </w:rPr>
        <w:t xml:space="preserve">00, or </w:t>
      </w:r>
      <w:r w:rsidR="009D6FDB" w:rsidRPr="001346C3">
        <w:rPr>
          <w:rFonts w:cs="Arial"/>
        </w:rPr>
        <w:t>2.1</w:t>
      </w:r>
      <w:r w:rsidR="006E6A91" w:rsidRPr="001346C3">
        <w:rPr>
          <w:rFonts w:cs="Arial"/>
        </w:rPr>
        <w:t>%</w:t>
      </w:r>
      <w:r w:rsidRPr="001346C3">
        <w:rPr>
          <w:rFonts w:cs="Arial"/>
        </w:rPr>
        <w:t>)</w:t>
      </w:r>
      <w:r w:rsidR="009D6FDB" w:rsidRPr="001346C3">
        <w:rPr>
          <w:rFonts w:cs="Arial"/>
        </w:rPr>
        <w:t xml:space="preserve"> and</w:t>
      </w:r>
      <w:r w:rsidRPr="001346C3">
        <w:rPr>
          <w:rFonts w:cs="Arial"/>
        </w:rPr>
        <w:t xml:space="preserve"> Skill Level 4 Occupations (up by </w:t>
      </w:r>
      <w:r w:rsidR="009D6FDB" w:rsidRPr="001346C3">
        <w:rPr>
          <w:rFonts w:cs="Arial"/>
        </w:rPr>
        <w:t>79</w:t>
      </w:r>
      <w:r w:rsidRPr="001346C3">
        <w:rPr>
          <w:rFonts w:cs="Arial"/>
        </w:rPr>
        <w:t>,</w:t>
      </w:r>
      <w:r w:rsidR="009D6FDB" w:rsidRPr="001346C3">
        <w:rPr>
          <w:rFonts w:cs="Arial"/>
        </w:rPr>
        <w:t>2</w:t>
      </w:r>
      <w:r w:rsidRPr="001346C3">
        <w:rPr>
          <w:rFonts w:cs="Arial"/>
        </w:rPr>
        <w:t xml:space="preserve">00, or </w:t>
      </w:r>
      <w:r w:rsidR="009D6FDB" w:rsidRPr="001346C3">
        <w:rPr>
          <w:rFonts w:cs="Arial"/>
        </w:rPr>
        <w:t>2.5</w:t>
      </w:r>
      <w:r w:rsidR="006E6A91" w:rsidRPr="001346C3">
        <w:rPr>
          <w:rFonts w:cs="Arial"/>
        </w:rPr>
        <w:t>%</w:t>
      </w:r>
      <w:r w:rsidRPr="001346C3">
        <w:rPr>
          <w:rFonts w:cs="Arial"/>
        </w:rPr>
        <w:t>)</w:t>
      </w:r>
      <w:r w:rsidR="009D6FDB" w:rsidRPr="001346C3">
        <w:rPr>
          <w:rFonts w:cs="Arial"/>
        </w:rPr>
        <w:t>.</w:t>
      </w:r>
      <w:r w:rsidRPr="001346C3">
        <w:rPr>
          <w:rFonts w:cs="Arial"/>
        </w:rPr>
        <w:t xml:space="preserve"> </w:t>
      </w:r>
    </w:p>
    <w:p w14:paraId="4A81622D" w14:textId="02444468" w:rsidR="00AF3CF9" w:rsidRDefault="00F24F36" w:rsidP="004B34CC">
      <w:pPr>
        <w:spacing w:after="120" w:line="276" w:lineRule="auto"/>
        <w:rPr>
          <w:rFonts w:cs="Arial"/>
        </w:rPr>
      </w:pPr>
      <w:r>
        <w:rPr>
          <w:rFonts w:cs="Arial"/>
        </w:rPr>
        <w:t>Over th</w:t>
      </w:r>
      <w:r w:rsidR="00A73E54">
        <w:rPr>
          <w:rFonts w:cs="Arial"/>
        </w:rPr>
        <w:t>e year to February 2023</w:t>
      </w:r>
      <w:r>
        <w:rPr>
          <w:rFonts w:cs="Arial"/>
        </w:rPr>
        <w:t xml:space="preserve">, around 92% of total employment growth </w:t>
      </w:r>
      <w:r w:rsidR="00CF4CA6">
        <w:rPr>
          <w:rFonts w:cs="Arial"/>
        </w:rPr>
        <w:t xml:space="preserve">was in occupations </w:t>
      </w:r>
      <w:r w:rsidR="00530F5F">
        <w:rPr>
          <w:rFonts w:cs="Arial"/>
        </w:rPr>
        <w:t xml:space="preserve">that </w:t>
      </w:r>
      <w:r w:rsidR="00AF3CF9">
        <w:rPr>
          <w:rFonts w:cs="Arial"/>
        </w:rPr>
        <w:t>t</w:t>
      </w:r>
      <w:r w:rsidR="00530F5F">
        <w:rPr>
          <w:rFonts w:cs="Arial"/>
        </w:rPr>
        <w:t xml:space="preserve">ypically </w:t>
      </w:r>
      <w:r w:rsidR="00AF3CF9" w:rsidRPr="00AF3CF9">
        <w:rPr>
          <w:rFonts w:cs="Arial"/>
        </w:rPr>
        <w:t>require post-school qualifications, reflecting the importance of</w:t>
      </w:r>
      <w:r w:rsidR="00EF7CDA" w:rsidRPr="00EF7CDA">
        <w:rPr>
          <w:rFonts w:cs="Arial"/>
        </w:rPr>
        <w:t xml:space="preserve"> </w:t>
      </w:r>
      <w:r w:rsidR="00EF7CDA">
        <w:rPr>
          <w:rFonts w:cs="Arial"/>
        </w:rPr>
        <w:t>both the higher education and VET systems to growing a high-skilled Australian workforce</w:t>
      </w:r>
      <w:r w:rsidR="00AF3CF9" w:rsidRPr="00AF3CF9">
        <w:rPr>
          <w:rFonts w:cs="Arial"/>
        </w:rPr>
        <w:t>.</w:t>
      </w:r>
      <w:r w:rsidR="00AF3CF9">
        <w:rPr>
          <w:rFonts w:cs="Arial"/>
        </w:rPr>
        <w:t xml:space="preserve"> 67% of total employment growth over this period </w:t>
      </w:r>
      <w:r w:rsidR="00A944E5">
        <w:rPr>
          <w:rFonts w:cs="Arial"/>
        </w:rPr>
        <w:t>was</w:t>
      </w:r>
      <w:r w:rsidR="00AF3CF9">
        <w:rPr>
          <w:rFonts w:cs="Arial"/>
        </w:rPr>
        <w:t xml:space="preserve"> </w:t>
      </w:r>
      <w:r w:rsidR="00BF52A1">
        <w:rPr>
          <w:rFonts w:cs="Arial"/>
        </w:rPr>
        <w:t>in Skill Level 2 to Skill Level 4 occupations</w:t>
      </w:r>
      <w:r w:rsidR="00EF7CDA">
        <w:rPr>
          <w:rFonts w:cs="Arial"/>
        </w:rPr>
        <w:t xml:space="preserve"> </w:t>
      </w:r>
      <w:r w:rsidR="00EF7CDA" w:rsidRPr="00EF7CDA">
        <w:rPr>
          <w:rFonts w:cs="Arial"/>
        </w:rPr>
        <w:t>(where VET qualifications are the primary pathway</w:t>
      </w:r>
      <w:r w:rsidR="00EF7CDA">
        <w:rPr>
          <w:rFonts w:cs="Arial"/>
        </w:rPr>
        <w:t>).</w:t>
      </w:r>
    </w:p>
    <w:p w14:paraId="5ACC762F" w14:textId="55913545" w:rsidR="00E27B90" w:rsidRPr="00880019" w:rsidRDefault="002345C4" w:rsidP="00E27B90">
      <w:pPr>
        <w:spacing w:after="120"/>
        <w:rPr>
          <w:rFonts w:eastAsiaTheme="majorEastAsia" w:cs="Arial"/>
          <w:b/>
          <w:bCs/>
          <w:iCs/>
        </w:rPr>
      </w:pPr>
      <w:r w:rsidRPr="00AE4853">
        <w:rPr>
          <w:b/>
          <w:bCs/>
          <w:lang w:eastAsia="en-AU"/>
        </w:rPr>
        <w:t xml:space="preserve">Table </w:t>
      </w:r>
      <w:r w:rsidR="007B498F">
        <w:rPr>
          <w:b/>
          <w:bCs/>
          <w:lang w:eastAsia="en-AU"/>
        </w:rPr>
        <w:t>2</w:t>
      </w:r>
      <w:r w:rsidR="00E27B90" w:rsidRPr="00AE4853">
        <w:rPr>
          <w:rFonts w:eastAsiaTheme="majorEastAsia" w:cs="Arial"/>
          <w:b/>
          <w:bCs/>
          <w:iCs/>
        </w:rPr>
        <w:t>: Employment</w:t>
      </w:r>
      <w:r w:rsidR="00E27B90">
        <w:rPr>
          <w:rFonts w:eastAsiaTheme="majorEastAsia" w:cs="Arial"/>
          <w:b/>
          <w:bCs/>
          <w:iCs/>
        </w:rPr>
        <w:t xml:space="preserve"> by Skill Level, </w:t>
      </w:r>
      <w:r w:rsidR="00214DDD">
        <w:rPr>
          <w:rFonts w:eastAsiaTheme="majorEastAsia" w:cs="Arial"/>
          <w:b/>
          <w:bCs/>
          <w:iCs/>
        </w:rPr>
        <w:t>February 2023</w:t>
      </w:r>
      <w:r w:rsidR="00E27B90">
        <w:rPr>
          <w:rFonts w:eastAsiaTheme="majorEastAsia" w:cs="Arial"/>
          <w:b/>
          <w:bCs/>
          <w:iCs/>
        </w:rPr>
        <w:t xml:space="preserve"> </w:t>
      </w:r>
      <w:r w:rsidR="00E27B90" w:rsidRPr="0010191C">
        <w:rPr>
          <w:rFonts w:eastAsiaTheme="majorEastAsia" w:cs="Arial"/>
          <w:b/>
          <w:bCs/>
          <w:iCs/>
        </w:rPr>
        <w:t>(‘000)</w:t>
      </w:r>
      <w:r w:rsidR="00E27B90" w:rsidRPr="0010191C">
        <w:rPr>
          <w:rFonts w:eastAsiaTheme="majorEastAsia" w:cs="Arial"/>
          <w:b/>
          <w:bCs/>
          <w:iCs/>
          <w:color w:val="6929C4" w:themeColor="accent1"/>
        </w:rPr>
        <w:t xml:space="preserve"> </w:t>
      </w:r>
    </w:p>
    <w:tbl>
      <w:tblPr>
        <w:tblW w:w="9621" w:type="dxa"/>
        <w:tblLook w:val="04A0" w:firstRow="1" w:lastRow="0" w:firstColumn="1" w:lastColumn="0" w:noHBand="0" w:noVBand="1"/>
      </w:tblPr>
      <w:tblGrid>
        <w:gridCol w:w="2835"/>
        <w:gridCol w:w="1276"/>
        <w:gridCol w:w="1171"/>
        <w:gridCol w:w="1106"/>
        <w:gridCol w:w="1106"/>
        <w:gridCol w:w="1079"/>
        <w:gridCol w:w="1079"/>
      </w:tblGrid>
      <w:tr w:rsidR="00E27B90" w:rsidRPr="00880019" w14:paraId="0C9C5045" w14:textId="77777777" w:rsidTr="00E27B90">
        <w:trPr>
          <w:trHeight w:val="1130"/>
        </w:trPr>
        <w:tc>
          <w:tcPr>
            <w:tcW w:w="2835" w:type="dxa"/>
            <w:shd w:val="clear" w:color="auto" w:fill="441170"/>
            <w:vAlign w:val="center"/>
            <w:hideMark/>
          </w:tcPr>
          <w:p w14:paraId="70DED498" w14:textId="77777777" w:rsidR="00E27B90" w:rsidRPr="00880019" w:rsidRDefault="00E27B90" w:rsidP="009A57EC">
            <w:pPr>
              <w:jc w:val="center"/>
              <w:rPr>
                <w:rFonts w:cs="Arial"/>
                <w:b/>
                <w:bCs/>
                <w:color w:val="FFFFFF" w:themeColor="background1"/>
                <w:sz w:val="20"/>
                <w:lang w:eastAsia="en-AU"/>
              </w:rPr>
            </w:pPr>
            <w:r w:rsidRPr="00880019">
              <w:rPr>
                <w:rFonts w:cs="Arial"/>
                <w:b/>
                <w:bCs/>
                <w:color w:val="FFFFFF" w:themeColor="background1"/>
                <w:sz w:val="20"/>
                <w:lang w:eastAsia="en-AU"/>
              </w:rPr>
              <w:t>Skill Levels</w:t>
            </w:r>
          </w:p>
        </w:tc>
        <w:tc>
          <w:tcPr>
            <w:tcW w:w="1276" w:type="dxa"/>
            <w:shd w:val="clear" w:color="auto" w:fill="441170"/>
            <w:vAlign w:val="center"/>
            <w:hideMark/>
          </w:tcPr>
          <w:p w14:paraId="2F8EBE29" w14:textId="0C8A8E55" w:rsidR="00E27B90" w:rsidRPr="001600EF" w:rsidRDefault="00226ABF" w:rsidP="009A57EC">
            <w:pPr>
              <w:jc w:val="center"/>
              <w:rPr>
                <w:rFonts w:cs="Arial"/>
                <w:b/>
                <w:bCs/>
                <w:color w:val="FFFFFF" w:themeColor="background1"/>
                <w:sz w:val="20"/>
                <w:lang w:eastAsia="en-AU"/>
              </w:rPr>
            </w:pPr>
            <w:r>
              <w:rPr>
                <w:rFonts w:cs="Arial"/>
                <w:b/>
                <w:bCs/>
                <w:color w:val="FFFFFF" w:themeColor="background1"/>
                <w:sz w:val="20"/>
              </w:rPr>
              <w:t xml:space="preserve">Feb 2023 </w:t>
            </w:r>
          </w:p>
        </w:tc>
        <w:tc>
          <w:tcPr>
            <w:tcW w:w="1140" w:type="dxa"/>
            <w:shd w:val="clear" w:color="auto" w:fill="441170"/>
            <w:vAlign w:val="center"/>
            <w:hideMark/>
          </w:tcPr>
          <w:p w14:paraId="1221F6F3" w14:textId="45F41D3D" w:rsidR="00E27B90" w:rsidRPr="001600EF" w:rsidRDefault="00226ABF" w:rsidP="009A57EC">
            <w:pPr>
              <w:jc w:val="center"/>
              <w:rPr>
                <w:rFonts w:cs="Arial"/>
                <w:b/>
                <w:bCs/>
                <w:color w:val="FFFFFF" w:themeColor="background1"/>
                <w:sz w:val="20"/>
                <w:lang w:eastAsia="en-AU"/>
              </w:rPr>
            </w:pPr>
            <w:r>
              <w:rPr>
                <w:rFonts w:cs="Arial"/>
                <w:b/>
                <w:bCs/>
                <w:color w:val="FFFFFF" w:themeColor="background1"/>
                <w:sz w:val="20"/>
              </w:rPr>
              <w:t>Nov</w:t>
            </w:r>
            <w:r w:rsidR="00E27B90" w:rsidRPr="001600EF">
              <w:rPr>
                <w:rFonts w:cs="Arial"/>
                <w:b/>
                <w:bCs/>
                <w:color w:val="FFFFFF" w:themeColor="background1"/>
                <w:sz w:val="20"/>
              </w:rPr>
              <w:t xml:space="preserve"> 2022</w:t>
            </w:r>
            <w:r>
              <w:rPr>
                <w:rFonts w:cs="Arial"/>
                <w:b/>
                <w:bCs/>
                <w:color w:val="FFFFFF" w:themeColor="background1"/>
                <w:sz w:val="20"/>
              </w:rPr>
              <w:t xml:space="preserve"> </w:t>
            </w:r>
          </w:p>
        </w:tc>
        <w:tc>
          <w:tcPr>
            <w:tcW w:w="1106" w:type="dxa"/>
            <w:shd w:val="clear" w:color="auto" w:fill="441170"/>
            <w:vAlign w:val="center"/>
            <w:hideMark/>
          </w:tcPr>
          <w:p w14:paraId="3C0B89C4" w14:textId="269979E7" w:rsidR="00E27B90" w:rsidRPr="00880019" w:rsidRDefault="00E27B90" w:rsidP="009A57EC">
            <w:pPr>
              <w:jc w:val="center"/>
              <w:rPr>
                <w:rFonts w:cs="Arial"/>
                <w:b/>
                <w:bCs/>
                <w:color w:val="FFFFFF" w:themeColor="background1"/>
                <w:sz w:val="20"/>
                <w:lang w:eastAsia="en-AU"/>
              </w:rPr>
            </w:pPr>
            <w:r w:rsidRPr="00880019">
              <w:rPr>
                <w:rFonts w:cs="Arial"/>
                <w:b/>
                <w:bCs/>
                <w:color w:val="FFFFFF" w:themeColor="background1"/>
                <w:sz w:val="20"/>
                <w:lang w:eastAsia="en-AU"/>
              </w:rPr>
              <w:t>Quarterly change</w:t>
            </w:r>
            <w:r w:rsidR="002A780F">
              <w:rPr>
                <w:rFonts w:cs="Arial"/>
                <w:b/>
                <w:bCs/>
                <w:color w:val="FFFFFF" w:themeColor="background1"/>
                <w:sz w:val="20"/>
                <w:lang w:eastAsia="en-AU"/>
              </w:rPr>
              <w:t xml:space="preserve"> </w:t>
            </w:r>
          </w:p>
        </w:tc>
        <w:tc>
          <w:tcPr>
            <w:tcW w:w="1106" w:type="dxa"/>
            <w:shd w:val="clear" w:color="auto" w:fill="441170"/>
            <w:vAlign w:val="center"/>
            <w:hideMark/>
          </w:tcPr>
          <w:p w14:paraId="21B0F49A" w14:textId="77777777" w:rsidR="00E27B90" w:rsidRPr="00880019" w:rsidRDefault="00E27B90" w:rsidP="009A57EC">
            <w:pPr>
              <w:jc w:val="center"/>
              <w:rPr>
                <w:rFonts w:cs="Arial"/>
                <w:b/>
                <w:bCs/>
                <w:color w:val="FFFFFF" w:themeColor="background1"/>
                <w:sz w:val="20"/>
                <w:lang w:eastAsia="en-AU"/>
              </w:rPr>
            </w:pPr>
            <w:r w:rsidRPr="00880019">
              <w:rPr>
                <w:rFonts w:cs="Arial"/>
                <w:b/>
                <w:bCs/>
                <w:color w:val="FFFFFF" w:themeColor="background1"/>
                <w:sz w:val="20"/>
                <w:lang w:eastAsia="en-AU"/>
              </w:rPr>
              <w:t>Quarterly change (%)</w:t>
            </w:r>
          </w:p>
        </w:tc>
        <w:tc>
          <w:tcPr>
            <w:tcW w:w="1079" w:type="dxa"/>
            <w:shd w:val="clear" w:color="auto" w:fill="441170"/>
            <w:vAlign w:val="center"/>
            <w:hideMark/>
          </w:tcPr>
          <w:p w14:paraId="1CA48DF7" w14:textId="0502AC22" w:rsidR="00E27B90" w:rsidRPr="00880019" w:rsidRDefault="00E27B90" w:rsidP="009A57EC">
            <w:pPr>
              <w:jc w:val="center"/>
              <w:rPr>
                <w:rFonts w:cs="Arial"/>
                <w:b/>
                <w:bCs/>
                <w:color w:val="FFFFFF" w:themeColor="background1"/>
                <w:sz w:val="20"/>
                <w:lang w:eastAsia="en-AU"/>
              </w:rPr>
            </w:pPr>
            <w:r w:rsidRPr="00880019">
              <w:rPr>
                <w:rFonts w:cs="Arial"/>
                <w:b/>
                <w:bCs/>
                <w:color w:val="FFFFFF" w:themeColor="background1"/>
                <w:sz w:val="20"/>
                <w:lang w:eastAsia="en-AU"/>
              </w:rPr>
              <w:t>Annual change</w:t>
            </w:r>
            <w:r w:rsidR="002A780F">
              <w:rPr>
                <w:rFonts w:cs="Arial"/>
                <w:b/>
                <w:bCs/>
                <w:color w:val="FFFFFF" w:themeColor="background1"/>
                <w:sz w:val="20"/>
                <w:lang w:eastAsia="en-AU"/>
              </w:rPr>
              <w:t xml:space="preserve"> </w:t>
            </w:r>
          </w:p>
        </w:tc>
        <w:tc>
          <w:tcPr>
            <w:tcW w:w="1079" w:type="dxa"/>
            <w:shd w:val="clear" w:color="auto" w:fill="441170"/>
            <w:vAlign w:val="center"/>
            <w:hideMark/>
          </w:tcPr>
          <w:p w14:paraId="6FE70449" w14:textId="77777777" w:rsidR="00E27B90" w:rsidRPr="00880019" w:rsidRDefault="00E27B90" w:rsidP="009A57EC">
            <w:pPr>
              <w:jc w:val="center"/>
              <w:rPr>
                <w:rFonts w:cs="Arial"/>
                <w:b/>
                <w:bCs/>
                <w:color w:val="FFFFFF" w:themeColor="background1"/>
                <w:sz w:val="20"/>
                <w:lang w:eastAsia="en-AU"/>
              </w:rPr>
            </w:pPr>
            <w:r w:rsidRPr="00880019">
              <w:rPr>
                <w:rFonts w:cs="Arial"/>
                <w:b/>
                <w:bCs/>
                <w:color w:val="FFFFFF" w:themeColor="background1"/>
                <w:sz w:val="20"/>
                <w:lang w:eastAsia="en-AU"/>
              </w:rPr>
              <w:t>Annual change (%)</w:t>
            </w:r>
          </w:p>
        </w:tc>
      </w:tr>
      <w:tr w:rsidR="00226ABF" w:rsidRPr="00880019" w14:paraId="57C17FCF" w14:textId="77777777" w:rsidTr="00491879">
        <w:trPr>
          <w:trHeight w:val="290"/>
        </w:trPr>
        <w:tc>
          <w:tcPr>
            <w:tcW w:w="2835" w:type="dxa"/>
            <w:shd w:val="clear" w:color="auto" w:fill="D9D9D9" w:themeFill="background1" w:themeFillShade="D9"/>
            <w:noWrap/>
            <w:hideMark/>
          </w:tcPr>
          <w:p w14:paraId="63C02255" w14:textId="47B16896" w:rsidR="00226ABF" w:rsidRPr="00E03E11" w:rsidRDefault="00226ABF" w:rsidP="00226ABF">
            <w:pPr>
              <w:spacing w:after="0"/>
              <w:rPr>
                <w:rFonts w:cs="Arial"/>
                <w:color w:val="000000"/>
                <w:lang w:eastAsia="en-AU"/>
              </w:rPr>
            </w:pPr>
            <w:r w:rsidRPr="00514C98">
              <w:t>Skill Level 1 Occupations</w:t>
            </w:r>
          </w:p>
        </w:tc>
        <w:tc>
          <w:tcPr>
            <w:tcW w:w="1276" w:type="dxa"/>
            <w:shd w:val="clear" w:color="auto" w:fill="D9D9D9" w:themeFill="background1" w:themeFillShade="D9"/>
            <w:noWrap/>
            <w:hideMark/>
          </w:tcPr>
          <w:p w14:paraId="5CF20AB7" w14:textId="107CC5EF" w:rsidR="00226ABF" w:rsidRPr="00E03E11" w:rsidRDefault="00226ABF" w:rsidP="00226ABF">
            <w:pPr>
              <w:spacing w:after="0"/>
              <w:ind w:firstLineChars="100" w:firstLine="220"/>
              <w:jc w:val="center"/>
              <w:rPr>
                <w:rFonts w:cs="Arial"/>
                <w:color w:val="000000"/>
                <w:lang w:eastAsia="en-AU"/>
              </w:rPr>
            </w:pPr>
            <w:r w:rsidRPr="00514C98">
              <w:t>4,769.3</w:t>
            </w:r>
          </w:p>
        </w:tc>
        <w:tc>
          <w:tcPr>
            <w:tcW w:w="1140" w:type="dxa"/>
            <w:shd w:val="clear" w:color="auto" w:fill="D9D9D9" w:themeFill="background1" w:themeFillShade="D9"/>
            <w:noWrap/>
            <w:hideMark/>
          </w:tcPr>
          <w:p w14:paraId="4C9207A4" w14:textId="3C475F29" w:rsidR="00226ABF" w:rsidRPr="00E03E11" w:rsidRDefault="00226ABF" w:rsidP="00226ABF">
            <w:pPr>
              <w:spacing w:after="0"/>
              <w:ind w:firstLineChars="100" w:firstLine="220"/>
              <w:jc w:val="center"/>
              <w:rPr>
                <w:rFonts w:cs="Arial"/>
                <w:color w:val="000000"/>
                <w:lang w:eastAsia="en-AU"/>
              </w:rPr>
            </w:pPr>
            <w:r w:rsidRPr="00514C98">
              <w:t>4,714.0</w:t>
            </w:r>
          </w:p>
        </w:tc>
        <w:tc>
          <w:tcPr>
            <w:tcW w:w="1106" w:type="dxa"/>
            <w:shd w:val="clear" w:color="auto" w:fill="D9D9D9" w:themeFill="background1" w:themeFillShade="D9"/>
            <w:noWrap/>
            <w:hideMark/>
          </w:tcPr>
          <w:p w14:paraId="193BED68" w14:textId="260A3C56" w:rsidR="00226ABF" w:rsidRPr="00E03E11" w:rsidRDefault="00226ABF" w:rsidP="00226ABF">
            <w:pPr>
              <w:spacing w:after="0"/>
              <w:ind w:firstLineChars="100" w:firstLine="220"/>
              <w:jc w:val="center"/>
              <w:rPr>
                <w:rFonts w:cs="Arial"/>
                <w:color w:val="000000"/>
                <w:lang w:eastAsia="en-AU"/>
              </w:rPr>
            </w:pPr>
            <w:r w:rsidRPr="00514C98">
              <w:t>55.3</w:t>
            </w:r>
          </w:p>
        </w:tc>
        <w:tc>
          <w:tcPr>
            <w:tcW w:w="1106" w:type="dxa"/>
            <w:shd w:val="clear" w:color="auto" w:fill="D9D9D9" w:themeFill="background1" w:themeFillShade="D9"/>
            <w:noWrap/>
            <w:hideMark/>
          </w:tcPr>
          <w:p w14:paraId="2B0F658E" w14:textId="7417CFF5" w:rsidR="00226ABF" w:rsidRPr="00E03E11" w:rsidRDefault="00226ABF" w:rsidP="00226ABF">
            <w:pPr>
              <w:spacing w:after="0"/>
              <w:ind w:firstLineChars="100" w:firstLine="220"/>
              <w:jc w:val="center"/>
              <w:rPr>
                <w:rFonts w:cs="Arial"/>
                <w:color w:val="000000"/>
                <w:lang w:eastAsia="en-AU"/>
              </w:rPr>
            </w:pPr>
            <w:r w:rsidRPr="00514C98">
              <w:t>1.2</w:t>
            </w:r>
          </w:p>
        </w:tc>
        <w:tc>
          <w:tcPr>
            <w:tcW w:w="1079" w:type="dxa"/>
            <w:shd w:val="clear" w:color="auto" w:fill="D9D9D9" w:themeFill="background1" w:themeFillShade="D9"/>
            <w:noWrap/>
            <w:hideMark/>
          </w:tcPr>
          <w:p w14:paraId="08B7C9F6" w14:textId="04EA7203" w:rsidR="00226ABF" w:rsidRPr="00E03E11" w:rsidRDefault="00226ABF" w:rsidP="00226ABF">
            <w:pPr>
              <w:spacing w:after="0"/>
              <w:ind w:firstLineChars="100" w:firstLine="220"/>
              <w:jc w:val="center"/>
              <w:rPr>
                <w:rFonts w:cs="Arial"/>
                <w:color w:val="000000"/>
                <w:lang w:eastAsia="en-AU"/>
              </w:rPr>
            </w:pPr>
            <w:r w:rsidRPr="00514C98">
              <w:t>97.9</w:t>
            </w:r>
          </w:p>
        </w:tc>
        <w:tc>
          <w:tcPr>
            <w:tcW w:w="1079" w:type="dxa"/>
            <w:shd w:val="clear" w:color="auto" w:fill="D9D9D9" w:themeFill="background1" w:themeFillShade="D9"/>
            <w:noWrap/>
            <w:hideMark/>
          </w:tcPr>
          <w:p w14:paraId="0DCB9FE3" w14:textId="603899F6" w:rsidR="00226ABF" w:rsidRPr="00E03E11" w:rsidRDefault="00226ABF" w:rsidP="00226ABF">
            <w:pPr>
              <w:spacing w:after="0"/>
              <w:ind w:firstLineChars="100" w:firstLine="220"/>
              <w:jc w:val="center"/>
              <w:rPr>
                <w:rFonts w:cs="Arial"/>
                <w:color w:val="000000"/>
                <w:lang w:eastAsia="en-AU"/>
              </w:rPr>
            </w:pPr>
            <w:r w:rsidRPr="00514C98">
              <w:t>2.1</w:t>
            </w:r>
          </w:p>
        </w:tc>
      </w:tr>
      <w:tr w:rsidR="00226ABF" w:rsidRPr="00880019" w14:paraId="6F57F519" w14:textId="77777777" w:rsidTr="00491879">
        <w:trPr>
          <w:trHeight w:val="290"/>
        </w:trPr>
        <w:tc>
          <w:tcPr>
            <w:tcW w:w="2835" w:type="dxa"/>
            <w:shd w:val="clear" w:color="000000" w:fill="FFFFFF"/>
            <w:noWrap/>
            <w:hideMark/>
          </w:tcPr>
          <w:p w14:paraId="355118D1" w14:textId="5D1497FF" w:rsidR="00226ABF" w:rsidRPr="00E03E11" w:rsidRDefault="00226ABF" w:rsidP="00226ABF">
            <w:pPr>
              <w:spacing w:after="0"/>
              <w:rPr>
                <w:rFonts w:cs="Arial"/>
                <w:color w:val="000000"/>
                <w:lang w:eastAsia="en-AU"/>
              </w:rPr>
            </w:pPr>
            <w:r w:rsidRPr="00514C98">
              <w:t>Skill Level 2 Occupations</w:t>
            </w:r>
          </w:p>
        </w:tc>
        <w:tc>
          <w:tcPr>
            <w:tcW w:w="1276" w:type="dxa"/>
            <w:shd w:val="clear" w:color="000000" w:fill="FFFFFF"/>
            <w:noWrap/>
            <w:hideMark/>
          </w:tcPr>
          <w:p w14:paraId="0331E3FE" w14:textId="06774D8B" w:rsidR="00226ABF" w:rsidRPr="00E03E11" w:rsidRDefault="00226ABF" w:rsidP="00226ABF">
            <w:pPr>
              <w:spacing w:after="0"/>
              <w:ind w:firstLineChars="100" w:firstLine="220"/>
              <w:jc w:val="center"/>
              <w:rPr>
                <w:rFonts w:cs="Arial"/>
                <w:color w:val="000000"/>
                <w:lang w:eastAsia="en-AU"/>
              </w:rPr>
            </w:pPr>
            <w:r w:rsidRPr="00514C98">
              <w:t>1,714.0</w:t>
            </w:r>
          </w:p>
        </w:tc>
        <w:tc>
          <w:tcPr>
            <w:tcW w:w="1140" w:type="dxa"/>
            <w:shd w:val="clear" w:color="000000" w:fill="FFFFFF"/>
            <w:noWrap/>
            <w:hideMark/>
          </w:tcPr>
          <w:p w14:paraId="2C04477D" w14:textId="0A5928DB" w:rsidR="00226ABF" w:rsidRPr="00E03E11" w:rsidRDefault="00226ABF" w:rsidP="00226ABF">
            <w:pPr>
              <w:spacing w:after="0"/>
              <w:ind w:firstLineChars="100" w:firstLine="220"/>
              <w:jc w:val="center"/>
              <w:rPr>
                <w:rFonts w:cs="Arial"/>
                <w:color w:val="000000"/>
                <w:lang w:eastAsia="en-AU"/>
              </w:rPr>
            </w:pPr>
            <w:r w:rsidRPr="00514C98">
              <w:t>1,660.3</w:t>
            </w:r>
          </w:p>
        </w:tc>
        <w:tc>
          <w:tcPr>
            <w:tcW w:w="1106" w:type="dxa"/>
            <w:shd w:val="clear" w:color="000000" w:fill="FFFFFF"/>
            <w:noWrap/>
            <w:hideMark/>
          </w:tcPr>
          <w:p w14:paraId="3B375370" w14:textId="0A2AFDEC" w:rsidR="00226ABF" w:rsidRPr="00E03E11" w:rsidRDefault="00226ABF" w:rsidP="00226ABF">
            <w:pPr>
              <w:spacing w:after="0"/>
              <w:ind w:firstLineChars="100" w:firstLine="220"/>
              <w:jc w:val="center"/>
              <w:rPr>
                <w:rFonts w:cs="Arial"/>
                <w:color w:val="000000"/>
                <w:lang w:eastAsia="en-AU"/>
              </w:rPr>
            </w:pPr>
            <w:r w:rsidRPr="00514C98">
              <w:t>53.7</w:t>
            </w:r>
          </w:p>
        </w:tc>
        <w:tc>
          <w:tcPr>
            <w:tcW w:w="1106" w:type="dxa"/>
            <w:shd w:val="clear" w:color="000000" w:fill="FFFFFF"/>
            <w:noWrap/>
            <w:hideMark/>
          </w:tcPr>
          <w:p w14:paraId="5488D60A" w14:textId="1BF0A064" w:rsidR="00226ABF" w:rsidRPr="00E03E11" w:rsidRDefault="00226ABF" w:rsidP="00226ABF">
            <w:pPr>
              <w:spacing w:after="0"/>
              <w:ind w:firstLineChars="100" w:firstLine="220"/>
              <w:jc w:val="center"/>
              <w:rPr>
                <w:rFonts w:cs="Arial"/>
                <w:color w:val="000000"/>
                <w:lang w:eastAsia="en-AU"/>
              </w:rPr>
            </w:pPr>
            <w:r w:rsidRPr="00514C98">
              <w:t>3.2</w:t>
            </w:r>
          </w:p>
        </w:tc>
        <w:tc>
          <w:tcPr>
            <w:tcW w:w="1079" w:type="dxa"/>
            <w:shd w:val="clear" w:color="000000" w:fill="FFFFFF"/>
            <w:noWrap/>
            <w:hideMark/>
          </w:tcPr>
          <w:p w14:paraId="20881C1F" w14:textId="09F678D5" w:rsidR="00226ABF" w:rsidRPr="00E03E11" w:rsidRDefault="00226ABF" w:rsidP="00226ABF">
            <w:pPr>
              <w:spacing w:after="0"/>
              <w:ind w:firstLineChars="100" w:firstLine="220"/>
              <w:jc w:val="center"/>
              <w:rPr>
                <w:rFonts w:cs="Arial"/>
                <w:color w:val="000000"/>
                <w:lang w:eastAsia="en-AU"/>
              </w:rPr>
            </w:pPr>
            <w:r w:rsidRPr="00514C98">
              <w:t>66.9</w:t>
            </w:r>
          </w:p>
        </w:tc>
        <w:tc>
          <w:tcPr>
            <w:tcW w:w="1079" w:type="dxa"/>
            <w:shd w:val="clear" w:color="000000" w:fill="FFFFFF"/>
            <w:noWrap/>
            <w:hideMark/>
          </w:tcPr>
          <w:p w14:paraId="20AB869D" w14:textId="6E0C9D89" w:rsidR="00226ABF" w:rsidRPr="00E03E11" w:rsidRDefault="00226ABF" w:rsidP="00226ABF">
            <w:pPr>
              <w:spacing w:after="0"/>
              <w:ind w:firstLineChars="100" w:firstLine="220"/>
              <w:jc w:val="center"/>
              <w:rPr>
                <w:rFonts w:cs="Arial"/>
                <w:color w:val="000000"/>
                <w:lang w:eastAsia="en-AU"/>
              </w:rPr>
            </w:pPr>
            <w:r w:rsidRPr="00514C98">
              <w:t>4.1</w:t>
            </w:r>
          </w:p>
        </w:tc>
      </w:tr>
      <w:tr w:rsidR="00226ABF" w:rsidRPr="00880019" w14:paraId="462DD54E" w14:textId="77777777" w:rsidTr="00491879">
        <w:trPr>
          <w:trHeight w:val="290"/>
        </w:trPr>
        <w:tc>
          <w:tcPr>
            <w:tcW w:w="2835" w:type="dxa"/>
            <w:shd w:val="clear" w:color="auto" w:fill="D9D9D9" w:themeFill="background1" w:themeFillShade="D9"/>
            <w:noWrap/>
            <w:hideMark/>
          </w:tcPr>
          <w:p w14:paraId="1C62A58A" w14:textId="476EDDEA" w:rsidR="00226ABF" w:rsidRPr="00E03E11" w:rsidRDefault="00226ABF" w:rsidP="00226ABF">
            <w:pPr>
              <w:spacing w:after="0"/>
              <w:rPr>
                <w:rFonts w:cs="Arial"/>
                <w:color w:val="000000"/>
                <w:lang w:eastAsia="en-AU"/>
              </w:rPr>
            </w:pPr>
            <w:r w:rsidRPr="00514C98">
              <w:t>Skill Level 3 Occupations</w:t>
            </w:r>
          </w:p>
        </w:tc>
        <w:tc>
          <w:tcPr>
            <w:tcW w:w="1276" w:type="dxa"/>
            <w:shd w:val="clear" w:color="auto" w:fill="D9D9D9" w:themeFill="background1" w:themeFillShade="D9"/>
            <w:noWrap/>
            <w:hideMark/>
          </w:tcPr>
          <w:p w14:paraId="0F755084" w14:textId="6D48FDB0" w:rsidR="00226ABF" w:rsidRPr="00E03E11" w:rsidRDefault="00226ABF" w:rsidP="00226ABF">
            <w:pPr>
              <w:spacing w:after="0"/>
              <w:ind w:firstLineChars="100" w:firstLine="220"/>
              <w:jc w:val="center"/>
              <w:rPr>
                <w:rFonts w:cs="Arial"/>
                <w:color w:val="000000"/>
                <w:lang w:eastAsia="en-AU"/>
              </w:rPr>
            </w:pPr>
            <w:r w:rsidRPr="00514C98">
              <w:t>2,060.3</w:t>
            </w:r>
          </w:p>
        </w:tc>
        <w:tc>
          <w:tcPr>
            <w:tcW w:w="1140" w:type="dxa"/>
            <w:shd w:val="clear" w:color="auto" w:fill="D9D9D9" w:themeFill="background1" w:themeFillShade="D9"/>
            <w:noWrap/>
            <w:hideMark/>
          </w:tcPr>
          <w:p w14:paraId="229E7FF8" w14:textId="4233EFB9" w:rsidR="00226ABF" w:rsidRPr="00E03E11" w:rsidRDefault="00226ABF" w:rsidP="00226ABF">
            <w:pPr>
              <w:spacing w:after="0"/>
              <w:ind w:firstLineChars="100" w:firstLine="220"/>
              <w:jc w:val="center"/>
              <w:rPr>
                <w:rFonts w:cs="Arial"/>
                <w:color w:val="000000"/>
                <w:lang w:eastAsia="en-AU"/>
              </w:rPr>
            </w:pPr>
            <w:r w:rsidRPr="00514C98">
              <w:t>2,050.6</w:t>
            </w:r>
          </w:p>
        </w:tc>
        <w:tc>
          <w:tcPr>
            <w:tcW w:w="1106" w:type="dxa"/>
            <w:shd w:val="clear" w:color="auto" w:fill="D9D9D9" w:themeFill="background1" w:themeFillShade="D9"/>
            <w:noWrap/>
            <w:hideMark/>
          </w:tcPr>
          <w:p w14:paraId="35A0006C" w14:textId="20C69852" w:rsidR="00226ABF" w:rsidRPr="00E03E11" w:rsidRDefault="00226ABF" w:rsidP="00226ABF">
            <w:pPr>
              <w:spacing w:after="0"/>
              <w:ind w:firstLineChars="100" w:firstLine="220"/>
              <w:jc w:val="center"/>
              <w:rPr>
                <w:rFonts w:cs="Arial"/>
                <w:color w:val="000000"/>
                <w:lang w:eastAsia="en-AU"/>
              </w:rPr>
            </w:pPr>
            <w:r w:rsidRPr="00514C98">
              <w:t>9.7</w:t>
            </w:r>
          </w:p>
        </w:tc>
        <w:tc>
          <w:tcPr>
            <w:tcW w:w="1106" w:type="dxa"/>
            <w:shd w:val="clear" w:color="auto" w:fill="D9D9D9" w:themeFill="background1" w:themeFillShade="D9"/>
            <w:noWrap/>
            <w:hideMark/>
          </w:tcPr>
          <w:p w14:paraId="563CF2F8" w14:textId="6BFAD692" w:rsidR="00226ABF" w:rsidRPr="00E03E11" w:rsidRDefault="00226ABF" w:rsidP="00226ABF">
            <w:pPr>
              <w:spacing w:after="0"/>
              <w:ind w:firstLineChars="100" w:firstLine="220"/>
              <w:jc w:val="center"/>
              <w:rPr>
                <w:rFonts w:cs="Arial"/>
                <w:color w:val="000000"/>
                <w:lang w:eastAsia="en-AU"/>
              </w:rPr>
            </w:pPr>
            <w:r w:rsidRPr="00514C98">
              <w:t>0.5</w:t>
            </w:r>
          </w:p>
        </w:tc>
        <w:tc>
          <w:tcPr>
            <w:tcW w:w="1079" w:type="dxa"/>
            <w:shd w:val="clear" w:color="auto" w:fill="D9D9D9" w:themeFill="background1" w:themeFillShade="D9"/>
            <w:noWrap/>
            <w:hideMark/>
          </w:tcPr>
          <w:p w14:paraId="7B41F5B9" w14:textId="426349F3" w:rsidR="00226ABF" w:rsidRPr="00E03E11" w:rsidRDefault="00226ABF" w:rsidP="00226ABF">
            <w:pPr>
              <w:spacing w:after="0"/>
              <w:ind w:firstLineChars="100" w:firstLine="220"/>
              <w:jc w:val="center"/>
              <w:rPr>
                <w:rFonts w:cs="Arial"/>
                <w:color w:val="000000"/>
                <w:lang w:eastAsia="en-AU"/>
              </w:rPr>
            </w:pPr>
            <w:r w:rsidRPr="00514C98">
              <w:t>121.7</w:t>
            </w:r>
          </w:p>
        </w:tc>
        <w:tc>
          <w:tcPr>
            <w:tcW w:w="1079" w:type="dxa"/>
            <w:shd w:val="clear" w:color="auto" w:fill="D9D9D9" w:themeFill="background1" w:themeFillShade="D9"/>
            <w:noWrap/>
            <w:hideMark/>
          </w:tcPr>
          <w:p w14:paraId="2C7CAE0C" w14:textId="2DB7CECA" w:rsidR="00226ABF" w:rsidRPr="00E03E11" w:rsidRDefault="00226ABF" w:rsidP="00226ABF">
            <w:pPr>
              <w:spacing w:after="0"/>
              <w:ind w:firstLineChars="100" w:firstLine="220"/>
              <w:jc w:val="center"/>
              <w:rPr>
                <w:rFonts w:cs="Arial"/>
                <w:color w:val="000000"/>
                <w:lang w:eastAsia="en-AU"/>
              </w:rPr>
            </w:pPr>
            <w:r w:rsidRPr="00514C98">
              <w:t>6.3</w:t>
            </w:r>
          </w:p>
        </w:tc>
      </w:tr>
      <w:tr w:rsidR="00226ABF" w:rsidRPr="00880019" w14:paraId="3C05B319" w14:textId="77777777" w:rsidTr="00491879">
        <w:trPr>
          <w:trHeight w:val="290"/>
        </w:trPr>
        <w:tc>
          <w:tcPr>
            <w:tcW w:w="2835" w:type="dxa"/>
            <w:shd w:val="clear" w:color="000000" w:fill="FFFFFF"/>
            <w:noWrap/>
            <w:hideMark/>
          </w:tcPr>
          <w:p w14:paraId="675CEE18" w14:textId="2A646185" w:rsidR="00226ABF" w:rsidRPr="00E03E11" w:rsidRDefault="00226ABF" w:rsidP="00226ABF">
            <w:pPr>
              <w:spacing w:after="0"/>
              <w:rPr>
                <w:rFonts w:cs="Arial"/>
                <w:color w:val="000000"/>
                <w:lang w:eastAsia="en-AU"/>
              </w:rPr>
            </w:pPr>
            <w:r w:rsidRPr="00514C98">
              <w:t>Skill Level 4 Occupations</w:t>
            </w:r>
          </w:p>
        </w:tc>
        <w:tc>
          <w:tcPr>
            <w:tcW w:w="1276" w:type="dxa"/>
            <w:shd w:val="clear" w:color="000000" w:fill="FFFFFF"/>
            <w:noWrap/>
            <w:hideMark/>
          </w:tcPr>
          <w:p w14:paraId="732709F9" w14:textId="13D146F8" w:rsidR="00226ABF" w:rsidRPr="00E03E11" w:rsidRDefault="00226ABF" w:rsidP="00226ABF">
            <w:pPr>
              <w:spacing w:after="0"/>
              <w:ind w:firstLineChars="100" w:firstLine="220"/>
              <w:jc w:val="center"/>
              <w:rPr>
                <w:rFonts w:cs="Arial"/>
                <w:color w:val="000000"/>
                <w:lang w:eastAsia="en-AU"/>
              </w:rPr>
            </w:pPr>
            <w:r w:rsidRPr="00514C98">
              <w:t>3,263.8</w:t>
            </w:r>
          </w:p>
        </w:tc>
        <w:tc>
          <w:tcPr>
            <w:tcW w:w="1140" w:type="dxa"/>
            <w:shd w:val="clear" w:color="000000" w:fill="FFFFFF"/>
            <w:noWrap/>
            <w:hideMark/>
          </w:tcPr>
          <w:p w14:paraId="3BB68DF1" w14:textId="2F171A2D" w:rsidR="00226ABF" w:rsidRPr="00E03E11" w:rsidRDefault="00226ABF" w:rsidP="00226ABF">
            <w:pPr>
              <w:spacing w:after="0"/>
              <w:ind w:firstLineChars="100" w:firstLine="220"/>
              <w:jc w:val="center"/>
              <w:rPr>
                <w:rFonts w:cs="Arial"/>
                <w:color w:val="000000"/>
                <w:lang w:eastAsia="en-AU"/>
              </w:rPr>
            </w:pPr>
            <w:r w:rsidRPr="00514C98">
              <w:t>3,349.8</w:t>
            </w:r>
          </w:p>
        </w:tc>
        <w:tc>
          <w:tcPr>
            <w:tcW w:w="1106" w:type="dxa"/>
            <w:shd w:val="clear" w:color="000000" w:fill="FFFFFF"/>
            <w:noWrap/>
            <w:hideMark/>
          </w:tcPr>
          <w:p w14:paraId="65703363" w14:textId="43DBCA5B" w:rsidR="00226ABF" w:rsidRPr="00E03E11" w:rsidRDefault="00226ABF" w:rsidP="00226ABF">
            <w:pPr>
              <w:spacing w:after="0"/>
              <w:ind w:firstLineChars="100" w:firstLine="220"/>
              <w:jc w:val="center"/>
              <w:rPr>
                <w:rFonts w:cs="Arial"/>
                <w:color w:val="000000"/>
                <w:lang w:eastAsia="en-AU"/>
              </w:rPr>
            </w:pPr>
            <w:r w:rsidRPr="00514C98">
              <w:t>-86.0</w:t>
            </w:r>
          </w:p>
        </w:tc>
        <w:tc>
          <w:tcPr>
            <w:tcW w:w="1106" w:type="dxa"/>
            <w:shd w:val="clear" w:color="000000" w:fill="FFFFFF"/>
            <w:noWrap/>
            <w:hideMark/>
          </w:tcPr>
          <w:p w14:paraId="1C7038D4" w14:textId="237CB425" w:rsidR="00226ABF" w:rsidRPr="00E03E11" w:rsidRDefault="00226ABF" w:rsidP="00226ABF">
            <w:pPr>
              <w:spacing w:after="0"/>
              <w:ind w:firstLineChars="100" w:firstLine="220"/>
              <w:jc w:val="center"/>
              <w:rPr>
                <w:rFonts w:cs="Arial"/>
                <w:color w:val="000000"/>
                <w:lang w:eastAsia="en-AU"/>
              </w:rPr>
            </w:pPr>
            <w:r w:rsidRPr="00514C98">
              <w:t>-2.6</w:t>
            </w:r>
          </w:p>
        </w:tc>
        <w:tc>
          <w:tcPr>
            <w:tcW w:w="1079" w:type="dxa"/>
            <w:shd w:val="clear" w:color="000000" w:fill="FFFFFF"/>
            <w:noWrap/>
            <w:hideMark/>
          </w:tcPr>
          <w:p w14:paraId="1840EB05" w14:textId="60395E63" w:rsidR="00226ABF" w:rsidRPr="00E03E11" w:rsidRDefault="00226ABF" w:rsidP="00226ABF">
            <w:pPr>
              <w:spacing w:after="0"/>
              <w:ind w:firstLineChars="100" w:firstLine="220"/>
              <w:jc w:val="center"/>
              <w:rPr>
                <w:rFonts w:cs="Arial"/>
                <w:color w:val="000000"/>
                <w:lang w:eastAsia="en-AU"/>
              </w:rPr>
            </w:pPr>
            <w:r w:rsidRPr="00514C98">
              <w:t>79.2</w:t>
            </w:r>
          </w:p>
        </w:tc>
        <w:tc>
          <w:tcPr>
            <w:tcW w:w="1079" w:type="dxa"/>
            <w:shd w:val="clear" w:color="000000" w:fill="FFFFFF"/>
            <w:noWrap/>
            <w:hideMark/>
          </w:tcPr>
          <w:p w14:paraId="0D84D5AB" w14:textId="1A57607F" w:rsidR="00226ABF" w:rsidRPr="00E03E11" w:rsidRDefault="00226ABF" w:rsidP="00226ABF">
            <w:pPr>
              <w:spacing w:after="0"/>
              <w:ind w:firstLineChars="100" w:firstLine="220"/>
              <w:jc w:val="center"/>
              <w:rPr>
                <w:rFonts w:cs="Arial"/>
                <w:color w:val="000000"/>
                <w:lang w:eastAsia="en-AU"/>
              </w:rPr>
            </w:pPr>
            <w:r w:rsidRPr="00514C98">
              <w:t>2.5</w:t>
            </w:r>
          </w:p>
        </w:tc>
      </w:tr>
      <w:tr w:rsidR="00226ABF" w:rsidRPr="00880019" w14:paraId="66F17CB0" w14:textId="77777777" w:rsidTr="00491879">
        <w:trPr>
          <w:trHeight w:val="290"/>
        </w:trPr>
        <w:tc>
          <w:tcPr>
            <w:tcW w:w="2835" w:type="dxa"/>
            <w:shd w:val="clear" w:color="auto" w:fill="D9D9D9" w:themeFill="background1" w:themeFillShade="D9"/>
            <w:noWrap/>
            <w:hideMark/>
          </w:tcPr>
          <w:p w14:paraId="41B4A5D7" w14:textId="7C6EC1A0" w:rsidR="00226ABF" w:rsidRPr="00E03E11" w:rsidRDefault="00226ABF" w:rsidP="00226ABF">
            <w:pPr>
              <w:spacing w:after="0"/>
              <w:rPr>
                <w:rFonts w:cs="Arial"/>
                <w:color w:val="000000"/>
                <w:lang w:eastAsia="en-AU"/>
              </w:rPr>
            </w:pPr>
            <w:r w:rsidRPr="00514C98">
              <w:t>Skill Level 5 Occupations</w:t>
            </w:r>
          </w:p>
        </w:tc>
        <w:tc>
          <w:tcPr>
            <w:tcW w:w="1276" w:type="dxa"/>
            <w:shd w:val="clear" w:color="auto" w:fill="D9D9D9" w:themeFill="background1" w:themeFillShade="D9"/>
            <w:noWrap/>
            <w:hideMark/>
          </w:tcPr>
          <w:p w14:paraId="4A4B0830" w14:textId="6ABDA732" w:rsidR="00226ABF" w:rsidRPr="00E03E11" w:rsidRDefault="00226ABF" w:rsidP="00226ABF">
            <w:pPr>
              <w:spacing w:after="0"/>
              <w:ind w:firstLineChars="100" w:firstLine="220"/>
              <w:jc w:val="center"/>
              <w:rPr>
                <w:rFonts w:cs="Arial"/>
                <w:color w:val="000000"/>
                <w:lang w:eastAsia="en-AU"/>
              </w:rPr>
            </w:pPr>
            <w:r w:rsidRPr="00514C98">
              <w:t>1,993.7</w:t>
            </w:r>
          </w:p>
        </w:tc>
        <w:tc>
          <w:tcPr>
            <w:tcW w:w="1140" w:type="dxa"/>
            <w:shd w:val="clear" w:color="auto" w:fill="D9D9D9" w:themeFill="background1" w:themeFillShade="D9"/>
            <w:noWrap/>
            <w:hideMark/>
          </w:tcPr>
          <w:p w14:paraId="3B860689" w14:textId="648899F4" w:rsidR="00226ABF" w:rsidRPr="00E03E11" w:rsidRDefault="00226ABF" w:rsidP="00226ABF">
            <w:pPr>
              <w:spacing w:after="0"/>
              <w:ind w:firstLineChars="100" w:firstLine="220"/>
              <w:jc w:val="center"/>
              <w:rPr>
                <w:rFonts w:cs="Arial"/>
                <w:color w:val="000000"/>
                <w:lang w:eastAsia="en-AU"/>
              </w:rPr>
            </w:pPr>
            <w:r w:rsidRPr="00514C98">
              <w:t>1,975.4</w:t>
            </w:r>
          </w:p>
        </w:tc>
        <w:tc>
          <w:tcPr>
            <w:tcW w:w="1106" w:type="dxa"/>
            <w:shd w:val="clear" w:color="auto" w:fill="D9D9D9" w:themeFill="background1" w:themeFillShade="D9"/>
            <w:noWrap/>
            <w:hideMark/>
          </w:tcPr>
          <w:p w14:paraId="1FB57B3B" w14:textId="43C423AC" w:rsidR="00226ABF" w:rsidRPr="00E03E11" w:rsidRDefault="00226ABF" w:rsidP="00226ABF">
            <w:pPr>
              <w:spacing w:after="0"/>
              <w:ind w:firstLineChars="100" w:firstLine="220"/>
              <w:jc w:val="center"/>
              <w:rPr>
                <w:rFonts w:cs="Arial"/>
                <w:color w:val="000000"/>
                <w:lang w:eastAsia="en-AU"/>
              </w:rPr>
            </w:pPr>
            <w:r w:rsidRPr="00514C98">
              <w:t>18.3</w:t>
            </w:r>
          </w:p>
        </w:tc>
        <w:tc>
          <w:tcPr>
            <w:tcW w:w="1106" w:type="dxa"/>
            <w:shd w:val="clear" w:color="auto" w:fill="D9D9D9" w:themeFill="background1" w:themeFillShade="D9"/>
            <w:noWrap/>
            <w:hideMark/>
          </w:tcPr>
          <w:p w14:paraId="10454886" w14:textId="51D212AE" w:rsidR="00226ABF" w:rsidRPr="00E03E11" w:rsidRDefault="00226ABF" w:rsidP="00226ABF">
            <w:pPr>
              <w:spacing w:after="0"/>
              <w:ind w:firstLineChars="100" w:firstLine="220"/>
              <w:jc w:val="center"/>
              <w:rPr>
                <w:rFonts w:cs="Arial"/>
                <w:color w:val="000000"/>
                <w:lang w:eastAsia="en-AU"/>
              </w:rPr>
            </w:pPr>
            <w:r w:rsidRPr="00514C98">
              <w:t>0.9</w:t>
            </w:r>
          </w:p>
        </w:tc>
        <w:tc>
          <w:tcPr>
            <w:tcW w:w="1079" w:type="dxa"/>
            <w:shd w:val="clear" w:color="auto" w:fill="D9D9D9" w:themeFill="background1" w:themeFillShade="D9"/>
            <w:noWrap/>
            <w:hideMark/>
          </w:tcPr>
          <w:p w14:paraId="4CFBF819" w14:textId="036CD5F5" w:rsidR="00226ABF" w:rsidRPr="00E03E11" w:rsidRDefault="00226ABF" w:rsidP="00226ABF">
            <w:pPr>
              <w:spacing w:after="0"/>
              <w:ind w:firstLineChars="100" w:firstLine="220"/>
              <w:jc w:val="center"/>
              <w:rPr>
                <w:rFonts w:cs="Arial"/>
                <w:color w:val="000000"/>
                <w:lang w:eastAsia="en-AU"/>
              </w:rPr>
            </w:pPr>
            <w:r w:rsidRPr="00514C98">
              <w:t>33.6</w:t>
            </w:r>
          </w:p>
        </w:tc>
        <w:tc>
          <w:tcPr>
            <w:tcW w:w="1079" w:type="dxa"/>
            <w:shd w:val="clear" w:color="auto" w:fill="D9D9D9" w:themeFill="background1" w:themeFillShade="D9"/>
            <w:noWrap/>
            <w:hideMark/>
          </w:tcPr>
          <w:p w14:paraId="7969B27E" w14:textId="475AACA6" w:rsidR="00226ABF" w:rsidRPr="00E03E11" w:rsidRDefault="00226ABF" w:rsidP="00226ABF">
            <w:pPr>
              <w:spacing w:after="0"/>
              <w:ind w:firstLineChars="100" w:firstLine="220"/>
              <w:jc w:val="center"/>
              <w:rPr>
                <w:rFonts w:cs="Arial"/>
                <w:color w:val="000000"/>
                <w:lang w:eastAsia="en-AU"/>
              </w:rPr>
            </w:pPr>
            <w:r w:rsidRPr="00514C98">
              <w:t>1.7</w:t>
            </w:r>
          </w:p>
        </w:tc>
      </w:tr>
    </w:tbl>
    <w:p w14:paraId="0473F69F" w14:textId="6271074E" w:rsidR="00E27B90" w:rsidRPr="00BB36CB" w:rsidRDefault="00E27B90" w:rsidP="00E27B90">
      <w:pPr>
        <w:pStyle w:val="Source"/>
        <w:rPr>
          <w:rFonts w:ascii="Arial" w:hAnsi="Arial" w:cs="Arial"/>
        </w:rPr>
      </w:pPr>
      <w:r w:rsidRPr="00BB36CB">
        <w:rPr>
          <w:rFonts w:ascii="Arial" w:hAnsi="Arial" w:cs="Arial"/>
          <w:i w:val="0"/>
          <w:iCs/>
        </w:rPr>
        <w:t>ABS,</w:t>
      </w:r>
      <w:r w:rsidRPr="00BB36CB">
        <w:rPr>
          <w:rFonts w:ascii="Arial" w:hAnsi="Arial" w:cs="Arial"/>
        </w:rPr>
        <w:t xml:space="preserve"> Labour Force, Australia, Detailed, </w:t>
      </w:r>
      <w:r w:rsidR="00214DDD">
        <w:rPr>
          <w:rFonts w:ascii="Arial" w:hAnsi="Arial" w:cs="Arial"/>
          <w:i w:val="0"/>
          <w:iCs/>
        </w:rPr>
        <w:t>February 2023</w:t>
      </w:r>
      <w:r w:rsidRPr="00BB36CB">
        <w:rPr>
          <w:rFonts w:ascii="Arial" w:hAnsi="Arial" w:cs="Arial"/>
          <w:iCs/>
          <w:szCs w:val="16"/>
        </w:rPr>
        <w:t>, data seasonally adjusted by Jobs and Skills Australia.</w:t>
      </w:r>
    </w:p>
    <w:p w14:paraId="7D9350E6" w14:textId="618D40FF" w:rsidR="00EF7D95" w:rsidRPr="00BB36CB" w:rsidRDefault="007D649E" w:rsidP="00EF7D95">
      <w:pPr>
        <w:autoSpaceDE w:val="0"/>
        <w:autoSpaceDN w:val="0"/>
        <w:adjustRightInd w:val="0"/>
        <w:spacing w:after="120" w:line="276" w:lineRule="auto"/>
        <w:rPr>
          <w:rFonts w:cs="Arial"/>
        </w:rPr>
      </w:pPr>
      <w:r>
        <w:rPr>
          <w:rFonts w:cs="Arial"/>
        </w:rPr>
        <w:t>Table 3 shows that a</w:t>
      </w:r>
      <w:r w:rsidR="00DC7990" w:rsidRPr="00BB36CB">
        <w:rPr>
          <w:rFonts w:cs="Arial"/>
        </w:rPr>
        <w:t>t a</w:t>
      </w:r>
      <w:r w:rsidR="00945F89" w:rsidRPr="00BB36CB">
        <w:rPr>
          <w:rFonts w:cs="Arial"/>
        </w:rPr>
        <w:t xml:space="preserve"> major</w:t>
      </w:r>
      <w:r w:rsidR="00DC7990" w:rsidRPr="00BB36CB">
        <w:rPr>
          <w:rFonts w:cs="Arial"/>
        </w:rPr>
        <w:t xml:space="preserve"> occupational </w:t>
      </w:r>
      <w:r w:rsidR="00945F89" w:rsidRPr="00BB36CB">
        <w:rPr>
          <w:rFonts w:cs="Arial"/>
        </w:rPr>
        <w:t xml:space="preserve">group </w:t>
      </w:r>
      <w:r w:rsidR="00DC7990" w:rsidRPr="00BB36CB">
        <w:rPr>
          <w:rFonts w:cs="Arial"/>
        </w:rPr>
        <w:t xml:space="preserve">level, </w:t>
      </w:r>
      <w:r w:rsidR="00945F89" w:rsidRPr="00BB36CB">
        <w:rPr>
          <w:rFonts w:cs="Arial"/>
        </w:rPr>
        <w:t>o</w:t>
      </w:r>
      <w:r w:rsidR="00EF7D95" w:rsidRPr="00BB36CB">
        <w:rPr>
          <w:rFonts w:cs="Arial"/>
        </w:rPr>
        <w:t xml:space="preserve">ver the quarter to </w:t>
      </w:r>
      <w:r w:rsidR="00B90F97">
        <w:rPr>
          <w:rFonts w:cs="Arial"/>
        </w:rPr>
        <w:t>February 2023</w:t>
      </w:r>
      <w:r w:rsidR="00EF7D95" w:rsidRPr="00BB36CB">
        <w:rPr>
          <w:rFonts w:cs="Arial"/>
        </w:rPr>
        <w:t>:</w:t>
      </w:r>
    </w:p>
    <w:p w14:paraId="179374E1" w14:textId="6C1361B7" w:rsidR="00EF7D95" w:rsidRPr="007B498F" w:rsidRDefault="00EF7D95" w:rsidP="00CB0BE2">
      <w:pPr>
        <w:pStyle w:val="ListParagraph"/>
        <w:numPr>
          <w:ilvl w:val="0"/>
          <w:numId w:val="10"/>
        </w:numPr>
        <w:autoSpaceDE w:val="0"/>
        <w:autoSpaceDN w:val="0"/>
        <w:adjustRightInd w:val="0"/>
        <w:spacing w:after="120" w:line="276" w:lineRule="auto"/>
        <w:rPr>
          <w:rFonts w:cs="Arial"/>
        </w:rPr>
      </w:pPr>
      <w:r w:rsidRPr="007B498F">
        <w:rPr>
          <w:rFonts w:cs="Arial"/>
        </w:rPr>
        <w:t xml:space="preserve">Employment increased in </w:t>
      </w:r>
      <w:r w:rsidR="00B90F97">
        <w:rPr>
          <w:rFonts w:cs="Arial"/>
        </w:rPr>
        <w:t>five of the eight</w:t>
      </w:r>
      <w:r w:rsidRPr="007B498F">
        <w:rPr>
          <w:rFonts w:cs="Arial"/>
        </w:rPr>
        <w:t xml:space="preserve"> occupation groups.</w:t>
      </w:r>
    </w:p>
    <w:p w14:paraId="39E67427" w14:textId="5E9276F6" w:rsidR="00D23B1B" w:rsidRPr="00D23B1B" w:rsidRDefault="00D23B1B" w:rsidP="00CB0BE2">
      <w:pPr>
        <w:pStyle w:val="ListParagraph"/>
        <w:numPr>
          <w:ilvl w:val="0"/>
          <w:numId w:val="10"/>
        </w:numPr>
        <w:autoSpaceDE w:val="0"/>
        <w:autoSpaceDN w:val="0"/>
        <w:adjustRightInd w:val="0"/>
        <w:spacing w:after="120" w:line="276" w:lineRule="auto"/>
        <w:rPr>
          <w:rFonts w:cs="Arial"/>
        </w:rPr>
      </w:pPr>
      <w:r w:rsidRPr="00D23B1B">
        <w:rPr>
          <w:rFonts w:cs="Arial"/>
        </w:rPr>
        <w:t>The largest increases in employment were recorded for Labourers (up by 41,900 or 3.5%), Clerical and Administrative Workers (up by 35,400 or 2.0%) and Technicians and Trades Workers (up by 34,500 or 1.8%).</w:t>
      </w:r>
    </w:p>
    <w:p w14:paraId="5902DA34" w14:textId="77777777" w:rsidR="00D23B1B" w:rsidRPr="00D23B1B" w:rsidRDefault="00D23B1B" w:rsidP="00CB0BE2">
      <w:pPr>
        <w:pStyle w:val="ListParagraph"/>
        <w:numPr>
          <w:ilvl w:val="0"/>
          <w:numId w:val="10"/>
        </w:numPr>
        <w:autoSpaceDE w:val="0"/>
        <w:autoSpaceDN w:val="0"/>
        <w:adjustRightInd w:val="0"/>
        <w:spacing w:after="120" w:line="276" w:lineRule="auto"/>
        <w:rPr>
          <w:rFonts w:cs="Arial"/>
        </w:rPr>
      </w:pPr>
      <w:r w:rsidRPr="00D23B1B">
        <w:rPr>
          <w:rFonts w:cs="Arial"/>
        </w:rPr>
        <w:t>Employment fell the most for Sales Workers (down by 33,500 or 3.0%), Machinery Operators and Drivers (down by 5,900 or 0.7%) and Community and Personal Service Workers (down by 3,200 or 0.2%).</w:t>
      </w:r>
    </w:p>
    <w:p w14:paraId="10610599" w14:textId="25570F58" w:rsidR="00EF7D95" w:rsidRPr="00BB36CB" w:rsidRDefault="007D649E" w:rsidP="00EF7D95">
      <w:pPr>
        <w:autoSpaceDE w:val="0"/>
        <w:autoSpaceDN w:val="0"/>
        <w:adjustRightInd w:val="0"/>
        <w:spacing w:after="120" w:line="276" w:lineRule="auto"/>
        <w:rPr>
          <w:rFonts w:cs="Arial"/>
        </w:rPr>
      </w:pPr>
      <w:r>
        <w:rPr>
          <w:rFonts w:cs="Arial"/>
        </w:rPr>
        <w:t>O</w:t>
      </w:r>
      <w:r w:rsidR="00EF7D95" w:rsidRPr="00BB36CB">
        <w:rPr>
          <w:rFonts w:cs="Arial"/>
        </w:rPr>
        <w:t xml:space="preserve">ver the year to </w:t>
      </w:r>
      <w:r w:rsidR="00B90F97">
        <w:rPr>
          <w:rFonts w:cs="Arial"/>
        </w:rPr>
        <w:t>February 2023</w:t>
      </w:r>
      <w:r w:rsidR="00EF7D95" w:rsidRPr="00BB36CB">
        <w:rPr>
          <w:rFonts w:cs="Arial"/>
        </w:rPr>
        <w:t>:</w:t>
      </w:r>
    </w:p>
    <w:p w14:paraId="75207594" w14:textId="4DAD83E9" w:rsidR="00EF7D95" w:rsidRPr="007B498F" w:rsidRDefault="00EF7D95" w:rsidP="00CB0BE2">
      <w:pPr>
        <w:pStyle w:val="ListParagraph"/>
        <w:numPr>
          <w:ilvl w:val="0"/>
          <w:numId w:val="9"/>
        </w:numPr>
        <w:autoSpaceDE w:val="0"/>
        <w:autoSpaceDN w:val="0"/>
        <w:adjustRightInd w:val="0"/>
        <w:spacing w:after="120" w:line="276" w:lineRule="auto"/>
        <w:rPr>
          <w:rFonts w:cs="Arial"/>
        </w:rPr>
      </w:pPr>
      <w:r w:rsidRPr="007B498F">
        <w:rPr>
          <w:rFonts w:cs="Arial"/>
        </w:rPr>
        <w:t xml:space="preserve">Employment increased in </w:t>
      </w:r>
      <w:r w:rsidR="00B90F97">
        <w:rPr>
          <w:rFonts w:cs="Arial"/>
        </w:rPr>
        <w:t>six of the eight</w:t>
      </w:r>
      <w:r w:rsidRPr="007B498F">
        <w:rPr>
          <w:rFonts w:cs="Arial"/>
        </w:rPr>
        <w:t xml:space="preserve"> occupation groups.</w:t>
      </w:r>
    </w:p>
    <w:p w14:paraId="09E41A8D" w14:textId="2FDC27F7" w:rsidR="00DD4307" w:rsidRPr="00DD4307" w:rsidRDefault="00EF7D95" w:rsidP="00CB0BE2">
      <w:pPr>
        <w:pStyle w:val="ListParagraph"/>
        <w:numPr>
          <w:ilvl w:val="0"/>
          <w:numId w:val="9"/>
        </w:numPr>
        <w:autoSpaceDE w:val="0"/>
        <w:autoSpaceDN w:val="0"/>
        <w:adjustRightInd w:val="0"/>
        <w:spacing w:after="120" w:line="276" w:lineRule="auto"/>
        <w:rPr>
          <w:rFonts w:cs="Arial"/>
        </w:rPr>
      </w:pPr>
      <w:r w:rsidRPr="007B498F">
        <w:rPr>
          <w:rFonts w:cs="Arial"/>
        </w:rPr>
        <w:t xml:space="preserve">The </w:t>
      </w:r>
      <w:r w:rsidR="00DD4307" w:rsidRPr="00DD4307">
        <w:rPr>
          <w:rFonts w:cs="Arial"/>
        </w:rPr>
        <w:t>largest increases in employment were recorded for Community and Personal Service Workers (up by 109,300 or 7.7%), Technicians and Trades Workers (up by 85,700 or 4.7%), and Labourers (up by 84,900 or 7.3%).</w:t>
      </w:r>
    </w:p>
    <w:p w14:paraId="794B950A" w14:textId="141EC43C" w:rsidR="00EF7D95" w:rsidRPr="007B498F" w:rsidRDefault="00DD4307" w:rsidP="00CB0BE2">
      <w:pPr>
        <w:pStyle w:val="ListParagraph"/>
        <w:numPr>
          <w:ilvl w:val="0"/>
          <w:numId w:val="9"/>
        </w:numPr>
        <w:autoSpaceDE w:val="0"/>
        <w:autoSpaceDN w:val="0"/>
        <w:adjustRightInd w:val="0"/>
        <w:spacing w:after="120" w:line="276" w:lineRule="auto"/>
        <w:rPr>
          <w:rFonts w:cs="Arial"/>
        </w:rPr>
      </w:pPr>
      <w:r w:rsidRPr="00DD4307">
        <w:rPr>
          <w:rFonts w:cs="Arial"/>
        </w:rPr>
        <w:t>Employment fell for Sales Workers (down by 32,100 or 2.9%) and Clerical and Administrative Workers (down by 14,200 or 0.8%)</w:t>
      </w:r>
      <w:r w:rsidR="00EF7D95" w:rsidRPr="007B498F">
        <w:rPr>
          <w:rFonts w:cs="Arial"/>
        </w:rPr>
        <w:t>.</w:t>
      </w:r>
    </w:p>
    <w:p w14:paraId="7953D603" w14:textId="77777777" w:rsidR="00733177" w:rsidRDefault="00733177" w:rsidP="00BB36CB">
      <w:pPr>
        <w:pStyle w:val="Heading5"/>
        <w:rPr>
          <w:lang w:eastAsia="en-AU"/>
        </w:rPr>
      </w:pPr>
    </w:p>
    <w:p w14:paraId="14D69D53" w14:textId="0E7B1651" w:rsidR="00984DF1" w:rsidRPr="00BB36CB" w:rsidRDefault="00984DF1" w:rsidP="00BB36CB">
      <w:pPr>
        <w:pStyle w:val="Heading5"/>
        <w:rPr>
          <w:lang w:eastAsia="en-AU"/>
        </w:rPr>
      </w:pPr>
      <w:r w:rsidRPr="00C557F2">
        <w:rPr>
          <w:lang w:eastAsia="en-AU"/>
        </w:rPr>
        <w:t xml:space="preserve">Table </w:t>
      </w:r>
      <w:r w:rsidR="007B498F">
        <w:rPr>
          <w:lang w:eastAsia="en-AU"/>
        </w:rPr>
        <w:t>3</w:t>
      </w:r>
      <w:r w:rsidRPr="00C557F2">
        <w:rPr>
          <w:lang w:eastAsia="en-AU"/>
        </w:rPr>
        <w:t xml:space="preserve">: </w:t>
      </w:r>
      <w:r w:rsidR="00E27B90" w:rsidRPr="00C557F2">
        <w:rPr>
          <w:lang w:eastAsia="en-AU"/>
        </w:rPr>
        <w:t>Employment</w:t>
      </w:r>
      <w:r w:rsidR="00E27B90" w:rsidRPr="00E27B90">
        <w:rPr>
          <w:lang w:eastAsia="en-AU"/>
        </w:rPr>
        <w:t xml:space="preserve"> by </w:t>
      </w:r>
      <w:r w:rsidR="00E27B90">
        <w:rPr>
          <w:lang w:eastAsia="en-AU"/>
        </w:rPr>
        <w:t>major Occupational Group</w:t>
      </w:r>
      <w:r w:rsidR="00E27B90" w:rsidRPr="00E27B90">
        <w:rPr>
          <w:lang w:eastAsia="en-AU"/>
        </w:rPr>
        <w:t>, November 2022 (‘000)</w:t>
      </w:r>
    </w:p>
    <w:tbl>
      <w:tblPr>
        <w:tblW w:w="10421" w:type="dxa"/>
        <w:tblLayout w:type="fixed"/>
        <w:tblLook w:val="04A0" w:firstRow="1" w:lastRow="0" w:firstColumn="1" w:lastColumn="0" w:noHBand="0" w:noVBand="1"/>
      </w:tblPr>
      <w:tblGrid>
        <w:gridCol w:w="3261"/>
        <w:gridCol w:w="1193"/>
        <w:gridCol w:w="1193"/>
        <w:gridCol w:w="1194"/>
        <w:gridCol w:w="1193"/>
        <w:gridCol w:w="1193"/>
        <w:gridCol w:w="1194"/>
      </w:tblGrid>
      <w:tr w:rsidR="00D85572" w:rsidRPr="00BB36CB" w14:paraId="5033514E" w14:textId="77777777" w:rsidTr="002A6E57">
        <w:trPr>
          <w:trHeight w:val="1050"/>
        </w:trPr>
        <w:tc>
          <w:tcPr>
            <w:tcW w:w="3261" w:type="dxa"/>
            <w:shd w:val="clear" w:color="auto" w:fill="441170"/>
            <w:hideMark/>
          </w:tcPr>
          <w:p w14:paraId="085E2810" w14:textId="3219BEEC" w:rsidR="00D85572" w:rsidRPr="00D85572" w:rsidRDefault="00D85572" w:rsidP="00D85572">
            <w:pPr>
              <w:jc w:val="center"/>
              <w:rPr>
                <w:rFonts w:cs="Arial"/>
                <w:b/>
                <w:bCs/>
                <w:color w:val="FFFFFF" w:themeColor="background1"/>
                <w:sz w:val="20"/>
                <w:szCs w:val="20"/>
                <w:lang w:eastAsia="en-AU"/>
              </w:rPr>
            </w:pPr>
            <w:r w:rsidRPr="00D85572">
              <w:rPr>
                <w:b/>
                <w:bCs/>
                <w:color w:val="FFFFFF" w:themeColor="background1"/>
                <w:sz w:val="20"/>
                <w:szCs w:val="20"/>
              </w:rPr>
              <w:t>Occupation</w:t>
            </w:r>
          </w:p>
        </w:tc>
        <w:tc>
          <w:tcPr>
            <w:tcW w:w="1193" w:type="dxa"/>
            <w:shd w:val="clear" w:color="auto" w:fill="441170"/>
            <w:hideMark/>
          </w:tcPr>
          <w:p w14:paraId="1F33960D" w14:textId="1962FAC8" w:rsidR="00D85572" w:rsidRPr="00D85572" w:rsidRDefault="00D85572" w:rsidP="00D85572">
            <w:pPr>
              <w:jc w:val="center"/>
              <w:rPr>
                <w:rFonts w:cs="Arial"/>
                <w:b/>
                <w:bCs/>
                <w:color w:val="FFFFFF" w:themeColor="background1"/>
                <w:sz w:val="20"/>
                <w:szCs w:val="20"/>
                <w:lang w:eastAsia="en-AU"/>
              </w:rPr>
            </w:pPr>
            <w:r w:rsidRPr="00D85572">
              <w:rPr>
                <w:b/>
                <w:bCs/>
                <w:color w:val="FFFFFF" w:themeColor="background1"/>
                <w:sz w:val="20"/>
                <w:szCs w:val="20"/>
              </w:rPr>
              <w:t xml:space="preserve">Feb 2023 </w:t>
            </w:r>
          </w:p>
        </w:tc>
        <w:tc>
          <w:tcPr>
            <w:tcW w:w="1193" w:type="dxa"/>
            <w:shd w:val="clear" w:color="auto" w:fill="441170"/>
            <w:hideMark/>
          </w:tcPr>
          <w:p w14:paraId="191038F5" w14:textId="0E325F1F" w:rsidR="00D85572" w:rsidRPr="00D85572" w:rsidRDefault="00D85572" w:rsidP="00D85572">
            <w:pPr>
              <w:jc w:val="center"/>
              <w:rPr>
                <w:rFonts w:cs="Arial"/>
                <w:b/>
                <w:bCs/>
                <w:color w:val="FFFFFF" w:themeColor="background1"/>
                <w:sz w:val="20"/>
                <w:szCs w:val="20"/>
                <w:lang w:eastAsia="en-AU"/>
              </w:rPr>
            </w:pPr>
            <w:r w:rsidRPr="00D85572">
              <w:rPr>
                <w:b/>
                <w:bCs/>
                <w:color w:val="FFFFFF" w:themeColor="background1"/>
                <w:sz w:val="20"/>
                <w:szCs w:val="20"/>
              </w:rPr>
              <w:t xml:space="preserve">Nov 2022 </w:t>
            </w:r>
          </w:p>
        </w:tc>
        <w:tc>
          <w:tcPr>
            <w:tcW w:w="1194" w:type="dxa"/>
            <w:shd w:val="clear" w:color="auto" w:fill="441170"/>
            <w:hideMark/>
          </w:tcPr>
          <w:p w14:paraId="1E65C661" w14:textId="5D4F1EDC" w:rsidR="00D85572" w:rsidRPr="00D85572" w:rsidRDefault="00D85572" w:rsidP="00D85572">
            <w:pPr>
              <w:jc w:val="center"/>
              <w:rPr>
                <w:rFonts w:cs="Arial"/>
                <w:b/>
                <w:bCs/>
                <w:color w:val="FFFFFF" w:themeColor="background1"/>
                <w:sz w:val="20"/>
                <w:szCs w:val="20"/>
                <w:lang w:eastAsia="en-AU"/>
              </w:rPr>
            </w:pPr>
            <w:r w:rsidRPr="00D85572">
              <w:rPr>
                <w:b/>
                <w:bCs/>
                <w:color w:val="FFFFFF" w:themeColor="background1"/>
                <w:sz w:val="20"/>
                <w:szCs w:val="20"/>
              </w:rPr>
              <w:t>Quarterly change</w:t>
            </w:r>
            <w:r>
              <w:rPr>
                <w:b/>
                <w:bCs/>
                <w:color w:val="FFFFFF" w:themeColor="background1"/>
                <w:sz w:val="20"/>
                <w:szCs w:val="20"/>
              </w:rPr>
              <w:t xml:space="preserve"> </w:t>
            </w:r>
          </w:p>
        </w:tc>
        <w:tc>
          <w:tcPr>
            <w:tcW w:w="1193" w:type="dxa"/>
            <w:shd w:val="clear" w:color="auto" w:fill="441170"/>
            <w:hideMark/>
          </w:tcPr>
          <w:p w14:paraId="417833A1" w14:textId="663251C9" w:rsidR="00D85572" w:rsidRPr="00D85572" w:rsidRDefault="00D85572" w:rsidP="00D85572">
            <w:pPr>
              <w:jc w:val="center"/>
              <w:rPr>
                <w:rFonts w:cs="Arial"/>
                <w:b/>
                <w:bCs/>
                <w:color w:val="FFFFFF" w:themeColor="background1"/>
                <w:sz w:val="20"/>
                <w:szCs w:val="20"/>
                <w:lang w:eastAsia="en-AU"/>
              </w:rPr>
            </w:pPr>
            <w:r w:rsidRPr="00D85572">
              <w:rPr>
                <w:b/>
                <w:bCs/>
                <w:color w:val="FFFFFF" w:themeColor="background1"/>
                <w:sz w:val="20"/>
                <w:szCs w:val="20"/>
              </w:rPr>
              <w:t>Quarterly change (%)</w:t>
            </w:r>
          </w:p>
        </w:tc>
        <w:tc>
          <w:tcPr>
            <w:tcW w:w="1193" w:type="dxa"/>
            <w:shd w:val="clear" w:color="auto" w:fill="441170"/>
            <w:hideMark/>
          </w:tcPr>
          <w:p w14:paraId="3B6190C3" w14:textId="63219AFF" w:rsidR="00D85572" w:rsidRPr="00D85572" w:rsidRDefault="00D85572" w:rsidP="00D85572">
            <w:pPr>
              <w:jc w:val="center"/>
              <w:rPr>
                <w:rFonts w:cs="Arial"/>
                <w:b/>
                <w:bCs/>
                <w:color w:val="FFFFFF" w:themeColor="background1"/>
                <w:sz w:val="20"/>
                <w:szCs w:val="20"/>
                <w:lang w:eastAsia="en-AU"/>
              </w:rPr>
            </w:pPr>
            <w:r w:rsidRPr="00D85572">
              <w:rPr>
                <w:b/>
                <w:bCs/>
                <w:color w:val="FFFFFF" w:themeColor="background1"/>
                <w:sz w:val="20"/>
                <w:szCs w:val="20"/>
              </w:rPr>
              <w:t>Annual change</w:t>
            </w:r>
            <w:r>
              <w:rPr>
                <w:b/>
                <w:bCs/>
                <w:color w:val="FFFFFF" w:themeColor="background1"/>
                <w:sz w:val="20"/>
                <w:szCs w:val="20"/>
              </w:rPr>
              <w:t xml:space="preserve"> </w:t>
            </w:r>
          </w:p>
        </w:tc>
        <w:tc>
          <w:tcPr>
            <w:tcW w:w="1194" w:type="dxa"/>
            <w:shd w:val="clear" w:color="auto" w:fill="441170"/>
            <w:hideMark/>
          </w:tcPr>
          <w:p w14:paraId="28FB6A8C" w14:textId="1F530F3E" w:rsidR="00D85572" w:rsidRPr="00D85572" w:rsidRDefault="00D85572" w:rsidP="00D85572">
            <w:pPr>
              <w:jc w:val="center"/>
              <w:rPr>
                <w:rFonts w:cs="Arial"/>
                <w:b/>
                <w:bCs/>
                <w:color w:val="FFFFFF" w:themeColor="background1"/>
                <w:sz w:val="20"/>
                <w:szCs w:val="20"/>
                <w:lang w:eastAsia="en-AU"/>
              </w:rPr>
            </w:pPr>
            <w:r w:rsidRPr="00D85572">
              <w:rPr>
                <w:b/>
                <w:bCs/>
                <w:color w:val="FFFFFF" w:themeColor="background1"/>
                <w:sz w:val="20"/>
                <w:szCs w:val="20"/>
              </w:rPr>
              <w:t>Annual change (%)</w:t>
            </w:r>
          </w:p>
        </w:tc>
      </w:tr>
      <w:tr w:rsidR="00D85572" w:rsidRPr="00BB36CB" w14:paraId="29E201C2" w14:textId="77777777" w:rsidTr="002A6E57">
        <w:trPr>
          <w:trHeight w:val="290"/>
        </w:trPr>
        <w:tc>
          <w:tcPr>
            <w:tcW w:w="3261" w:type="dxa"/>
            <w:shd w:val="clear" w:color="auto" w:fill="D9D9D9" w:themeFill="background1" w:themeFillShade="D9"/>
            <w:noWrap/>
            <w:hideMark/>
          </w:tcPr>
          <w:p w14:paraId="5BC2EC02" w14:textId="5135DC9A" w:rsidR="00D85572" w:rsidRPr="00E03E11" w:rsidRDefault="00D85572" w:rsidP="00D85572">
            <w:pPr>
              <w:spacing w:after="0"/>
              <w:rPr>
                <w:rFonts w:cs="Arial"/>
                <w:color w:val="000000"/>
                <w:lang w:eastAsia="en-AU"/>
              </w:rPr>
            </w:pPr>
            <w:r w:rsidRPr="003D3440">
              <w:t>Managers</w:t>
            </w:r>
          </w:p>
        </w:tc>
        <w:tc>
          <w:tcPr>
            <w:tcW w:w="1193" w:type="dxa"/>
            <w:shd w:val="clear" w:color="auto" w:fill="D9D9D9" w:themeFill="background1" w:themeFillShade="D9"/>
            <w:noWrap/>
            <w:hideMark/>
          </w:tcPr>
          <w:p w14:paraId="5FE4FE4A" w14:textId="78A873D7" w:rsidR="00D85572" w:rsidRPr="00E03E11" w:rsidRDefault="00D85572" w:rsidP="00D85572">
            <w:pPr>
              <w:spacing w:after="0"/>
              <w:ind w:firstLineChars="100" w:firstLine="220"/>
              <w:jc w:val="center"/>
              <w:rPr>
                <w:rFonts w:cs="Arial"/>
                <w:color w:val="000000"/>
                <w:lang w:eastAsia="en-AU"/>
              </w:rPr>
            </w:pPr>
            <w:r w:rsidRPr="003D3440">
              <w:t>1,830.7</w:t>
            </w:r>
          </w:p>
        </w:tc>
        <w:tc>
          <w:tcPr>
            <w:tcW w:w="1193" w:type="dxa"/>
            <w:shd w:val="clear" w:color="auto" w:fill="D9D9D9" w:themeFill="background1" w:themeFillShade="D9"/>
            <w:noWrap/>
            <w:hideMark/>
          </w:tcPr>
          <w:p w14:paraId="6EFC367F" w14:textId="17F0C096" w:rsidR="00D85572" w:rsidRPr="00E03E11" w:rsidRDefault="00D85572" w:rsidP="00D85572">
            <w:pPr>
              <w:spacing w:after="0"/>
              <w:ind w:firstLineChars="100" w:firstLine="220"/>
              <w:jc w:val="center"/>
              <w:rPr>
                <w:rFonts w:cs="Arial"/>
                <w:color w:val="000000"/>
                <w:lang w:eastAsia="en-AU"/>
              </w:rPr>
            </w:pPr>
            <w:r w:rsidRPr="003D3440">
              <w:t>1,828.6</w:t>
            </w:r>
          </w:p>
        </w:tc>
        <w:tc>
          <w:tcPr>
            <w:tcW w:w="1194" w:type="dxa"/>
            <w:shd w:val="clear" w:color="auto" w:fill="D9D9D9" w:themeFill="background1" w:themeFillShade="D9"/>
            <w:noWrap/>
            <w:hideMark/>
          </w:tcPr>
          <w:p w14:paraId="5CC38944" w14:textId="7A488AEF" w:rsidR="00D85572" w:rsidRPr="00E03E11" w:rsidRDefault="00D85572" w:rsidP="00D85572">
            <w:pPr>
              <w:spacing w:after="0"/>
              <w:ind w:firstLineChars="100" w:firstLine="220"/>
              <w:jc w:val="center"/>
              <w:rPr>
                <w:rFonts w:cs="Arial"/>
                <w:color w:val="000000"/>
                <w:lang w:eastAsia="en-AU"/>
              </w:rPr>
            </w:pPr>
            <w:r w:rsidRPr="003D3440">
              <w:t>2.0</w:t>
            </w:r>
          </w:p>
        </w:tc>
        <w:tc>
          <w:tcPr>
            <w:tcW w:w="1193" w:type="dxa"/>
            <w:shd w:val="clear" w:color="auto" w:fill="D9D9D9" w:themeFill="background1" w:themeFillShade="D9"/>
            <w:noWrap/>
            <w:hideMark/>
          </w:tcPr>
          <w:p w14:paraId="5475DB88" w14:textId="40A370EE" w:rsidR="00D85572" w:rsidRPr="00E03E11" w:rsidRDefault="00D85572" w:rsidP="00D85572">
            <w:pPr>
              <w:spacing w:after="0"/>
              <w:ind w:firstLineChars="100" w:firstLine="220"/>
              <w:jc w:val="center"/>
              <w:rPr>
                <w:rFonts w:cs="Arial"/>
                <w:color w:val="000000"/>
                <w:lang w:eastAsia="en-AU"/>
              </w:rPr>
            </w:pPr>
            <w:r w:rsidRPr="003D3440">
              <w:t>0.1</w:t>
            </w:r>
          </w:p>
        </w:tc>
        <w:tc>
          <w:tcPr>
            <w:tcW w:w="1193" w:type="dxa"/>
            <w:shd w:val="clear" w:color="auto" w:fill="D9D9D9" w:themeFill="background1" w:themeFillShade="D9"/>
            <w:noWrap/>
            <w:hideMark/>
          </w:tcPr>
          <w:p w14:paraId="4873C47A" w14:textId="2864AA61" w:rsidR="00D85572" w:rsidRPr="00E03E11" w:rsidRDefault="00D85572" w:rsidP="00D85572">
            <w:pPr>
              <w:spacing w:after="0"/>
              <w:ind w:firstLineChars="100" w:firstLine="220"/>
              <w:jc w:val="center"/>
              <w:rPr>
                <w:rFonts w:cs="Arial"/>
                <w:color w:val="000000"/>
                <w:lang w:eastAsia="en-AU"/>
              </w:rPr>
            </w:pPr>
            <w:r w:rsidRPr="003D3440">
              <w:t>68.6</w:t>
            </w:r>
          </w:p>
        </w:tc>
        <w:tc>
          <w:tcPr>
            <w:tcW w:w="1194" w:type="dxa"/>
            <w:shd w:val="clear" w:color="auto" w:fill="D9D9D9" w:themeFill="background1" w:themeFillShade="D9"/>
            <w:noWrap/>
            <w:hideMark/>
          </w:tcPr>
          <w:p w14:paraId="1C454E85" w14:textId="62B36846" w:rsidR="00D85572" w:rsidRPr="00E03E11" w:rsidRDefault="00D85572" w:rsidP="00D85572">
            <w:pPr>
              <w:spacing w:after="0"/>
              <w:ind w:firstLineChars="100" w:firstLine="220"/>
              <w:jc w:val="center"/>
              <w:rPr>
                <w:rFonts w:cs="Arial"/>
                <w:color w:val="000000"/>
                <w:lang w:eastAsia="en-AU"/>
              </w:rPr>
            </w:pPr>
            <w:r w:rsidRPr="003D3440">
              <w:t>3.9</w:t>
            </w:r>
          </w:p>
        </w:tc>
      </w:tr>
      <w:tr w:rsidR="00D85572" w:rsidRPr="00BB36CB" w14:paraId="51114634" w14:textId="77777777" w:rsidTr="002A6E57">
        <w:trPr>
          <w:trHeight w:val="290"/>
        </w:trPr>
        <w:tc>
          <w:tcPr>
            <w:tcW w:w="3261" w:type="dxa"/>
            <w:shd w:val="clear" w:color="000000" w:fill="FFFFFF"/>
            <w:noWrap/>
            <w:hideMark/>
          </w:tcPr>
          <w:p w14:paraId="5E6A4737" w14:textId="75933B0D" w:rsidR="00D85572" w:rsidRPr="00E03E11" w:rsidRDefault="00D85572" w:rsidP="00D85572">
            <w:pPr>
              <w:spacing w:after="0"/>
              <w:rPr>
                <w:rFonts w:cs="Arial"/>
                <w:color w:val="000000"/>
                <w:lang w:eastAsia="en-AU"/>
              </w:rPr>
            </w:pPr>
            <w:r w:rsidRPr="003D3440">
              <w:t>Professionals</w:t>
            </w:r>
          </w:p>
        </w:tc>
        <w:tc>
          <w:tcPr>
            <w:tcW w:w="1193" w:type="dxa"/>
            <w:shd w:val="clear" w:color="000000" w:fill="FFFFFF"/>
            <w:noWrap/>
            <w:hideMark/>
          </w:tcPr>
          <w:p w14:paraId="2E3AFDB8" w14:textId="30732A41" w:rsidR="00D85572" w:rsidRPr="00E03E11" w:rsidRDefault="00D85572" w:rsidP="00D85572">
            <w:pPr>
              <w:spacing w:after="0"/>
              <w:ind w:firstLineChars="100" w:firstLine="220"/>
              <w:jc w:val="center"/>
              <w:rPr>
                <w:rFonts w:cs="Arial"/>
                <w:color w:val="000000"/>
                <w:lang w:eastAsia="en-AU"/>
              </w:rPr>
            </w:pPr>
            <w:r w:rsidRPr="003D3440">
              <w:t>3,571.3</w:t>
            </w:r>
          </w:p>
        </w:tc>
        <w:tc>
          <w:tcPr>
            <w:tcW w:w="1193" w:type="dxa"/>
            <w:shd w:val="clear" w:color="000000" w:fill="FFFFFF"/>
            <w:noWrap/>
            <w:hideMark/>
          </w:tcPr>
          <w:p w14:paraId="28245589" w14:textId="340E1E99" w:rsidR="00D85572" w:rsidRPr="00E03E11" w:rsidRDefault="00D85572" w:rsidP="00D85572">
            <w:pPr>
              <w:spacing w:after="0"/>
              <w:ind w:firstLineChars="100" w:firstLine="220"/>
              <w:jc w:val="center"/>
              <w:rPr>
                <w:rFonts w:cs="Arial"/>
                <w:color w:val="000000"/>
                <w:lang w:eastAsia="en-AU"/>
              </w:rPr>
            </w:pPr>
            <w:r w:rsidRPr="003D3440">
              <w:t>3,559.0</w:t>
            </w:r>
          </w:p>
        </w:tc>
        <w:tc>
          <w:tcPr>
            <w:tcW w:w="1194" w:type="dxa"/>
            <w:shd w:val="clear" w:color="000000" w:fill="FFFFFF"/>
            <w:noWrap/>
            <w:hideMark/>
          </w:tcPr>
          <w:p w14:paraId="14F22C82" w14:textId="7104DAE2" w:rsidR="00D85572" w:rsidRPr="00E03E11" w:rsidRDefault="00D85572" w:rsidP="00D85572">
            <w:pPr>
              <w:spacing w:after="0"/>
              <w:ind w:firstLineChars="100" w:firstLine="220"/>
              <w:jc w:val="center"/>
              <w:rPr>
                <w:rFonts w:cs="Arial"/>
                <w:color w:val="000000"/>
                <w:lang w:eastAsia="en-AU"/>
              </w:rPr>
            </w:pPr>
            <w:r w:rsidRPr="003D3440">
              <w:t>12.2</w:t>
            </w:r>
          </w:p>
        </w:tc>
        <w:tc>
          <w:tcPr>
            <w:tcW w:w="1193" w:type="dxa"/>
            <w:shd w:val="clear" w:color="000000" w:fill="FFFFFF"/>
            <w:noWrap/>
            <w:hideMark/>
          </w:tcPr>
          <w:p w14:paraId="29A2327F" w14:textId="64451B27" w:rsidR="00D85572" w:rsidRPr="00E03E11" w:rsidRDefault="00D85572" w:rsidP="00D85572">
            <w:pPr>
              <w:spacing w:after="0"/>
              <w:ind w:firstLineChars="100" w:firstLine="220"/>
              <w:jc w:val="center"/>
              <w:rPr>
                <w:rFonts w:cs="Arial"/>
                <w:color w:val="000000"/>
                <w:lang w:eastAsia="en-AU"/>
              </w:rPr>
            </w:pPr>
            <w:r w:rsidRPr="003D3440">
              <w:t>0.3</w:t>
            </w:r>
          </w:p>
        </w:tc>
        <w:tc>
          <w:tcPr>
            <w:tcW w:w="1193" w:type="dxa"/>
            <w:shd w:val="clear" w:color="000000" w:fill="FFFFFF"/>
            <w:noWrap/>
            <w:hideMark/>
          </w:tcPr>
          <w:p w14:paraId="4E77FF9D" w14:textId="1DC800A1" w:rsidR="00D85572" w:rsidRPr="00E03E11" w:rsidRDefault="00D85572" w:rsidP="00D85572">
            <w:pPr>
              <w:spacing w:after="0"/>
              <w:ind w:firstLineChars="100" w:firstLine="220"/>
              <w:jc w:val="center"/>
              <w:rPr>
                <w:rFonts w:cs="Arial"/>
                <w:color w:val="000000"/>
                <w:lang w:eastAsia="en-AU"/>
              </w:rPr>
            </w:pPr>
            <w:r w:rsidRPr="003D3440">
              <w:t>71.5</w:t>
            </w:r>
          </w:p>
        </w:tc>
        <w:tc>
          <w:tcPr>
            <w:tcW w:w="1194" w:type="dxa"/>
            <w:shd w:val="clear" w:color="000000" w:fill="FFFFFF"/>
            <w:noWrap/>
            <w:hideMark/>
          </w:tcPr>
          <w:p w14:paraId="6C95FCD4" w14:textId="7D3F2A9C" w:rsidR="00D85572" w:rsidRPr="00E03E11" w:rsidRDefault="00D85572" w:rsidP="00D85572">
            <w:pPr>
              <w:spacing w:after="0"/>
              <w:ind w:firstLineChars="100" w:firstLine="220"/>
              <w:jc w:val="center"/>
              <w:rPr>
                <w:rFonts w:cs="Arial"/>
                <w:color w:val="000000"/>
                <w:lang w:eastAsia="en-AU"/>
              </w:rPr>
            </w:pPr>
            <w:r w:rsidRPr="003D3440">
              <w:t>2.0</w:t>
            </w:r>
          </w:p>
        </w:tc>
      </w:tr>
      <w:tr w:rsidR="00D85572" w:rsidRPr="00BB36CB" w14:paraId="7BDF6E1F" w14:textId="77777777" w:rsidTr="002A6E57">
        <w:trPr>
          <w:trHeight w:val="290"/>
        </w:trPr>
        <w:tc>
          <w:tcPr>
            <w:tcW w:w="3261" w:type="dxa"/>
            <w:shd w:val="clear" w:color="auto" w:fill="D9D9D9" w:themeFill="background1" w:themeFillShade="D9"/>
            <w:noWrap/>
            <w:hideMark/>
          </w:tcPr>
          <w:p w14:paraId="1EBF1607" w14:textId="2A1FF5A4" w:rsidR="00D85572" w:rsidRPr="00E03E11" w:rsidRDefault="00D85572" w:rsidP="00D85572">
            <w:pPr>
              <w:spacing w:after="0"/>
              <w:rPr>
                <w:rFonts w:cs="Arial"/>
                <w:color w:val="000000"/>
                <w:lang w:eastAsia="en-AU"/>
              </w:rPr>
            </w:pPr>
            <w:r w:rsidRPr="003D3440">
              <w:t>Technicians and Trades Workers</w:t>
            </w:r>
          </w:p>
        </w:tc>
        <w:tc>
          <w:tcPr>
            <w:tcW w:w="1193" w:type="dxa"/>
            <w:shd w:val="clear" w:color="auto" w:fill="D9D9D9" w:themeFill="background1" w:themeFillShade="D9"/>
            <w:noWrap/>
            <w:hideMark/>
          </w:tcPr>
          <w:p w14:paraId="23BCDBEB" w14:textId="79E1E74D" w:rsidR="00D85572" w:rsidRPr="00E03E11" w:rsidRDefault="00D85572" w:rsidP="00D85572">
            <w:pPr>
              <w:spacing w:after="0"/>
              <w:ind w:firstLineChars="100" w:firstLine="220"/>
              <w:jc w:val="center"/>
              <w:rPr>
                <w:rFonts w:cs="Arial"/>
                <w:color w:val="000000"/>
                <w:lang w:eastAsia="en-AU"/>
              </w:rPr>
            </w:pPr>
            <w:r w:rsidRPr="003D3440">
              <w:t>1,912.9</w:t>
            </w:r>
          </w:p>
        </w:tc>
        <w:tc>
          <w:tcPr>
            <w:tcW w:w="1193" w:type="dxa"/>
            <w:shd w:val="clear" w:color="auto" w:fill="D9D9D9" w:themeFill="background1" w:themeFillShade="D9"/>
            <w:noWrap/>
            <w:hideMark/>
          </w:tcPr>
          <w:p w14:paraId="1F4D83E4" w14:textId="69C7D813" w:rsidR="00D85572" w:rsidRPr="00E03E11" w:rsidRDefault="00D85572" w:rsidP="00D85572">
            <w:pPr>
              <w:spacing w:after="0"/>
              <w:ind w:firstLineChars="100" w:firstLine="220"/>
              <w:jc w:val="center"/>
              <w:rPr>
                <w:rFonts w:cs="Arial"/>
                <w:color w:val="000000"/>
                <w:lang w:eastAsia="en-AU"/>
              </w:rPr>
            </w:pPr>
            <w:r w:rsidRPr="003D3440">
              <w:t>1,878.4</w:t>
            </w:r>
          </w:p>
        </w:tc>
        <w:tc>
          <w:tcPr>
            <w:tcW w:w="1194" w:type="dxa"/>
            <w:shd w:val="clear" w:color="auto" w:fill="D9D9D9" w:themeFill="background1" w:themeFillShade="D9"/>
            <w:noWrap/>
            <w:hideMark/>
          </w:tcPr>
          <w:p w14:paraId="7BC97A2C" w14:textId="0A3E2C6D" w:rsidR="00D85572" w:rsidRPr="00E03E11" w:rsidRDefault="00D85572" w:rsidP="00D85572">
            <w:pPr>
              <w:spacing w:after="0"/>
              <w:ind w:firstLineChars="100" w:firstLine="220"/>
              <w:jc w:val="center"/>
              <w:rPr>
                <w:rFonts w:cs="Arial"/>
                <w:color w:val="000000"/>
                <w:lang w:eastAsia="en-AU"/>
              </w:rPr>
            </w:pPr>
            <w:r w:rsidRPr="003D3440">
              <w:t>34.5</w:t>
            </w:r>
          </w:p>
        </w:tc>
        <w:tc>
          <w:tcPr>
            <w:tcW w:w="1193" w:type="dxa"/>
            <w:shd w:val="clear" w:color="auto" w:fill="D9D9D9" w:themeFill="background1" w:themeFillShade="D9"/>
            <w:noWrap/>
            <w:hideMark/>
          </w:tcPr>
          <w:p w14:paraId="7B60DA99" w14:textId="06F13617" w:rsidR="00D85572" w:rsidRPr="00E03E11" w:rsidRDefault="00D85572" w:rsidP="00D85572">
            <w:pPr>
              <w:spacing w:after="0"/>
              <w:ind w:firstLineChars="100" w:firstLine="220"/>
              <w:jc w:val="center"/>
              <w:rPr>
                <w:rFonts w:cs="Arial"/>
                <w:color w:val="000000"/>
                <w:lang w:eastAsia="en-AU"/>
              </w:rPr>
            </w:pPr>
            <w:r w:rsidRPr="003D3440">
              <w:t>1.8</w:t>
            </w:r>
          </w:p>
        </w:tc>
        <w:tc>
          <w:tcPr>
            <w:tcW w:w="1193" w:type="dxa"/>
            <w:shd w:val="clear" w:color="auto" w:fill="D9D9D9" w:themeFill="background1" w:themeFillShade="D9"/>
            <w:noWrap/>
            <w:hideMark/>
          </w:tcPr>
          <w:p w14:paraId="4DAF2015" w14:textId="27D7F368" w:rsidR="00D85572" w:rsidRPr="00E03E11" w:rsidRDefault="00D85572" w:rsidP="00D85572">
            <w:pPr>
              <w:spacing w:after="0"/>
              <w:ind w:firstLineChars="100" w:firstLine="220"/>
              <w:jc w:val="center"/>
              <w:rPr>
                <w:rFonts w:cs="Arial"/>
                <w:color w:val="000000"/>
                <w:lang w:eastAsia="en-AU"/>
              </w:rPr>
            </w:pPr>
            <w:r w:rsidRPr="003D3440">
              <w:t>85.7</w:t>
            </w:r>
          </w:p>
        </w:tc>
        <w:tc>
          <w:tcPr>
            <w:tcW w:w="1194" w:type="dxa"/>
            <w:shd w:val="clear" w:color="auto" w:fill="D9D9D9" w:themeFill="background1" w:themeFillShade="D9"/>
            <w:noWrap/>
            <w:hideMark/>
          </w:tcPr>
          <w:p w14:paraId="526EB340" w14:textId="2DC2E7A5" w:rsidR="00D85572" w:rsidRPr="00E03E11" w:rsidRDefault="00D85572" w:rsidP="00D85572">
            <w:pPr>
              <w:spacing w:after="0"/>
              <w:ind w:firstLineChars="100" w:firstLine="220"/>
              <w:jc w:val="center"/>
              <w:rPr>
                <w:rFonts w:cs="Arial"/>
                <w:color w:val="000000"/>
                <w:lang w:eastAsia="en-AU"/>
              </w:rPr>
            </w:pPr>
            <w:r w:rsidRPr="003D3440">
              <w:t>4.7</w:t>
            </w:r>
          </w:p>
        </w:tc>
      </w:tr>
      <w:tr w:rsidR="00D85572" w:rsidRPr="00BB36CB" w14:paraId="3EB90FEF" w14:textId="77777777" w:rsidTr="002A6E57">
        <w:trPr>
          <w:trHeight w:val="290"/>
        </w:trPr>
        <w:tc>
          <w:tcPr>
            <w:tcW w:w="3261" w:type="dxa"/>
            <w:shd w:val="clear" w:color="000000" w:fill="FFFFFF"/>
            <w:noWrap/>
            <w:hideMark/>
          </w:tcPr>
          <w:p w14:paraId="45908D3A" w14:textId="37974BEF" w:rsidR="00D85572" w:rsidRPr="00E03E11" w:rsidRDefault="00D85572" w:rsidP="00D85572">
            <w:pPr>
              <w:spacing w:after="0"/>
              <w:rPr>
                <w:rFonts w:cs="Arial"/>
                <w:color w:val="000000"/>
                <w:lang w:eastAsia="en-AU"/>
              </w:rPr>
            </w:pPr>
            <w:r w:rsidRPr="003D3440">
              <w:t>Community and Personal Service Workers</w:t>
            </w:r>
          </w:p>
        </w:tc>
        <w:tc>
          <w:tcPr>
            <w:tcW w:w="1193" w:type="dxa"/>
            <w:shd w:val="clear" w:color="000000" w:fill="FFFFFF"/>
            <w:noWrap/>
            <w:hideMark/>
          </w:tcPr>
          <w:p w14:paraId="5586CE8C" w14:textId="7E679C66" w:rsidR="00D85572" w:rsidRPr="00E03E11" w:rsidRDefault="00D85572" w:rsidP="00D85572">
            <w:pPr>
              <w:spacing w:after="0"/>
              <w:ind w:firstLineChars="100" w:firstLine="220"/>
              <w:jc w:val="center"/>
              <w:rPr>
                <w:rFonts w:cs="Arial"/>
                <w:color w:val="000000"/>
                <w:lang w:eastAsia="en-AU"/>
              </w:rPr>
            </w:pPr>
            <w:r w:rsidRPr="003D3440">
              <w:t>1,536.7</w:t>
            </w:r>
          </w:p>
        </w:tc>
        <w:tc>
          <w:tcPr>
            <w:tcW w:w="1193" w:type="dxa"/>
            <w:shd w:val="clear" w:color="000000" w:fill="FFFFFF"/>
            <w:noWrap/>
            <w:hideMark/>
          </w:tcPr>
          <w:p w14:paraId="2FAEC0F4" w14:textId="45EA170E" w:rsidR="00D85572" w:rsidRPr="00E03E11" w:rsidRDefault="00D85572" w:rsidP="00D85572">
            <w:pPr>
              <w:spacing w:after="0"/>
              <w:ind w:firstLineChars="100" w:firstLine="220"/>
              <w:jc w:val="center"/>
              <w:rPr>
                <w:rFonts w:cs="Arial"/>
                <w:color w:val="000000"/>
                <w:lang w:eastAsia="en-AU"/>
              </w:rPr>
            </w:pPr>
            <w:r w:rsidRPr="003D3440">
              <w:t>1,539.9</w:t>
            </w:r>
          </w:p>
        </w:tc>
        <w:tc>
          <w:tcPr>
            <w:tcW w:w="1194" w:type="dxa"/>
            <w:shd w:val="clear" w:color="000000" w:fill="FFFFFF"/>
            <w:noWrap/>
            <w:hideMark/>
          </w:tcPr>
          <w:p w14:paraId="5E2D204A" w14:textId="0876AD18" w:rsidR="00D85572" w:rsidRPr="00E03E11" w:rsidRDefault="00D85572" w:rsidP="00D85572">
            <w:pPr>
              <w:spacing w:after="0"/>
              <w:ind w:firstLineChars="100" w:firstLine="220"/>
              <w:jc w:val="center"/>
              <w:rPr>
                <w:rFonts w:cs="Arial"/>
                <w:color w:val="000000"/>
                <w:lang w:eastAsia="en-AU"/>
              </w:rPr>
            </w:pPr>
            <w:r w:rsidRPr="003D3440">
              <w:t>-3.2</w:t>
            </w:r>
          </w:p>
        </w:tc>
        <w:tc>
          <w:tcPr>
            <w:tcW w:w="1193" w:type="dxa"/>
            <w:shd w:val="clear" w:color="000000" w:fill="FFFFFF"/>
            <w:noWrap/>
            <w:hideMark/>
          </w:tcPr>
          <w:p w14:paraId="043C93F3" w14:textId="2ED5FBDE" w:rsidR="00D85572" w:rsidRPr="00E03E11" w:rsidRDefault="00D85572" w:rsidP="00D85572">
            <w:pPr>
              <w:spacing w:after="0"/>
              <w:ind w:firstLineChars="100" w:firstLine="220"/>
              <w:jc w:val="center"/>
              <w:rPr>
                <w:rFonts w:cs="Arial"/>
                <w:color w:val="000000"/>
                <w:lang w:eastAsia="en-AU"/>
              </w:rPr>
            </w:pPr>
            <w:r w:rsidRPr="003D3440">
              <w:t>-0.2</w:t>
            </w:r>
          </w:p>
        </w:tc>
        <w:tc>
          <w:tcPr>
            <w:tcW w:w="1193" w:type="dxa"/>
            <w:shd w:val="clear" w:color="000000" w:fill="FFFFFF"/>
            <w:noWrap/>
            <w:hideMark/>
          </w:tcPr>
          <w:p w14:paraId="23047552" w14:textId="556C8B33" w:rsidR="00D85572" w:rsidRPr="00E03E11" w:rsidRDefault="00D85572" w:rsidP="00D85572">
            <w:pPr>
              <w:spacing w:after="0"/>
              <w:ind w:firstLineChars="100" w:firstLine="220"/>
              <w:jc w:val="center"/>
              <w:rPr>
                <w:rFonts w:cs="Arial"/>
                <w:color w:val="000000"/>
                <w:lang w:eastAsia="en-AU"/>
              </w:rPr>
            </w:pPr>
            <w:r w:rsidRPr="003D3440">
              <w:t>109.3</w:t>
            </w:r>
          </w:p>
        </w:tc>
        <w:tc>
          <w:tcPr>
            <w:tcW w:w="1194" w:type="dxa"/>
            <w:shd w:val="clear" w:color="000000" w:fill="FFFFFF"/>
            <w:noWrap/>
            <w:hideMark/>
          </w:tcPr>
          <w:p w14:paraId="7D158C6C" w14:textId="650D7CD8" w:rsidR="00D85572" w:rsidRPr="00E03E11" w:rsidRDefault="00D85572" w:rsidP="00D85572">
            <w:pPr>
              <w:spacing w:after="0"/>
              <w:ind w:firstLineChars="100" w:firstLine="220"/>
              <w:jc w:val="center"/>
              <w:rPr>
                <w:rFonts w:cs="Arial"/>
                <w:color w:val="000000"/>
                <w:lang w:eastAsia="en-AU"/>
              </w:rPr>
            </w:pPr>
            <w:r w:rsidRPr="003D3440">
              <w:t>7.7</w:t>
            </w:r>
          </w:p>
        </w:tc>
      </w:tr>
      <w:tr w:rsidR="00D85572" w:rsidRPr="00BB36CB" w14:paraId="4B47FB16" w14:textId="77777777" w:rsidTr="002A6E57">
        <w:trPr>
          <w:trHeight w:val="290"/>
        </w:trPr>
        <w:tc>
          <w:tcPr>
            <w:tcW w:w="3261" w:type="dxa"/>
            <w:shd w:val="clear" w:color="auto" w:fill="D9D9D9" w:themeFill="background1" w:themeFillShade="D9"/>
            <w:noWrap/>
            <w:hideMark/>
          </w:tcPr>
          <w:p w14:paraId="5CA511AC" w14:textId="06987B95" w:rsidR="00D85572" w:rsidRPr="00E03E11" w:rsidRDefault="00D85572" w:rsidP="00D85572">
            <w:pPr>
              <w:spacing w:after="0"/>
              <w:rPr>
                <w:rFonts w:cs="Arial"/>
                <w:color w:val="000000"/>
                <w:lang w:eastAsia="en-AU"/>
              </w:rPr>
            </w:pPr>
            <w:r w:rsidRPr="003D3440">
              <w:t>Clerical and Administrative Workers</w:t>
            </w:r>
          </w:p>
        </w:tc>
        <w:tc>
          <w:tcPr>
            <w:tcW w:w="1193" w:type="dxa"/>
            <w:shd w:val="clear" w:color="auto" w:fill="D9D9D9" w:themeFill="background1" w:themeFillShade="D9"/>
            <w:noWrap/>
            <w:hideMark/>
          </w:tcPr>
          <w:p w14:paraId="43A3E91F" w14:textId="30693EBB" w:rsidR="00D85572" w:rsidRPr="00E03E11" w:rsidRDefault="00D85572" w:rsidP="00D85572">
            <w:pPr>
              <w:spacing w:after="0"/>
              <w:ind w:firstLineChars="100" w:firstLine="220"/>
              <w:jc w:val="center"/>
              <w:rPr>
                <w:rFonts w:cs="Arial"/>
                <w:color w:val="000000"/>
                <w:lang w:eastAsia="en-AU"/>
              </w:rPr>
            </w:pPr>
            <w:r w:rsidRPr="003D3440">
              <w:t>1,773.1</w:t>
            </w:r>
          </w:p>
        </w:tc>
        <w:tc>
          <w:tcPr>
            <w:tcW w:w="1193" w:type="dxa"/>
            <w:shd w:val="clear" w:color="auto" w:fill="D9D9D9" w:themeFill="background1" w:themeFillShade="D9"/>
            <w:noWrap/>
            <w:hideMark/>
          </w:tcPr>
          <w:p w14:paraId="02332AD9" w14:textId="7F772644" w:rsidR="00D85572" w:rsidRPr="00E03E11" w:rsidRDefault="00D85572" w:rsidP="00D85572">
            <w:pPr>
              <w:spacing w:after="0"/>
              <w:ind w:firstLineChars="100" w:firstLine="220"/>
              <w:jc w:val="center"/>
              <w:rPr>
                <w:rFonts w:cs="Arial"/>
                <w:color w:val="000000"/>
                <w:lang w:eastAsia="en-AU"/>
              </w:rPr>
            </w:pPr>
            <w:r w:rsidRPr="003D3440">
              <w:t>1,737.7</w:t>
            </w:r>
          </w:p>
        </w:tc>
        <w:tc>
          <w:tcPr>
            <w:tcW w:w="1194" w:type="dxa"/>
            <w:shd w:val="clear" w:color="auto" w:fill="D9D9D9" w:themeFill="background1" w:themeFillShade="D9"/>
            <w:noWrap/>
            <w:hideMark/>
          </w:tcPr>
          <w:p w14:paraId="7FFF7F79" w14:textId="474E9383" w:rsidR="00D85572" w:rsidRPr="00E03E11" w:rsidRDefault="00D85572" w:rsidP="00D85572">
            <w:pPr>
              <w:spacing w:after="0"/>
              <w:ind w:firstLineChars="100" w:firstLine="220"/>
              <w:jc w:val="center"/>
              <w:rPr>
                <w:rFonts w:cs="Arial"/>
                <w:color w:val="000000"/>
                <w:lang w:eastAsia="en-AU"/>
              </w:rPr>
            </w:pPr>
            <w:r w:rsidRPr="003D3440">
              <w:t>35.4</w:t>
            </w:r>
          </w:p>
        </w:tc>
        <w:tc>
          <w:tcPr>
            <w:tcW w:w="1193" w:type="dxa"/>
            <w:shd w:val="clear" w:color="auto" w:fill="D9D9D9" w:themeFill="background1" w:themeFillShade="D9"/>
            <w:noWrap/>
            <w:hideMark/>
          </w:tcPr>
          <w:p w14:paraId="07CA5174" w14:textId="73369536" w:rsidR="00D85572" w:rsidRPr="00E03E11" w:rsidRDefault="00D85572" w:rsidP="00D85572">
            <w:pPr>
              <w:spacing w:after="0"/>
              <w:ind w:firstLineChars="100" w:firstLine="220"/>
              <w:jc w:val="center"/>
              <w:rPr>
                <w:rFonts w:cs="Arial"/>
                <w:color w:val="000000"/>
                <w:lang w:eastAsia="en-AU"/>
              </w:rPr>
            </w:pPr>
            <w:r w:rsidRPr="003D3440">
              <w:t>2.0</w:t>
            </w:r>
          </w:p>
        </w:tc>
        <w:tc>
          <w:tcPr>
            <w:tcW w:w="1193" w:type="dxa"/>
            <w:shd w:val="clear" w:color="auto" w:fill="D9D9D9" w:themeFill="background1" w:themeFillShade="D9"/>
            <w:noWrap/>
            <w:hideMark/>
          </w:tcPr>
          <w:p w14:paraId="77A3895B" w14:textId="7BE5B274" w:rsidR="00D85572" w:rsidRPr="00E03E11" w:rsidRDefault="00D85572" w:rsidP="00D85572">
            <w:pPr>
              <w:spacing w:after="0"/>
              <w:ind w:firstLineChars="100" w:firstLine="220"/>
              <w:jc w:val="center"/>
              <w:rPr>
                <w:rFonts w:cs="Arial"/>
                <w:color w:val="000000"/>
                <w:lang w:eastAsia="en-AU"/>
              </w:rPr>
            </w:pPr>
            <w:r w:rsidRPr="003D3440">
              <w:t>-14.2</w:t>
            </w:r>
          </w:p>
        </w:tc>
        <w:tc>
          <w:tcPr>
            <w:tcW w:w="1194" w:type="dxa"/>
            <w:shd w:val="clear" w:color="auto" w:fill="D9D9D9" w:themeFill="background1" w:themeFillShade="D9"/>
            <w:noWrap/>
            <w:hideMark/>
          </w:tcPr>
          <w:p w14:paraId="57D96D6E" w14:textId="2301EBD1" w:rsidR="00D85572" w:rsidRPr="00E03E11" w:rsidRDefault="00D85572" w:rsidP="00D85572">
            <w:pPr>
              <w:spacing w:after="0"/>
              <w:ind w:firstLineChars="100" w:firstLine="220"/>
              <w:jc w:val="center"/>
              <w:rPr>
                <w:rFonts w:cs="Arial"/>
                <w:color w:val="000000"/>
                <w:lang w:eastAsia="en-AU"/>
              </w:rPr>
            </w:pPr>
            <w:r w:rsidRPr="003D3440">
              <w:t>-0.8</w:t>
            </w:r>
          </w:p>
        </w:tc>
      </w:tr>
      <w:tr w:rsidR="00D85572" w:rsidRPr="00BB36CB" w14:paraId="6B8D2231" w14:textId="77777777" w:rsidTr="002A6E57">
        <w:trPr>
          <w:trHeight w:val="290"/>
        </w:trPr>
        <w:tc>
          <w:tcPr>
            <w:tcW w:w="3261" w:type="dxa"/>
            <w:shd w:val="clear" w:color="000000" w:fill="FFFFFF"/>
            <w:noWrap/>
            <w:hideMark/>
          </w:tcPr>
          <w:p w14:paraId="23786AF0" w14:textId="41429949" w:rsidR="00D85572" w:rsidRPr="00E03E11" w:rsidRDefault="00D85572" w:rsidP="00D85572">
            <w:pPr>
              <w:spacing w:after="0"/>
              <w:rPr>
                <w:rFonts w:cs="Arial"/>
                <w:color w:val="000000"/>
                <w:lang w:eastAsia="en-AU"/>
              </w:rPr>
            </w:pPr>
            <w:r w:rsidRPr="003D3440">
              <w:t>Sales Workers</w:t>
            </w:r>
          </w:p>
        </w:tc>
        <w:tc>
          <w:tcPr>
            <w:tcW w:w="1193" w:type="dxa"/>
            <w:shd w:val="clear" w:color="000000" w:fill="FFFFFF"/>
            <w:noWrap/>
            <w:hideMark/>
          </w:tcPr>
          <w:p w14:paraId="5DAB3AE6" w14:textId="095C0536" w:rsidR="00D85572" w:rsidRPr="00E03E11" w:rsidRDefault="00D85572" w:rsidP="00D85572">
            <w:pPr>
              <w:spacing w:after="0"/>
              <w:ind w:firstLineChars="100" w:firstLine="220"/>
              <w:jc w:val="center"/>
              <w:rPr>
                <w:rFonts w:cs="Arial"/>
                <w:color w:val="000000"/>
                <w:lang w:eastAsia="en-AU"/>
              </w:rPr>
            </w:pPr>
            <w:r w:rsidRPr="003D3440">
              <w:t>1,068.9</w:t>
            </w:r>
          </w:p>
        </w:tc>
        <w:tc>
          <w:tcPr>
            <w:tcW w:w="1193" w:type="dxa"/>
            <w:shd w:val="clear" w:color="000000" w:fill="FFFFFF"/>
            <w:noWrap/>
            <w:hideMark/>
          </w:tcPr>
          <w:p w14:paraId="0CFF6EDC" w14:textId="0B18BD40" w:rsidR="00D85572" w:rsidRPr="00E03E11" w:rsidRDefault="00D85572" w:rsidP="00D85572">
            <w:pPr>
              <w:spacing w:after="0"/>
              <w:ind w:firstLineChars="100" w:firstLine="220"/>
              <w:jc w:val="center"/>
              <w:rPr>
                <w:rFonts w:cs="Arial"/>
                <w:color w:val="000000"/>
                <w:lang w:eastAsia="en-AU"/>
              </w:rPr>
            </w:pPr>
            <w:r w:rsidRPr="003D3440">
              <w:t>1,102.4</w:t>
            </w:r>
          </w:p>
        </w:tc>
        <w:tc>
          <w:tcPr>
            <w:tcW w:w="1194" w:type="dxa"/>
            <w:shd w:val="clear" w:color="000000" w:fill="FFFFFF"/>
            <w:noWrap/>
            <w:hideMark/>
          </w:tcPr>
          <w:p w14:paraId="3E4CB794" w14:textId="3C5E6D53" w:rsidR="00D85572" w:rsidRPr="00E03E11" w:rsidRDefault="00D85572" w:rsidP="00D85572">
            <w:pPr>
              <w:spacing w:after="0"/>
              <w:ind w:firstLineChars="100" w:firstLine="220"/>
              <w:jc w:val="center"/>
              <w:rPr>
                <w:rFonts w:cs="Arial"/>
                <w:color w:val="000000"/>
                <w:lang w:eastAsia="en-AU"/>
              </w:rPr>
            </w:pPr>
            <w:r w:rsidRPr="003D3440">
              <w:t>-33.5</w:t>
            </w:r>
          </w:p>
        </w:tc>
        <w:tc>
          <w:tcPr>
            <w:tcW w:w="1193" w:type="dxa"/>
            <w:shd w:val="clear" w:color="000000" w:fill="FFFFFF"/>
            <w:noWrap/>
            <w:hideMark/>
          </w:tcPr>
          <w:p w14:paraId="202B7173" w14:textId="20F23D2F" w:rsidR="00D85572" w:rsidRPr="00E03E11" w:rsidRDefault="00D85572" w:rsidP="00D85572">
            <w:pPr>
              <w:spacing w:after="0"/>
              <w:ind w:firstLineChars="100" w:firstLine="220"/>
              <w:jc w:val="center"/>
              <w:rPr>
                <w:rFonts w:cs="Arial"/>
                <w:color w:val="000000"/>
                <w:lang w:eastAsia="en-AU"/>
              </w:rPr>
            </w:pPr>
            <w:r w:rsidRPr="003D3440">
              <w:t>-3.0</w:t>
            </w:r>
          </w:p>
        </w:tc>
        <w:tc>
          <w:tcPr>
            <w:tcW w:w="1193" w:type="dxa"/>
            <w:shd w:val="clear" w:color="000000" w:fill="FFFFFF"/>
            <w:noWrap/>
            <w:hideMark/>
          </w:tcPr>
          <w:p w14:paraId="3DAC0399" w14:textId="1B299674" w:rsidR="00D85572" w:rsidRPr="00E03E11" w:rsidRDefault="00D85572" w:rsidP="00D85572">
            <w:pPr>
              <w:spacing w:after="0"/>
              <w:ind w:firstLineChars="100" w:firstLine="220"/>
              <w:jc w:val="center"/>
              <w:rPr>
                <w:rFonts w:cs="Arial"/>
                <w:color w:val="000000"/>
                <w:lang w:eastAsia="en-AU"/>
              </w:rPr>
            </w:pPr>
            <w:r w:rsidRPr="003D3440">
              <w:t>-32.1</w:t>
            </w:r>
          </w:p>
        </w:tc>
        <w:tc>
          <w:tcPr>
            <w:tcW w:w="1194" w:type="dxa"/>
            <w:shd w:val="clear" w:color="000000" w:fill="FFFFFF"/>
            <w:noWrap/>
            <w:hideMark/>
          </w:tcPr>
          <w:p w14:paraId="0B12CE9D" w14:textId="5EDF7732" w:rsidR="00D85572" w:rsidRPr="00E03E11" w:rsidRDefault="00D85572" w:rsidP="00D85572">
            <w:pPr>
              <w:spacing w:after="0"/>
              <w:ind w:firstLineChars="100" w:firstLine="220"/>
              <w:jc w:val="center"/>
              <w:rPr>
                <w:rFonts w:cs="Arial"/>
                <w:color w:val="000000"/>
                <w:lang w:eastAsia="en-AU"/>
              </w:rPr>
            </w:pPr>
            <w:r w:rsidRPr="003D3440">
              <w:t>-2.9</w:t>
            </w:r>
          </w:p>
        </w:tc>
      </w:tr>
      <w:tr w:rsidR="00D85572" w:rsidRPr="00BB36CB" w14:paraId="2E97065A" w14:textId="77777777" w:rsidTr="002A6E57">
        <w:trPr>
          <w:trHeight w:val="290"/>
        </w:trPr>
        <w:tc>
          <w:tcPr>
            <w:tcW w:w="3261" w:type="dxa"/>
            <w:shd w:val="clear" w:color="auto" w:fill="D9D9D9" w:themeFill="background1" w:themeFillShade="D9"/>
            <w:noWrap/>
            <w:hideMark/>
          </w:tcPr>
          <w:p w14:paraId="2065A4BE" w14:textId="3B769501" w:rsidR="00D85572" w:rsidRPr="00E03E11" w:rsidRDefault="00D85572" w:rsidP="00D85572">
            <w:pPr>
              <w:spacing w:after="0"/>
              <w:rPr>
                <w:rFonts w:cs="Arial"/>
                <w:color w:val="000000"/>
                <w:lang w:eastAsia="en-AU"/>
              </w:rPr>
            </w:pPr>
            <w:r w:rsidRPr="003D3440">
              <w:t>Machinery Operators and Drivers</w:t>
            </w:r>
          </w:p>
        </w:tc>
        <w:tc>
          <w:tcPr>
            <w:tcW w:w="1193" w:type="dxa"/>
            <w:shd w:val="clear" w:color="auto" w:fill="D9D9D9" w:themeFill="background1" w:themeFillShade="D9"/>
            <w:noWrap/>
            <w:hideMark/>
          </w:tcPr>
          <w:p w14:paraId="766DD913" w14:textId="4459B485" w:rsidR="00D85572" w:rsidRPr="00E03E11" w:rsidRDefault="00D85572" w:rsidP="00D85572">
            <w:pPr>
              <w:spacing w:after="0"/>
              <w:ind w:firstLineChars="100" w:firstLine="220"/>
              <w:jc w:val="center"/>
              <w:rPr>
                <w:rFonts w:cs="Arial"/>
                <w:color w:val="000000"/>
                <w:lang w:eastAsia="en-AU"/>
              </w:rPr>
            </w:pPr>
            <w:r w:rsidRPr="003D3440">
              <w:t>886.5</w:t>
            </w:r>
          </w:p>
        </w:tc>
        <w:tc>
          <w:tcPr>
            <w:tcW w:w="1193" w:type="dxa"/>
            <w:shd w:val="clear" w:color="auto" w:fill="D9D9D9" w:themeFill="background1" w:themeFillShade="D9"/>
            <w:noWrap/>
            <w:hideMark/>
          </w:tcPr>
          <w:p w14:paraId="6F2D95C0" w14:textId="02D5B987" w:rsidR="00D85572" w:rsidRPr="00E03E11" w:rsidRDefault="00D85572" w:rsidP="00D85572">
            <w:pPr>
              <w:spacing w:after="0"/>
              <w:ind w:firstLineChars="100" w:firstLine="220"/>
              <w:jc w:val="center"/>
              <w:rPr>
                <w:rFonts w:cs="Arial"/>
                <w:color w:val="000000"/>
                <w:lang w:eastAsia="en-AU"/>
              </w:rPr>
            </w:pPr>
            <w:r w:rsidRPr="003D3440">
              <w:t>892.4</w:t>
            </w:r>
          </w:p>
        </w:tc>
        <w:tc>
          <w:tcPr>
            <w:tcW w:w="1194" w:type="dxa"/>
            <w:shd w:val="clear" w:color="auto" w:fill="D9D9D9" w:themeFill="background1" w:themeFillShade="D9"/>
            <w:noWrap/>
            <w:hideMark/>
          </w:tcPr>
          <w:p w14:paraId="42D6DDA9" w14:textId="641C137F" w:rsidR="00D85572" w:rsidRPr="00E03E11" w:rsidRDefault="00D85572" w:rsidP="00D85572">
            <w:pPr>
              <w:spacing w:after="0"/>
              <w:ind w:firstLineChars="100" w:firstLine="220"/>
              <w:jc w:val="center"/>
              <w:rPr>
                <w:rFonts w:cs="Arial"/>
                <w:color w:val="000000"/>
                <w:lang w:eastAsia="en-AU"/>
              </w:rPr>
            </w:pPr>
            <w:r w:rsidRPr="003D3440">
              <w:t>-5.9</w:t>
            </w:r>
          </w:p>
        </w:tc>
        <w:tc>
          <w:tcPr>
            <w:tcW w:w="1193" w:type="dxa"/>
            <w:shd w:val="clear" w:color="auto" w:fill="D9D9D9" w:themeFill="background1" w:themeFillShade="D9"/>
            <w:noWrap/>
            <w:hideMark/>
          </w:tcPr>
          <w:p w14:paraId="4802806C" w14:textId="3632C2F8" w:rsidR="00D85572" w:rsidRPr="00E03E11" w:rsidRDefault="00D85572" w:rsidP="00D85572">
            <w:pPr>
              <w:spacing w:after="0"/>
              <w:ind w:firstLineChars="100" w:firstLine="220"/>
              <w:jc w:val="center"/>
              <w:rPr>
                <w:rFonts w:cs="Arial"/>
                <w:color w:val="000000"/>
                <w:lang w:eastAsia="en-AU"/>
              </w:rPr>
            </w:pPr>
            <w:r w:rsidRPr="003D3440">
              <w:t>-0.7</w:t>
            </w:r>
          </w:p>
        </w:tc>
        <w:tc>
          <w:tcPr>
            <w:tcW w:w="1193" w:type="dxa"/>
            <w:shd w:val="clear" w:color="auto" w:fill="D9D9D9" w:themeFill="background1" w:themeFillShade="D9"/>
            <w:noWrap/>
            <w:hideMark/>
          </w:tcPr>
          <w:p w14:paraId="23059BE2" w14:textId="2EE4BFDC" w:rsidR="00D85572" w:rsidRPr="00E03E11" w:rsidRDefault="00D85572" w:rsidP="00D85572">
            <w:pPr>
              <w:spacing w:after="0"/>
              <w:ind w:firstLineChars="100" w:firstLine="220"/>
              <w:jc w:val="center"/>
              <w:rPr>
                <w:rFonts w:cs="Arial"/>
                <w:color w:val="000000"/>
                <w:lang w:eastAsia="en-AU"/>
              </w:rPr>
            </w:pPr>
            <w:r w:rsidRPr="003D3440">
              <w:t>29.5</w:t>
            </w:r>
          </w:p>
        </w:tc>
        <w:tc>
          <w:tcPr>
            <w:tcW w:w="1194" w:type="dxa"/>
            <w:shd w:val="clear" w:color="auto" w:fill="D9D9D9" w:themeFill="background1" w:themeFillShade="D9"/>
            <w:noWrap/>
            <w:hideMark/>
          </w:tcPr>
          <w:p w14:paraId="2939EF1D" w14:textId="77899B84" w:rsidR="00D85572" w:rsidRPr="00E03E11" w:rsidRDefault="00D85572" w:rsidP="00D85572">
            <w:pPr>
              <w:spacing w:after="0"/>
              <w:ind w:firstLineChars="100" w:firstLine="220"/>
              <w:jc w:val="center"/>
              <w:rPr>
                <w:rFonts w:cs="Arial"/>
                <w:color w:val="000000"/>
                <w:lang w:eastAsia="en-AU"/>
              </w:rPr>
            </w:pPr>
            <w:r w:rsidRPr="003D3440">
              <w:t>3.4</w:t>
            </w:r>
          </w:p>
        </w:tc>
      </w:tr>
      <w:tr w:rsidR="00D85572" w:rsidRPr="00BB36CB" w14:paraId="7372570E" w14:textId="77777777" w:rsidTr="002A6E57">
        <w:trPr>
          <w:trHeight w:val="290"/>
        </w:trPr>
        <w:tc>
          <w:tcPr>
            <w:tcW w:w="3261" w:type="dxa"/>
            <w:shd w:val="clear" w:color="000000" w:fill="FFFFFF"/>
            <w:noWrap/>
            <w:hideMark/>
          </w:tcPr>
          <w:p w14:paraId="72DB63DD" w14:textId="678794EB" w:rsidR="00D85572" w:rsidRPr="00E03E11" w:rsidRDefault="00D85572" w:rsidP="00D85572">
            <w:pPr>
              <w:spacing w:after="0"/>
              <w:rPr>
                <w:rFonts w:cs="Arial"/>
                <w:color w:val="000000"/>
                <w:lang w:eastAsia="en-AU"/>
              </w:rPr>
            </w:pPr>
            <w:r w:rsidRPr="003D3440">
              <w:t>Labourers</w:t>
            </w:r>
          </w:p>
        </w:tc>
        <w:tc>
          <w:tcPr>
            <w:tcW w:w="1193" w:type="dxa"/>
            <w:shd w:val="clear" w:color="000000" w:fill="FFFFFF"/>
            <w:noWrap/>
            <w:hideMark/>
          </w:tcPr>
          <w:p w14:paraId="659305D3" w14:textId="702957D9" w:rsidR="00D85572" w:rsidRPr="00E03E11" w:rsidRDefault="00D85572" w:rsidP="00D85572">
            <w:pPr>
              <w:spacing w:after="0"/>
              <w:ind w:firstLineChars="100" w:firstLine="220"/>
              <w:jc w:val="center"/>
              <w:rPr>
                <w:rFonts w:cs="Arial"/>
                <w:color w:val="000000"/>
                <w:lang w:eastAsia="en-AU"/>
              </w:rPr>
            </w:pPr>
            <w:r w:rsidRPr="003D3440">
              <w:t>1,251.7</w:t>
            </w:r>
          </w:p>
        </w:tc>
        <w:tc>
          <w:tcPr>
            <w:tcW w:w="1193" w:type="dxa"/>
            <w:shd w:val="clear" w:color="000000" w:fill="FFFFFF"/>
            <w:noWrap/>
            <w:hideMark/>
          </w:tcPr>
          <w:p w14:paraId="54536943" w14:textId="3B8FC4CF" w:rsidR="00D85572" w:rsidRPr="00E03E11" w:rsidRDefault="00D85572" w:rsidP="00D85572">
            <w:pPr>
              <w:spacing w:after="0"/>
              <w:ind w:firstLineChars="100" w:firstLine="220"/>
              <w:jc w:val="center"/>
              <w:rPr>
                <w:rFonts w:cs="Arial"/>
                <w:color w:val="000000"/>
                <w:lang w:eastAsia="en-AU"/>
              </w:rPr>
            </w:pPr>
            <w:r w:rsidRPr="003D3440">
              <w:t>1,209.8</w:t>
            </w:r>
          </w:p>
        </w:tc>
        <w:tc>
          <w:tcPr>
            <w:tcW w:w="1194" w:type="dxa"/>
            <w:shd w:val="clear" w:color="000000" w:fill="FFFFFF"/>
            <w:noWrap/>
            <w:hideMark/>
          </w:tcPr>
          <w:p w14:paraId="1EFA019D" w14:textId="20C43746" w:rsidR="00D85572" w:rsidRPr="00E03E11" w:rsidRDefault="00D85572" w:rsidP="00D85572">
            <w:pPr>
              <w:spacing w:after="0"/>
              <w:ind w:firstLineChars="100" w:firstLine="220"/>
              <w:jc w:val="center"/>
              <w:rPr>
                <w:rFonts w:cs="Arial"/>
                <w:color w:val="000000"/>
                <w:lang w:eastAsia="en-AU"/>
              </w:rPr>
            </w:pPr>
            <w:r w:rsidRPr="003D3440">
              <w:t>41.9</w:t>
            </w:r>
          </w:p>
        </w:tc>
        <w:tc>
          <w:tcPr>
            <w:tcW w:w="1193" w:type="dxa"/>
            <w:shd w:val="clear" w:color="000000" w:fill="FFFFFF"/>
            <w:noWrap/>
            <w:hideMark/>
          </w:tcPr>
          <w:p w14:paraId="781CA871" w14:textId="0423EC6C" w:rsidR="00D85572" w:rsidRPr="00E03E11" w:rsidRDefault="00D85572" w:rsidP="00D85572">
            <w:pPr>
              <w:spacing w:after="0"/>
              <w:ind w:firstLineChars="100" w:firstLine="220"/>
              <w:jc w:val="center"/>
              <w:rPr>
                <w:rFonts w:cs="Arial"/>
                <w:color w:val="000000"/>
                <w:lang w:eastAsia="en-AU"/>
              </w:rPr>
            </w:pPr>
            <w:r w:rsidRPr="003D3440">
              <w:t>3.5</w:t>
            </w:r>
          </w:p>
        </w:tc>
        <w:tc>
          <w:tcPr>
            <w:tcW w:w="1193" w:type="dxa"/>
            <w:shd w:val="clear" w:color="000000" w:fill="FFFFFF"/>
            <w:noWrap/>
            <w:hideMark/>
          </w:tcPr>
          <w:p w14:paraId="7E76F108" w14:textId="170D0484" w:rsidR="00D85572" w:rsidRPr="00E03E11" w:rsidRDefault="00D85572" w:rsidP="00D85572">
            <w:pPr>
              <w:spacing w:after="0"/>
              <w:ind w:firstLineChars="100" w:firstLine="220"/>
              <w:jc w:val="center"/>
              <w:rPr>
                <w:rFonts w:cs="Arial"/>
                <w:color w:val="000000"/>
                <w:lang w:eastAsia="en-AU"/>
              </w:rPr>
            </w:pPr>
            <w:r w:rsidRPr="003D3440">
              <w:t>84.9</w:t>
            </w:r>
          </w:p>
        </w:tc>
        <w:tc>
          <w:tcPr>
            <w:tcW w:w="1194" w:type="dxa"/>
            <w:shd w:val="clear" w:color="000000" w:fill="FFFFFF"/>
            <w:noWrap/>
            <w:hideMark/>
          </w:tcPr>
          <w:p w14:paraId="3409B505" w14:textId="7CAAFA59" w:rsidR="00D85572" w:rsidRPr="00E03E11" w:rsidRDefault="00D85572" w:rsidP="00D85572">
            <w:pPr>
              <w:spacing w:after="0"/>
              <w:ind w:firstLineChars="100" w:firstLine="220"/>
              <w:jc w:val="center"/>
              <w:rPr>
                <w:rFonts w:cs="Arial"/>
                <w:color w:val="000000"/>
                <w:lang w:eastAsia="en-AU"/>
              </w:rPr>
            </w:pPr>
            <w:r w:rsidRPr="003D3440">
              <w:t>7.3</w:t>
            </w:r>
          </w:p>
        </w:tc>
      </w:tr>
    </w:tbl>
    <w:p w14:paraId="5B703A2F" w14:textId="404B1BC6" w:rsidR="00E87FEB" w:rsidRPr="00BB36CB" w:rsidRDefault="00E87FEB" w:rsidP="00E87FEB">
      <w:pPr>
        <w:pStyle w:val="Source"/>
        <w:rPr>
          <w:rFonts w:ascii="Arial" w:hAnsi="Arial" w:cs="Arial"/>
        </w:rPr>
      </w:pPr>
      <w:r w:rsidRPr="00BB36CB">
        <w:rPr>
          <w:rFonts w:ascii="Arial" w:hAnsi="Arial" w:cs="Arial"/>
          <w:i w:val="0"/>
          <w:iCs/>
        </w:rPr>
        <w:t>ABS,</w:t>
      </w:r>
      <w:r w:rsidRPr="00BB36CB">
        <w:rPr>
          <w:rFonts w:ascii="Arial" w:hAnsi="Arial" w:cs="Arial"/>
        </w:rPr>
        <w:t xml:space="preserve"> Labour Force, Australia, Detailed, </w:t>
      </w:r>
      <w:r w:rsidR="00D85572">
        <w:rPr>
          <w:rFonts w:ascii="Arial" w:hAnsi="Arial" w:cs="Arial"/>
          <w:i w:val="0"/>
          <w:iCs/>
        </w:rPr>
        <w:t>Februar</w:t>
      </w:r>
      <w:r w:rsidR="00C54134">
        <w:rPr>
          <w:rFonts w:ascii="Arial" w:hAnsi="Arial" w:cs="Arial"/>
          <w:i w:val="0"/>
          <w:iCs/>
        </w:rPr>
        <w:t xml:space="preserve">y </w:t>
      </w:r>
      <w:r w:rsidR="00D85572">
        <w:rPr>
          <w:rFonts w:ascii="Arial" w:hAnsi="Arial" w:cs="Arial"/>
          <w:i w:val="0"/>
          <w:iCs/>
        </w:rPr>
        <w:t>2023</w:t>
      </w:r>
      <w:r w:rsidRPr="00BB36CB">
        <w:rPr>
          <w:rFonts w:ascii="Arial" w:hAnsi="Arial" w:cs="Arial"/>
          <w:iCs/>
          <w:szCs w:val="16"/>
        </w:rPr>
        <w:t>, data</w:t>
      </w:r>
      <w:r w:rsidR="003C454B" w:rsidRPr="00BB36CB">
        <w:rPr>
          <w:rFonts w:ascii="Arial" w:hAnsi="Arial" w:cs="Arial"/>
          <w:iCs/>
          <w:szCs w:val="16"/>
        </w:rPr>
        <w:t xml:space="preserve"> seasonally adjusted by Jobs and Skills Australia</w:t>
      </w:r>
      <w:r w:rsidRPr="00BB36CB">
        <w:rPr>
          <w:rFonts w:ascii="Arial" w:hAnsi="Arial" w:cs="Arial"/>
          <w:iCs/>
          <w:szCs w:val="16"/>
        </w:rPr>
        <w:t>.</w:t>
      </w:r>
    </w:p>
    <w:p w14:paraId="022305A5" w14:textId="4221F7DE" w:rsidR="0016670F" w:rsidRPr="00BB36CB" w:rsidRDefault="00DC7990" w:rsidP="0016670F">
      <w:pPr>
        <w:autoSpaceDE w:val="0"/>
        <w:autoSpaceDN w:val="0"/>
        <w:adjustRightInd w:val="0"/>
        <w:spacing w:after="120" w:line="276" w:lineRule="auto"/>
        <w:rPr>
          <w:rFonts w:cs="Arial"/>
        </w:rPr>
      </w:pPr>
      <w:r w:rsidRPr="00BB36CB">
        <w:rPr>
          <w:rFonts w:cs="Arial"/>
        </w:rPr>
        <w:t>Similarly, the strength in the labour market since the onset of COVID-19 has been uneven across industries.</w:t>
      </w:r>
      <w:r w:rsidR="003A5852" w:rsidRPr="00BB36CB">
        <w:rPr>
          <w:rFonts w:cs="Arial"/>
        </w:rPr>
        <w:t xml:space="preserve"> </w:t>
      </w:r>
      <w:r w:rsidR="0016670F" w:rsidRPr="00BB36CB">
        <w:rPr>
          <w:rFonts w:cs="Arial"/>
        </w:rPr>
        <w:t xml:space="preserve">Over the quarter to </w:t>
      </w:r>
      <w:r w:rsidR="0002211C">
        <w:rPr>
          <w:rFonts w:cs="Arial"/>
        </w:rPr>
        <w:t>February 20</w:t>
      </w:r>
      <w:r w:rsidR="00C02FBD">
        <w:rPr>
          <w:rFonts w:cs="Arial"/>
        </w:rPr>
        <w:t>23</w:t>
      </w:r>
      <w:r w:rsidR="0016670F" w:rsidRPr="00BB36CB">
        <w:rPr>
          <w:rFonts w:cs="Arial"/>
        </w:rPr>
        <w:t>:</w:t>
      </w:r>
    </w:p>
    <w:p w14:paraId="149C362E" w14:textId="1DF3E77D" w:rsidR="0016670F" w:rsidRPr="00BB36CB" w:rsidRDefault="0016670F" w:rsidP="00CB0BE2">
      <w:pPr>
        <w:pStyle w:val="ListParagraph"/>
        <w:numPr>
          <w:ilvl w:val="0"/>
          <w:numId w:val="5"/>
        </w:numPr>
        <w:autoSpaceDE w:val="0"/>
        <w:autoSpaceDN w:val="0"/>
        <w:adjustRightInd w:val="0"/>
        <w:spacing w:after="120" w:line="276" w:lineRule="auto"/>
        <w:rPr>
          <w:rFonts w:cs="Arial"/>
        </w:rPr>
      </w:pPr>
      <w:r w:rsidRPr="00BB36CB">
        <w:rPr>
          <w:rFonts w:cs="Arial"/>
        </w:rPr>
        <w:t>Employment increased in 11 industries and declined in 8.</w:t>
      </w:r>
    </w:p>
    <w:p w14:paraId="13D4EA7A" w14:textId="2D753B2B" w:rsidR="00BA34A8" w:rsidRPr="00BA34A8" w:rsidRDefault="0016670F" w:rsidP="00CB0BE2">
      <w:pPr>
        <w:pStyle w:val="ListParagraph"/>
        <w:numPr>
          <w:ilvl w:val="0"/>
          <w:numId w:val="5"/>
        </w:numPr>
        <w:autoSpaceDE w:val="0"/>
        <w:autoSpaceDN w:val="0"/>
        <w:adjustRightInd w:val="0"/>
        <w:spacing w:after="120" w:line="276" w:lineRule="auto"/>
        <w:rPr>
          <w:rFonts w:cs="Arial"/>
        </w:rPr>
      </w:pPr>
      <w:r w:rsidRPr="00BB36CB">
        <w:rPr>
          <w:rFonts w:cs="Arial"/>
        </w:rPr>
        <w:t xml:space="preserve">The </w:t>
      </w:r>
      <w:r w:rsidR="00BA34A8" w:rsidRPr="00BA34A8">
        <w:rPr>
          <w:rFonts w:cs="Arial"/>
        </w:rPr>
        <w:t>largest gains in employment were for Health Care and Social Assistance (up by 43,600, or 2.1 per cent), Public Administration and Safety (up by 35,300, or 4.1 per cent), Construction (up by 27,600, or 2.1 per cent) and Retail Trade (up by 20,400, or 1.5 per cent).</w:t>
      </w:r>
    </w:p>
    <w:p w14:paraId="09A8B05A" w14:textId="77777777" w:rsidR="00BA34A8" w:rsidRDefault="00BA34A8" w:rsidP="00CB0BE2">
      <w:pPr>
        <w:pStyle w:val="ListParagraph"/>
        <w:numPr>
          <w:ilvl w:val="0"/>
          <w:numId w:val="5"/>
        </w:numPr>
        <w:autoSpaceDE w:val="0"/>
        <w:autoSpaceDN w:val="0"/>
        <w:adjustRightInd w:val="0"/>
        <w:spacing w:after="120" w:line="276" w:lineRule="auto"/>
        <w:rPr>
          <w:rFonts w:cs="Arial"/>
        </w:rPr>
      </w:pPr>
      <w:r w:rsidRPr="00BA34A8">
        <w:rPr>
          <w:rFonts w:cs="Arial"/>
        </w:rPr>
        <w:t>The largest falls in employment were for Administrative and Support Services (down by 48,800, or 10.5 per cent), Transport, Postal and Warehousing (down by 44,500, or 6.1 per cent), Financial and Insurance Services (down by 31,900, or 5.7 per cent) and Accommodation and Food Services (down by 12,900, or 1.4 per cent).</w:t>
      </w:r>
    </w:p>
    <w:p w14:paraId="4134C2E6" w14:textId="50128088" w:rsidR="0016670F" w:rsidRPr="00BB36CB" w:rsidRDefault="007B498F" w:rsidP="0016670F">
      <w:pPr>
        <w:autoSpaceDE w:val="0"/>
        <w:autoSpaceDN w:val="0"/>
        <w:adjustRightInd w:val="0"/>
        <w:spacing w:after="120" w:line="276" w:lineRule="auto"/>
        <w:rPr>
          <w:rFonts w:cs="Arial"/>
        </w:rPr>
      </w:pPr>
      <w:r>
        <w:rPr>
          <w:rFonts w:cs="Arial"/>
        </w:rPr>
        <w:t>Table 4 shows that o</w:t>
      </w:r>
      <w:r w:rsidR="0016670F" w:rsidRPr="00BB36CB">
        <w:rPr>
          <w:rFonts w:cs="Arial"/>
        </w:rPr>
        <w:t xml:space="preserve">ver the year to </w:t>
      </w:r>
      <w:r w:rsidR="0002211C">
        <w:rPr>
          <w:rFonts w:cs="Arial"/>
        </w:rPr>
        <w:t>February 2023</w:t>
      </w:r>
      <w:r w:rsidR="0016670F" w:rsidRPr="00BB36CB">
        <w:rPr>
          <w:rFonts w:cs="Arial"/>
        </w:rPr>
        <w:t>:</w:t>
      </w:r>
    </w:p>
    <w:p w14:paraId="2025C09B" w14:textId="22E9DED8" w:rsidR="0016670F" w:rsidRPr="00BB36CB" w:rsidRDefault="0016670F" w:rsidP="00CB0BE2">
      <w:pPr>
        <w:pStyle w:val="ListParagraph"/>
        <w:numPr>
          <w:ilvl w:val="0"/>
          <w:numId w:val="5"/>
        </w:numPr>
        <w:autoSpaceDE w:val="0"/>
        <w:autoSpaceDN w:val="0"/>
        <w:adjustRightInd w:val="0"/>
        <w:spacing w:after="120" w:line="276" w:lineRule="auto"/>
        <w:rPr>
          <w:rFonts w:cs="Arial"/>
        </w:rPr>
      </w:pPr>
      <w:r w:rsidRPr="00BB36CB">
        <w:rPr>
          <w:rFonts w:cs="Arial"/>
        </w:rPr>
        <w:t>Employment increased in 1</w:t>
      </w:r>
      <w:r w:rsidR="007F0F73">
        <w:rPr>
          <w:rFonts w:cs="Arial"/>
        </w:rPr>
        <w:t>2</w:t>
      </w:r>
      <w:r w:rsidRPr="00BB36CB">
        <w:rPr>
          <w:rFonts w:cs="Arial"/>
        </w:rPr>
        <w:t xml:space="preserve"> industries and declined in </w:t>
      </w:r>
      <w:r w:rsidR="0002211C">
        <w:rPr>
          <w:rFonts w:cs="Arial"/>
        </w:rPr>
        <w:t>seven</w:t>
      </w:r>
      <w:r w:rsidRPr="00BB36CB">
        <w:rPr>
          <w:rFonts w:cs="Arial"/>
        </w:rPr>
        <w:t>.</w:t>
      </w:r>
    </w:p>
    <w:p w14:paraId="1722D0E1" w14:textId="3FAE48F4" w:rsidR="005D4F2F" w:rsidRPr="005D4F2F" w:rsidRDefault="0016670F" w:rsidP="00CB0BE2">
      <w:pPr>
        <w:pStyle w:val="ListParagraph"/>
        <w:numPr>
          <w:ilvl w:val="0"/>
          <w:numId w:val="5"/>
        </w:numPr>
        <w:autoSpaceDE w:val="0"/>
        <w:autoSpaceDN w:val="0"/>
        <w:adjustRightInd w:val="0"/>
        <w:spacing w:after="120" w:line="276" w:lineRule="auto"/>
        <w:rPr>
          <w:rFonts w:cs="Arial"/>
        </w:rPr>
      </w:pPr>
      <w:r w:rsidRPr="00BB36CB">
        <w:rPr>
          <w:rFonts w:cs="Arial"/>
        </w:rPr>
        <w:t xml:space="preserve">The </w:t>
      </w:r>
      <w:r w:rsidR="005D4F2F" w:rsidRPr="005D4F2F">
        <w:rPr>
          <w:rFonts w:cs="Arial"/>
        </w:rPr>
        <w:t>largest gains in employment were for Construction (up by 146,200, or 12.4 per cent), Health Care and Social Assistance (up by 97,300, or 4.8 per cent), Retail Trade (up by 73,400, or 5.7 per cent) and Accommodation and Food Services (up by 44,200, or 4.9 per cent).</w:t>
      </w:r>
    </w:p>
    <w:p w14:paraId="2DB40182" w14:textId="77777777" w:rsidR="005D4F2F" w:rsidRPr="005D4F2F" w:rsidRDefault="005D4F2F" w:rsidP="00CB0BE2">
      <w:pPr>
        <w:pStyle w:val="ListParagraph"/>
        <w:numPr>
          <w:ilvl w:val="0"/>
          <w:numId w:val="5"/>
        </w:numPr>
        <w:autoSpaceDE w:val="0"/>
        <w:autoSpaceDN w:val="0"/>
        <w:adjustRightInd w:val="0"/>
        <w:spacing w:after="120" w:line="276" w:lineRule="auto"/>
        <w:rPr>
          <w:rFonts w:cs="Arial"/>
        </w:rPr>
      </w:pPr>
      <w:r w:rsidRPr="005D4F2F">
        <w:rPr>
          <w:rFonts w:cs="Arial"/>
        </w:rPr>
        <w:t>The largest falls were for Rental, Hiring and Real Estate Services (down by 18,300, or 7.7 per cent), Financial and Insurance Services (down by 16,900, or 3.1 per cent), Public Administration and Safety (down by 12,700, or 1.4 per cent) and Information Media and Telecommunications (down by 6,700, or 3.3 per cent).</w:t>
      </w:r>
    </w:p>
    <w:p w14:paraId="4067411A" w14:textId="77777777" w:rsidR="00BB36D3" w:rsidRDefault="00BB36D3" w:rsidP="00BB36CB">
      <w:pPr>
        <w:pStyle w:val="Heading5"/>
        <w:rPr>
          <w:lang w:eastAsia="en-AU"/>
        </w:rPr>
      </w:pPr>
      <w:r>
        <w:rPr>
          <w:lang w:eastAsia="en-AU"/>
        </w:rPr>
        <w:br w:type="page"/>
      </w:r>
    </w:p>
    <w:p w14:paraId="20ED8E06" w14:textId="2C3D22A8" w:rsidR="00C14F98" w:rsidRPr="00BB36CB" w:rsidRDefault="002345C4" w:rsidP="00BB36CB">
      <w:pPr>
        <w:pStyle w:val="Heading5"/>
      </w:pPr>
      <w:r w:rsidRPr="00C557F2">
        <w:rPr>
          <w:lang w:eastAsia="en-AU"/>
        </w:rPr>
        <w:lastRenderedPageBreak/>
        <w:t xml:space="preserve">Table </w:t>
      </w:r>
      <w:r w:rsidR="007B498F">
        <w:rPr>
          <w:lang w:eastAsia="en-AU"/>
        </w:rPr>
        <w:t>4</w:t>
      </w:r>
      <w:r w:rsidRPr="00C557F2">
        <w:rPr>
          <w:lang w:eastAsia="en-AU"/>
        </w:rPr>
        <w:t xml:space="preserve">: </w:t>
      </w:r>
      <w:r w:rsidRPr="00C557F2">
        <w:rPr>
          <w:rStyle w:val="Emphasis"/>
          <w:i w:val="0"/>
          <w:iCs w:val="0"/>
        </w:rPr>
        <w:t>Employment</w:t>
      </w:r>
      <w:r>
        <w:rPr>
          <w:rStyle w:val="Emphasis"/>
          <w:i w:val="0"/>
          <w:iCs w:val="0"/>
        </w:rPr>
        <w:t xml:space="preserve"> by Industry, November 2022 (‘000)</w:t>
      </w:r>
    </w:p>
    <w:tbl>
      <w:tblPr>
        <w:tblStyle w:val="TableGrid"/>
        <w:tblW w:w="10619" w:type="dxa"/>
        <w:jc w:val="center"/>
        <w:tblLook w:val="04A0" w:firstRow="1" w:lastRow="0" w:firstColumn="1" w:lastColumn="0" w:noHBand="0" w:noVBand="1"/>
      </w:tblPr>
      <w:tblGrid>
        <w:gridCol w:w="3966"/>
        <w:gridCol w:w="1158"/>
        <w:gridCol w:w="1073"/>
        <w:gridCol w:w="1122"/>
        <w:gridCol w:w="1234"/>
        <w:gridCol w:w="917"/>
        <w:gridCol w:w="1149"/>
      </w:tblGrid>
      <w:tr w:rsidR="00C14F98" w:rsidRPr="00BB36CB" w14:paraId="20DE276C" w14:textId="77777777" w:rsidTr="00C46A2A">
        <w:trPr>
          <w:trHeight w:val="1002"/>
          <w:jc w:val="center"/>
        </w:trPr>
        <w:tc>
          <w:tcPr>
            <w:tcW w:w="3966" w:type="dxa"/>
            <w:tcBorders>
              <w:top w:val="nil"/>
              <w:left w:val="nil"/>
              <w:bottom w:val="nil"/>
              <w:right w:val="nil"/>
            </w:tcBorders>
            <w:shd w:val="clear" w:color="auto" w:fill="441170"/>
            <w:vAlign w:val="center"/>
            <w:hideMark/>
          </w:tcPr>
          <w:p w14:paraId="546E3739" w14:textId="77777777" w:rsidR="00C14F98" w:rsidRPr="00BB36CB" w:rsidRDefault="00C14F98" w:rsidP="009A57EC">
            <w:pPr>
              <w:jc w:val="center"/>
              <w:rPr>
                <w:rFonts w:cs="Arial"/>
                <w:b/>
                <w:bCs/>
                <w:color w:val="FFFFFF" w:themeColor="background1"/>
                <w:sz w:val="20"/>
              </w:rPr>
            </w:pPr>
            <w:r w:rsidRPr="00BB36CB">
              <w:rPr>
                <w:rFonts w:cs="Arial"/>
                <w:b/>
                <w:bCs/>
                <w:color w:val="FFFFFF" w:themeColor="background1"/>
                <w:sz w:val="20"/>
              </w:rPr>
              <w:t>Industry</w:t>
            </w:r>
          </w:p>
        </w:tc>
        <w:tc>
          <w:tcPr>
            <w:tcW w:w="1158" w:type="dxa"/>
            <w:tcBorders>
              <w:top w:val="nil"/>
              <w:left w:val="nil"/>
              <w:bottom w:val="nil"/>
              <w:right w:val="nil"/>
            </w:tcBorders>
            <w:shd w:val="clear" w:color="auto" w:fill="441170"/>
            <w:vAlign w:val="center"/>
            <w:hideMark/>
          </w:tcPr>
          <w:p w14:paraId="234964A5" w14:textId="7B6888D0" w:rsidR="00C14F98" w:rsidRPr="00BB36CB" w:rsidRDefault="00C46A2A" w:rsidP="009A57EC">
            <w:pPr>
              <w:jc w:val="center"/>
              <w:rPr>
                <w:rFonts w:cs="Arial"/>
                <w:b/>
                <w:bCs/>
                <w:color w:val="FFFFFF" w:themeColor="background1"/>
                <w:sz w:val="20"/>
              </w:rPr>
            </w:pPr>
            <w:r>
              <w:rPr>
                <w:rFonts w:cs="Arial"/>
                <w:b/>
                <w:bCs/>
                <w:color w:val="FFFFFF" w:themeColor="background1"/>
                <w:sz w:val="20"/>
              </w:rPr>
              <w:t xml:space="preserve">Feb 2023 </w:t>
            </w:r>
          </w:p>
        </w:tc>
        <w:tc>
          <w:tcPr>
            <w:tcW w:w="1073" w:type="dxa"/>
            <w:tcBorders>
              <w:top w:val="nil"/>
              <w:left w:val="nil"/>
              <w:bottom w:val="nil"/>
              <w:right w:val="nil"/>
            </w:tcBorders>
            <w:shd w:val="clear" w:color="auto" w:fill="441170"/>
            <w:vAlign w:val="center"/>
            <w:hideMark/>
          </w:tcPr>
          <w:p w14:paraId="51A6C6BC" w14:textId="6BD0F5FA" w:rsidR="00C14F98" w:rsidRPr="00BB36CB" w:rsidRDefault="00C46A2A" w:rsidP="009A57EC">
            <w:pPr>
              <w:jc w:val="center"/>
              <w:rPr>
                <w:rFonts w:cs="Arial"/>
                <w:b/>
                <w:bCs/>
                <w:color w:val="FFFFFF" w:themeColor="background1"/>
                <w:sz w:val="20"/>
              </w:rPr>
            </w:pPr>
            <w:r>
              <w:rPr>
                <w:rFonts w:cs="Arial"/>
                <w:b/>
                <w:bCs/>
                <w:color w:val="FFFFFF" w:themeColor="background1"/>
                <w:sz w:val="20"/>
              </w:rPr>
              <w:t xml:space="preserve">Nov </w:t>
            </w:r>
            <w:r w:rsidR="00C14F98" w:rsidRPr="00BB36CB">
              <w:rPr>
                <w:rFonts w:cs="Arial"/>
                <w:b/>
                <w:bCs/>
                <w:color w:val="FFFFFF" w:themeColor="background1"/>
                <w:sz w:val="20"/>
              </w:rPr>
              <w:t>2022</w:t>
            </w:r>
            <w:r>
              <w:rPr>
                <w:rFonts w:cs="Arial"/>
                <w:b/>
                <w:bCs/>
                <w:color w:val="FFFFFF" w:themeColor="background1"/>
                <w:sz w:val="20"/>
              </w:rPr>
              <w:t xml:space="preserve"> </w:t>
            </w:r>
          </w:p>
        </w:tc>
        <w:tc>
          <w:tcPr>
            <w:tcW w:w="1122" w:type="dxa"/>
            <w:tcBorders>
              <w:top w:val="nil"/>
              <w:left w:val="nil"/>
              <w:bottom w:val="nil"/>
              <w:right w:val="nil"/>
            </w:tcBorders>
            <w:shd w:val="clear" w:color="auto" w:fill="441170"/>
            <w:vAlign w:val="center"/>
            <w:hideMark/>
          </w:tcPr>
          <w:p w14:paraId="06230E5D" w14:textId="0F491ED1" w:rsidR="00C14F98" w:rsidRPr="00BB36CB" w:rsidRDefault="00C14F98" w:rsidP="009A57EC">
            <w:pPr>
              <w:jc w:val="center"/>
              <w:rPr>
                <w:rFonts w:cs="Arial"/>
                <w:b/>
                <w:bCs/>
                <w:color w:val="FFFFFF" w:themeColor="background1"/>
                <w:sz w:val="20"/>
              </w:rPr>
            </w:pPr>
            <w:r w:rsidRPr="00BB36CB">
              <w:rPr>
                <w:rFonts w:cs="Arial"/>
                <w:b/>
                <w:bCs/>
                <w:color w:val="FFFFFF" w:themeColor="background1"/>
                <w:sz w:val="20"/>
              </w:rPr>
              <w:t>Quarterly change</w:t>
            </w:r>
            <w:r w:rsidR="00C46A2A">
              <w:rPr>
                <w:rFonts w:cs="Arial"/>
                <w:b/>
                <w:bCs/>
                <w:color w:val="FFFFFF" w:themeColor="background1"/>
                <w:sz w:val="20"/>
              </w:rPr>
              <w:t xml:space="preserve"> </w:t>
            </w:r>
          </w:p>
        </w:tc>
        <w:tc>
          <w:tcPr>
            <w:tcW w:w="1234" w:type="dxa"/>
            <w:tcBorders>
              <w:top w:val="nil"/>
              <w:left w:val="nil"/>
              <w:bottom w:val="nil"/>
              <w:right w:val="nil"/>
            </w:tcBorders>
            <w:shd w:val="clear" w:color="auto" w:fill="441170"/>
            <w:vAlign w:val="center"/>
            <w:hideMark/>
          </w:tcPr>
          <w:p w14:paraId="09EAC720" w14:textId="77777777" w:rsidR="00C14F98" w:rsidRPr="00BB36CB" w:rsidRDefault="00C14F98" w:rsidP="009A57EC">
            <w:pPr>
              <w:jc w:val="center"/>
              <w:rPr>
                <w:rFonts w:cs="Arial"/>
                <w:b/>
                <w:bCs/>
                <w:color w:val="FFFFFF" w:themeColor="background1"/>
                <w:sz w:val="20"/>
              </w:rPr>
            </w:pPr>
            <w:r w:rsidRPr="00BB36CB">
              <w:rPr>
                <w:rFonts w:cs="Arial"/>
                <w:b/>
                <w:bCs/>
                <w:color w:val="FFFFFF" w:themeColor="background1"/>
                <w:sz w:val="20"/>
              </w:rPr>
              <w:t>Quarterly change (%)</w:t>
            </w:r>
          </w:p>
        </w:tc>
        <w:tc>
          <w:tcPr>
            <w:tcW w:w="917" w:type="dxa"/>
            <w:tcBorders>
              <w:top w:val="nil"/>
              <w:left w:val="nil"/>
              <w:bottom w:val="nil"/>
              <w:right w:val="nil"/>
            </w:tcBorders>
            <w:shd w:val="clear" w:color="auto" w:fill="441170"/>
            <w:vAlign w:val="center"/>
            <w:hideMark/>
          </w:tcPr>
          <w:p w14:paraId="0EE5D917" w14:textId="351A129E" w:rsidR="00C14F98" w:rsidRPr="00BB36CB" w:rsidRDefault="00C14F98" w:rsidP="009A57EC">
            <w:pPr>
              <w:jc w:val="center"/>
              <w:rPr>
                <w:rFonts w:cs="Arial"/>
                <w:b/>
                <w:bCs/>
                <w:color w:val="FFFFFF" w:themeColor="background1"/>
                <w:sz w:val="20"/>
              </w:rPr>
            </w:pPr>
            <w:r w:rsidRPr="00BB36CB">
              <w:rPr>
                <w:rFonts w:cs="Arial"/>
                <w:b/>
                <w:bCs/>
                <w:color w:val="FFFFFF" w:themeColor="background1"/>
                <w:sz w:val="20"/>
              </w:rPr>
              <w:t>Annual change</w:t>
            </w:r>
            <w:r w:rsidR="00C46A2A">
              <w:rPr>
                <w:rFonts w:cs="Arial"/>
                <w:b/>
                <w:bCs/>
                <w:color w:val="FFFFFF" w:themeColor="background1"/>
                <w:sz w:val="20"/>
              </w:rPr>
              <w:t xml:space="preserve"> </w:t>
            </w:r>
          </w:p>
        </w:tc>
        <w:tc>
          <w:tcPr>
            <w:tcW w:w="1149" w:type="dxa"/>
            <w:tcBorders>
              <w:top w:val="nil"/>
              <w:left w:val="nil"/>
              <w:bottom w:val="nil"/>
              <w:right w:val="nil"/>
            </w:tcBorders>
            <w:shd w:val="clear" w:color="auto" w:fill="441170"/>
            <w:vAlign w:val="center"/>
            <w:hideMark/>
          </w:tcPr>
          <w:p w14:paraId="22C5FF41" w14:textId="77777777" w:rsidR="00C14F98" w:rsidRPr="00BB36CB" w:rsidRDefault="00C14F98" w:rsidP="009A57EC">
            <w:pPr>
              <w:jc w:val="center"/>
              <w:rPr>
                <w:rFonts w:cs="Arial"/>
                <w:b/>
                <w:bCs/>
                <w:color w:val="FFFFFF" w:themeColor="background1"/>
                <w:sz w:val="20"/>
              </w:rPr>
            </w:pPr>
            <w:r w:rsidRPr="00BB36CB">
              <w:rPr>
                <w:rFonts w:cs="Arial"/>
                <w:b/>
                <w:bCs/>
                <w:color w:val="FFFFFF" w:themeColor="background1"/>
                <w:sz w:val="20"/>
              </w:rPr>
              <w:t>Annual change (%)</w:t>
            </w:r>
          </w:p>
        </w:tc>
      </w:tr>
      <w:tr w:rsidR="00C46A2A" w:rsidRPr="00BB36CB" w14:paraId="5093B6EE" w14:textId="77777777" w:rsidTr="00C46A2A">
        <w:trPr>
          <w:trHeight w:val="300"/>
          <w:jc w:val="center"/>
        </w:trPr>
        <w:tc>
          <w:tcPr>
            <w:tcW w:w="3966" w:type="dxa"/>
            <w:tcBorders>
              <w:top w:val="nil"/>
              <w:left w:val="nil"/>
              <w:bottom w:val="nil"/>
              <w:right w:val="nil"/>
            </w:tcBorders>
            <w:shd w:val="clear" w:color="auto" w:fill="D9D9D9" w:themeFill="background1" w:themeFillShade="D9"/>
            <w:noWrap/>
            <w:hideMark/>
          </w:tcPr>
          <w:p w14:paraId="059B26AA" w14:textId="06F6A4AE" w:rsidR="00C46A2A" w:rsidRPr="00E03E11" w:rsidRDefault="00C46A2A" w:rsidP="00C46A2A">
            <w:pPr>
              <w:rPr>
                <w:rFonts w:cs="Arial"/>
              </w:rPr>
            </w:pPr>
            <w:r w:rsidRPr="00DA4D44">
              <w:t>Agriculture, Forestry and Fishing</w:t>
            </w:r>
          </w:p>
        </w:tc>
        <w:tc>
          <w:tcPr>
            <w:tcW w:w="1158" w:type="dxa"/>
            <w:tcBorders>
              <w:top w:val="nil"/>
              <w:left w:val="nil"/>
              <w:bottom w:val="nil"/>
              <w:right w:val="nil"/>
            </w:tcBorders>
            <w:shd w:val="clear" w:color="auto" w:fill="D9D9D9" w:themeFill="background1" w:themeFillShade="D9"/>
            <w:noWrap/>
            <w:hideMark/>
          </w:tcPr>
          <w:p w14:paraId="2C2705BA" w14:textId="2555F85C" w:rsidR="00C46A2A" w:rsidRPr="00E03E11" w:rsidRDefault="00C46A2A" w:rsidP="00C46A2A">
            <w:pPr>
              <w:jc w:val="center"/>
              <w:rPr>
                <w:rFonts w:cs="Arial"/>
              </w:rPr>
            </w:pPr>
            <w:r w:rsidRPr="00DA4D44">
              <w:t>300.9</w:t>
            </w:r>
          </w:p>
        </w:tc>
        <w:tc>
          <w:tcPr>
            <w:tcW w:w="1073" w:type="dxa"/>
            <w:tcBorders>
              <w:top w:val="nil"/>
              <w:left w:val="nil"/>
              <w:bottom w:val="nil"/>
              <w:right w:val="nil"/>
            </w:tcBorders>
            <w:shd w:val="clear" w:color="auto" w:fill="D9D9D9" w:themeFill="background1" w:themeFillShade="D9"/>
            <w:noWrap/>
            <w:hideMark/>
          </w:tcPr>
          <w:p w14:paraId="70136C5C" w14:textId="367FC2AE" w:rsidR="00C46A2A" w:rsidRPr="00E03E11" w:rsidRDefault="00C46A2A" w:rsidP="00C46A2A">
            <w:pPr>
              <w:jc w:val="center"/>
              <w:rPr>
                <w:rFonts w:cs="Arial"/>
              </w:rPr>
            </w:pPr>
            <w:r w:rsidRPr="00DA4D44">
              <w:t>298.3</w:t>
            </w:r>
          </w:p>
        </w:tc>
        <w:tc>
          <w:tcPr>
            <w:tcW w:w="1122" w:type="dxa"/>
            <w:tcBorders>
              <w:top w:val="nil"/>
              <w:left w:val="nil"/>
              <w:bottom w:val="nil"/>
              <w:right w:val="nil"/>
            </w:tcBorders>
            <w:shd w:val="clear" w:color="auto" w:fill="D9D9D9" w:themeFill="background1" w:themeFillShade="D9"/>
            <w:noWrap/>
            <w:hideMark/>
          </w:tcPr>
          <w:p w14:paraId="343103AD" w14:textId="17E4C6AD" w:rsidR="00C46A2A" w:rsidRPr="00E03E11" w:rsidRDefault="00C46A2A" w:rsidP="00C46A2A">
            <w:pPr>
              <w:jc w:val="center"/>
              <w:rPr>
                <w:rFonts w:cs="Arial"/>
              </w:rPr>
            </w:pPr>
            <w:r w:rsidRPr="00DA4D44">
              <w:t>2.7</w:t>
            </w:r>
          </w:p>
        </w:tc>
        <w:tc>
          <w:tcPr>
            <w:tcW w:w="1234" w:type="dxa"/>
            <w:tcBorders>
              <w:top w:val="nil"/>
              <w:left w:val="nil"/>
              <w:bottom w:val="nil"/>
              <w:right w:val="nil"/>
            </w:tcBorders>
            <w:shd w:val="clear" w:color="auto" w:fill="D9D9D9" w:themeFill="background1" w:themeFillShade="D9"/>
            <w:noWrap/>
            <w:hideMark/>
          </w:tcPr>
          <w:p w14:paraId="5766E03C" w14:textId="188C025C" w:rsidR="00C46A2A" w:rsidRPr="00E03E11" w:rsidRDefault="00C46A2A" w:rsidP="00C46A2A">
            <w:pPr>
              <w:jc w:val="center"/>
              <w:rPr>
                <w:rFonts w:cs="Arial"/>
              </w:rPr>
            </w:pPr>
            <w:r w:rsidRPr="00DA4D44">
              <w:t>0.9</w:t>
            </w:r>
          </w:p>
        </w:tc>
        <w:tc>
          <w:tcPr>
            <w:tcW w:w="917" w:type="dxa"/>
            <w:tcBorders>
              <w:top w:val="nil"/>
              <w:left w:val="nil"/>
              <w:bottom w:val="nil"/>
              <w:right w:val="nil"/>
            </w:tcBorders>
            <w:shd w:val="clear" w:color="auto" w:fill="D9D9D9" w:themeFill="background1" w:themeFillShade="D9"/>
            <w:noWrap/>
            <w:hideMark/>
          </w:tcPr>
          <w:p w14:paraId="20B53637" w14:textId="0483DCE2" w:rsidR="00C46A2A" w:rsidRPr="00E03E11" w:rsidRDefault="00C46A2A" w:rsidP="00C46A2A">
            <w:pPr>
              <w:jc w:val="center"/>
              <w:rPr>
                <w:rFonts w:cs="Arial"/>
              </w:rPr>
            </w:pPr>
            <w:r w:rsidRPr="00DA4D44">
              <w:t>-2.6</w:t>
            </w:r>
          </w:p>
        </w:tc>
        <w:tc>
          <w:tcPr>
            <w:tcW w:w="1149" w:type="dxa"/>
            <w:tcBorders>
              <w:top w:val="nil"/>
              <w:left w:val="nil"/>
              <w:bottom w:val="nil"/>
              <w:right w:val="nil"/>
            </w:tcBorders>
            <w:shd w:val="clear" w:color="auto" w:fill="D9D9D9" w:themeFill="background1" w:themeFillShade="D9"/>
            <w:noWrap/>
            <w:hideMark/>
          </w:tcPr>
          <w:p w14:paraId="62ED9C58" w14:textId="6FCC0E50" w:rsidR="00C46A2A" w:rsidRPr="00E03E11" w:rsidRDefault="00C46A2A" w:rsidP="00C46A2A">
            <w:pPr>
              <w:jc w:val="center"/>
              <w:rPr>
                <w:rFonts w:cs="Arial"/>
              </w:rPr>
            </w:pPr>
            <w:r w:rsidRPr="00DA4D44">
              <w:t>-0.9</w:t>
            </w:r>
          </w:p>
        </w:tc>
      </w:tr>
      <w:tr w:rsidR="00C46A2A" w:rsidRPr="00BB36CB" w14:paraId="6FBF3A93" w14:textId="77777777" w:rsidTr="00C46A2A">
        <w:trPr>
          <w:trHeight w:val="300"/>
          <w:jc w:val="center"/>
        </w:trPr>
        <w:tc>
          <w:tcPr>
            <w:tcW w:w="3966" w:type="dxa"/>
            <w:tcBorders>
              <w:top w:val="nil"/>
              <w:left w:val="nil"/>
              <w:bottom w:val="nil"/>
              <w:right w:val="nil"/>
            </w:tcBorders>
            <w:noWrap/>
            <w:hideMark/>
          </w:tcPr>
          <w:p w14:paraId="4DDDB5EE" w14:textId="042F9887" w:rsidR="00C46A2A" w:rsidRPr="00E03E11" w:rsidRDefault="00C46A2A" w:rsidP="00C46A2A">
            <w:pPr>
              <w:rPr>
                <w:rFonts w:cs="Arial"/>
              </w:rPr>
            </w:pPr>
            <w:r w:rsidRPr="00DA4D44">
              <w:t>Mining</w:t>
            </w:r>
          </w:p>
        </w:tc>
        <w:tc>
          <w:tcPr>
            <w:tcW w:w="1158" w:type="dxa"/>
            <w:tcBorders>
              <w:top w:val="nil"/>
              <w:left w:val="nil"/>
              <w:bottom w:val="nil"/>
              <w:right w:val="nil"/>
            </w:tcBorders>
            <w:noWrap/>
            <w:hideMark/>
          </w:tcPr>
          <w:p w14:paraId="4D9953C3" w14:textId="2F913302" w:rsidR="00C46A2A" w:rsidRPr="00E03E11" w:rsidRDefault="00C46A2A" w:rsidP="00C46A2A">
            <w:pPr>
              <w:jc w:val="center"/>
              <w:rPr>
                <w:rFonts w:cs="Arial"/>
              </w:rPr>
            </w:pPr>
            <w:r w:rsidRPr="00DA4D44">
              <w:t>290.8</w:t>
            </w:r>
          </w:p>
        </w:tc>
        <w:tc>
          <w:tcPr>
            <w:tcW w:w="1073" w:type="dxa"/>
            <w:tcBorders>
              <w:top w:val="nil"/>
              <w:left w:val="nil"/>
              <w:bottom w:val="nil"/>
              <w:right w:val="nil"/>
            </w:tcBorders>
            <w:noWrap/>
            <w:hideMark/>
          </w:tcPr>
          <w:p w14:paraId="0E2F33B0" w14:textId="77E3FB8F" w:rsidR="00C46A2A" w:rsidRPr="00E03E11" w:rsidRDefault="00C46A2A" w:rsidP="00C46A2A">
            <w:pPr>
              <w:jc w:val="center"/>
              <w:rPr>
                <w:rFonts w:cs="Arial"/>
              </w:rPr>
            </w:pPr>
            <w:r w:rsidRPr="00DA4D44">
              <w:t>284.0</w:t>
            </w:r>
          </w:p>
        </w:tc>
        <w:tc>
          <w:tcPr>
            <w:tcW w:w="1122" w:type="dxa"/>
            <w:tcBorders>
              <w:top w:val="nil"/>
              <w:left w:val="nil"/>
              <w:bottom w:val="nil"/>
              <w:right w:val="nil"/>
            </w:tcBorders>
            <w:noWrap/>
            <w:hideMark/>
          </w:tcPr>
          <w:p w14:paraId="43DEA43B" w14:textId="4B90A365" w:rsidR="00C46A2A" w:rsidRPr="00E03E11" w:rsidRDefault="00C46A2A" w:rsidP="00C46A2A">
            <w:pPr>
              <w:jc w:val="center"/>
              <w:rPr>
                <w:rFonts w:cs="Arial"/>
              </w:rPr>
            </w:pPr>
            <w:r w:rsidRPr="00DA4D44">
              <w:t>6.8</w:t>
            </w:r>
          </w:p>
        </w:tc>
        <w:tc>
          <w:tcPr>
            <w:tcW w:w="1234" w:type="dxa"/>
            <w:tcBorders>
              <w:top w:val="nil"/>
              <w:left w:val="nil"/>
              <w:bottom w:val="nil"/>
              <w:right w:val="nil"/>
            </w:tcBorders>
            <w:noWrap/>
            <w:hideMark/>
          </w:tcPr>
          <w:p w14:paraId="4F4F353D" w14:textId="5735D5F8" w:rsidR="00C46A2A" w:rsidRPr="00E03E11" w:rsidRDefault="00C46A2A" w:rsidP="00C46A2A">
            <w:pPr>
              <w:jc w:val="center"/>
              <w:rPr>
                <w:rFonts w:cs="Arial"/>
              </w:rPr>
            </w:pPr>
            <w:r w:rsidRPr="00DA4D44">
              <w:t>2.4</w:t>
            </w:r>
          </w:p>
        </w:tc>
        <w:tc>
          <w:tcPr>
            <w:tcW w:w="917" w:type="dxa"/>
            <w:tcBorders>
              <w:top w:val="nil"/>
              <w:left w:val="nil"/>
              <w:bottom w:val="nil"/>
              <w:right w:val="nil"/>
            </w:tcBorders>
            <w:noWrap/>
            <w:hideMark/>
          </w:tcPr>
          <w:p w14:paraId="2CBA3BC7" w14:textId="0E35B543" w:rsidR="00C46A2A" w:rsidRPr="00E03E11" w:rsidRDefault="00C46A2A" w:rsidP="00C46A2A">
            <w:pPr>
              <w:jc w:val="center"/>
              <w:rPr>
                <w:rFonts w:cs="Arial"/>
              </w:rPr>
            </w:pPr>
            <w:r w:rsidRPr="00DA4D44">
              <w:t>-0.6</w:t>
            </w:r>
          </w:p>
        </w:tc>
        <w:tc>
          <w:tcPr>
            <w:tcW w:w="1149" w:type="dxa"/>
            <w:tcBorders>
              <w:top w:val="nil"/>
              <w:left w:val="nil"/>
              <w:bottom w:val="nil"/>
              <w:right w:val="nil"/>
            </w:tcBorders>
            <w:noWrap/>
            <w:hideMark/>
          </w:tcPr>
          <w:p w14:paraId="7F941A3B" w14:textId="2E797061" w:rsidR="00C46A2A" w:rsidRPr="00E03E11" w:rsidRDefault="00C46A2A" w:rsidP="00C46A2A">
            <w:pPr>
              <w:jc w:val="center"/>
              <w:rPr>
                <w:rFonts w:cs="Arial"/>
              </w:rPr>
            </w:pPr>
            <w:r w:rsidRPr="00DA4D44">
              <w:t>-0.2</w:t>
            </w:r>
          </w:p>
        </w:tc>
      </w:tr>
      <w:tr w:rsidR="00C46A2A" w:rsidRPr="00BB36CB" w14:paraId="626B2871" w14:textId="77777777" w:rsidTr="00C46A2A">
        <w:trPr>
          <w:trHeight w:val="300"/>
          <w:jc w:val="center"/>
        </w:trPr>
        <w:tc>
          <w:tcPr>
            <w:tcW w:w="3966" w:type="dxa"/>
            <w:tcBorders>
              <w:top w:val="nil"/>
              <w:left w:val="nil"/>
              <w:bottom w:val="nil"/>
              <w:right w:val="nil"/>
            </w:tcBorders>
            <w:shd w:val="clear" w:color="auto" w:fill="D9D9D9" w:themeFill="background1" w:themeFillShade="D9"/>
            <w:noWrap/>
            <w:hideMark/>
          </w:tcPr>
          <w:p w14:paraId="1636FE09" w14:textId="39FA1539" w:rsidR="00C46A2A" w:rsidRPr="00E03E11" w:rsidRDefault="00C46A2A" w:rsidP="00C46A2A">
            <w:pPr>
              <w:rPr>
                <w:rFonts w:cs="Arial"/>
              </w:rPr>
            </w:pPr>
            <w:r w:rsidRPr="00DA4D44">
              <w:t>Manufacturing</w:t>
            </w:r>
          </w:p>
        </w:tc>
        <w:tc>
          <w:tcPr>
            <w:tcW w:w="1158" w:type="dxa"/>
            <w:tcBorders>
              <w:top w:val="nil"/>
              <w:left w:val="nil"/>
              <w:bottom w:val="nil"/>
              <w:right w:val="nil"/>
            </w:tcBorders>
            <w:shd w:val="clear" w:color="auto" w:fill="D9D9D9" w:themeFill="background1" w:themeFillShade="D9"/>
            <w:noWrap/>
            <w:hideMark/>
          </w:tcPr>
          <w:p w14:paraId="56BC50A5" w14:textId="6F10CF3F" w:rsidR="00C46A2A" w:rsidRPr="00E03E11" w:rsidRDefault="00C46A2A" w:rsidP="00C46A2A">
            <w:pPr>
              <w:jc w:val="center"/>
              <w:rPr>
                <w:rFonts w:cs="Arial"/>
              </w:rPr>
            </w:pPr>
            <w:r w:rsidRPr="00DA4D44">
              <w:t>870.7</w:t>
            </w:r>
          </w:p>
        </w:tc>
        <w:tc>
          <w:tcPr>
            <w:tcW w:w="1073" w:type="dxa"/>
            <w:tcBorders>
              <w:top w:val="nil"/>
              <w:left w:val="nil"/>
              <w:bottom w:val="nil"/>
              <w:right w:val="nil"/>
            </w:tcBorders>
            <w:shd w:val="clear" w:color="auto" w:fill="D9D9D9" w:themeFill="background1" w:themeFillShade="D9"/>
            <w:noWrap/>
            <w:hideMark/>
          </w:tcPr>
          <w:p w14:paraId="116EBEAF" w14:textId="5350CB8E" w:rsidR="00C46A2A" w:rsidRPr="00E03E11" w:rsidRDefault="00C46A2A" w:rsidP="00C46A2A">
            <w:pPr>
              <w:jc w:val="center"/>
              <w:rPr>
                <w:rFonts w:cs="Arial"/>
              </w:rPr>
            </w:pPr>
            <w:r w:rsidRPr="00DA4D44">
              <w:t>875.4</w:t>
            </w:r>
          </w:p>
        </w:tc>
        <w:tc>
          <w:tcPr>
            <w:tcW w:w="1122" w:type="dxa"/>
            <w:tcBorders>
              <w:top w:val="nil"/>
              <w:left w:val="nil"/>
              <w:bottom w:val="nil"/>
              <w:right w:val="nil"/>
            </w:tcBorders>
            <w:shd w:val="clear" w:color="auto" w:fill="D9D9D9" w:themeFill="background1" w:themeFillShade="D9"/>
            <w:noWrap/>
            <w:hideMark/>
          </w:tcPr>
          <w:p w14:paraId="6095F2E6" w14:textId="0DEDF94E" w:rsidR="00C46A2A" w:rsidRPr="00E03E11" w:rsidRDefault="00C46A2A" w:rsidP="00C46A2A">
            <w:pPr>
              <w:jc w:val="center"/>
              <w:rPr>
                <w:rFonts w:cs="Arial"/>
              </w:rPr>
            </w:pPr>
            <w:r w:rsidRPr="00DA4D44">
              <w:t>-4.7</w:t>
            </w:r>
          </w:p>
        </w:tc>
        <w:tc>
          <w:tcPr>
            <w:tcW w:w="1234" w:type="dxa"/>
            <w:tcBorders>
              <w:top w:val="nil"/>
              <w:left w:val="nil"/>
              <w:bottom w:val="nil"/>
              <w:right w:val="nil"/>
            </w:tcBorders>
            <w:shd w:val="clear" w:color="auto" w:fill="D9D9D9" w:themeFill="background1" w:themeFillShade="D9"/>
            <w:noWrap/>
            <w:hideMark/>
          </w:tcPr>
          <w:p w14:paraId="73944BA6" w14:textId="7BA09BA0" w:rsidR="00C46A2A" w:rsidRPr="00E03E11" w:rsidRDefault="00C46A2A" w:rsidP="00C46A2A">
            <w:pPr>
              <w:jc w:val="center"/>
              <w:rPr>
                <w:rFonts w:cs="Arial"/>
              </w:rPr>
            </w:pPr>
            <w:r w:rsidRPr="00DA4D44">
              <w:t>-0.5</w:t>
            </w:r>
          </w:p>
        </w:tc>
        <w:tc>
          <w:tcPr>
            <w:tcW w:w="917" w:type="dxa"/>
            <w:tcBorders>
              <w:top w:val="nil"/>
              <w:left w:val="nil"/>
              <w:bottom w:val="nil"/>
              <w:right w:val="nil"/>
            </w:tcBorders>
            <w:shd w:val="clear" w:color="auto" w:fill="D9D9D9" w:themeFill="background1" w:themeFillShade="D9"/>
            <w:noWrap/>
            <w:hideMark/>
          </w:tcPr>
          <w:p w14:paraId="1B27274D" w14:textId="3B8EFFE3" w:rsidR="00C46A2A" w:rsidRPr="00E03E11" w:rsidRDefault="00C46A2A" w:rsidP="00C46A2A">
            <w:pPr>
              <w:jc w:val="center"/>
              <w:rPr>
                <w:rFonts w:cs="Arial"/>
              </w:rPr>
            </w:pPr>
            <w:r w:rsidRPr="00DA4D44">
              <w:t>16.4</w:t>
            </w:r>
          </w:p>
        </w:tc>
        <w:tc>
          <w:tcPr>
            <w:tcW w:w="1149" w:type="dxa"/>
            <w:tcBorders>
              <w:top w:val="nil"/>
              <w:left w:val="nil"/>
              <w:bottom w:val="nil"/>
              <w:right w:val="nil"/>
            </w:tcBorders>
            <w:shd w:val="clear" w:color="auto" w:fill="D9D9D9" w:themeFill="background1" w:themeFillShade="D9"/>
            <w:noWrap/>
            <w:hideMark/>
          </w:tcPr>
          <w:p w14:paraId="481B8286" w14:textId="048896F0" w:rsidR="00C46A2A" w:rsidRPr="00E03E11" w:rsidRDefault="00C46A2A" w:rsidP="00C46A2A">
            <w:pPr>
              <w:jc w:val="center"/>
              <w:rPr>
                <w:rFonts w:cs="Arial"/>
              </w:rPr>
            </w:pPr>
            <w:r w:rsidRPr="00DA4D44">
              <w:t>1.9</w:t>
            </w:r>
          </w:p>
        </w:tc>
      </w:tr>
      <w:tr w:rsidR="00C46A2A" w:rsidRPr="00BB36CB" w14:paraId="567F9245" w14:textId="77777777" w:rsidTr="00C46A2A">
        <w:trPr>
          <w:trHeight w:val="300"/>
          <w:jc w:val="center"/>
        </w:trPr>
        <w:tc>
          <w:tcPr>
            <w:tcW w:w="3966" w:type="dxa"/>
            <w:tcBorders>
              <w:top w:val="nil"/>
              <w:left w:val="nil"/>
              <w:bottom w:val="nil"/>
              <w:right w:val="nil"/>
            </w:tcBorders>
            <w:noWrap/>
            <w:hideMark/>
          </w:tcPr>
          <w:p w14:paraId="43FB681E" w14:textId="04429C7D" w:rsidR="00C46A2A" w:rsidRPr="00E03E11" w:rsidRDefault="00C46A2A" w:rsidP="00C46A2A">
            <w:pPr>
              <w:rPr>
                <w:rFonts w:cs="Arial"/>
              </w:rPr>
            </w:pPr>
            <w:r w:rsidRPr="00DA4D44">
              <w:t>Electricity, Gas, Water and Waste Services</w:t>
            </w:r>
          </w:p>
        </w:tc>
        <w:tc>
          <w:tcPr>
            <w:tcW w:w="1158" w:type="dxa"/>
            <w:tcBorders>
              <w:top w:val="nil"/>
              <w:left w:val="nil"/>
              <w:bottom w:val="nil"/>
              <w:right w:val="nil"/>
            </w:tcBorders>
            <w:noWrap/>
            <w:hideMark/>
          </w:tcPr>
          <w:p w14:paraId="1ED62469" w14:textId="0691E8BB" w:rsidR="00C46A2A" w:rsidRPr="00E03E11" w:rsidRDefault="00C46A2A" w:rsidP="00C46A2A">
            <w:pPr>
              <w:jc w:val="center"/>
              <w:rPr>
                <w:rFonts w:cs="Arial"/>
              </w:rPr>
            </w:pPr>
            <w:r w:rsidRPr="00DA4D44">
              <w:t>163.4</w:t>
            </w:r>
          </w:p>
        </w:tc>
        <w:tc>
          <w:tcPr>
            <w:tcW w:w="1073" w:type="dxa"/>
            <w:tcBorders>
              <w:top w:val="nil"/>
              <w:left w:val="nil"/>
              <w:bottom w:val="nil"/>
              <w:right w:val="nil"/>
            </w:tcBorders>
            <w:noWrap/>
            <w:hideMark/>
          </w:tcPr>
          <w:p w14:paraId="183F9DFF" w14:textId="7D8B26EF" w:rsidR="00C46A2A" w:rsidRPr="00E03E11" w:rsidRDefault="00C46A2A" w:rsidP="00C46A2A">
            <w:pPr>
              <w:jc w:val="center"/>
              <w:rPr>
                <w:rFonts w:cs="Arial"/>
              </w:rPr>
            </w:pPr>
            <w:r w:rsidRPr="00DA4D44">
              <w:t>165.1</w:t>
            </w:r>
          </w:p>
        </w:tc>
        <w:tc>
          <w:tcPr>
            <w:tcW w:w="1122" w:type="dxa"/>
            <w:tcBorders>
              <w:top w:val="nil"/>
              <w:left w:val="nil"/>
              <w:bottom w:val="nil"/>
              <w:right w:val="nil"/>
            </w:tcBorders>
            <w:noWrap/>
            <w:hideMark/>
          </w:tcPr>
          <w:p w14:paraId="5B9D0EE9" w14:textId="60C5B0CF" w:rsidR="00C46A2A" w:rsidRPr="00E03E11" w:rsidRDefault="00C46A2A" w:rsidP="00C46A2A">
            <w:pPr>
              <w:jc w:val="center"/>
              <w:rPr>
                <w:rFonts w:cs="Arial"/>
              </w:rPr>
            </w:pPr>
            <w:r w:rsidRPr="00DA4D44">
              <w:t>-1.7</w:t>
            </w:r>
          </w:p>
        </w:tc>
        <w:tc>
          <w:tcPr>
            <w:tcW w:w="1234" w:type="dxa"/>
            <w:tcBorders>
              <w:top w:val="nil"/>
              <w:left w:val="nil"/>
              <w:bottom w:val="nil"/>
              <w:right w:val="nil"/>
            </w:tcBorders>
            <w:noWrap/>
            <w:hideMark/>
          </w:tcPr>
          <w:p w14:paraId="3351E13A" w14:textId="3B98A04C" w:rsidR="00C46A2A" w:rsidRPr="00E03E11" w:rsidRDefault="00C46A2A" w:rsidP="00C46A2A">
            <w:pPr>
              <w:jc w:val="center"/>
              <w:rPr>
                <w:rFonts w:cs="Arial"/>
              </w:rPr>
            </w:pPr>
            <w:r w:rsidRPr="00DA4D44">
              <w:t>-1.0</w:t>
            </w:r>
          </w:p>
        </w:tc>
        <w:tc>
          <w:tcPr>
            <w:tcW w:w="917" w:type="dxa"/>
            <w:tcBorders>
              <w:top w:val="nil"/>
              <w:left w:val="nil"/>
              <w:bottom w:val="nil"/>
              <w:right w:val="nil"/>
            </w:tcBorders>
            <w:noWrap/>
            <w:hideMark/>
          </w:tcPr>
          <w:p w14:paraId="673A4D14" w14:textId="62F8CD14" w:rsidR="00C46A2A" w:rsidRPr="00E03E11" w:rsidRDefault="00C46A2A" w:rsidP="00C46A2A">
            <w:pPr>
              <w:jc w:val="center"/>
              <w:rPr>
                <w:rFonts w:cs="Arial"/>
              </w:rPr>
            </w:pPr>
            <w:r w:rsidRPr="00DA4D44">
              <w:t>-3.5</w:t>
            </w:r>
          </w:p>
        </w:tc>
        <w:tc>
          <w:tcPr>
            <w:tcW w:w="1149" w:type="dxa"/>
            <w:tcBorders>
              <w:top w:val="nil"/>
              <w:left w:val="nil"/>
              <w:bottom w:val="nil"/>
              <w:right w:val="nil"/>
            </w:tcBorders>
            <w:noWrap/>
            <w:hideMark/>
          </w:tcPr>
          <w:p w14:paraId="42ABDE65" w14:textId="2641135D" w:rsidR="00C46A2A" w:rsidRPr="00E03E11" w:rsidRDefault="00C46A2A" w:rsidP="00C46A2A">
            <w:pPr>
              <w:jc w:val="center"/>
              <w:rPr>
                <w:rFonts w:cs="Arial"/>
              </w:rPr>
            </w:pPr>
            <w:r w:rsidRPr="00DA4D44">
              <w:t>-2.1</w:t>
            </w:r>
          </w:p>
        </w:tc>
      </w:tr>
      <w:tr w:rsidR="00C46A2A" w:rsidRPr="00BB36CB" w14:paraId="5E9CC932" w14:textId="77777777" w:rsidTr="00C46A2A">
        <w:trPr>
          <w:trHeight w:val="300"/>
          <w:jc w:val="center"/>
        </w:trPr>
        <w:tc>
          <w:tcPr>
            <w:tcW w:w="3966" w:type="dxa"/>
            <w:tcBorders>
              <w:top w:val="nil"/>
              <w:left w:val="nil"/>
              <w:bottom w:val="nil"/>
              <w:right w:val="nil"/>
            </w:tcBorders>
            <w:shd w:val="clear" w:color="auto" w:fill="D9D9D9" w:themeFill="background1" w:themeFillShade="D9"/>
            <w:noWrap/>
            <w:hideMark/>
          </w:tcPr>
          <w:p w14:paraId="771B4924" w14:textId="2D1A0FB7" w:rsidR="00C46A2A" w:rsidRPr="00E03E11" w:rsidRDefault="00C46A2A" w:rsidP="00C46A2A">
            <w:pPr>
              <w:rPr>
                <w:rFonts w:cs="Arial"/>
              </w:rPr>
            </w:pPr>
            <w:r w:rsidRPr="00DA4D44">
              <w:t>Construction</w:t>
            </w:r>
          </w:p>
        </w:tc>
        <w:tc>
          <w:tcPr>
            <w:tcW w:w="1158" w:type="dxa"/>
            <w:tcBorders>
              <w:top w:val="nil"/>
              <w:left w:val="nil"/>
              <w:bottom w:val="nil"/>
              <w:right w:val="nil"/>
            </w:tcBorders>
            <w:shd w:val="clear" w:color="auto" w:fill="D9D9D9" w:themeFill="background1" w:themeFillShade="D9"/>
            <w:noWrap/>
            <w:hideMark/>
          </w:tcPr>
          <w:p w14:paraId="6CD1CF61" w14:textId="47F56F80" w:rsidR="00C46A2A" w:rsidRPr="00E03E11" w:rsidRDefault="00C46A2A" w:rsidP="00C46A2A">
            <w:pPr>
              <w:jc w:val="center"/>
              <w:rPr>
                <w:rFonts w:cs="Arial"/>
              </w:rPr>
            </w:pPr>
            <w:r w:rsidRPr="00DA4D44">
              <w:t>1,322.1</w:t>
            </w:r>
          </w:p>
        </w:tc>
        <w:tc>
          <w:tcPr>
            <w:tcW w:w="1073" w:type="dxa"/>
            <w:tcBorders>
              <w:top w:val="nil"/>
              <w:left w:val="nil"/>
              <w:bottom w:val="nil"/>
              <w:right w:val="nil"/>
            </w:tcBorders>
            <w:shd w:val="clear" w:color="auto" w:fill="D9D9D9" w:themeFill="background1" w:themeFillShade="D9"/>
            <w:noWrap/>
            <w:hideMark/>
          </w:tcPr>
          <w:p w14:paraId="480DAC42" w14:textId="3940B98A" w:rsidR="00C46A2A" w:rsidRPr="00E03E11" w:rsidRDefault="00C46A2A" w:rsidP="00C46A2A">
            <w:pPr>
              <w:jc w:val="center"/>
              <w:rPr>
                <w:rFonts w:cs="Arial"/>
              </w:rPr>
            </w:pPr>
            <w:r w:rsidRPr="00DA4D44">
              <w:t>1,294.5</w:t>
            </w:r>
          </w:p>
        </w:tc>
        <w:tc>
          <w:tcPr>
            <w:tcW w:w="1122" w:type="dxa"/>
            <w:tcBorders>
              <w:top w:val="nil"/>
              <w:left w:val="nil"/>
              <w:bottom w:val="nil"/>
              <w:right w:val="nil"/>
            </w:tcBorders>
            <w:shd w:val="clear" w:color="auto" w:fill="D9D9D9" w:themeFill="background1" w:themeFillShade="D9"/>
            <w:noWrap/>
            <w:hideMark/>
          </w:tcPr>
          <w:p w14:paraId="4F9628BB" w14:textId="31E20460" w:rsidR="00C46A2A" w:rsidRPr="00E03E11" w:rsidRDefault="00C46A2A" w:rsidP="00C46A2A">
            <w:pPr>
              <w:jc w:val="center"/>
              <w:rPr>
                <w:rFonts w:cs="Arial"/>
              </w:rPr>
            </w:pPr>
            <w:r w:rsidRPr="00DA4D44">
              <w:t>27.6</w:t>
            </w:r>
          </w:p>
        </w:tc>
        <w:tc>
          <w:tcPr>
            <w:tcW w:w="1234" w:type="dxa"/>
            <w:tcBorders>
              <w:top w:val="nil"/>
              <w:left w:val="nil"/>
              <w:bottom w:val="nil"/>
              <w:right w:val="nil"/>
            </w:tcBorders>
            <w:shd w:val="clear" w:color="auto" w:fill="D9D9D9" w:themeFill="background1" w:themeFillShade="D9"/>
            <w:noWrap/>
            <w:hideMark/>
          </w:tcPr>
          <w:p w14:paraId="4EA57615" w14:textId="7F4AA896" w:rsidR="00C46A2A" w:rsidRPr="00E03E11" w:rsidRDefault="00C46A2A" w:rsidP="00C46A2A">
            <w:pPr>
              <w:jc w:val="center"/>
              <w:rPr>
                <w:rFonts w:cs="Arial"/>
              </w:rPr>
            </w:pPr>
            <w:r w:rsidRPr="00DA4D44">
              <w:t>2.1</w:t>
            </w:r>
          </w:p>
        </w:tc>
        <w:tc>
          <w:tcPr>
            <w:tcW w:w="917" w:type="dxa"/>
            <w:tcBorders>
              <w:top w:val="nil"/>
              <w:left w:val="nil"/>
              <w:bottom w:val="nil"/>
              <w:right w:val="nil"/>
            </w:tcBorders>
            <w:shd w:val="clear" w:color="auto" w:fill="D9D9D9" w:themeFill="background1" w:themeFillShade="D9"/>
            <w:noWrap/>
            <w:hideMark/>
          </w:tcPr>
          <w:p w14:paraId="3CAFEFE7" w14:textId="23DDCC34" w:rsidR="00C46A2A" w:rsidRPr="00E03E11" w:rsidRDefault="00C46A2A" w:rsidP="00C46A2A">
            <w:pPr>
              <w:jc w:val="center"/>
              <w:rPr>
                <w:rFonts w:cs="Arial"/>
              </w:rPr>
            </w:pPr>
            <w:r w:rsidRPr="00DA4D44">
              <w:t>146.2</w:t>
            </w:r>
          </w:p>
        </w:tc>
        <w:tc>
          <w:tcPr>
            <w:tcW w:w="1149" w:type="dxa"/>
            <w:tcBorders>
              <w:top w:val="nil"/>
              <w:left w:val="nil"/>
              <w:bottom w:val="nil"/>
              <w:right w:val="nil"/>
            </w:tcBorders>
            <w:shd w:val="clear" w:color="auto" w:fill="D9D9D9" w:themeFill="background1" w:themeFillShade="D9"/>
            <w:noWrap/>
            <w:hideMark/>
          </w:tcPr>
          <w:p w14:paraId="44933674" w14:textId="19DC4FFF" w:rsidR="00C46A2A" w:rsidRPr="00E03E11" w:rsidRDefault="00C46A2A" w:rsidP="00C46A2A">
            <w:pPr>
              <w:jc w:val="center"/>
              <w:rPr>
                <w:rFonts w:cs="Arial"/>
              </w:rPr>
            </w:pPr>
            <w:r w:rsidRPr="00DA4D44">
              <w:t>12.4</w:t>
            </w:r>
          </w:p>
        </w:tc>
      </w:tr>
      <w:tr w:rsidR="00C46A2A" w:rsidRPr="00BB36CB" w14:paraId="7F22647E" w14:textId="77777777" w:rsidTr="00C46A2A">
        <w:trPr>
          <w:trHeight w:val="300"/>
          <w:jc w:val="center"/>
        </w:trPr>
        <w:tc>
          <w:tcPr>
            <w:tcW w:w="3966" w:type="dxa"/>
            <w:tcBorders>
              <w:top w:val="nil"/>
              <w:left w:val="nil"/>
              <w:bottom w:val="nil"/>
              <w:right w:val="nil"/>
            </w:tcBorders>
            <w:noWrap/>
            <w:hideMark/>
          </w:tcPr>
          <w:p w14:paraId="3FDF60D3" w14:textId="6F967ED8" w:rsidR="00C46A2A" w:rsidRPr="00E03E11" w:rsidRDefault="00C46A2A" w:rsidP="00C46A2A">
            <w:pPr>
              <w:rPr>
                <w:rFonts w:cs="Arial"/>
              </w:rPr>
            </w:pPr>
            <w:r w:rsidRPr="00DA4D44">
              <w:t>Wholesale Trade</w:t>
            </w:r>
          </w:p>
        </w:tc>
        <w:tc>
          <w:tcPr>
            <w:tcW w:w="1158" w:type="dxa"/>
            <w:tcBorders>
              <w:top w:val="nil"/>
              <w:left w:val="nil"/>
              <w:bottom w:val="nil"/>
              <w:right w:val="nil"/>
            </w:tcBorders>
            <w:noWrap/>
            <w:hideMark/>
          </w:tcPr>
          <w:p w14:paraId="77925A70" w14:textId="6ECAC2FD" w:rsidR="00C46A2A" w:rsidRPr="00E03E11" w:rsidRDefault="00C46A2A" w:rsidP="00C46A2A">
            <w:pPr>
              <w:jc w:val="center"/>
              <w:rPr>
                <w:rFonts w:cs="Arial"/>
              </w:rPr>
            </w:pPr>
            <w:r w:rsidRPr="00DA4D44">
              <w:t>355.7</w:t>
            </w:r>
          </w:p>
        </w:tc>
        <w:tc>
          <w:tcPr>
            <w:tcW w:w="1073" w:type="dxa"/>
            <w:tcBorders>
              <w:top w:val="nil"/>
              <w:left w:val="nil"/>
              <w:bottom w:val="nil"/>
              <w:right w:val="nil"/>
            </w:tcBorders>
            <w:noWrap/>
            <w:hideMark/>
          </w:tcPr>
          <w:p w14:paraId="44A46815" w14:textId="782B791B" w:rsidR="00C46A2A" w:rsidRPr="00E03E11" w:rsidRDefault="00C46A2A" w:rsidP="00C46A2A">
            <w:pPr>
              <w:jc w:val="center"/>
              <w:rPr>
                <w:rFonts w:cs="Arial"/>
              </w:rPr>
            </w:pPr>
            <w:r w:rsidRPr="00DA4D44">
              <w:t>347.5</w:t>
            </w:r>
          </w:p>
        </w:tc>
        <w:tc>
          <w:tcPr>
            <w:tcW w:w="1122" w:type="dxa"/>
            <w:tcBorders>
              <w:top w:val="nil"/>
              <w:left w:val="nil"/>
              <w:bottom w:val="nil"/>
              <w:right w:val="nil"/>
            </w:tcBorders>
            <w:noWrap/>
            <w:hideMark/>
          </w:tcPr>
          <w:p w14:paraId="7239CEF5" w14:textId="30C5AA1D" w:rsidR="00C46A2A" w:rsidRPr="00E03E11" w:rsidRDefault="00C46A2A" w:rsidP="00C46A2A">
            <w:pPr>
              <w:jc w:val="center"/>
              <w:rPr>
                <w:rFonts w:cs="Arial"/>
              </w:rPr>
            </w:pPr>
            <w:r w:rsidRPr="00DA4D44">
              <w:t>8.2</w:t>
            </w:r>
          </w:p>
        </w:tc>
        <w:tc>
          <w:tcPr>
            <w:tcW w:w="1234" w:type="dxa"/>
            <w:tcBorders>
              <w:top w:val="nil"/>
              <w:left w:val="nil"/>
              <w:bottom w:val="nil"/>
              <w:right w:val="nil"/>
            </w:tcBorders>
            <w:noWrap/>
            <w:hideMark/>
          </w:tcPr>
          <w:p w14:paraId="2EC58B56" w14:textId="0DBCF593" w:rsidR="00C46A2A" w:rsidRPr="00E03E11" w:rsidRDefault="00C46A2A" w:rsidP="00C46A2A">
            <w:pPr>
              <w:jc w:val="center"/>
              <w:rPr>
                <w:rFonts w:cs="Arial"/>
              </w:rPr>
            </w:pPr>
            <w:r w:rsidRPr="00DA4D44">
              <w:t>2.4</w:t>
            </w:r>
          </w:p>
        </w:tc>
        <w:tc>
          <w:tcPr>
            <w:tcW w:w="917" w:type="dxa"/>
            <w:tcBorders>
              <w:top w:val="nil"/>
              <w:left w:val="nil"/>
              <w:bottom w:val="nil"/>
              <w:right w:val="nil"/>
            </w:tcBorders>
            <w:noWrap/>
            <w:hideMark/>
          </w:tcPr>
          <w:p w14:paraId="6B7F1F4E" w14:textId="369F3624" w:rsidR="00C46A2A" w:rsidRPr="00E03E11" w:rsidRDefault="00C46A2A" w:rsidP="00C46A2A">
            <w:pPr>
              <w:jc w:val="center"/>
              <w:rPr>
                <w:rFonts w:cs="Arial"/>
              </w:rPr>
            </w:pPr>
            <w:r w:rsidRPr="00DA4D44">
              <w:t>25.7</w:t>
            </w:r>
          </w:p>
        </w:tc>
        <w:tc>
          <w:tcPr>
            <w:tcW w:w="1149" w:type="dxa"/>
            <w:tcBorders>
              <w:top w:val="nil"/>
              <w:left w:val="nil"/>
              <w:bottom w:val="nil"/>
              <w:right w:val="nil"/>
            </w:tcBorders>
            <w:noWrap/>
            <w:hideMark/>
          </w:tcPr>
          <w:p w14:paraId="06E0F4F7" w14:textId="5B23B4BA" w:rsidR="00C46A2A" w:rsidRPr="00E03E11" w:rsidRDefault="00C46A2A" w:rsidP="00C46A2A">
            <w:pPr>
              <w:jc w:val="center"/>
              <w:rPr>
                <w:rFonts w:cs="Arial"/>
              </w:rPr>
            </w:pPr>
            <w:r w:rsidRPr="00DA4D44">
              <w:t>7.8</w:t>
            </w:r>
          </w:p>
        </w:tc>
      </w:tr>
      <w:tr w:rsidR="00C46A2A" w:rsidRPr="00BB36CB" w14:paraId="467CF833" w14:textId="77777777" w:rsidTr="00C46A2A">
        <w:trPr>
          <w:trHeight w:val="300"/>
          <w:jc w:val="center"/>
        </w:trPr>
        <w:tc>
          <w:tcPr>
            <w:tcW w:w="3966" w:type="dxa"/>
            <w:tcBorders>
              <w:top w:val="nil"/>
              <w:left w:val="nil"/>
              <w:bottom w:val="nil"/>
              <w:right w:val="nil"/>
            </w:tcBorders>
            <w:shd w:val="clear" w:color="auto" w:fill="D9D9D9" w:themeFill="background1" w:themeFillShade="D9"/>
            <w:noWrap/>
            <w:hideMark/>
          </w:tcPr>
          <w:p w14:paraId="657641E3" w14:textId="3D0D6283" w:rsidR="00C46A2A" w:rsidRPr="00E03E11" w:rsidRDefault="00C46A2A" w:rsidP="00C46A2A">
            <w:pPr>
              <w:rPr>
                <w:rFonts w:cs="Arial"/>
              </w:rPr>
            </w:pPr>
            <w:r w:rsidRPr="00DA4D44">
              <w:t>Retail Trade</w:t>
            </w:r>
          </w:p>
        </w:tc>
        <w:tc>
          <w:tcPr>
            <w:tcW w:w="1158" w:type="dxa"/>
            <w:tcBorders>
              <w:top w:val="nil"/>
              <w:left w:val="nil"/>
              <w:bottom w:val="nil"/>
              <w:right w:val="nil"/>
            </w:tcBorders>
            <w:shd w:val="clear" w:color="auto" w:fill="D9D9D9" w:themeFill="background1" w:themeFillShade="D9"/>
            <w:noWrap/>
            <w:hideMark/>
          </w:tcPr>
          <w:p w14:paraId="04CA9515" w14:textId="37BD067C" w:rsidR="00C46A2A" w:rsidRPr="00E03E11" w:rsidRDefault="00C46A2A" w:rsidP="00C46A2A">
            <w:pPr>
              <w:jc w:val="center"/>
              <w:rPr>
                <w:rFonts w:cs="Arial"/>
              </w:rPr>
            </w:pPr>
            <w:r w:rsidRPr="00DA4D44">
              <w:t>1,359.3</w:t>
            </w:r>
          </w:p>
        </w:tc>
        <w:tc>
          <w:tcPr>
            <w:tcW w:w="1073" w:type="dxa"/>
            <w:tcBorders>
              <w:top w:val="nil"/>
              <w:left w:val="nil"/>
              <w:bottom w:val="nil"/>
              <w:right w:val="nil"/>
            </w:tcBorders>
            <w:shd w:val="clear" w:color="auto" w:fill="D9D9D9" w:themeFill="background1" w:themeFillShade="D9"/>
            <w:noWrap/>
            <w:hideMark/>
          </w:tcPr>
          <w:p w14:paraId="6AC60484" w14:textId="6C0A5385" w:rsidR="00C46A2A" w:rsidRPr="00E03E11" w:rsidRDefault="00C46A2A" w:rsidP="00C46A2A">
            <w:pPr>
              <w:jc w:val="center"/>
              <w:rPr>
                <w:rFonts w:cs="Arial"/>
              </w:rPr>
            </w:pPr>
            <w:r w:rsidRPr="00DA4D44">
              <w:t>1,338.9</w:t>
            </w:r>
          </w:p>
        </w:tc>
        <w:tc>
          <w:tcPr>
            <w:tcW w:w="1122" w:type="dxa"/>
            <w:tcBorders>
              <w:top w:val="nil"/>
              <w:left w:val="nil"/>
              <w:bottom w:val="nil"/>
              <w:right w:val="nil"/>
            </w:tcBorders>
            <w:shd w:val="clear" w:color="auto" w:fill="D9D9D9" w:themeFill="background1" w:themeFillShade="D9"/>
            <w:noWrap/>
            <w:hideMark/>
          </w:tcPr>
          <w:p w14:paraId="49A83D81" w14:textId="38F00B19" w:rsidR="00C46A2A" w:rsidRPr="00E03E11" w:rsidRDefault="00C46A2A" w:rsidP="00C46A2A">
            <w:pPr>
              <w:jc w:val="center"/>
              <w:rPr>
                <w:rFonts w:cs="Arial"/>
              </w:rPr>
            </w:pPr>
            <w:r w:rsidRPr="00DA4D44">
              <w:t>20.4</w:t>
            </w:r>
          </w:p>
        </w:tc>
        <w:tc>
          <w:tcPr>
            <w:tcW w:w="1234" w:type="dxa"/>
            <w:tcBorders>
              <w:top w:val="nil"/>
              <w:left w:val="nil"/>
              <w:bottom w:val="nil"/>
              <w:right w:val="nil"/>
            </w:tcBorders>
            <w:shd w:val="clear" w:color="auto" w:fill="D9D9D9" w:themeFill="background1" w:themeFillShade="D9"/>
            <w:noWrap/>
            <w:hideMark/>
          </w:tcPr>
          <w:p w14:paraId="564C59F3" w14:textId="0634435F" w:rsidR="00C46A2A" w:rsidRPr="00E03E11" w:rsidRDefault="00C46A2A" w:rsidP="00C46A2A">
            <w:pPr>
              <w:jc w:val="center"/>
              <w:rPr>
                <w:rFonts w:cs="Arial"/>
              </w:rPr>
            </w:pPr>
            <w:r w:rsidRPr="00DA4D44">
              <w:t>1.5</w:t>
            </w:r>
          </w:p>
        </w:tc>
        <w:tc>
          <w:tcPr>
            <w:tcW w:w="917" w:type="dxa"/>
            <w:tcBorders>
              <w:top w:val="nil"/>
              <w:left w:val="nil"/>
              <w:bottom w:val="nil"/>
              <w:right w:val="nil"/>
            </w:tcBorders>
            <w:shd w:val="clear" w:color="auto" w:fill="D9D9D9" w:themeFill="background1" w:themeFillShade="D9"/>
            <w:noWrap/>
            <w:hideMark/>
          </w:tcPr>
          <w:p w14:paraId="4A23A22F" w14:textId="635CFBF2" w:rsidR="00C46A2A" w:rsidRPr="00E03E11" w:rsidRDefault="00C46A2A" w:rsidP="00C46A2A">
            <w:pPr>
              <w:jc w:val="center"/>
              <w:rPr>
                <w:rFonts w:cs="Arial"/>
              </w:rPr>
            </w:pPr>
            <w:r w:rsidRPr="00DA4D44">
              <w:t>73.4</w:t>
            </w:r>
          </w:p>
        </w:tc>
        <w:tc>
          <w:tcPr>
            <w:tcW w:w="1149" w:type="dxa"/>
            <w:tcBorders>
              <w:top w:val="nil"/>
              <w:left w:val="nil"/>
              <w:bottom w:val="nil"/>
              <w:right w:val="nil"/>
            </w:tcBorders>
            <w:shd w:val="clear" w:color="auto" w:fill="D9D9D9" w:themeFill="background1" w:themeFillShade="D9"/>
            <w:noWrap/>
            <w:hideMark/>
          </w:tcPr>
          <w:p w14:paraId="5411B5EC" w14:textId="3603C9C0" w:rsidR="00C46A2A" w:rsidRPr="00E03E11" w:rsidRDefault="00C46A2A" w:rsidP="00C46A2A">
            <w:pPr>
              <w:jc w:val="center"/>
              <w:rPr>
                <w:rFonts w:cs="Arial"/>
              </w:rPr>
            </w:pPr>
            <w:r w:rsidRPr="00DA4D44">
              <w:t>5.7</w:t>
            </w:r>
          </w:p>
        </w:tc>
      </w:tr>
      <w:tr w:rsidR="00C46A2A" w:rsidRPr="00BB36CB" w14:paraId="60F00DC6" w14:textId="77777777" w:rsidTr="00C46A2A">
        <w:trPr>
          <w:trHeight w:val="300"/>
          <w:jc w:val="center"/>
        </w:trPr>
        <w:tc>
          <w:tcPr>
            <w:tcW w:w="3966" w:type="dxa"/>
            <w:tcBorders>
              <w:top w:val="nil"/>
              <w:left w:val="nil"/>
              <w:bottom w:val="nil"/>
              <w:right w:val="nil"/>
            </w:tcBorders>
            <w:noWrap/>
            <w:hideMark/>
          </w:tcPr>
          <w:p w14:paraId="434A91B9" w14:textId="505167FA" w:rsidR="00C46A2A" w:rsidRPr="00E03E11" w:rsidRDefault="00C46A2A" w:rsidP="00C46A2A">
            <w:pPr>
              <w:rPr>
                <w:rFonts w:cs="Arial"/>
              </w:rPr>
            </w:pPr>
            <w:r w:rsidRPr="00DA4D44">
              <w:t>Accommodation and Food Services</w:t>
            </w:r>
          </w:p>
        </w:tc>
        <w:tc>
          <w:tcPr>
            <w:tcW w:w="1158" w:type="dxa"/>
            <w:tcBorders>
              <w:top w:val="nil"/>
              <w:left w:val="nil"/>
              <w:bottom w:val="nil"/>
              <w:right w:val="nil"/>
            </w:tcBorders>
            <w:noWrap/>
            <w:hideMark/>
          </w:tcPr>
          <w:p w14:paraId="1EC52DD7" w14:textId="767E7159" w:rsidR="00C46A2A" w:rsidRPr="00E03E11" w:rsidRDefault="00C46A2A" w:rsidP="00C46A2A">
            <w:pPr>
              <w:jc w:val="center"/>
              <w:rPr>
                <w:rFonts w:cs="Arial"/>
              </w:rPr>
            </w:pPr>
            <w:r w:rsidRPr="00DA4D44">
              <w:t>937.1</w:t>
            </w:r>
          </w:p>
        </w:tc>
        <w:tc>
          <w:tcPr>
            <w:tcW w:w="1073" w:type="dxa"/>
            <w:tcBorders>
              <w:top w:val="nil"/>
              <w:left w:val="nil"/>
              <w:bottom w:val="nil"/>
              <w:right w:val="nil"/>
            </w:tcBorders>
            <w:noWrap/>
            <w:hideMark/>
          </w:tcPr>
          <w:p w14:paraId="0D7C5D76" w14:textId="0CA08250" w:rsidR="00C46A2A" w:rsidRPr="00E03E11" w:rsidRDefault="00C46A2A" w:rsidP="00C46A2A">
            <w:pPr>
              <w:jc w:val="center"/>
              <w:rPr>
                <w:rFonts w:cs="Arial"/>
              </w:rPr>
            </w:pPr>
            <w:r w:rsidRPr="00DA4D44">
              <w:t>950.0</w:t>
            </w:r>
          </w:p>
        </w:tc>
        <w:tc>
          <w:tcPr>
            <w:tcW w:w="1122" w:type="dxa"/>
            <w:tcBorders>
              <w:top w:val="nil"/>
              <w:left w:val="nil"/>
              <w:bottom w:val="nil"/>
              <w:right w:val="nil"/>
            </w:tcBorders>
            <w:noWrap/>
            <w:hideMark/>
          </w:tcPr>
          <w:p w14:paraId="771A2EDD" w14:textId="05A0FD27" w:rsidR="00C46A2A" w:rsidRPr="00E03E11" w:rsidRDefault="00C46A2A" w:rsidP="00C46A2A">
            <w:pPr>
              <w:jc w:val="center"/>
              <w:rPr>
                <w:rFonts w:cs="Arial"/>
              </w:rPr>
            </w:pPr>
            <w:r w:rsidRPr="00DA4D44">
              <w:t>-12.9</w:t>
            </w:r>
          </w:p>
        </w:tc>
        <w:tc>
          <w:tcPr>
            <w:tcW w:w="1234" w:type="dxa"/>
            <w:tcBorders>
              <w:top w:val="nil"/>
              <w:left w:val="nil"/>
              <w:bottom w:val="nil"/>
              <w:right w:val="nil"/>
            </w:tcBorders>
            <w:noWrap/>
            <w:hideMark/>
          </w:tcPr>
          <w:p w14:paraId="4284BA90" w14:textId="3B65E798" w:rsidR="00C46A2A" w:rsidRPr="00E03E11" w:rsidRDefault="00C46A2A" w:rsidP="00C46A2A">
            <w:pPr>
              <w:jc w:val="center"/>
              <w:rPr>
                <w:rFonts w:cs="Arial"/>
              </w:rPr>
            </w:pPr>
            <w:r w:rsidRPr="00DA4D44">
              <w:t>-1.4</w:t>
            </w:r>
          </w:p>
        </w:tc>
        <w:tc>
          <w:tcPr>
            <w:tcW w:w="917" w:type="dxa"/>
            <w:tcBorders>
              <w:top w:val="nil"/>
              <w:left w:val="nil"/>
              <w:bottom w:val="nil"/>
              <w:right w:val="nil"/>
            </w:tcBorders>
            <w:noWrap/>
            <w:hideMark/>
          </w:tcPr>
          <w:p w14:paraId="78F5FDE7" w14:textId="7A56D764" w:rsidR="00C46A2A" w:rsidRPr="00E03E11" w:rsidRDefault="00C46A2A" w:rsidP="00C46A2A">
            <w:pPr>
              <w:jc w:val="center"/>
              <w:rPr>
                <w:rFonts w:cs="Arial"/>
              </w:rPr>
            </w:pPr>
            <w:r w:rsidRPr="00DA4D44">
              <w:t>44.2</w:t>
            </w:r>
          </w:p>
        </w:tc>
        <w:tc>
          <w:tcPr>
            <w:tcW w:w="1149" w:type="dxa"/>
            <w:tcBorders>
              <w:top w:val="nil"/>
              <w:left w:val="nil"/>
              <w:bottom w:val="nil"/>
              <w:right w:val="nil"/>
            </w:tcBorders>
            <w:noWrap/>
            <w:hideMark/>
          </w:tcPr>
          <w:p w14:paraId="101A6DB9" w14:textId="2F475209" w:rsidR="00C46A2A" w:rsidRPr="00E03E11" w:rsidRDefault="00C46A2A" w:rsidP="00C46A2A">
            <w:pPr>
              <w:jc w:val="center"/>
              <w:rPr>
                <w:rFonts w:cs="Arial"/>
              </w:rPr>
            </w:pPr>
            <w:r w:rsidRPr="00DA4D44">
              <w:t>4.9</w:t>
            </w:r>
          </w:p>
        </w:tc>
      </w:tr>
      <w:tr w:rsidR="00C46A2A" w:rsidRPr="00BB36CB" w14:paraId="243834A2" w14:textId="77777777" w:rsidTr="00C46A2A">
        <w:trPr>
          <w:trHeight w:val="300"/>
          <w:jc w:val="center"/>
        </w:trPr>
        <w:tc>
          <w:tcPr>
            <w:tcW w:w="3966" w:type="dxa"/>
            <w:tcBorders>
              <w:top w:val="nil"/>
              <w:left w:val="nil"/>
              <w:bottom w:val="nil"/>
              <w:right w:val="nil"/>
            </w:tcBorders>
            <w:shd w:val="clear" w:color="auto" w:fill="D9D9D9" w:themeFill="background1" w:themeFillShade="D9"/>
            <w:noWrap/>
            <w:hideMark/>
          </w:tcPr>
          <w:p w14:paraId="744D4E47" w14:textId="7BD9D4EE" w:rsidR="00C46A2A" w:rsidRPr="00E03E11" w:rsidRDefault="00C46A2A" w:rsidP="00C46A2A">
            <w:pPr>
              <w:rPr>
                <w:rFonts w:cs="Arial"/>
              </w:rPr>
            </w:pPr>
            <w:r w:rsidRPr="00DA4D44">
              <w:t>Transport, Postal and Warehousing</w:t>
            </w:r>
          </w:p>
        </w:tc>
        <w:tc>
          <w:tcPr>
            <w:tcW w:w="1158" w:type="dxa"/>
            <w:tcBorders>
              <w:top w:val="nil"/>
              <w:left w:val="nil"/>
              <w:bottom w:val="nil"/>
              <w:right w:val="nil"/>
            </w:tcBorders>
            <w:shd w:val="clear" w:color="auto" w:fill="D9D9D9" w:themeFill="background1" w:themeFillShade="D9"/>
            <w:noWrap/>
            <w:hideMark/>
          </w:tcPr>
          <w:p w14:paraId="54C0E278" w14:textId="7244EE5D" w:rsidR="00C46A2A" w:rsidRPr="00E03E11" w:rsidRDefault="00C46A2A" w:rsidP="00C46A2A">
            <w:pPr>
              <w:jc w:val="center"/>
              <w:rPr>
                <w:rFonts w:cs="Arial"/>
              </w:rPr>
            </w:pPr>
            <w:r w:rsidRPr="00DA4D44">
              <w:t>683.3</w:t>
            </w:r>
          </w:p>
        </w:tc>
        <w:tc>
          <w:tcPr>
            <w:tcW w:w="1073" w:type="dxa"/>
            <w:tcBorders>
              <w:top w:val="nil"/>
              <w:left w:val="nil"/>
              <w:bottom w:val="nil"/>
              <w:right w:val="nil"/>
            </w:tcBorders>
            <w:shd w:val="clear" w:color="auto" w:fill="D9D9D9" w:themeFill="background1" w:themeFillShade="D9"/>
            <w:noWrap/>
            <w:hideMark/>
          </w:tcPr>
          <w:p w14:paraId="06BCE5FF" w14:textId="1D1D1CC5" w:rsidR="00C46A2A" w:rsidRPr="00E03E11" w:rsidRDefault="00C46A2A" w:rsidP="00C46A2A">
            <w:pPr>
              <w:jc w:val="center"/>
              <w:rPr>
                <w:rFonts w:cs="Arial"/>
              </w:rPr>
            </w:pPr>
            <w:r w:rsidRPr="00DA4D44">
              <w:t>727.8</w:t>
            </w:r>
          </w:p>
        </w:tc>
        <w:tc>
          <w:tcPr>
            <w:tcW w:w="1122" w:type="dxa"/>
            <w:tcBorders>
              <w:top w:val="nil"/>
              <w:left w:val="nil"/>
              <w:bottom w:val="nil"/>
              <w:right w:val="nil"/>
            </w:tcBorders>
            <w:shd w:val="clear" w:color="auto" w:fill="D9D9D9" w:themeFill="background1" w:themeFillShade="D9"/>
            <w:noWrap/>
            <w:hideMark/>
          </w:tcPr>
          <w:p w14:paraId="17D0174B" w14:textId="7C22C000" w:rsidR="00C46A2A" w:rsidRPr="00E03E11" w:rsidRDefault="00C46A2A" w:rsidP="00C46A2A">
            <w:pPr>
              <w:jc w:val="center"/>
              <w:rPr>
                <w:rFonts w:cs="Arial"/>
              </w:rPr>
            </w:pPr>
            <w:r w:rsidRPr="00DA4D44">
              <w:t>-44.5</w:t>
            </w:r>
          </w:p>
        </w:tc>
        <w:tc>
          <w:tcPr>
            <w:tcW w:w="1234" w:type="dxa"/>
            <w:tcBorders>
              <w:top w:val="nil"/>
              <w:left w:val="nil"/>
              <w:bottom w:val="nil"/>
              <w:right w:val="nil"/>
            </w:tcBorders>
            <w:shd w:val="clear" w:color="auto" w:fill="D9D9D9" w:themeFill="background1" w:themeFillShade="D9"/>
            <w:noWrap/>
            <w:hideMark/>
          </w:tcPr>
          <w:p w14:paraId="251A5FCE" w14:textId="3AA2D5F1" w:rsidR="00C46A2A" w:rsidRPr="00E03E11" w:rsidRDefault="00C46A2A" w:rsidP="00C46A2A">
            <w:pPr>
              <w:jc w:val="center"/>
              <w:rPr>
                <w:rFonts w:cs="Arial"/>
              </w:rPr>
            </w:pPr>
            <w:r w:rsidRPr="00DA4D44">
              <w:t>-6.1</w:t>
            </w:r>
          </w:p>
        </w:tc>
        <w:tc>
          <w:tcPr>
            <w:tcW w:w="917" w:type="dxa"/>
            <w:tcBorders>
              <w:top w:val="nil"/>
              <w:left w:val="nil"/>
              <w:bottom w:val="nil"/>
              <w:right w:val="nil"/>
            </w:tcBorders>
            <w:shd w:val="clear" w:color="auto" w:fill="D9D9D9" w:themeFill="background1" w:themeFillShade="D9"/>
            <w:noWrap/>
            <w:hideMark/>
          </w:tcPr>
          <w:p w14:paraId="7FDA2737" w14:textId="6987CA14" w:rsidR="00C46A2A" w:rsidRPr="00E03E11" w:rsidRDefault="00C46A2A" w:rsidP="00C46A2A">
            <w:pPr>
              <w:jc w:val="center"/>
              <w:rPr>
                <w:rFonts w:cs="Arial"/>
              </w:rPr>
            </w:pPr>
            <w:r w:rsidRPr="00DA4D44">
              <w:t>8.4</w:t>
            </w:r>
          </w:p>
        </w:tc>
        <w:tc>
          <w:tcPr>
            <w:tcW w:w="1149" w:type="dxa"/>
            <w:tcBorders>
              <w:top w:val="nil"/>
              <w:left w:val="nil"/>
              <w:bottom w:val="nil"/>
              <w:right w:val="nil"/>
            </w:tcBorders>
            <w:shd w:val="clear" w:color="auto" w:fill="D9D9D9" w:themeFill="background1" w:themeFillShade="D9"/>
            <w:noWrap/>
            <w:hideMark/>
          </w:tcPr>
          <w:p w14:paraId="6F1F70D3" w14:textId="214BACFC" w:rsidR="00C46A2A" w:rsidRPr="00E03E11" w:rsidRDefault="00C46A2A" w:rsidP="00C46A2A">
            <w:pPr>
              <w:jc w:val="center"/>
              <w:rPr>
                <w:rFonts w:cs="Arial"/>
              </w:rPr>
            </w:pPr>
            <w:r w:rsidRPr="00DA4D44">
              <w:t>1.2</w:t>
            </w:r>
          </w:p>
        </w:tc>
      </w:tr>
      <w:tr w:rsidR="00C46A2A" w:rsidRPr="00BB36CB" w14:paraId="232DA3EA" w14:textId="77777777" w:rsidTr="00C46A2A">
        <w:trPr>
          <w:trHeight w:val="300"/>
          <w:jc w:val="center"/>
        </w:trPr>
        <w:tc>
          <w:tcPr>
            <w:tcW w:w="3966" w:type="dxa"/>
            <w:tcBorders>
              <w:top w:val="nil"/>
              <w:left w:val="nil"/>
              <w:bottom w:val="nil"/>
              <w:right w:val="nil"/>
            </w:tcBorders>
            <w:noWrap/>
            <w:hideMark/>
          </w:tcPr>
          <w:p w14:paraId="1B47E692" w14:textId="51DA4EAF" w:rsidR="00C46A2A" w:rsidRPr="00E03E11" w:rsidRDefault="00C46A2A" w:rsidP="00C46A2A">
            <w:pPr>
              <w:rPr>
                <w:rFonts w:cs="Arial"/>
              </w:rPr>
            </w:pPr>
            <w:r w:rsidRPr="00DA4D44">
              <w:t>Information Media and Telecommunications</w:t>
            </w:r>
          </w:p>
        </w:tc>
        <w:tc>
          <w:tcPr>
            <w:tcW w:w="1158" w:type="dxa"/>
            <w:tcBorders>
              <w:top w:val="nil"/>
              <w:left w:val="nil"/>
              <w:bottom w:val="nil"/>
              <w:right w:val="nil"/>
            </w:tcBorders>
            <w:noWrap/>
            <w:hideMark/>
          </w:tcPr>
          <w:p w14:paraId="30653FF7" w14:textId="6A59B3EE" w:rsidR="00C46A2A" w:rsidRPr="00E03E11" w:rsidRDefault="00C46A2A" w:rsidP="00C46A2A">
            <w:pPr>
              <w:jc w:val="center"/>
              <w:rPr>
                <w:rFonts w:cs="Arial"/>
              </w:rPr>
            </w:pPr>
            <w:r w:rsidRPr="00DA4D44">
              <w:t>197.1</w:t>
            </w:r>
          </w:p>
        </w:tc>
        <w:tc>
          <w:tcPr>
            <w:tcW w:w="1073" w:type="dxa"/>
            <w:tcBorders>
              <w:top w:val="nil"/>
              <w:left w:val="nil"/>
              <w:bottom w:val="nil"/>
              <w:right w:val="nil"/>
            </w:tcBorders>
            <w:noWrap/>
            <w:hideMark/>
          </w:tcPr>
          <w:p w14:paraId="3753A0CD" w14:textId="7BEF5510" w:rsidR="00C46A2A" w:rsidRPr="00E03E11" w:rsidRDefault="00C46A2A" w:rsidP="00C46A2A">
            <w:pPr>
              <w:jc w:val="center"/>
              <w:rPr>
                <w:rFonts w:cs="Arial"/>
              </w:rPr>
            </w:pPr>
            <w:r w:rsidRPr="00DA4D44">
              <w:t>191.2</w:t>
            </w:r>
          </w:p>
        </w:tc>
        <w:tc>
          <w:tcPr>
            <w:tcW w:w="1122" w:type="dxa"/>
            <w:tcBorders>
              <w:top w:val="nil"/>
              <w:left w:val="nil"/>
              <w:bottom w:val="nil"/>
              <w:right w:val="nil"/>
            </w:tcBorders>
            <w:noWrap/>
            <w:hideMark/>
          </w:tcPr>
          <w:p w14:paraId="1E4CA98C" w14:textId="2593A945" w:rsidR="00C46A2A" w:rsidRPr="00E03E11" w:rsidRDefault="00C46A2A" w:rsidP="00C46A2A">
            <w:pPr>
              <w:jc w:val="center"/>
              <w:rPr>
                <w:rFonts w:cs="Arial"/>
              </w:rPr>
            </w:pPr>
            <w:r w:rsidRPr="00DA4D44">
              <w:t>5.8</w:t>
            </w:r>
          </w:p>
        </w:tc>
        <w:tc>
          <w:tcPr>
            <w:tcW w:w="1234" w:type="dxa"/>
            <w:tcBorders>
              <w:top w:val="nil"/>
              <w:left w:val="nil"/>
              <w:bottom w:val="nil"/>
              <w:right w:val="nil"/>
            </w:tcBorders>
            <w:noWrap/>
            <w:hideMark/>
          </w:tcPr>
          <w:p w14:paraId="7E1127DD" w14:textId="7C267CD8" w:rsidR="00C46A2A" w:rsidRPr="00E03E11" w:rsidRDefault="00C46A2A" w:rsidP="00C46A2A">
            <w:pPr>
              <w:jc w:val="center"/>
              <w:rPr>
                <w:rFonts w:cs="Arial"/>
              </w:rPr>
            </w:pPr>
            <w:r w:rsidRPr="00DA4D44">
              <w:t>3.1</w:t>
            </w:r>
          </w:p>
        </w:tc>
        <w:tc>
          <w:tcPr>
            <w:tcW w:w="917" w:type="dxa"/>
            <w:tcBorders>
              <w:top w:val="nil"/>
              <w:left w:val="nil"/>
              <w:bottom w:val="nil"/>
              <w:right w:val="nil"/>
            </w:tcBorders>
            <w:noWrap/>
            <w:hideMark/>
          </w:tcPr>
          <w:p w14:paraId="7333387A" w14:textId="1B429DB9" w:rsidR="00C46A2A" w:rsidRPr="00E03E11" w:rsidRDefault="00C46A2A" w:rsidP="00C46A2A">
            <w:pPr>
              <w:jc w:val="center"/>
              <w:rPr>
                <w:rFonts w:cs="Arial"/>
              </w:rPr>
            </w:pPr>
            <w:r w:rsidRPr="00DA4D44">
              <w:t>-6.7</w:t>
            </w:r>
          </w:p>
        </w:tc>
        <w:tc>
          <w:tcPr>
            <w:tcW w:w="1149" w:type="dxa"/>
            <w:tcBorders>
              <w:top w:val="nil"/>
              <w:left w:val="nil"/>
              <w:bottom w:val="nil"/>
              <w:right w:val="nil"/>
            </w:tcBorders>
            <w:noWrap/>
            <w:hideMark/>
          </w:tcPr>
          <w:p w14:paraId="0F0A8F71" w14:textId="34226912" w:rsidR="00C46A2A" w:rsidRPr="00E03E11" w:rsidRDefault="00C46A2A" w:rsidP="00C46A2A">
            <w:pPr>
              <w:jc w:val="center"/>
              <w:rPr>
                <w:rFonts w:cs="Arial"/>
              </w:rPr>
            </w:pPr>
            <w:r w:rsidRPr="00DA4D44">
              <w:t>-3.3</w:t>
            </w:r>
          </w:p>
        </w:tc>
      </w:tr>
      <w:tr w:rsidR="00C46A2A" w:rsidRPr="00BB36CB" w14:paraId="1E7B0F83" w14:textId="77777777" w:rsidTr="00C46A2A">
        <w:trPr>
          <w:trHeight w:val="300"/>
          <w:jc w:val="center"/>
        </w:trPr>
        <w:tc>
          <w:tcPr>
            <w:tcW w:w="3966" w:type="dxa"/>
            <w:tcBorders>
              <w:top w:val="nil"/>
              <w:left w:val="nil"/>
              <w:bottom w:val="nil"/>
              <w:right w:val="nil"/>
            </w:tcBorders>
            <w:shd w:val="clear" w:color="auto" w:fill="D9D9D9" w:themeFill="background1" w:themeFillShade="D9"/>
            <w:noWrap/>
            <w:hideMark/>
          </w:tcPr>
          <w:p w14:paraId="28F614E3" w14:textId="6ABF772B" w:rsidR="00C46A2A" w:rsidRPr="00E03E11" w:rsidRDefault="00C46A2A" w:rsidP="00C46A2A">
            <w:pPr>
              <w:rPr>
                <w:rFonts w:cs="Arial"/>
              </w:rPr>
            </w:pPr>
            <w:r w:rsidRPr="00DA4D44">
              <w:t>Financial and Insurance Services</w:t>
            </w:r>
          </w:p>
        </w:tc>
        <w:tc>
          <w:tcPr>
            <w:tcW w:w="1158" w:type="dxa"/>
            <w:tcBorders>
              <w:top w:val="nil"/>
              <w:left w:val="nil"/>
              <w:bottom w:val="nil"/>
              <w:right w:val="nil"/>
            </w:tcBorders>
            <w:shd w:val="clear" w:color="auto" w:fill="D9D9D9" w:themeFill="background1" w:themeFillShade="D9"/>
            <w:noWrap/>
            <w:hideMark/>
          </w:tcPr>
          <w:p w14:paraId="038C09E2" w14:textId="46438291" w:rsidR="00C46A2A" w:rsidRPr="00E03E11" w:rsidRDefault="00C46A2A" w:rsidP="00C46A2A">
            <w:pPr>
              <w:jc w:val="center"/>
              <w:rPr>
                <w:rFonts w:cs="Arial"/>
              </w:rPr>
            </w:pPr>
            <w:r w:rsidRPr="00DA4D44">
              <w:t>530.7</w:t>
            </w:r>
          </w:p>
        </w:tc>
        <w:tc>
          <w:tcPr>
            <w:tcW w:w="1073" w:type="dxa"/>
            <w:tcBorders>
              <w:top w:val="nil"/>
              <w:left w:val="nil"/>
              <w:bottom w:val="nil"/>
              <w:right w:val="nil"/>
            </w:tcBorders>
            <w:shd w:val="clear" w:color="auto" w:fill="D9D9D9" w:themeFill="background1" w:themeFillShade="D9"/>
            <w:noWrap/>
            <w:hideMark/>
          </w:tcPr>
          <w:p w14:paraId="2E63C62B" w14:textId="1B4F90D9" w:rsidR="00C46A2A" w:rsidRPr="00E03E11" w:rsidRDefault="00C46A2A" w:rsidP="00C46A2A">
            <w:pPr>
              <w:jc w:val="center"/>
              <w:rPr>
                <w:rFonts w:cs="Arial"/>
              </w:rPr>
            </w:pPr>
            <w:r w:rsidRPr="00DA4D44">
              <w:t>562.6</w:t>
            </w:r>
          </w:p>
        </w:tc>
        <w:tc>
          <w:tcPr>
            <w:tcW w:w="1122" w:type="dxa"/>
            <w:tcBorders>
              <w:top w:val="nil"/>
              <w:left w:val="nil"/>
              <w:bottom w:val="nil"/>
              <w:right w:val="nil"/>
            </w:tcBorders>
            <w:shd w:val="clear" w:color="auto" w:fill="D9D9D9" w:themeFill="background1" w:themeFillShade="D9"/>
            <w:noWrap/>
            <w:hideMark/>
          </w:tcPr>
          <w:p w14:paraId="44B639C3" w14:textId="520AF470" w:rsidR="00C46A2A" w:rsidRPr="00E03E11" w:rsidRDefault="00C46A2A" w:rsidP="00C46A2A">
            <w:pPr>
              <w:jc w:val="center"/>
              <w:rPr>
                <w:rFonts w:cs="Arial"/>
              </w:rPr>
            </w:pPr>
            <w:r w:rsidRPr="00DA4D44">
              <w:t>-31.9</w:t>
            </w:r>
          </w:p>
        </w:tc>
        <w:tc>
          <w:tcPr>
            <w:tcW w:w="1234" w:type="dxa"/>
            <w:tcBorders>
              <w:top w:val="nil"/>
              <w:left w:val="nil"/>
              <w:bottom w:val="nil"/>
              <w:right w:val="nil"/>
            </w:tcBorders>
            <w:shd w:val="clear" w:color="auto" w:fill="D9D9D9" w:themeFill="background1" w:themeFillShade="D9"/>
            <w:noWrap/>
            <w:hideMark/>
          </w:tcPr>
          <w:p w14:paraId="1DD2B506" w14:textId="667248F0" w:rsidR="00C46A2A" w:rsidRPr="00E03E11" w:rsidRDefault="00C46A2A" w:rsidP="00C46A2A">
            <w:pPr>
              <w:jc w:val="center"/>
              <w:rPr>
                <w:rFonts w:cs="Arial"/>
              </w:rPr>
            </w:pPr>
            <w:r w:rsidRPr="00DA4D44">
              <w:t>-5.7</w:t>
            </w:r>
          </w:p>
        </w:tc>
        <w:tc>
          <w:tcPr>
            <w:tcW w:w="917" w:type="dxa"/>
            <w:tcBorders>
              <w:top w:val="nil"/>
              <w:left w:val="nil"/>
              <w:bottom w:val="nil"/>
              <w:right w:val="nil"/>
            </w:tcBorders>
            <w:shd w:val="clear" w:color="auto" w:fill="D9D9D9" w:themeFill="background1" w:themeFillShade="D9"/>
            <w:noWrap/>
            <w:hideMark/>
          </w:tcPr>
          <w:p w14:paraId="37777016" w14:textId="46529DEF" w:rsidR="00C46A2A" w:rsidRPr="00E03E11" w:rsidRDefault="00C46A2A" w:rsidP="00C46A2A">
            <w:pPr>
              <w:jc w:val="center"/>
              <w:rPr>
                <w:rFonts w:cs="Arial"/>
              </w:rPr>
            </w:pPr>
            <w:r w:rsidRPr="00DA4D44">
              <w:t>-16.9</w:t>
            </w:r>
          </w:p>
        </w:tc>
        <w:tc>
          <w:tcPr>
            <w:tcW w:w="1149" w:type="dxa"/>
            <w:tcBorders>
              <w:top w:val="nil"/>
              <w:left w:val="nil"/>
              <w:bottom w:val="nil"/>
              <w:right w:val="nil"/>
            </w:tcBorders>
            <w:shd w:val="clear" w:color="auto" w:fill="D9D9D9" w:themeFill="background1" w:themeFillShade="D9"/>
            <w:noWrap/>
            <w:hideMark/>
          </w:tcPr>
          <w:p w14:paraId="7C13CBB6" w14:textId="0B49A448" w:rsidR="00C46A2A" w:rsidRPr="00E03E11" w:rsidRDefault="00C46A2A" w:rsidP="00C46A2A">
            <w:pPr>
              <w:jc w:val="center"/>
              <w:rPr>
                <w:rFonts w:cs="Arial"/>
              </w:rPr>
            </w:pPr>
            <w:r w:rsidRPr="00DA4D44">
              <w:t>-3.1</w:t>
            </w:r>
          </w:p>
        </w:tc>
      </w:tr>
      <w:tr w:rsidR="00C46A2A" w:rsidRPr="00BB36CB" w14:paraId="013734A5" w14:textId="77777777" w:rsidTr="00C46A2A">
        <w:trPr>
          <w:trHeight w:val="300"/>
          <w:jc w:val="center"/>
        </w:trPr>
        <w:tc>
          <w:tcPr>
            <w:tcW w:w="3966" w:type="dxa"/>
            <w:tcBorders>
              <w:top w:val="nil"/>
              <w:left w:val="nil"/>
              <w:bottom w:val="nil"/>
              <w:right w:val="nil"/>
            </w:tcBorders>
            <w:noWrap/>
            <w:hideMark/>
          </w:tcPr>
          <w:p w14:paraId="720EDAF2" w14:textId="050D51F1" w:rsidR="00C46A2A" w:rsidRPr="00E03E11" w:rsidRDefault="00C46A2A" w:rsidP="00C46A2A">
            <w:pPr>
              <w:rPr>
                <w:rFonts w:cs="Arial"/>
              </w:rPr>
            </w:pPr>
            <w:r w:rsidRPr="00DA4D44">
              <w:t>Rental, Hiring and Real Estate Services</w:t>
            </w:r>
          </w:p>
        </w:tc>
        <w:tc>
          <w:tcPr>
            <w:tcW w:w="1158" w:type="dxa"/>
            <w:tcBorders>
              <w:top w:val="nil"/>
              <w:left w:val="nil"/>
              <w:bottom w:val="nil"/>
              <w:right w:val="nil"/>
            </w:tcBorders>
            <w:noWrap/>
            <w:hideMark/>
          </w:tcPr>
          <w:p w14:paraId="3EF26542" w14:textId="77CC104C" w:rsidR="00C46A2A" w:rsidRPr="00E03E11" w:rsidRDefault="00C46A2A" w:rsidP="00C46A2A">
            <w:pPr>
              <w:jc w:val="center"/>
              <w:rPr>
                <w:rFonts w:cs="Arial"/>
              </w:rPr>
            </w:pPr>
            <w:r w:rsidRPr="00DA4D44">
              <w:t>219.8</w:t>
            </w:r>
          </w:p>
        </w:tc>
        <w:tc>
          <w:tcPr>
            <w:tcW w:w="1073" w:type="dxa"/>
            <w:tcBorders>
              <w:top w:val="nil"/>
              <w:left w:val="nil"/>
              <w:bottom w:val="nil"/>
              <w:right w:val="nil"/>
            </w:tcBorders>
            <w:noWrap/>
            <w:hideMark/>
          </w:tcPr>
          <w:p w14:paraId="74236BD1" w14:textId="3592290A" w:rsidR="00C46A2A" w:rsidRPr="00E03E11" w:rsidRDefault="00C46A2A" w:rsidP="00C46A2A">
            <w:pPr>
              <w:jc w:val="center"/>
              <w:rPr>
                <w:rFonts w:cs="Arial"/>
              </w:rPr>
            </w:pPr>
            <w:r w:rsidRPr="00DA4D44">
              <w:t>219.2</w:t>
            </w:r>
          </w:p>
        </w:tc>
        <w:tc>
          <w:tcPr>
            <w:tcW w:w="1122" w:type="dxa"/>
            <w:tcBorders>
              <w:top w:val="nil"/>
              <w:left w:val="nil"/>
              <w:bottom w:val="nil"/>
              <w:right w:val="nil"/>
            </w:tcBorders>
            <w:noWrap/>
            <w:hideMark/>
          </w:tcPr>
          <w:p w14:paraId="0DEC1EC6" w14:textId="1DB82EF8" w:rsidR="00C46A2A" w:rsidRPr="00E03E11" w:rsidRDefault="00C46A2A" w:rsidP="00C46A2A">
            <w:pPr>
              <w:jc w:val="center"/>
              <w:rPr>
                <w:rFonts w:cs="Arial"/>
              </w:rPr>
            </w:pPr>
            <w:r w:rsidRPr="00DA4D44">
              <w:t>0.6</w:t>
            </w:r>
          </w:p>
        </w:tc>
        <w:tc>
          <w:tcPr>
            <w:tcW w:w="1234" w:type="dxa"/>
            <w:tcBorders>
              <w:top w:val="nil"/>
              <w:left w:val="nil"/>
              <w:bottom w:val="nil"/>
              <w:right w:val="nil"/>
            </w:tcBorders>
            <w:noWrap/>
            <w:hideMark/>
          </w:tcPr>
          <w:p w14:paraId="3665507F" w14:textId="08B94A83" w:rsidR="00C46A2A" w:rsidRPr="00E03E11" w:rsidRDefault="00C46A2A" w:rsidP="00C46A2A">
            <w:pPr>
              <w:jc w:val="center"/>
              <w:rPr>
                <w:rFonts w:cs="Arial"/>
              </w:rPr>
            </w:pPr>
            <w:r w:rsidRPr="00DA4D44">
              <w:t>0.3</w:t>
            </w:r>
          </w:p>
        </w:tc>
        <w:tc>
          <w:tcPr>
            <w:tcW w:w="917" w:type="dxa"/>
            <w:tcBorders>
              <w:top w:val="nil"/>
              <w:left w:val="nil"/>
              <w:bottom w:val="nil"/>
              <w:right w:val="nil"/>
            </w:tcBorders>
            <w:noWrap/>
            <w:hideMark/>
          </w:tcPr>
          <w:p w14:paraId="67CDE550" w14:textId="1C448777" w:rsidR="00C46A2A" w:rsidRPr="00E03E11" w:rsidRDefault="00C46A2A" w:rsidP="00C46A2A">
            <w:pPr>
              <w:jc w:val="center"/>
              <w:rPr>
                <w:rFonts w:cs="Arial"/>
              </w:rPr>
            </w:pPr>
            <w:r w:rsidRPr="00DA4D44">
              <w:t>-18.3</w:t>
            </w:r>
          </w:p>
        </w:tc>
        <w:tc>
          <w:tcPr>
            <w:tcW w:w="1149" w:type="dxa"/>
            <w:tcBorders>
              <w:top w:val="nil"/>
              <w:left w:val="nil"/>
              <w:bottom w:val="nil"/>
              <w:right w:val="nil"/>
            </w:tcBorders>
            <w:noWrap/>
            <w:hideMark/>
          </w:tcPr>
          <w:p w14:paraId="60E30B59" w14:textId="00A33006" w:rsidR="00C46A2A" w:rsidRPr="00E03E11" w:rsidRDefault="00C46A2A" w:rsidP="00C46A2A">
            <w:pPr>
              <w:jc w:val="center"/>
              <w:rPr>
                <w:rFonts w:cs="Arial"/>
              </w:rPr>
            </w:pPr>
            <w:r w:rsidRPr="00DA4D44">
              <w:t>-7.7</w:t>
            </w:r>
          </w:p>
        </w:tc>
      </w:tr>
      <w:tr w:rsidR="00C46A2A" w:rsidRPr="00BB36CB" w14:paraId="33741306" w14:textId="77777777" w:rsidTr="00C46A2A">
        <w:trPr>
          <w:trHeight w:val="300"/>
          <w:jc w:val="center"/>
        </w:trPr>
        <w:tc>
          <w:tcPr>
            <w:tcW w:w="3966" w:type="dxa"/>
            <w:tcBorders>
              <w:top w:val="nil"/>
              <w:left w:val="nil"/>
              <w:bottom w:val="nil"/>
              <w:right w:val="nil"/>
            </w:tcBorders>
            <w:shd w:val="clear" w:color="auto" w:fill="D9D9D9" w:themeFill="background1" w:themeFillShade="D9"/>
            <w:noWrap/>
            <w:hideMark/>
          </w:tcPr>
          <w:p w14:paraId="3DEB5337" w14:textId="3E65E351" w:rsidR="00C46A2A" w:rsidRPr="00E03E11" w:rsidRDefault="00C46A2A" w:rsidP="00C46A2A">
            <w:pPr>
              <w:rPr>
                <w:rFonts w:cs="Arial"/>
              </w:rPr>
            </w:pPr>
            <w:r w:rsidRPr="00DA4D44">
              <w:t>Professional, Scientific and Technical Services</w:t>
            </w:r>
          </w:p>
        </w:tc>
        <w:tc>
          <w:tcPr>
            <w:tcW w:w="1158" w:type="dxa"/>
            <w:tcBorders>
              <w:top w:val="nil"/>
              <w:left w:val="nil"/>
              <w:bottom w:val="nil"/>
              <w:right w:val="nil"/>
            </w:tcBorders>
            <w:shd w:val="clear" w:color="auto" w:fill="D9D9D9" w:themeFill="background1" w:themeFillShade="D9"/>
            <w:noWrap/>
            <w:hideMark/>
          </w:tcPr>
          <w:p w14:paraId="07E44472" w14:textId="3C1CD89A" w:rsidR="00C46A2A" w:rsidRPr="00E03E11" w:rsidRDefault="00C46A2A" w:rsidP="00C46A2A">
            <w:pPr>
              <w:jc w:val="center"/>
              <w:rPr>
                <w:rFonts w:cs="Arial"/>
              </w:rPr>
            </w:pPr>
            <w:r w:rsidRPr="00DA4D44">
              <w:t>1,249.8</w:t>
            </w:r>
          </w:p>
        </w:tc>
        <w:tc>
          <w:tcPr>
            <w:tcW w:w="1073" w:type="dxa"/>
            <w:tcBorders>
              <w:top w:val="nil"/>
              <w:left w:val="nil"/>
              <w:bottom w:val="nil"/>
              <w:right w:val="nil"/>
            </w:tcBorders>
            <w:shd w:val="clear" w:color="auto" w:fill="D9D9D9" w:themeFill="background1" w:themeFillShade="D9"/>
            <w:noWrap/>
            <w:hideMark/>
          </w:tcPr>
          <w:p w14:paraId="5B2271B9" w14:textId="713BF06F" w:rsidR="00C46A2A" w:rsidRPr="00E03E11" w:rsidRDefault="00C46A2A" w:rsidP="00C46A2A">
            <w:pPr>
              <w:jc w:val="center"/>
              <w:rPr>
                <w:rFonts w:cs="Arial"/>
              </w:rPr>
            </w:pPr>
            <w:r w:rsidRPr="00DA4D44">
              <w:t>1,259.0</w:t>
            </w:r>
          </w:p>
        </w:tc>
        <w:tc>
          <w:tcPr>
            <w:tcW w:w="1122" w:type="dxa"/>
            <w:tcBorders>
              <w:top w:val="nil"/>
              <w:left w:val="nil"/>
              <w:bottom w:val="nil"/>
              <w:right w:val="nil"/>
            </w:tcBorders>
            <w:shd w:val="clear" w:color="auto" w:fill="D9D9D9" w:themeFill="background1" w:themeFillShade="D9"/>
            <w:noWrap/>
            <w:hideMark/>
          </w:tcPr>
          <w:p w14:paraId="5371BBC5" w14:textId="0EC9897D" w:rsidR="00C46A2A" w:rsidRPr="00E03E11" w:rsidRDefault="00C46A2A" w:rsidP="00C46A2A">
            <w:pPr>
              <w:jc w:val="center"/>
              <w:rPr>
                <w:rFonts w:cs="Arial"/>
              </w:rPr>
            </w:pPr>
            <w:r w:rsidRPr="00DA4D44">
              <w:t>-9.2</w:t>
            </w:r>
          </w:p>
        </w:tc>
        <w:tc>
          <w:tcPr>
            <w:tcW w:w="1234" w:type="dxa"/>
            <w:tcBorders>
              <w:top w:val="nil"/>
              <w:left w:val="nil"/>
              <w:bottom w:val="nil"/>
              <w:right w:val="nil"/>
            </w:tcBorders>
            <w:shd w:val="clear" w:color="auto" w:fill="D9D9D9" w:themeFill="background1" w:themeFillShade="D9"/>
            <w:noWrap/>
            <w:hideMark/>
          </w:tcPr>
          <w:p w14:paraId="4D3D4E2E" w14:textId="3EEA6AA5" w:rsidR="00C46A2A" w:rsidRPr="00E03E11" w:rsidRDefault="00C46A2A" w:rsidP="00C46A2A">
            <w:pPr>
              <w:jc w:val="center"/>
              <w:rPr>
                <w:rFonts w:cs="Arial"/>
              </w:rPr>
            </w:pPr>
            <w:r w:rsidRPr="00DA4D44">
              <w:t>-0.7</w:t>
            </w:r>
          </w:p>
        </w:tc>
        <w:tc>
          <w:tcPr>
            <w:tcW w:w="917" w:type="dxa"/>
            <w:tcBorders>
              <w:top w:val="nil"/>
              <w:left w:val="nil"/>
              <w:bottom w:val="nil"/>
              <w:right w:val="nil"/>
            </w:tcBorders>
            <w:shd w:val="clear" w:color="auto" w:fill="D9D9D9" w:themeFill="background1" w:themeFillShade="D9"/>
            <w:noWrap/>
            <w:hideMark/>
          </w:tcPr>
          <w:p w14:paraId="43ED1DD7" w14:textId="15CD6408" w:rsidR="00C46A2A" w:rsidRPr="00E03E11" w:rsidRDefault="00C46A2A" w:rsidP="00C46A2A">
            <w:pPr>
              <w:jc w:val="center"/>
              <w:rPr>
                <w:rFonts w:cs="Arial"/>
              </w:rPr>
            </w:pPr>
            <w:r w:rsidRPr="00DA4D44">
              <w:t>8.3</w:t>
            </w:r>
          </w:p>
        </w:tc>
        <w:tc>
          <w:tcPr>
            <w:tcW w:w="1149" w:type="dxa"/>
            <w:tcBorders>
              <w:top w:val="nil"/>
              <w:left w:val="nil"/>
              <w:bottom w:val="nil"/>
              <w:right w:val="nil"/>
            </w:tcBorders>
            <w:shd w:val="clear" w:color="auto" w:fill="D9D9D9" w:themeFill="background1" w:themeFillShade="D9"/>
            <w:noWrap/>
            <w:hideMark/>
          </w:tcPr>
          <w:p w14:paraId="7A9EA6DB" w14:textId="5F4C11C7" w:rsidR="00C46A2A" w:rsidRPr="00E03E11" w:rsidRDefault="00C46A2A" w:rsidP="00C46A2A">
            <w:pPr>
              <w:jc w:val="center"/>
              <w:rPr>
                <w:rFonts w:cs="Arial"/>
              </w:rPr>
            </w:pPr>
            <w:r w:rsidRPr="00DA4D44">
              <w:t>0.7</w:t>
            </w:r>
          </w:p>
        </w:tc>
      </w:tr>
      <w:tr w:rsidR="00C46A2A" w:rsidRPr="00BB36CB" w14:paraId="0A09596F" w14:textId="77777777" w:rsidTr="00C46A2A">
        <w:trPr>
          <w:trHeight w:val="300"/>
          <w:jc w:val="center"/>
        </w:trPr>
        <w:tc>
          <w:tcPr>
            <w:tcW w:w="3966" w:type="dxa"/>
            <w:tcBorders>
              <w:top w:val="nil"/>
              <w:left w:val="nil"/>
              <w:bottom w:val="nil"/>
              <w:right w:val="nil"/>
            </w:tcBorders>
            <w:noWrap/>
            <w:hideMark/>
          </w:tcPr>
          <w:p w14:paraId="070AA393" w14:textId="7A551407" w:rsidR="00C46A2A" w:rsidRPr="00E03E11" w:rsidRDefault="00C46A2A" w:rsidP="00C46A2A">
            <w:pPr>
              <w:rPr>
                <w:rFonts w:cs="Arial"/>
              </w:rPr>
            </w:pPr>
            <w:r w:rsidRPr="00DA4D44">
              <w:t>Administrative and Support Services</w:t>
            </w:r>
          </w:p>
        </w:tc>
        <w:tc>
          <w:tcPr>
            <w:tcW w:w="1158" w:type="dxa"/>
            <w:tcBorders>
              <w:top w:val="nil"/>
              <w:left w:val="nil"/>
              <w:bottom w:val="nil"/>
              <w:right w:val="nil"/>
            </w:tcBorders>
            <w:noWrap/>
            <w:hideMark/>
          </w:tcPr>
          <w:p w14:paraId="3E320270" w14:textId="4CCAAAA6" w:rsidR="00C46A2A" w:rsidRPr="00E03E11" w:rsidRDefault="00C46A2A" w:rsidP="00C46A2A">
            <w:pPr>
              <w:jc w:val="center"/>
              <w:rPr>
                <w:rFonts w:cs="Arial"/>
              </w:rPr>
            </w:pPr>
            <w:r w:rsidRPr="00DA4D44">
              <w:t>415.3</w:t>
            </w:r>
          </w:p>
        </w:tc>
        <w:tc>
          <w:tcPr>
            <w:tcW w:w="1073" w:type="dxa"/>
            <w:tcBorders>
              <w:top w:val="nil"/>
              <w:left w:val="nil"/>
              <w:bottom w:val="nil"/>
              <w:right w:val="nil"/>
            </w:tcBorders>
            <w:noWrap/>
            <w:hideMark/>
          </w:tcPr>
          <w:p w14:paraId="1F9459D5" w14:textId="5320FC4F" w:rsidR="00C46A2A" w:rsidRPr="00E03E11" w:rsidRDefault="00C46A2A" w:rsidP="00C46A2A">
            <w:pPr>
              <w:jc w:val="center"/>
              <w:rPr>
                <w:rFonts w:cs="Arial"/>
              </w:rPr>
            </w:pPr>
            <w:r w:rsidRPr="00DA4D44">
              <w:t>464.2</w:t>
            </w:r>
          </w:p>
        </w:tc>
        <w:tc>
          <w:tcPr>
            <w:tcW w:w="1122" w:type="dxa"/>
            <w:tcBorders>
              <w:top w:val="nil"/>
              <w:left w:val="nil"/>
              <w:bottom w:val="nil"/>
              <w:right w:val="nil"/>
            </w:tcBorders>
            <w:noWrap/>
            <w:hideMark/>
          </w:tcPr>
          <w:p w14:paraId="1946FD60" w14:textId="42339466" w:rsidR="00C46A2A" w:rsidRPr="00E03E11" w:rsidRDefault="00C46A2A" w:rsidP="00C46A2A">
            <w:pPr>
              <w:jc w:val="center"/>
              <w:rPr>
                <w:rFonts w:cs="Arial"/>
              </w:rPr>
            </w:pPr>
            <w:r w:rsidRPr="00DA4D44">
              <w:t>-48.8</w:t>
            </w:r>
          </w:p>
        </w:tc>
        <w:tc>
          <w:tcPr>
            <w:tcW w:w="1234" w:type="dxa"/>
            <w:tcBorders>
              <w:top w:val="nil"/>
              <w:left w:val="nil"/>
              <w:bottom w:val="nil"/>
              <w:right w:val="nil"/>
            </w:tcBorders>
            <w:noWrap/>
            <w:hideMark/>
          </w:tcPr>
          <w:p w14:paraId="5372F9CE" w14:textId="1998EF00" w:rsidR="00C46A2A" w:rsidRPr="00E03E11" w:rsidRDefault="00C46A2A" w:rsidP="00C46A2A">
            <w:pPr>
              <w:jc w:val="center"/>
              <w:rPr>
                <w:rFonts w:cs="Arial"/>
              </w:rPr>
            </w:pPr>
            <w:r w:rsidRPr="00DA4D44">
              <w:t>-10.5</w:t>
            </w:r>
          </w:p>
        </w:tc>
        <w:tc>
          <w:tcPr>
            <w:tcW w:w="917" w:type="dxa"/>
            <w:tcBorders>
              <w:top w:val="nil"/>
              <w:left w:val="nil"/>
              <w:bottom w:val="nil"/>
              <w:right w:val="nil"/>
            </w:tcBorders>
            <w:noWrap/>
            <w:hideMark/>
          </w:tcPr>
          <w:p w14:paraId="7CE63AEF" w14:textId="23EEA6D5" w:rsidR="00C46A2A" w:rsidRPr="00E03E11" w:rsidRDefault="00C46A2A" w:rsidP="00C46A2A">
            <w:pPr>
              <w:jc w:val="center"/>
              <w:rPr>
                <w:rFonts w:cs="Arial"/>
              </w:rPr>
            </w:pPr>
            <w:r w:rsidRPr="00DA4D44">
              <w:t>3.4</w:t>
            </w:r>
          </w:p>
        </w:tc>
        <w:tc>
          <w:tcPr>
            <w:tcW w:w="1149" w:type="dxa"/>
            <w:tcBorders>
              <w:top w:val="nil"/>
              <w:left w:val="nil"/>
              <w:bottom w:val="nil"/>
              <w:right w:val="nil"/>
            </w:tcBorders>
            <w:noWrap/>
            <w:hideMark/>
          </w:tcPr>
          <w:p w14:paraId="276FE0A1" w14:textId="5AE4FDCE" w:rsidR="00C46A2A" w:rsidRPr="00E03E11" w:rsidRDefault="00C46A2A" w:rsidP="00C46A2A">
            <w:pPr>
              <w:jc w:val="center"/>
              <w:rPr>
                <w:rFonts w:cs="Arial"/>
              </w:rPr>
            </w:pPr>
            <w:r w:rsidRPr="00DA4D44">
              <w:t>0.8</w:t>
            </w:r>
          </w:p>
        </w:tc>
      </w:tr>
      <w:tr w:rsidR="00C46A2A" w:rsidRPr="00BB36CB" w14:paraId="10FCADAF" w14:textId="77777777" w:rsidTr="00C46A2A">
        <w:trPr>
          <w:trHeight w:val="300"/>
          <w:jc w:val="center"/>
        </w:trPr>
        <w:tc>
          <w:tcPr>
            <w:tcW w:w="3966" w:type="dxa"/>
            <w:tcBorders>
              <w:top w:val="nil"/>
              <w:left w:val="nil"/>
              <w:bottom w:val="nil"/>
              <w:right w:val="nil"/>
            </w:tcBorders>
            <w:shd w:val="clear" w:color="auto" w:fill="D9D9D9" w:themeFill="background1" w:themeFillShade="D9"/>
            <w:noWrap/>
            <w:hideMark/>
          </w:tcPr>
          <w:p w14:paraId="23B89BBE" w14:textId="2B8F661C" w:rsidR="00C46A2A" w:rsidRPr="00E03E11" w:rsidRDefault="00C46A2A" w:rsidP="00C46A2A">
            <w:pPr>
              <w:rPr>
                <w:rFonts w:cs="Arial"/>
              </w:rPr>
            </w:pPr>
            <w:r w:rsidRPr="00DA4D44">
              <w:t>Public Administration and Safety</w:t>
            </w:r>
          </w:p>
        </w:tc>
        <w:tc>
          <w:tcPr>
            <w:tcW w:w="1158" w:type="dxa"/>
            <w:tcBorders>
              <w:top w:val="nil"/>
              <w:left w:val="nil"/>
              <w:bottom w:val="nil"/>
              <w:right w:val="nil"/>
            </w:tcBorders>
            <w:shd w:val="clear" w:color="auto" w:fill="D9D9D9" w:themeFill="background1" w:themeFillShade="D9"/>
            <w:noWrap/>
            <w:hideMark/>
          </w:tcPr>
          <w:p w14:paraId="7C3B8623" w14:textId="21C0EFB9" w:rsidR="00C46A2A" w:rsidRPr="00E03E11" w:rsidRDefault="00C46A2A" w:rsidP="00C46A2A">
            <w:pPr>
              <w:jc w:val="center"/>
              <w:rPr>
                <w:rFonts w:cs="Arial"/>
              </w:rPr>
            </w:pPr>
            <w:r w:rsidRPr="00DA4D44">
              <w:t>888.7</w:t>
            </w:r>
          </w:p>
        </w:tc>
        <w:tc>
          <w:tcPr>
            <w:tcW w:w="1073" w:type="dxa"/>
            <w:tcBorders>
              <w:top w:val="nil"/>
              <w:left w:val="nil"/>
              <w:bottom w:val="nil"/>
              <w:right w:val="nil"/>
            </w:tcBorders>
            <w:shd w:val="clear" w:color="auto" w:fill="D9D9D9" w:themeFill="background1" w:themeFillShade="D9"/>
            <w:noWrap/>
            <w:hideMark/>
          </w:tcPr>
          <w:p w14:paraId="1295DCD0" w14:textId="3EF19E86" w:rsidR="00C46A2A" w:rsidRPr="00E03E11" w:rsidRDefault="00C46A2A" w:rsidP="00C46A2A">
            <w:pPr>
              <w:jc w:val="center"/>
              <w:rPr>
                <w:rFonts w:cs="Arial"/>
              </w:rPr>
            </w:pPr>
            <w:r w:rsidRPr="00DA4D44">
              <w:t>853.5</w:t>
            </w:r>
          </w:p>
        </w:tc>
        <w:tc>
          <w:tcPr>
            <w:tcW w:w="1122" w:type="dxa"/>
            <w:tcBorders>
              <w:top w:val="nil"/>
              <w:left w:val="nil"/>
              <w:bottom w:val="nil"/>
              <w:right w:val="nil"/>
            </w:tcBorders>
            <w:shd w:val="clear" w:color="auto" w:fill="D9D9D9" w:themeFill="background1" w:themeFillShade="D9"/>
            <w:noWrap/>
            <w:hideMark/>
          </w:tcPr>
          <w:p w14:paraId="1A44C0DA" w14:textId="0AC8E3D8" w:rsidR="00C46A2A" w:rsidRPr="00E03E11" w:rsidRDefault="00C46A2A" w:rsidP="00C46A2A">
            <w:pPr>
              <w:jc w:val="center"/>
              <w:rPr>
                <w:rFonts w:cs="Arial"/>
              </w:rPr>
            </w:pPr>
            <w:r w:rsidRPr="00DA4D44">
              <w:t>35.3</w:t>
            </w:r>
          </w:p>
        </w:tc>
        <w:tc>
          <w:tcPr>
            <w:tcW w:w="1234" w:type="dxa"/>
            <w:tcBorders>
              <w:top w:val="nil"/>
              <w:left w:val="nil"/>
              <w:bottom w:val="nil"/>
              <w:right w:val="nil"/>
            </w:tcBorders>
            <w:shd w:val="clear" w:color="auto" w:fill="D9D9D9" w:themeFill="background1" w:themeFillShade="D9"/>
            <w:noWrap/>
            <w:hideMark/>
          </w:tcPr>
          <w:p w14:paraId="5AA721E4" w14:textId="5269DAED" w:rsidR="00C46A2A" w:rsidRPr="00E03E11" w:rsidRDefault="00C46A2A" w:rsidP="00C46A2A">
            <w:pPr>
              <w:jc w:val="center"/>
              <w:rPr>
                <w:rFonts w:cs="Arial"/>
              </w:rPr>
            </w:pPr>
            <w:r w:rsidRPr="00DA4D44">
              <w:t>4.1</w:t>
            </w:r>
          </w:p>
        </w:tc>
        <w:tc>
          <w:tcPr>
            <w:tcW w:w="917" w:type="dxa"/>
            <w:tcBorders>
              <w:top w:val="nil"/>
              <w:left w:val="nil"/>
              <w:bottom w:val="nil"/>
              <w:right w:val="nil"/>
            </w:tcBorders>
            <w:shd w:val="clear" w:color="auto" w:fill="D9D9D9" w:themeFill="background1" w:themeFillShade="D9"/>
            <w:noWrap/>
            <w:hideMark/>
          </w:tcPr>
          <w:p w14:paraId="58CC1898" w14:textId="2BC3EEAB" w:rsidR="00C46A2A" w:rsidRPr="00E03E11" w:rsidRDefault="00C46A2A" w:rsidP="00C46A2A">
            <w:pPr>
              <w:jc w:val="center"/>
              <w:rPr>
                <w:rFonts w:cs="Arial"/>
              </w:rPr>
            </w:pPr>
            <w:r w:rsidRPr="00DA4D44">
              <w:t>-12.7</w:t>
            </w:r>
          </w:p>
        </w:tc>
        <w:tc>
          <w:tcPr>
            <w:tcW w:w="1149" w:type="dxa"/>
            <w:tcBorders>
              <w:top w:val="nil"/>
              <w:left w:val="nil"/>
              <w:bottom w:val="nil"/>
              <w:right w:val="nil"/>
            </w:tcBorders>
            <w:shd w:val="clear" w:color="auto" w:fill="D9D9D9" w:themeFill="background1" w:themeFillShade="D9"/>
            <w:noWrap/>
            <w:hideMark/>
          </w:tcPr>
          <w:p w14:paraId="28D86739" w14:textId="43DB7FF8" w:rsidR="00C46A2A" w:rsidRPr="00E03E11" w:rsidRDefault="00C46A2A" w:rsidP="00C46A2A">
            <w:pPr>
              <w:jc w:val="center"/>
              <w:rPr>
                <w:rFonts w:cs="Arial"/>
              </w:rPr>
            </w:pPr>
            <w:r w:rsidRPr="00DA4D44">
              <w:t>-1.4</w:t>
            </w:r>
          </w:p>
        </w:tc>
      </w:tr>
      <w:tr w:rsidR="00C46A2A" w:rsidRPr="00BB36CB" w14:paraId="0719FF0F" w14:textId="77777777" w:rsidTr="00C46A2A">
        <w:trPr>
          <w:trHeight w:val="300"/>
          <w:jc w:val="center"/>
        </w:trPr>
        <w:tc>
          <w:tcPr>
            <w:tcW w:w="3966" w:type="dxa"/>
            <w:tcBorders>
              <w:top w:val="nil"/>
              <w:left w:val="nil"/>
              <w:bottom w:val="nil"/>
              <w:right w:val="nil"/>
            </w:tcBorders>
            <w:noWrap/>
            <w:hideMark/>
          </w:tcPr>
          <w:p w14:paraId="489FB9FC" w14:textId="7F741EA5" w:rsidR="00C46A2A" w:rsidRPr="00E03E11" w:rsidRDefault="00C46A2A" w:rsidP="00C46A2A">
            <w:pPr>
              <w:rPr>
                <w:rFonts w:cs="Arial"/>
              </w:rPr>
            </w:pPr>
            <w:r w:rsidRPr="00DA4D44">
              <w:t>Education and Training</w:t>
            </w:r>
          </w:p>
        </w:tc>
        <w:tc>
          <w:tcPr>
            <w:tcW w:w="1158" w:type="dxa"/>
            <w:tcBorders>
              <w:top w:val="nil"/>
              <w:left w:val="nil"/>
              <w:bottom w:val="nil"/>
              <w:right w:val="nil"/>
            </w:tcBorders>
            <w:noWrap/>
            <w:hideMark/>
          </w:tcPr>
          <w:p w14:paraId="32AEE738" w14:textId="40A5F253" w:rsidR="00C46A2A" w:rsidRPr="00E03E11" w:rsidRDefault="00C46A2A" w:rsidP="00C46A2A">
            <w:pPr>
              <w:jc w:val="center"/>
              <w:rPr>
                <w:rFonts w:cs="Arial"/>
              </w:rPr>
            </w:pPr>
            <w:r w:rsidRPr="00DA4D44">
              <w:t>1,164.8</w:t>
            </w:r>
          </w:p>
        </w:tc>
        <w:tc>
          <w:tcPr>
            <w:tcW w:w="1073" w:type="dxa"/>
            <w:tcBorders>
              <w:top w:val="nil"/>
              <w:left w:val="nil"/>
              <w:bottom w:val="nil"/>
              <w:right w:val="nil"/>
            </w:tcBorders>
            <w:noWrap/>
            <w:hideMark/>
          </w:tcPr>
          <w:p w14:paraId="7AE90DAE" w14:textId="0904FF40" w:rsidR="00C46A2A" w:rsidRPr="00E03E11" w:rsidRDefault="00C46A2A" w:rsidP="00C46A2A">
            <w:pPr>
              <w:jc w:val="center"/>
              <w:rPr>
                <w:rFonts w:cs="Arial"/>
              </w:rPr>
            </w:pPr>
            <w:r w:rsidRPr="00DA4D44">
              <w:t>1,148.2</w:t>
            </w:r>
          </w:p>
        </w:tc>
        <w:tc>
          <w:tcPr>
            <w:tcW w:w="1122" w:type="dxa"/>
            <w:tcBorders>
              <w:top w:val="nil"/>
              <w:left w:val="nil"/>
              <w:bottom w:val="nil"/>
              <w:right w:val="nil"/>
            </w:tcBorders>
            <w:noWrap/>
            <w:hideMark/>
          </w:tcPr>
          <w:p w14:paraId="59BED135" w14:textId="47082EC5" w:rsidR="00C46A2A" w:rsidRPr="00E03E11" w:rsidRDefault="00C46A2A" w:rsidP="00C46A2A">
            <w:pPr>
              <w:jc w:val="center"/>
              <w:rPr>
                <w:rFonts w:cs="Arial"/>
              </w:rPr>
            </w:pPr>
            <w:r w:rsidRPr="00DA4D44">
              <w:t>16.7</w:t>
            </w:r>
          </w:p>
        </w:tc>
        <w:tc>
          <w:tcPr>
            <w:tcW w:w="1234" w:type="dxa"/>
            <w:tcBorders>
              <w:top w:val="nil"/>
              <w:left w:val="nil"/>
              <w:bottom w:val="nil"/>
              <w:right w:val="nil"/>
            </w:tcBorders>
            <w:noWrap/>
            <w:hideMark/>
          </w:tcPr>
          <w:p w14:paraId="086CC7FB" w14:textId="638A3922" w:rsidR="00C46A2A" w:rsidRPr="00E03E11" w:rsidRDefault="00C46A2A" w:rsidP="00C46A2A">
            <w:pPr>
              <w:jc w:val="center"/>
              <w:rPr>
                <w:rFonts w:cs="Arial"/>
              </w:rPr>
            </w:pPr>
            <w:r w:rsidRPr="00DA4D44">
              <w:t>1.5</w:t>
            </w:r>
          </w:p>
        </w:tc>
        <w:tc>
          <w:tcPr>
            <w:tcW w:w="917" w:type="dxa"/>
            <w:tcBorders>
              <w:top w:val="nil"/>
              <w:left w:val="nil"/>
              <w:bottom w:val="nil"/>
              <w:right w:val="nil"/>
            </w:tcBorders>
            <w:noWrap/>
            <w:hideMark/>
          </w:tcPr>
          <w:p w14:paraId="5040A6F9" w14:textId="59FD7C79" w:rsidR="00C46A2A" w:rsidRPr="00E03E11" w:rsidRDefault="00C46A2A" w:rsidP="00C46A2A">
            <w:pPr>
              <w:jc w:val="center"/>
              <w:rPr>
                <w:rFonts w:cs="Arial"/>
              </w:rPr>
            </w:pPr>
            <w:r w:rsidRPr="00DA4D44">
              <w:t>17.2</w:t>
            </w:r>
          </w:p>
        </w:tc>
        <w:tc>
          <w:tcPr>
            <w:tcW w:w="1149" w:type="dxa"/>
            <w:tcBorders>
              <w:top w:val="nil"/>
              <w:left w:val="nil"/>
              <w:bottom w:val="nil"/>
              <w:right w:val="nil"/>
            </w:tcBorders>
            <w:noWrap/>
            <w:hideMark/>
          </w:tcPr>
          <w:p w14:paraId="5B528089" w14:textId="61FB6F5A" w:rsidR="00C46A2A" w:rsidRPr="00E03E11" w:rsidRDefault="00C46A2A" w:rsidP="00C46A2A">
            <w:pPr>
              <w:jc w:val="center"/>
              <w:rPr>
                <w:rFonts w:cs="Arial"/>
              </w:rPr>
            </w:pPr>
            <w:r w:rsidRPr="00DA4D44">
              <w:t>1.5</w:t>
            </w:r>
          </w:p>
        </w:tc>
      </w:tr>
      <w:tr w:rsidR="00C46A2A" w:rsidRPr="00BB36CB" w14:paraId="75860E14" w14:textId="77777777" w:rsidTr="00C46A2A">
        <w:trPr>
          <w:trHeight w:val="300"/>
          <w:jc w:val="center"/>
        </w:trPr>
        <w:tc>
          <w:tcPr>
            <w:tcW w:w="3966" w:type="dxa"/>
            <w:tcBorders>
              <w:top w:val="nil"/>
              <w:left w:val="nil"/>
              <w:bottom w:val="nil"/>
              <w:right w:val="nil"/>
            </w:tcBorders>
            <w:shd w:val="clear" w:color="auto" w:fill="D9D9D9" w:themeFill="background1" w:themeFillShade="D9"/>
            <w:noWrap/>
            <w:hideMark/>
          </w:tcPr>
          <w:p w14:paraId="0B5A9C86" w14:textId="41ECC3BA" w:rsidR="00C46A2A" w:rsidRPr="00E03E11" w:rsidRDefault="00C46A2A" w:rsidP="00C46A2A">
            <w:pPr>
              <w:rPr>
                <w:rFonts w:cs="Arial"/>
              </w:rPr>
            </w:pPr>
            <w:r w:rsidRPr="00DA4D44">
              <w:t>Health Care and Social Assistance</w:t>
            </w:r>
          </w:p>
        </w:tc>
        <w:tc>
          <w:tcPr>
            <w:tcW w:w="1158" w:type="dxa"/>
            <w:tcBorders>
              <w:top w:val="nil"/>
              <w:left w:val="nil"/>
              <w:bottom w:val="nil"/>
              <w:right w:val="nil"/>
            </w:tcBorders>
            <w:shd w:val="clear" w:color="auto" w:fill="D9D9D9" w:themeFill="background1" w:themeFillShade="D9"/>
            <w:noWrap/>
            <w:hideMark/>
          </w:tcPr>
          <w:p w14:paraId="2E336B64" w14:textId="117BCF56" w:rsidR="00C46A2A" w:rsidRPr="00E03E11" w:rsidRDefault="00C46A2A" w:rsidP="00C46A2A">
            <w:pPr>
              <w:jc w:val="center"/>
              <w:rPr>
                <w:rFonts w:cs="Arial"/>
              </w:rPr>
            </w:pPr>
            <w:r w:rsidRPr="00DA4D44">
              <w:t>2,112.6</w:t>
            </w:r>
          </w:p>
        </w:tc>
        <w:tc>
          <w:tcPr>
            <w:tcW w:w="1073" w:type="dxa"/>
            <w:tcBorders>
              <w:top w:val="nil"/>
              <w:left w:val="nil"/>
              <w:bottom w:val="nil"/>
              <w:right w:val="nil"/>
            </w:tcBorders>
            <w:shd w:val="clear" w:color="auto" w:fill="D9D9D9" w:themeFill="background1" w:themeFillShade="D9"/>
            <w:noWrap/>
            <w:hideMark/>
          </w:tcPr>
          <w:p w14:paraId="05ABA357" w14:textId="52812C5C" w:rsidR="00C46A2A" w:rsidRPr="00E03E11" w:rsidRDefault="00C46A2A" w:rsidP="00C46A2A">
            <w:pPr>
              <w:jc w:val="center"/>
              <w:rPr>
                <w:rFonts w:cs="Arial"/>
              </w:rPr>
            </w:pPr>
            <w:r w:rsidRPr="00DA4D44">
              <w:t>2,068.9</w:t>
            </w:r>
          </w:p>
        </w:tc>
        <w:tc>
          <w:tcPr>
            <w:tcW w:w="1122" w:type="dxa"/>
            <w:tcBorders>
              <w:top w:val="nil"/>
              <w:left w:val="nil"/>
              <w:bottom w:val="nil"/>
              <w:right w:val="nil"/>
            </w:tcBorders>
            <w:shd w:val="clear" w:color="auto" w:fill="D9D9D9" w:themeFill="background1" w:themeFillShade="D9"/>
            <w:noWrap/>
            <w:hideMark/>
          </w:tcPr>
          <w:p w14:paraId="24A5E313" w14:textId="62E307BB" w:rsidR="00C46A2A" w:rsidRPr="00E03E11" w:rsidRDefault="00C46A2A" w:rsidP="00C46A2A">
            <w:pPr>
              <w:jc w:val="center"/>
              <w:rPr>
                <w:rFonts w:cs="Arial"/>
              </w:rPr>
            </w:pPr>
            <w:r w:rsidRPr="00DA4D44">
              <w:t>43.6</w:t>
            </w:r>
          </w:p>
        </w:tc>
        <w:tc>
          <w:tcPr>
            <w:tcW w:w="1234" w:type="dxa"/>
            <w:tcBorders>
              <w:top w:val="nil"/>
              <w:left w:val="nil"/>
              <w:bottom w:val="nil"/>
              <w:right w:val="nil"/>
            </w:tcBorders>
            <w:shd w:val="clear" w:color="auto" w:fill="D9D9D9" w:themeFill="background1" w:themeFillShade="D9"/>
            <w:noWrap/>
            <w:hideMark/>
          </w:tcPr>
          <w:p w14:paraId="0B0518A9" w14:textId="07491469" w:rsidR="00C46A2A" w:rsidRPr="00E03E11" w:rsidRDefault="00C46A2A" w:rsidP="00C46A2A">
            <w:pPr>
              <w:jc w:val="center"/>
              <w:rPr>
                <w:rFonts w:cs="Arial"/>
              </w:rPr>
            </w:pPr>
            <w:r w:rsidRPr="00DA4D44">
              <w:t>2.1</w:t>
            </w:r>
          </w:p>
        </w:tc>
        <w:tc>
          <w:tcPr>
            <w:tcW w:w="917" w:type="dxa"/>
            <w:tcBorders>
              <w:top w:val="nil"/>
              <w:left w:val="nil"/>
              <w:bottom w:val="nil"/>
              <w:right w:val="nil"/>
            </w:tcBorders>
            <w:shd w:val="clear" w:color="auto" w:fill="D9D9D9" w:themeFill="background1" w:themeFillShade="D9"/>
            <w:noWrap/>
            <w:hideMark/>
          </w:tcPr>
          <w:p w14:paraId="5D8FCD2E" w14:textId="45B8A531" w:rsidR="00C46A2A" w:rsidRPr="00E03E11" w:rsidRDefault="00C46A2A" w:rsidP="00C46A2A">
            <w:pPr>
              <w:jc w:val="center"/>
              <w:rPr>
                <w:rFonts w:cs="Arial"/>
              </w:rPr>
            </w:pPr>
            <w:r w:rsidRPr="00DA4D44">
              <w:t>97.3</w:t>
            </w:r>
          </w:p>
        </w:tc>
        <w:tc>
          <w:tcPr>
            <w:tcW w:w="1149" w:type="dxa"/>
            <w:tcBorders>
              <w:top w:val="nil"/>
              <w:left w:val="nil"/>
              <w:bottom w:val="nil"/>
              <w:right w:val="nil"/>
            </w:tcBorders>
            <w:shd w:val="clear" w:color="auto" w:fill="D9D9D9" w:themeFill="background1" w:themeFillShade="D9"/>
            <w:noWrap/>
            <w:hideMark/>
          </w:tcPr>
          <w:p w14:paraId="70BF49FB" w14:textId="1B638110" w:rsidR="00C46A2A" w:rsidRPr="00E03E11" w:rsidRDefault="00C46A2A" w:rsidP="00C46A2A">
            <w:pPr>
              <w:jc w:val="center"/>
              <w:rPr>
                <w:rFonts w:cs="Arial"/>
              </w:rPr>
            </w:pPr>
            <w:r w:rsidRPr="00DA4D44">
              <w:t>4.8</w:t>
            </w:r>
          </w:p>
        </w:tc>
      </w:tr>
      <w:tr w:rsidR="00C46A2A" w:rsidRPr="00BB36CB" w14:paraId="33D4185E" w14:textId="77777777" w:rsidTr="00C46A2A">
        <w:trPr>
          <w:trHeight w:val="300"/>
          <w:jc w:val="center"/>
        </w:trPr>
        <w:tc>
          <w:tcPr>
            <w:tcW w:w="3966" w:type="dxa"/>
            <w:tcBorders>
              <w:top w:val="nil"/>
              <w:left w:val="nil"/>
              <w:bottom w:val="nil"/>
              <w:right w:val="nil"/>
            </w:tcBorders>
            <w:noWrap/>
            <w:hideMark/>
          </w:tcPr>
          <w:p w14:paraId="32D704AF" w14:textId="667BA5F6" w:rsidR="00C46A2A" w:rsidRPr="00E03E11" w:rsidRDefault="00C46A2A" w:rsidP="00C46A2A">
            <w:pPr>
              <w:rPr>
                <w:rFonts w:cs="Arial"/>
              </w:rPr>
            </w:pPr>
            <w:r w:rsidRPr="00DA4D44">
              <w:t>Arts and Recreation Services</w:t>
            </w:r>
          </w:p>
        </w:tc>
        <w:tc>
          <w:tcPr>
            <w:tcW w:w="1158" w:type="dxa"/>
            <w:tcBorders>
              <w:top w:val="nil"/>
              <w:left w:val="nil"/>
              <w:bottom w:val="nil"/>
              <w:right w:val="nil"/>
            </w:tcBorders>
            <w:noWrap/>
            <w:hideMark/>
          </w:tcPr>
          <w:p w14:paraId="7DDB8B4E" w14:textId="3D7ACE25" w:rsidR="00C46A2A" w:rsidRPr="00E03E11" w:rsidRDefault="00C46A2A" w:rsidP="00C46A2A">
            <w:pPr>
              <w:jc w:val="center"/>
              <w:rPr>
                <w:rFonts w:cs="Arial"/>
              </w:rPr>
            </w:pPr>
            <w:r w:rsidRPr="00DA4D44">
              <w:t>242.7</w:t>
            </w:r>
          </w:p>
        </w:tc>
        <w:tc>
          <w:tcPr>
            <w:tcW w:w="1073" w:type="dxa"/>
            <w:tcBorders>
              <w:top w:val="nil"/>
              <w:left w:val="nil"/>
              <w:bottom w:val="nil"/>
              <w:right w:val="nil"/>
            </w:tcBorders>
            <w:noWrap/>
            <w:hideMark/>
          </w:tcPr>
          <w:p w14:paraId="6A7C3874" w14:textId="4A662BEF" w:rsidR="00C46A2A" w:rsidRPr="00E03E11" w:rsidRDefault="00C46A2A" w:rsidP="00C46A2A">
            <w:pPr>
              <w:jc w:val="center"/>
              <w:rPr>
                <w:rFonts w:cs="Arial"/>
              </w:rPr>
            </w:pPr>
            <w:r w:rsidRPr="00DA4D44">
              <w:t>251.0</w:t>
            </w:r>
          </w:p>
        </w:tc>
        <w:tc>
          <w:tcPr>
            <w:tcW w:w="1122" w:type="dxa"/>
            <w:tcBorders>
              <w:top w:val="nil"/>
              <w:left w:val="nil"/>
              <w:bottom w:val="nil"/>
              <w:right w:val="nil"/>
            </w:tcBorders>
            <w:noWrap/>
            <w:hideMark/>
          </w:tcPr>
          <w:p w14:paraId="3A8EA391" w14:textId="24D5701A" w:rsidR="00C46A2A" w:rsidRPr="00E03E11" w:rsidRDefault="00C46A2A" w:rsidP="00C46A2A">
            <w:pPr>
              <w:jc w:val="center"/>
              <w:rPr>
                <w:rFonts w:cs="Arial"/>
              </w:rPr>
            </w:pPr>
            <w:r w:rsidRPr="00DA4D44">
              <w:t>-8.4</w:t>
            </w:r>
          </w:p>
        </w:tc>
        <w:tc>
          <w:tcPr>
            <w:tcW w:w="1234" w:type="dxa"/>
            <w:tcBorders>
              <w:top w:val="nil"/>
              <w:left w:val="nil"/>
              <w:bottom w:val="nil"/>
              <w:right w:val="nil"/>
            </w:tcBorders>
            <w:noWrap/>
            <w:hideMark/>
          </w:tcPr>
          <w:p w14:paraId="0D25BAF6" w14:textId="76CFCE9C" w:rsidR="00C46A2A" w:rsidRPr="00E03E11" w:rsidRDefault="00C46A2A" w:rsidP="00C46A2A">
            <w:pPr>
              <w:jc w:val="center"/>
              <w:rPr>
                <w:rFonts w:cs="Arial"/>
              </w:rPr>
            </w:pPr>
            <w:r w:rsidRPr="00DA4D44">
              <w:t>-3.3</w:t>
            </w:r>
          </w:p>
        </w:tc>
        <w:tc>
          <w:tcPr>
            <w:tcW w:w="917" w:type="dxa"/>
            <w:tcBorders>
              <w:top w:val="nil"/>
              <w:left w:val="nil"/>
              <w:bottom w:val="nil"/>
              <w:right w:val="nil"/>
            </w:tcBorders>
            <w:noWrap/>
            <w:hideMark/>
          </w:tcPr>
          <w:p w14:paraId="7B821534" w14:textId="42125613" w:rsidR="00C46A2A" w:rsidRPr="00E03E11" w:rsidRDefault="00C46A2A" w:rsidP="00C46A2A">
            <w:pPr>
              <w:jc w:val="center"/>
              <w:rPr>
                <w:rFonts w:cs="Arial"/>
              </w:rPr>
            </w:pPr>
            <w:r w:rsidRPr="00DA4D44">
              <w:t>17.0</w:t>
            </w:r>
          </w:p>
        </w:tc>
        <w:tc>
          <w:tcPr>
            <w:tcW w:w="1149" w:type="dxa"/>
            <w:tcBorders>
              <w:top w:val="nil"/>
              <w:left w:val="nil"/>
              <w:bottom w:val="nil"/>
              <w:right w:val="nil"/>
            </w:tcBorders>
            <w:noWrap/>
            <w:hideMark/>
          </w:tcPr>
          <w:p w14:paraId="487461AD" w14:textId="55B6F704" w:rsidR="00C46A2A" w:rsidRPr="00E03E11" w:rsidRDefault="00C46A2A" w:rsidP="00C46A2A">
            <w:pPr>
              <w:jc w:val="center"/>
              <w:rPr>
                <w:rFonts w:cs="Arial"/>
              </w:rPr>
            </w:pPr>
            <w:r w:rsidRPr="00DA4D44">
              <w:t>7.5</w:t>
            </w:r>
          </w:p>
        </w:tc>
      </w:tr>
      <w:tr w:rsidR="00C46A2A" w:rsidRPr="00BB36CB" w14:paraId="45D55650" w14:textId="77777777" w:rsidTr="00C46A2A">
        <w:trPr>
          <w:trHeight w:val="300"/>
          <w:jc w:val="center"/>
        </w:trPr>
        <w:tc>
          <w:tcPr>
            <w:tcW w:w="3966" w:type="dxa"/>
            <w:tcBorders>
              <w:top w:val="nil"/>
              <w:left w:val="nil"/>
              <w:bottom w:val="nil"/>
              <w:right w:val="nil"/>
            </w:tcBorders>
            <w:shd w:val="clear" w:color="auto" w:fill="D9D9D9" w:themeFill="background1" w:themeFillShade="D9"/>
            <w:noWrap/>
            <w:hideMark/>
          </w:tcPr>
          <w:p w14:paraId="6AB7A4EA" w14:textId="1B03C2E8" w:rsidR="00C46A2A" w:rsidRPr="00E03E11" w:rsidRDefault="00C46A2A" w:rsidP="00C46A2A">
            <w:pPr>
              <w:rPr>
                <w:rFonts w:cs="Arial"/>
              </w:rPr>
            </w:pPr>
            <w:r w:rsidRPr="00DA4D44">
              <w:t>Other Services</w:t>
            </w:r>
          </w:p>
        </w:tc>
        <w:tc>
          <w:tcPr>
            <w:tcW w:w="1158" w:type="dxa"/>
            <w:tcBorders>
              <w:top w:val="nil"/>
              <w:left w:val="nil"/>
              <w:bottom w:val="nil"/>
              <w:right w:val="nil"/>
            </w:tcBorders>
            <w:shd w:val="clear" w:color="auto" w:fill="D9D9D9" w:themeFill="background1" w:themeFillShade="D9"/>
            <w:noWrap/>
            <w:hideMark/>
          </w:tcPr>
          <w:p w14:paraId="223E8BE3" w14:textId="457B2064" w:rsidR="00C46A2A" w:rsidRPr="00E03E11" w:rsidRDefault="00C46A2A" w:rsidP="00C46A2A">
            <w:pPr>
              <w:jc w:val="center"/>
              <w:rPr>
                <w:rFonts w:cs="Arial"/>
              </w:rPr>
            </w:pPr>
            <w:r w:rsidRPr="00DA4D44">
              <w:t>523.1</w:t>
            </w:r>
          </w:p>
        </w:tc>
        <w:tc>
          <w:tcPr>
            <w:tcW w:w="1073" w:type="dxa"/>
            <w:tcBorders>
              <w:top w:val="nil"/>
              <w:left w:val="nil"/>
              <w:bottom w:val="nil"/>
              <w:right w:val="nil"/>
            </w:tcBorders>
            <w:shd w:val="clear" w:color="auto" w:fill="D9D9D9" w:themeFill="background1" w:themeFillShade="D9"/>
            <w:noWrap/>
            <w:hideMark/>
          </w:tcPr>
          <w:p w14:paraId="54894600" w14:textId="6D1480B3" w:rsidR="00C46A2A" w:rsidRPr="00E03E11" w:rsidRDefault="00C46A2A" w:rsidP="00C46A2A">
            <w:pPr>
              <w:jc w:val="center"/>
              <w:rPr>
                <w:rFonts w:cs="Arial"/>
              </w:rPr>
            </w:pPr>
            <w:r w:rsidRPr="00DA4D44">
              <w:t>521.3</w:t>
            </w:r>
          </w:p>
        </w:tc>
        <w:tc>
          <w:tcPr>
            <w:tcW w:w="1122" w:type="dxa"/>
            <w:tcBorders>
              <w:top w:val="nil"/>
              <w:left w:val="nil"/>
              <w:bottom w:val="nil"/>
              <w:right w:val="nil"/>
            </w:tcBorders>
            <w:shd w:val="clear" w:color="auto" w:fill="D9D9D9" w:themeFill="background1" w:themeFillShade="D9"/>
            <w:noWrap/>
            <w:hideMark/>
          </w:tcPr>
          <w:p w14:paraId="314F533B" w14:textId="28FF159D" w:rsidR="00C46A2A" w:rsidRPr="00E03E11" w:rsidRDefault="00C46A2A" w:rsidP="00C46A2A">
            <w:pPr>
              <w:jc w:val="center"/>
              <w:rPr>
                <w:rFonts w:cs="Arial"/>
              </w:rPr>
            </w:pPr>
            <w:r w:rsidRPr="00DA4D44">
              <w:t>1.8</w:t>
            </w:r>
          </w:p>
        </w:tc>
        <w:tc>
          <w:tcPr>
            <w:tcW w:w="1234" w:type="dxa"/>
            <w:tcBorders>
              <w:top w:val="nil"/>
              <w:left w:val="nil"/>
              <w:bottom w:val="nil"/>
              <w:right w:val="nil"/>
            </w:tcBorders>
            <w:shd w:val="clear" w:color="auto" w:fill="D9D9D9" w:themeFill="background1" w:themeFillShade="D9"/>
            <w:noWrap/>
            <w:hideMark/>
          </w:tcPr>
          <w:p w14:paraId="4B38C11F" w14:textId="09993521" w:rsidR="00C46A2A" w:rsidRPr="00E03E11" w:rsidRDefault="00C46A2A" w:rsidP="00C46A2A">
            <w:pPr>
              <w:jc w:val="center"/>
              <w:rPr>
                <w:rFonts w:cs="Arial"/>
              </w:rPr>
            </w:pPr>
            <w:r w:rsidRPr="00DA4D44">
              <w:t>0.3</w:t>
            </w:r>
          </w:p>
        </w:tc>
        <w:tc>
          <w:tcPr>
            <w:tcW w:w="917" w:type="dxa"/>
            <w:tcBorders>
              <w:top w:val="nil"/>
              <w:left w:val="nil"/>
              <w:bottom w:val="nil"/>
              <w:right w:val="nil"/>
            </w:tcBorders>
            <w:shd w:val="clear" w:color="auto" w:fill="D9D9D9" w:themeFill="background1" w:themeFillShade="D9"/>
            <w:noWrap/>
            <w:hideMark/>
          </w:tcPr>
          <w:p w14:paraId="5B558F10" w14:textId="424E33ED" w:rsidR="00C46A2A" w:rsidRPr="00E03E11" w:rsidRDefault="00C46A2A" w:rsidP="00C46A2A">
            <w:pPr>
              <w:jc w:val="center"/>
              <w:rPr>
                <w:rFonts w:cs="Arial"/>
              </w:rPr>
            </w:pPr>
            <w:r w:rsidRPr="00DA4D44">
              <w:t>7.9</w:t>
            </w:r>
          </w:p>
        </w:tc>
        <w:tc>
          <w:tcPr>
            <w:tcW w:w="1149" w:type="dxa"/>
            <w:tcBorders>
              <w:top w:val="nil"/>
              <w:left w:val="nil"/>
              <w:bottom w:val="nil"/>
              <w:right w:val="nil"/>
            </w:tcBorders>
            <w:shd w:val="clear" w:color="auto" w:fill="D9D9D9" w:themeFill="background1" w:themeFillShade="D9"/>
            <w:noWrap/>
            <w:hideMark/>
          </w:tcPr>
          <w:p w14:paraId="7C5E399E" w14:textId="7F4A97A0" w:rsidR="00C46A2A" w:rsidRPr="00E03E11" w:rsidRDefault="00C46A2A" w:rsidP="00C46A2A">
            <w:pPr>
              <w:jc w:val="center"/>
              <w:rPr>
                <w:rFonts w:cs="Arial"/>
              </w:rPr>
            </w:pPr>
            <w:r w:rsidRPr="00DA4D44">
              <w:t>1.5</w:t>
            </w:r>
          </w:p>
        </w:tc>
      </w:tr>
      <w:tr w:rsidR="00C46A2A" w:rsidRPr="00BB36CB" w14:paraId="018BED1A" w14:textId="77777777" w:rsidTr="00C46A2A">
        <w:trPr>
          <w:trHeight w:val="80"/>
          <w:jc w:val="center"/>
        </w:trPr>
        <w:tc>
          <w:tcPr>
            <w:tcW w:w="3966" w:type="dxa"/>
            <w:tcBorders>
              <w:top w:val="nil"/>
              <w:left w:val="nil"/>
              <w:bottom w:val="nil"/>
              <w:right w:val="nil"/>
            </w:tcBorders>
            <w:noWrap/>
            <w:hideMark/>
          </w:tcPr>
          <w:p w14:paraId="245D14E7" w14:textId="21FA5A78" w:rsidR="00C46A2A" w:rsidRPr="00C46A2A" w:rsidRDefault="00C46A2A" w:rsidP="00C46A2A">
            <w:pPr>
              <w:rPr>
                <w:rFonts w:cs="Arial"/>
                <w:b/>
                <w:bCs/>
              </w:rPr>
            </w:pPr>
            <w:r w:rsidRPr="00C46A2A">
              <w:rPr>
                <w:b/>
                <w:bCs/>
              </w:rPr>
              <w:t>TOTAL EMPLOYMENT</w:t>
            </w:r>
          </w:p>
        </w:tc>
        <w:tc>
          <w:tcPr>
            <w:tcW w:w="1158" w:type="dxa"/>
            <w:tcBorders>
              <w:top w:val="nil"/>
              <w:left w:val="nil"/>
              <w:bottom w:val="nil"/>
              <w:right w:val="nil"/>
            </w:tcBorders>
            <w:noWrap/>
            <w:hideMark/>
          </w:tcPr>
          <w:p w14:paraId="21F7B398" w14:textId="2B31C136" w:rsidR="00C46A2A" w:rsidRPr="00C46A2A" w:rsidRDefault="00C46A2A" w:rsidP="00C46A2A">
            <w:pPr>
              <w:jc w:val="center"/>
              <w:rPr>
                <w:rFonts w:cs="Arial"/>
                <w:b/>
                <w:bCs/>
              </w:rPr>
            </w:pPr>
            <w:r w:rsidRPr="00C46A2A">
              <w:rPr>
                <w:b/>
                <w:bCs/>
              </w:rPr>
              <w:t>13,850.8</w:t>
            </w:r>
          </w:p>
        </w:tc>
        <w:tc>
          <w:tcPr>
            <w:tcW w:w="1073" w:type="dxa"/>
            <w:tcBorders>
              <w:top w:val="nil"/>
              <w:left w:val="nil"/>
              <w:bottom w:val="nil"/>
              <w:right w:val="nil"/>
            </w:tcBorders>
            <w:noWrap/>
            <w:hideMark/>
          </w:tcPr>
          <w:p w14:paraId="36B1813F" w14:textId="31FC30F4" w:rsidR="00C46A2A" w:rsidRPr="00C46A2A" w:rsidRDefault="00C46A2A" w:rsidP="00C46A2A">
            <w:pPr>
              <w:jc w:val="center"/>
              <w:rPr>
                <w:rFonts w:cs="Arial"/>
                <w:b/>
                <w:bCs/>
              </w:rPr>
            </w:pPr>
            <w:r w:rsidRPr="00C46A2A">
              <w:rPr>
                <w:b/>
                <w:bCs/>
              </w:rPr>
              <w:t>13,810.2</w:t>
            </w:r>
          </w:p>
        </w:tc>
        <w:tc>
          <w:tcPr>
            <w:tcW w:w="1122" w:type="dxa"/>
            <w:tcBorders>
              <w:top w:val="nil"/>
              <w:left w:val="nil"/>
              <w:bottom w:val="nil"/>
              <w:right w:val="nil"/>
            </w:tcBorders>
            <w:noWrap/>
            <w:hideMark/>
          </w:tcPr>
          <w:p w14:paraId="52B81C1C" w14:textId="0E240AAC" w:rsidR="00C46A2A" w:rsidRPr="00C46A2A" w:rsidRDefault="00C46A2A" w:rsidP="00C46A2A">
            <w:pPr>
              <w:jc w:val="center"/>
              <w:rPr>
                <w:rFonts w:cs="Arial"/>
                <w:b/>
                <w:bCs/>
              </w:rPr>
            </w:pPr>
            <w:r w:rsidRPr="00C46A2A">
              <w:rPr>
                <w:b/>
                <w:bCs/>
              </w:rPr>
              <w:t>40.5</w:t>
            </w:r>
          </w:p>
        </w:tc>
        <w:tc>
          <w:tcPr>
            <w:tcW w:w="1234" w:type="dxa"/>
            <w:tcBorders>
              <w:top w:val="nil"/>
              <w:left w:val="nil"/>
              <w:bottom w:val="nil"/>
              <w:right w:val="nil"/>
            </w:tcBorders>
            <w:noWrap/>
            <w:hideMark/>
          </w:tcPr>
          <w:p w14:paraId="7C1B5049" w14:textId="5ADDB1E2" w:rsidR="00C46A2A" w:rsidRPr="00C46A2A" w:rsidRDefault="00C46A2A" w:rsidP="00C46A2A">
            <w:pPr>
              <w:jc w:val="center"/>
              <w:rPr>
                <w:rFonts w:cs="Arial"/>
                <w:b/>
                <w:bCs/>
              </w:rPr>
            </w:pPr>
            <w:r w:rsidRPr="00C46A2A">
              <w:rPr>
                <w:b/>
                <w:bCs/>
              </w:rPr>
              <w:t>0.3</w:t>
            </w:r>
          </w:p>
        </w:tc>
        <w:tc>
          <w:tcPr>
            <w:tcW w:w="917" w:type="dxa"/>
            <w:tcBorders>
              <w:top w:val="nil"/>
              <w:left w:val="nil"/>
              <w:bottom w:val="nil"/>
              <w:right w:val="nil"/>
            </w:tcBorders>
            <w:noWrap/>
            <w:hideMark/>
          </w:tcPr>
          <w:p w14:paraId="3EE3F2DC" w14:textId="7C6F6A76" w:rsidR="00C46A2A" w:rsidRPr="00C46A2A" w:rsidRDefault="00C46A2A" w:rsidP="00C46A2A">
            <w:pPr>
              <w:jc w:val="center"/>
              <w:rPr>
                <w:rFonts w:cs="Arial"/>
                <w:b/>
                <w:bCs/>
              </w:rPr>
            </w:pPr>
            <w:r w:rsidRPr="00C46A2A">
              <w:rPr>
                <w:b/>
                <w:bCs/>
              </w:rPr>
              <w:t>404.4</w:t>
            </w:r>
          </w:p>
        </w:tc>
        <w:tc>
          <w:tcPr>
            <w:tcW w:w="1149" w:type="dxa"/>
            <w:tcBorders>
              <w:top w:val="nil"/>
              <w:left w:val="nil"/>
              <w:bottom w:val="nil"/>
              <w:right w:val="nil"/>
            </w:tcBorders>
            <w:noWrap/>
            <w:hideMark/>
          </w:tcPr>
          <w:p w14:paraId="49E8C2F4" w14:textId="0DF11108" w:rsidR="00C46A2A" w:rsidRPr="00C46A2A" w:rsidRDefault="00C46A2A" w:rsidP="00C46A2A">
            <w:pPr>
              <w:jc w:val="center"/>
              <w:rPr>
                <w:rFonts w:cs="Arial"/>
                <w:b/>
                <w:bCs/>
              </w:rPr>
            </w:pPr>
            <w:r w:rsidRPr="00C46A2A">
              <w:rPr>
                <w:b/>
                <w:bCs/>
              </w:rPr>
              <w:t>3.0</w:t>
            </w:r>
          </w:p>
        </w:tc>
      </w:tr>
    </w:tbl>
    <w:p w14:paraId="7363ED59" w14:textId="77777777" w:rsidR="00C14F98" w:rsidRPr="00BB36CB" w:rsidRDefault="00C14F98" w:rsidP="00C14F98">
      <w:pPr>
        <w:autoSpaceDE w:val="0"/>
        <w:autoSpaceDN w:val="0"/>
        <w:adjustRightInd w:val="0"/>
        <w:spacing w:after="120" w:line="276" w:lineRule="auto"/>
        <w:rPr>
          <w:rFonts w:cs="Arial"/>
          <w:highlight w:val="yellow"/>
        </w:rPr>
      </w:pPr>
    </w:p>
    <w:p w14:paraId="478F382D" w14:textId="0168A486" w:rsidR="00DC7990" w:rsidRPr="00BB36CB" w:rsidRDefault="00DC7990" w:rsidP="00DC7990">
      <w:pPr>
        <w:pStyle w:val="Source"/>
        <w:rPr>
          <w:rFonts w:ascii="Arial" w:hAnsi="Arial" w:cs="Arial"/>
        </w:rPr>
      </w:pPr>
      <w:r w:rsidRPr="00BB36CB">
        <w:rPr>
          <w:rFonts w:ascii="Arial" w:hAnsi="Arial" w:cs="Arial"/>
          <w:i w:val="0"/>
          <w:iCs/>
        </w:rPr>
        <w:t>ABS,</w:t>
      </w:r>
      <w:r w:rsidRPr="00BB36CB">
        <w:rPr>
          <w:rFonts w:ascii="Arial" w:hAnsi="Arial" w:cs="Arial"/>
        </w:rPr>
        <w:t xml:space="preserve"> Labour Force, Australia, Detailed, </w:t>
      </w:r>
      <w:r w:rsidR="00421235">
        <w:rPr>
          <w:rFonts w:ascii="Arial" w:hAnsi="Arial" w:cs="Arial"/>
          <w:i w:val="0"/>
          <w:iCs/>
        </w:rPr>
        <w:t>February 2023</w:t>
      </w:r>
      <w:r w:rsidRPr="00BB36CB">
        <w:rPr>
          <w:rFonts w:ascii="Arial" w:hAnsi="Arial" w:cs="Arial"/>
          <w:iCs/>
          <w:szCs w:val="16"/>
        </w:rPr>
        <w:t>, seasonally adjusted data.</w:t>
      </w:r>
    </w:p>
    <w:p w14:paraId="184EFC82" w14:textId="77777777" w:rsidR="00F11884" w:rsidRDefault="00F11884" w:rsidP="00127327">
      <w:pPr>
        <w:pStyle w:val="Heading3"/>
      </w:pPr>
      <w:bookmarkStart w:id="10" w:name="_Toc110414941"/>
    </w:p>
    <w:p w14:paraId="4D777415" w14:textId="26DA1B1D" w:rsidR="006E720A" w:rsidRPr="008F3408" w:rsidRDefault="006E720A" w:rsidP="00127327">
      <w:pPr>
        <w:pStyle w:val="Heading3"/>
      </w:pPr>
      <w:bookmarkStart w:id="11" w:name="_Toc134785323"/>
      <w:r>
        <w:t xml:space="preserve">Record employment in </w:t>
      </w:r>
      <w:r w:rsidR="00127327">
        <w:t>Health Care and Social Assistance, Construction, and Education and Training</w:t>
      </w:r>
      <w:bookmarkEnd w:id="11"/>
      <w:r w:rsidR="00127327">
        <w:t xml:space="preserve"> </w:t>
      </w:r>
    </w:p>
    <w:p w14:paraId="7D1E72CF" w14:textId="6BB01942" w:rsidR="00A039CE" w:rsidRPr="00A039CE" w:rsidRDefault="00A039CE" w:rsidP="00A039CE">
      <w:r w:rsidRPr="00A039CE">
        <w:t xml:space="preserve">Reflecting continued economic growth and a tight labour market, employment in Australia reached a record high in the February 2023 quarter, and employment in </w:t>
      </w:r>
      <w:r w:rsidR="00421235">
        <w:t>three</w:t>
      </w:r>
      <w:r w:rsidRPr="00A039CE">
        <w:t xml:space="preserve"> of the 19 broad industry groups reached record highs over the same period:</w:t>
      </w:r>
    </w:p>
    <w:p w14:paraId="14277BC5" w14:textId="0B9E7697" w:rsidR="00A039CE" w:rsidRPr="00A039CE" w:rsidRDefault="00A039CE" w:rsidP="00CB0BE2">
      <w:pPr>
        <w:pStyle w:val="ListParagraph"/>
        <w:numPr>
          <w:ilvl w:val="0"/>
          <w:numId w:val="14"/>
        </w:numPr>
      </w:pPr>
      <w:r w:rsidRPr="00A039CE">
        <w:t>Health Care and Social Assistance (2,112,600, up by 43,600 or 2.1% over the quarter)</w:t>
      </w:r>
    </w:p>
    <w:p w14:paraId="49C3DEC0" w14:textId="6B9D9F36" w:rsidR="00A039CE" w:rsidRPr="00A039CE" w:rsidRDefault="00A039CE" w:rsidP="00CB0BE2">
      <w:pPr>
        <w:pStyle w:val="ListParagraph"/>
        <w:numPr>
          <w:ilvl w:val="0"/>
          <w:numId w:val="14"/>
        </w:numPr>
      </w:pPr>
      <w:r w:rsidRPr="00A039CE">
        <w:t>Construction (1,322,100, up by 27,600 or 2.1% over the quarter)</w:t>
      </w:r>
    </w:p>
    <w:p w14:paraId="7A454FB3" w14:textId="558F9BED" w:rsidR="00A039CE" w:rsidRPr="00A039CE" w:rsidRDefault="00A039CE" w:rsidP="00CB0BE2">
      <w:pPr>
        <w:pStyle w:val="ListParagraph"/>
        <w:numPr>
          <w:ilvl w:val="0"/>
          <w:numId w:val="14"/>
        </w:numPr>
      </w:pPr>
      <w:r w:rsidRPr="00A039CE">
        <w:t>Education and Training (1,164,800, up by 16,700 or 1.5% over the quarter)</w:t>
      </w:r>
    </w:p>
    <w:p w14:paraId="500F9211" w14:textId="2E455520" w:rsidR="00A039CE" w:rsidRPr="00A039CE" w:rsidRDefault="00A039CE" w:rsidP="00A039CE">
      <w:r w:rsidRPr="00A039CE">
        <w:t>The Health Care and Social Assistance industry has experienced nine consecutive quarters of employment growth, with employment increasing by 361,100 people (and the industry growing by 20.6%) since the November 2020 quarter. This growth may be attributed to continued healthcare spending by federal and state governments during and after the COVID-19 pandemic, with 2022-23 healthcare expenditure constituting 16.8% of the Australian Government’s total expenditure over the period.</w:t>
      </w:r>
      <w:r w:rsidR="006A7CFD" w:rsidRPr="00276D5C">
        <w:rPr>
          <w:rStyle w:val="FootnoteReference"/>
          <w:rFonts w:cs="Arial"/>
        </w:rPr>
        <w:footnoteReference w:id="5"/>
      </w:r>
      <w:r w:rsidRPr="00A039CE">
        <w:t xml:space="preserve">  Strong demand for allied health services is another key driver of this growth, with the Medical and Other Health Care Services sub-industry (inclusive of allied health) recording an increase of 99,200 (or 18.2%) people employed since November 2020. </w:t>
      </w:r>
    </w:p>
    <w:p w14:paraId="006382C0" w14:textId="47233F6F" w:rsidR="00A039CE" w:rsidRPr="00A039CE" w:rsidRDefault="00A039CE" w:rsidP="00A039CE">
      <w:r w:rsidRPr="00A039CE">
        <w:lastRenderedPageBreak/>
        <w:t>Over the February 2023 quarter, the Health Care and Social Assistance industry grew by 43,600 people (or 2.1%). This is largely due to an increase in the Social Assistance Services sub-industry (up by 29,700 or 5.0%), with strong demand for and increased attendance hours at childcare centres a potential driver of this growth.</w:t>
      </w:r>
      <w:r w:rsidR="00EB33D0">
        <w:rPr>
          <w:rStyle w:val="FootnoteReference"/>
          <w:rFonts w:cs="Arial"/>
        </w:rPr>
        <w:footnoteReference w:id="6"/>
      </w:r>
    </w:p>
    <w:p w14:paraId="049BBACC" w14:textId="5BA14C4E" w:rsidR="00A039CE" w:rsidRPr="00A039CE" w:rsidRDefault="00A039CE" w:rsidP="00A039CE">
      <w:r w:rsidRPr="00A039CE">
        <w:t>The Construction industry has experienced seven consecutive quarters of employment growth, with employment increasing by 187,100 people (or 16.5%) since August 2021. As the economy recovered from sustained COVID-19 lockdowns in 2020 and the first half of 2021 (particularly in NSW, Victoria and WA), the construction industry rebounded despite material shortages and supply chain issues early in the pandemic recovery. The industry has seen an easing in these issues, and fewer adverse weather events compared with previous quarters, and is expected to see continued growth over at least the next year due to a large pipeline of residential and non-residential projects.</w:t>
      </w:r>
      <w:r w:rsidR="006C2146">
        <w:rPr>
          <w:rStyle w:val="FootnoteReference"/>
          <w:rFonts w:cs="Arial"/>
        </w:rPr>
        <w:footnoteReference w:id="7"/>
      </w:r>
      <w:r w:rsidRPr="00A039CE">
        <w:t xml:space="preserve">  There are good prospects for higher density and detached residential projects, particularly in Sydney and Melbourne due to declining vacancy rates.</w:t>
      </w:r>
      <w:r w:rsidR="007F1CBC" w:rsidRPr="00D82A3F">
        <w:rPr>
          <w:rStyle w:val="FootnoteReference"/>
          <w:rFonts w:cs="Arial"/>
        </w:rPr>
        <w:footnoteReference w:id="8"/>
      </w:r>
      <w:r w:rsidRPr="00A039CE">
        <w:t xml:space="preserve">  Over the February 2023 quarter, the Construction industry has increased by 27,600 people (or 2.1%). An increase in employment in the Construction Services sub-industry of 25,800 people (or 3.2%) has contributed to growth in the industry as supply constraints continue to ease.</w:t>
      </w:r>
      <w:r w:rsidR="00B35172">
        <w:rPr>
          <w:rStyle w:val="FootnoteReference"/>
          <w:rFonts w:cs="Arial"/>
        </w:rPr>
        <w:footnoteReference w:id="9"/>
      </w:r>
      <w:r w:rsidRPr="00A039CE">
        <w:t xml:space="preserve"> </w:t>
      </w:r>
    </w:p>
    <w:p w14:paraId="7CBAE260" w14:textId="337B37ED" w:rsidR="00305F6B" w:rsidRDefault="00A039CE" w:rsidP="00A039CE">
      <w:r w:rsidRPr="00A039CE">
        <w:t>The Education and Training industry reached a record high in the February 2023 quarter, growing by 16,700 people (or 1.5%) over the quarter. This growth is largely due to an increase in employment in the Preschool Education sector (up by 19,700 or 23.7%), with strong demand for and increased attendance hours at preschools a contributing factor.</w:t>
      </w:r>
      <w:r w:rsidR="00B527A2">
        <w:rPr>
          <w:rStyle w:val="FootnoteReference"/>
          <w:rFonts w:cs="Arial"/>
        </w:rPr>
        <w:footnoteReference w:id="10"/>
      </w:r>
    </w:p>
    <w:p w14:paraId="297F9F75" w14:textId="77777777" w:rsidR="00D9717E" w:rsidRDefault="00D9717E" w:rsidP="00A039CE">
      <w:pPr>
        <w:pStyle w:val="BodyText"/>
      </w:pPr>
      <w:r>
        <w:br w:type="page"/>
      </w:r>
    </w:p>
    <w:p w14:paraId="59DFCC0B" w14:textId="2F8DF706" w:rsidR="00C269EE" w:rsidRPr="00BB36CB" w:rsidRDefault="00897D02" w:rsidP="00C269EE">
      <w:pPr>
        <w:pStyle w:val="Heading1"/>
        <w:spacing w:before="240"/>
        <w:rPr>
          <w:rFonts w:cs="Arial"/>
        </w:rPr>
      </w:pPr>
      <w:bookmarkStart w:id="12" w:name="_Toc134785324"/>
      <w:r>
        <w:rPr>
          <w:rFonts w:cs="Arial"/>
        </w:rPr>
        <w:lastRenderedPageBreak/>
        <w:t>Job</w:t>
      </w:r>
      <w:r w:rsidR="00C269EE" w:rsidRPr="00BB36CB">
        <w:rPr>
          <w:rFonts w:cs="Arial"/>
        </w:rPr>
        <w:t xml:space="preserve"> advertisements </w:t>
      </w:r>
      <w:r w:rsidR="00941E98">
        <w:rPr>
          <w:rFonts w:cs="Arial"/>
        </w:rPr>
        <w:t xml:space="preserve">and recruitment activity </w:t>
      </w:r>
      <w:r w:rsidR="00C269EE" w:rsidRPr="00BB36CB">
        <w:rPr>
          <w:rFonts w:cs="Arial"/>
        </w:rPr>
        <w:t xml:space="preserve">have </w:t>
      </w:r>
      <w:r w:rsidR="00D26FB9">
        <w:rPr>
          <w:rFonts w:cs="Arial"/>
        </w:rPr>
        <w:t>stabilised</w:t>
      </w:r>
      <w:bookmarkEnd w:id="12"/>
    </w:p>
    <w:p w14:paraId="4F94028B" w14:textId="6A1CE2A3" w:rsidR="000B5646" w:rsidRPr="008F3408" w:rsidRDefault="00D96C78" w:rsidP="000B5646">
      <w:pPr>
        <w:pStyle w:val="Heading3"/>
      </w:pPr>
      <w:bookmarkStart w:id="13" w:name="_Toc134785325"/>
      <w:bookmarkEnd w:id="10"/>
      <w:r>
        <w:t>M</w:t>
      </w:r>
      <w:r w:rsidR="00D26FB9">
        <w:t xml:space="preserve">onthly </w:t>
      </w:r>
      <w:r w:rsidR="000B5646">
        <w:t>job advertisements ha</w:t>
      </w:r>
      <w:r>
        <w:t>ve</w:t>
      </w:r>
      <w:r w:rsidR="000B5646">
        <w:t xml:space="preserve"> </w:t>
      </w:r>
      <w:r w:rsidR="00D26FB9">
        <w:t xml:space="preserve">stabilised but remain below </w:t>
      </w:r>
      <w:r>
        <w:t>their</w:t>
      </w:r>
      <w:r w:rsidR="000B5646">
        <w:t xml:space="preserve"> mid-2022 peak</w:t>
      </w:r>
      <w:bookmarkEnd w:id="13"/>
      <w:r w:rsidR="000B5646" w:rsidRPr="008F3408">
        <w:t xml:space="preserve"> </w:t>
      </w:r>
    </w:p>
    <w:p w14:paraId="150292D4" w14:textId="18F6DE03" w:rsidR="003E6BDB" w:rsidRDefault="00250FB5" w:rsidP="00DC7990">
      <w:pPr>
        <w:spacing w:line="276" w:lineRule="auto"/>
        <w:rPr>
          <w:rFonts w:cs="Arial"/>
        </w:rPr>
      </w:pPr>
      <w:r>
        <w:rPr>
          <w:rFonts w:cs="Arial"/>
        </w:rPr>
        <w:t>JSA’s</w:t>
      </w:r>
      <w:r w:rsidR="00DC7990" w:rsidRPr="00BB36CB">
        <w:rPr>
          <w:rFonts w:cs="Arial"/>
        </w:rPr>
        <w:t xml:space="preserve"> Internet Vacancy Index (IVI) (Figure </w:t>
      </w:r>
      <w:r w:rsidR="00E21599">
        <w:rPr>
          <w:rFonts w:cs="Arial"/>
        </w:rPr>
        <w:t>4</w:t>
      </w:r>
      <w:r w:rsidR="00DC7990" w:rsidRPr="00BB36CB">
        <w:rPr>
          <w:rFonts w:cs="Arial"/>
        </w:rPr>
        <w:t xml:space="preserve">) shows that job advertisements </w:t>
      </w:r>
      <w:r w:rsidR="00302124">
        <w:rPr>
          <w:rFonts w:cs="Arial"/>
        </w:rPr>
        <w:t>inc</w:t>
      </w:r>
      <w:r w:rsidR="00B702F2" w:rsidRPr="00B702F2">
        <w:rPr>
          <w:rFonts w:cs="Arial"/>
        </w:rPr>
        <w:t xml:space="preserve">reased by </w:t>
      </w:r>
      <w:r w:rsidR="00302124">
        <w:rPr>
          <w:rFonts w:cs="Arial"/>
        </w:rPr>
        <w:t>2.8</w:t>
      </w:r>
      <w:r w:rsidR="00B702F2" w:rsidRPr="00B702F2">
        <w:rPr>
          <w:rFonts w:cs="Arial"/>
        </w:rPr>
        <w:t xml:space="preserve">% (or </w:t>
      </w:r>
      <w:r w:rsidR="00302124">
        <w:rPr>
          <w:rFonts w:cs="Arial"/>
        </w:rPr>
        <w:t>7,7</w:t>
      </w:r>
      <w:r w:rsidR="00B702F2" w:rsidRPr="00B702F2">
        <w:rPr>
          <w:rFonts w:cs="Arial"/>
        </w:rPr>
        <w:t>00 job advertisements)</w:t>
      </w:r>
      <w:r w:rsidR="00846C80">
        <w:rPr>
          <w:rFonts w:cs="Arial"/>
        </w:rPr>
        <w:t xml:space="preserve"> between </w:t>
      </w:r>
      <w:r w:rsidR="00C10B9B">
        <w:rPr>
          <w:rFonts w:cs="Arial"/>
        </w:rPr>
        <w:t>Dec</w:t>
      </w:r>
      <w:r w:rsidR="00B702F2" w:rsidRPr="00B702F2">
        <w:rPr>
          <w:rFonts w:cs="Arial"/>
        </w:rPr>
        <w:t>ember 2022</w:t>
      </w:r>
      <w:r w:rsidR="00302124">
        <w:rPr>
          <w:rFonts w:cs="Arial"/>
        </w:rPr>
        <w:t xml:space="preserve"> and March 2023</w:t>
      </w:r>
      <w:r w:rsidR="00846C80">
        <w:rPr>
          <w:rFonts w:cs="Arial"/>
        </w:rPr>
        <w:t>,</w:t>
      </w:r>
      <w:r w:rsidR="00B702F2" w:rsidRPr="00B702F2">
        <w:rPr>
          <w:rFonts w:cs="Arial"/>
        </w:rPr>
        <w:t xml:space="preserve"> to stand at 2</w:t>
      </w:r>
      <w:r w:rsidR="00302124">
        <w:rPr>
          <w:rFonts w:cs="Arial"/>
        </w:rPr>
        <w:t>82,100</w:t>
      </w:r>
      <w:r w:rsidR="00B702F2" w:rsidRPr="00B702F2">
        <w:rPr>
          <w:rFonts w:cs="Arial"/>
        </w:rPr>
        <w:t xml:space="preserve">. </w:t>
      </w:r>
      <w:r w:rsidR="00B56161">
        <w:rPr>
          <w:rFonts w:cs="Arial"/>
        </w:rPr>
        <w:t xml:space="preserve">However, </w:t>
      </w:r>
      <w:r w:rsidR="00C44875">
        <w:rPr>
          <w:rFonts w:cs="Arial"/>
        </w:rPr>
        <w:t>th</w:t>
      </w:r>
      <w:r w:rsidR="00B702F2" w:rsidRPr="00B702F2">
        <w:rPr>
          <w:rFonts w:cs="Arial"/>
        </w:rPr>
        <w:t xml:space="preserve">ere has been </w:t>
      </w:r>
      <w:r w:rsidR="00B56161">
        <w:rPr>
          <w:rFonts w:cs="Arial"/>
        </w:rPr>
        <w:t>an overall decrease</w:t>
      </w:r>
      <w:r w:rsidR="00B702F2" w:rsidRPr="00B702F2">
        <w:rPr>
          <w:rFonts w:cs="Arial"/>
        </w:rPr>
        <w:t xml:space="preserve"> in recruitment activity over the </w:t>
      </w:r>
      <w:r w:rsidR="006A44DE">
        <w:rPr>
          <w:rFonts w:cs="Arial"/>
        </w:rPr>
        <w:t xml:space="preserve">12 months to </w:t>
      </w:r>
      <w:r w:rsidR="00302124">
        <w:rPr>
          <w:rFonts w:cs="Arial"/>
        </w:rPr>
        <w:t>March 2023</w:t>
      </w:r>
      <w:r w:rsidR="00B702F2" w:rsidRPr="00B702F2">
        <w:rPr>
          <w:rFonts w:cs="Arial"/>
        </w:rPr>
        <w:t xml:space="preserve">, with job advertisements </w:t>
      </w:r>
      <w:r w:rsidR="00B56161">
        <w:rPr>
          <w:rFonts w:cs="Arial"/>
        </w:rPr>
        <w:t>0.7</w:t>
      </w:r>
      <w:r w:rsidR="00B702F2" w:rsidRPr="00B702F2">
        <w:rPr>
          <w:rFonts w:cs="Arial"/>
        </w:rPr>
        <w:t xml:space="preserve">% (or </w:t>
      </w:r>
      <w:r w:rsidR="00B56161">
        <w:rPr>
          <w:rFonts w:cs="Arial"/>
        </w:rPr>
        <w:t>2,0</w:t>
      </w:r>
      <w:r w:rsidR="00B702F2" w:rsidRPr="00B702F2">
        <w:rPr>
          <w:rFonts w:cs="Arial"/>
        </w:rPr>
        <w:t>0</w:t>
      </w:r>
      <w:r w:rsidR="00100E9A">
        <w:rPr>
          <w:rFonts w:cs="Arial"/>
        </w:rPr>
        <w:t>0 job advertisements</w:t>
      </w:r>
      <w:r w:rsidR="00B702F2" w:rsidRPr="00B702F2">
        <w:rPr>
          <w:rFonts w:cs="Arial"/>
        </w:rPr>
        <w:t xml:space="preserve">) </w:t>
      </w:r>
      <w:r w:rsidR="00B56161">
        <w:rPr>
          <w:rFonts w:cs="Arial"/>
        </w:rPr>
        <w:t>lower</w:t>
      </w:r>
      <w:r w:rsidR="00B702F2" w:rsidRPr="00B702F2">
        <w:rPr>
          <w:rFonts w:cs="Arial"/>
        </w:rPr>
        <w:t xml:space="preserve"> than in </w:t>
      </w:r>
      <w:r w:rsidR="00B56161">
        <w:rPr>
          <w:rFonts w:cs="Arial"/>
        </w:rPr>
        <w:t>March 2022</w:t>
      </w:r>
      <w:r w:rsidR="00C44875">
        <w:rPr>
          <w:rFonts w:cs="Arial"/>
        </w:rPr>
        <w:t>,</w:t>
      </w:r>
      <w:r w:rsidR="00B702F2" w:rsidRPr="00B702F2">
        <w:rPr>
          <w:rFonts w:cs="Arial"/>
        </w:rPr>
        <w:t xml:space="preserve"> </w:t>
      </w:r>
      <w:r w:rsidR="009563D6">
        <w:rPr>
          <w:rFonts w:cs="Arial"/>
        </w:rPr>
        <w:t xml:space="preserve">and </w:t>
      </w:r>
      <w:r w:rsidR="00036130">
        <w:rPr>
          <w:rFonts w:cs="Arial"/>
        </w:rPr>
        <w:t>7.0</w:t>
      </w:r>
      <w:r w:rsidR="00B702F2" w:rsidRPr="00B702F2">
        <w:rPr>
          <w:rFonts w:cs="Arial"/>
        </w:rPr>
        <w:t xml:space="preserve">% (or </w:t>
      </w:r>
      <w:r w:rsidR="00036130">
        <w:rPr>
          <w:rFonts w:cs="Arial"/>
        </w:rPr>
        <w:t>21,3</w:t>
      </w:r>
      <w:r w:rsidR="00B702F2" w:rsidRPr="00B702F2">
        <w:rPr>
          <w:rFonts w:cs="Arial"/>
        </w:rPr>
        <w:t xml:space="preserve">00 job advertisements) </w:t>
      </w:r>
      <w:r w:rsidR="00036130">
        <w:rPr>
          <w:rFonts w:cs="Arial"/>
        </w:rPr>
        <w:t>lower than the</w:t>
      </w:r>
      <w:r w:rsidR="00B702F2" w:rsidRPr="00B702F2">
        <w:rPr>
          <w:rFonts w:cs="Arial"/>
        </w:rPr>
        <w:t xml:space="preserve"> June 2022 peak.</w:t>
      </w:r>
      <w:r w:rsidR="00846C80">
        <w:rPr>
          <w:rFonts w:cs="Arial"/>
        </w:rPr>
        <w:t xml:space="preserve"> </w:t>
      </w:r>
    </w:p>
    <w:p w14:paraId="693DC02F" w14:textId="0C11640A" w:rsidR="00C44875" w:rsidRDefault="00C44875" w:rsidP="00DC7990">
      <w:pPr>
        <w:spacing w:line="276" w:lineRule="auto"/>
        <w:rPr>
          <w:rFonts w:cs="Arial"/>
        </w:rPr>
      </w:pPr>
      <w:r w:rsidRPr="00C44875">
        <w:rPr>
          <w:rFonts w:cs="Arial"/>
        </w:rPr>
        <w:t>Th</w:t>
      </w:r>
      <w:r w:rsidR="00846C80">
        <w:rPr>
          <w:rFonts w:cs="Arial"/>
        </w:rPr>
        <w:t>at said, th</w:t>
      </w:r>
      <w:r w:rsidRPr="00C44875">
        <w:rPr>
          <w:rFonts w:cs="Arial"/>
        </w:rPr>
        <w:t xml:space="preserve">e level of </w:t>
      </w:r>
      <w:r w:rsidR="00F73B1C" w:rsidRPr="00BB36CB">
        <w:rPr>
          <w:rFonts w:cs="Arial"/>
        </w:rPr>
        <w:t xml:space="preserve">job advertisements </w:t>
      </w:r>
      <w:r w:rsidRPr="00C44875">
        <w:rPr>
          <w:rFonts w:cs="Arial"/>
        </w:rPr>
        <w:t>nationally remains significantly elevated compared to pre-COVID-19 levels.</w:t>
      </w:r>
      <w:r w:rsidR="005F56D4">
        <w:rPr>
          <w:rFonts w:cs="Arial"/>
        </w:rPr>
        <w:t xml:space="preserve"> Prior to </w:t>
      </w:r>
      <w:r w:rsidR="00F73B1C">
        <w:rPr>
          <w:rFonts w:cs="Arial"/>
        </w:rPr>
        <w:t xml:space="preserve">2022, the last time IVI job advertisements exceeded 250,000 in a month was in </w:t>
      </w:r>
      <w:r w:rsidR="00E00A91">
        <w:rPr>
          <w:rFonts w:cs="Arial"/>
        </w:rPr>
        <w:t>October 2008.</w:t>
      </w:r>
    </w:p>
    <w:p w14:paraId="06E5D985" w14:textId="71BECB6E" w:rsidR="00B64FF5" w:rsidRPr="00B702F2" w:rsidRDefault="00D86B6F" w:rsidP="00BC2BBD">
      <w:pPr>
        <w:spacing w:after="120" w:line="276" w:lineRule="auto"/>
        <w:rPr>
          <w:rFonts w:cs="Arial"/>
          <w:highlight w:val="yellow"/>
        </w:rPr>
      </w:pPr>
      <w:r w:rsidRPr="00167C24">
        <w:t>Recent trends in ABS Job Vacancies data reflect similar</w:t>
      </w:r>
      <w:r w:rsidR="007A4F32">
        <w:t>ly</w:t>
      </w:r>
      <w:r w:rsidR="0015373E">
        <w:t xml:space="preserve"> </w:t>
      </w:r>
      <w:r w:rsidR="00DF7327">
        <w:t>stable patterns in recruitment activity</w:t>
      </w:r>
      <w:r>
        <w:t>.</w:t>
      </w:r>
      <w:r w:rsidRPr="00167C24">
        <w:t xml:space="preserve"> The most recent ABS data recorded </w:t>
      </w:r>
      <w:r w:rsidR="00AF4339">
        <w:t>4</w:t>
      </w:r>
      <w:r w:rsidR="0038201A">
        <w:t>38,5</w:t>
      </w:r>
      <w:r w:rsidR="00AF4339">
        <w:t>00</w:t>
      </w:r>
      <w:r w:rsidRPr="00167C24">
        <w:t xml:space="preserve"> job vacancies in the </w:t>
      </w:r>
      <w:r w:rsidR="008F6C21">
        <w:t>February 2023</w:t>
      </w:r>
      <w:r w:rsidRPr="00167C24">
        <w:t xml:space="preserve"> quarter</w:t>
      </w:r>
      <w:r w:rsidRPr="00167C24">
        <w:rPr>
          <w:rStyle w:val="FootnoteReference"/>
        </w:rPr>
        <w:footnoteReference w:id="11"/>
      </w:r>
      <w:r w:rsidRPr="00167C24">
        <w:t xml:space="preserve">, representing a </w:t>
      </w:r>
      <w:r w:rsidR="00CE1F76">
        <w:t>de</w:t>
      </w:r>
      <w:r w:rsidRPr="00167C24">
        <w:t xml:space="preserve">crease of </w:t>
      </w:r>
      <w:r w:rsidR="0038201A">
        <w:rPr>
          <w:rFonts w:eastAsia="Times New Roman"/>
        </w:rPr>
        <w:t>6,6</w:t>
      </w:r>
      <w:r w:rsidRPr="00167C24">
        <w:rPr>
          <w:rFonts w:eastAsia="Times New Roman"/>
        </w:rPr>
        <w:t xml:space="preserve">00 job vacancies (or </w:t>
      </w:r>
      <w:r w:rsidR="0038201A">
        <w:rPr>
          <w:rFonts w:eastAsia="Times New Roman"/>
        </w:rPr>
        <w:t>1.5</w:t>
      </w:r>
      <w:r w:rsidRPr="00167C24">
        <w:rPr>
          <w:rFonts w:eastAsia="Times New Roman"/>
        </w:rPr>
        <w:t>%) over the quarter</w:t>
      </w:r>
      <w:r w:rsidR="00133741">
        <w:rPr>
          <w:rFonts w:eastAsia="Times New Roman"/>
        </w:rPr>
        <w:t>,</w:t>
      </w:r>
      <w:r w:rsidR="0015373E">
        <w:rPr>
          <w:rFonts w:eastAsia="Times New Roman"/>
        </w:rPr>
        <w:t xml:space="preserve"> but an increase of 15,200</w:t>
      </w:r>
      <w:r w:rsidR="00B64FF5" w:rsidRPr="00B64FF5">
        <w:rPr>
          <w:rFonts w:cs="Arial"/>
        </w:rPr>
        <w:t xml:space="preserve"> </w:t>
      </w:r>
      <w:r w:rsidR="00BC2BBD">
        <w:rPr>
          <w:rFonts w:cs="Arial"/>
        </w:rPr>
        <w:t xml:space="preserve">(or </w:t>
      </w:r>
      <w:r w:rsidR="0015373E">
        <w:rPr>
          <w:rFonts w:cs="Arial"/>
        </w:rPr>
        <w:t>3</w:t>
      </w:r>
      <w:r w:rsidR="00BC2BBD">
        <w:rPr>
          <w:rFonts w:cs="Arial"/>
        </w:rPr>
        <w:t>.6%)</w:t>
      </w:r>
      <w:r w:rsidR="0015373E">
        <w:rPr>
          <w:rFonts w:cs="Arial"/>
        </w:rPr>
        <w:t xml:space="preserve"> over the year</w:t>
      </w:r>
      <w:r w:rsidR="00B64FF5" w:rsidRPr="00B64FF5">
        <w:rPr>
          <w:rFonts w:cs="Arial"/>
        </w:rPr>
        <w:t>.</w:t>
      </w:r>
    </w:p>
    <w:p w14:paraId="65D1FF12" w14:textId="77777777" w:rsidR="00B01152" w:rsidRPr="00BB36CB" w:rsidRDefault="00B01152" w:rsidP="00B01152">
      <w:pPr>
        <w:pStyle w:val="Heading5"/>
      </w:pPr>
      <w:r w:rsidRPr="00BB36CB">
        <w:t xml:space="preserve">Figure </w:t>
      </w:r>
      <w:r>
        <w:t>4</w:t>
      </w:r>
      <w:r w:rsidRPr="00BB36CB">
        <w:t xml:space="preserve">: Internet Vacancy Index job advertisements and unemployment rate, </w:t>
      </w:r>
      <w:r w:rsidRPr="009D1600">
        <w:rPr>
          <w:color w:val="auto"/>
        </w:rPr>
        <w:t>January 2006 to March 2023</w:t>
      </w:r>
    </w:p>
    <w:p w14:paraId="443337EC" w14:textId="77777777" w:rsidR="00B01152" w:rsidRPr="00DB3B71" w:rsidRDefault="00B01152" w:rsidP="00B01152">
      <w:pPr>
        <w:pStyle w:val="BodyText"/>
        <w:rPr>
          <w:rFonts w:ascii="Arial" w:hAnsi="Arial" w:cs="Arial"/>
        </w:rPr>
      </w:pPr>
      <w:r w:rsidRPr="009B311C">
        <w:rPr>
          <w:rFonts w:ascii="Arial" w:hAnsi="Arial" w:cs="Arial"/>
          <w:noProof/>
        </w:rPr>
        <w:drawing>
          <wp:inline distT="0" distB="0" distL="0" distR="0" wp14:anchorId="05B98493" wp14:editId="0208A224">
            <wp:extent cx="6741795" cy="3371215"/>
            <wp:effectExtent l="0" t="0" r="1905" b="635"/>
            <wp:docPr id="9" name="Picture 9" descr="Figure 4: Internet Vacancy Index job advertisements and unemployment rate, January 2006 to March 2023 &#10;Figure 4 is a combination chart with bars representing the number of job advertisements based on the Internet Vacancy Index on the left-hand side and a line mapping the unemployment rate as a percentage on the right-hand side, between January 2006 and March 2023. The chart shows that while job advertisements plummeted with the onset of COVID-19, falling to a low 68,000 in April 2020 but they since recovered strongly rising well-above pre-pandemic levels to a high of 305,100 in June 2022 (close to the record highs that preceded the GFC), before declining to 282,100 by March 2023.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4: Internet Vacancy Index job advertisements and unemployment rate, January 2006 to March 2023 &#10;Figure 4 is a combination chart with bars representing the number of job advertisements based on the Internet Vacancy Index on the left-hand side and a line mapping the unemployment rate as a percentage on the right-hand side, between January 2006 and March 2023. The chart shows that while job advertisements plummeted with the onset of COVID-19, falling to a low 68,000 in April 2020 but they since recovered strongly rising well-above pre-pandemic levels to a high of 305,100 in June 2022 (close to the record highs that preceded the GFC), before declining to 282,100 by March 2023.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41795" cy="3371215"/>
                    </a:xfrm>
                    <a:prstGeom prst="rect">
                      <a:avLst/>
                    </a:prstGeom>
                    <a:noFill/>
                    <a:ln>
                      <a:noFill/>
                    </a:ln>
                  </pic:spPr>
                </pic:pic>
              </a:graphicData>
            </a:graphic>
          </wp:inline>
        </w:drawing>
      </w:r>
    </w:p>
    <w:p w14:paraId="7BF51F2A" w14:textId="77777777" w:rsidR="00B01152" w:rsidRPr="00BB36CB" w:rsidRDefault="00B01152" w:rsidP="00B01152">
      <w:pPr>
        <w:pStyle w:val="Source"/>
        <w:rPr>
          <w:rFonts w:ascii="Arial" w:hAnsi="Arial" w:cs="Arial"/>
          <w:i w:val="0"/>
          <w:iCs/>
        </w:rPr>
      </w:pPr>
      <w:r>
        <w:rPr>
          <w:rFonts w:ascii="Arial" w:hAnsi="Arial" w:cs="Arial"/>
          <w:i w:val="0"/>
          <w:iCs/>
        </w:rPr>
        <w:t>JSA</w:t>
      </w:r>
      <w:r w:rsidRPr="00BB36CB">
        <w:rPr>
          <w:rFonts w:ascii="Arial" w:hAnsi="Arial" w:cs="Arial"/>
          <w:i w:val="0"/>
          <w:iCs/>
        </w:rPr>
        <w:t>,</w:t>
      </w:r>
      <w:r w:rsidRPr="00BB36CB">
        <w:rPr>
          <w:rFonts w:ascii="Arial" w:hAnsi="Arial" w:cs="Arial"/>
        </w:rPr>
        <w:t xml:space="preserve"> Internet Vacancy Index,</w:t>
      </w:r>
      <w:r w:rsidRPr="00BB36CB">
        <w:rPr>
          <w:rFonts w:ascii="Arial" w:hAnsi="Arial" w:cs="Arial"/>
          <w:i w:val="0"/>
          <w:iCs/>
        </w:rPr>
        <w:t xml:space="preserve"> </w:t>
      </w:r>
      <w:r>
        <w:rPr>
          <w:rFonts w:ascii="Arial" w:hAnsi="Arial" w:cs="Arial"/>
          <w:i w:val="0"/>
          <w:iCs/>
        </w:rPr>
        <w:t>March</w:t>
      </w:r>
      <w:r w:rsidRPr="00BB36CB">
        <w:rPr>
          <w:rFonts w:ascii="Arial" w:hAnsi="Arial" w:cs="Arial"/>
          <w:i w:val="0"/>
          <w:iCs/>
        </w:rPr>
        <w:t xml:space="preserve"> 202</w:t>
      </w:r>
      <w:r>
        <w:rPr>
          <w:rFonts w:ascii="Arial" w:hAnsi="Arial" w:cs="Arial"/>
          <w:i w:val="0"/>
          <w:iCs/>
        </w:rPr>
        <w:t>3</w:t>
      </w:r>
      <w:r w:rsidRPr="00BB36CB">
        <w:rPr>
          <w:rFonts w:ascii="Arial" w:hAnsi="Arial" w:cs="Arial"/>
          <w:i w:val="0"/>
          <w:iCs/>
        </w:rPr>
        <w:t xml:space="preserve"> and </w:t>
      </w:r>
      <w:r w:rsidRPr="00BB36CB">
        <w:rPr>
          <w:rFonts w:ascii="Arial" w:hAnsi="Arial" w:cs="Arial"/>
          <w:i w:val="0"/>
          <w:szCs w:val="16"/>
        </w:rPr>
        <w:t>ABS</w:t>
      </w:r>
      <w:r w:rsidRPr="00BB36CB">
        <w:rPr>
          <w:rFonts w:ascii="Arial" w:hAnsi="Arial" w:cs="Arial"/>
          <w:iCs/>
          <w:szCs w:val="16"/>
        </w:rPr>
        <w:t xml:space="preserve">, Labour Force, Australia, </w:t>
      </w:r>
      <w:r>
        <w:rPr>
          <w:rFonts w:ascii="Arial" w:hAnsi="Arial" w:cs="Arial"/>
          <w:i w:val="0"/>
          <w:szCs w:val="16"/>
        </w:rPr>
        <w:t xml:space="preserve">March </w:t>
      </w:r>
      <w:r w:rsidRPr="00BB36CB">
        <w:rPr>
          <w:rFonts w:ascii="Arial" w:hAnsi="Arial" w:cs="Arial"/>
          <w:i w:val="0"/>
          <w:szCs w:val="16"/>
        </w:rPr>
        <w:t>202</w:t>
      </w:r>
      <w:r>
        <w:rPr>
          <w:rFonts w:ascii="Arial" w:hAnsi="Arial" w:cs="Arial"/>
          <w:i w:val="0"/>
          <w:szCs w:val="16"/>
        </w:rPr>
        <w:t>3</w:t>
      </w:r>
      <w:r w:rsidRPr="00BB36CB">
        <w:rPr>
          <w:rFonts w:ascii="Arial" w:hAnsi="Arial" w:cs="Arial"/>
          <w:iCs/>
          <w:szCs w:val="16"/>
        </w:rPr>
        <w:t>, seasonally adjusted data.</w:t>
      </w:r>
    </w:p>
    <w:p w14:paraId="766145B7" w14:textId="0E0C7B04" w:rsidR="00937ED8" w:rsidRPr="008F3408" w:rsidRDefault="00F972E2" w:rsidP="00937ED8">
      <w:pPr>
        <w:pStyle w:val="Heading3"/>
      </w:pPr>
      <w:bookmarkStart w:id="14" w:name="_Toc134785326"/>
      <w:r>
        <w:t>Many</w:t>
      </w:r>
      <w:r w:rsidR="00937ED8">
        <w:t xml:space="preserve"> employers are still recruiting</w:t>
      </w:r>
      <w:r w:rsidR="00EC0508">
        <w:t xml:space="preserve">, with recruiting for turnover </w:t>
      </w:r>
      <w:r w:rsidR="00CB1719">
        <w:t>beginning to increase</w:t>
      </w:r>
      <w:bookmarkEnd w:id="14"/>
      <w:r w:rsidR="00937ED8">
        <w:t xml:space="preserve"> </w:t>
      </w:r>
    </w:p>
    <w:p w14:paraId="739552DB" w14:textId="745A291C" w:rsidR="00DC7990" w:rsidRPr="00BB36CB" w:rsidRDefault="00DC7990" w:rsidP="00DC7990">
      <w:pPr>
        <w:spacing w:after="120" w:line="276" w:lineRule="auto"/>
        <w:rPr>
          <w:rFonts w:cs="Arial"/>
        </w:rPr>
      </w:pPr>
      <w:r w:rsidRPr="00BB36CB">
        <w:rPr>
          <w:rFonts w:cs="Arial"/>
        </w:rPr>
        <w:t xml:space="preserve">Recent results from </w:t>
      </w:r>
      <w:r w:rsidR="001D70B8">
        <w:rPr>
          <w:rFonts w:cs="Arial"/>
        </w:rPr>
        <w:t>JSA’</w:t>
      </w:r>
      <w:r w:rsidRPr="00BB36CB">
        <w:rPr>
          <w:rFonts w:cs="Arial"/>
        </w:rPr>
        <w:t xml:space="preserve">s </w:t>
      </w:r>
      <w:r w:rsidRPr="001D70B8">
        <w:rPr>
          <w:rFonts w:cs="Arial"/>
          <w:i/>
          <w:iCs/>
        </w:rPr>
        <w:t xml:space="preserve">Recruitment Experiences and Outlook Survey </w:t>
      </w:r>
      <w:r w:rsidRPr="001D70B8">
        <w:rPr>
          <w:rFonts w:cs="Arial"/>
        </w:rPr>
        <w:t>(REOS</w:t>
      </w:r>
      <w:r w:rsidRPr="00BB36CB">
        <w:rPr>
          <w:rFonts w:cs="Arial"/>
        </w:rPr>
        <w:t xml:space="preserve">) </w:t>
      </w:r>
      <w:r w:rsidR="005406CC">
        <w:rPr>
          <w:rFonts w:cs="Arial"/>
        </w:rPr>
        <w:t>are consistent with</w:t>
      </w:r>
      <w:r w:rsidRPr="00BB36CB">
        <w:rPr>
          <w:rFonts w:cs="Arial"/>
        </w:rPr>
        <w:t xml:space="preserve"> </w:t>
      </w:r>
      <w:r w:rsidR="00CB1719">
        <w:rPr>
          <w:rFonts w:cs="Arial"/>
        </w:rPr>
        <w:t xml:space="preserve">both </w:t>
      </w:r>
      <w:r w:rsidRPr="00BB36CB">
        <w:rPr>
          <w:rFonts w:cs="Arial"/>
        </w:rPr>
        <w:t xml:space="preserve">the </w:t>
      </w:r>
      <w:r w:rsidR="00203460">
        <w:rPr>
          <w:rFonts w:cs="Arial"/>
        </w:rPr>
        <w:t>slight decline since mid-2022</w:t>
      </w:r>
      <w:r w:rsidR="00550A92">
        <w:rPr>
          <w:rFonts w:cs="Arial"/>
        </w:rPr>
        <w:t>,</w:t>
      </w:r>
      <w:r w:rsidR="00203460">
        <w:rPr>
          <w:rFonts w:cs="Arial"/>
        </w:rPr>
        <w:t xml:space="preserve"> </w:t>
      </w:r>
      <w:r w:rsidR="00CB1719">
        <w:rPr>
          <w:rFonts w:cs="Arial"/>
        </w:rPr>
        <w:t xml:space="preserve">and </w:t>
      </w:r>
      <w:r w:rsidR="00550A92">
        <w:rPr>
          <w:rFonts w:cs="Arial"/>
        </w:rPr>
        <w:t xml:space="preserve">the more recent stability, </w:t>
      </w:r>
      <w:r w:rsidRPr="00BB36CB">
        <w:rPr>
          <w:rFonts w:cs="Arial"/>
        </w:rPr>
        <w:t>in internet job advertisements.</w:t>
      </w:r>
      <w:r w:rsidR="00937ED8">
        <w:rPr>
          <w:rFonts w:cs="Arial"/>
        </w:rPr>
        <w:t xml:space="preserve"> </w:t>
      </w:r>
    </w:p>
    <w:p w14:paraId="3A62F745" w14:textId="2C2078F7" w:rsidR="00DC7990" w:rsidRDefault="00DC7990" w:rsidP="001947B1">
      <w:pPr>
        <w:spacing w:after="120" w:line="276" w:lineRule="auto"/>
        <w:rPr>
          <w:rFonts w:cs="Arial"/>
        </w:rPr>
      </w:pPr>
      <w:r w:rsidRPr="00BB36CB">
        <w:rPr>
          <w:rFonts w:cs="Arial"/>
        </w:rPr>
        <w:t xml:space="preserve">Figure </w:t>
      </w:r>
      <w:r w:rsidR="00C70022">
        <w:rPr>
          <w:rFonts w:cs="Arial"/>
        </w:rPr>
        <w:t>5</w:t>
      </w:r>
      <w:r w:rsidRPr="00BB36CB">
        <w:rPr>
          <w:rFonts w:cs="Arial"/>
        </w:rPr>
        <w:t xml:space="preserve"> shows that the proportion of employers recruiting (currently or in the past month) </w:t>
      </w:r>
      <w:r w:rsidR="009036C0">
        <w:rPr>
          <w:rFonts w:cs="Arial"/>
        </w:rPr>
        <w:t xml:space="preserve">declined from </w:t>
      </w:r>
      <w:r w:rsidR="00FA4F58">
        <w:rPr>
          <w:rFonts w:cs="Arial"/>
        </w:rPr>
        <w:t xml:space="preserve">a peak of 59% </w:t>
      </w:r>
      <w:r w:rsidR="009036C0">
        <w:rPr>
          <w:rFonts w:cs="Arial"/>
        </w:rPr>
        <w:t>(</w:t>
      </w:r>
      <w:r w:rsidR="00FA4F58">
        <w:rPr>
          <w:rFonts w:cs="Arial"/>
        </w:rPr>
        <w:t>in both May 2022 and July 2022</w:t>
      </w:r>
      <w:r w:rsidR="009036C0">
        <w:rPr>
          <w:rFonts w:cs="Arial"/>
        </w:rPr>
        <w:t xml:space="preserve">) but has since stabilised at 55% in each month </w:t>
      </w:r>
      <w:r w:rsidR="00980C25">
        <w:rPr>
          <w:rFonts w:cs="Arial"/>
        </w:rPr>
        <w:t>from January to March 2023</w:t>
      </w:r>
      <w:r w:rsidR="007665CB">
        <w:rPr>
          <w:rFonts w:cs="Arial"/>
        </w:rPr>
        <w:t xml:space="preserve">. </w:t>
      </w:r>
    </w:p>
    <w:p w14:paraId="6BF63214" w14:textId="209FE1D9" w:rsidR="00F402A3" w:rsidRDefault="00A35840" w:rsidP="001947B1">
      <w:pPr>
        <w:spacing w:after="120" w:line="276" w:lineRule="auto"/>
        <w:rPr>
          <w:rFonts w:cs="Arial"/>
        </w:rPr>
      </w:pPr>
      <w:r>
        <w:rPr>
          <w:rFonts w:cs="Arial"/>
        </w:rPr>
        <w:t xml:space="preserve">For the quarter to </w:t>
      </w:r>
      <w:r w:rsidR="00980C25">
        <w:rPr>
          <w:rFonts w:cs="Arial"/>
        </w:rPr>
        <w:t>March 2023</w:t>
      </w:r>
      <w:r>
        <w:rPr>
          <w:rFonts w:cs="Arial"/>
        </w:rPr>
        <w:t xml:space="preserve">, </w:t>
      </w:r>
      <w:r w:rsidR="005E3E41">
        <w:rPr>
          <w:rFonts w:cs="Arial"/>
        </w:rPr>
        <w:t>the recruitment activity rate was 5</w:t>
      </w:r>
      <w:r w:rsidR="00980C25">
        <w:rPr>
          <w:rFonts w:cs="Arial"/>
        </w:rPr>
        <w:t>5</w:t>
      </w:r>
      <w:r w:rsidR="005E3E41">
        <w:rPr>
          <w:rFonts w:cs="Arial"/>
        </w:rPr>
        <w:t>%</w:t>
      </w:r>
      <w:r w:rsidR="00551601">
        <w:rPr>
          <w:rFonts w:cs="Arial"/>
        </w:rPr>
        <w:t xml:space="preserve">. While this is a decline of 1 percentage point compared to the </w:t>
      </w:r>
      <w:r w:rsidR="004E64B7">
        <w:rPr>
          <w:rFonts w:cs="Arial"/>
        </w:rPr>
        <w:t xml:space="preserve">quarter to </w:t>
      </w:r>
      <w:r w:rsidR="00980C25">
        <w:rPr>
          <w:rFonts w:cs="Arial"/>
        </w:rPr>
        <w:t>Dec</w:t>
      </w:r>
      <w:r w:rsidR="00551601">
        <w:rPr>
          <w:rFonts w:cs="Arial"/>
        </w:rPr>
        <w:t>ember 202</w:t>
      </w:r>
      <w:r w:rsidR="004E64B7">
        <w:rPr>
          <w:rFonts w:cs="Arial"/>
        </w:rPr>
        <w:t>2</w:t>
      </w:r>
      <w:r w:rsidR="00551601">
        <w:rPr>
          <w:rFonts w:cs="Arial"/>
        </w:rPr>
        <w:t xml:space="preserve">, it is </w:t>
      </w:r>
      <w:r w:rsidR="00980C25">
        <w:rPr>
          <w:rFonts w:cs="Arial"/>
        </w:rPr>
        <w:t>two</w:t>
      </w:r>
      <w:r w:rsidR="0085075F">
        <w:rPr>
          <w:rFonts w:cs="Arial"/>
        </w:rPr>
        <w:t xml:space="preserve"> percentage points </w:t>
      </w:r>
      <w:r w:rsidR="004E64B7">
        <w:rPr>
          <w:rFonts w:cs="Arial"/>
        </w:rPr>
        <w:t xml:space="preserve">above the result for the quarter to </w:t>
      </w:r>
      <w:r w:rsidR="00980C25">
        <w:rPr>
          <w:rFonts w:cs="Arial"/>
        </w:rPr>
        <w:t>March 2022</w:t>
      </w:r>
      <w:r w:rsidR="004E64B7">
        <w:rPr>
          <w:rFonts w:cs="Arial"/>
        </w:rPr>
        <w:t>.</w:t>
      </w:r>
    </w:p>
    <w:p w14:paraId="30A7F635" w14:textId="77777777" w:rsidR="00980C25" w:rsidRPr="001947B1" w:rsidRDefault="00980C25" w:rsidP="001947B1">
      <w:pPr>
        <w:spacing w:after="120" w:line="276" w:lineRule="auto"/>
        <w:rPr>
          <w:rFonts w:cs="Arial"/>
        </w:rPr>
      </w:pPr>
    </w:p>
    <w:p w14:paraId="01B4EE4F" w14:textId="49AFD0EA" w:rsidR="00DC7990" w:rsidRPr="005A4810" w:rsidRDefault="00DC7990" w:rsidP="00BB36CB">
      <w:pPr>
        <w:pStyle w:val="Heading5"/>
      </w:pPr>
      <w:r w:rsidRPr="005A4810">
        <w:t xml:space="preserve">Figure </w:t>
      </w:r>
      <w:r w:rsidR="00C70022" w:rsidRPr="005A4810">
        <w:t>5</w:t>
      </w:r>
      <w:r w:rsidRPr="005A4810">
        <w:t xml:space="preserve">: Proportion of employers currently recruiting or who recruited in the past month, June 2020 to </w:t>
      </w:r>
      <w:r w:rsidR="005A4810" w:rsidRPr="005A4810">
        <w:t>March 2023</w:t>
      </w:r>
    </w:p>
    <w:p w14:paraId="112E7D90" w14:textId="344C5ABB" w:rsidR="005E2962" w:rsidRPr="005E2962" w:rsidRDefault="00EB40FC" w:rsidP="005E2962">
      <w:r>
        <w:rPr>
          <w:noProof/>
        </w:rPr>
        <w:drawing>
          <wp:inline distT="0" distB="0" distL="0" distR="0" wp14:anchorId="13302D26" wp14:editId="5692C12B">
            <wp:extent cx="6392848" cy="3029585"/>
            <wp:effectExtent l="0" t="0" r="8255" b="0"/>
            <wp:docPr id="22" name="Chart 22" descr="Figure 5: Proportion of employers currently recruiting or who recruited in the past month, June 2020 to March 2023&#10;Figure 5 is a line chart showing the proportion of employers currently recruiting or who recruited in the past month recruitment rate difficulty nationally, for Capital Cities and for Rest of State areas, from June 2020 to March 2023. For rest of state areas, recruitment activity peaked at 62% in July 2022 but has since declined to 56% in March 2023. For Capital Cities, recruitment activity peaked at 58% in October 2022 but has since declined to 55% in March 2023.&#10;">
              <a:extLst xmlns:a="http://schemas.openxmlformats.org/drawingml/2006/main">
                <a:ext uri="{FF2B5EF4-FFF2-40B4-BE49-F238E27FC236}">
                  <a16:creationId xmlns:a16="http://schemas.microsoft.com/office/drawing/2014/main" id="{BB88534E-0A54-4C3A-BAB2-25F2DD2D08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F14A89" w14:textId="587D59C6" w:rsidR="00DC7990" w:rsidRPr="006D6AC4" w:rsidRDefault="005E2962" w:rsidP="00DC7990">
      <w:pPr>
        <w:pStyle w:val="Source"/>
        <w:rPr>
          <w:rFonts w:ascii="Arial" w:hAnsi="Arial" w:cs="Arial"/>
          <w:i w:val="0"/>
          <w:iCs/>
        </w:rPr>
      </w:pPr>
      <w:r>
        <w:rPr>
          <w:rFonts w:ascii="Arial" w:hAnsi="Arial" w:cs="Arial"/>
          <w:i w:val="0"/>
          <w:iCs/>
        </w:rPr>
        <w:t>JSA</w:t>
      </w:r>
      <w:r w:rsidR="00DC7990" w:rsidRPr="00BB36CB">
        <w:rPr>
          <w:rFonts w:ascii="Arial" w:hAnsi="Arial" w:cs="Arial"/>
        </w:rPr>
        <w:t xml:space="preserve">, Recruitment Experiences and Outlook </w:t>
      </w:r>
      <w:r w:rsidR="00DC7990" w:rsidRPr="006D6AC4">
        <w:rPr>
          <w:rFonts w:ascii="Arial" w:hAnsi="Arial" w:cs="Arial"/>
        </w:rPr>
        <w:t xml:space="preserve">Survey, </w:t>
      </w:r>
      <w:r w:rsidR="006D6AC4" w:rsidRPr="006D6AC4">
        <w:rPr>
          <w:rFonts w:ascii="Arial" w:hAnsi="Arial" w:cs="Arial"/>
          <w:i w:val="0"/>
          <w:iCs/>
        </w:rPr>
        <w:t>March 2023</w:t>
      </w:r>
      <w:r w:rsidR="00AA3D7C">
        <w:rPr>
          <w:rFonts w:ascii="Arial" w:hAnsi="Arial" w:cs="Arial"/>
          <w:i w:val="0"/>
          <w:iCs/>
        </w:rPr>
        <w:t xml:space="preserve">. </w:t>
      </w:r>
      <w:r w:rsidR="00AA3D7C" w:rsidRPr="00AA3D7C">
        <w:rPr>
          <w:rFonts w:ascii="Arial" w:hAnsi="Arial" w:cs="Arial"/>
          <w:i w:val="0"/>
          <w:iCs/>
        </w:rPr>
        <w:t xml:space="preserve">Please note: Disaggregated data was not publishable in </w:t>
      </w:r>
      <w:r w:rsidR="003E3C99">
        <w:rPr>
          <w:rFonts w:ascii="Arial" w:hAnsi="Arial" w:cs="Arial"/>
          <w:i w:val="0"/>
          <w:iCs/>
        </w:rPr>
        <w:t>January of each year; h</w:t>
      </w:r>
      <w:r w:rsidR="00AA3D7C" w:rsidRPr="00AA3D7C">
        <w:rPr>
          <w:rFonts w:ascii="Arial" w:hAnsi="Arial" w:cs="Arial"/>
          <w:i w:val="0"/>
          <w:iCs/>
        </w:rPr>
        <w:t xml:space="preserve">ence </w:t>
      </w:r>
      <w:r w:rsidR="003E3C99">
        <w:rPr>
          <w:rFonts w:ascii="Arial" w:hAnsi="Arial" w:cs="Arial"/>
          <w:i w:val="0"/>
          <w:iCs/>
        </w:rPr>
        <w:t xml:space="preserve">relevant </w:t>
      </w:r>
      <w:r w:rsidR="00AA3D7C" w:rsidRPr="00AA3D7C">
        <w:rPr>
          <w:rFonts w:ascii="Arial" w:hAnsi="Arial" w:cs="Arial"/>
          <w:i w:val="0"/>
          <w:iCs/>
        </w:rPr>
        <w:t>data points have been joined by a dotted line.</w:t>
      </w:r>
    </w:p>
    <w:p w14:paraId="36C3EE04" w14:textId="661AA40D" w:rsidR="00EC0508" w:rsidRDefault="00007CD2" w:rsidP="00DC7990">
      <w:pPr>
        <w:spacing w:after="120" w:line="276" w:lineRule="auto"/>
        <w:rPr>
          <w:rFonts w:cs="Arial"/>
        </w:rPr>
      </w:pPr>
      <w:r>
        <w:rPr>
          <w:rFonts w:cs="Arial"/>
        </w:rPr>
        <w:t>Figure 6 shows that t</w:t>
      </w:r>
      <w:r w:rsidR="00DC7990" w:rsidRPr="00BB36CB">
        <w:rPr>
          <w:rFonts w:cs="Arial"/>
        </w:rPr>
        <w:t xml:space="preserve">urnover remains the primary reason for employers to recruit, with </w:t>
      </w:r>
      <w:r w:rsidR="00881B5B">
        <w:rPr>
          <w:rFonts w:cs="Arial"/>
        </w:rPr>
        <w:t>6</w:t>
      </w:r>
      <w:r w:rsidR="00E43709">
        <w:rPr>
          <w:rFonts w:cs="Arial"/>
        </w:rPr>
        <w:t>4</w:t>
      </w:r>
      <w:r w:rsidR="00DC7990" w:rsidRPr="00BB36CB">
        <w:rPr>
          <w:rFonts w:cs="Arial"/>
        </w:rPr>
        <w:t xml:space="preserve">% of employers recruiting for turnover only and a further </w:t>
      </w:r>
      <w:r w:rsidR="00881B5B">
        <w:rPr>
          <w:rFonts w:cs="Arial"/>
        </w:rPr>
        <w:t>14</w:t>
      </w:r>
      <w:r w:rsidR="00DC7990" w:rsidRPr="00BB36CB">
        <w:rPr>
          <w:rFonts w:cs="Arial"/>
        </w:rPr>
        <w:t>% recruiting for a mix of both turnover and new roles</w:t>
      </w:r>
      <w:r w:rsidR="009D1522">
        <w:rPr>
          <w:rFonts w:cs="Arial"/>
        </w:rPr>
        <w:t xml:space="preserve"> in </w:t>
      </w:r>
      <w:r w:rsidR="00881B5B">
        <w:rPr>
          <w:rFonts w:cs="Arial"/>
        </w:rPr>
        <w:t>March 2023</w:t>
      </w:r>
      <w:r w:rsidR="00DC7990" w:rsidRPr="00BB36CB">
        <w:rPr>
          <w:rFonts w:cs="Arial"/>
        </w:rPr>
        <w:t>.</w:t>
      </w:r>
      <w:r w:rsidR="009D1522">
        <w:rPr>
          <w:rFonts w:cs="Arial"/>
        </w:rPr>
        <w:t xml:space="preserve"> </w:t>
      </w:r>
      <w:r w:rsidR="00C12F1C">
        <w:rPr>
          <w:rFonts w:cs="Arial"/>
        </w:rPr>
        <w:t xml:space="preserve">The March 2023 result reverses a trend seen from </w:t>
      </w:r>
      <w:r w:rsidR="00644353">
        <w:rPr>
          <w:rFonts w:cs="Arial"/>
        </w:rPr>
        <w:t>July</w:t>
      </w:r>
      <w:r w:rsidR="00C12F1C">
        <w:rPr>
          <w:rFonts w:cs="Arial"/>
        </w:rPr>
        <w:t xml:space="preserve"> 2022 through to February 2023, </w:t>
      </w:r>
      <w:r w:rsidR="001E60E2">
        <w:rPr>
          <w:rFonts w:cs="Arial"/>
        </w:rPr>
        <w:t>where recruiting for turnover only had been declin</w:t>
      </w:r>
      <w:r w:rsidR="00EE0C45">
        <w:rPr>
          <w:rFonts w:cs="Arial"/>
        </w:rPr>
        <w:t>ing.</w:t>
      </w:r>
      <w:r w:rsidR="001E60E2">
        <w:rPr>
          <w:rFonts w:cs="Arial"/>
        </w:rPr>
        <w:t xml:space="preserve"> </w:t>
      </w:r>
      <w:r w:rsidR="007A1E1D">
        <w:rPr>
          <w:rFonts w:cs="Arial"/>
        </w:rPr>
        <w:t xml:space="preserve">Indeed, </w:t>
      </w:r>
      <w:r w:rsidR="00EC0508">
        <w:rPr>
          <w:rFonts w:cs="Arial"/>
        </w:rPr>
        <w:t>6</w:t>
      </w:r>
      <w:r w:rsidR="00E43709">
        <w:rPr>
          <w:rFonts w:cs="Arial"/>
        </w:rPr>
        <w:t>4</w:t>
      </w:r>
      <w:r w:rsidR="007A1E1D">
        <w:rPr>
          <w:rFonts w:cs="Arial"/>
        </w:rPr>
        <w:t xml:space="preserve">% </w:t>
      </w:r>
      <w:r w:rsidR="007A1E1D" w:rsidRPr="00BB36CB">
        <w:rPr>
          <w:rFonts w:cs="Arial"/>
        </w:rPr>
        <w:t xml:space="preserve">of employers recruiting for turnover only </w:t>
      </w:r>
      <w:r w:rsidR="00EC0508">
        <w:rPr>
          <w:rFonts w:cs="Arial"/>
        </w:rPr>
        <w:t>in March 2023 is almost at the record peak (of 65%) recorded in March 2022 and July 2022</w:t>
      </w:r>
      <w:r w:rsidR="00590E9B">
        <w:rPr>
          <w:rFonts w:cs="Arial"/>
        </w:rPr>
        <w:t>, and 10 percentage points higher than was recorded in February 2023.</w:t>
      </w:r>
    </w:p>
    <w:p w14:paraId="1CB34032" w14:textId="6DB16E41" w:rsidR="005E5A61" w:rsidRDefault="005E5A61" w:rsidP="005E5A61">
      <w:pPr>
        <w:pStyle w:val="Heading5"/>
        <w:rPr>
          <w:color w:val="FF0000"/>
        </w:rPr>
      </w:pPr>
      <w:r w:rsidRPr="00BB36CB">
        <w:t xml:space="preserve">Figure </w:t>
      </w:r>
      <w:r w:rsidR="00007CD2">
        <w:t>6</w:t>
      </w:r>
      <w:r w:rsidRPr="00BB36CB">
        <w:t xml:space="preserve">: </w:t>
      </w:r>
      <w:r w:rsidR="001C3B0B">
        <w:t>Reasons for recruitment (p</w:t>
      </w:r>
      <w:r w:rsidRPr="00BB36CB">
        <w:t xml:space="preserve">roportion of </w:t>
      </w:r>
      <w:r w:rsidR="00DB5A86">
        <w:t xml:space="preserve">recruiting </w:t>
      </w:r>
      <w:r w:rsidRPr="00BB36CB">
        <w:t>employer</w:t>
      </w:r>
      <w:r w:rsidR="00DB5A86">
        <w:t>s)</w:t>
      </w:r>
      <w:r w:rsidRPr="00BB36CB">
        <w:t xml:space="preserve">, </w:t>
      </w:r>
      <w:r w:rsidR="003F222A">
        <w:t>August</w:t>
      </w:r>
      <w:r w:rsidRPr="00BB36CB">
        <w:t xml:space="preserve"> 2020 to </w:t>
      </w:r>
      <w:r w:rsidR="00146EA3">
        <w:t>March 2023</w:t>
      </w:r>
    </w:p>
    <w:p w14:paraId="1C1FCC26" w14:textId="6DE06C18" w:rsidR="00F4435B" w:rsidRPr="003F222A" w:rsidRDefault="00686A2C" w:rsidP="003F222A">
      <w:r>
        <w:rPr>
          <w:noProof/>
        </w:rPr>
        <w:drawing>
          <wp:inline distT="0" distB="0" distL="0" distR="0" wp14:anchorId="76B13F99" wp14:editId="217FA253">
            <wp:extent cx="6181725" cy="3314700"/>
            <wp:effectExtent l="0" t="0" r="0" b="0"/>
            <wp:docPr id="19" name="Chart 19" descr="Figure 6: Reasons for recruitment (proportion of recruiting employers), August 2020 to December 2022&#10;Figure 6 is a line chart showing the proportion of recruitment that is for turnover only, for new positions only, or for a mix of turnover and new positions, from August 2020 to March 2023. Turnover remains the primary reason for employers to recruit, with 64% of employers recruiting for turnover only and a further 14% recruiting for a mix of both turnover and new roles in March 2023. The March 2023 result reverses a trend seen from July 2022 through to February 2023, where recruiting for turnover only had been declining.">
              <a:extLst xmlns:a="http://schemas.openxmlformats.org/drawingml/2006/main">
                <a:ext uri="{FF2B5EF4-FFF2-40B4-BE49-F238E27FC236}">
                  <a16:creationId xmlns:a16="http://schemas.microsoft.com/office/drawing/2014/main" id="{674ED635-3C11-4BA6-B840-5C5A4B477D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BBDA6E" w14:textId="5B2504A7" w:rsidR="005E5A61" w:rsidRPr="00BB36CB" w:rsidRDefault="005E5A61" w:rsidP="00D9717E">
      <w:pPr>
        <w:pStyle w:val="Source"/>
        <w:rPr>
          <w:rFonts w:ascii="Arial" w:hAnsi="Arial" w:cs="Arial"/>
          <w:i w:val="0"/>
          <w:iCs/>
        </w:rPr>
      </w:pPr>
      <w:r>
        <w:rPr>
          <w:rFonts w:ascii="Arial" w:hAnsi="Arial" w:cs="Arial"/>
          <w:i w:val="0"/>
          <w:iCs/>
        </w:rPr>
        <w:t>JSA</w:t>
      </w:r>
      <w:r w:rsidRPr="00BB36CB">
        <w:rPr>
          <w:rFonts w:ascii="Arial" w:hAnsi="Arial" w:cs="Arial"/>
        </w:rPr>
        <w:t xml:space="preserve">, Recruitment Experiences and Outlook Survey, </w:t>
      </w:r>
      <w:r w:rsidR="00224962">
        <w:rPr>
          <w:rFonts w:ascii="Arial" w:hAnsi="Arial" w:cs="Arial"/>
          <w:i w:val="0"/>
          <w:iCs/>
        </w:rPr>
        <w:t>Dec</w:t>
      </w:r>
      <w:r>
        <w:rPr>
          <w:rFonts w:ascii="Arial" w:hAnsi="Arial" w:cs="Arial"/>
          <w:i w:val="0"/>
          <w:iCs/>
        </w:rPr>
        <w:t>ember</w:t>
      </w:r>
      <w:r w:rsidRPr="00BB36CB">
        <w:rPr>
          <w:rFonts w:ascii="Arial" w:hAnsi="Arial" w:cs="Arial"/>
          <w:i w:val="0"/>
          <w:iCs/>
        </w:rPr>
        <w:t xml:space="preserve"> 2022.</w:t>
      </w:r>
      <w:r w:rsidR="00577729">
        <w:rPr>
          <w:rFonts w:ascii="Arial" w:hAnsi="Arial" w:cs="Arial"/>
          <w:i w:val="0"/>
          <w:iCs/>
        </w:rPr>
        <w:t xml:space="preserve"> </w:t>
      </w:r>
      <w:r w:rsidR="003E3C99" w:rsidRPr="00AA3D7C">
        <w:rPr>
          <w:rFonts w:ascii="Arial" w:hAnsi="Arial" w:cs="Arial"/>
          <w:i w:val="0"/>
          <w:iCs/>
        </w:rPr>
        <w:t xml:space="preserve">Please note: </w:t>
      </w:r>
      <w:r w:rsidR="00AD3DE8">
        <w:rPr>
          <w:rFonts w:ascii="Arial" w:hAnsi="Arial" w:cs="Arial"/>
          <w:i w:val="0"/>
          <w:iCs/>
        </w:rPr>
        <w:t>D</w:t>
      </w:r>
      <w:r w:rsidR="003E3C99" w:rsidRPr="00AA3D7C">
        <w:rPr>
          <w:rFonts w:ascii="Arial" w:hAnsi="Arial" w:cs="Arial"/>
          <w:i w:val="0"/>
          <w:iCs/>
        </w:rPr>
        <w:t xml:space="preserve">isaggregated data was not publishable in </w:t>
      </w:r>
      <w:r w:rsidR="003E3C99">
        <w:rPr>
          <w:rFonts w:ascii="Arial" w:hAnsi="Arial" w:cs="Arial"/>
          <w:i w:val="0"/>
          <w:iCs/>
        </w:rPr>
        <w:t>January of each year; h</w:t>
      </w:r>
      <w:r w:rsidR="003E3C99" w:rsidRPr="00AA3D7C">
        <w:rPr>
          <w:rFonts w:ascii="Arial" w:hAnsi="Arial" w:cs="Arial"/>
          <w:i w:val="0"/>
          <w:iCs/>
        </w:rPr>
        <w:t xml:space="preserve">ence </w:t>
      </w:r>
      <w:r w:rsidR="003E3C99">
        <w:rPr>
          <w:rFonts w:ascii="Arial" w:hAnsi="Arial" w:cs="Arial"/>
          <w:i w:val="0"/>
          <w:iCs/>
        </w:rPr>
        <w:t xml:space="preserve">relevant </w:t>
      </w:r>
      <w:r w:rsidR="003E3C99" w:rsidRPr="00AA3D7C">
        <w:rPr>
          <w:rFonts w:ascii="Arial" w:hAnsi="Arial" w:cs="Arial"/>
          <w:i w:val="0"/>
          <w:iCs/>
        </w:rPr>
        <w:t>data points have been joined by a dotted line.</w:t>
      </w:r>
    </w:p>
    <w:p w14:paraId="7F5DBD0C" w14:textId="77777777" w:rsidR="00D9717E" w:rsidRDefault="00D9717E" w:rsidP="00E42A73">
      <w:pPr>
        <w:pStyle w:val="Heading1"/>
        <w:spacing w:before="240"/>
        <w:rPr>
          <w:rFonts w:cs="Arial"/>
        </w:rPr>
      </w:pPr>
      <w:bookmarkStart w:id="15" w:name="_Toc110414942"/>
      <w:r>
        <w:rPr>
          <w:rFonts w:cs="Arial"/>
        </w:rPr>
        <w:br w:type="page"/>
      </w:r>
    </w:p>
    <w:p w14:paraId="6AD35ACD" w14:textId="5AD9FFFF" w:rsidR="00E42A73" w:rsidRPr="00BB36CB" w:rsidRDefault="00180611" w:rsidP="00E42A73">
      <w:pPr>
        <w:pStyle w:val="Heading1"/>
        <w:spacing w:before="240"/>
        <w:rPr>
          <w:rFonts w:cs="Arial"/>
        </w:rPr>
      </w:pPr>
      <w:bookmarkStart w:id="16" w:name="_Toc134785327"/>
      <w:r>
        <w:rPr>
          <w:rFonts w:cs="Arial"/>
        </w:rPr>
        <w:lastRenderedPageBreak/>
        <w:t>Re</w:t>
      </w:r>
      <w:r w:rsidR="009100F9">
        <w:rPr>
          <w:rFonts w:cs="Arial"/>
        </w:rPr>
        <w:t>cruitment</w:t>
      </w:r>
      <w:r w:rsidR="00E42A73" w:rsidRPr="00BB36CB">
        <w:rPr>
          <w:rFonts w:cs="Arial"/>
        </w:rPr>
        <w:t xml:space="preserve"> difficulty </w:t>
      </w:r>
      <w:r w:rsidR="00852DFC">
        <w:rPr>
          <w:rFonts w:cs="Arial"/>
        </w:rPr>
        <w:t>h</w:t>
      </w:r>
      <w:r w:rsidR="00F05E47">
        <w:rPr>
          <w:rFonts w:cs="Arial"/>
        </w:rPr>
        <w:t>as eased</w:t>
      </w:r>
      <w:r w:rsidR="003212E0">
        <w:rPr>
          <w:rFonts w:cs="Arial"/>
        </w:rPr>
        <w:t xml:space="preserve"> slightly</w:t>
      </w:r>
      <w:r w:rsidR="002D4D83">
        <w:rPr>
          <w:rFonts w:cs="Arial"/>
        </w:rPr>
        <w:t>, as</w:t>
      </w:r>
      <w:r w:rsidR="00CE3459">
        <w:rPr>
          <w:rFonts w:cs="Arial"/>
        </w:rPr>
        <w:t xml:space="preserve"> more advertised roles are being filled</w:t>
      </w:r>
      <w:bookmarkEnd w:id="16"/>
    </w:p>
    <w:p w14:paraId="378CFADC" w14:textId="4F46E456" w:rsidR="00096F80" w:rsidRPr="006F49E5" w:rsidRDefault="0053311C" w:rsidP="00096F80">
      <w:pPr>
        <w:spacing w:after="120" w:line="276" w:lineRule="auto"/>
        <w:rPr>
          <w:rFonts w:cs="Arial"/>
        </w:rPr>
      </w:pPr>
      <w:bookmarkStart w:id="17" w:name="_Toc110414943"/>
      <w:bookmarkStart w:id="18" w:name="_Hlk109116138"/>
      <w:bookmarkStart w:id="19" w:name="_Hlk109207081"/>
      <w:bookmarkEnd w:id="15"/>
      <w:r>
        <w:rPr>
          <w:rFonts w:cs="Arial"/>
        </w:rPr>
        <w:t>Data</w:t>
      </w:r>
      <w:r w:rsidR="00096F80" w:rsidRPr="0055011D">
        <w:rPr>
          <w:rFonts w:cs="Arial"/>
        </w:rPr>
        <w:t xml:space="preserve"> from JSA’s Survey of Employers who have Recently Advertised (SERA), </w:t>
      </w:r>
      <w:r w:rsidR="00A83E62">
        <w:t>shows that the percentage of occupation vacancies that have been filled (or the fill rate) have continued to rise</w:t>
      </w:r>
      <w:r w:rsidR="00096F80" w:rsidRPr="006F49E5">
        <w:rPr>
          <w:rFonts w:cs="Arial"/>
        </w:rPr>
        <w:t>.</w:t>
      </w:r>
      <w:r w:rsidR="00096F80" w:rsidRPr="006F49E5">
        <w:rPr>
          <w:rStyle w:val="FootnoteReference"/>
          <w:rFonts w:cs="Arial"/>
        </w:rPr>
        <w:footnoteReference w:id="12"/>
      </w:r>
      <w:r w:rsidR="00096F80" w:rsidRPr="006F49E5">
        <w:rPr>
          <w:rFonts w:cs="Arial"/>
        </w:rPr>
        <w:t xml:space="preserve"> </w:t>
      </w:r>
    </w:p>
    <w:p w14:paraId="16BDB209" w14:textId="5516EA60" w:rsidR="007E1BFC" w:rsidRPr="00B33C26" w:rsidRDefault="007E1BFC" w:rsidP="00621F0A">
      <w:pPr>
        <w:rPr>
          <w:b/>
        </w:rPr>
      </w:pPr>
      <w:r>
        <w:t>The fill rate has moved up consistently from around 55% in July 2022 to 65% in March 2023</w:t>
      </w:r>
      <w:r w:rsidR="002D4D83">
        <w:rPr>
          <w:b/>
        </w:rPr>
        <w:t xml:space="preserve"> </w:t>
      </w:r>
      <w:r w:rsidR="002D4D83" w:rsidRPr="00621F0A">
        <w:rPr>
          <w:bCs/>
        </w:rPr>
        <w:t>(see Figure 7)</w:t>
      </w:r>
      <w:r w:rsidRPr="00621F0A">
        <w:rPr>
          <w:bCs/>
        </w:rPr>
        <w:t>.</w:t>
      </w:r>
      <w:r>
        <w:t xml:space="preserve"> Growth in labour demand as measured by JSA’s IVI have also eased in recent months. </w:t>
      </w:r>
      <w:r w:rsidRPr="005A3127">
        <w:t>Recruitment difficulty, while increasing in March 2023 to 64%, remains well below levels recorded in mid-2022</w:t>
      </w:r>
      <w:r>
        <w:t>. Further, t</w:t>
      </w:r>
      <w:r w:rsidRPr="005A3127">
        <w:t xml:space="preserve">he </w:t>
      </w:r>
      <w:r>
        <w:t xml:space="preserve">percentage </w:t>
      </w:r>
      <w:r w:rsidRPr="005A3127">
        <w:t>of employers recruiting has remained stable at 55%</w:t>
      </w:r>
      <w:r>
        <w:t>. Alongside rising fill rates, these additional indicators point to potential softening in the labour market.</w:t>
      </w:r>
    </w:p>
    <w:p w14:paraId="7C32DF4D" w14:textId="60F451B5" w:rsidR="00096F80" w:rsidRDefault="00434048" w:rsidP="00096F80">
      <w:pPr>
        <w:spacing w:after="120" w:line="276" w:lineRule="auto"/>
        <w:rPr>
          <w:rFonts w:cs="Arial"/>
        </w:rPr>
      </w:pPr>
      <w:r w:rsidRPr="0072638E">
        <w:rPr>
          <w:rFonts w:cs="Arial"/>
          <w:b/>
          <w:bCs/>
        </w:rPr>
        <w:t xml:space="preserve">Figure </w:t>
      </w:r>
      <w:r w:rsidR="00D60B3D">
        <w:rPr>
          <w:rFonts w:cs="Arial"/>
          <w:b/>
          <w:bCs/>
        </w:rPr>
        <w:t>7</w:t>
      </w:r>
      <w:r w:rsidRPr="0072638E">
        <w:rPr>
          <w:rFonts w:cs="Arial"/>
          <w:b/>
          <w:bCs/>
        </w:rPr>
        <w:t xml:space="preserve">: Monthly fill rate (SERA), recruitment difficulty (REOS) and internet vacancies (IVI), </w:t>
      </w:r>
      <w:r w:rsidR="0072638E" w:rsidRPr="0072638E">
        <w:rPr>
          <w:rFonts w:cs="Arial"/>
          <w:b/>
          <w:bCs/>
        </w:rPr>
        <w:t>March</w:t>
      </w:r>
      <w:r w:rsidRPr="0072638E">
        <w:rPr>
          <w:rFonts w:cs="Arial"/>
          <w:b/>
          <w:bCs/>
        </w:rPr>
        <w:t xml:space="preserve"> 2021 to </w:t>
      </w:r>
      <w:r w:rsidR="0072638E" w:rsidRPr="00937DEA">
        <w:rPr>
          <w:rFonts w:cs="Arial"/>
          <w:b/>
          <w:bCs/>
        </w:rPr>
        <w:t>March 2023</w:t>
      </w:r>
      <w:r w:rsidR="00054C42">
        <w:rPr>
          <w:noProof/>
        </w:rPr>
        <w:drawing>
          <wp:inline distT="0" distB="0" distL="0" distR="0" wp14:anchorId="60063D24" wp14:editId="43A96BED">
            <wp:extent cx="6400800" cy="3419475"/>
            <wp:effectExtent l="0" t="0" r="0" b="0"/>
            <wp:docPr id="2" name="Chart 2" descr="Figure 7: Monthly fill rate (SERA), recruitment difficulty (REOS) and internet vacancies (IVI), March 2021 to March 2023&#10;Figure 7 is a line chart comparing seasonally adjusted online job advertisements to the recruitment difficulty rate and also to the fill rate (that is, the proportion of advertised roles that are filled), from March 2021 to March 2023. Seasonally adjusted job advertisements and the recruitment difficulty rate both generally increased over the period to August 2022 but have declined since then. Conversely, the fill rate generally declined, particularly in the period from July 2021 to May 2022, but has increased in the past few months as job advertisements and the recruitment difficulty rate have been declining.&#10;">
              <a:extLst xmlns:a="http://schemas.openxmlformats.org/drawingml/2006/main">
                <a:ext uri="{FF2B5EF4-FFF2-40B4-BE49-F238E27FC236}">
                  <a16:creationId xmlns:a16="http://schemas.microsoft.com/office/drawing/2014/main" id="{4302C1F1-D2EE-436D-7629-482DB1B08E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EDB5168" w14:textId="12A2E866" w:rsidR="0099095C" w:rsidRPr="008A5F28" w:rsidRDefault="0099095C" w:rsidP="0099095C">
      <w:pPr>
        <w:spacing w:after="120" w:line="276" w:lineRule="auto"/>
        <w:rPr>
          <w:rFonts w:cs="Arial"/>
          <w:i/>
          <w:iCs/>
          <w:sz w:val="16"/>
          <w:szCs w:val="16"/>
        </w:rPr>
      </w:pPr>
      <w:r w:rsidRPr="008A5F28">
        <w:rPr>
          <w:rFonts w:cs="Arial"/>
          <w:i/>
          <w:iCs/>
          <w:sz w:val="16"/>
          <w:szCs w:val="16"/>
        </w:rPr>
        <w:t xml:space="preserve">Source: </w:t>
      </w:r>
      <w:r w:rsidR="008A5F28" w:rsidRPr="008A5F28">
        <w:rPr>
          <w:rFonts w:cs="Arial"/>
          <w:sz w:val="16"/>
          <w:szCs w:val="16"/>
        </w:rPr>
        <w:t>JSA, Survey of Employers who have Recently Advertised, 202</w:t>
      </w:r>
      <w:r w:rsidR="003E2158">
        <w:rPr>
          <w:rFonts w:cs="Arial"/>
          <w:sz w:val="16"/>
          <w:szCs w:val="16"/>
        </w:rPr>
        <w:t>3</w:t>
      </w:r>
      <w:r w:rsidR="008A5F28" w:rsidRPr="008A5F28">
        <w:rPr>
          <w:rFonts w:cs="Arial"/>
          <w:sz w:val="16"/>
          <w:szCs w:val="16"/>
        </w:rPr>
        <w:t>; JSA, Recruitment Experiences and Outlook Survey,</w:t>
      </w:r>
      <w:r w:rsidR="003E2158">
        <w:rPr>
          <w:rFonts w:cs="Arial"/>
          <w:sz w:val="16"/>
          <w:szCs w:val="16"/>
        </w:rPr>
        <w:t xml:space="preserve"> March 2023</w:t>
      </w:r>
      <w:r w:rsidR="008A5F28" w:rsidRPr="008A5F28">
        <w:rPr>
          <w:rFonts w:cs="Arial"/>
          <w:sz w:val="16"/>
          <w:szCs w:val="16"/>
        </w:rPr>
        <w:t xml:space="preserve">; JSA, Internet Vacancy Index, </w:t>
      </w:r>
      <w:r w:rsidR="003E2158">
        <w:rPr>
          <w:rFonts w:cs="Arial"/>
          <w:sz w:val="16"/>
          <w:szCs w:val="16"/>
        </w:rPr>
        <w:t>March 2023</w:t>
      </w:r>
      <w:r w:rsidR="008A5F28" w:rsidRPr="008A5F28">
        <w:rPr>
          <w:rFonts w:cs="Arial"/>
          <w:sz w:val="16"/>
          <w:szCs w:val="16"/>
        </w:rPr>
        <w:t>.</w:t>
      </w:r>
    </w:p>
    <w:p w14:paraId="2FFD4B78" w14:textId="381D7E18" w:rsidR="00DA732B" w:rsidRDefault="00DA732B" w:rsidP="00DA732B">
      <w:r>
        <w:t xml:space="preserve">In addition to increased fill rates, applicant numbers – a proxy for labour supply – have also improved and were significantly higher than they were one year ago (see Figure </w:t>
      </w:r>
      <w:r w:rsidR="00170F5F">
        <w:t>8</w:t>
      </w:r>
      <w:r>
        <w:t xml:space="preserve">). The </w:t>
      </w:r>
      <w:r w:rsidR="00C8023B">
        <w:t xml:space="preserve">average </w:t>
      </w:r>
      <w:r>
        <w:t>number of applicants per vacancy has increased from 10.1 in the March 2022 quarter to 14.1 in the March 2023 quarter</w:t>
      </w:r>
      <w:r w:rsidR="00E0407B">
        <w:t xml:space="preserve">, an increase of around 40% </w:t>
      </w:r>
      <w:r w:rsidR="002C2B11">
        <w:t>over 12 months</w:t>
      </w:r>
      <w:r>
        <w:t xml:space="preserve">. Further, the </w:t>
      </w:r>
      <w:r w:rsidR="00C8023B">
        <w:t xml:space="preserve">average </w:t>
      </w:r>
      <w:r>
        <w:t>number of suitable applicants per vacancy has increased from 1.7 in the March 2022 quarter to 2.4 in the March 2023 quarter.</w:t>
      </w:r>
    </w:p>
    <w:p w14:paraId="2BE6B378" w14:textId="5B2E437D" w:rsidR="00B53ABD" w:rsidRPr="00DA732B" w:rsidRDefault="00B53ABD" w:rsidP="00DA732B">
      <w:r>
        <w:t>The increase of around 40</w:t>
      </w:r>
      <w:r w:rsidR="00367293">
        <w:t>%</w:t>
      </w:r>
      <w:r>
        <w:t xml:space="preserve"> in the </w:t>
      </w:r>
      <w:r w:rsidR="00C8023B">
        <w:t>average number of applicants per vacancy</w:t>
      </w:r>
      <w:r w:rsidR="00A20608">
        <w:t xml:space="preserve"> over the past year that is</w:t>
      </w:r>
      <w:r w:rsidR="00C8023B">
        <w:t xml:space="preserve"> highlighted by </w:t>
      </w:r>
      <w:r w:rsidR="00EF44E2">
        <w:t>JSA’s</w:t>
      </w:r>
      <w:r w:rsidR="00C8023B">
        <w:t xml:space="preserve"> SERA data </w:t>
      </w:r>
      <w:r w:rsidR="00A20608">
        <w:t>reflects similar patterns to</w:t>
      </w:r>
      <w:r w:rsidR="0048025D">
        <w:t xml:space="preserve"> recent data released by SEEK</w:t>
      </w:r>
      <w:r w:rsidR="0048025D">
        <w:rPr>
          <w:rStyle w:val="FootnoteReference"/>
        </w:rPr>
        <w:footnoteReference w:id="13"/>
      </w:r>
      <w:r w:rsidR="002C2B11">
        <w:t>.</w:t>
      </w:r>
      <w:r w:rsidR="0048025D">
        <w:t xml:space="preserve"> </w:t>
      </w:r>
      <w:r w:rsidR="002C2B11">
        <w:t>The</w:t>
      </w:r>
      <w:r w:rsidR="00D62B67">
        <w:t xml:space="preserve"> March 2023</w:t>
      </w:r>
      <w:r w:rsidR="002C2B11">
        <w:t xml:space="preserve"> SEEK Employment Report highlighted </w:t>
      </w:r>
      <w:r w:rsidR="008512D0">
        <w:t xml:space="preserve">that average applications per SEEK job advertisement </w:t>
      </w:r>
      <w:r w:rsidR="000060D9">
        <w:t xml:space="preserve">rose by 4.0% month-on-month (from January 2023 to February 2023) and by 48.5% </w:t>
      </w:r>
      <w:r w:rsidR="00E0407B">
        <w:t xml:space="preserve">over the </w:t>
      </w:r>
      <w:r w:rsidR="00A903AE">
        <w:t xml:space="preserve">past </w:t>
      </w:r>
      <w:r w:rsidR="00E0407B">
        <w:t>12 months.</w:t>
      </w:r>
    </w:p>
    <w:p w14:paraId="0EA1EA85" w14:textId="77777777" w:rsidR="0059188E" w:rsidRDefault="0059188E" w:rsidP="005B7B79">
      <w:pPr>
        <w:spacing w:after="120" w:line="276" w:lineRule="auto"/>
        <w:rPr>
          <w:rFonts w:cs="Arial"/>
          <w:b/>
          <w:bCs/>
        </w:rPr>
      </w:pPr>
    </w:p>
    <w:p w14:paraId="6E1E6E44" w14:textId="77777777" w:rsidR="0059188E" w:rsidRDefault="0059188E" w:rsidP="005B7B79">
      <w:pPr>
        <w:spacing w:after="120" w:line="276" w:lineRule="auto"/>
        <w:rPr>
          <w:rFonts w:cs="Arial"/>
          <w:b/>
          <w:bCs/>
        </w:rPr>
      </w:pPr>
    </w:p>
    <w:p w14:paraId="5ED15253" w14:textId="77777777" w:rsidR="0059188E" w:rsidRDefault="0059188E" w:rsidP="005B7B79">
      <w:pPr>
        <w:spacing w:after="120" w:line="276" w:lineRule="auto"/>
        <w:rPr>
          <w:rFonts w:cs="Arial"/>
          <w:b/>
          <w:bCs/>
        </w:rPr>
      </w:pPr>
    </w:p>
    <w:p w14:paraId="61B67F6E" w14:textId="77777777" w:rsidR="0059188E" w:rsidRDefault="0059188E" w:rsidP="005B7B79">
      <w:pPr>
        <w:spacing w:after="120" w:line="276" w:lineRule="auto"/>
        <w:rPr>
          <w:rFonts w:cs="Arial"/>
          <w:b/>
          <w:bCs/>
        </w:rPr>
      </w:pPr>
    </w:p>
    <w:p w14:paraId="0766A0A7" w14:textId="77777777" w:rsidR="0059188E" w:rsidRDefault="0059188E" w:rsidP="005B7B79">
      <w:pPr>
        <w:spacing w:after="120" w:line="276" w:lineRule="auto"/>
        <w:rPr>
          <w:rFonts w:cs="Arial"/>
          <w:b/>
          <w:bCs/>
        </w:rPr>
      </w:pPr>
    </w:p>
    <w:p w14:paraId="59DCE4B7" w14:textId="720FCC57" w:rsidR="005B7B79" w:rsidRPr="001F241E" w:rsidRDefault="005B7B79" w:rsidP="005B7B79">
      <w:pPr>
        <w:spacing w:after="120" w:line="276" w:lineRule="auto"/>
        <w:rPr>
          <w:rFonts w:cs="Arial"/>
          <w:b/>
          <w:bCs/>
          <w:color w:val="FF0000"/>
        </w:rPr>
      </w:pPr>
      <w:r w:rsidRPr="003623B4">
        <w:rPr>
          <w:rFonts w:cs="Arial"/>
          <w:b/>
          <w:bCs/>
        </w:rPr>
        <w:lastRenderedPageBreak/>
        <w:t xml:space="preserve">Figure </w:t>
      </w:r>
      <w:r w:rsidR="00170F5F">
        <w:rPr>
          <w:rFonts w:cs="Arial"/>
          <w:b/>
          <w:bCs/>
        </w:rPr>
        <w:t>8</w:t>
      </w:r>
      <w:r w:rsidRPr="003623B4">
        <w:rPr>
          <w:rFonts w:cs="Arial"/>
          <w:b/>
          <w:bCs/>
        </w:rPr>
        <w:t xml:space="preserve">: </w:t>
      </w:r>
      <w:r w:rsidR="00CF4A4F">
        <w:rPr>
          <w:rFonts w:cs="Arial"/>
          <w:b/>
          <w:bCs/>
        </w:rPr>
        <w:t>Quarterly fill rate</w:t>
      </w:r>
      <w:r w:rsidRPr="003623B4">
        <w:rPr>
          <w:rFonts w:cs="Arial"/>
          <w:b/>
          <w:bCs/>
        </w:rPr>
        <w:t xml:space="preserve"> (%),</w:t>
      </w:r>
      <w:r w:rsidR="004229C9">
        <w:rPr>
          <w:rFonts w:cs="Arial"/>
          <w:b/>
          <w:bCs/>
        </w:rPr>
        <w:t xml:space="preserve"> </w:t>
      </w:r>
      <w:r w:rsidRPr="003623B4">
        <w:rPr>
          <w:rFonts w:cs="Arial"/>
          <w:b/>
          <w:bCs/>
        </w:rPr>
        <w:t>applicants and suitable applicants per vacancy (no.), 2022</w:t>
      </w:r>
      <w:r w:rsidR="006372D9" w:rsidRPr="003623B4">
        <w:rPr>
          <w:rFonts w:cs="Arial"/>
          <w:b/>
          <w:bCs/>
        </w:rPr>
        <w:t xml:space="preserve"> to</w:t>
      </w:r>
      <w:r w:rsidR="00CF4A4F">
        <w:rPr>
          <w:rFonts w:cs="Arial"/>
          <w:b/>
          <w:bCs/>
        </w:rPr>
        <w:t xml:space="preserve"> 2023</w:t>
      </w:r>
    </w:p>
    <w:p w14:paraId="7633D497" w14:textId="3D6F9014" w:rsidR="009A63D3" w:rsidRDefault="009A63D3" w:rsidP="005B7B79">
      <w:pPr>
        <w:pStyle w:val="ListBullet"/>
        <w:numPr>
          <w:ilvl w:val="0"/>
          <w:numId w:val="0"/>
        </w:numPr>
        <w:ind w:left="360" w:hanging="360"/>
      </w:pPr>
      <w:r>
        <w:rPr>
          <w:noProof/>
        </w:rPr>
        <w:drawing>
          <wp:inline distT="0" distB="0" distL="0" distR="0" wp14:anchorId="7BF72667" wp14:editId="64139815">
            <wp:extent cx="6343650" cy="3152775"/>
            <wp:effectExtent l="0" t="0" r="0" b="0"/>
            <wp:docPr id="33" name="Chart 33" descr="Figure 8: Proportion of vacancies filled (%), average number of applicants and suitable applicants per vacancy (no.), 2022, quarterly&#10;Figure 8 is a combination chart showing the average number of applicants per vacancy and the average number of suitable applicants per vacancy as bars, and the proportion of vacancies filled as dots, for each quarter of 2022 and the first quarter of 2023. The average number of applicants per vacancy has increased from 10.1 in the first quarter of 2022, to 14.1 in the first quarter of 2023. Similarly, the average number of suitable applicants per vacancy has increased from 1.7 in the first quarter of 2022, to 2.4 in the first quarter of 2023. The proportion of vacancies filled has also increased, from 56% in the first quarter of 2022, to 63% in the first quarter of 2023.&#10;">
              <a:extLst xmlns:a="http://schemas.openxmlformats.org/drawingml/2006/main">
                <a:ext uri="{FF2B5EF4-FFF2-40B4-BE49-F238E27FC236}">
                  <a16:creationId xmlns:a16="http://schemas.microsoft.com/office/drawing/2014/main" id="{6B479296-91D2-6E8E-A8CC-A9B47C4CB1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1A2504F" w14:textId="14CC2AE5" w:rsidR="005B7B79" w:rsidRPr="00893F66" w:rsidRDefault="005B7B79" w:rsidP="005B7B79">
      <w:pPr>
        <w:spacing w:after="120" w:line="276" w:lineRule="auto"/>
        <w:rPr>
          <w:rFonts w:cs="Arial"/>
          <w:sz w:val="16"/>
          <w:szCs w:val="16"/>
        </w:rPr>
      </w:pPr>
      <w:r w:rsidRPr="00EC5728">
        <w:rPr>
          <w:rFonts w:cs="Arial"/>
          <w:sz w:val="16"/>
          <w:szCs w:val="16"/>
        </w:rPr>
        <w:t xml:space="preserve">Source: JSA, </w:t>
      </w:r>
      <w:r w:rsidRPr="00E62E0C">
        <w:rPr>
          <w:rFonts w:cs="Arial"/>
          <w:i/>
          <w:iCs/>
          <w:sz w:val="16"/>
          <w:szCs w:val="16"/>
        </w:rPr>
        <w:t>Survey of Employers who have Recently Advertised,</w:t>
      </w:r>
      <w:r>
        <w:rPr>
          <w:rFonts w:cs="Arial"/>
          <w:sz w:val="16"/>
          <w:szCs w:val="16"/>
        </w:rPr>
        <w:t xml:space="preserve"> 202</w:t>
      </w:r>
      <w:r w:rsidR="00E62E0C">
        <w:rPr>
          <w:rFonts w:cs="Arial"/>
          <w:sz w:val="16"/>
          <w:szCs w:val="16"/>
        </w:rPr>
        <w:t>2 - 2023</w:t>
      </w:r>
    </w:p>
    <w:p w14:paraId="6C0B4FE9" w14:textId="77777777" w:rsidR="00781F25" w:rsidRDefault="00781F25" w:rsidP="00B34BAB">
      <w:pPr>
        <w:spacing w:after="120" w:line="276" w:lineRule="auto"/>
        <w:rPr>
          <w:rFonts w:cs="Arial"/>
        </w:rPr>
      </w:pPr>
    </w:p>
    <w:p w14:paraId="13C7888D" w14:textId="003E2B2F" w:rsidR="00B34BAB" w:rsidRPr="007A124D" w:rsidRDefault="00B24D73" w:rsidP="00B34BAB">
      <w:pPr>
        <w:spacing w:after="120" w:line="276" w:lineRule="auto"/>
        <w:rPr>
          <w:rFonts w:cs="Arial"/>
        </w:rPr>
      </w:pPr>
      <w:r w:rsidRPr="009F497F">
        <w:rPr>
          <w:rFonts w:cs="Arial"/>
        </w:rPr>
        <w:t xml:space="preserve">From </w:t>
      </w:r>
      <w:r w:rsidR="004963E8" w:rsidRPr="009F497F">
        <w:rPr>
          <w:rFonts w:cs="Arial"/>
        </w:rPr>
        <w:t xml:space="preserve">a major </w:t>
      </w:r>
      <w:r w:rsidRPr="009F497F">
        <w:rPr>
          <w:rFonts w:cs="Arial"/>
        </w:rPr>
        <w:t xml:space="preserve">occupational </w:t>
      </w:r>
      <w:r w:rsidR="004963E8" w:rsidRPr="009F497F">
        <w:rPr>
          <w:rFonts w:cs="Arial"/>
        </w:rPr>
        <w:t xml:space="preserve">group </w:t>
      </w:r>
      <w:r w:rsidRPr="009F497F">
        <w:rPr>
          <w:rFonts w:cs="Arial"/>
        </w:rPr>
        <w:t xml:space="preserve">perspective, </w:t>
      </w:r>
      <w:r w:rsidR="004963E8" w:rsidRPr="009F497F">
        <w:t xml:space="preserve">employers had the most difficulty filling vacancies for Technicians and Trades Workers, </w:t>
      </w:r>
      <w:r w:rsidR="004963E8" w:rsidRPr="007A124D">
        <w:t>with just 4</w:t>
      </w:r>
      <w:r w:rsidR="009F497F" w:rsidRPr="007A124D">
        <w:t>9</w:t>
      </w:r>
      <w:r w:rsidR="004963E8" w:rsidRPr="007A124D">
        <w:t xml:space="preserve">% of vacancies filled in </w:t>
      </w:r>
      <w:r w:rsidR="009F497F" w:rsidRPr="007A124D">
        <w:t>the March 2023 quarter</w:t>
      </w:r>
      <w:r w:rsidR="004963E8" w:rsidRPr="007A124D">
        <w:t xml:space="preserve">. </w:t>
      </w:r>
      <w:r w:rsidR="004F0B5E" w:rsidRPr="007A124D">
        <w:t>S</w:t>
      </w:r>
      <w:r w:rsidR="004F0B5E" w:rsidRPr="007A124D">
        <w:rPr>
          <w:rFonts w:cs="Arial"/>
        </w:rPr>
        <w:t xml:space="preserve">hortages within this broad group of occupations appear to be persistent over time. </w:t>
      </w:r>
      <w:r w:rsidR="004963E8" w:rsidRPr="007A124D">
        <w:t xml:space="preserve">The </w:t>
      </w:r>
      <w:r w:rsidR="00B34BAB" w:rsidRPr="007A124D">
        <w:rPr>
          <w:rFonts w:cs="Arial"/>
        </w:rPr>
        <w:t xml:space="preserve">proportion of vacancies filled </w:t>
      </w:r>
      <w:r w:rsidR="003E6680" w:rsidRPr="007A124D">
        <w:rPr>
          <w:rFonts w:cs="Arial"/>
        </w:rPr>
        <w:t>were</w:t>
      </w:r>
      <w:r w:rsidR="00B34BAB" w:rsidRPr="007A124D">
        <w:rPr>
          <w:rFonts w:cs="Arial"/>
        </w:rPr>
        <w:t xml:space="preserve"> particularly low </w:t>
      </w:r>
      <w:r w:rsidR="00CB7EA1" w:rsidRPr="007A124D">
        <w:rPr>
          <w:rFonts w:cs="Arial"/>
        </w:rPr>
        <w:t>during</w:t>
      </w:r>
      <w:r w:rsidR="00B34BAB" w:rsidRPr="007A124D">
        <w:rPr>
          <w:rFonts w:cs="Arial"/>
        </w:rPr>
        <w:t xml:space="preserve"> </w:t>
      </w:r>
      <w:r w:rsidR="003E6680" w:rsidRPr="007A124D">
        <w:rPr>
          <w:rFonts w:cs="Arial"/>
        </w:rPr>
        <w:t>the March 2023 quarter</w:t>
      </w:r>
      <w:r w:rsidRPr="007A124D">
        <w:rPr>
          <w:rFonts w:cs="Arial"/>
        </w:rPr>
        <w:t xml:space="preserve"> for:</w:t>
      </w:r>
    </w:p>
    <w:p w14:paraId="2004C307" w14:textId="1B0726F3" w:rsidR="007A124D" w:rsidRPr="007A124D" w:rsidRDefault="007A124D" w:rsidP="007A124D">
      <w:pPr>
        <w:pStyle w:val="ListBullet"/>
      </w:pPr>
      <w:r w:rsidRPr="007A124D">
        <w:t xml:space="preserve">Construction Trades Workers (28%); </w:t>
      </w:r>
    </w:p>
    <w:p w14:paraId="6B44099A" w14:textId="5387A08E" w:rsidR="00B34BAB" w:rsidRPr="007A124D" w:rsidRDefault="00B34BAB" w:rsidP="00B34BAB">
      <w:pPr>
        <w:pStyle w:val="ListBullet"/>
      </w:pPr>
      <w:r w:rsidRPr="007A124D">
        <w:t>Automotive and Engineering Trades Workers</w:t>
      </w:r>
      <w:r w:rsidR="00B24D73" w:rsidRPr="007A124D">
        <w:t xml:space="preserve"> (</w:t>
      </w:r>
      <w:r w:rsidR="007A124D" w:rsidRPr="007A124D">
        <w:t>35%</w:t>
      </w:r>
      <w:r w:rsidR="00B24D73" w:rsidRPr="007A124D">
        <w:t>)</w:t>
      </w:r>
      <w:r w:rsidR="007A124D" w:rsidRPr="007A124D">
        <w:t>; and</w:t>
      </w:r>
    </w:p>
    <w:p w14:paraId="79DD13A7" w14:textId="70F777D0" w:rsidR="00B34BAB" w:rsidRPr="007A124D" w:rsidRDefault="00B34BAB" w:rsidP="00B34BAB">
      <w:pPr>
        <w:pStyle w:val="ListBullet"/>
      </w:pPr>
      <w:r w:rsidRPr="007A124D">
        <w:t>Electrotechnology and Telecommunications Trades Workers</w:t>
      </w:r>
      <w:r w:rsidR="00B24D73" w:rsidRPr="007A124D">
        <w:t xml:space="preserve"> (</w:t>
      </w:r>
      <w:r w:rsidR="00662527" w:rsidRPr="007A124D">
        <w:t>35%</w:t>
      </w:r>
      <w:r w:rsidR="00B24D73" w:rsidRPr="007A124D">
        <w:t>)</w:t>
      </w:r>
    </w:p>
    <w:p w14:paraId="0DB50AD2" w14:textId="05C4B554" w:rsidR="00EA3958" w:rsidRPr="00EA6990" w:rsidRDefault="007A4FF4" w:rsidP="00EA3958">
      <w:pPr>
        <w:spacing w:after="120" w:line="276" w:lineRule="auto"/>
        <w:rPr>
          <w:rFonts w:cs="Arial"/>
        </w:rPr>
      </w:pPr>
      <w:r w:rsidRPr="007A124D">
        <w:rPr>
          <w:rFonts w:cs="Arial"/>
        </w:rPr>
        <w:t>JSA a</w:t>
      </w:r>
      <w:r w:rsidR="00EA3958" w:rsidRPr="007A124D">
        <w:rPr>
          <w:rFonts w:cs="Arial"/>
        </w:rPr>
        <w:t>nalysis suggest</w:t>
      </w:r>
      <w:r w:rsidRPr="007A124D">
        <w:rPr>
          <w:rFonts w:cs="Arial"/>
        </w:rPr>
        <w:t>s</w:t>
      </w:r>
      <w:r w:rsidR="00EA3958" w:rsidRPr="007A124D">
        <w:rPr>
          <w:rFonts w:cs="Arial"/>
        </w:rPr>
        <w:t xml:space="preserve"> that employers seek skills beyond those </w:t>
      </w:r>
      <w:r w:rsidR="00EA3958" w:rsidRPr="00EA6990">
        <w:rPr>
          <w:rFonts w:cs="Arial"/>
        </w:rPr>
        <w:t>provided by qualifications. The most common reason employers stated for applicants not being suitable was a lack of experience and specific skills. On average, employers received 4.3 qualified applicants per vacancy, more than twice the number of applicants than were deemed suitable (2.</w:t>
      </w:r>
      <w:r w:rsidR="00EA6990" w:rsidRPr="00EA6990">
        <w:rPr>
          <w:rFonts w:cs="Arial"/>
        </w:rPr>
        <w:t>1</w:t>
      </w:r>
      <w:r w:rsidR="00B76F96" w:rsidRPr="00EA6990">
        <w:rPr>
          <w:rFonts w:cs="Arial"/>
        </w:rPr>
        <w:t xml:space="preserve"> applicants per vacancy</w:t>
      </w:r>
      <w:r w:rsidR="00EA3958" w:rsidRPr="00EA6990">
        <w:rPr>
          <w:rFonts w:cs="Arial"/>
        </w:rPr>
        <w:t xml:space="preserve">). This implies that the issues with low fill rates are not simply a matter of not enough people being </w:t>
      </w:r>
      <w:r w:rsidR="00CC3A73" w:rsidRPr="00EA6990">
        <w:rPr>
          <w:rFonts w:cs="Arial"/>
        </w:rPr>
        <w:t xml:space="preserve">formally </w:t>
      </w:r>
      <w:r w:rsidR="00EA3958" w:rsidRPr="00EA6990">
        <w:rPr>
          <w:rFonts w:cs="Arial"/>
        </w:rPr>
        <w:t>educated in the field</w:t>
      </w:r>
      <w:r w:rsidR="00CC3A73" w:rsidRPr="00EA6990">
        <w:rPr>
          <w:rFonts w:cs="Arial"/>
        </w:rPr>
        <w:t xml:space="preserve"> -</w:t>
      </w:r>
      <w:r w:rsidR="00EA3958" w:rsidRPr="00EA6990">
        <w:rPr>
          <w:rFonts w:cs="Arial"/>
        </w:rPr>
        <w:t xml:space="preserve"> but a mismatch between employer requirements for experienced staff </w:t>
      </w:r>
      <w:r w:rsidR="00CC3A73" w:rsidRPr="00EA6990">
        <w:rPr>
          <w:rFonts w:cs="Arial"/>
        </w:rPr>
        <w:t xml:space="preserve">with the required skills </w:t>
      </w:r>
      <w:r w:rsidR="00EA3958" w:rsidRPr="00EA6990">
        <w:rPr>
          <w:rFonts w:cs="Arial"/>
        </w:rPr>
        <w:t xml:space="preserve">and the availability of such staff. </w:t>
      </w:r>
    </w:p>
    <w:p w14:paraId="388A690B" w14:textId="23675090" w:rsidR="00A1422E" w:rsidRDefault="00A1422E" w:rsidP="0099095C">
      <w:pPr>
        <w:pStyle w:val="NoSpacing"/>
        <w:spacing w:after="120" w:line="276" w:lineRule="auto"/>
        <w:rPr>
          <w:rFonts w:ascii="Arial" w:hAnsi="Arial" w:cs="Arial"/>
          <w:color w:val="000000" w:themeColor="text1"/>
        </w:rPr>
      </w:pPr>
    </w:p>
    <w:p w14:paraId="5FD17674" w14:textId="77777777" w:rsidR="00B76F96" w:rsidRDefault="00B76F96" w:rsidP="00B11931">
      <w:pPr>
        <w:pStyle w:val="Heading1"/>
        <w:rPr>
          <w:rFonts w:cs="Arial"/>
        </w:rPr>
      </w:pPr>
      <w:r>
        <w:rPr>
          <w:rFonts w:cs="Arial"/>
        </w:rPr>
        <w:br w:type="page"/>
      </w:r>
    </w:p>
    <w:p w14:paraId="262D244F" w14:textId="50591E5F" w:rsidR="00DC7990" w:rsidRPr="00BB36CB" w:rsidRDefault="008811B8" w:rsidP="00C54BC9">
      <w:pPr>
        <w:pStyle w:val="Heading1"/>
        <w:rPr>
          <w:rFonts w:cs="Arial"/>
        </w:rPr>
      </w:pPr>
      <w:bookmarkStart w:id="20" w:name="_Toc110414944"/>
      <w:bookmarkStart w:id="21" w:name="_Toc134785328"/>
      <w:bookmarkEnd w:id="17"/>
      <w:bookmarkEnd w:id="18"/>
      <w:bookmarkEnd w:id="19"/>
      <w:r>
        <w:rPr>
          <w:rFonts w:cs="Arial"/>
        </w:rPr>
        <w:lastRenderedPageBreak/>
        <w:t>L</w:t>
      </w:r>
      <w:r w:rsidR="00DC7990" w:rsidRPr="00BB36CB">
        <w:rPr>
          <w:rFonts w:cs="Arial"/>
        </w:rPr>
        <w:t>abour demand and recruitment difficulty remain highest for the higher skill levels</w:t>
      </w:r>
      <w:bookmarkEnd w:id="20"/>
      <w:bookmarkEnd w:id="21"/>
      <w:r w:rsidR="00DC7990" w:rsidRPr="00BB36CB">
        <w:rPr>
          <w:rFonts w:cs="Arial"/>
        </w:rPr>
        <w:t xml:space="preserve"> </w:t>
      </w:r>
    </w:p>
    <w:p w14:paraId="2CD6A1A0" w14:textId="77777777" w:rsidR="00DC7990" w:rsidRPr="005563A5" w:rsidRDefault="00DC7990" w:rsidP="00DC7990">
      <w:pPr>
        <w:spacing w:after="120" w:line="276" w:lineRule="auto"/>
        <w:rPr>
          <w:rFonts w:cs="Arial"/>
        </w:rPr>
      </w:pPr>
      <w:r w:rsidRPr="005563A5">
        <w:rPr>
          <w:rFonts w:cs="Arial"/>
        </w:rPr>
        <w:t xml:space="preserve">Some of the recent trends in the percentage growth (or in some cases, decline) of IVI job advertisements should be viewed in the context of overall job advertisement volumes and employment growth. </w:t>
      </w:r>
    </w:p>
    <w:p w14:paraId="09EFE82A" w14:textId="0DD73A9E" w:rsidR="00C30EA5" w:rsidRPr="000D5FB3" w:rsidRDefault="00C30EA5" w:rsidP="00962EBF">
      <w:pPr>
        <w:pStyle w:val="Heading5"/>
        <w:rPr>
          <w:b w:val="0"/>
          <w:bCs w:val="0"/>
        </w:rPr>
      </w:pPr>
      <w:r w:rsidRPr="005563A5">
        <w:rPr>
          <w:b w:val="0"/>
          <w:bCs w:val="0"/>
        </w:rPr>
        <w:t xml:space="preserve">For example, the percentage growth in job advertisements is highest for Skill Level 1 (up by </w:t>
      </w:r>
      <w:r w:rsidR="002968F9">
        <w:rPr>
          <w:b w:val="0"/>
          <w:bCs w:val="0"/>
        </w:rPr>
        <w:t>6.6</w:t>
      </w:r>
      <w:r w:rsidRPr="005563A5">
        <w:rPr>
          <w:b w:val="0"/>
          <w:bCs w:val="0"/>
        </w:rPr>
        <w:t xml:space="preserve">%) and lowest for Skill Level 5 (down by </w:t>
      </w:r>
      <w:r w:rsidR="002968F9">
        <w:rPr>
          <w:b w:val="0"/>
          <w:bCs w:val="0"/>
        </w:rPr>
        <w:t>16.4</w:t>
      </w:r>
      <w:r w:rsidRPr="005563A5">
        <w:rPr>
          <w:b w:val="0"/>
          <w:bCs w:val="0"/>
        </w:rPr>
        <w:t xml:space="preserve">%), compared to twelve months ago. As Table 5 highlights, the number of Skill Level 1 job advertisements far outweighs the other skill levels - making up </w:t>
      </w:r>
      <w:r w:rsidR="00143860">
        <w:rPr>
          <w:b w:val="0"/>
          <w:bCs w:val="0"/>
        </w:rPr>
        <w:t>more than</w:t>
      </w:r>
      <w:r w:rsidRPr="005563A5">
        <w:rPr>
          <w:b w:val="0"/>
          <w:bCs w:val="0"/>
        </w:rPr>
        <w:t xml:space="preserve"> one-third of all </w:t>
      </w:r>
      <w:r w:rsidRPr="000D5FB3">
        <w:rPr>
          <w:b w:val="0"/>
          <w:bCs w:val="0"/>
        </w:rPr>
        <w:t>advertisements.</w:t>
      </w:r>
    </w:p>
    <w:p w14:paraId="5EA3DFDE" w14:textId="2C85BD67" w:rsidR="00962EBF" w:rsidRPr="000D5FB3" w:rsidRDefault="00DC7990" w:rsidP="00962EBF">
      <w:pPr>
        <w:pStyle w:val="Heading5"/>
      </w:pPr>
      <w:r w:rsidRPr="000D5FB3">
        <w:t xml:space="preserve">Table </w:t>
      </w:r>
      <w:r w:rsidR="0019284D" w:rsidRPr="000D5FB3">
        <w:t>5</w:t>
      </w:r>
      <w:r w:rsidRPr="000D5FB3">
        <w:t xml:space="preserve">: Internet Vacancy Index job vacancies by Skill Level – </w:t>
      </w:r>
      <w:r w:rsidR="000D5FB3" w:rsidRPr="000D5FB3">
        <w:t>March 2023</w:t>
      </w:r>
    </w:p>
    <w:tbl>
      <w:tblPr>
        <w:tblW w:w="10480" w:type="dxa"/>
        <w:tblLook w:val="04A0" w:firstRow="1" w:lastRow="0" w:firstColumn="1" w:lastColumn="0" w:noHBand="0" w:noVBand="1"/>
      </w:tblPr>
      <w:tblGrid>
        <w:gridCol w:w="3694"/>
        <w:gridCol w:w="1195"/>
        <w:gridCol w:w="1231"/>
        <w:gridCol w:w="1260"/>
        <w:gridCol w:w="1187"/>
        <w:gridCol w:w="1964"/>
      </w:tblGrid>
      <w:tr w:rsidR="00246CE1" w:rsidRPr="00CF1B53" w14:paraId="4261F497" w14:textId="77777777" w:rsidTr="009A57EC">
        <w:trPr>
          <w:trHeight w:val="274"/>
        </w:trPr>
        <w:tc>
          <w:tcPr>
            <w:tcW w:w="3694" w:type="dxa"/>
            <w:tcBorders>
              <w:top w:val="single" w:sz="4" w:space="0" w:color="auto"/>
              <w:left w:val="single" w:sz="4" w:space="0" w:color="auto"/>
              <w:right w:val="single" w:sz="4" w:space="0" w:color="auto"/>
            </w:tcBorders>
            <w:shd w:val="clear" w:color="auto" w:fill="2C054E"/>
            <w:noWrap/>
            <w:vAlign w:val="center"/>
            <w:hideMark/>
          </w:tcPr>
          <w:p w14:paraId="09B9C2AD" w14:textId="25E77FE6" w:rsidR="00246CE1" w:rsidRPr="00955CD4" w:rsidRDefault="00246CE1" w:rsidP="00246CE1">
            <w:pPr>
              <w:spacing w:after="0" w:line="240" w:lineRule="auto"/>
              <w:jc w:val="center"/>
              <w:rPr>
                <w:rFonts w:eastAsia="Times New Roman" w:cs="Arial"/>
                <w:b/>
                <w:bCs/>
                <w:color w:val="FFFFFF"/>
                <w:lang w:eastAsia="en-AU"/>
              </w:rPr>
            </w:pPr>
            <w:r w:rsidRPr="00240005">
              <w:rPr>
                <w:rFonts w:cs="Arial"/>
                <w:b/>
                <w:bCs/>
                <w:color w:val="FFFFFF"/>
              </w:rPr>
              <w:t xml:space="preserve">IVI by Skill Level </w:t>
            </w:r>
            <w:r w:rsidR="000D5FB3">
              <w:rPr>
                <w:rFonts w:cs="Arial"/>
                <w:b/>
                <w:bCs/>
                <w:color w:val="FFFFFF"/>
              </w:rPr>
              <w:t>–</w:t>
            </w:r>
            <w:r w:rsidRPr="00240005">
              <w:rPr>
                <w:rFonts w:cs="Arial"/>
                <w:b/>
                <w:bCs/>
                <w:color w:val="FFFFFF"/>
              </w:rPr>
              <w:t xml:space="preserve"> </w:t>
            </w:r>
            <w:r w:rsidR="000D5FB3">
              <w:rPr>
                <w:rFonts w:cs="Arial"/>
                <w:b/>
                <w:bCs/>
                <w:color w:val="FFFFFF"/>
              </w:rPr>
              <w:t>March 2023</w:t>
            </w:r>
          </w:p>
        </w:tc>
        <w:tc>
          <w:tcPr>
            <w:tcW w:w="1144" w:type="dxa"/>
            <w:tcBorders>
              <w:top w:val="single" w:sz="4" w:space="0" w:color="auto"/>
              <w:left w:val="nil"/>
              <w:bottom w:val="nil"/>
              <w:right w:val="nil"/>
            </w:tcBorders>
            <w:shd w:val="clear" w:color="auto" w:fill="2C054E"/>
            <w:vAlign w:val="center"/>
            <w:hideMark/>
          </w:tcPr>
          <w:p w14:paraId="366E25DE" w14:textId="2542EB85" w:rsidR="00246CE1" w:rsidRPr="00955CD4" w:rsidRDefault="00C76D7F" w:rsidP="00246CE1">
            <w:pPr>
              <w:spacing w:after="0" w:line="240" w:lineRule="auto"/>
              <w:jc w:val="center"/>
              <w:rPr>
                <w:rFonts w:eastAsia="Times New Roman" w:cs="Arial"/>
                <w:b/>
                <w:bCs/>
                <w:color w:val="FFFFFF"/>
                <w:lang w:eastAsia="en-AU"/>
              </w:rPr>
            </w:pPr>
            <w:r>
              <w:rPr>
                <w:rFonts w:cs="Arial"/>
                <w:b/>
                <w:bCs/>
                <w:color w:val="FFFFFF"/>
              </w:rPr>
              <w:t>Quarterl</w:t>
            </w:r>
            <w:r w:rsidR="00246CE1" w:rsidRPr="00240005">
              <w:rPr>
                <w:rFonts w:cs="Arial"/>
                <w:b/>
                <w:bCs/>
                <w:color w:val="FFFFFF"/>
              </w:rPr>
              <w:t>y</w:t>
            </w:r>
            <w:r w:rsidR="00246CE1" w:rsidRPr="00240005">
              <w:rPr>
                <w:rFonts w:cs="Arial"/>
                <w:b/>
                <w:bCs/>
                <w:color w:val="FFFFFF"/>
              </w:rPr>
              <w:br/>
              <w:t>change (%)</w:t>
            </w:r>
          </w:p>
        </w:tc>
        <w:tc>
          <w:tcPr>
            <w:tcW w:w="1231" w:type="dxa"/>
            <w:tcBorders>
              <w:top w:val="single" w:sz="4" w:space="0" w:color="auto"/>
              <w:left w:val="nil"/>
              <w:bottom w:val="nil"/>
              <w:right w:val="nil"/>
            </w:tcBorders>
            <w:shd w:val="clear" w:color="auto" w:fill="2C054E"/>
            <w:vAlign w:val="center"/>
            <w:hideMark/>
          </w:tcPr>
          <w:p w14:paraId="3AAF76E7" w14:textId="6EFBA6C1" w:rsidR="00246CE1" w:rsidRPr="00955CD4" w:rsidRDefault="00C76D7F" w:rsidP="00246CE1">
            <w:pPr>
              <w:spacing w:after="0" w:line="240" w:lineRule="auto"/>
              <w:jc w:val="center"/>
              <w:rPr>
                <w:rFonts w:eastAsia="Times New Roman" w:cs="Arial"/>
                <w:b/>
                <w:bCs/>
                <w:color w:val="FFFFFF"/>
                <w:lang w:eastAsia="en-AU"/>
              </w:rPr>
            </w:pPr>
            <w:r>
              <w:rPr>
                <w:rFonts w:cs="Arial"/>
                <w:b/>
                <w:bCs/>
                <w:color w:val="FFFFFF"/>
              </w:rPr>
              <w:t>Quarter</w:t>
            </w:r>
            <w:r w:rsidR="00246CE1" w:rsidRPr="00240005">
              <w:rPr>
                <w:rFonts w:cs="Arial"/>
                <w:b/>
                <w:bCs/>
                <w:color w:val="FFFFFF"/>
              </w:rPr>
              <w:t>ly</w:t>
            </w:r>
            <w:r w:rsidR="00246CE1" w:rsidRPr="00240005">
              <w:rPr>
                <w:rFonts w:cs="Arial"/>
                <w:b/>
                <w:bCs/>
                <w:color w:val="FFFFFF"/>
              </w:rPr>
              <w:br/>
              <w:t>change (no.)</w:t>
            </w:r>
          </w:p>
        </w:tc>
        <w:tc>
          <w:tcPr>
            <w:tcW w:w="1260" w:type="dxa"/>
            <w:tcBorders>
              <w:top w:val="single" w:sz="4" w:space="0" w:color="auto"/>
              <w:left w:val="nil"/>
              <w:bottom w:val="nil"/>
              <w:right w:val="nil"/>
            </w:tcBorders>
            <w:shd w:val="clear" w:color="auto" w:fill="2C054E"/>
            <w:vAlign w:val="center"/>
            <w:hideMark/>
          </w:tcPr>
          <w:p w14:paraId="78714E7C" w14:textId="180CC6BD" w:rsidR="00246CE1" w:rsidRPr="00955CD4" w:rsidRDefault="00246CE1" w:rsidP="00246CE1">
            <w:pPr>
              <w:spacing w:after="0" w:line="240" w:lineRule="auto"/>
              <w:jc w:val="center"/>
              <w:rPr>
                <w:rFonts w:eastAsia="Times New Roman" w:cs="Arial"/>
                <w:b/>
                <w:bCs/>
                <w:color w:val="FFFFFF"/>
                <w:lang w:eastAsia="en-AU"/>
              </w:rPr>
            </w:pPr>
            <w:r w:rsidRPr="00240005">
              <w:rPr>
                <w:rFonts w:cs="Arial"/>
                <w:b/>
                <w:bCs/>
                <w:color w:val="FFFFFF"/>
              </w:rPr>
              <w:t>Annual change (%)</w:t>
            </w:r>
          </w:p>
        </w:tc>
        <w:tc>
          <w:tcPr>
            <w:tcW w:w="1187" w:type="dxa"/>
            <w:tcBorders>
              <w:top w:val="single" w:sz="4" w:space="0" w:color="auto"/>
              <w:left w:val="nil"/>
              <w:bottom w:val="nil"/>
              <w:right w:val="nil"/>
            </w:tcBorders>
            <w:shd w:val="clear" w:color="auto" w:fill="2C054E"/>
            <w:vAlign w:val="center"/>
            <w:hideMark/>
          </w:tcPr>
          <w:p w14:paraId="2DDCF1B2" w14:textId="1AE76AD2" w:rsidR="00246CE1" w:rsidRPr="00955CD4" w:rsidRDefault="00246CE1" w:rsidP="00246CE1">
            <w:pPr>
              <w:spacing w:after="0" w:line="240" w:lineRule="auto"/>
              <w:jc w:val="center"/>
              <w:rPr>
                <w:rFonts w:eastAsia="Times New Roman" w:cs="Arial"/>
                <w:b/>
                <w:bCs/>
                <w:color w:val="FFFFFF"/>
                <w:lang w:eastAsia="en-AU"/>
              </w:rPr>
            </w:pPr>
            <w:r w:rsidRPr="00240005">
              <w:rPr>
                <w:rFonts w:cs="Arial"/>
                <w:b/>
                <w:bCs/>
                <w:color w:val="FFFFFF"/>
              </w:rPr>
              <w:t>Annual change (no.)</w:t>
            </w:r>
          </w:p>
        </w:tc>
        <w:tc>
          <w:tcPr>
            <w:tcW w:w="1964" w:type="dxa"/>
            <w:tcBorders>
              <w:top w:val="single" w:sz="4" w:space="0" w:color="auto"/>
              <w:left w:val="nil"/>
              <w:bottom w:val="nil"/>
              <w:right w:val="nil"/>
            </w:tcBorders>
            <w:shd w:val="clear" w:color="auto" w:fill="2C054E"/>
            <w:vAlign w:val="center"/>
            <w:hideMark/>
          </w:tcPr>
          <w:p w14:paraId="1030FCE1" w14:textId="17C5874B" w:rsidR="00246CE1" w:rsidRPr="00955CD4" w:rsidRDefault="00246CE1" w:rsidP="00246CE1">
            <w:pPr>
              <w:spacing w:after="0" w:line="240" w:lineRule="auto"/>
              <w:jc w:val="center"/>
              <w:rPr>
                <w:rFonts w:eastAsia="Times New Roman" w:cs="Arial"/>
                <w:b/>
                <w:bCs/>
                <w:color w:val="FFFFFF"/>
                <w:lang w:eastAsia="en-AU"/>
              </w:rPr>
            </w:pPr>
            <w:r w:rsidRPr="00240005">
              <w:rPr>
                <w:rFonts w:cs="Arial"/>
                <w:b/>
                <w:bCs/>
                <w:color w:val="FFFFFF"/>
              </w:rPr>
              <w:t>Number of job</w:t>
            </w:r>
            <w:r w:rsidRPr="00240005">
              <w:rPr>
                <w:rFonts w:cs="Arial"/>
                <w:b/>
                <w:bCs/>
                <w:color w:val="FFFFFF"/>
              </w:rPr>
              <w:br/>
              <w:t>advertisements</w:t>
            </w:r>
          </w:p>
        </w:tc>
      </w:tr>
      <w:tr w:rsidR="008A1B37" w:rsidRPr="007C10DE" w14:paraId="2EA1A97B" w14:textId="77777777" w:rsidTr="00BC3497">
        <w:trPr>
          <w:trHeight w:val="276"/>
        </w:trPr>
        <w:tc>
          <w:tcPr>
            <w:tcW w:w="3694" w:type="dxa"/>
            <w:tcBorders>
              <w:left w:val="single" w:sz="4" w:space="0" w:color="auto"/>
              <w:bottom w:val="nil"/>
              <w:right w:val="nil"/>
            </w:tcBorders>
            <w:shd w:val="clear" w:color="auto" w:fill="D9D9D9" w:themeFill="background1" w:themeFillShade="D9"/>
            <w:hideMark/>
          </w:tcPr>
          <w:p w14:paraId="42F12F2E" w14:textId="057873E0" w:rsidR="008A1B37" w:rsidRPr="00955CD4" w:rsidRDefault="008A1B37" w:rsidP="008A1B37">
            <w:pPr>
              <w:spacing w:after="0" w:line="240" w:lineRule="auto"/>
              <w:rPr>
                <w:rFonts w:eastAsia="Times New Roman" w:cs="Arial"/>
                <w:color w:val="000000"/>
                <w:lang w:eastAsia="en-AU"/>
              </w:rPr>
            </w:pPr>
            <w:r w:rsidRPr="004D2B0C">
              <w:t xml:space="preserve">Skill Level 1 - Bachelor degree or higher </w:t>
            </w:r>
          </w:p>
        </w:tc>
        <w:tc>
          <w:tcPr>
            <w:tcW w:w="1144" w:type="dxa"/>
            <w:tcBorders>
              <w:top w:val="nil"/>
              <w:left w:val="single" w:sz="4" w:space="0" w:color="auto"/>
              <w:bottom w:val="nil"/>
              <w:right w:val="nil"/>
            </w:tcBorders>
            <w:shd w:val="clear" w:color="auto" w:fill="D9D9D9" w:themeFill="background1" w:themeFillShade="D9"/>
            <w:noWrap/>
            <w:hideMark/>
          </w:tcPr>
          <w:p w14:paraId="39ABC7E3" w14:textId="474EBAAC" w:rsidR="008A1B37" w:rsidRPr="00955CD4" w:rsidRDefault="003A0307" w:rsidP="008A1B37">
            <w:pPr>
              <w:spacing w:after="0" w:line="240" w:lineRule="auto"/>
              <w:jc w:val="center"/>
              <w:rPr>
                <w:rFonts w:eastAsia="Times New Roman" w:cs="Arial"/>
                <w:color w:val="000000"/>
                <w:lang w:eastAsia="en-AU"/>
              </w:rPr>
            </w:pPr>
            <w:r>
              <w:t>3.4</w:t>
            </w:r>
            <w:r w:rsidR="008A1B37" w:rsidRPr="004D2B0C">
              <w:t>%</w:t>
            </w:r>
          </w:p>
        </w:tc>
        <w:tc>
          <w:tcPr>
            <w:tcW w:w="1231" w:type="dxa"/>
            <w:tcBorders>
              <w:top w:val="nil"/>
              <w:left w:val="single" w:sz="4" w:space="0" w:color="auto"/>
              <w:bottom w:val="nil"/>
              <w:right w:val="single" w:sz="4" w:space="0" w:color="auto"/>
            </w:tcBorders>
            <w:shd w:val="clear" w:color="auto" w:fill="D9D9D9" w:themeFill="background1" w:themeFillShade="D9"/>
            <w:noWrap/>
            <w:hideMark/>
          </w:tcPr>
          <w:p w14:paraId="0E201095" w14:textId="349AC9E6" w:rsidR="008A1B37" w:rsidRPr="00955CD4" w:rsidRDefault="003A0307" w:rsidP="008A1B37">
            <w:pPr>
              <w:spacing w:after="0" w:line="240" w:lineRule="auto"/>
              <w:jc w:val="center"/>
              <w:rPr>
                <w:rFonts w:eastAsia="Times New Roman" w:cs="Arial"/>
                <w:color w:val="000000"/>
                <w:lang w:eastAsia="en-AU"/>
              </w:rPr>
            </w:pPr>
            <w:r>
              <w:t>3,4</w:t>
            </w:r>
            <w:r w:rsidR="008A1B37" w:rsidRPr="004D2B0C">
              <w:t>00</w:t>
            </w:r>
          </w:p>
        </w:tc>
        <w:tc>
          <w:tcPr>
            <w:tcW w:w="1260" w:type="dxa"/>
            <w:tcBorders>
              <w:top w:val="nil"/>
              <w:left w:val="nil"/>
              <w:bottom w:val="nil"/>
              <w:right w:val="nil"/>
            </w:tcBorders>
            <w:shd w:val="clear" w:color="auto" w:fill="D9D9D9" w:themeFill="background1" w:themeFillShade="D9"/>
            <w:noWrap/>
            <w:hideMark/>
          </w:tcPr>
          <w:p w14:paraId="7F28D1AF" w14:textId="76FC94B4" w:rsidR="008A1B37" w:rsidRPr="00955CD4" w:rsidRDefault="008A1B37" w:rsidP="008A1B37">
            <w:pPr>
              <w:spacing w:after="0" w:line="240" w:lineRule="auto"/>
              <w:jc w:val="center"/>
              <w:rPr>
                <w:rFonts w:eastAsia="Times New Roman" w:cs="Arial"/>
                <w:color w:val="000000"/>
                <w:lang w:eastAsia="en-AU"/>
              </w:rPr>
            </w:pPr>
            <w:r w:rsidRPr="004D2B0C">
              <w:t>6.6%</w:t>
            </w:r>
          </w:p>
        </w:tc>
        <w:tc>
          <w:tcPr>
            <w:tcW w:w="1187" w:type="dxa"/>
            <w:tcBorders>
              <w:top w:val="nil"/>
              <w:left w:val="single" w:sz="4" w:space="0" w:color="auto"/>
              <w:bottom w:val="nil"/>
              <w:right w:val="single" w:sz="4" w:space="0" w:color="auto"/>
            </w:tcBorders>
            <w:shd w:val="clear" w:color="auto" w:fill="D9D9D9" w:themeFill="background1" w:themeFillShade="D9"/>
            <w:noWrap/>
            <w:hideMark/>
          </w:tcPr>
          <w:p w14:paraId="5C011132" w14:textId="3ABFF01F" w:rsidR="008A1B37" w:rsidRPr="00955CD4" w:rsidRDefault="008A1B37" w:rsidP="008A1B37">
            <w:pPr>
              <w:spacing w:after="0" w:line="240" w:lineRule="auto"/>
              <w:jc w:val="center"/>
              <w:rPr>
                <w:rFonts w:eastAsia="Times New Roman" w:cs="Arial"/>
                <w:lang w:eastAsia="en-AU"/>
              </w:rPr>
            </w:pPr>
            <w:r w:rsidRPr="004D2B0C">
              <w:t>6,500</w:t>
            </w:r>
          </w:p>
        </w:tc>
        <w:tc>
          <w:tcPr>
            <w:tcW w:w="1964" w:type="dxa"/>
            <w:tcBorders>
              <w:top w:val="nil"/>
              <w:left w:val="single" w:sz="4" w:space="0" w:color="auto"/>
              <w:bottom w:val="nil"/>
              <w:right w:val="single" w:sz="4" w:space="0" w:color="auto"/>
            </w:tcBorders>
            <w:shd w:val="clear" w:color="auto" w:fill="D9D9D9" w:themeFill="background1" w:themeFillShade="D9"/>
            <w:noWrap/>
            <w:hideMark/>
          </w:tcPr>
          <w:p w14:paraId="2FFD9749" w14:textId="6A665570" w:rsidR="008A1B37" w:rsidRPr="00955CD4" w:rsidRDefault="008A1B37" w:rsidP="008A1B37">
            <w:pPr>
              <w:spacing w:after="0" w:line="240" w:lineRule="auto"/>
              <w:jc w:val="center"/>
              <w:rPr>
                <w:rFonts w:eastAsia="Times New Roman" w:cs="Arial"/>
                <w:lang w:eastAsia="en-AU"/>
              </w:rPr>
            </w:pPr>
            <w:r w:rsidRPr="004D2B0C">
              <w:t>103,800</w:t>
            </w:r>
          </w:p>
        </w:tc>
      </w:tr>
      <w:tr w:rsidR="008A1B37" w:rsidRPr="007C10DE" w14:paraId="199848BA" w14:textId="77777777" w:rsidTr="00BC3497">
        <w:trPr>
          <w:trHeight w:val="276"/>
        </w:trPr>
        <w:tc>
          <w:tcPr>
            <w:tcW w:w="3694" w:type="dxa"/>
            <w:tcBorders>
              <w:top w:val="nil"/>
              <w:left w:val="single" w:sz="4" w:space="0" w:color="auto"/>
              <w:bottom w:val="nil"/>
              <w:right w:val="nil"/>
            </w:tcBorders>
            <w:shd w:val="clear" w:color="auto" w:fill="auto"/>
            <w:hideMark/>
          </w:tcPr>
          <w:p w14:paraId="0AEFA4FC" w14:textId="62A7E30D" w:rsidR="008A1B37" w:rsidRPr="00955CD4" w:rsidRDefault="008A1B37" w:rsidP="008A1B37">
            <w:pPr>
              <w:spacing w:after="0" w:line="240" w:lineRule="auto"/>
              <w:rPr>
                <w:rFonts w:eastAsia="Times New Roman" w:cs="Arial"/>
                <w:color w:val="000000"/>
                <w:lang w:eastAsia="en-AU"/>
              </w:rPr>
            </w:pPr>
            <w:r w:rsidRPr="004D2B0C">
              <w:t>Skill Level 2 - Advanced Diploma or Diploma</w:t>
            </w:r>
          </w:p>
        </w:tc>
        <w:tc>
          <w:tcPr>
            <w:tcW w:w="1144" w:type="dxa"/>
            <w:tcBorders>
              <w:top w:val="nil"/>
              <w:left w:val="single" w:sz="4" w:space="0" w:color="auto"/>
              <w:bottom w:val="nil"/>
              <w:right w:val="nil"/>
            </w:tcBorders>
            <w:shd w:val="clear" w:color="auto" w:fill="auto"/>
            <w:noWrap/>
            <w:hideMark/>
          </w:tcPr>
          <w:p w14:paraId="26990E19" w14:textId="0842C047" w:rsidR="008A1B37" w:rsidRPr="00955CD4" w:rsidRDefault="003A0307" w:rsidP="008A1B37">
            <w:pPr>
              <w:spacing w:after="0" w:line="240" w:lineRule="auto"/>
              <w:jc w:val="center"/>
              <w:rPr>
                <w:rFonts w:eastAsia="Times New Roman" w:cs="Arial"/>
                <w:color w:val="000000"/>
                <w:lang w:eastAsia="en-AU"/>
              </w:rPr>
            </w:pPr>
            <w:r>
              <w:t>3.3</w:t>
            </w:r>
            <w:r w:rsidR="008A1B37" w:rsidRPr="004D2B0C">
              <w:t>%</w:t>
            </w:r>
          </w:p>
        </w:tc>
        <w:tc>
          <w:tcPr>
            <w:tcW w:w="1231" w:type="dxa"/>
            <w:tcBorders>
              <w:top w:val="nil"/>
              <w:left w:val="single" w:sz="4" w:space="0" w:color="auto"/>
              <w:bottom w:val="nil"/>
              <w:right w:val="single" w:sz="4" w:space="0" w:color="auto"/>
            </w:tcBorders>
            <w:shd w:val="clear" w:color="auto" w:fill="auto"/>
            <w:noWrap/>
            <w:hideMark/>
          </w:tcPr>
          <w:p w14:paraId="58BE918C" w14:textId="7EB2D228" w:rsidR="008A1B37" w:rsidRPr="00955CD4" w:rsidRDefault="003A0307" w:rsidP="008A1B37">
            <w:pPr>
              <w:spacing w:after="0" w:line="240" w:lineRule="auto"/>
              <w:jc w:val="center"/>
              <w:rPr>
                <w:rFonts w:eastAsia="Times New Roman" w:cs="Arial"/>
                <w:color w:val="000000"/>
                <w:lang w:eastAsia="en-AU"/>
              </w:rPr>
            </w:pPr>
            <w:r>
              <w:t>9</w:t>
            </w:r>
            <w:r w:rsidR="008A1B37" w:rsidRPr="004D2B0C">
              <w:t>60</w:t>
            </w:r>
          </w:p>
        </w:tc>
        <w:tc>
          <w:tcPr>
            <w:tcW w:w="1260" w:type="dxa"/>
            <w:tcBorders>
              <w:top w:val="nil"/>
              <w:left w:val="nil"/>
              <w:bottom w:val="nil"/>
              <w:right w:val="nil"/>
            </w:tcBorders>
            <w:shd w:val="clear" w:color="auto" w:fill="auto"/>
            <w:noWrap/>
            <w:hideMark/>
          </w:tcPr>
          <w:p w14:paraId="21E2981B" w14:textId="1583E3D9" w:rsidR="008A1B37" w:rsidRPr="00955CD4" w:rsidRDefault="008A1B37" w:rsidP="008A1B37">
            <w:pPr>
              <w:spacing w:after="0" w:line="240" w:lineRule="auto"/>
              <w:jc w:val="center"/>
              <w:rPr>
                <w:rFonts w:eastAsia="Times New Roman" w:cs="Arial"/>
                <w:color w:val="000000"/>
                <w:lang w:eastAsia="en-AU"/>
              </w:rPr>
            </w:pPr>
            <w:r w:rsidRPr="004D2B0C">
              <w:t>0.8%</w:t>
            </w:r>
          </w:p>
        </w:tc>
        <w:tc>
          <w:tcPr>
            <w:tcW w:w="1187" w:type="dxa"/>
            <w:tcBorders>
              <w:top w:val="nil"/>
              <w:left w:val="single" w:sz="4" w:space="0" w:color="auto"/>
              <w:bottom w:val="nil"/>
              <w:right w:val="single" w:sz="4" w:space="0" w:color="auto"/>
            </w:tcBorders>
            <w:shd w:val="clear" w:color="auto" w:fill="auto"/>
            <w:noWrap/>
            <w:hideMark/>
          </w:tcPr>
          <w:p w14:paraId="0CF1FB09" w14:textId="52366D25" w:rsidR="008A1B37" w:rsidRPr="00955CD4" w:rsidRDefault="008A1B37" w:rsidP="008A1B37">
            <w:pPr>
              <w:spacing w:after="0" w:line="240" w:lineRule="auto"/>
              <w:jc w:val="center"/>
              <w:rPr>
                <w:rFonts w:eastAsia="Times New Roman" w:cs="Arial"/>
                <w:lang w:eastAsia="en-AU"/>
              </w:rPr>
            </w:pPr>
            <w:r w:rsidRPr="004D2B0C">
              <w:t>240</w:t>
            </w:r>
          </w:p>
        </w:tc>
        <w:tc>
          <w:tcPr>
            <w:tcW w:w="1964" w:type="dxa"/>
            <w:tcBorders>
              <w:top w:val="nil"/>
              <w:left w:val="single" w:sz="4" w:space="0" w:color="auto"/>
              <w:bottom w:val="nil"/>
              <w:right w:val="single" w:sz="4" w:space="0" w:color="auto"/>
            </w:tcBorders>
            <w:shd w:val="clear" w:color="auto" w:fill="auto"/>
            <w:noWrap/>
            <w:hideMark/>
          </w:tcPr>
          <w:p w14:paraId="3A3836BA" w14:textId="3AF5D673" w:rsidR="008A1B37" w:rsidRPr="00955CD4" w:rsidRDefault="008A1B37" w:rsidP="008A1B37">
            <w:pPr>
              <w:spacing w:after="0" w:line="240" w:lineRule="auto"/>
              <w:jc w:val="center"/>
              <w:rPr>
                <w:rFonts w:eastAsia="Times New Roman" w:cs="Arial"/>
                <w:lang w:eastAsia="en-AU"/>
              </w:rPr>
            </w:pPr>
            <w:r w:rsidRPr="004D2B0C">
              <w:t>30,000</w:t>
            </w:r>
          </w:p>
        </w:tc>
      </w:tr>
      <w:tr w:rsidR="008A1B37" w:rsidRPr="007C10DE" w14:paraId="786C8956" w14:textId="77777777" w:rsidTr="00BC3497">
        <w:trPr>
          <w:trHeight w:val="276"/>
        </w:trPr>
        <w:tc>
          <w:tcPr>
            <w:tcW w:w="3694" w:type="dxa"/>
            <w:tcBorders>
              <w:top w:val="nil"/>
              <w:left w:val="single" w:sz="4" w:space="0" w:color="auto"/>
              <w:bottom w:val="nil"/>
              <w:right w:val="nil"/>
            </w:tcBorders>
            <w:shd w:val="clear" w:color="auto" w:fill="D9D9D9" w:themeFill="background1" w:themeFillShade="D9"/>
            <w:hideMark/>
          </w:tcPr>
          <w:p w14:paraId="022AC22B" w14:textId="76DBB5F1" w:rsidR="008A1B37" w:rsidRPr="00955CD4" w:rsidRDefault="008A1B37" w:rsidP="008A1B37">
            <w:pPr>
              <w:spacing w:after="0" w:line="240" w:lineRule="auto"/>
              <w:rPr>
                <w:rFonts w:eastAsia="Times New Roman" w:cs="Arial"/>
                <w:color w:val="000000"/>
                <w:lang w:eastAsia="en-AU"/>
              </w:rPr>
            </w:pPr>
            <w:r w:rsidRPr="004D2B0C">
              <w:t xml:space="preserve">Skill Level 3 - Certificate IV or III* </w:t>
            </w:r>
          </w:p>
        </w:tc>
        <w:tc>
          <w:tcPr>
            <w:tcW w:w="1144" w:type="dxa"/>
            <w:tcBorders>
              <w:top w:val="nil"/>
              <w:left w:val="single" w:sz="4" w:space="0" w:color="auto"/>
              <w:bottom w:val="nil"/>
              <w:right w:val="nil"/>
            </w:tcBorders>
            <w:shd w:val="clear" w:color="auto" w:fill="D9D9D9" w:themeFill="background1" w:themeFillShade="D9"/>
            <w:noWrap/>
            <w:hideMark/>
          </w:tcPr>
          <w:p w14:paraId="3D67A0BF" w14:textId="27F9D73C" w:rsidR="008A1B37" w:rsidRPr="00955CD4" w:rsidRDefault="003A0307" w:rsidP="008A1B37">
            <w:pPr>
              <w:spacing w:after="0" w:line="240" w:lineRule="auto"/>
              <w:jc w:val="center"/>
              <w:rPr>
                <w:rFonts w:eastAsia="Times New Roman" w:cs="Arial"/>
                <w:color w:val="000000"/>
                <w:lang w:eastAsia="en-AU"/>
              </w:rPr>
            </w:pPr>
            <w:r>
              <w:t>2.9</w:t>
            </w:r>
            <w:r w:rsidR="008A1B37" w:rsidRPr="004D2B0C">
              <w:t>%</w:t>
            </w:r>
          </w:p>
        </w:tc>
        <w:tc>
          <w:tcPr>
            <w:tcW w:w="1231" w:type="dxa"/>
            <w:tcBorders>
              <w:top w:val="nil"/>
              <w:left w:val="single" w:sz="4" w:space="0" w:color="auto"/>
              <w:bottom w:val="nil"/>
              <w:right w:val="single" w:sz="4" w:space="0" w:color="auto"/>
            </w:tcBorders>
            <w:shd w:val="clear" w:color="auto" w:fill="D9D9D9" w:themeFill="background1" w:themeFillShade="D9"/>
            <w:noWrap/>
            <w:hideMark/>
          </w:tcPr>
          <w:p w14:paraId="4B8E90E9" w14:textId="61B8358A" w:rsidR="008A1B37" w:rsidRPr="00955CD4" w:rsidRDefault="003A0307" w:rsidP="008A1B37">
            <w:pPr>
              <w:spacing w:after="0" w:line="240" w:lineRule="auto"/>
              <w:jc w:val="center"/>
              <w:rPr>
                <w:rFonts w:eastAsia="Times New Roman" w:cs="Arial"/>
                <w:color w:val="000000"/>
                <w:lang w:eastAsia="en-AU"/>
              </w:rPr>
            </w:pPr>
            <w:r>
              <w:t>1,20</w:t>
            </w:r>
            <w:r w:rsidR="008A1B37" w:rsidRPr="004D2B0C">
              <w:t>0</w:t>
            </w:r>
          </w:p>
        </w:tc>
        <w:tc>
          <w:tcPr>
            <w:tcW w:w="1260" w:type="dxa"/>
            <w:tcBorders>
              <w:top w:val="nil"/>
              <w:left w:val="nil"/>
              <w:bottom w:val="nil"/>
              <w:right w:val="nil"/>
            </w:tcBorders>
            <w:shd w:val="clear" w:color="auto" w:fill="D9D9D9" w:themeFill="background1" w:themeFillShade="D9"/>
            <w:noWrap/>
            <w:hideMark/>
          </w:tcPr>
          <w:p w14:paraId="375A1D1A" w14:textId="17AC87AC" w:rsidR="008A1B37" w:rsidRPr="00955CD4" w:rsidRDefault="008A1B37" w:rsidP="008A1B37">
            <w:pPr>
              <w:spacing w:after="0" w:line="240" w:lineRule="auto"/>
              <w:jc w:val="center"/>
              <w:rPr>
                <w:rFonts w:eastAsia="Times New Roman" w:cs="Arial"/>
                <w:color w:val="000000"/>
                <w:lang w:eastAsia="en-AU"/>
              </w:rPr>
            </w:pPr>
            <w:r w:rsidRPr="004D2B0C">
              <w:t>-1.2%</w:t>
            </w:r>
          </w:p>
        </w:tc>
        <w:tc>
          <w:tcPr>
            <w:tcW w:w="1187" w:type="dxa"/>
            <w:tcBorders>
              <w:top w:val="nil"/>
              <w:left w:val="single" w:sz="4" w:space="0" w:color="auto"/>
              <w:bottom w:val="nil"/>
              <w:right w:val="single" w:sz="4" w:space="0" w:color="auto"/>
            </w:tcBorders>
            <w:shd w:val="clear" w:color="auto" w:fill="D9D9D9" w:themeFill="background1" w:themeFillShade="D9"/>
            <w:noWrap/>
            <w:hideMark/>
          </w:tcPr>
          <w:p w14:paraId="171B3BD9" w14:textId="5D8D5FAD" w:rsidR="008A1B37" w:rsidRPr="00955CD4" w:rsidRDefault="008A1B37" w:rsidP="008A1B37">
            <w:pPr>
              <w:spacing w:after="0" w:line="240" w:lineRule="auto"/>
              <w:jc w:val="center"/>
              <w:rPr>
                <w:rFonts w:eastAsia="Times New Roman" w:cs="Arial"/>
                <w:lang w:eastAsia="en-AU"/>
              </w:rPr>
            </w:pPr>
            <w:r w:rsidRPr="004D2B0C">
              <w:t>-490</w:t>
            </w:r>
          </w:p>
        </w:tc>
        <w:tc>
          <w:tcPr>
            <w:tcW w:w="1964" w:type="dxa"/>
            <w:tcBorders>
              <w:top w:val="nil"/>
              <w:left w:val="single" w:sz="4" w:space="0" w:color="auto"/>
              <w:bottom w:val="nil"/>
              <w:right w:val="single" w:sz="4" w:space="0" w:color="auto"/>
            </w:tcBorders>
            <w:shd w:val="clear" w:color="auto" w:fill="D9D9D9" w:themeFill="background1" w:themeFillShade="D9"/>
            <w:noWrap/>
            <w:hideMark/>
          </w:tcPr>
          <w:p w14:paraId="0AD3BFAA" w14:textId="6EE329AD" w:rsidR="008A1B37" w:rsidRPr="00955CD4" w:rsidRDefault="008A1B37" w:rsidP="008A1B37">
            <w:pPr>
              <w:spacing w:after="0" w:line="240" w:lineRule="auto"/>
              <w:jc w:val="center"/>
              <w:rPr>
                <w:rFonts w:eastAsia="Times New Roman" w:cs="Arial"/>
                <w:lang w:eastAsia="en-AU"/>
              </w:rPr>
            </w:pPr>
            <w:r w:rsidRPr="004D2B0C">
              <w:t>41,300</w:t>
            </w:r>
          </w:p>
        </w:tc>
      </w:tr>
      <w:tr w:rsidR="008A1B37" w:rsidRPr="007C10DE" w14:paraId="169836E2" w14:textId="77777777" w:rsidTr="00BC3497">
        <w:trPr>
          <w:trHeight w:val="276"/>
        </w:trPr>
        <w:tc>
          <w:tcPr>
            <w:tcW w:w="3694" w:type="dxa"/>
            <w:tcBorders>
              <w:top w:val="nil"/>
              <w:left w:val="single" w:sz="4" w:space="0" w:color="auto"/>
              <w:bottom w:val="nil"/>
              <w:right w:val="nil"/>
            </w:tcBorders>
            <w:shd w:val="clear" w:color="auto" w:fill="auto"/>
            <w:hideMark/>
          </w:tcPr>
          <w:p w14:paraId="76DDAB5D" w14:textId="17AB8064" w:rsidR="008A1B37" w:rsidRPr="00955CD4" w:rsidRDefault="008A1B37" w:rsidP="008A1B37">
            <w:pPr>
              <w:spacing w:after="0" w:line="240" w:lineRule="auto"/>
              <w:rPr>
                <w:rFonts w:eastAsia="Times New Roman" w:cs="Arial"/>
                <w:color w:val="000000"/>
                <w:lang w:eastAsia="en-AU"/>
              </w:rPr>
            </w:pPr>
            <w:r w:rsidRPr="004D2B0C">
              <w:t>Skill Level 4 - Certificate II or III</w:t>
            </w:r>
          </w:p>
        </w:tc>
        <w:tc>
          <w:tcPr>
            <w:tcW w:w="1144" w:type="dxa"/>
            <w:tcBorders>
              <w:top w:val="nil"/>
              <w:left w:val="single" w:sz="4" w:space="0" w:color="auto"/>
              <w:bottom w:val="nil"/>
              <w:right w:val="nil"/>
            </w:tcBorders>
            <w:shd w:val="clear" w:color="auto" w:fill="auto"/>
            <w:noWrap/>
            <w:hideMark/>
          </w:tcPr>
          <w:p w14:paraId="31040A31" w14:textId="7AEC8031" w:rsidR="008A1B37" w:rsidRPr="00955CD4" w:rsidRDefault="00C76D7F" w:rsidP="008A1B37">
            <w:pPr>
              <w:spacing w:after="0" w:line="240" w:lineRule="auto"/>
              <w:jc w:val="center"/>
              <w:rPr>
                <w:rFonts w:eastAsia="Times New Roman" w:cs="Arial"/>
                <w:color w:val="000000"/>
                <w:lang w:eastAsia="en-AU"/>
              </w:rPr>
            </w:pPr>
            <w:r>
              <w:t>3.7</w:t>
            </w:r>
            <w:r w:rsidR="008A1B37" w:rsidRPr="004D2B0C">
              <w:t>%</w:t>
            </w:r>
          </w:p>
        </w:tc>
        <w:tc>
          <w:tcPr>
            <w:tcW w:w="1231" w:type="dxa"/>
            <w:tcBorders>
              <w:top w:val="nil"/>
              <w:left w:val="single" w:sz="4" w:space="0" w:color="auto"/>
              <w:bottom w:val="nil"/>
              <w:right w:val="single" w:sz="4" w:space="0" w:color="auto"/>
            </w:tcBorders>
            <w:shd w:val="clear" w:color="auto" w:fill="auto"/>
            <w:noWrap/>
            <w:hideMark/>
          </w:tcPr>
          <w:p w14:paraId="0307D9F0" w14:textId="49A28A5F" w:rsidR="008A1B37" w:rsidRPr="00955CD4" w:rsidRDefault="00C76D7F" w:rsidP="008A1B37">
            <w:pPr>
              <w:spacing w:after="0" w:line="240" w:lineRule="auto"/>
              <w:jc w:val="center"/>
              <w:rPr>
                <w:rFonts w:eastAsia="Times New Roman" w:cs="Arial"/>
                <w:color w:val="000000"/>
                <w:lang w:eastAsia="en-AU"/>
              </w:rPr>
            </w:pPr>
            <w:r>
              <w:t>2,600</w:t>
            </w:r>
          </w:p>
        </w:tc>
        <w:tc>
          <w:tcPr>
            <w:tcW w:w="1260" w:type="dxa"/>
            <w:tcBorders>
              <w:top w:val="nil"/>
              <w:left w:val="nil"/>
              <w:bottom w:val="nil"/>
              <w:right w:val="nil"/>
            </w:tcBorders>
            <w:shd w:val="clear" w:color="auto" w:fill="auto"/>
            <w:noWrap/>
            <w:hideMark/>
          </w:tcPr>
          <w:p w14:paraId="5F408163" w14:textId="28AF6F50" w:rsidR="008A1B37" w:rsidRPr="00955CD4" w:rsidRDefault="008A1B37" w:rsidP="008A1B37">
            <w:pPr>
              <w:spacing w:after="0" w:line="240" w:lineRule="auto"/>
              <w:jc w:val="center"/>
              <w:rPr>
                <w:rFonts w:eastAsia="Times New Roman" w:cs="Arial"/>
                <w:color w:val="000000"/>
                <w:lang w:eastAsia="en-AU"/>
              </w:rPr>
            </w:pPr>
            <w:r w:rsidRPr="004D2B0C">
              <w:t>-2.7%</w:t>
            </w:r>
          </w:p>
        </w:tc>
        <w:tc>
          <w:tcPr>
            <w:tcW w:w="1187" w:type="dxa"/>
            <w:tcBorders>
              <w:top w:val="nil"/>
              <w:left w:val="single" w:sz="4" w:space="0" w:color="auto"/>
              <w:bottom w:val="nil"/>
              <w:right w:val="single" w:sz="4" w:space="0" w:color="auto"/>
            </w:tcBorders>
            <w:shd w:val="clear" w:color="auto" w:fill="auto"/>
            <w:noWrap/>
            <w:hideMark/>
          </w:tcPr>
          <w:p w14:paraId="48B08B75" w14:textId="65383350" w:rsidR="008A1B37" w:rsidRPr="00955CD4" w:rsidRDefault="008A1B37" w:rsidP="008A1B37">
            <w:pPr>
              <w:spacing w:after="0" w:line="240" w:lineRule="auto"/>
              <w:jc w:val="center"/>
              <w:rPr>
                <w:rFonts w:eastAsia="Times New Roman" w:cs="Arial"/>
                <w:lang w:eastAsia="en-AU"/>
              </w:rPr>
            </w:pPr>
            <w:r w:rsidRPr="004D2B0C">
              <w:t>-2,000</w:t>
            </w:r>
          </w:p>
        </w:tc>
        <w:tc>
          <w:tcPr>
            <w:tcW w:w="1964" w:type="dxa"/>
            <w:tcBorders>
              <w:top w:val="nil"/>
              <w:left w:val="single" w:sz="4" w:space="0" w:color="auto"/>
              <w:bottom w:val="nil"/>
              <w:right w:val="single" w:sz="4" w:space="0" w:color="auto"/>
            </w:tcBorders>
            <w:shd w:val="clear" w:color="auto" w:fill="auto"/>
            <w:noWrap/>
            <w:hideMark/>
          </w:tcPr>
          <w:p w14:paraId="37E2E5D7" w14:textId="274472A5" w:rsidR="008A1B37" w:rsidRPr="00955CD4" w:rsidRDefault="008A1B37" w:rsidP="008A1B37">
            <w:pPr>
              <w:spacing w:after="0" w:line="240" w:lineRule="auto"/>
              <w:jc w:val="center"/>
              <w:rPr>
                <w:rFonts w:eastAsia="Times New Roman" w:cs="Arial"/>
                <w:lang w:eastAsia="en-AU"/>
              </w:rPr>
            </w:pPr>
            <w:r w:rsidRPr="004D2B0C">
              <w:t>74,500</w:t>
            </w:r>
          </w:p>
        </w:tc>
      </w:tr>
      <w:tr w:rsidR="008A1B37" w:rsidRPr="007C10DE" w14:paraId="373A98A3" w14:textId="77777777" w:rsidTr="00BC3497">
        <w:trPr>
          <w:trHeight w:val="276"/>
        </w:trPr>
        <w:tc>
          <w:tcPr>
            <w:tcW w:w="3694" w:type="dxa"/>
            <w:tcBorders>
              <w:top w:val="nil"/>
              <w:left w:val="single" w:sz="4" w:space="0" w:color="auto"/>
              <w:bottom w:val="nil"/>
              <w:right w:val="nil"/>
            </w:tcBorders>
            <w:shd w:val="clear" w:color="auto" w:fill="D9D9D9" w:themeFill="background1" w:themeFillShade="D9"/>
            <w:hideMark/>
          </w:tcPr>
          <w:p w14:paraId="687E4468" w14:textId="710FF270" w:rsidR="008A1B37" w:rsidRPr="00955CD4" w:rsidRDefault="008A1B37" w:rsidP="008A1B37">
            <w:pPr>
              <w:spacing w:after="0" w:line="240" w:lineRule="auto"/>
              <w:rPr>
                <w:rFonts w:eastAsia="Times New Roman" w:cs="Arial"/>
                <w:lang w:eastAsia="en-AU"/>
              </w:rPr>
            </w:pPr>
            <w:r w:rsidRPr="004D2B0C">
              <w:t>Skill Level 5 - Certificate I or secondary education</w:t>
            </w:r>
          </w:p>
        </w:tc>
        <w:tc>
          <w:tcPr>
            <w:tcW w:w="1144" w:type="dxa"/>
            <w:tcBorders>
              <w:top w:val="nil"/>
              <w:left w:val="single" w:sz="4" w:space="0" w:color="auto"/>
              <w:bottom w:val="nil"/>
              <w:right w:val="nil"/>
            </w:tcBorders>
            <w:shd w:val="clear" w:color="auto" w:fill="D9D9D9" w:themeFill="background1" w:themeFillShade="D9"/>
            <w:noWrap/>
            <w:hideMark/>
          </w:tcPr>
          <w:p w14:paraId="4F132E7C" w14:textId="5B5A7A1A" w:rsidR="008A1B37" w:rsidRPr="00955CD4" w:rsidRDefault="008A1B37" w:rsidP="008A1B37">
            <w:pPr>
              <w:spacing w:after="0" w:line="240" w:lineRule="auto"/>
              <w:jc w:val="center"/>
              <w:rPr>
                <w:rFonts w:eastAsia="Times New Roman" w:cs="Arial"/>
                <w:lang w:eastAsia="en-AU"/>
              </w:rPr>
            </w:pPr>
            <w:r w:rsidRPr="004D2B0C">
              <w:t>-</w:t>
            </w:r>
            <w:r w:rsidR="00C76D7F">
              <w:t>0</w:t>
            </w:r>
            <w:r w:rsidRPr="004D2B0C">
              <w:t>.5%</w:t>
            </w:r>
          </w:p>
        </w:tc>
        <w:tc>
          <w:tcPr>
            <w:tcW w:w="1231" w:type="dxa"/>
            <w:tcBorders>
              <w:top w:val="nil"/>
              <w:left w:val="single" w:sz="4" w:space="0" w:color="auto"/>
              <w:bottom w:val="nil"/>
              <w:right w:val="single" w:sz="4" w:space="0" w:color="auto"/>
            </w:tcBorders>
            <w:shd w:val="clear" w:color="auto" w:fill="D9D9D9" w:themeFill="background1" w:themeFillShade="D9"/>
            <w:noWrap/>
            <w:hideMark/>
          </w:tcPr>
          <w:p w14:paraId="2DEB29AF" w14:textId="68B6B53C" w:rsidR="008A1B37" w:rsidRPr="00955CD4" w:rsidRDefault="008A1B37" w:rsidP="008A1B37">
            <w:pPr>
              <w:spacing w:after="0" w:line="240" w:lineRule="auto"/>
              <w:jc w:val="center"/>
              <w:rPr>
                <w:rFonts w:eastAsia="Times New Roman" w:cs="Arial"/>
                <w:lang w:eastAsia="en-AU"/>
              </w:rPr>
            </w:pPr>
            <w:r w:rsidRPr="004D2B0C">
              <w:t>-</w:t>
            </w:r>
            <w:r w:rsidR="00C76D7F">
              <w:t>15</w:t>
            </w:r>
            <w:r w:rsidRPr="004D2B0C">
              <w:t>0</w:t>
            </w:r>
          </w:p>
        </w:tc>
        <w:tc>
          <w:tcPr>
            <w:tcW w:w="1260" w:type="dxa"/>
            <w:tcBorders>
              <w:top w:val="nil"/>
              <w:left w:val="nil"/>
              <w:bottom w:val="nil"/>
              <w:right w:val="nil"/>
            </w:tcBorders>
            <w:shd w:val="clear" w:color="auto" w:fill="D9D9D9" w:themeFill="background1" w:themeFillShade="D9"/>
            <w:noWrap/>
            <w:hideMark/>
          </w:tcPr>
          <w:p w14:paraId="31AAE1DC" w14:textId="1D9DCB94" w:rsidR="008A1B37" w:rsidRPr="00955CD4" w:rsidRDefault="008A1B37" w:rsidP="008A1B37">
            <w:pPr>
              <w:spacing w:after="0" w:line="240" w:lineRule="auto"/>
              <w:jc w:val="center"/>
              <w:rPr>
                <w:rFonts w:eastAsia="Times New Roman" w:cs="Arial"/>
                <w:lang w:eastAsia="en-AU"/>
              </w:rPr>
            </w:pPr>
            <w:r w:rsidRPr="004D2B0C">
              <w:t>-16.4%</w:t>
            </w:r>
          </w:p>
        </w:tc>
        <w:tc>
          <w:tcPr>
            <w:tcW w:w="1187" w:type="dxa"/>
            <w:tcBorders>
              <w:top w:val="nil"/>
              <w:left w:val="single" w:sz="4" w:space="0" w:color="auto"/>
              <w:bottom w:val="nil"/>
              <w:right w:val="single" w:sz="4" w:space="0" w:color="auto"/>
            </w:tcBorders>
            <w:shd w:val="clear" w:color="auto" w:fill="D9D9D9" w:themeFill="background1" w:themeFillShade="D9"/>
            <w:noWrap/>
            <w:hideMark/>
          </w:tcPr>
          <w:p w14:paraId="03A7931C" w14:textId="5D7A47B0" w:rsidR="008A1B37" w:rsidRPr="00955CD4" w:rsidRDefault="008A1B37" w:rsidP="008A1B37">
            <w:pPr>
              <w:spacing w:after="0" w:line="240" w:lineRule="auto"/>
              <w:jc w:val="center"/>
              <w:rPr>
                <w:rFonts w:eastAsia="Times New Roman" w:cs="Arial"/>
                <w:lang w:eastAsia="en-AU"/>
              </w:rPr>
            </w:pPr>
            <w:r w:rsidRPr="004D2B0C">
              <w:t>-6,400</w:t>
            </w:r>
          </w:p>
        </w:tc>
        <w:tc>
          <w:tcPr>
            <w:tcW w:w="1964" w:type="dxa"/>
            <w:tcBorders>
              <w:top w:val="nil"/>
              <w:left w:val="single" w:sz="4" w:space="0" w:color="auto"/>
              <w:bottom w:val="nil"/>
              <w:right w:val="single" w:sz="4" w:space="0" w:color="auto"/>
            </w:tcBorders>
            <w:shd w:val="clear" w:color="auto" w:fill="D9D9D9" w:themeFill="background1" w:themeFillShade="D9"/>
            <w:noWrap/>
            <w:hideMark/>
          </w:tcPr>
          <w:p w14:paraId="4EC35903" w14:textId="7174FF22" w:rsidR="008A1B37" w:rsidRPr="00955CD4" w:rsidRDefault="008A1B37" w:rsidP="008A1B37">
            <w:pPr>
              <w:spacing w:after="0" w:line="240" w:lineRule="auto"/>
              <w:jc w:val="center"/>
              <w:rPr>
                <w:rFonts w:eastAsia="Times New Roman" w:cs="Arial"/>
                <w:lang w:eastAsia="en-AU"/>
              </w:rPr>
            </w:pPr>
            <w:r w:rsidRPr="004D2B0C">
              <w:t>32,300</w:t>
            </w:r>
          </w:p>
        </w:tc>
      </w:tr>
      <w:tr w:rsidR="008A1B37" w:rsidRPr="007C10DE" w14:paraId="3320258A" w14:textId="77777777" w:rsidTr="00BC3497">
        <w:trPr>
          <w:trHeight w:val="276"/>
        </w:trPr>
        <w:tc>
          <w:tcPr>
            <w:tcW w:w="3694" w:type="dxa"/>
            <w:tcBorders>
              <w:top w:val="single" w:sz="4" w:space="0" w:color="auto"/>
              <w:left w:val="single" w:sz="4" w:space="0" w:color="auto"/>
              <w:bottom w:val="single" w:sz="4" w:space="0" w:color="auto"/>
              <w:right w:val="nil"/>
            </w:tcBorders>
            <w:shd w:val="clear" w:color="auto" w:fill="2C054E"/>
            <w:hideMark/>
          </w:tcPr>
          <w:p w14:paraId="5DFE892B" w14:textId="52BAF27E" w:rsidR="008A1B37" w:rsidRPr="002968F9" w:rsidRDefault="008A1B37" w:rsidP="008A1B37">
            <w:pPr>
              <w:spacing w:after="0" w:line="240" w:lineRule="auto"/>
              <w:rPr>
                <w:rFonts w:eastAsia="Times New Roman" w:cs="Arial"/>
                <w:b/>
                <w:bCs/>
                <w:color w:val="FFFFFF" w:themeColor="background1"/>
                <w:lang w:eastAsia="en-AU"/>
              </w:rPr>
            </w:pPr>
            <w:r w:rsidRPr="002968F9">
              <w:rPr>
                <w:b/>
                <w:bCs/>
                <w:color w:val="FFFFFF" w:themeColor="background1"/>
              </w:rPr>
              <w:t>Australia</w:t>
            </w:r>
          </w:p>
        </w:tc>
        <w:tc>
          <w:tcPr>
            <w:tcW w:w="1144" w:type="dxa"/>
            <w:tcBorders>
              <w:top w:val="single" w:sz="4" w:space="0" w:color="auto"/>
              <w:left w:val="nil"/>
              <w:bottom w:val="single" w:sz="4" w:space="0" w:color="auto"/>
              <w:right w:val="nil"/>
            </w:tcBorders>
            <w:shd w:val="clear" w:color="auto" w:fill="2C054E"/>
            <w:noWrap/>
            <w:hideMark/>
          </w:tcPr>
          <w:p w14:paraId="08E11C4D" w14:textId="07B9346D" w:rsidR="008A1B37" w:rsidRPr="002968F9" w:rsidRDefault="00C76D7F" w:rsidP="008A1B37">
            <w:pPr>
              <w:spacing w:after="0" w:line="240" w:lineRule="auto"/>
              <w:jc w:val="center"/>
              <w:rPr>
                <w:rFonts w:eastAsia="Times New Roman" w:cs="Arial"/>
                <w:b/>
                <w:bCs/>
                <w:color w:val="FFFFFF" w:themeColor="background1"/>
                <w:lang w:eastAsia="en-AU"/>
              </w:rPr>
            </w:pPr>
            <w:r>
              <w:rPr>
                <w:b/>
                <w:bCs/>
                <w:color w:val="FFFFFF" w:themeColor="background1"/>
              </w:rPr>
              <w:t>2.8</w:t>
            </w:r>
            <w:r w:rsidR="008A1B37" w:rsidRPr="002968F9">
              <w:rPr>
                <w:b/>
                <w:bCs/>
                <w:color w:val="FFFFFF" w:themeColor="background1"/>
              </w:rPr>
              <w:t>%</w:t>
            </w:r>
          </w:p>
        </w:tc>
        <w:tc>
          <w:tcPr>
            <w:tcW w:w="1231" w:type="dxa"/>
            <w:tcBorders>
              <w:top w:val="single" w:sz="4" w:space="0" w:color="auto"/>
              <w:left w:val="nil"/>
              <w:bottom w:val="single" w:sz="4" w:space="0" w:color="auto"/>
              <w:right w:val="single" w:sz="4" w:space="0" w:color="auto"/>
            </w:tcBorders>
            <w:shd w:val="clear" w:color="auto" w:fill="2C054E"/>
            <w:noWrap/>
            <w:hideMark/>
          </w:tcPr>
          <w:p w14:paraId="3F077C1B" w14:textId="56ADB797" w:rsidR="008A1B37" w:rsidRPr="002968F9" w:rsidRDefault="00C76D7F" w:rsidP="008A1B37">
            <w:pPr>
              <w:spacing w:after="0" w:line="240" w:lineRule="auto"/>
              <w:jc w:val="center"/>
              <w:rPr>
                <w:rFonts w:eastAsia="Times New Roman" w:cs="Arial"/>
                <w:b/>
                <w:bCs/>
                <w:color w:val="FFFFFF" w:themeColor="background1"/>
                <w:lang w:eastAsia="en-AU"/>
              </w:rPr>
            </w:pPr>
            <w:r>
              <w:rPr>
                <w:b/>
                <w:bCs/>
                <w:color w:val="FFFFFF" w:themeColor="background1"/>
              </w:rPr>
              <w:t>7,70</w:t>
            </w:r>
            <w:r w:rsidR="008A1B37" w:rsidRPr="002968F9">
              <w:rPr>
                <w:b/>
                <w:bCs/>
                <w:color w:val="FFFFFF" w:themeColor="background1"/>
              </w:rPr>
              <w:t>0</w:t>
            </w:r>
          </w:p>
        </w:tc>
        <w:tc>
          <w:tcPr>
            <w:tcW w:w="1260" w:type="dxa"/>
            <w:tcBorders>
              <w:top w:val="single" w:sz="4" w:space="0" w:color="auto"/>
              <w:left w:val="nil"/>
              <w:bottom w:val="single" w:sz="4" w:space="0" w:color="auto"/>
              <w:right w:val="nil"/>
            </w:tcBorders>
            <w:shd w:val="clear" w:color="auto" w:fill="2C054E"/>
            <w:noWrap/>
            <w:hideMark/>
          </w:tcPr>
          <w:p w14:paraId="1D30F240" w14:textId="4ADAED47" w:rsidR="008A1B37" w:rsidRPr="002968F9" w:rsidRDefault="008A1B37" w:rsidP="008A1B37">
            <w:pPr>
              <w:spacing w:after="0" w:line="240" w:lineRule="auto"/>
              <w:jc w:val="center"/>
              <w:rPr>
                <w:rFonts w:eastAsia="Times New Roman" w:cs="Arial"/>
                <w:b/>
                <w:bCs/>
                <w:color w:val="FFFFFF" w:themeColor="background1"/>
                <w:lang w:eastAsia="en-AU"/>
              </w:rPr>
            </w:pPr>
            <w:r w:rsidRPr="002968F9">
              <w:rPr>
                <w:b/>
                <w:bCs/>
                <w:color w:val="FFFFFF" w:themeColor="background1"/>
              </w:rPr>
              <w:t>-0.7%</w:t>
            </w:r>
          </w:p>
        </w:tc>
        <w:tc>
          <w:tcPr>
            <w:tcW w:w="1187" w:type="dxa"/>
            <w:tcBorders>
              <w:top w:val="single" w:sz="4" w:space="0" w:color="auto"/>
              <w:left w:val="nil"/>
              <w:bottom w:val="single" w:sz="4" w:space="0" w:color="auto"/>
              <w:right w:val="single" w:sz="4" w:space="0" w:color="auto"/>
            </w:tcBorders>
            <w:shd w:val="clear" w:color="auto" w:fill="2C054E"/>
            <w:noWrap/>
            <w:hideMark/>
          </w:tcPr>
          <w:p w14:paraId="79CA3DF0" w14:textId="28A2BBD4" w:rsidR="008A1B37" w:rsidRPr="002968F9" w:rsidRDefault="008A1B37" w:rsidP="008A1B37">
            <w:pPr>
              <w:spacing w:after="0" w:line="240" w:lineRule="auto"/>
              <w:jc w:val="center"/>
              <w:rPr>
                <w:rFonts w:eastAsia="Times New Roman" w:cs="Arial"/>
                <w:b/>
                <w:bCs/>
                <w:color w:val="FFFFFF" w:themeColor="background1"/>
                <w:lang w:eastAsia="en-AU"/>
              </w:rPr>
            </w:pPr>
            <w:r w:rsidRPr="002968F9">
              <w:rPr>
                <w:b/>
                <w:bCs/>
                <w:color w:val="FFFFFF" w:themeColor="background1"/>
              </w:rPr>
              <w:t>-2,000</w:t>
            </w:r>
          </w:p>
        </w:tc>
        <w:tc>
          <w:tcPr>
            <w:tcW w:w="1964" w:type="dxa"/>
            <w:tcBorders>
              <w:top w:val="single" w:sz="4" w:space="0" w:color="auto"/>
              <w:left w:val="nil"/>
              <w:bottom w:val="single" w:sz="4" w:space="0" w:color="auto"/>
              <w:right w:val="single" w:sz="4" w:space="0" w:color="auto"/>
            </w:tcBorders>
            <w:shd w:val="clear" w:color="auto" w:fill="2C054E"/>
            <w:noWrap/>
            <w:hideMark/>
          </w:tcPr>
          <w:p w14:paraId="5EB72555" w14:textId="272CE474" w:rsidR="008A1B37" w:rsidRPr="002968F9" w:rsidRDefault="008A1B37" w:rsidP="008A1B37">
            <w:pPr>
              <w:spacing w:after="0" w:line="240" w:lineRule="auto"/>
              <w:jc w:val="center"/>
              <w:rPr>
                <w:rFonts w:eastAsia="Times New Roman" w:cs="Arial"/>
                <w:b/>
                <w:bCs/>
                <w:color w:val="FFFFFF" w:themeColor="background1"/>
                <w:lang w:eastAsia="en-AU"/>
              </w:rPr>
            </w:pPr>
            <w:r w:rsidRPr="002968F9">
              <w:rPr>
                <w:b/>
                <w:bCs/>
                <w:color w:val="FFFFFF" w:themeColor="background1"/>
              </w:rPr>
              <w:t>282,100</w:t>
            </w:r>
          </w:p>
        </w:tc>
      </w:tr>
    </w:tbl>
    <w:p w14:paraId="6847875E" w14:textId="77777777" w:rsidR="00DC7990" w:rsidRPr="00BB36CB" w:rsidRDefault="00DC7990" w:rsidP="00DC7990">
      <w:pPr>
        <w:pStyle w:val="tablefootnote"/>
        <w:spacing w:after="120"/>
        <w:rPr>
          <w:rFonts w:ascii="Arial" w:hAnsi="Arial" w:cs="Arial"/>
        </w:rPr>
      </w:pPr>
      <w:r w:rsidRPr="00BB36CB">
        <w:rPr>
          <w:rFonts w:ascii="Arial" w:hAnsi="Arial" w:cs="Arial"/>
        </w:rPr>
        <w:t>The skill level of an occupation is based on the level of educational attainment/experience normally required to work in the occupation according to the Australian and New Zealand Standard Classification of Occupations (ANZSCO). *Includes at least two years of on-the-job training.</w:t>
      </w:r>
    </w:p>
    <w:p w14:paraId="1B211C2F" w14:textId="4A365925" w:rsidR="00DC7990" w:rsidRPr="00BB36CB" w:rsidRDefault="004A1640" w:rsidP="00DC7990">
      <w:pPr>
        <w:pStyle w:val="Source"/>
        <w:spacing w:line="240" w:lineRule="auto"/>
        <w:rPr>
          <w:rFonts w:ascii="Arial" w:hAnsi="Arial" w:cs="Arial"/>
          <w:i w:val="0"/>
          <w:iCs/>
        </w:rPr>
      </w:pPr>
      <w:r>
        <w:rPr>
          <w:rFonts w:ascii="Arial" w:hAnsi="Arial" w:cs="Arial"/>
          <w:i w:val="0"/>
          <w:iCs/>
        </w:rPr>
        <w:t>JSA</w:t>
      </w:r>
      <w:r w:rsidR="00DC7990" w:rsidRPr="00BB36CB">
        <w:rPr>
          <w:rFonts w:ascii="Arial" w:hAnsi="Arial" w:cs="Arial"/>
          <w:i w:val="0"/>
          <w:iCs/>
        </w:rPr>
        <w:t>,</w:t>
      </w:r>
      <w:r w:rsidR="00DC7990" w:rsidRPr="00BB36CB">
        <w:rPr>
          <w:rFonts w:ascii="Arial" w:hAnsi="Arial" w:cs="Arial"/>
        </w:rPr>
        <w:t xml:space="preserve"> Internet Vacancy Index, </w:t>
      </w:r>
      <w:r w:rsidR="000D5FB3" w:rsidRPr="000D5FB3">
        <w:rPr>
          <w:rFonts w:ascii="Arial" w:hAnsi="Arial" w:cs="Arial"/>
          <w:i w:val="0"/>
          <w:iCs/>
        </w:rPr>
        <w:t>March 2023</w:t>
      </w:r>
    </w:p>
    <w:p w14:paraId="6042F44A" w14:textId="7023921A" w:rsidR="00DC7990" w:rsidRPr="00C55BB7" w:rsidRDefault="00DC7990" w:rsidP="00DC7990">
      <w:pPr>
        <w:spacing w:after="120" w:line="276" w:lineRule="auto"/>
        <w:rPr>
          <w:rFonts w:cs="Arial"/>
        </w:rPr>
      </w:pPr>
      <w:r w:rsidRPr="000D5FB3">
        <w:rPr>
          <w:rFonts w:cs="Arial"/>
        </w:rPr>
        <w:t xml:space="preserve">Figure </w:t>
      </w:r>
      <w:r w:rsidR="00D60B3D">
        <w:rPr>
          <w:rFonts w:cs="Arial"/>
        </w:rPr>
        <w:t>9</w:t>
      </w:r>
      <w:r w:rsidRPr="000D5FB3">
        <w:rPr>
          <w:rFonts w:cs="Arial"/>
        </w:rPr>
        <w:t xml:space="preserve"> shows that higher-skilled occupations also remain more difficult to recruit for compared with lower-</w:t>
      </w:r>
      <w:r w:rsidRPr="00C55BB7">
        <w:rPr>
          <w:rFonts w:cs="Arial"/>
        </w:rPr>
        <w:t>skilled occupations, with difficulty rates for recruiting employers of 7</w:t>
      </w:r>
      <w:r w:rsidR="00BB5F3C" w:rsidRPr="00C55BB7">
        <w:rPr>
          <w:rFonts w:cs="Arial"/>
        </w:rPr>
        <w:t>2</w:t>
      </w:r>
      <w:r w:rsidRPr="00C55BB7">
        <w:rPr>
          <w:rFonts w:cs="Arial"/>
        </w:rPr>
        <w:t xml:space="preserve">% (for Skill Level 1 to 3 occupations) and </w:t>
      </w:r>
      <w:r w:rsidR="00BB5F3C" w:rsidRPr="00C55BB7">
        <w:rPr>
          <w:rFonts w:cs="Arial"/>
        </w:rPr>
        <w:t>5</w:t>
      </w:r>
      <w:r w:rsidR="008A6982" w:rsidRPr="00C55BB7">
        <w:rPr>
          <w:rFonts w:cs="Arial"/>
        </w:rPr>
        <w:t>7</w:t>
      </w:r>
      <w:r w:rsidRPr="00C55BB7">
        <w:rPr>
          <w:rFonts w:cs="Arial"/>
        </w:rPr>
        <w:t xml:space="preserve">% (for Skill Level 4 and 5 occupations) respectively in </w:t>
      </w:r>
      <w:r w:rsidR="000D5FB3" w:rsidRPr="00C55BB7">
        <w:rPr>
          <w:rFonts w:cs="Arial"/>
        </w:rPr>
        <w:t>March 2023</w:t>
      </w:r>
      <w:r w:rsidRPr="00C55BB7">
        <w:rPr>
          <w:rFonts w:cs="Arial"/>
        </w:rPr>
        <w:t>.</w:t>
      </w:r>
    </w:p>
    <w:p w14:paraId="5121E4C8" w14:textId="470D6469" w:rsidR="00DC7990" w:rsidRPr="00C55BB7" w:rsidRDefault="00DC7990" w:rsidP="00A725F6">
      <w:pPr>
        <w:pStyle w:val="Heading5"/>
      </w:pPr>
      <w:r w:rsidRPr="00C55BB7">
        <w:t xml:space="preserve">Figure </w:t>
      </w:r>
      <w:r w:rsidR="00D60B3D" w:rsidRPr="00C55BB7">
        <w:t>9</w:t>
      </w:r>
      <w:r w:rsidRPr="00C55BB7">
        <w:t xml:space="preserve">: Difficulty by skill level of occupation (as a proportion of recruiting employers), August 2020 to </w:t>
      </w:r>
      <w:r w:rsidR="008D31A2">
        <w:t>March 2023</w:t>
      </w:r>
    </w:p>
    <w:p w14:paraId="1C529F61" w14:textId="541E8D63" w:rsidR="00DC7990" w:rsidRPr="00BB36CB" w:rsidRDefault="008D31A2" w:rsidP="00DC7990">
      <w:pPr>
        <w:pStyle w:val="HeadingAppendix3"/>
        <w:rPr>
          <w:rFonts w:ascii="Arial" w:hAnsi="Arial" w:cs="Arial"/>
          <w:sz w:val="20"/>
          <w:szCs w:val="18"/>
        </w:rPr>
      </w:pPr>
      <w:r>
        <w:rPr>
          <w:noProof/>
        </w:rPr>
        <w:drawing>
          <wp:inline distT="0" distB="0" distL="0" distR="0" wp14:anchorId="3322F58B" wp14:editId="71F3247B">
            <wp:extent cx="6477000" cy="2957195"/>
            <wp:effectExtent l="0" t="0" r="0" b="0"/>
            <wp:docPr id="6" name="Chart 6" descr="Figure 9: Difficulty rate by skill level of occupation (as a proportion of recruiting employers), August 2020 to March 2023&#10;Figure 9 is a line chart showing the recruitment rate difficulty by skill level of the position recruited for, from August 2020 to March 2023. Higher Skilled positions (with an ANZSCO Skill Level of 1-3) consistently had a higher difficulty rate than Lower Skilled positions (with an ANZSCO Skill Level of 4-5). Both rates fell from mid-2020 to early 2021, before generally increasing to mid-2022 and staying fairly stable since then. In August 2020, the recruitment difficulty rates were 45% for Lower Skilled positions, and 54% for Higher Skilled positions. By March 2023 the recruitment difficulty rates were 57% for Lower Skilled positions and 72% for Higher Skilled positions.&#10;">
              <a:extLst xmlns:a="http://schemas.openxmlformats.org/drawingml/2006/main">
                <a:ext uri="{FF2B5EF4-FFF2-40B4-BE49-F238E27FC236}">
                  <a16:creationId xmlns:a16="http://schemas.microsoft.com/office/drawing/2014/main" id="{BE02B76C-F831-D9EF-043B-4763640E73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8B91419" w14:textId="223EC562" w:rsidR="00DC7990" w:rsidRPr="00BB36CB" w:rsidRDefault="001F5EFA" w:rsidP="00DC7990">
      <w:pPr>
        <w:pStyle w:val="Source"/>
        <w:rPr>
          <w:rFonts w:ascii="Arial" w:hAnsi="Arial" w:cs="Arial"/>
          <w:i w:val="0"/>
          <w:iCs/>
        </w:rPr>
      </w:pPr>
      <w:r>
        <w:rPr>
          <w:rFonts w:ascii="Arial" w:hAnsi="Arial" w:cs="Arial"/>
          <w:i w:val="0"/>
          <w:iCs/>
        </w:rPr>
        <w:t>JSA</w:t>
      </w:r>
      <w:r w:rsidR="00DC7990" w:rsidRPr="00BB36CB">
        <w:rPr>
          <w:rFonts w:ascii="Arial" w:hAnsi="Arial" w:cs="Arial"/>
          <w:i w:val="0"/>
          <w:iCs/>
        </w:rPr>
        <w:t>,</w:t>
      </w:r>
      <w:r w:rsidR="00DC7990" w:rsidRPr="00BB36CB">
        <w:rPr>
          <w:rFonts w:ascii="Arial" w:hAnsi="Arial" w:cs="Arial"/>
        </w:rPr>
        <w:t xml:space="preserve"> Recruitment Experiences and Outlook Survey, </w:t>
      </w:r>
      <w:r w:rsidR="008D31A2">
        <w:rPr>
          <w:rFonts w:ascii="Arial" w:hAnsi="Arial" w:cs="Arial"/>
          <w:i w:val="0"/>
          <w:iCs/>
        </w:rPr>
        <w:t>March 2023</w:t>
      </w:r>
      <w:r w:rsidR="00DC7990" w:rsidRPr="00BB36CB">
        <w:rPr>
          <w:rFonts w:ascii="Arial" w:hAnsi="Arial" w:cs="Arial"/>
        </w:rPr>
        <w:t xml:space="preserve">. </w:t>
      </w:r>
      <w:r w:rsidR="00AD3DE8" w:rsidRPr="00AA3D7C">
        <w:rPr>
          <w:rFonts w:ascii="Arial" w:hAnsi="Arial" w:cs="Arial"/>
          <w:i w:val="0"/>
          <w:iCs/>
        </w:rPr>
        <w:t xml:space="preserve">Please note: </w:t>
      </w:r>
      <w:r w:rsidR="00AD3DE8">
        <w:rPr>
          <w:rFonts w:ascii="Arial" w:hAnsi="Arial" w:cs="Arial"/>
          <w:i w:val="0"/>
          <w:iCs/>
        </w:rPr>
        <w:t>D</w:t>
      </w:r>
      <w:r w:rsidR="00AD3DE8" w:rsidRPr="00AA3D7C">
        <w:rPr>
          <w:rFonts w:ascii="Arial" w:hAnsi="Arial" w:cs="Arial"/>
          <w:i w:val="0"/>
          <w:iCs/>
        </w:rPr>
        <w:t xml:space="preserve">isaggregated data was not publishable in </w:t>
      </w:r>
      <w:r w:rsidR="00AD3DE8">
        <w:rPr>
          <w:rFonts w:ascii="Arial" w:hAnsi="Arial" w:cs="Arial"/>
          <w:i w:val="0"/>
          <w:iCs/>
        </w:rPr>
        <w:t>January of each year; h</w:t>
      </w:r>
      <w:r w:rsidR="00AD3DE8" w:rsidRPr="00AA3D7C">
        <w:rPr>
          <w:rFonts w:ascii="Arial" w:hAnsi="Arial" w:cs="Arial"/>
          <w:i w:val="0"/>
          <w:iCs/>
        </w:rPr>
        <w:t xml:space="preserve">ence </w:t>
      </w:r>
      <w:r w:rsidR="00AD3DE8">
        <w:rPr>
          <w:rFonts w:ascii="Arial" w:hAnsi="Arial" w:cs="Arial"/>
          <w:i w:val="0"/>
          <w:iCs/>
        </w:rPr>
        <w:t xml:space="preserve">relevant </w:t>
      </w:r>
      <w:r w:rsidR="00AD3DE8" w:rsidRPr="00AA3D7C">
        <w:rPr>
          <w:rFonts w:ascii="Arial" w:hAnsi="Arial" w:cs="Arial"/>
          <w:i w:val="0"/>
          <w:iCs/>
        </w:rPr>
        <w:t>data points have been joined by a dotted line.</w:t>
      </w:r>
    </w:p>
    <w:p w14:paraId="4032573D" w14:textId="77777777" w:rsidR="001D7713" w:rsidRPr="00BB36CB" w:rsidRDefault="001D7713" w:rsidP="001D7713">
      <w:pPr>
        <w:pStyle w:val="Heading1"/>
        <w:rPr>
          <w:rFonts w:cs="Arial"/>
        </w:rPr>
      </w:pPr>
      <w:bookmarkStart w:id="22" w:name="_Toc134785329"/>
      <w:bookmarkStart w:id="23" w:name="_Toc110414945"/>
      <w:r w:rsidRPr="00BB36CB">
        <w:rPr>
          <w:rFonts w:cs="Arial"/>
        </w:rPr>
        <w:lastRenderedPageBreak/>
        <w:t>Labour markets are similarly tight in many other countries</w:t>
      </w:r>
      <w:bookmarkEnd w:id="22"/>
    </w:p>
    <w:p w14:paraId="4D1093D3" w14:textId="202EB400" w:rsidR="003D1AE6" w:rsidRPr="00BD5894" w:rsidRDefault="00B9373D" w:rsidP="003D1AE6">
      <w:pPr>
        <w:pStyle w:val="Heading3"/>
        <w:spacing w:after="200"/>
        <w:rPr>
          <w:rFonts w:cs="Arial"/>
          <w:b w:val="0"/>
          <w:bCs/>
          <w:color w:val="441170"/>
        </w:rPr>
      </w:pPr>
      <w:bookmarkStart w:id="24" w:name="_Toc134785330"/>
      <w:r>
        <w:rPr>
          <w:rFonts w:cs="Arial"/>
          <w:bCs/>
          <w:color w:val="441170"/>
        </w:rPr>
        <w:t>The outlook for labour markets in advanced economies remains strong</w:t>
      </w:r>
      <w:bookmarkEnd w:id="24"/>
      <w:r>
        <w:rPr>
          <w:rFonts w:cs="Arial"/>
          <w:bCs/>
          <w:color w:val="441170"/>
        </w:rPr>
        <w:t xml:space="preserve"> </w:t>
      </w:r>
      <w:r w:rsidR="007E2CA8">
        <w:rPr>
          <w:rFonts w:cs="Arial"/>
          <w:bCs/>
          <w:color w:val="441170"/>
        </w:rPr>
        <w:t xml:space="preserve"> </w:t>
      </w:r>
    </w:p>
    <w:p w14:paraId="1003F18D" w14:textId="77777777" w:rsidR="003D1AE6" w:rsidRPr="00790FEA" w:rsidRDefault="003D1AE6" w:rsidP="003D1AE6">
      <w:pPr>
        <w:spacing w:after="120" w:line="276" w:lineRule="auto"/>
        <w:rPr>
          <w:rFonts w:cs="Arial"/>
        </w:rPr>
      </w:pPr>
      <w:r w:rsidRPr="00790FEA">
        <w:rPr>
          <w:rFonts w:cs="Arial"/>
        </w:rPr>
        <w:t>The International Monetary Fund</w:t>
      </w:r>
      <w:r>
        <w:rPr>
          <w:rFonts w:cs="Arial"/>
        </w:rPr>
        <w:t xml:space="preserve"> (IMF)</w:t>
      </w:r>
      <w:r w:rsidRPr="00790FEA">
        <w:rPr>
          <w:rFonts w:cs="Arial"/>
          <w:vertAlign w:val="superscript"/>
        </w:rPr>
        <w:footnoteReference w:id="14"/>
      </w:r>
      <w:r w:rsidRPr="00790FEA">
        <w:rPr>
          <w:rFonts w:cs="Arial"/>
        </w:rPr>
        <w:t xml:space="preserve"> has found that labour markets in advanced economies, especially the United States (US)</w:t>
      </w:r>
      <w:r>
        <w:rPr>
          <w:rFonts w:cs="Arial"/>
        </w:rPr>
        <w:t>,</w:t>
      </w:r>
      <w:r w:rsidRPr="00790FEA">
        <w:rPr>
          <w:rFonts w:cs="Arial"/>
        </w:rPr>
        <w:t xml:space="preserve"> are strong.</w:t>
      </w:r>
      <w:r>
        <w:rPr>
          <w:rFonts w:cs="Arial"/>
        </w:rPr>
        <w:t xml:space="preserve"> Other findings from the IMF’s April 2023 World Economic Outlook report include:</w:t>
      </w:r>
    </w:p>
    <w:p w14:paraId="02567748" w14:textId="77777777" w:rsidR="003D1AE6" w:rsidRPr="00790FEA" w:rsidRDefault="003D1AE6" w:rsidP="00CB0BE2">
      <w:pPr>
        <w:pStyle w:val="ListParagraph"/>
        <w:numPr>
          <w:ilvl w:val="0"/>
          <w:numId w:val="23"/>
        </w:numPr>
        <w:spacing w:after="120" w:line="276" w:lineRule="auto"/>
        <w:ind w:left="357" w:hanging="357"/>
        <w:contextualSpacing w:val="0"/>
        <w:rPr>
          <w:rFonts w:cs="Arial"/>
        </w:rPr>
      </w:pPr>
      <w:r w:rsidRPr="00790FEA">
        <w:rPr>
          <w:rFonts w:cs="Arial"/>
        </w:rPr>
        <w:t>Incomes are expected to grow slowly over 2023, and unemployment is expected to rise by the end of the year</w:t>
      </w:r>
      <w:r>
        <w:rPr>
          <w:rFonts w:cs="Arial"/>
        </w:rPr>
        <w:t>.</w:t>
      </w:r>
    </w:p>
    <w:p w14:paraId="4A2ABC74" w14:textId="36957F79" w:rsidR="003D1AE6" w:rsidRDefault="003D1AE6" w:rsidP="00CB0BE2">
      <w:pPr>
        <w:pStyle w:val="ListParagraph"/>
        <w:numPr>
          <w:ilvl w:val="0"/>
          <w:numId w:val="23"/>
        </w:numPr>
        <w:spacing w:after="120" w:line="276" w:lineRule="auto"/>
        <w:contextualSpacing w:val="0"/>
        <w:rPr>
          <w:rFonts w:cs="Arial"/>
        </w:rPr>
      </w:pPr>
      <w:r w:rsidRPr="00790FEA">
        <w:rPr>
          <w:rFonts w:cs="Arial"/>
        </w:rPr>
        <w:t>Unemployment rates are at historic lows</w:t>
      </w:r>
      <w:r w:rsidR="00F547CD">
        <w:rPr>
          <w:rFonts w:cs="Arial"/>
        </w:rPr>
        <w:t>, while</w:t>
      </w:r>
      <w:r w:rsidRPr="00790FEA">
        <w:rPr>
          <w:rFonts w:cs="Arial"/>
        </w:rPr>
        <w:t xml:space="preserve"> vacancies per employed person are high in the US and the Euro area.</w:t>
      </w:r>
    </w:p>
    <w:p w14:paraId="7E944D7E" w14:textId="2E6C02A7" w:rsidR="003D1AE6" w:rsidRPr="00D60B3D" w:rsidRDefault="003D1AE6" w:rsidP="003D1AE6">
      <w:pPr>
        <w:spacing w:after="120" w:line="276" w:lineRule="auto"/>
        <w:rPr>
          <w:rFonts w:cs="Arial"/>
        </w:rPr>
      </w:pPr>
      <w:r w:rsidRPr="009F1456">
        <w:rPr>
          <w:rFonts w:cs="Arial"/>
        </w:rPr>
        <w:t xml:space="preserve">OECD </w:t>
      </w:r>
      <w:r w:rsidRPr="00D60B3D">
        <w:rPr>
          <w:rFonts w:cs="Arial"/>
        </w:rPr>
        <w:t xml:space="preserve">data points toward tight labour markets in many countries, highlighting increasing global challenges for employers in finding workers with the required skills. Figure </w:t>
      </w:r>
      <w:r w:rsidR="00F547CD" w:rsidRPr="00D60B3D">
        <w:rPr>
          <w:rFonts w:cs="Arial"/>
        </w:rPr>
        <w:t>1</w:t>
      </w:r>
      <w:r w:rsidR="00D60B3D" w:rsidRPr="00D60B3D">
        <w:rPr>
          <w:rFonts w:cs="Arial"/>
        </w:rPr>
        <w:t>0</w:t>
      </w:r>
      <w:r w:rsidRPr="00D60B3D">
        <w:rPr>
          <w:rFonts w:cs="Arial"/>
        </w:rPr>
        <w:t xml:space="preserve"> shows that while about two-thirds of OECD nations currently have an unemployment rate that is below the level recorded in February 2020 (prior to the COVID-19 pandemic), Australia’s unemployment rate decline is among the larger.</w:t>
      </w:r>
    </w:p>
    <w:p w14:paraId="1A6DD968" w14:textId="420905D3" w:rsidR="003D1AE6" w:rsidRPr="009F1456" w:rsidRDefault="00613440" w:rsidP="003D1AE6">
      <w:pPr>
        <w:spacing w:after="120" w:line="276" w:lineRule="auto"/>
        <w:rPr>
          <w:rFonts w:cs="Arial"/>
          <w:b/>
          <w:bCs/>
        </w:rPr>
      </w:pPr>
      <w:r w:rsidRPr="00D60B3D">
        <w:rPr>
          <w:noProof/>
        </w:rPr>
        <w:drawing>
          <wp:inline distT="0" distB="0" distL="0" distR="0" wp14:anchorId="5B098590" wp14:editId="5AA9E87B">
            <wp:extent cx="6619875" cy="4007485"/>
            <wp:effectExtent l="0" t="0" r="9525" b="0"/>
            <wp:docPr id="27" name="Picture 27" descr="Figure 10: Changes in unemployment rates, OECD countries, February 2020 to February 2023 (percentage points)&#10;Figure 10 is a bar chart with the percentage point change in the unemployment rate for each OECD country arranged in ascending order from left to right based on those with the largest percentage point falls to the highest percentage point increases between February 2020 to February 2023. It shows that Australia’s unemployment rate has dropped 1.5 percentage points, the fourth largest fall after Greece (-5.0 percentage points), Turkey ( 2.5 percentage points) and Costa Rica (-1.6 percentage points).  Other countries that have had falls in the unemployment rate include New Zealand (-0.8 percentage points), France (-0.8 percentage points) and Canada (-0.7 percentage points). The small number of countries where the unemployment rate has increased include Portugal (0.3 percentage points) and Chile(0.4 percentage poi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Figure 10: Changes in unemployment rates, OECD countries, February 2020 to February 2023 (percentage points)&#10;Figure 10 is a bar chart with the percentage point change in the unemployment rate for each OECD country arranged in ascending order from left to right based on those with the largest percentage point falls to the highest percentage point increases between February 2020 to February 2023. It shows that Australia’s unemployment rate has dropped 1.5 percentage points, the fourth largest fall after Greece (-5.0 percentage points), Turkey ( 2.5 percentage points) and Costa Rica (-1.6 percentage points).  Other countries that have had falls in the unemployment rate include New Zealand (-0.8 percentage points), France (-0.8 percentage points) and Canada (-0.7 percentage points). The small number of countries where the unemployment rate has increased include Portugal (0.3 percentage points) and Chile(0.4 percentage points).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19875" cy="4007485"/>
                    </a:xfrm>
                    <a:prstGeom prst="rect">
                      <a:avLst/>
                    </a:prstGeom>
                    <a:noFill/>
                    <a:ln>
                      <a:noFill/>
                    </a:ln>
                  </pic:spPr>
                </pic:pic>
              </a:graphicData>
            </a:graphic>
          </wp:inline>
        </w:drawing>
      </w:r>
      <w:r w:rsidR="003D1AE6" w:rsidRPr="00D60B3D">
        <w:rPr>
          <w:rFonts w:cs="Arial"/>
          <w:b/>
          <w:bCs/>
        </w:rPr>
        <w:t xml:space="preserve">Figure </w:t>
      </w:r>
      <w:r w:rsidR="00F547CD" w:rsidRPr="00D60B3D">
        <w:rPr>
          <w:rFonts w:cs="Arial"/>
          <w:b/>
          <w:bCs/>
        </w:rPr>
        <w:t>1</w:t>
      </w:r>
      <w:r w:rsidR="00D60B3D" w:rsidRPr="00D60B3D">
        <w:rPr>
          <w:rFonts w:cs="Arial"/>
          <w:b/>
          <w:bCs/>
        </w:rPr>
        <w:t>0</w:t>
      </w:r>
      <w:r w:rsidR="003D1AE6" w:rsidRPr="00D60B3D">
        <w:rPr>
          <w:rFonts w:cs="Arial"/>
          <w:b/>
          <w:bCs/>
        </w:rPr>
        <w:t>: Chang</w:t>
      </w:r>
      <w:r w:rsidR="003D1AE6" w:rsidRPr="009F1456">
        <w:rPr>
          <w:rFonts w:cs="Arial"/>
          <w:b/>
          <w:bCs/>
        </w:rPr>
        <w:t xml:space="preserve">es in Unemployment Rates—OECD countries, February 2020 to </w:t>
      </w:r>
      <w:r w:rsidR="003D1AE6">
        <w:rPr>
          <w:rFonts w:cs="Arial"/>
          <w:b/>
          <w:bCs/>
        </w:rPr>
        <w:t>February</w:t>
      </w:r>
      <w:r w:rsidR="003D1AE6" w:rsidRPr="009F1456">
        <w:rPr>
          <w:rFonts w:cs="Arial"/>
          <w:b/>
          <w:bCs/>
        </w:rPr>
        <w:t xml:space="preserve"> 202</w:t>
      </w:r>
      <w:r w:rsidR="003D1AE6">
        <w:rPr>
          <w:rFonts w:cs="Arial"/>
          <w:b/>
          <w:bCs/>
        </w:rPr>
        <w:t>3</w:t>
      </w:r>
      <w:r w:rsidR="003D1AE6" w:rsidRPr="009F1456">
        <w:rPr>
          <w:rFonts w:cs="Arial"/>
          <w:b/>
          <w:bCs/>
        </w:rPr>
        <w:t xml:space="preserve"> (percentage points)</w:t>
      </w:r>
    </w:p>
    <w:p w14:paraId="67851D33" w14:textId="27D60B24" w:rsidR="003D1AE6" w:rsidRPr="00BB36CB" w:rsidRDefault="003D1AE6" w:rsidP="00E70D43">
      <w:pPr>
        <w:pStyle w:val="Source"/>
        <w:rPr>
          <w:iCs/>
        </w:rPr>
      </w:pPr>
      <w:r w:rsidRPr="00BB36CB">
        <w:t>OECD</w:t>
      </w:r>
      <w:r>
        <w:t>Stat (</w:t>
      </w:r>
      <w:r w:rsidRPr="00E70D43">
        <w:rPr>
          <w:i w:val="0"/>
          <w:iCs/>
        </w:rPr>
        <w:t>JSA staff calculations</w:t>
      </w:r>
      <w:r>
        <w:t>)</w:t>
      </w:r>
      <w:r>
        <w:rPr>
          <w:iCs/>
        </w:rPr>
        <w:t xml:space="preserve"> </w:t>
      </w:r>
    </w:p>
    <w:p w14:paraId="78BE1201" w14:textId="5A2CC31D" w:rsidR="003D1AE6" w:rsidRPr="00E15AED" w:rsidRDefault="00A401E6" w:rsidP="003D1AE6">
      <w:pPr>
        <w:pStyle w:val="Heading3"/>
        <w:spacing w:after="200"/>
        <w:rPr>
          <w:rFonts w:cs="Arial"/>
          <w:b w:val="0"/>
          <w:bCs/>
          <w:color w:val="441170"/>
        </w:rPr>
      </w:pPr>
      <w:bookmarkStart w:id="25" w:name="_Toc134785331"/>
      <w:r>
        <w:rPr>
          <w:rFonts w:cs="Arial"/>
          <w:bCs/>
          <w:color w:val="441170"/>
        </w:rPr>
        <w:t>J</w:t>
      </w:r>
      <w:r w:rsidR="003D1AE6">
        <w:rPr>
          <w:rFonts w:cs="Arial"/>
          <w:bCs/>
          <w:color w:val="441170"/>
        </w:rPr>
        <w:t>ob</w:t>
      </w:r>
      <w:r>
        <w:rPr>
          <w:rFonts w:cs="Arial"/>
          <w:bCs/>
          <w:color w:val="441170"/>
        </w:rPr>
        <w:t xml:space="preserve"> vacancy levels </w:t>
      </w:r>
      <w:r w:rsidR="00E70D43">
        <w:rPr>
          <w:rFonts w:cs="Arial"/>
          <w:bCs/>
          <w:color w:val="441170"/>
        </w:rPr>
        <w:t>have grown more strongly in Australia than in other countries</w:t>
      </w:r>
      <w:bookmarkEnd w:id="25"/>
    </w:p>
    <w:p w14:paraId="2EC5B776" w14:textId="3A964C55" w:rsidR="003D1AE6" w:rsidRDefault="003D1AE6" w:rsidP="003D1AE6">
      <w:pPr>
        <w:spacing w:after="120" w:line="276" w:lineRule="auto"/>
        <w:rPr>
          <w:rFonts w:cs="Arial"/>
        </w:rPr>
      </w:pPr>
      <w:r w:rsidRPr="00122A30">
        <w:rPr>
          <w:rFonts w:cs="Arial"/>
        </w:rPr>
        <w:t xml:space="preserve">Job </w:t>
      </w:r>
      <w:r>
        <w:rPr>
          <w:rFonts w:cs="Arial"/>
        </w:rPr>
        <w:t xml:space="preserve">vacancies have grown significantly beyond their pre-COVID levels in Australia and selected economies. However, in comparison to the US, United Kingdom (UK) and New Zealand (NZ), job vacancies continued to increase in Australia following the opening of international borders. See </w:t>
      </w:r>
      <w:r w:rsidRPr="00D60B3D">
        <w:rPr>
          <w:rFonts w:cs="Arial"/>
        </w:rPr>
        <w:t xml:space="preserve">Figure </w:t>
      </w:r>
      <w:r w:rsidR="00F547CD" w:rsidRPr="00D60B3D">
        <w:rPr>
          <w:rFonts w:cs="Arial"/>
        </w:rPr>
        <w:t>1</w:t>
      </w:r>
      <w:r w:rsidR="00D60B3D" w:rsidRPr="00D60B3D">
        <w:rPr>
          <w:rFonts w:cs="Arial"/>
        </w:rPr>
        <w:t>1</w:t>
      </w:r>
      <w:r w:rsidRPr="00D60B3D">
        <w:rPr>
          <w:rFonts w:cs="Arial"/>
        </w:rPr>
        <w:t xml:space="preserve"> below</w:t>
      </w:r>
      <w:r>
        <w:rPr>
          <w:rFonts w:cs="Arial"/>
        </w:rPr>
        <w:t>.</w:t>
      </w:r>
    </w:p>
    <w:p w14:paraId="721BF086" w14:textId="77777777" w:rsidR="003D1AE6" w:rsidRDefault="003D1AE6" w:rsidP="003D1AE6">
      <w:pPr>
        <w:rPr>
          <w:rFonts w:cs="Arial"/>
          <w:b/>
          <w:bCs/>
        </w:rPr>
      </w:pPr>
      <w:r>
        <w:rPr>
          <w:rFonts w:cs="Arial"/>
          <w:b/>
          <w:bCs/>
        </w:rPr>
        <w:br w:type="page"/>
      </w:r>
    </w:p>
    <w:p w14:paraId="15E47BF5" w14:textId="426790B1" w:rsidR="002C5753" w:rsidRPr="00727CEE" w:rsidRDefault="002C5753" w:rsidP="003D1AE6">
      <w:pPr>
        <w:spacing w:after="120" w:line="276" w:lineRule="auto"/>
        <w:rPr>
          <w:rFonts w:cs="Arial"/>
          <w:b/>
          <w:bCs/>
        </w:rPr>
      </w:pPr>
      <w:r w:rsidRPr="00D60B3D">
        <w:rPr>
          <w:noProof/>
        </w:rPr>
        <w:lastRenderedPageBreak/>
        <w:drawing>
          <wp:inline distT="0" distB="0" distL="0" distR="0" wp14:anchorId="75A9395D" wp14:editId="51D496BD">
            <wp:extent cx="6524625" cy="4098925"/>
            <wp:effectExtent l="0" t="0" r="0" b="0"/>
            <wp:docPr id="30" name="Picture 30" descr="Figure 11: Job vacancies in Australia, United States, United Kingdom and New Zealand—2020 to 2023&#10;Figure 11 is a line chart showing and index of job vacancies in Australia, United States, United Kingdom and New Zealand, from 2020 (where the index was set at 100) to 2023. It shows that job vacancies have grown significantly beyond their pre-COVID levels in each of these four economies. However, in comparison to the US, United Kingdom (UK) and New Zealand (NZ), job vacancies continued to increase in Australia following the opening of international borders, whereas job vacancies in the other three countries have remained fairly stable since early 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Figure 11: Job vacancies in Australia, United States, United Kingdom and New Zealand—2020 to 2023&#10;Figure 11 is a line chart showing and index of job vacancies in Australia, United States, United Kingdom and New Zealand, from 2020 (where the index was set at 100) to 2023. It shows that job vacancies have grown significantly beyond their pre-COVID levels in each of these four economies. However, in comparison to the US, United Kingdom (UK) and New Zealand (NZ), job vacancies continued to increase in Australia following the opening of international borders, whereas job vacancies in the other three countries have remained fairly stable since early 2021.&#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26830" cy="4100574"/>
                    </a:xfrm>
                    <a:prstGeom prst="rect">
                      <a:avLst/>
                    </a:prstGeom>
                    <a:noFill/>
                    <a:ln>
                      <a:noFill/>
                    </a:ln>
                  </pic:spPr>
                </pic:pic>
              </a:graphicData>
            </a:graphic>
          </wp:inline>
        </w:drawing>
      </w:r>
      <w:r w:rsidR="003D1AE6" w:rsidRPr="00D60B3D">
        <w:rPr>
          <w:rFonts w:cs="Arial"/>
          <w:b/>
          <w:bCs/>
        </w:rPr>
        <w:t xml:space="preserve">Figure </w:t>
      </w:r>
      <w:r w:rsidR="00F547CD" w:rsidRPr="00D60B3D">
        <w:rPr>
          <w:rFonts w:cs="Arial"/>
          <w:b/>
          <w:bCs/>
        </w:rPr>
        <w:t>1</w:t>
      </w:r>
      <w:r w:rsidR="00D60B3D">
        <w:rPr>
          <w:rFonts w:cs="Arial"/>
          <w:b/>
          <w:bCs/>
        </w:rPr>
        <w:t>1</w:t>
      </w:r>
      <w:r w:rsidR="003D1AE6" w:rsidRPr="00D60B3D">
        <w:rPr>
          <w:rFonts w:cs="Arial"/>
          <w:b/>
          <w:bCs/>
        </w:rPr>
        <w:t>: Job</w:t>
      </w:r>
      <w:r w:rsidR="003D1AE6" w:rsidRPr="00E15AED">
        <w:rPr>
          <w:rFonts w:cs="Arial"/>
          <w:b/>
          <w:bCs/>
        </w:rPr>
        <w:t xml:space="preserve"> vacancies in Australia, United States, United Kingdom and New Zealand—2020 to 2023</w:t>
      </w:r>
    </w:p>
    <w:p w14:paraId="23313321" w14:textId="20D63A96" w:rsidR="003D1AE6" w:rsidRPr="0003000F" w:rsidRDefault="003D1AE6" w:rsidP="00E70D43">
      <w:pPr>
        <w:pStyle w:val="Source"/>
        <w:rPr>
          <w:rFonts w:cs="Arial"/>
        </w:rPr>
      </w:pPr>
      <w:r w:rsidRPr="00E70D43">
        <w:rPr>
          <w:i w:val="0"/>
          <w:iCs/>
        </w:rPr>
        <w:t>JSA,</w:t>
      </w:r>
      <w:r w:rsidRPr="0003000F">
        <w:t xml:space="preserve"> Internet Vacancies Index, seasonally adjusted; ABS Job Vacancy Survey, seasonally adjusted; </w:t>
      </w:r>
      <w:r w:rsidRPr="00E70D43">
        <w:rPr>
          <w:i w:val="0"/>
          <w:iCs/>
        </w:rPr>
        <w:t>New Zealand Ministry of Business</w:t>
      </w:r>
      <w:r w:rsidRPr="0003000F">
        <w:t xml:space="preserve">, Innovation and Employment Quarterly Jobs Online Index, seasonally adjusted; </w:t>
      </w:r>
      <w:r w:rsidRPr="00E70D43">
        <w:rPr>
          <w:i w:val="0"/>
          <w:iCs/>
        </w:rPr>
        <w:t>U.S. Bureau of Labor Statistics</w:t>
      </w:r>
      <w:r w:rsidRPr="0003000F">
        <w:t xml:space="preserve">, Job Openings and Labor Turnover Survey, US job openings: </w:t>
      </w:r>
      <w:r w:rsidRPr="00E70D43">
        <w:rPr>
          <w:i w:val="0"/>
          <w:iCs/>
        </w:rPr>
        <w:t>total nonfarm, rate, monthly,</w:t>
      </w:r>
      <w:r w:rsidRPr="0003000F">
        <w:t xml:space="preserve"> seasonally adjusted; </w:t>
      </w:r>
      <w:r w:rsidRPr="00E70D43">
        <w:rPr>
          <w:i w:val="0"/>
          <w:iCs/>
        </w:rPr>
        <w:t>UK Office for National Statistics</w:t>
      </w:r>
      <w:r w:rsidRPr="0003000F">
        <w:t>, UK Vacancies per 100 employee jobs, Vacancy Survey.</w:t>
      </w:r>
    </w:p>
    <w:p w14:paraId="318341F8" w14:textId="571DABC1" w:rsidR="003D1AE6" w:rsidRPr="00E15AED" w:rsidRDefault="00460BF2" w:rsidP="003D1AE6">
      <w:pPr>
        <w:pStyle w:val="Heading3"/>
        <w:spacing w:after="200"/>
        <w:rPr>
          <w:rFonts w:cs="Arial"/>
          <w:b w:val="0"/>
          <w:bCs/>
          <w:color w:val="441170"/>
        </w:rPr>
      </w:pPr>
      <w:bookmarkStart w:id="26" w:name="_Toc134785332"/>
      <w:r>
        <w:rPr>
          <w:rFonts w:cs="Arial"/>
          <w:bCs/>
          <w:color w:val="441170"/>
        </w:rPr>
        <w:t xml:space="preserve">Many </w:t>
      </w:r>
      <w:r w:rsidR="00036292">
        <w:rPr>
          <w:rFonts w:cs="Arial"/>
          <w:bCs/>
          <w:color w:val="441170"/>
        </w:rPr>
        <w:t>current global</w:t>
      </w:r>
      <w:r>
        <w:rPr>
          <w:rFonts w:cs="Arial"/>
          <w:bCs/>
          <w:color w:val="441170"/>
        </w:rPr>
        <w:t xml:space="preserve"> s</w:t>
      </w:r>
      <w:r w:rsidR="003D1AE6">
        <w:rPr>
          <w:rFonts w:cs="Arial"/>
          <w:bCs/>
          <w:color w:val="441170"/>
        </w:rPr>
        <w:t xml:space="preserve">kill </w:t>
      </w:r>
      <w:r>
        <w:rPr>
          <w:rFonts w:cs="Arial"/>
          <w:bCs/>
          <w:color w:val="441170"/>
        </w:rPr>
        <w:t>s</w:t>
      </w:r>
      <w:r w:rsidR="003D1AE6">
        <w:rPr>
          <w:rFonts w:cs="Arial"/>
          <w:bCs/>
          <w:color w:val="441170"/>
        </w:rPr>
        <w:t>hortages</w:t>
      </w:r>
      <w:r>
        <w:rPr>
          <w:rFonts w:cs="Arial"/>
          <w:bCs/>
          <w:color w:val="441170"/>
        </w:rPr>
        <w:t xml:space="preserve"> a</w:t>
      </w:r>
      <w:r w:rsidR="00036292">
        <w:rPr>
          <w:rFonts w:cs="Arial"/>
          <w:bCs/>
          <w:color w:val="441170"/>
        </w:rPr>
        <w:t xml:space="preserve">lign with </w:t>
      </w:r>
      <w:r w:rsidR="00D415CF">
        <w:rPr>
          <w:rFonts w:cs="Arial"/>
          <w:bCs/>
          <w:color w:val="441170"/>
        </w:rPr>
        <w:t>Australia</w:t>
      </w:r>
      <w:r w:rsidR="00B622D1">
        <w:rPr>
          <w:rFonts w:cs="Arial"/>
          <w:bCs/>
          <w:color w:val="441170"/>
        </w:rPr>
        <w:t>n findings</w:t>
      </w:r>
      <w:bookmarkEnd w:id="26"/>
    </w:p>
    <w:p w14:paraId="13869DCA" w14:textId="77777777" w:rsidR="003D1AE6" w:rsidRDefault="003D1AE6" w:rsidP="003D1AE6">
      <w:pPr>
        <w:autoSpaceDE w:val="0"/>
        <w:autoSpaceDN w:val="0"/>
        <w:adjustRightInd w:val="0"/>
        <w:spacing w:before="170" w:after="120" w:line="276" w:lineRule="auto"/>
        <w:rPr>
          <w:rFonts w:cs="Arial"/>
        </w:rPr>
      </w:pPr>
      <w:r>
        <w:rPr>
          <w:rFonts w:cs="Arial"/>
        </w:rPr>
        <w:t>While methodologies for assessing skill shortages vary between countries, recently released international findings align with Jobs and Skills Australia analysis, and the 2022 Skills Priority List (SPL) findings. For example, a 2022 report from Eurofund</w:t>
      </w:r>
      <w:r>
        <w:rPr>
          <w:rStyle w:val="FootnoteReference"/>
          <w:rFonts w:cs="Arial"/>
        </w:rPr>
        <w:footnoteReference w:id="15"/>
      </w:r>
      <w:r>
        <w:rPr>
          <w:rFonts w:cs="Arial"/>
        </w:rPr>
        <w:t xml:space="preserve"> found that:</w:t>
      </w:r>
    </w:p>
    <w:p w14:paraId="2E6007EE" w14:textId="77777777" w:rsidR="003D1AE6" w:rsidRDefault="003D1AE6" w:rsidP="00CB0BE2">
      <w:pPr>
        <w:pStyle w:val="ListParagraph"/>
        <w:numPr>
          <w:ilvl w:val="0"/>
          <w:numId w:val="23"/>
        </w:numPr>
        <w:spacing w:after="120"/>
        <w:ind w:left="357" w:hanging="357"/>
        <w:contextualSpacing w:val="0"/>
        <w:rPr>
          <w:rFonts w:cs="Arial"/>
        </w:rPr>
      </w:pPr>
      <w:r>
        <w:rPr>
          <w:rFonts w:cs="Arial"/>
        </w:rPr>
        <w:t>As European Union (EU) economies begin to recover from the pandemic, labour shortages are becoming increasingly evident despite the impact of the war in Ukraine on energy and commodity prices.</w:t>
      </w:r>
    </w:p>
    <w:p w14:paraId="351CFC1F" w14:textId="77777777" w:rsidR="003D1AE6" w:rsidRDefault="003D1AE6" w:rsidP="00CB0BE2">
      <w:pPr>
        <w:pStyle w:val="ListParagraph"/>
        <w:numPr>
          <w:ilvl w:val="0"/>
          <w:numId w:val="23"/>
        </w:numPr>
        <w:spacing w:after="120"/>
        <w:ind w:left="357" w:hanging="357"/>
        <w:contextualSpacing w:val="0"/>
        <w:rPr>
          <w:rFonts w:cs="Arial"/>
        </w:rPr>
      </w:pPr>
      <w:r>
        <w:rPr>
          <w:rFonts w:cs="Arial"/>
        </w:rPr>
        <w:t>Labour shortages in the EU are particularly prevalent in sectors with challenging working conditions, such as health and long-term care. Low levels of investment coupled with the impact of the pandemic and a gender segregated labour market are contributing to the shortages. The EU’s ageing population and workforce is set to exacerbate these shortages in the coming years.</w:t>
      </w:r>
    </w:p>
    <w:p w14:paraId="3400EFC1" w14:textId="77777777" w:rsidR="003D1AE6" w:rsidRDefault="003D1AE6" w:rsidP="00CB0BE2">
      <w:pPr>
        <w:pStyle w:val="ListParagraph"/>
        <w:numPr>
          <w:ilvl w:val="0"/>
          <w:numId w:val="23"/>
        </w:numPr>
        <w:spacing w:after="120"/>
        <w:ind w:left="357" w:hanging="357"/>
        <w:contextualSpacing w:val="0"/>
        <w:rPr>
          <w:rFonts w:cs="Arial"/>
        </w:rPr>
      </w:pPr>
      <w:r>
        <w:rPr>
          <w:rFonts w:cs="Arial"/>
        </w:rPr>
        <w:t>EU economies continue to experience shortages in the information and communications technology (ICT) sector and in the context of the green and digital transformation where skills mismatch is the biggest driver of shortages.</w:t>
      </w:r>
    </w:p>
    <w:p w14:paraId="22FA8553" w14:textId="77777777" w:rsidR="003D1AE6" w:rsidRDefault="003D1AE6" w:rsidP="003D1AE6">
      <w:pPr>
        <w:spacing w:after="120"/>
        <w:rPr>
          <w:rFonts w:cs="Arial"/>
        </w:rPr>
      </w:pPr>
      <w:r>
        <w:rPr>
          <w:rFonts w:cs="Arial"/>
        </w:rPr>
        <w:t>Analysis by the World Economic Forum (WEF)</w:t>
      </w:r>
      <w:r>
        <w:rPr>
          <w:rStyle w:val="FootnoteReference"/>
          <w:rFonts w:cs="Arial"/>
        </w:rPr>
        <w:footnoteReference w:id="16"/>
      </w:r>
      <w:r>
        <w:rPr>
          <w:rFonts w:cs="Arial"/>
        </w:rPr>
        <w:t xml:space="preserve"> also found that the scarcity of skilled workers has been exacerbated by the COVID-19 pandemic and an ageing population. The WEF noted that in February 2023, job openings in the US exceeded 9.9 million, yet there were 5.8 million unemployed Americans. While there are many reasons for this discrepancy, it often comes down to skills—during a period where employers across many industries faced difficulties in filling vacancies, the degree requirement in the US eliminates 64 per cent of working age adults who don’t possess a bachelor’s degree.</w:t>
      </w:r>
    </w:p>
    <w:p w14:paraId="730CA7B0" w14:textId="7DAEB6C4" w:rsidR="002372AA" w:rsidRPr="00BB36CB" w:rsidRDefault="002372AA" w:rsidP="002372AA">
      <w:pPr>
        <w:pStyle w:val="Heading1"/>
        <w:rPr>
          <w:rFonts w:cs="Arial"/>
        </w:rPr>
      </w:pPr>
      <w:bookmarkStart w:id="27" w:name="_Toc134785333"/>
      <w:r>
        <w:rPr>
          <w:rFonts w:cs="Arial"/>
        </w:rPr>
        <w:lastRenderedPageBreak/>
        <w:t xml:space="preserve">Key </w:t>
      </w:r>
      <w:r w:rsidR="00A22F38">
        <w:rPr>
          <w:rFonts w:cs="Arial"/>
        </w:rPr>
        <w:t xml:space="preserve">national </w:t>
      </w:r>
      <w:r>
        <w:rPr>
          <w:rFonts w:cs="Arial"/>
        </w:rPr>
        <w:t>skills</w:t>
      </w:r>
      <w:r w:rsidR="00AC1D37">
        <w:rPr>
          <w:rFonts w:cs="Arial"/>
        </w:rPr>
        <w:t xml:space="preserve"> </w:t>
      </w:r>
      <w:r>
        <w:rPr>
          <w:rFonts w:cs="Arial"/>
        </w:rPr>
        <w:t>needs</w:t>
      </w:r>
      <w:bookmarkEnd w:id="27"/>
    </w:p>
    <w:p w14:paraId="48D76D23" w14:textId="77777777" w:rsidR="00045E2F" w:rsidRDefault="00045E2F" w:rsidP="00045E2F">
      <w:pPr>
        <w:pStyle w:val="Heading3"/>
      </w:pPr>
      <w:bookmarkStart w:id="28" w:name="_Toc134785334"/>
      <w:r>
        <w:t>Categorising skills pressures – preliminary analysis</w:t>
      </w:r>
      <w:bookmarkEnd w:id="28"/>
    </w:p>
    <w:p w14:paraId="6D5CE5DB" w14:textId="1FCA97D1" w:rsidR="007E4B5E" w:rsidRDefault="007A1154" w:rsidP="00051EAD">
      <w:r w:rsidRPr="00264C88">
        <w:t xml:space="preserve">JSA’s </w:t>
      </w:r>
      <w:r w:rsidR="00177723" w:rsidRPr="00264C88">
        <w:t>February 2023 labour market update (reflecting data for the December 2022 quarter) introduced preliminary analysis of classifying skills shortages</w:t>
      </w:r>
      <w:r w:rsidR="009A63DF">
        <w:t>, focused on the top 20 occupations in demand</w:t>
      </w:r>
      <w:r w:rsidR="00264C88" w:rsidRPr="00264C88">
        <w:t>.</w:t>
      </w:r>
      <w:r w:rsidR="00F547C6">
        <w:t xml:space="preserve"> In this labour market update, we have expanded that analysis to</w:t>
      </w:r>
      <w:r w:rsidR="00051EAD">
        <w:t xml:space="preserve"> </w:t>
      </w:r>
      <w:r w:rsidR="00365E11">
        <w:t>k</w:t>
      </w:r>
      <w:r w:rsidR="007E4B5E">
        <w:t xml:space="preserve">ey </w:t>
      </w:r>
      <w:r w:rsidR="007E4B5E" w:rsidRPr="007E4B5E">
        <w:t>Clerical and Administrative Worker</w:t>
      </w:r>
      <w:r w:rsidR="00F70CFF">
        <w:t>,</w:t>
      </w:r>
      <w:r w:rsidR="007E4B5E" w:rsidRPr="007E4B5E">
        <w:t xml:space="preserve"> Sales Worker</w:t>
      </w:r>
      <w:r w:rsidR="00F70CFF">
        <w:t>,</w:t>
      </w:r>
      <w:r w:rsidR="007E4B5E" w:rsidRPr="007E4B5E">
        <w:t xml:space="preserve"> Machinery Operators and Driver</w:t>
      </w:r>
      <w:r w:rsidR="00F70CFF">
        <w:t>,</w:t>
      </w:r>
      <w:r w:rsidR="007E4B5E" w:rsidRPr="007E4B5E">
        <w:t xml:space="preserve"> and Labourer</w:t>
      </w:r>
      <w:r w:rsidR="00F70CFF">
        <w:t xml:space="preserve"> occupations </w:t>
      </w:r>
      <w:r w:rsidR="00365E11">
        <w:t xml:space="preserve">that are </w:t>
      </w:r>
      <w:r w:rsidR="00F70CFF">
        <w:t>currently in national shortage</w:t>
      </w:r>
      <w:r w:rsidR="00BD2DE9">
        <w:t>.</w:t>
      </w:r>
    </w:p>
    <w:p w14:paraId="30556116" w14:textId="02546360" w:rsidR="00045E2F" w:rsidRPr="00264C88" w:rsidRDefault="00264C88" w:rsidP="00045E2F">
      <w:r w:rsidRPr="00264C88">
        <w:t>T</w:t>
      </w:r>
      <w:r w:rsidR="00045E2F" w:rsidRPr="00264C88">
        <w:t>here are many different potential causes of a skills shortage, which in turn may lead to different levels of effectiveness associated with a particular strategy used by employers, or a particular policy response used by government</w:t>
      </w:r>
      <w:r w:rsidR="003938DC">
        <w:t>s</w:t>
      </w:r>
      <w:r w:rsidR="00045E2F" w:rsidRPr="00264C88">
        <w:t>. In 2007, Sue Richardson</w:t>
      </w:r>
      <w:r w:rsidR="00045E2F" w:rsidRPr="00264C88">
        <w:rPr>
          <w:rStyle w:val="FootnoteReference"/>
        </w:rPr>
        <w:footnoteReference w:id="17"/>
      </w:r>
      <w:r w:rsidR="00045E2F" w:rsidRPr="00264C88">
        <w:t xml:space="preserve"> suggested the following scheme for classifying skills shortages</w:t>
      </w:r>
      <w:r w:rsidRPr="00264C88">
        <w:t xml:space="preserve"> (which JSA has adopted for its analysis)</w:t>
      </w:r>
      <w:r w:rsidR="00045E2F" w:rsidRPr="00264C88">
        <w:t>:</w:t>
      </w:r>
    </w:p>
    <w:p w14:paraId="567A56FE" w14:textId="77777777" w:rsidR="00045E2F" w:rsidRPr="00264C88" w:rsidRDefault="00045E2F" w:rsidP="00CB0BE2">
      <w:pPr>
        <w:pStyle w:val="ListParagraph"/>
        <w:numPr>
          <w:ilvl w:val="0"/>
          <w:numId w:val="6"/>
        </w:numPr>
      </w:pPr>
      <w:r w:rsidRPr="00264C88">
        <w:rPr>
          <w:b/>
          <w:bCs/>
        </w:rPr>
        <w:t>Level 1 shortage:</w:t>
      </w:r>
      <w:r w:rsidRPr="00264C88">
        <w:t xml:space="preserve"> There are few people who have the essential technical skills who are not already using them and there is a long training time to develop the skills.</w:t>
      </w:r>
    </w:p>
    <w:p w14:paraId="2E682B7C" w14:textId="77777777" w:rsidR="00045E2F" w:rsidRPr="00264C88" w:rsidRDefault="00045E2F" w:rsidP="00CB0BE2">
      <w:pPr>
        <w:pStyle w:val="ListParagraph"/>
        <w:numPr>
          <w:ilvl w:val="0"/>
          <w:numId w:val="6"/>
        </w:numPr>
      </w:pPr>
      <w:r w:rsidRPr="00264C88">
        <w:rPr>
          <w:b/>
          <w:bCs/>
        </w:rPr>
        <w:t>Level 2 shortage:</w:t>
      </w:r>
      <w:r w:rsidRPr="00264C88">
        <w:t xml:space="preserve"> There are few people who have the essential technical skills who are not already using them but there is a short training time to develop the skills.</w:t>
      </w:r>
    </w:p>
    <w:p w14:paraId="6D590C63" w14:textId="77777777" w:rsidR="00045E2F" w:rsidRPr="00264C88" w:rsidRDefault="00045E2F" w:rsidP="00CB0BE2">
      <w:pPr>
        <w:pStyle w:val="ListParagraph"/>
        <w:numPr>
          <w:ilvl w:val="0"/>
          <w:numId w:val="6"/>
        </w:numPr>
      </w:pPr>
      <w:r w:rsidRPr="00264C88">
        <w:rPr>
          <w:b/>
          <w:bCs/>
        </w:rPr>
        <w:t>Skills mismatch:</w:t>
      </w:r>
      <w:r w:rsidRPr="00264C88">
        <w:t xml:space="preserve"> There are sufficient people who have the essential technical skills who are not already using them, but they are not willing to apply for the vacancies under current conditions.</w:t>
      </w:r>
    </w:p>
    <w:p w14:paraId="0C3D11BA" w14:textId="344BB684" w:rsidR="00045E2F" w:rsidRPr="00264C88" w:rsidRDefault="00892BFC" w:rsidP="00CB0BE2">
      <w:pPr>
        <w:pStyle w:val="ListParagraph"/>
        <w:numPr>
          <w:ilvl w:val="0"/>
          <w:numId w:val="6"/>
        </w:numPr>
      </w:pPr>
      <w:r>
        <w:rPr>
          <w:b/>
          <w:bCs/>
        </w:rPr>
        <w:t>Suitability</w:t>
      </w:r>
      <w:r w:rsidR="00045E2F" w:rsidRPr="00264C88">
        <w:rPr>
          <w:b/>
          <w:bCs/>
        </w:rPr>
        <w:t xml:space="preserve"> gap</w:t>
      </w:r>
      <w:r>
        <w:rPr>
          <w:rStyle w:val="FootnoteReference"/>
          <w:b/>
          <w:bCs/>
        </w:rPr>
        <w:footnoteReference w:id="18"/>
      </w:r>
      <w:r w:rsidR="00045E2F" w:rsidRPr="00264C88">
        <w:rPr>
          <w:b/>
          <w:bCs/>
        </w:rPr>
        <w:t>:</w:t>
      </w:r>
      <w:r w:rsidR="00045E2F" w:rsidRPr="00264C88">
        <w:t xml:space="preserve"> There are sufficient people with the essential technical skills who are not already using them and who are willing to apply for the vacancies, but they lack some qualities that employers consider are important.</w:t>
      </w:r>
    </w:p>
    <w:p w14:paraId="1DDDC571" w14:textId="5E88D7EA" w:rsidR="00045E2F" w:rsidRPr="009A63DF" w:rsidRDefault="00045E2F" w:rsidP="00045E2F">
      <w:r w:rsidRPr="00264C88">
        <w:t xml:space="preserve">We have analysed existing data sources to gain a preliminary and partial view of where current skills </w:t>
      </w:r>
      <w:r w:rsidRPr="009A63DF">
        <w:t xml:space="preserve">shortages may fit within the framework suggested by </w:t>
      </w:r>
      <w:r w:rsidR="003938DC">
        <w:t>Richardson</w:t>
      </w:r>
      <w:r w:rsidRPr="009A63DF">
        <w:t>. In particular:</w:t>
      </w:r>
    </w:p>
    <w:p w14:paraId="5FEC54B8" w14:textId="77777777" w:rsidR="00045E2F" w:rsidRPr="009A63DF" w:rsidRDefault="00045E2F" w:rsidP="00CB0BE2">
      <w:pPr>
        <w:pStyle w:val="ListParagraph"/>
        <w:numPr>
          <w:ilvl w:val="0"/>
          <w:numId w:val="8"/>
        </w:numPr>
      </w:pPr>
      <w:r w:rsidRPr="009A63DF">
        <w:t>analysis of occupation-specific job mobility and employment levels may assist in identifying where ‘Skills mismatch’ is a potential cause of shortages for some occupations; and</w:t>
      </w:r>
    </w:p>
    <w:p w14:paraId="087AFA6D" w14:textId="460474C0" w:rsidR="00045E2F" w:rsidRPr="009A63DF" w:rsidRDefault="00045E2F" w:rsidP="00CB0BE2">
      <w:pPr>
        <w:pStyle w:val="ListParagraph"/>
        <w:numPr>
          <w:ilvl w:val="0"/>
          <w:numId w:val="8"/>
        </w:numPr>
      </w:pPr>
      <w:r w:rsidRPr="009A63DF">
        <w:t>analysis of SERA data may assist in identifying where ‘</w:t>
      </w:r>
      <w:r w:rsidR="00DA78F2">
        <w:t>Suitability</w:t>
      </w:r>
      <w:r w:rsidRPr="009A63DF">
        <w:t xml:space="preserve"> gap’ is a potential cause of shortages for some occupations</w:t>
      </w:r>
    </w:p>
    <w:p w14:paraId="285E1E58" w14:textId="77777777" w:rsidR="00CF617A" w:rsidRDefault="00045E2F" w:rsidP="00045E2F">
      <w:pPr>
        <w:rPr>
          <w:rFonts w:cs="Arial"/>
        </w:rPr>
      </w:pPr>
      <w:r w:rsidRPr="009A63DF">
        <w:rPr>
          <w:rFonts w:cs="Arial"/>
        </w:rPr>
        <w:t xml:space="preserve">The most recent ABS data on job mobility shows that 1.3 million people changed jobs during the year ending February 2022, equating to a job mobility rate of 9.5% of all employed people. This was the highest rate of job mobility since 2012 in the annual series. </w:t>
      </w:r>
    </w:p>
    <w:p w14:paraId="0516BA05" w14:textId="3DBED2E3" w:rsidR="00CD6E89" w:rsidRDefault="00045E2F" w:rsidP="00045E2F">
      <w:pPr>
        <w:rPr>
          <w:rFonts w:cs="Arial"/>
        </w:rPr>
      </w:pPr>
      <w:r w:rsidRPr="00CD6E89">
        <w:rPr>
          <w:rFonts w:cs="Arial"/>
        </w:rPr>
        <w:t>The same ABS data release also provides job mobility at an occupational level (3-digit ANZSCO level is the most detailed data available), to assess where occupations have job mobility that is clearly above (or clearly below) the economy-wide average. Occupations with higher job mobility will have lower rates of retention, and vice versa.</w:t>
      </w:r>
    </w:p>
    <w:p w14:paraId="3F5F7F10" w14:textId="758E1553" w:rsidR="00045E2F" w:rsidRPr="00DC321B" w:rsidRDefault="00141E7A" w:rsidP="00045E2F">
      <w:pPr>
        <w:rPr>
          <w:rFonts w:cs="Arial"/>
        </w:rPr>
      </w:pPr>
      <w:r w:rsidRPr="00B53807">
        <w:rPr>
          <w:rFonts w:cs="Arial"/>
        </w:rPr>
        <w:t xml:space="preserve">This ABS data highlights that many (though not all) </w:t>
      </w:r>
      <w:r w:rsidR="005272A0" w:rsidRPr="00B53807">
        <w:rPr>
          <w:rFonts w:cs="Arial"/>
        </w:rPr>
        <w:t>occupations in ANZSCO Major Groups 5 to 8 (</w:t>
      </w:r>
      <w:r w:rsidR="00B53807" w:rsidRPr="00B53807">
        <w:rPr>
          <w:rFonts w:cs="Arial"/>
        </w:rPr>
        <w:t>Clerical and Administrative Workers</w:t>
      </w:r>
      <w:r w:rsidR="005272A0" w:rsidRPr="00B53807">
        <w:rPr>
          <w:rFonts w:cs="Arial"/>
        </w:rPr>
        <w:t xml:space="preserve">, </w:t>
      </w:r>
      <w:r w:rsidR="00037B1D" w:rsidRPr="00B53807">
        <w:rPr>
          <w:rFonts w:cs="Arial"/>
        </w:rPr>
        <w:t>Sales Workers;</w:t>
      </w:r>
      <w:r w:rsidR="005272A0" w:rsidRPr="00B53807">
        <w:rPr>
          <w:rFonts w:cs="Arial"/>
        </w:rPr>
        <w:t xml:space="preserve"> Machinery Operators and Drivers</w:t>
      </w:r>
      <w:r w:rsidR="00037B1D" w:rsidRPr="00B53807">
        <w:rPr>
          <w:rFonts w:cs="Arial"/>
        </w:rPr>
        <w:t>;</w:t>
      </w:r>
      <w:r w:rsidR="005272A0" w:rsidRPr="00B53807">
        <w:rPr>
          <w:rFonts w:cs="Arial"/>
        </w:rPr>
        <w:t xml:space="preserve"> and Labourers respectively) have job mobility </w:t>
      </w:r>
      <w:r w:rsidR="00C77724" w:rsidRPr="00B53807">
        <w:rPr>
          <w:rFonts w:cs="Arial"/>
        </w:rPr>
        <w:t xml:space="preserve">rates that were significantly above the economy-wide figure, indicating challenges with </w:t>
      </w:r>
      <w:r w:rsidR="00C77724" w:rsidRPr="00DC321B">
        <w:rPr>
          <w:rFonts w:cs="Arial"/>
        </w:rPr>
        <w:t xml:space="preserve">retention of existing workers. </w:t>
      </w:r>
      <w:r w:rsidR="0076672A" w:rsidRPr="00DC321B">
        <w:rPr>
          <w:rFonts w:cs="Arial"/>
        </w:rPr>
        <w:t>More detailed analysis of job mobility for specific occupations in ANZSCO Major Groups 5 to 8 that are in national shortage found that:</w:t>
      </w:r>
    </w:p>
    <w:p w14:paraId="4D9A6174" w14:textId="68CB5F1F" w:rsidR="00045E2F" w:rsidRPr="00DC321B" w:rsidRDefault="007C7AEA" w:rsidP="00CB0BE2">
      <w:pPr>
        <w:pStyle w:val="ListParagraph"/>
        <w:numPr>
          <w:ilvl w:val="0"/>
          <w:numId w:val="12"/>
        </w:numPr>
        <w:rPr>
          <w:rFonts w:cs="Arial"/>
        </w:rPr>
      </w:pPr>
      <w:r w:rsidRPr="00DC321B">
        <w:rPr>
          <w:rFonts w:cs="Arial"/>
        </w:rPr>
        <w:t>10</w:t>
      </w:r>
      <w:r w:rsidR="00045E2F" w:rsidRPr="00DC321B">
        <w:rPr>
          <w:rFonts w:cs="Arial"/>
        </w:rPr>
        <w:t xml:space="preserve"> occupations had a job mobility rate that was significantly above the economy-wide figure, indicating challenges with retention of existing workers (</w:t>
      </w:r>
      <w:r w:rsidR="006230A8" w:rsidRPr="00DC321B">
        <w:rPr>
          <w:rFonts w:cs="Arial"/>
        </w:rPr>
        <w:t>Contract, Program and Project Administrators</w:t>
      </w:r>
      <w:r w:rsidRPr="00DC321B">
        <w:rPr>
          <w:rFonts w:cs="Arial"/>
        </w:rPr>
        <w:t xml:space="preserve">; </w:t>
      </w:r>
      <w:r w:rsidR="006230A8" w:rsidRPr="00DC321B">
        <w:rPr>
          <w:rFonts w:cs="Arial"/>
        </w:rPr>
        <w:t xml:space="preserve">Insurance Agents; Industrial Spraypainters; Crane, Hoist and Lift Operators; Drillers, Miners and Shot Firers; Agricultural, Forestry and Horticultural Plant Operators; Earthmoving Plant Operators; </w:t>
      </w:r>
      <w:r w:rsidRPr="00DC321B">
        <w:rPr>
          <w:rFonts w:cs="Arial"/>
        </w:rPr>
        <w:t>Insulation and Home Improvement Installers; Structural Steel Construction Workers; and Meat Boners and Slicers, and Slaughterers</w:t>
      </w:r>
      <w:r w:rsidR="00045E2F" w:rsidRPr="00DC321B">
        <w:rPr>
          <w:rFonts w:cs="Arial"/>
        </w:rPr>
        <w:t>);</w:t>
      </w:r>
    </w:p>
    <w:p w14:paraId="36997469" w14:textId="61F2A77A" w:rsidR="00045E2F" w:rsidRPr="00DC321B" w:rsidRDefault="00155189" w:rsidP="00CB0BE2">
      <w:pPr>
        <w:pStyle w:val="ListParagraph"/>
        <w:numPr>
          <w:ilvl w:val="0"/>
          <w:numId w:val="12"/>
        </w:numPr>
        <w:rPr>
          <w:rFonts w:cs="Arial"/>
        </w:rPr>
      </w:pPr>
      <w:r w:rsidRPr="00DC321B">
        <w:rPr>
          <w:rFonts w:cs="Arial"/>
        </w:rPr>
        <w:t xml:space="preserve">two </w:t>
      </w:r>
      <w:r w:rsidR="00045E2F" w:rsidRPr="00DC321B">
        <w:rPr>
          <w:rFonts w:cs="Arial"/>
        </w:rPr>
        <w:t xml:space="preserve">occupations had a job mobility rate that was within 2 percentage points of the economy-wide </w:t>
      </w:r>
      <w:r w:rsidR="00045E2F" w:rsidRPr="003F18D8">
        <w:rPr>
          <w:rFonts w:cs="Arial"/>
        </w:rPr>
        <w:t>figure</w:t>
      </w:r>
      <w:r w:rsidRPr="003F18D8">
        <w:rPr>
          <w:rFonts w:cs="Arial"/>
        </w:rPr>
        <w:t xml:space="preserve"> (Bus and Coach Drivers; and Truck Drivers</w:t>
      </w:r>
      <w:r w:rsidR="007E3EE7" w:rsidRPr="003F18D8">
        <w:rPr>
          <w:rFonts w:cs="Arial"/>
        </w:rPr>
        <w:t>)</w:t>
      </w:r>
      <w:r w:rsidR="00045E2F" w:rsidRPr="003F18D8">
        <w:rPr>
          <w:rFonts w:cs="Arial"/>
        </w:rPr>
        <w:t>; and</w:t>
      </w:r>
    </w:p>
    <w:p w14:paraId="3813AEBF" w14:textId="27101ACD" w:rsidR="00045E2F" w:rsidRPr="00631CDE" w:rsidRDefault="007C7AEA" w:rsidP="00CB0BE2">
      <w:pPr>
        <w:pStyle w:val="ListParagraph"/>
        <w:numPr>
          <w:ilvl w:val="0"/>
          <w:numId w:val="12"/>
        </w:numPr>
        <w:rPr>
          <w:rFonts w:cs="Arial"/>
        </w:rPr>
      </w:pPr>
      <w:r w:rsidRPr="00631CDE">
        <w:rPr>
          <w:rFonts w:cs="Arial"/>
        </w:rPr>
        <w:lastRenderedPageBreak/>
        <w:t>no</w:t>
      </w:r>
      <w:r w:rsidR="00045E2F" w:rsidRPr="00631CDE">
        <w:rPr>
          <w:rFonts w:cs="Arial"/>
        </w:rPr>
        <w:t xml:space="preserve"> occupations had a job mobility rate that was significantly below the economy-wide figure, </w:t>
      </w:r>
      <w:r w:rsidR="00E25835" w:rsidRPr="00631CDE">
        <w:rPr>
          <w:rFonts w:cs="Arial"/>
        </w:rPr>
        <w:t xml:space="preserve">which would have </w:t>
      </w:r>
      <w:r w:rsidR="00045E2F" w:rsidRPr="00631CDE">
        <w:rPr>
          <w:rFonts w:cs="Arial"/>
        </w:rPr>
        <w:t>indicat</w:t>
      </w:r>
      <w:r w:rsidR="00E25835" w:rsidRPr="00631CDE">
        <w:rPr>
          <w:rFonts w:cs="Arial"/>
        </w:rPr>
        <w:t>ed</w:t>
      </w:r>
      <w:r w:rsidR="00045E2F" w:rsidRPr="00631CDE">
        <w:rPr>
          <w:rFonts w:cs="Arial"/>
        </w:rPr>
        <w:t xml:space="preserve"> strong rates of worker retention.</w:t>
      </w:r>
    </w:p>
    <w:p w14:paraId="4FBE6E13" w14:textId="2EC02E2C" w:rsidR="00DB3B1A" w:rsidRPr="00631CDE" w:rsidRDefault="00B63649" w:rsidP="00045E2F">
      <w:pPr>
        <w:rPr>
          <w:rFonts w:cs="Arial"/>
        </w:rPr>
      </w:pPr>
      <w:r w:rsidRPr="00631CDE">
        <w:rPr>
          <w:rFonts w:cs="Arial"/>
        </w:rPr>
        <w:t>For occupations w</w:t>
      </w:r>
      <w:r w:rsidR="004C6898" w:rsidRPr="00631CDE">
        <w:rPr>
          <w:rFonts w:cs="Arial"/>
        </w:rPr>
        <w:t xml:space="preserve">here job mobility is significantly above the economy-wide figure (indicating challenges with retention of existing workers), data from SERA </w:t>
      </w:r>
      <w:r w:rsidRPr="00631CDE">
        <w:rPr>
          <w:rFonts w:cs="Arial"/>
        </w:rPr>
        <w:t>on the</w:t>
      </w:r>
      <w:r w:rsidRPr="00631CDE">
        <w:rPr>
          <w:rFonts w:cs="Arial"/>
          <w:i/>
          <w:iCs/>
        </w:rPr>
        <w:t xml:space="preserve"> </w:t>
      </w:r>
      <w:r w:rsidR="004C6898" w:rsidRPr="00631CDE">
        <w:rPr>
          <w:rFonts w:cs="Arial"/>
          <w:i/>
          <w:iCs/>
        </w:rPr>
        <w:t>total</w:t>
      </w:r>
      <w:r w:rsidR="004C6898" w:rsidRPr="00631CDE">
        <w:rPr>
          <w:rFonts w:cs="Arial"/>
        </w:rPr>
        <w:t xml:space="preserve"> </w:t>
      </w:r>
      <w:r w:rsidRPr="00631CDE">
        <w:rPr>
          <w:rFonts w:cs="Arial"/>
        </w:rPr>
        <w:t xml:space="preserve">number of applicants per vacancy </w:t>
      </w:r>
      <w:r w:rsidR="004C6898" w:rsidRPr="00631CDE">
        <w:rPr>
          <w:rFonts w:cs="Arial"/>
        </w:rPr>
        <w:t>can be used as a</w:t>
      </w:r>
      <w:r w:rsidR="007B2DB3" w:rsidRPr="00631CDE">
        <w:rPr>
          <w:rFonts w:cs="Arial"/>
        </w:rPr>
        <w:t>n additional</w:t>
      </w:r>
      <w:r w:rsidR="004C6898" w:rsidRPr="00631CDE">
        <w:rPr>
          <w:rFonts w:cs="Arial"/>
        </w:rPr>
        <w:t xml:space="preserve"> indicator of the </w:t>
      </w:r>
      <w:r w:rsidR="00556435" w:rsidRPr="00631CDE">
        <w:rPr>
          <w:rFonts w:cs="Arial"/>
        </w:rPr>
        <w:t xml:space="preserve">relative </w:t>
      </w:r>
      <w:r w:rsidR="004C6898" w:rsidRPr="00631CDE">
        <w:rPr>
          <w:rFonts w:cs="Arial"/>
        </w:rPr>
        <w:t>attractiveness of an occupation</w:t>
      </w:r>
      <w:r w:rsidRPr="00631CDE">
        <w:rPr>
          <w:rFonts w:cs="Arial"/>
        </w:rPr>
        <w:t xml:space="preserve">. </w:t>
      </w:r>
    </w:p>
    <w:p w14:paraId="3A250028" w14:textId="0AD679F5" w:rsidR="00B63649" w:rsidRPr="00631CDE" w:rsidRDefault="00C57F4B" w:rsidP="00045E2F">
      <w:pPr>
        <w:rPr>
          <w:rFonts w:cs="Arial"/>
        </w:rPr>
      </w:pPr>
      <w:r w:rsidRPr="00631CDE">
        <w:rPr>
          <w:rFonts w:cs="Arial"/>
        </w:rPr>
        <w:t xml:space="preserve">As noted above, 10 occupations </w:t>
      </w:r>
      <w:r w:rsidR="004A6542" w:rsidRPr="00631CDE">
        <w:rPr>
          <w:rFonts w:cs="Arial"/>
        </w:rPr>
        <w:t xml:space="preserve">in ANZSCO Major Groups 5 to 8 </w:t>
      </w:r>
      <w:r w:rsidR="00C77E14" w:rsidRPr="00631CDE">
        <w:rPr>
          <w:rFonts w:cs="Arial"/>
        </w:rPr>
        <w:t xml:space="preserve">demonstrated </w:t>
      </w:r>
      <w:r w:rsidR="00F000F2" w:rsidRPr="00631CDE">
        <w:rPr>
          <w:rFonts w:cs="Arial"/>
        </w:rPr>
        <w:t>challenges with retention of existing workers</w:t>
      </w:r>
      <w:r w:rsidR="00EC5572" w:rsidRPr="00631CDE">
        <w:rPr>
          <w:rFonts w:cs="Arial"/>
        </w:rPr>
        <w:t xml:space="preserve">. </w:t>
      </w:r>
      <w:r w:rsidR="00B3411B" w:rsidRPr="00631CDE">
        <w:rPr>
          <w:rFonts w:cs="Arial"/>
        </w:rPr>
        <w:t>JSA’s February 2023 Labour Market Report also identified Child Carers and Aged and Disabled Carers</w:t>
      </w:r>
      <w:r w:rsidR="007B2DB3" w:rsidRPr="00631CDE">
        <w:rPr>
          <w:rFonts w:cs="Arial"/>
        </w:rPr>
        <w:t xml:space="preserve"> </w:t>
      </w:r>
      <w:r w:rsidR="000B283B" w:rsidRPr="00631CDE">
        <w:rPr>
          <w:rFonts w:cs="Arial"/>
        </w:rPr>
        <w:t xml:space="preserve">as </w:t>
      </w:r>
      <w:r w:rsidR="00F000F2" w:rsidRPr="00631CDE">
        <w:rPr>
          <w:rFonts w:cs="Arial"/>
        </w:rPr>
        <w:t>meet</w:t>
      </w:r>
      <w:r w:rsidR="000B283B" w:rsidRPr="00631CDE">
        <w:rPr>
          <w:rFonts w:cs="Arial"/>
        </w:rPr>
        <w:t>ing</w:t>
      </w:r>
      <w:r w:rsidR="00F000F2" w:rsidRPr="00631CDE">
        <w:rPr>
          <w:rFonts w:cs="Arial"/>
        </w:rPr>
        <w:t xml:space="preserve"> these criteria</w:t>
      </w:r>
      <w:r w:rsidR="007B2DB3" w:rsidRPr="00631CDE">
        <w:rPr>
          <w:rFonts w:cs="Arial"/>
        </w:rPr>
        <w:t>.</w:t>
      </w:r>
      <w:r w:rsidR="00B3411B" w:rsidRPr="00631CDE">
        <w:rPr>
          <w:rFonts w:cs="Arial"/>
        </w:rPr>
        <w:t xml:space="preserve"> </w:t>
      </w:r>
      <w:r w:rsidR="0024416E" w:rsidRPr="00631CDE">
        <w:rPr>
          <w:rFonts w:cs="Arial"/>
        </w:rPr>
        <w:t xml:space="preserve">Analysing SERA data on the total number of applicants for these </w:t>
      </w:r>
      <w:r w:rsidR="00AD0F11" w:rsidRPr="00631CDE">
        <w:rPr>
          <w:rFonts w:cs="Arial"/>
        </w:rPr>
        <w:t xml:space="preserve">12 </w:t>
      </w:r>
      <w:r w:rsidR="0024416E" w:rsidRPr="00631CDE">
        <w:rPr>
          <w:rFonts w:cs="Arial"/>
        </w:rPr>
        <w:t>occupations shows that</w:t>
      </w:r>
      <w:r w:rsidR="00AD0F11" w:rsidRPr="00631CDE">
        <w:rPr>
          <w:rFonts w:cs="Arial"/>
        </w:rPr>
        <w:t>:</w:t>
      </w:r>
    </w:p>
    <w:p w14:paraId="4BB5A233" w14:textId="05285DD3" w:rsidR="0024416E" w:rsidRPr="00631CDE" w:rsidRDefault="001B09CF" w:rsidP="0024416E">
      <w:pPr>
        <w:pStyle w:val="ListParagraph"/>
        <w:numPr>
          <w:ilvl w:val="0"/>
          <w:numId w:val="12"/>
        </w:numPr>
        <w:rPr>
          <w:rFonts w:cs="Arial"/>
        </w:rPr>
      </w:pPr>
      <w:r w:rsidRPr="00631CDE">
        <w:rPr>
          <w:rFonts w:cs="Arial"/>
        </w:rPr>
        <w:t>six</w:t>
      </w:r>
      <w:r w:rsidR="0024416E" w:rsidRPr="00631CDE">
        <w:rPr>
          <w:rFonts w:cs="Arial"/>
        </w:rPr>
        <w:t xml:space="preserve"> occupations </w:t>
      </w:r>
      <w:r w:rsidRPr="00631CDE">
        <w:rPr>
          <w:rFonts w:cs="Arial"/>
        </w:rPr>
        <w:t xml:space="preserve">had a total applicants-per-vacancy figure that was significantly below the economy-wide figure, </w:t>
      </w:r>
      <w:r w:rsidR="004310E0" w:rsidRPr="00631CDE">
        <w:rPr>
          <w:rFonts w:cs="Arial"/>
        </w:rPr>
        <w:t xml:space="preserve">indicating below-average levels of attractiveness </w:t>
      </w:r>
      <w:r w:rsidR="0024416E" w:rsidRPr="00631CDE">
        <w:rPr>
          <w:rFonts w:cs="Arial"/>
        </w:rPr>
        <w:t>(</w:t>
      </w:r>
      <w:r w:rsidR="00CC6790" w:rsidRPr="00631CDE">
        <w:rPr>
          <w:rFonts w:cs="Arial"/>
        </w:rPr>
        <w:t xml:space="preserve">Child Carers; Aged and Disabled Carers; </w:t>
      </w:r>
      <w:r w:rsidR="0024416E" w:rsidRPr="00631CDE">
        <w:rPr>
          <w:rFonts w:cs="Arial"/>
        </w:rPr>
        <w:t xml:space="preserve">Drillers, Miners and Shot Firers; Earthmoving Plant Operators; Insulation and Home Improvement Installers; </w:t>
      </w:r>
      <w:r w:rsidR="00A94BA9" w:rsidRPr="00631CDE">
        <w:rPr>
          <w:rFonts w:cs="Arial"/>
        </w:rPr>
        <w:t xml:space="preserve">and </w:t>
      </w:r>
      <w:r w:rsidR="0024416E" w:rsidRPr="00631CDE">
        <w:rPr>
          <w:rFonts w:cs="Arial"/>
        </w:rPr>
        <w:t>Structural Steel Construction Workers);</w:t>
      </w:r>
    </w:p>
    <w:p w14:paraId="121C4CC1" w14:textId="373C0D77" w:rsidR="0024416E" w:rsidRPr="00631CDE" w:rsidRDefault="00682D33" w:rsidP="0024416E">
      <w:pPr>
        <w:pStyle w:val="ListParagraph"/>
        <w:numPr>
          <w:ilvl w:val="0"/>
          <w:numId w:val="12"/>
        </w:numPr>
        <w:rPr>
          <w:rFonts w:cs="Arial"/>
        </w:rPr>
      </w:pPr>
      <w:r w:rsidRPr="00631CDE">
        <w:rPr>
          <w:rFonts w:cs="Arial"/>
        </w:rPr>
        <w:t>one</w:t>
      </w:r>
      <w:r w:rsidR="0024416E" w:rsidRPr="00631CDE">
        <w:rPr>
          <w:rFonts w:cs="Arial"/>
        </w:rPr>
        <w:t xml:space="preserve"> occupation </w:t>
      </w:r>
      <w:r w:rsidRPr="00631CDE">
        <w:rPr>
          <w:rFonts w:cs="Arial"/>
        </w:rPr>
        <w:t xml:space="preserve">had a total applicants-per-vacancy figure that was broadly </w:t>
      </w:r>
      <w:r w:rsidR="001D5309" w:rsidRPr="00631CDE">
        <w:rPr>
          <w:rFonts w:cs="Arial"/>
        </w:rPr>
        <w:t>comparable</w:t>
      </w:r>
      <w:r w:rsidRPr="00631CDE">
        <w:rPr>
          <w:rFonts w:cs="Arial"/>
        </w:rPr>
        <w:t xml:space="preserve"> with the economy-wide figure </w:t>
      </w:r>
      <w:r w:rsidR="0024416E" w:rsidRPr="00631CDE">
        <w:rPr>
          <w:rFonts w:cs="Arial"/>
        </w:rPr>
        <w:t>(</w:t>
      </w:r>
      <w:r w:rsidRPr="00631CDE">
        <w:rPr>
          <w:rFonts w:cs="Arial"/>
        </w:rPr>
        <w:t>Insurance Agents</w:t>
      </w:r>
      <w:r w:rsidR="0024416E" w:rsidRPr="00631CDE">
        <w:rPr>
          <w:rFonts w:cs="Arial"/>
        </w:rPr>
        <w:t xml:space="preserve">); </w:t>
      </w:r>
    </w:p>
    <w:p w14:paraId="31FFC97E" w14:textId="323730BA" w:rsidR="00B63649" w:rsidRPr="00631CDE" w:rsidRDefault="006940F2" w:rsidP="00045E2F">
      <w:pPr>
        <w:pStyle w:val="ListParagraph"/>
        <w:numPr>
          <w:ilvl w:val="0"/>
          <w:numId w:val="12"/>
        </w:numPr>
        <w:rPr>
          <w:rFonts w:cs="Arial"/>
        </w:rPr>
      </w:pPr>
      <w:r w:rsidRPr="00631CDE">
        <w:rPr>
          <w:rFonts w:cs="Arial"/>
        </w:rPr>
        <w:t>one</w:t>
      </w:r>
      <w:r w:rsidR="0024416E" w:rsidRPr="00631CDE">
        <w:rPr>
          <w:rFonts w:cs="Arial"/>
        </w:rPr>
        <w:t xml:space="preserve"> occupation had a </w:t>
      </w:r>
      <w:r w:rsidR="00003EA3" w:rsidRPr="00631CDE">
        <w:rPr>
          <w:rFonts w:cs="Arial"/>
        </w:rPr>
        <w:t>total applicants-per-vacancy figure</w:t>
      </w:r>
      <w:r w:rsidR="0024416E" w:rsidRPr="00631CDE">
        <w:rPr>
          <w:rFonts w:cs="Arial"/>
        </w:rPr>
        <w:t xml:space="preserve"> that was significantly </w:t>
      </w:r>
      <w:r w:rsidR="00003EA3" w:rsidRPr="00631CDE">
        <w:rPr>
          <w:rFonts w:cs="Arial"/>
        </w:rPr>
        <w:t>ab</w:t>
      </w:r>
      <w:r w:rsidR="00005BFE" w:rsidRPr="00631CDE">
        <w:rPr>
          <w:rFonts w:cs="Arial"/>
        </w:rPr>
        <w:t>o</w:t>
      </w:r>
      <w:r w:rsidR="00003EA3" w:rsidRPr="00631CDE">
        <w:rPr>
          <w:rFonts w:cs="Arial"/>
        </w:rPr>
        <w:t xml:space="preserve">ve </w:t>
      </w:r>
      <w:r w:rsidR="0024416E" w:rsidRPr="00631CDE">
        <w:rPr>
          <w:rFonts w:cs="Arial"/>
        </w:rPr>
        <w:t xml:space="preserve">the economy-wide figure </w:t>
      </w:r>
      <w:r w:rsidR="0006706E" w:rsidRPr="00631CDE">
        <w:rPr>
          <w:rFonts w:cs="Arial"/>
        </w:rPr>
        <w:t>(Contract, Program and Project Administrators)</w:t>
      </w:r>
      <w:r w:rsidRPr="00631CDE">
        <w:rPr>
          <w:rFonts w:cs="Arial"/>
        </w:rPr>
        <w:t>; and</w:t>
      </w:r>
    </w:p>
    <w:p w14:paraId="5C0D5233" w14:textId="2F2DDCCE" w:rsidR="0024416E" w:rsidRPr="00631CDE" w:rsidRDefault="006940F2" w:rsidP="000870CB">
      <w:pPr>
        <w:pStyle w:val="ListParagraph"/>
        <w:numPr>
          <w:ilvl w:val="0"/>
          <w:numId w:val="12"/>
        </w:numPr>
        <w:rPr>
          <w:rFonts w:cs="Arial"/>
        </w:rPr>
      </w:pPr>
      <w:r w:rsidRPr="00631CDE">
        <w:rPr>
          <w:rFonts w:cs="Arial"/>
        </w:rPr>
        <w:t>f</w:t>
      </w:r>
      <w:r w:rsidR="0024416E" w:rsidRPr="00631CDE">
        <w:rPr>
          <w:rFonts w:cs="Arial"/>
        </w:rPr>
        <w:t xml:space="preserve">our occupations </w:t>
      </w:r>
      <w:r w:rsidR="0072100F" w:rsidRPr="00631CDE">
        <w:rPr>
          <w:rFonts w:cs="Arial"/>
        </w:rPr>
        <w:t>had either no SERA data</w:t>
      </w:r>
      <w:r w:rsidR="000302E1" w:rsidRPr="00631CDE">
        <w:rPr>
          <w:rFonts w:cs="Arial"/>
        </w:rPr>
        <w:t>,</w:t>
      </w:r>
      <w:r w:rsidR="0072100F" w:rsidRPr="00631CDE">
        <w:rPr>
          <w:rFonts w:cs="Arial"/>
        </w:rPr>
        <w:t xml:space="preserve"> or insufficient SERA data to make a robust assessment (</w:t>
      </w:r>
      <w:r w:rsidRPr="00631CDE">
        <w:rPr>
          <w:rFonts w:cs="Arial"/>
        </w:rPr>
        <w:t>Industrial Spraypainters; Crane, Hoist and Lift Operators; Agricultural, Forestry and Horticultural Plant Operators; Meat Boners and Slicers, and Slaughterers).</w:t>
      </w:r>
    </w:p>
    <w:p w14:paraId="66239D9E" w14:textId="3FED5CA0" w:rsidR="00045E2F" w:rsidRPr="00CF617A" w:rsidRDefault="00790E61" w:rsidP="00045E2F">
      <w:pPr>
        <w:rPr>
          <w:rFonts w:cs="Arial"/>
        </w:rPr>
      </w:pPr>
      <w:r w:rsidRPr="00631CDE">
        <w:rPr>
          <w:rFonts w:cs="Arial"/>
        </w:rPr>
        <w:t xml:space="preserve">For occupations where </w:t>
      </w:r>
      <w:r w:rsidR="00240A40" w:rsidRPr="00631CDE">
        <w:rPr>
          <w:rFonts w:cs="Arial"/>
        </w:rPr>
        <w:t>relevant</w:t>
      </w:r>
      <w:r w:rsidR="008B2B86" w:rsidRPr="00631CDE">
        <w:rPr>
          <w:rFonts w:cs="Arial"/>
        </w:rPr>
        <w:t xml:space="preserve"> available</w:t>
      </w:r>
      <w:r w:rsidR="00240A40" w:rsidRPr="00631CDE">
        <w:rPr>
          <w:rFonts w:cs="Arial"/>
        </w:rPr>
        <w:t xml:space="preserve"> data does not point to </w:t>
      </w:r>
      <w:r w:rsidR="00DB5BE4" w:rsidRPr="00631CDE">
        <w:rPr>
          <w:rFonts w:cs="Arial"/>
        </w:rPr>
        <w:t xml:space="preserve">retention of workers </w:t>
      </w:r>
      <w:r w:rsidR="00240A40" w:rsidRPr="00631CDE">
        <w:rPr>
          <w:rFonts w:cs="Arial"/>
        </w:rPr>
        <w:t xml:space="preserve">being a </w:t>
      </w:r>
      <w:r w:rsidR="00237083" w:rsidRPr="00631CDE">
        <w:rPr>
          <w:rFonts w:cs="Arial"/>
        </w:rPr>
        <w:t>challenge, d</w:t>
      </w:r>
      <w:r w:rsidR="00045E2F" w:rsidRPr="00631CDE">
        <w:rPr>
          <w:rFonts w:cs="Arial"/>
        </w:rPr>
        <w:t xml:space="preserve">ata from SERA on the number of </w:t>
      </w:r>
      <w:r w:rsidR="00045E2F" w:rsidRPr="00631CDE">
        <w:rPr>
          <w:rFonts w:cs="Arial"/>
          <w:i/>
          <w:iCs/>
        </w:rPr>
        <w:t>qualified</w:t>
      </w:r>
      <w:r w:rsidR="00045E2F" w:rsidRPr="00DC321B">
        <w:rPr>
          <w:rFonts w:cs="Arial"/>
        </w:rPr>
        <w:t xml:space="preserve"> applicants per vacancy and the number of </w:t>
      </w:r>
      <w:r w:rsidR="00045E2F" w:rsidRPr="00DC321B">
        <w:rPr>
          <w:rFonts w:cs="Arial"/>
          <w:i/>
          <w:iCs/>
        </w:rPr>
        <w:t>suitable</w:t>
      </w:r>
      <w:r w:rsidR="00045E2F" w:rsidRPr="00DC321B">
        <w:rPr>
          <w:rFonts w:cs="Arial"/>
        </w:rPr>
        <w:t xml:space="preserve"> applicants per vacancy can then be used to </w:t>
      </w:r>
      <w:r w:rsidR="00045E2F" w:rsidRPr="00CF617A">
        <w:rPr>
          <w:rFonts w:cs="Arial"/>
        </w:rPr>
        <w:t xml:space="preserve">assess the likelihood that there is some level of mismatch in each occupation. </w:t>
      </w:r>
    </w:p>
    <w:p w14:paraId="7F629421" w14:textId="1D987099" w:rsidR="00045E2F" w:rsidRDefault="00045E2F" w:rsidP="00045E2F">
      <w:pPr>
        <w:rPr>
          <w:rFonts w:cs="Arial"/>
        </w:rPr>
      </w:pPr>
      <w:r w:rsidRPr="00CF617A">
        <w:rPr>
          <w:rFonts w:cs="Arial"/>
        </w:rPr>
        <w:t>Labour markets for occupations often differ - employers across different occupations generally receive different numbers of applicants, have different mandatory qualification and experience requirements, and therefore find different proportions of applicants to be suitable.</w:t>
      </w:r>
    </w:p>
    <w:p w14:paraId="7C2465BC" w14:textId="30E5C10B" w:rsidR="0083656F" w:rsidRDefault="0083656F" w:rsidP="00045E2F">
      <w:pPr>
        <w:rPr>
          <w:rFonts w:cs="Arial"/>
        </w:rPr>
      </w:pPr>
      <w:r>
        <w:rPr>
          <w:rFonts w:cs="Arial"/>
        </w:rPr>
        <w:t xml:space="preserve">Occupations noted above as having an above-average job mobility rate also exhibited below-average </w:t>
      </w:r>
      <w:r w:rsidR="00982B0E">
        <w:rPr>
          <w:rFonts w:cs="Arial"/>
        </w:rPr>
        <w:t xml:space="preserve">levels of total applicants per vacancy (where relevant SERA data was available). </w:t>
      </w:r>
    </w:p>
    <w:p w14:paraId="792B9F75" w14:textId="685EAEFF" w:rsidR="00790078" w:rsidRDefault="00790078" w:rsidP="00045E2F">
      <w:pPr>
        <w:rPr>
          <w:rFonts w:cs="Arial"/>
        </w:rPr>
      </w:pPr>
      <w:r>
        <w:rPr>
          <w:rFonts w:cs="Arial"/>
        </w:rPr>
        <w:t>For the two occupations where</w:t>
      </w:r>
      <w:r w:rsidRPr="00DC321B">
        <w:rPr>
          <w:rFonts w:cs="Arial"/>
        </w:rPr>
        <w:t xml:space="preserve"> job mobility rate</w:t>
      </w:r>
      <w:r>
        <w:rPr>
          <w:rFonts w:cs="Arial"/>
        </w:rPr>
        <w:t>s were</w:t>
      </w:r>
      <w:r w:rsidRPr="00DC321B">
        <w:rPr>
          <w:rFonts w:cs="Arial"/>
        </w:rPr>
        <w:t xml:space="preserve"> within 2 percentage points of the economy-wide </w:t>
      </w:r>
      <w:r w:rsidRPr="003F18D8">
        <w:rPr>
          <w:rFonts w:cs="Arial"/>
        </w:rPr>
        <w:t>figure</w:t>
      </w:r>
      <w:r w:rsidR="00C15328">
        <w:rPr>
          <w:rFonts w:cs="Arial"/>
        </w:rPr>
        <w:t>, SERA data highlights that:</w:t>
      </w:r>
    </w:p>
    <w:p w14:paraId="136C577D" w14:textId="6D59BC3C" w:rsidR="00C15328" w:rsidRDefault="00C15328" w:rsidP="00C15328">
      <w:pPr>
        <w:pStyle w:val="ListParagraph"/>
        <w:numPr>
          <w:ilvl w:val="0"/>
          <w:numId w:val="26"/>
        </w:numPr>
        <w:rPr>
          <w:rFonts w:cs="Arial"/>
        </w:rPr>
      </w:pPr>
      <w:r>
        <w:rPr>
          <w:rFonts w:cs="Arial"/>
        </w:rPr>
        <w:t xml:space="preserve">Advertisements for Bus and Coach Drivers received an average </w:t>
      </w:r>
      <w:r w:rsidR="00BC0FF3">
        <w:rPr>
          <w:rFonts w:cs="Arial"/>
        </w:rPr>
        <w:t>of 1.8 qualified and 1.1 suitable applicants per vacancy; and</w:t>
      </w:r>
    </w:p>
    <w:p w14:paraId="26973279" w14:textId="451FDCB5" w:rsidR="00BC0FF3" w:rsidRPr="00BC0FF3" w:rsidRDefault="00BC0FF3" w:rsidP="00BC0FF3">
      <w:pPr>
        <w:pStyle w:val="ListParagraph"/>
        <w:numPr>
          <w:ilvl w:val="0"/>
          <w:numId w:val="26"/>
        </w:numPr>
        <w:rPr>
          <w:rFonts w:cs="Arial"/>
        </w:rPr>
      </w:pPr>
      <w:r>
        <w:rPr>
          <w:rFonts w:cs="Arial"/>
        </w:rPr>
        <w:t>Advertisements for Truck Drivers received an average of 4.0 qualified and 1.4 suitable applicants per vacancy; and</w:t>
      </w:r>
    </w:p>
    <w:p w14:paraId="0239EDB5" w14:textId="16E84F92" w:rsidR="00E62E0C" w:rsidRPr="00E21C12" w:rsidRDefault="00045E2F" w:rsidP="00045E2F">
      <w:pPr>
        <w:rPr>
          <w:rFonts w:cs="Arial"/>
        </w:rPr>
      </w:pPr>
      <w:r w:rsidRPr="00E21C12">
        <w:rPr>
          <w:rFonts w:cs="Arial"/>
        </w:rPr>
        <w:t xml:space="preserve">If every qualified applicant was also suitable for a position, there would be a one-to-one relationship between these metrics. However, many occupations in shortage have fewer than one suitable applicant for every two qualified applicants. </w:t>
      </w:r>
    </w:p>
    <w:p w14:paraId="6B047B4C" w14:textId="77777777" w:rsidR="00045E2F" w:rsidRPr="00E21C12" w:rsidRDefault="00045E2F" w:rsidP="00045E2F">
      <w:pPr>
        <w:rPr>
          <w:rFonts w:cs="Arial"/>
        </w:rPr>
      </w:pPr>
      <w:r w:rsidRPr="00E21C12">
        <w:rPr>
          <w:rFonts w:cs="Arial"/>
        </w:rPr>
        <w:t>This analysis reinforces that employers seek additional skills and experience in candidates, beyond the technical skills provided by qualifications.</w:t>
      </w:r>
    </w:p>
    <w:p w14:paraId="294D4712" w14:textId="45631336" w:rsidR="00045E2F" w:rsidRPr="00C5218A" w:rsidRDefault="00045E2F" w:rsidP="00045E2F">
      <w:r w:rsidRPr="00C5218A">
        <w:t>Using available ABS and SERA data, occupations can be classified into the four categories outlined above using this data (</w:t>
      </w:r>
      <w:r w:rsidRPr="00A20B2F">
        <w:t xml:space="preserve">see Table </w:t>
      </w:r>
      <w:r w:rsidR="00611517" w:rsidRPr="00A20B2F">
        <w:t>6</w:t>
      </w:r>
      <w:r w:rsidR="000F6DCC" w:rsidRPr="00A20B2F">
        <w:t>, which reflects occupations assessed in both the February and May 2023 JS</w:t>
      </w:r>
      <w:r w:rsidR="00623E60" w:rsidRPr="00A20B2F">
        <w:t>A</w:t>
      </w:r>
      <w:r w:rsidR="000F6DCC" w:rsidRPr="00A20B2F">
        <w:t xml:space="preserve"> Labour Market Updates</w:t>
      </w:r>
      <w:r w:rsidRPr="00A20B2F">
        <w:t>).</w:t>
      </w:r>
      <w:r w:rsidRPr="00C5218A">
        <w:t xml:space="preserve"> </w:t>
      </w:r>
    </w:p>
    <w:p w14:paraId="14AC4AB8" w14:textId="0096C995" w:rsidR="00045E2F" w:rsidRPr="00C5218A" w:rsidRDefault="00045E2F" w:rsidP="00CB0BE2">
      <w:pPr>
        <w:pStyle w:val="ListParagraph"/>
        <w:numPr>
          <w:ilvl w:val="0"/>
          <w:numId w:val="13"/>
        </w:numPr>
      </w:pPr>
      <w:r w:rsidRPr="00C5218A">
        <w:t xml:space="preserve">Occupations with </w:t>
      </w:r>
      <w:r w:rsidR="006D6573">
        <w:t xml:space="preserve">average or </w:t>
      </w:r>
      <w:r w:rsidRPr="00C5218A">
        <w:t>below-average job mobility and few (an average of fewer than three) qualified applicants per vacancy are classified as level 1 or level 2 shortages (depending on education requirements).</w:t>
      </w:r>
    </w:p>
    <w:p w14:paraId="30BB2BC4" w14:textId="5BF1D54E" w:rsidR="00045E2F" w:rsidRPr="00C5218A" w:rsidRDefault="00045E2F" w:rsidP="00CB0BE2">
      <w:pPr>
        <w:pStyle w:val="ListParagraph"/>
        <w:numPr>
          <w:ilvl w:val="0"/>
          <w:numId w:val="13"/>
        </w:numPr>
      </w:pPr>
      <w:r w:rsidRPr="00C5218A">
        <w:t>Occupations with average or below-average job mobility; an average of more than four qualified applicants per vacancy; and a low proportion of suitable applicants (per qualified applicant) are classified as having a</w:t>
      </w:r>
      <w:r w:rsidR="00DA78F2">
        <w:t xml:space="preserve"> suitability </w:t>
      </w:r>
      <w:r w:rsidRPr="00C5218A">
        <w:t>gap.</w:t>
      </w:r>
    </w:p>
    <w:p w14:paraId="178ADD84" w14:textId="77777777" w:rsidR="00045E2F" w:rsidRPr="00C5218A" w:rsidRDefault="00045E2F" w:rsidP="00CB0BE2">
      <w:pPr>
        <w:pStyle w:val="ListParagraph"/>
        <w:numPr>
          <w:ilvl w:val="0"/>
          <w:numId w:val="13"/>
        </w:numPr>
      </w:pPr>
      <w:r w:rsidRPr="00C5218A">
        <w:t xml:space="preserve">Occupations with significantly above-average job mobility are classified as having a skills mismatch. </w:t>
      </w:r>
    </w:p>
    <w:p w14:paraId="4560C63A" w14:textId="77777777" w:rsidR="00045E2F" w:rsidRPr="00623E60" w:rsidRDefault="00045E2F" w:rsidP="00CB0BE2">
      <w:pPr>
        <w:pStyle w:val="ListParagraph"/>
        <w:numPr>
          <w:ilvl w:val="0"/>
          <w:numId w:val="13"/>
        </w:numPr>
      </w:pPr>
      <w:r w:rsidRPr="00623E60">
        <w:lastRenderedPageBreak/>
        <w:t>Some occupations will require further data and analysis before they can be categorised.</w:t>
      </w:r>
    </w:p>
    <w:p w14:paraId="2CA17E88" w14:textId="32FFF6FA" w:rsidR="00045E2F" w:rsidRPr="00A20B2F" w:rsidRDefault="00045E2F" w:rsidP="00045E2F">
      <w:r w:rsidRPr="00623E60">
        <w:t xml:space="preserve">For example, Motor Mechanics are most likely a level 1 shortage based on these definitions, with low numbers of people with the essential skills to fill available positions and with lengthy training requirements (Certificate III/IV and an apprenticeship) needed for the role. Conversely, shortages for Civil Engineering Professionals appear to be driven by a </w:t>
      </w:r>
      <w:r w:rsidR="00DA78F2" w:rsidRPr="00623E60">
        <w:t xml:space="preserve">suitability </w:t>
      </w:r>
      <w:r w:rsidRPr="00623E60">
        <w:t xml:space="preserve">gap, with large numbers of applicants who have the right </w:t>
      </w:r>
      <w:r w:rsidRPr="00A20B2F">
        <w:t>qualifications, but with many of these people lacking some other qualities that employers consider as important.</w:t>
      </w:r>
    </w:p>
    <w:p w14:paraId="4A7FEA9E" w14:textId="616A1939" w:rsidR="00045E2F" w:rsidRPr="00632CE7" w:rsidRDefault="00045E2F" w:rsidP="00045E2F">
      <w:pPr>
        <w:spacing w:after="120" w:line="276" w:lineRule="auto"/>
        <w:rPr>
          <w:rFonts w:cs="Arial"/>
          <w:b/>
          <w:bCs/>
          <w:color w:val="FF0000"/>
        </w:rPr>
      </w:pPr>
      <w:r w:rsidRPr="00A20B2F">
        <w:rPr>
          <w:rFonts w:cs="Arial"/>
          <w:b/>
          <w:bCs/>
        </w:rPr>
        <w:t xml:space="preserve">Table </w:t>
      </w:r>
      <w:r w:rsidR="00611517" w:rsidRPr="00A20B2F">
        <w:rPr>
          <w:rFonts w:cs="Arial"/>
          <w:b/>
          <w:bCs/>
        </w:rPr>
        <w:t>6</w:t>
      </w:r>
      <w:r w:rsidRPr="00A20B2F">
        <w:rPr>
          <w:rFonts w:cs="Arial"/>
          <w:b/>
          <w:bCs/>
        </w:rPr>
        <w:t>: Preliminary</w:t>
      </w:r>
      <w:r w:rsidRPr="00623E60">
        <w:rPr>
          <w:rFonts w:cs="Arial"/>
          <w:b/>
          <w:bCs/>
        </w:rPr>
        <w:t xml:space="preserve"> </w:t>
      </w:r>
      <w:r w:rsidRPr="00AB3481">
        <w:rPr>
          <w:rFonts w:cs="Arial"/>
          <w:b/>
          <w:bCs/>
        </w:rPr>
        <w:t xml:space="preserve">JSA shortage classifications, </w:t>
      </w:r>
      <w:r w:rsidR="00AB3481" w:rsidRPr="00AB3481">
        <w:rPr>
          <w:rFonts w:cs="Arial"/>
          <w:b/>
          <w:bCs/>
        </w:rPr>
        <w:t>March 2023</w:t>
      </w:r>
    </w:p>
    <w:tbl>
      <w:tblPr>
        <w:tblW w:w="101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3686"/>
        <w:gridCol w:w="3544"/>
      </w:tblGrid>
      <w:tr w:rsidR="00E72264" w:rsidRPr="00105A73" w14:paraId="628CDC98" w14:textId="6D3A0793" w:rsidTr="000079CE">
        <w:trPr>
          <w:trHeight w:val="446"/>
          <w:tblHeader/>
        </w:trPr>
        <w:tc>
          <w:tcPr>
            <w:tcW w:w="2967" w:type="dxa"/>
            <w:shd w:val="clear" w:color="auto" w:fill="441170"/>
            <w:vAlign w:val="bottom"/>
            <w:hideMark/>
          </w:tcPr>
          <w:p w14:paraId="2858869E" w14:textId="77777777" w:rsidR="00E72264" w:rsidRPr="00105A73" w:rsidRDefault="00E72264" w:rsidP="00061EDF">
            <w:pPr>
              <w:spacing w:after="0" w:line="240" w:lineRule="auto"/>
              <w:jc w:val="center"/>
              <w:rPr>
                <w:rFonts w:eastAsia="Times New Roman" w:cs="Arial"/>
                <w:b/>
                <w:bCs/>
                <w:color w:val="FFFFFF"/>
                <w:lang w:eastAsia="en-AU"/>
              </w:rPr>
            </w:pPr>
            <w:r>
              <w:rPr>
                <w:rFonts w:eastAsia="Times New Roman" w:cs="Arial"/>
                <w:b/>
                <w:bCs/>
                <w:color w:val="FFFFFF"/>
                <w:lang w:eastAsia="en-AU"/>
              </w:rPr>
              <w:t>Classification of skills shortage</w:t>
            </w:r>
          </w:p>
        </w:tc>
        <w:tc>
          <w:tcPr>
            <w:tcW w:w="3686" w:type="dxa"/>
            <w:shd w:val="clear" w:color="auto" w:fill="441170"/>
            <w:vAlign w:val="bottom"/>
            <w:hideMark/>
          </w:tcPr>
          <w:p w14:paraId="67311F5B" w14:textId="2A59F76A" w:rsidR="00E72264" w:rsidRPr="00105A73" w:rsidRDefault="00325E85" w:rsidP="00AD67CB">
            <w:pPr>
              <w:spacing w:after="0" w:line="240" w:lineRule="auto"/>
              <w:jc w:val="center"/>
              <w:rPr>
                <w:rFonts w:eastAsia="Times New Roman" w:cs="Arial"/>
                <w:b/>
                <w:bCs/>
                <w:color w:val="FFFFFF"/>
                <w:lang w:eastAsia="en-AU"/>
              </w:rPr>
            </w:pPr>
            <w:r>
              <w:rPr>
                <w:rFonts w:eastAsia="Times New Roman" w:cs="Arial"/>
                <w:b/>
                <w:bCs/>
                <w:color w:val="FFFFFF"/>
                <w:lang w:eastAsia="en-AU"/>
              </w:rPr>
              <w:t>Top 20 o</w:t>
            </w:r>
            <w:r w:rsidR="00E72264">
              <w:rPr>
                <w:rFonts w:eastAsia="Times New Roman" w:cs="Arial"/>
                <w:b/>
                <w:bCs/>
                <w:color w:val="FFFFFF"/>
                <w:lang w:eastAsia="en-AU"/>
              </w:rPr>
              <w:t xml:space="preserve">ccupations </w:t>
            </w:r>
            <w:r>
              <w:rPr>
                <w:rFonts w:eastAsia="Times New Roman" w:cs="Arial"/>
                <w:b/>
                <w:bCs/>
                <w:color w:val="FFFFFF"/>
                <w:lang w:eastAsia="en-AU"/>
              </w:rPr>
              <w:t>in demand</w:t>
            </w:r>
            <w:r w:rsidR="00E72264">
              <w:rPr>
                <w:rFonts w:eastAsia="Times New Roman" w:cs="Arial"/>
                <w:b/>
                <w:bCs/>
                <w:color w:val="FFFFFF"/>
                <w:lang w:eastAsia="en-AU"/>
              </w:rPr>
              <w:t xml:space="preserve"> </w:t>
            </w:r>
          </w:p>
        </w:tc>
        <w:tc>
          <w:tcPr>
            <w:tcW w:w="3544" w:type="dxa"/>
            <w:shd w:val="clear" w:color="auto" w:fill="441170"/>
          </w:tcPr>
          <w:p w14:paraId="664192E7" w14:textId="291985B7" w:rsidR="00E72264" w:rsidRDefault="00325E85" w:rsidP="00AD67CB">
            <w:pPr>
              <w:spacing w:after="0" w:line="240" w:lineRule="auto"/>
              <w:jc w:val="center"/>
              <w:rPr>
                <w:rFonts w:eastAsia="Times New Roman" w:cs="Arial"/>
                <w:b/>
                <w:bCs/>
                <w:color w:val="FFFFFF"/>
                <w:lang w:eastAsia="en-AU"/>
              </w:rPr>
            </w:pPr>
            <w:r>
              <w:rPr>
                <w:rFonts w:eastAsia="Times New Roman" w:cs="Arial"/>
                <w:b/>
                <w:bCs/>
                <w:color w:val="FFFFFF"/>
                <w:lang w:eastAsia="en-AU"/>
              </w:rPr>
              <w:t>Occupations in ANZSCO Major Groups 5 to 8</w:t>
            </w:r>
            <w:r w:rsidR="00F503A1">
              <w:rPr>
                <w:rFonts w:eastAsia="Times New Roman" w:cs="Arial"/>
                <w:b/>
                <w:bCs/>
                <w:color w:val="FFFFFF"/>
                <w:lang w:eastAsia="en-AU"/>
              </w:rPr>
              <w:t>*</w:t>
            </w:r>
          </w:p>
        </w:tc>
      </w:tr>
      <w:tr w:rsidR="00E72264" w:rsidRPr="00105A73" w14:paraId="2E6B50A4" w14:textId="2ED29A5D" w:rsidTr="000079CE">
        <w:trPr>
          <w:trHeight w:val="255"/>
        </w:trPr>
        <w:tc>
          <w:tcPr>
            <w:tcW w:w="2967" w:type="dxa"/>
            <w:shd w:val="clear" w:color="auto" w:fill="auto"/>
          </w:tcPr>
          <w:p w14:paraId="50F79AB2" w14:textId="77777777" w:rsidR="00E72264" w:rsidRPr="00AD67CB" w:rsidRDefault="00E72264" w:rsidP="00061EDF">
            <w:pPr>
              <w:rPr>
                <w:b/>
                <w:bCs/>
              </w:rPr>
            </w:pPr>
            <w:r w:rsidRPr="00AD67CB">
              <w:rPr>
                <w:b/>
                <w:bCs/>
              </w:rPr>
              <w:t>Level 1 shortage</w:t>
            </w:r>
          </w:p>
          <w:p w14:paraId="45F67295" w14:textId="77777777" w:rsidR="00E72264" w:rsidRPr="00632CE7" w:rsidRDefault="00E72264" w:rsidP="00061EDF">
            <w:pPr>
              <w:pStyle w:val="ListBullet"/>
              <w:numPr>
                <w:ilvl w:val="0"/>
                <w:numId w:val="0"/>
              </w:numPr>
              <w:rPr>
                <w:rFonts w:eastAsia="Times New Roman" w:cs="Arial"/>
                <w:color w:val="FF0000"/>
                <w:highlight w:val="yellow"/>
                <w:lang w:eastAsia="en-AU"/>
              </w:rPr>
            </w:pPr>
            <w:r w:rsidRPr="00AD67CB">
              <w:rPr>
                <w:sz w:val="18"/>
                <w:szCs w:val="18"/>
              </w:rPr>
              <w:t>Few qualified applicants per vacancy, Bachelor degree, Certificate IV or apprenticeship required</w:t>
            </w:r>
          </w:p>
        </w:tc>
        <w:tc>
          <w:tcPr>
            <w:tcW w:w="3686" w:type="dxa"/>
            <w:shd w:val="clear" w:color="auto" w:fill="auto"/>
          </w:tcPr>
          <w:p w14:paraId="1A96A8C1" w14:textId="77777777" w:rsidR="00E72264" w:rsidRPr="006735B3" w:rsidRDefault="00E72264" w:rsidP="00061EDF">
            <w:pPr>
              <w:pStyle w:val="ListBullet"/>
              <w:tabs>
                <w:tab w:val="num" w:pos="360"/>
              </w:tabs>
              <w:spacing w:after="0" w:line="240" w:lineRule="auto"/>
              <w:ind w:left="360" w:hanging="360"/>
              <w:contextualSpacing/>
              <w:rPr>
                <w:sz w:val="20"/>
              </w:rPr>
            </w:pPr>
            <w:r w:rsidRPr="006735B3">
              <w:rPr>
                <w:sz w:val="20"/>
              </w:rPr>
              <w:t>Motor Mechanics</w:t>
            </w:r>
          </w:p>
          <w:p w14:paraId="20D4B9CC" w14:textId="77777777" w:rsidR="00E72264" w:rsidRPr="006735B3" w:rsidRDefault="00E72264" w:rsidP="00061EDF">
            <w:pPr>
              <w:pStyle w:val="ListBullet"/>
              <w:tabs>
                <w:tab w:val="num" w:pos="360"/>
              </w:tabs>
              <w:spacing w:after="0" w:line="240" w:lineRule="auto"/>
              <w:ind w:left="360" w:hanging="360"/>
              <w:contextualSpacing/>
              <w:rPr>
                <w:sz w:val="20"/>
              </w:rPr>
            </w:pPr>
            <w:r w:rsidRPr="006735B3">
              <w:rPr>
                <w:sz w:val="20"/>
              </w:rPr>
              <w:t>Early Childhood (Pre-primary School) Teachers</w:t>
            </w:r>
          </w:p>
          <w:p w14:paraId="1BE89E1B" w14:textId="77777777" w:rsidR="00E72264" w:rsidRPr="006735B3" w:rsidRDefault="00E72264" w:rsidP="00061EDF">
            <w:pPr>
              <w:pStyle w:val="ListBullet"/>
              <w:tabs>
                <w:tab w:val="num" w:pos="360"/>
              </w:tabs>
              <w:spacing w:after="0" w:line="240" w:lineRule="auto"/>
              <w:ind w:left="360" w:hanging="360"/>
              <w:contextualSpacing/>
              <w:rPr>
                <w:sz w:val="20"/>
              </w:rPr>
            </w:pPr>
            <w:r w:rsidRPr="006735B3">
              <w:rPr>
                <w:sz w:val="20"/>
              </w:rPr>
              <w:t>Electricians</w:t>
            </w:r>
          </w:p>
          <w:p w14:paraId="460620DD" w14:textId="77777777" w:rsidR="00E72264" w:rsidRPr="006735B3" w:rsidRDefault="00E72264" w:rsidP="00061EDF">
            <w:pPr>
              <w:pStyle w:val="ListBullet"/>
              <w:tabs>
                <w:tab w:val="num" w:pos="360"/>
              </w:tabs>
              <w:spacing w:after="0" w:line="240" w:lineRule="auto"/>
              <w:ind w:left="360" w:hanging="360"/>
              <w:contextualSpacing/>
              <w:rPr>
                <w:sz w:val="20"/>
              </w:rPr>
            </w:pPr>
            <w:r w:rsidRPr="006735B3">
              <w:rPr>
                <w:sz w:val="20"/>
              </w:rPr>
              <w:t>Metal Fitters and Machinists</w:t>
            </w:r>
          </w:p>
          <w:p w14:paraId="74279AD2" w14:textId="542A89D9" w:rsidR="00E72264" w:rsidRPr="006735B3" w:rsidRDefault="00E72264" w:rsidP="00325E85">
            <w:pPr>
              <w:pStyle w:val="ListBullet"/>
              <w:tabs>
                <w:tab w:val="num" w:pos="360"/>
              </w:tabs>
              <w:spacing w:after="0" w:line="240" w:lineRule="auto"/>
              <w:ind w:left="360" w:hanging="360"/>
              <w:contextualSpacing/>
              <w:rPr>
                <w:sz w:val="20"/>
              </w:rPr>
            </w:pPr>
            <w:r w:rsidRPr="006735B3">
              <w:rPr>
                <w:sz w:val="20"/>
              </w:rPr>
              <w:t>Physiotherapists</w:t>
            </w:r>
          </w:p>
        </w:tc>
        <w:tc>
          <w:tcPr>
            <w:tcW w:w="3544" w:type="dxa"/>
          </w:tcPr>
          <w:p w14:paraId="60789F86" w14:textId="77777777" w:rsidR="00E72264" w:rsidRPr="006735B3" w:rsidRDefault="00E72264" w:rsidP="00E72264">
            <w:pPr>
              <w:pStyle w:val="ListBullet"/>
              <w:numPr>
                <w:ilvl w:val="0"/>
                <w:numId w:val="0"/>
              </w:numPr>
              <w:spacing w:after="0" w:line="240" w:lineRule="auto"/>
              <w:ind w:left="360"/>
              <w:contextualSpacing/>
              <w:rPr>
                <w:sz w:val="20"/>
              </w:rPr>
            </w:pPr>
          </w:p>
        </w:tc>
      </w:tr>
      <w:tr w:rsidR="00E72264" w:rsidRPr="00105A73" w14:paraId="68225F13" w14:textId="5B3469B0" w:rsidTr="000079CE">
        <w:trPr>
          <w:trHeight w:val="255"/>
        </w:trPr>
        <w:tc>
          <w:tcPr>
            <w:tcW w:w="2967" w:type="dxa"/>
            <w:shd w:val="clear" w:color="auto" w:fill="auto"/>
          </w:tcPr>
          <w:p w14:paraId="66018236" w14:textId="77777777" w:rsidR="00E72264" w:rsidRPr="00AD67CB" w:rsidRDefault="00E72264" w:rsidP="00061EDF">
            <w:pPr>
              <w:rPr>
                <w:b/>
                <w:bCs/>
              </w:rPr>
            </w:pPr>
            <w:r w:rsidRPr="00AD67CB">
              <w:rPr>
                <w:b/>
                <w:bCs/>
              </w:rPr>
              <w:t>Level 2 shortage</w:t>
            </w:r>
          </w:p>
          <w:p w14:paraId="62ED3B44" w14:textId="77777777" w:rsidR="00E72264" w:rsidRPr="00632CE7" w:rsidRDefault="00E72264" w:rsidP="00061EDF">
            <w:pPr>
              <w:pStyle w:val="ListBullet"/>
              <w:numPr>
                <w:ilvl w:val="0"/>
                <w:numId w:val="0"/>
              </w:numPr>
              <w:rPr>
                <w:rFonts w:eastAsia="Times New Roman" w:cs="Arial"/>
                <w:color w:val="FF0000"/>
                <w:highlight w:val="yellow"/>
                <w:lang w:eastAsia="en-AU"/>
              </w:rPr>
            </w:pPr>
            <w:r w:rsidRPr="00AD67CB">
              <w:rPr>
                <w:sz w:val="18"/>
                <w:szCs w:val="18"/>
              </w:rPr>
              <w:t>Few qualified applicants per vacancy, Certificate I-III or less required</w:t>
            </w:r>
          </w:p>
        </w:tc>
        <w:tc>
          <w:tcPr>
            <w:tcW w:w="3686" w:type="dxa"/>
            <w:shd w:val="clear" w:color="auto" w:fill="auto"/>
          </w:tcPr>
          <w:p w14:paraId="42077DE3" w14:textId="77777777" w:rsidR="00E72264" w:rsidRPr="006735B3" w:rsidRDefault="00E72264" w:rsidP="00061EDF">
            <w:pPr>
              <w:pStyle w:val="ListBullet"/>
              <w:tabs>
                <w:tab w:val="num" w:pos="360"/>
              </w:tabs>
              <w:spacing w:after="0" w:line="240" w:lineRule="auto"/>
              <w:ind w:left="360" w:hanging="360"/>
              <w:contextualSpacing/>
              <w:rPr>
                <w:sz w:val="20"/>
              </w:rPr>
            </w:pPr>
            <w:r w:rsidRPr="006735B3">
              <w:rPr>
                <w:sz w:val="20"/>
              </w:rPr>
              <w:t>Gardeners</w:t>
            </w:r>
          </w:p>
          <w:p w14:paraId="353C40CA" w14:textId="77777777" w:rsidR="00E72264" w:rsidRPr="006735B3" w:rsidRDefault="00E72264" w:rsidP="00061EDF">
            <w:pPr>
              <w:pStyle w:val="ListBullet"/>
              <w:tabs>
                <w:tab w:val="num" w:pos="360"/>
              </w:tabs>
              <w:spacing w:after="0" w:line="240" w:lineRule="auto"/>
              <w:ind w:left="360" w:hanging="360"/>
              <w:contextualSpacing/>
              <w:rPr>
                <w:sz w:val="20"/>
              </w:rPr>
            </w:pPr>
            <w:r w:rsidRPr="006735B3">
              <w:rPr>
                <w:sz w:val="20"/>
              </w:rPr>
              <w:t>Retail Managers</w:t>
            </w:r>
          </w:p>
          <w:p w14:paraId="141797AC" w14:textId="57349D2B" w:rsidR="00E72264" w:rsidRPr="006735B3" w:rsidRDefault="00E72264" w:rsidP="00993D35">
            <w:pPr>
              <w:pStyle w:val="ListBullet"/>
              <w:numPr>
                <w:ilvl w:val="0"/>
                <w:numId w:val="0"/>
              </w:numPr>
              <w:spacing w:after="0" w:line="240" w:lineRule="auto"/>
              <w:contextualSpacing/>
              <w:rPr>
                <w:sz w:val="20"/>
              </w:rPr>
            </w:pPr>
          </w:p>
        </w:tc>
        <w:tc>
          <w:tcPr>
            <w:tcW w:w="3544" w:type="dxa"/>
          </w:tcPr>
          <w:p w14:paraId="04C760F4" w14:textId="6BCA9EA2" w:rsidR="00E72264" w:rsidRPr="00993D35" w:rsidRDefault="00993D35" w:rsidP="00993D35">
            <w:pPr>
              <w:pStyle w:val="ListBullet"/>
              <w:tabs>
                <w:tab w:val="num" w:pos="360"/>
              </w:tabs>
              <w:spacing w:after="0" w:line="240" w:lineRule="auto"/>
              <w:ind w:left="360" w:hanging="360"/>
              <w:contextualSpacing/>
              <w:rPr>
                <w:sz w:val="20"/>
              </w:rPr>
            </w:pPr>
            <w:r w:rsidRPr="00993D35">
              <w:rPr>
                <w:rFonts w:eastAsia="Times New Roman" w:cs="Arial"/>
                <w:sz w:val="20"/>
                <w:lang w:eastAsia="en-AU"/>
              </w:rPr>
              <w:t>Bus and Coach Drivers</w:t>
            </w:r>
          </w:p>
        </w:tc>
      </w:tr>
      <w:tr w:rsidR="00E72264" w:rsidRPr="00105A73" w14:paraId="324E1B61" w14:textId="01C7A385" w:rsidTr="000079CE">
        <w:trPr>
          <w:trHeight w:val="141"/>
        </w:trPr>
        <w:tc>
          <w:tcPr>
            <w:tcW w:w="2967" w:type="dxa"/>
            <w:shd w:val="clear" w:color="auto" w:fill="auto"/>
          </w:tcPr>
          <w:p w14:paraId="09A64195" w14:textId="5DBF4B8E" w:rsidR="00E72264" w:rsidRPr="00AD67CB" w:rsidRDefault="00E72264" w:rsidP="00061EDF">
            <w:pPr>
              <w:rPr>
                <w:b/>
                <w:bCs/>
              </w:rPr>
            </w:pPr>
            <w:r>
              <w:rPr>
                <w:b/>
                <w:bCs/>
              </w:rPr>
              <w:t>Suitability</w:t>
            </w:r>
            <w:r w:rsidRPr="00AD67CB">
              <w:rPr>
                <w:b/>
                <w:bCs/>
              </w:rPr>
              <w:t xml:space="preserve"> gap</w:t>
            </w:r>
            <w:r>
              <w:rPr>
                <w:rStyle w:val="FootnoteReference"/>
                <w:b/>
                <w:bCs/>
              </w:rPr>
              <w:footnoteReference w:id="19"/>
            </w:r>
          </w:p>
          <w:p w14:paraId="4A2EB743" w14:textId="77777777" w:rsidR="00E72264" w:rsidRPr="00632CE7" w:rsidRDefault="00E72264" w:rsidP="00061EDF">
            <w:pPr>
              <w:rPr>
                <w:color w:val="FF0000"/>
                <w:sz w:val="18"/>
                <w:szCs w:val="18"/>
              </w:rPr>
            </w:pPr>
            <w:r w:rsidRPr="00AD67CB">
              <w:rPr>
                <w:sz w:val="18"/>
                <w:szCs w:val="18"/>
              </w:rPr>
              <w:t>Many qualified applicants per vacancy, but few suitable applicants per qualified applicant</w:t>
            </w:r>
          </w:p>
        </w:tc>
        <w:tc>
          <w:tcPr>
            <w:tcW w:w="3686" w:type="dxa"/>
            <w:shd w:val="clear" w:color="auto" w:fill="auto"/>
          </w:tcPr>
          <w:p w14:paraId="7D395FC6" w14:textId="77777777" w:rsidR="00E72264" w:rsidRPr="006735B3" w:rsidRDefault="00E72264" w:rsidP="00061EDF">
            <w:pPr>
              <w:pStyle w:val="ListBullet"/>
              <w:tabs>
                <w:tab w:val="num" w:pos="360"/>
              </w:tabs>
              <w:spacing w:after="0" w:line="240" w:lineRule="auto"/>
              <w:ind w:left="360" w:hanging="360"/>
              <w:contextualSpacing/>
              <w:rPr>
                <w:sz w:val="20"/>
              </w:rPr>
            </w:pPr>
            <w:r w:rsidRPr="006735B3">
              <w:rPr>
                <w:sz w:val="20"/>
              </w:rPr>
              <w:t>Civil Engineering Professionals</w:t>
            </w:r>
          </w:p>
          <w:p w14:paraId="1D1C385A" w14:textId="77777777" w:rsidR="00E72264" w:rsidRPr="006735B3" w:rsidRDefault="00E72264" w:rsidP="00061EDF">
            <w:pPr>
              <w:pStyle w:val="ListBullet"/>
              <w:tabs>
                <w:tab w:val="num" w:pos="360"/>
              </w:tabs>
              <w:spacing w:after="0" w:line="240" w:lineRule="auto"/>
              <w:ind w:left="360" w:hanging="360"/>
              <w:contextualSpacing/>
              <w:rPr>
                <w:sz w:val="20"/>
              </w:rPr>
            </w:pPr>
            <w:r w:rsidRPr="006735B3">
              <w:rPr>
                <w:sz w:val="20"/>
              </w:rPr>
              <w:t>Chefs</w:t>
            </w:r>
          </w:p>
          <w:p w14:paraId="5EAA8D44" w14:textId="77777777" w:rsidR="00E72264" w:rsidRPr="006735B3" w:rsidRDefault="00E72264" w:rsidP="00061EDF">
            <w:pPr>
              <w:pStyle w:val="ListBullet"/>
              <w:tabs>
                <w:tab w:val="num" w:pos="360"/>
              </w:tabs>
              <w:spacing w:after="0" w:line="240" w:lineRule="auto"/>
              <w:ind w:left="360" w:hanging="360"/>
              <w:contextualSpacing/>
              <w:rPr>
                <w:sz w:val="20"/>
              </w:rPr>
            </w:pPr>
            <w:r w:rsidRPr="006735B3">
              <w:rPr>
                <w:sz w:val="20"/>
              </w:rPr>
              <w:t>Construction Managers</w:t>
            </w:r>
          </w:p>
          <w:p w14:paraId="4FFA48DD" w14:textId="77777777" w:rsidR="00E72264" w:rsidRPr="006735B3" w:rsidRDefault="00E72264" w:rsidP="00061EDF">
            <w:pPr>
              <w:pStyle w:val="ListBullet"/>
              <w:tabs>
                <w:tab w:val="num" w:pos="360"/>
              </w:tabs>
              <w:spacing w:after="0" w:line="240" w:lineRule="auto"/>
              <w:ind w:left="360" w:hanging="360"/>
              <w:contextualSpacing/>
              <w:rPr>
                <w:sz w:val="20"/>
              </w:rPr>
            </w:pPr>
            <w:r w:rsidRPr="006735B3">
              <w:rPr>
                <w:sz w:val="20"/>
              </w:rPr>
              <w:t>Software and Applications Programmers</w:t>
            </w:r>
          </w:p>
          <w:p w14:paraId="4FCA13FC" w14:textId="77777777" w:rsidR="00E72264" w:rsidRPr="006735B3" w:rsidRDefault="00E72264" w:rsidP="00061EDF">
            <w:pPr>
              <w:pStyle w:val="ListBullet"/>
              <w:spacing w:after="0"/>
              <w:rPr>
                <w:sz w:val="20"/>
              </w:rPr>
            </w:pPr>
            <w:r w:rsidRPr="006735B3">
              <w:rPr>
                <w:sz w:val="20"/>
              </w:rPr>
              <w:t xml:space="preserve">ICT Business and Systems Analysts </w:t>
            </w:r>
          </w:p>
          <w:p w14:paraId="166D9240" w14:textId="77777777" w:rsidR="00E72264" w:rsidRPr="006735B3" w:rsidRDefault="00E72264" w:rsidP="00061EDF">
            <w:pPr>
              <w:pStyle w:val="ListBullet"/>
              <w:spacing w:after="0"/>
              <w:rPr>
                <w:sz w:val="20"/>
              </w:rPr>
            </w:pPr>
            <w:r w:rsidRPr="006735B3">
              <w:rPr>
                <w:sz w:val="20"/>
              </w:rPr>
              <w:t xml:space="preserve">Database and Systems Administrators, and ICT Security Specialists </w:t>
            </w:r>
          </w:p>
          <w:p w14:paraId="049063B7" w14:textId="77777777" w:rsidR="00E72264" w:rsidRPr="006735B3" w:rsidRDefault="00E72264" w:rsidP="00061EDF">
            <w:pPr>
              <w:pStyle w:val="ListBullet"/>
              <w:spacing w:after="0"/>
              <w:rPr>
                <w:sz w:val="20"/>
              </w:rPr>
            </w:pPr>
            <w:r w:rsidRPr="006735B3">
              <w:rPr>
                <w:sz w:val="20"/>
              </w:rPr>
              <w:t>Advertising and Marketing Professionals</w:t>
            </w:r>
          </w:p>
        </w:tc>
        <w:tc>
          <w:tcPr>
            <w:tcW w:w="3544" w:type="dxa"/>
          </w:tcPr>
          <w:p w14:paraId="62D8E59A" w14:textId="77777777" w:rsidR="00E72264" w:rsidRPr="006735B3" w:rsidRDefault="00E72264" w:rsidP="00E72264">
            <w:pPr>
              <w:pStyle w:val="ListBullet"/>
              <w:numPr>
                <w:ilvl w:val="0"/>
                <w:numId w:val="0"/>
              </w:numPr>
              <w:spacing w:after="0" w:line="240" w:lineRule="auto"/>
              <w:ind w:left="340" w:hanging="340"/>
              <w:contextualSpacing/>
              <w:rPr>
                <w:sz w:val="20"/>
              </w:rPr>
            </w:pPr>
          </w:p>
        </w:tc>
      </w:tr>
      <w:tr w:rsidR="00E72264" w:rsidRPr="00105A73" w14:paraId="741A389E" w14:textId="18851A8A" w:rsidTr="000079CE">
        <w:trPr>
          <w:trHeight w:val="255"/>
        </w:trPr>
        <w:tc>
          <w:tcPr>
            <w:tcW w:w="2967" w:type="dxa"/>
            <w:shd w:val="clear" w:color="auto" w:fill="auto"/>
          </w:tcPr>
          <w:p w14:paraId="797D1F0B" w14:textId="77777777" w:rsidR="00E72264" w:rsidRPr="00AD67CB" w:rsidRDefault="00E72264" w:rsidP="00061EDF">
            <w:r w:rsidRPr="00AD67CB">
              <w:rPr>
                <w:b/>
                <w:bCs/>
              </w:rPr>
              <w:t>Skills mismatch</w:t>
            </w:r>
          </w:p>
          <w:p w14:paraId="501CDBC9" w14:textId="77777777" w:rsidR="00E72264" w:rsidRPr="00632CE7" w:rsidRDefault="00E72264" w:rsidP="00061EDF">
            <w:pPr>
              <w:rPr>
                <w:color w:val="FF0000"/>
                <w:sz w:val="18"/>
                <w:szCs w:val="18"/>
              </w:rPr>
            </w:pPr>
            <w:r w:rsidRPr="00AD67CB">
              <w:rPr>
                <w:sz w:val="18"/>
                <w:szCs w:val="18"/>
              </w:rPr>
              <w:t>Above-average job mobility (below-average rates of retention), potentially reinforced by low number of new applicants per vacancy</w:t>
            </w:r>
          </w:p>
        </w:tc>
        <w:tc>
          <w:tcPr>
            <w:tcW w:w="3686" w:type="dxa"/>
            <w:shd w:val="clear" w:color="auto" w:fill="auto"/>
          </w:tcPr>
          <w:p w14:paraId="66425DFF" w14:textId="77777777" w:rsidR="00E72264" w:rsidRPr="00631CDE" w:rsidRDefault="00E72264" w:rsidP="00DC321B">
            <w:pPr>
              <w:pStyle w:val="ListBullet"/>
              <w:tabs>
                <w:tab w:val="num" w:pos="360"/>
              </w:tabs>
              <w:spacing w:after="0" w:line="240" w:lineRule="auto"/>
              <w:ind w:left="360" w:hanging="360"/>
              <w:contextualSpacing/>
              <w:rPr>
                <w:b/>
                <w:bCs/>
                <w:sz w:val="20"/>
              </w:rPr>
            </w:pPr>
            <w:r w:rsidRPr="00631CDE">
              <w:rPr>
                <w:b/>
                <w:bCs/>
                <w:sz w:val="20"/>
              </w:rPr>
              <w:t>Child Carers</w:t>
            </w:r>
          </w:p>
          <w:p w14:paraId="7583427C" w14:textId="77777777" w:rsidR="00E72264" w:rsidRPr="00631CDE" w:rsidRDefault="00E72264" w:rsidP="00061EDF">
            <w:pPr>
              <w:pStyle w:val="ListBullet"/>
              <w:spacing w:after="0"/>
              <w:rPr>
                <w:b/>
                <w:bCs/>
                <w:sz w:val="20"/>
              </w:rPr>
            </w:pPr>
            <w:r w:rsidRPr="00631CDE">
              <w:rPr>
                <w:b/>
                <w:bCs/>
                <w:sz w:val="20"/>
              </w:rPr>
              <w:t>Aged and Disabled Carers</w:t>
            </w:r>
          </w:p>
          <w:p w14:paraId="47F3407F" w14:textId="77777777" w:rsidR="00E72264" w:rsidRPr="006735B3" w:rsidRDefault="00E72264" w:rsidP="00DC321B">
            <w:pPr>
              <w:pStyle w:val="ListBullet"/>
              <w:spacing w:after="0"/>
              <w:rPr>
                <w:sz w:val="20"/>
              </w:rPr>
            </w:pPr>
            <w:r w:rsidRPr="006735B3">
              <w:rPr>
                <w:sz w:val="20"/>
              </w:rPr>
              <w:t>Contract, Program and Project Administrators</w:t>
            </w:r>
          </w:p>
          <w:p w14:paraId="0F315F1B" w14:textId="6A81CAE6" w:rsidR="00E72264" w:rsidRPr="006735B3" w:rsidRDefault="00E72264" w:rsidP="00E72264">
            <w:pPr>
              <w:pStyle w:val="ListBullet"/>
              <w:numPr>
                <w:ilvl w:val="0"/>
                <w:numId w:val="0"/>
              </w:numPr>
              <w:spacing w:after="0" w:line="240" w:lineRule="auto"/>
              <w:ind w:left="340"/>
              <w:rPr>
                <w:sz w:val="20"/>
              </w:rPr>
            </w:pPr>
          </w:p>
        </w:tc>
        <w:tc>
          <w:tcPr>
            <w:tcW w:w="3544" w:type="dxa"/>
          </w:tcPr>
          <w:p w14:paraId="1051DB8F" w14:textId="77777777" w:rsidR="00E72264" w:rsidRPr="006735B3" w:rsidRDefault="00E72264" w:rsidP="00E72264">
            <w:pPr>
              <w:pStyle w:val="ListBullet"/>
              <w:tabs>
                <w:tab w:val="num" w:pos="360"/>
              </w:tabs>
              <w:spacing w:after="0" w:line="240" w:lineRule="auto"/>
              <w:ind w:left="360" w:hanging="360"/>
              <w:contextualSpacing/>
              <w:rPr>
                <w:sz w:val="20"/>
              </w:rPr>
            </w:pPr>
            <w:r w:rsidRPr="006735B3">
              <w:rPr>
                <w:sz w:val="20"/>
              </w:rPr>
              <w:t>Insurance Agents</w:t>
            </w:r>
          </w:p>
          <w:p w14:paraId="2F60B60C" w14:textId="77777777" w:rsidR="00E72264" w:rsidRPr="006735B3" w:rsidRDefault="00E72264" w:rsidP="00E72264">
            <w:pPr>
              <w:pStyle w:val="ListBullet"/>
              <w:spacing w:after="0" w:line="240" w:lineRule="auto"/>
              <w:rPr>
                <w:sz w:val="20"/>
              </w:rPr>
            </w:pPr>
            <w:r w:rsidRPr="006735B3">
              <w:rPr>
                <w:sz w:val="20"/>
              </w:rPr>
              <w:t>Industrial Spraypainters</w:t>
            </w:r>
          </w:p>
          <w:p w14:paraId="2C34AD92" w14:textId="77777777" w:rsidR="00E72264" w:rsidRPr="006735B3" w:rsidRDefault="00E72264" w:rsidP="00E72264">
            <w:pPr>
              <w:pStyle w:val="ListBullet"/>
              <w:spacing w:after="0" w:line="240" w:lineRule="auto"/>
              <w:rPr>
                <w:sz w:val="20"/>
              </w:rPr>
            </w:pPr>
            <w:r w:rsidRPr="006735B3">
              <w:rPr>
                <w:sz w:val="20"/>
              </w:rPr>
              <w:t>Crane, Hoist and Lift Operators</w:t>
            </w:r>
          </w:p>
          <w:p w14:paraId="7BF39141" w14:textId="77777777" w:rsidR="00E72264" w:rsidRPr="00631CDE" w:rsidRDefault="00E72264" w:rsidP="00E72264">
            <w:pPr>
              <w:pStyle w:val="ListBullet"/>
              <w:spacing w:after="0" w:line="240" w:lineRule="auto"/>
              <w:rPr>
                <w:b/>
                <w:bCs/>
                <w:sz w:val="20"/>
              </w:rPr>
            </w:pPr>
            <w:r w:rsidRPr="00631CDE">
              <w:rPr>
                <w:b/>
                <w:bCs/>
                <w:sz w:val="20"/>
              </w:rPr>
              <w:t>Drillers, Miners and Shot Firers</w:t>
            </w:r>
          </w:p>
          <w:p w14:paraId="4A1854F0" w14:textId="77777777" w:rsidR="00E72264" w:rsidRPr="006735B3" w:rsidRDefault="00E72264" w:rsidP="00E72264">
            <w:pPr>
              <w:pStyle w:val="ListBullet"/>
              <w:spacing w:after="0" w:line="240" w:lineRule="auto"/>
              <w:rPr>
                <w:sz w:val="20"/>
              </w:rPr>
            </w:pPr>
            <w:r w:rsidRPr="004D52A9">
              <w:rPr>
                <w:sz w:val="20"/>
              </w:rPr>
              <w:t>Agricultural, Forestry and</w:t>
            </w:r>
            <w:r w:rsidRPr="006735B3">
              <w:rPr>
                <w:sz w:val="20"/>
              </w:rPr>
              <w:t xml:space="preserve"> Horticultural Plant Operators</w:t>
            </w:r>
          </w:p>
          <w:p w14:paraId="227F4B70" w14:textId="77777777" w:rsidR="00E72264" w:rsidRPr="00631CDE" w:rsidRDefault="00E72264" w:rsidP="00E72264">
            <w:pPr>
              <w:pStyle w:val="ListBullet"/>
              <w:spacing w:after="0" w:line="240" w:lineRule="auto"/>
              <w:rPr>
                <w:b/>
                <w:bCs/>
                <w:sz w:val="20"/>
              </w:rPr>
            </w:pPr>
            <w:r w:rsidRPr="00631CDE">
              <w:rPr>
                <w:b/>
                <w:bCs/>
                <w:sz w:val="20"/>
              </w:rPr>
              <w:t>Earthmoving Plant Operators</w:t>
            </w:r>
          </w:p>
          <w:p w14:paraId="087DCFC6" w14:textId="77777777" w:rsidR="00E72264" w:rsidRPr="00631CDE" w:rsidRDefault="00E72264" w:rsidP="00E72264">
            <w:pPr>
              <w:pStyle w:val="ListBullet"/>
              <w:spacing w:after="0" w:line="240" w:lineRule="auto"/>
              <w:rPr>
                <w:b/>
                <w:bCs/>
                <w:sz w:val="20"/>
              </w:rPr>
            </w:pPr>
            <w:r w:rsidRPr="00631CDE">
              <w:rPr>
                <w:b/>
                <w:bCs/>
                <w:sz w:val="20"/>
              </w:rPr>
              <w:t>Insulation and Home Improvement Installers</w:t>
            </w:r>
          </w:p>
          <w:p w14:paraId="5D98885D" w14:textId="77777777" w:rsidR="00E72264" w:rsidRPr="00631CDE" w:rsidRDefault="00E72264" w:rsidP="00E72264">
            <w:pPr>
              <w:pStyle w:val="ListBullet"/>
              <w:spacing w:after="0" w:line="240" w:lineRule="auto"/>
              <w:rPr>
                <w:b/>
                <w:bCs/>
                <w:sz w:val="20"/>
              </w:rPr>
            </w:pPr>
            <w:r w:rsidRPr="00631CDE">
              <w:rPr>
                <w:b/>
                <w:bCs/>
                <w:sz w:val="20"/>
              </w:rPr>
              <w:t>Structural Steel Construction Workers</w:t>
            </w:r>
          </w:p>
          <w:p w14:paraId="4557D1F6" w14:textId="3FB442C8" w:rsidR="00E72264" w:rsidRPr="006735B3" w:rsidRDefault="00E72264" w:rsidP="00E72264">
            <w:pPr>
              <w:pStyle w:val="ListBullet"/>
              <w:tabs>
                <w:tab w:val="num" w:pos="360"/>
              </w:tabs>
              <w:spacing w:after="0" w:line="240" w:lineRule="auto"/>
              <w:ind w:left="360" w:hanging="360"/>
              <w:contextualSpacing/>
              <w:rPr>
                <w:sz w:val="20"/>
              </w:rPr>
            </w:pPr>
            <w:r w:rsidRPr="006735B3">
              <w:rPr>
                <w:sz w:val="20"/>
              </w:rPr>
              <w:t>Meat Boners and Slicers, and Slaughterers</w:t>
            </w:r>
          </w:p>
        </w:tc>
      </w:tr>
      <w:tr w:rsidR="00E72264" w:rsidRPr="00105A73" w14:paraId="48FEBC84" w14:textId="3F3B5930" w:rsidTr="000079CE">
        <w:trPr>
          <w:trHeight w:val="255"/>
        </w:trPr>
        <w:tc>
          <w:tcPr>
            <w:tcW w:w="2967" w:type="dxa"/>
            <w:shd w:val="clear" w:color="auto" w:fill="auto"/>
          </w:tcPr>
          <w:p w14:paraId="2CFAECE0" w14:textId="77777777" w:rsidR="00E72264" w:rsidRPr="00AD67CB" w:rsidRDefault="00E72264" w:rsidP="00061EDF">
            <w:r w:rsidRPr="00AD67CB">
              <w:rPr>
                <w:b/>
                <w:bCs/>
              </w:rPr>
              <w:t>Yet to be determined</w:t>
            </w:r>
          </w:p>
          <w:p w14:paraId="315E215F" w14:textId="77777777" w:rsidR="00E72264" w:rsidRPr="00632CE7" w:rsidRDefault="00E72264" w:rsidP="00061EDF">
            <w:pPr>
              <w:spacing w:after="0" w:line="240" w:lineRule="auto"/>
              <w:rPr>
                <w:rFonts w:eastAsia="Times New Roman" w:cs="Arial"/>
                <w:color w:val="FF0000"/>
                <w:lang w:eastAsia="en-AU"/>
              </w:rPr>
            </w:pPr>
            <w:r w:rsidRPr="00AD67CB">
              <w:rPr>
                <w:sz w:val="18"/>
                <w:szCs w:val="18"/>
              </w:rPr>
              <w:t>Further data and analysis required before these occupations can be confidently classified</w:t>
            </w:r>
          </w:p>
        </w:tc>
        <w:tc>
          <w:tcPr>
            <w:tcW w:w="3686" w:type="dxa"/>
            <w:shd w:val="clear" w:color="auto" w:fill="auto"/>
          </w:tcPr>
          <w:p w14:paraId="033304BE" w14:textId="77777777" w:rsidR="00E72264" w:rsidRPr="006735B3" w:rsidRDefault="00E72264" w:rsidP="00CB0BE2">
            <w:pPr>
              <w:pStyle w:val="ListParagraph"/>
              <w:numPr>
                <w:ilvl w:val="0"/>
                <w:numId w:val="11"/>
              </w:numPr>
              <w:spacing w:after="0" w:line="240" w:lineRule="auto"/>
              <w:rPr>
                <w:rFonts w:eastAsia="Times New Roman" w:cs="Arial"/>
                <w:sz w:val="20"/>
                <w:szCs w:val="20"/>
                <w:lang w:eastAsia="en-AU"/>
              </w:rPr>
            </w:pPr>
            <w:r w:rsidRPr="006735B3">
              <w:rPr>
                <w:sz w:val="20"/>
                <w:szCs w:val="20"/>
              </w:rPr>
              <w:t>Registered Nurses</w:t>
            </w:r>
          </w:p>
          <w:p w14:paraId="5749AE96" w14:textId="77777777" w:rsidR="00E72264" w:rsidRPr="006735B3" w:rsidRDefault="00E72264" w:rsidP="00CB0BE2">
            <w:pPr>
              <w:pStyle w:val="ListBullet"/>
              <w:numPr>
                <w:ilvl w:val="0"/>
                <w:numId w:val="11"/>
              </w:numPr>
              <w:spacing w:after="0" w:line="240" w:lineRule="auto"/>
              <w:contextualSpacing/>
              <w:rPr>
                <w:sz w:val="20"/>
              </w:rPr>
            </w:pPr>
            <w:r w:rsidRPr="006735B3">
              <w:rPr>
                <w:sz w:val="20"/>
              </w:rPr>
              <w:t>General Practitioners and Resident Medical Officers</w:t>
            </w:r>
          </w:p>
          <w:p w14:paraId="7557EBD2" w14:textId="1E9F4A45" w:rsidR="00E72264" w:rsidRPr="006735B3" w:rsidRDefault="00E72264" w:rsidP="00B61990">
            <w:pPr>
              <w:pStyle w:val="ListBullet"/>
              <w:numPr>
                <w:ilvl w:val="0"/>
                <w:numId w:val="11"/>
              </w:numPr>
              <w:spacing w:after="0" w:line="240" w:lineRule="auto"/>
              <w:contextualSpacing/>
              <w:rPr>
                <w:sz w:val="20"/>
              </w:rPr>
            </w:pPr>
            <w:r w:rsidRPr="006735B3">
              <w:rPr>
                <w:sz w:val="20"/>
              </w:rPr>
              <w:t>Mining Engineers</w:t>
            </w:r>
          </w:p>
        </w:tc>
        <w:tc>
          <w:tcPr>
            <w:tcW w:w="3544" w:type="dxa"/>
          </w:tcPr>
          <w:p w14:paraId="4B927BD1" w14:textId="77777777" w:rsidR="00E72264" w:rsidRPr="006735B3" w:rsidRDefault="00E72264" w:rsidP="00E72264">
            <w:pPr>
              <w:pStyle w:val="ListBullet"/>
              <w:numPr>
                <w:ilvl w:val="0"/>
                <w:numId w:val="11"/>
              </w:numPr>
              <w:spacing w:after="0" w:line="240" w:lineRule="auto"/>
              <w:contextualSpacing/>
              <w:rPr>
                <w:sz w:val="20"/>
              </w:rPr>
            </w:pPr>
            <w:r w:rsidRPr="006735B3">
              <w:rPr>
                <w:sz w:val="20"/>
              </w:rPr>
              <w:t>Truck Drivers</w:t>
            </w:r>
          </w:p>
          <w:p w14:paraId="62D952F0" w14:textId="77777777" w:rsidR="00E72264" w:rsidRPr="006735B3" w:rsidRDefault="00E72264" w:rsidP="00E72264">
            <w:pPr>
              <w:pStyle w:val="ListParagraph"/>
              <w:spacing w:after="0" w:line="240" w:lineRule="auto"/>
              <w:ind w:left="360"/>
              <w:rPr>
                <w:sz w:val="20"/>
                <w:szCs w:val="20"/>
              </w:rPr>
            </w:pPr>
          </w:p>
        </w:tc>
      </w:tr>
    </w:tbl>
    <w:p w14:paraId="7DF349B9" w14:textId="74A9DCE1" w:rsidR="00F503A1" w:rsidRPr="00F503A1" w:rsidRDefault="005D72C7" w:rsidP="00045E2F">
      <w:pPr>
        <w:rPr>
          <w:rFonts w:cs="Arial"/>
          <w:iCs/>
          <w:sz w:val="16"/>
          <w:szCs w:val="16"/>
        </w:rPr>
      </w:pPr>
      <w:r>
        <w:rPr>
          <w:rFonts w:cs="Arial"/>
          <w:iCs/>
          <w:sz w:val="16"/>
          <w:szCs w:val="16"/>
        </w:rPr>
        <w:t xml:space="preserve">* </w:t>
      </w:r>
      <w:r w:rsidR="00F503A1" w:rsidRPr="00F503A1">
        <w:rPr>
          <w:rFonts w:cs="Arial"/>
          <w:iCs/>
          <w:sz w:val="16"/>
          <w:szCs w:val="16"/>
        </w:rPr>
        <w:t>Please note: Contract, Program and Project Administrators</w:t>
      </w:r>
      <w:r w:rsidR="00F503A1">
        <w:rPr>
          <w:rFonts w:cs="Arial"/>
          <w:iCs/>
          <w:sz w:val="16"/>
          <w:szCs w:val="16"/>
        </w:rPr>
        <w:t xml:space="preserve"> is an occupation that is both in the top 20 in national demand, </w:t>
      </w:r>
      <w:r w:rsidR="0061247B">
        <w:rPr>
          <w:rFonts w:cs="Arial"/>
          <w:iCs/>
          <w:sz w:val="16"/>
          <w:szCs w:val="16"/>
        </w:rPr>
        <w:t>and in ANZCO Major Occupational Group 5. For the table above, this occupation is assigned to the t</w:t>
      </w:r>
      <w:r w:rsidR="0061247B" w:rsidRPr="0061247B">
        <w:rPr>
          <w:rFonts w:cs="Arial"/>
          <w:iCs/>
          <w:sz w:val="16"/>
          <w:szCs w:val="16"/>
        </w:rPr>
        <w:t>op 20 occupations in demand</w:t>
      </w:r>
      <w:r w:rsidR="0061247B">
        <w:rPr>
          <w:rFonts w:cs="Arial"/>
          <w:iCs/>
          <w:sz w:val="16"/>
          <w:szCs w:val="16"/>
        </w:rPr>
        <w:t xml:space="preserve"> column.</w:t>
      </w:r>
      <w:r w:rsidR="006B0445">
        <w:rPr>
          <w:rFonts w:cs="Arial"/>
          <w:iCs/>
          <w:sz w:val="16"/>
          <w:szCs w:val="16"/>
        </w:rPr>
        <w:t xml:space="preserve"> The occupations that are bolded report</w:t>
      </w:r>
      <w:r w:rsidR="00896EDC">
        <w:rPr>
          <w:rFonts w:cs="Arial"/>
          <w:iCs/>
          <w:sz w:val="16"/>
          <w:szCs w:val="16"/>
        </w:rPr>
        <w:t xml:space="preserve"> below average new applicants per vacancy.</w:t>
      </w:r>
    </w:p>
    <w:p w14:paraId="489273D1" w14:textId="6CB74728" w:rsidR="00045E2F" w:rsidRDefault="00045E2F" w:rsidP="00333EAD">
      <w:pPr>
        <w:rPr>
          <w:rFonts w:cs="Arial"/>
        </w:rPr>
      </w:pPr>
      <w:r w:rsidRPr="008D6B32">
        <w:t>Not all skill shortages are the same, and the challenges faced in findings workers vary by occupation. Further analysis using additional sources will contribute to a better understanding of skill shortages in the labour market and how best to address them.</w:t>
      </w:r>
      <w:r>
        <w:rPr>
          <w:rFonts w:cs="Arial"/>
        </w:rPr>
        <w:br w:type="page"/>
      </w:r>
    </w:p>
    <w:p w14:paraId="2428C826" w14:textId="7A814FD4" w:rsidR="00045E2F" w:rsidRPr="00BB36CB" w:rsidRDefault="00045E2F" w:rsidP="00045E2F">
      <w:pPr>
        <w:pStyle w:val="Heading1"/>
        <w:rPr>
          <w:rFonts w:cs="Arial"/>
        </w:rPr>
      </w:pPr>
      <w:bookmarkStart w:id="29" w:name="_Toc134785335"/>
      <w:r>
        <w:rPr>
          <w:rFonts w:cs="Arial"/>
        </w:rPr>
        <w:lastRenderedPageBreak/>
        <w:t xml:space="preserve">Deep dive into </w:t>
      </w:r>
      <w:r w:rsidR="00D1590A">
        <w:rPr>
          <w:rFonts w:cs="Arial"/>
        </w:rPr>
        <w:t xml:space="preserve">key skills needs for </w:t>
      </w:r>
      <w:r>
        <w:rPr>
          <w:rFonts w:cs="Arial"/>
        </w:rPr>
        <w:t>regional labour markets</w:t>
      </w:r>
      <w:bookmarkEnd w:id="29"/>
      <w:r>
        <w:rPr>
          <w:rFonts w:cs="Arial"/>
        </w:rPr>
        <w:t xml:space="preserve"> </w:t>
      </w:r>
    </w:p>
    <w:p w14:paraId="3382B0BA" w14:textId="5E751F21" w:rsidR="00990403" w:rsidRPr="00631CDE" w:rsidRDefault="00990403" w:rsidP="00990403">
      <w:pPr>
        <w:pStyle w:val="Heading3"/>
      </w:pPr>
      <w:bookmarkStart w:id="30" w:name="_Toc134785336"/>
      <w:r w:rsidRPr="00631CDE">
        <w:t>Key findings of deep dive</w:t>
      </w:r>
      <w:bookmarkEnd w:id="30"/>
    </w:p>
    <w:p w14:paraId="6033B2B3" w14:textId="67A9EB09" w:rsidR="00990403" w:rsidRPr="00631CDE" w:rsidRDefault="00990403" w:rsidP="00990403">
      <w:pPr>
        <w:pStyle w:val="ListParagraph"/>
        <w:numPr>
          <w:ilvl w:val="0"/>
          <w:numId w:val="27"/>
        </w:numPr>
      </w:pPr>
      <w:r w:rsidRPr="00631CDE">
        <w:t xml:space="preserve">Employers in regional areas are less likely to </w:t>
      </w:r>
      <w:r w:rsidR="00983DAA" w:rsidRPr="00631CDE">
        <w:t>use internet job boards, such as those reflected in JSA’s Internet Vacancy Index, to advertise vacancies tha</w:t>
      </w:r>
      <w:r w:rsidR="00285B0F" w:rsidRPr="00631CDE">
        <w:t>n is the case for employers in capital cities. However, once this differen</w:t>
      </w:r>
      <w:r w:rsidR="0004272C" w:rsidRPr="00631CDE">
        <w:t>ce</w:t>
      </w:r>
      <w:r w:rsidR="00285B0F" w:rsidRPr="00631CDE">
        <w:t xml:space="preserve"> in recruitment methods is </w:t>
      </w:r>
      <w:r w:rsidR="00A2048E" w:rsidRPr="00631CDE">
        <w:t>considered</w:t>
      </w:r>
      <w:r w:rsidR="00285B0F" w:rsidRPr="00631CDE">
        <w:t xml:space="preserve">, </w:t>
      </w:r>
      <w:r w:rsidR="00A2048E" w:rsidRPr="00631CDE">
        <w:t>overall vacancy rates (vacancies as a percentage of employment) in regional areas are similar to those of capital cities.</w:t>
      </w:r>
    </w:p>
    <w:p w14:paraId="4394A426" w14:textId="7CAAA3CA" w:rsidR="00A2048E" w:rsidRPr="00631CDE" w:rsidRDefault="004F00E5" w:rsidP="00990403">
      <w:pPr>
        <w:pStyle w:val="ListParagraph"/>
        <w:numPr>
          <w:ilvl w:val="0"/>
          <w:numId w:val="27"/>
        </w:numPr>
      </w:pPr>
      <w:r w:rsidRPr="00631CDE">
        <w:t xml:space="preserve">At the Greater Capital City Statistical Area (GCCSA) level, regions with high vacancy rates also tend to exhibit high rates of labour force participation. However, </w:t>
      </w:r>
      <w:r w:rsidR="00522465" w:rsidRPr="00631CDE">
        <w:t xml:space="preserve">when analysing more granular Statistical Area 4 (SA4) regions, the relationship between </w:t>
      </w:r>
      <w:r w:rsidR="00555675" w:rsidRPr="00631CDE">
        <w:t xml:space="preserve">participation rates and vacancy rates becomes less clear, as a range of other region-specific factors </w:t>
      </w:r>
      <w:r w:rsidR="000D42B8" w:rsidRPr="00631CDE">
        <w:t xml:space="preserve">influence </w:t>
      </w:r>
      <w:r w:rsidR="005E68E0" w:rsidRPr="00631CDE">
        <w:t>the level of</w:t>
      </w:r>
      <w:r w:rsidR="000D42B8" w:rsidRPr="00631CDE">
        <w:t xml:space="preserve"> labour force participation.</w:t>
      </w:r>
    </w:p>
    <w:p w14:paraId="69BD8D7E" w14:textId="29589D65" w:rsidR="000D42B8" w:rsidRPr="00631CDE" w:rsidRDefault="000D42B8" w:rsidP="00990403">
      <w:pPr>
        <w:pStyle w:val="ListParagraph"/>
        <w:numPr>
          <w:ilvl w:val="0"/>
          <w:numId w:val="27"/>
        </w:numPr>
      </w:pPr>
      <w:r w:rsidRPr="00631CDE">
        <w:t xml:space="preserve">Recruitment difficulty in regional areas remains </w:t>
      </w:r>
      <w:r w:rsidR="00AD2049" w:rsidRPr="00631CDE">
        <w:t xml:space="preserve">slightly </w:t>
      </w:r>
      <w:r w:rsidRPr="00631CDE">
        <w:t>higher than in capital cities</w:t>
      </w:r>
      <w:r w:rsidR="00D507E8" w:rsidRPr="00631CDE">
        <w:t>, in contrast to the pre-COVID trend of recruitment difficulty being higher in capital cities. There also tends to be a positive correlation between the share of employers that are recruiting and recruitment difficulty.</w:t>
      </w:r>
    </w:p>
    <w:p w14:paraId="37DFDA88" w14:textId="0F8386B5" w:rsidR="00735B16" w:rsidRPr="00631CDE" w:rsidRDefault="00DE7650" w:rsidP="00867405">
      <w:pPr>
        <w:pStyle w:val="ListParagraph"/>
        <w:numPr>
          <w:ilvl w:val="0"/>
          <w:numId w:val="27"/>
        </w:numPr>
      </w:pPr>
      <w:r w:rsidRPr="00631CDE">
        <w:t xml:space="preserve">The likelihood of filling an advertised vacancy (the fill rate) and </w:t>
      </w:r>
      <w:r w:rsidR="00875A94" w:rsidRPr="00631CDE">
        <w:t>key</w:t>
      </w:r>
      <w:r w:rsidRPr="00631CDE">
        <w:t xml:space="preserve"> applicant</w:t>
      </w:r>
      <w:r w:rsidR="00574039" w:rsidRPr="00631CDE">
        <w:t>-</w:t>
      </w:r>
      <w:r w:rsidRPr="00631CDE">
        <w:t>per</w:t>
      </w:r>
      <w:r w:rsidR="00574039" w:rsidRPr="00631CDE">
        <w:t>-</w:t>
      </w:r>
      <w:r w:rsidRPr="00631CDE">
        <w:t xml:space="preserve">vacancy metrics are higher in </w:t>
      </w:r>
      <w:r w:rsidR="00875A94" w:rsidRPr="00631CDE">
        <w:t>capital cities</w:t>
      </w:r>
      <w:r w:rsidRPr="00631CDE">
        <w:t xml:space="preserve"> than in regional areas.</w:t>
      </w:r>
      <w:r w:rsidR="00B70783" w:rsidRPr="00631CDE">
        <w:t xml:space="preserve"> This is despite regional employers requiring </w:t>
      </w:r>
      <w:r w:rsidR="00735B16" w:rsidRPr="00631CDE">
        <w:t xml:space="preserve">fewer years of relevant labour experience (on average) than employers in capital cities. </w:t>
      </w:r>
    </w:p>
    <w:p w14:paraId="479AF6FF" w14:textId="364F7981" w:rsidR="00D507E8" w:rsidRPr="00631CDE" w:rsidRDefault="005E68E0" w:rsidP="00990403">
      <w:pPr>
        <w:pStyle w:val="ListParagraph"/>
        <w:numPr>
          <w:ilvl w:val="0"/>
          <w:numId w:val="27"/>
        </w:numPr>
      </w:pPr>
      <w:r w:rsidRPr="00631CDE">
        <w:t>Regional employers are more likely to report ‘location’ as the reason vacant positions remained unfilled</w:t>
      </w:r>
      <w:r w:rsidR="005B7A57" w:rsidRPr="00631CDE">
        <w:t xml:space="preserve">. This is particularly true </w:t>
      </w:r>
      <w:r w:rsidRPr="00631CDE">
        <w:t>for regional employers</w:t>
      </w:r>
      <w:r w:rsidR="005B7A57" w:rsidRPr="00631CDE">
        <w:t xml:space="preserve"> of</w:t>
      </w:r>
      <w:r w:rsidRPr="00631CDE">
        <w:t xml:space="preserve"> Hospitality Workers, Construction Trades</w:t>
      </w:r>
      <w:r w:rsidR="009B19B7" w:rsidRPr="00631CDE">
        <w:t xml:space="preserve"> Workers</w:t>
      </w:r>
      <w:r w:rsidRPr="00631CDE">
        <w:t>, Skilled Animal, Agriculture and Horticulture Workers, ICT Professionals and Education Professionals.</w:t>
      </w:r>
    </w:p>
    <w:p w14:paraId="4907E804" w14:textId="3E6D691E" w:rsidR="00D12B7A" w:rsidRPr="00631CDE" w:rsidRDefault="00895329" w:rsidP="00D12B7A">
      <w:pPr>
        <w:pStyle w:val="ListParagraph"/>
        <w:numPr>
          <w:ilvl w:val="0"/>
          <w:numId w:val="27"/>
        </w:numPr>
      </w:pPr>
      <w:r w:rsidRPr="00631CDE">
        <w:t xml:space="preserve">Consistent with the findings of </w:t>
      </w:r>
      <w:r w:rsidR="00C6690E" w:rsidRPr="00631CDE">
        <w:t xml:space="preserve">a recent </w:t>
      </w:r>
      <w:r w:rsidRPr="00631CDE">
        <w:t xml:space="preserve">Parliamentary Committee review </w:t>
      </w:r>
      <w:r w:rsidR="00D12B7A" w:rsidRPr="00631CDE">
        <w:t xml:space="preserve">into the provision </w:t>
      </w:r>
      <w:r w:rsidR="004A48B4" w:rsidRPr="00631CDE">
        <w:t>of general practitioner and related primary health services</w:t>
      </w:r>
      <w:r w:rsidR="00D12B7A" w:rsidRPr="00631CDE">
        <w:t xml:space="preserve">, </w:t>
      </w:r>
      <w:r w:rsidR="00792290" w:rsidRPr="00631CDE">
        <w:t>many region</w:t>
      </w:r>
      <w:r w:rsidR="00CB6AB0" w:rsidRPr="00631CDE">
        <w:t>al areas</w:t>
      </w:r>
      <w:r w:rsidR="00834ECC" w:rsidRPr="00631CDE">
        <w:t xml:space="preserve"> </w:t>
      </w:r>
      <w:r w:rsidR="00792290" w:rsidRPr="00631CDE">
        <w:t xml:space="preserve">exhibit much higher </w:t>
      </w:r>
      <w:r w:rsidR="00CB6AB0" w:rsidRPr="00631CDE">
        <w:t xml:space="preserve">vacancy </w:t>
      </w:r>
      <w:r w:rsidR="00792290" w:rsidRPr="00631CDE">
        <w:t xml:space="preserve">ratios for General Practitioners and Resident Medical Officers than are </w:t>
      </w:r>
      <w:r w:rsidR="00CB6AB0" w:rsidRPr="00631CDE">
        <w:t>recorded for</w:t>
      </w:r>
      <w:r w:rsidR="00792290" w:rsidRPr="00631CDE">
        <w:t xml:space="preserve"> capital cities.</w:t>
      </w:r>
    </w:p>
    <w:p w14:paraId="5875F802" w14:textId="1E476F6B" w:rsidR="005A1A66" w:rsidRPr="00631CDE" w:rsidRDefault="00DE598E" w:rsidP="005A1A66">
      <w:pPr>
        <w:pStyle w:val="Heading3"/>
      </w:pPr>
      <w:bookmarkStart w:id="31" w:name="_Toc134785337"/>
      <w:r w:rsidRPr="00631CDE">
        <w:t xml:space="preserve">Recruitment methods vary across regions, which </w:t>
      </w:r>
      <w:r w:rsidR="00B35BBD" w:rsidRPr="00631CDE">
        <w:t>affects</w:t>
      </w:r>
      <w:r w:rsidR="005A1A66" w:rsidRPr="00631CDE">
        <w:t xml:space="preserve"> vacancy rat</w:t>
      </w:r>
      <w:r w:rsidR="00EA3451" w:rsidRPr="00631CDE">
        <w:t>e</w:t>
      </w:r>
      <w:r w:rsidR="004D6E96" w:rsidRPr="00631CDE">
        <w:t xml:space="preserve"> </w:t>
      </w:r>
      <w:r w:rsidR="00B35BBD" w:rsidRPr="00631CDE">
        <w:t>estimates</w:t>
      </w:r>
      <w:bookmarkEnd w:id="31"/>
      <w:r w:rsidR="00B35BBD" w:rsidRPr="00631CDE">
        <w:t xml:space="preserve"> </w:t>
      </w:r>
    </w:p>
    <w:p w14:paraId="10881E7F" w14:textId="78ED9918" w:rsidR="00854554" w:rsidRDefault="00854554" w:rsidP="00854554">
      <w:r w:rsidRPr="00631CDE">
        <w:t>To help gain a better understanding of regional skills pressures, an indicator based on the ratio of online job ads (IVI) to employment at the regional</w:t>
      </w:r>
      <w:r w:rsidRPr="0064562E">
        <w:t xml:space="preserve"> level, can be combined with findings from the </w:t>
      </w:r>
      <w:r w:rsidRPr="0064562E">
        <w:rPr>
          <w:rFonts w:cs="Arial"/>
        </w:rPr>
        <w:t>2022 Skills Priority List</w:t>
      </w:r>
      <w:r w:rsidRPr="0064562E">
        <w:t xml:space="preserve"> to test current labour demand pressures for occupations on a region-by-region basis</w:t>
      </w:r>
      <w:r w:rsidRPr="0064562E">
        <w:rPr>
          <w:rStyle w:val="FootnoteReference"/>
        </w:rPr>
        <w:footnoteReference w:id="20"/>
      </w:r>
      <w:r w:rsidRPr="0064562E">
        <w:t>.</w:t>
      </w:r>
      <w:r>
        <w:t xml:space="preserve"> </w:t>
      </w:r>
      <w:r w:rsidRPr="0064562E">
        <w:t xml:space="preserve">By examining similar figures for particular occupations that are assessed as being in shortage, the regions also experiencing high vacancy rates can also be identified. In effect, this provides an indication of the variations in regional skills pressures for any given occupation. </w:t>
      </w:r>
    </w:p>
    <w:p w14:paraId="0E7A9549" w14:textId="0DAEF7DF" w:rsidR="00EE6CB1" w:rsidRDefault="000C3A94" w:rsidP="00854554">
      <w:r>
        <w:t>However,</w:t>
      </w:r>
      <w:r w:rsidR="00CB7FF1">
        <w:t xml:space="preserve"> in making these comparisons,</w:t>
      </w:r>
      <w:r>
        <w:t xml:space="preserve"> it is also important to recognise that recruitment methods vary across regions</w:t>
      </w:r>
      <w:r w:rsidR="00255877">
        <w:t>. S</w:t>
      </w:r>
      <w:r w:rsidR="0027010F">
        <w:t>ome regions us</w:t>
      </w:r>
      <w:r w:rsidR="00255877">
        <w:t>e</w:t>
      </w:r>
      <w:r w:rsidR="0027010F">
        <w:t xml:space="preserve"> internet job boards (such as those captured in the IVI) for a high proportion of </w:t>
      </w:r>
      <w:r w:rsidR="005234FF">
        <w:t xml:space="preserve">their total recruitment activity, while other </w:t>
      </w:r>
      <w:r w:rsidR="00255877">
        <w:t>regions use internet job boards less frequently</w:t>
      </w:r>
      <w:r w:rsidR="00CB7FF1">
        <w:t>, focus</w:t>
      </w:r>
      <w:r w:rsidR="009377E5">
        <w:t>ing</w:t>
      </w:r>
      <w:r w:rsidR="00CB7FF1">
        <w:t xml:space="preserve"> more on</w:t>
      </w:r>
      <w:r w:rsidR="00EE6CB1">
        <w:t xml:space="preserve"> </w:t>
      </w:r>
      <w:r w:rsidR="00067813">
        <w:t xml:space="preserve">recruitment </w:t>
      </w:r>
      <w:r w:rsidR="005234FF">
        <w:t>methods</w:t>
      </w:r>
      <w:r w:rsidR="00EE6CB1">
        <w:t xml:space="preserve"> such as social media and word of mouth.</w:t>
      </w:r>
      <w:r w:rsidR="0058217B">
        <w:t xml:space="preserve"> Equally, REOS data shows that </w:t>
      </w:r>
      <w:r w:rsidR="00945D16">
        <w:t>internet job boards are more frequently</w:t>
      </w:r>
      <w:r w:rsidR="00425A54">
        <w:t xml:space="preserve"> used when</w:t>
      </w:r>
      <w:r w:rsidR="00945D16">
        <w:t xml:space="preserve"> in recruiting for higher skill level jobs.</w:t>
      </w:r>
    </w:p>
    <w:p w14:paraId="76B09D0A" w14:textId="75532C61" w:rsidR="003E3C17" w:rsidRDefault="00402E17" w:rsidP="00854554">
      <w:r>
        <w:t xml:space="preserve">JSA will be undertaking analysis </w:t>
      </w:r>
      <w:r w:rsidR="00E1128C">
        <w:t xml:space="preserve">in the coming months </w:t>
      </w:r>
      <w:r>
        <w:t>to develop estimates of a more comprehensive vacancy rate</w:t>
      </w:r>
      <w:r w:rsidR="003E3C17">
        <w:t xml:space="preserve"> that </w:t>
      </w:r>
      <w:r w:rsidR="004D1617">
        <w:t xml:space="preserve">considers </w:t>
      </w:r>
      <w:r w:rsidR="003E3C17">
        <w:t>the variations in recruitment methods observed between states and territories, between capital cities and regional areas, and between higher skill level and lower skill level jobs.</w:t>
      </w:r>
      <w:r w:rsidR="00163A69">
        <w:t xml:space="preserve"> However, </w:t>
      </w:r>
      <w:r w:rsidR="00F604E7">
        <w:t>at a headline level it is worth noting that:</w:t>
      </w:r>
    </w:p>
    <w:p w14:paraId="4B92F4F8" w14:textId="182A6221" w:rsidR="00FF2D4E" w:rsidRDefault="00F604E7" w:rsidP="00CB0BE2">
      <w:pPr>
        <w:pStyle w:val="ListParagraph"/>
        <w:numPr>
          <w:ilvl w:val="0"/>
          <w:numId w:val="19"/>
        </w:numPr>
      </w:pPr>
      <w:r>
        <w:t>The current national IVI vacancy rat</w:t>
      </w:r>
      <w:r w:rsidR="00BD6F6E">
        <w:t>io</w:t>
      </w:r>
      <w:r>
        <w:t xml:space="preserve"> is around 2</w:t>
      </w:r>
      <w:r w:rsidR="005F0C27">
        <w:t>.0</w:t>
      </w:r>
      <w:r>
        <w:t>% (based on 282,000 job ads and just under 14 million employed persons</w:t>
      </w:r>
      <w:r w:rsidR="00A15CA5">
        <w:t xml:space="preserve">). </w:t>
      </w:r>
      <w:r w:rsidR="00572741">
        <w:t>REOS data indicates that i</w:t>
      </w:r>
      <w:r w:rsidR="00A15CA5">
        <w:t>n 2022, around 63%</w:t>
      </w:r>
      <w:r w:rsidR="00572741">
        <w:t xml:space="preserve"> of all recruitment </w:t>
      </w:r>
      <w:r w:rsidR="002669C9">
        <w:t xml:space="preserve">activity </w:t>
      </w:r>
      <w:r w:rsidR="00572741">
        <w:t>used an internet job board</w:t>
      </w:r>
      <w:r w:rsidR="00FF2D4E">
        <w:t>, inferring that a comprehensive national vacancy rate would be around 3.2%.</w:t>
      </w:r>
    </w:p>
    <w:p w14:paraId="138F3C4A" w14:textId="40C93FE6" w:rsidR="00FF2D4E" w:rsidRDefault="00FF2D4E" w:rsidP="00CB0BE2">
      <w:pPr>
        <w:pStyle w:val="ListParagraph"/>
        <w:numPr>
          <w:ilvl w:val="0"/>
          <w:numId w:val="19"/>
        </w:numPr>
      </w:pPr>
      <w:r>
        <w:t>For capital cities, the current national IVI vacancy rat</w:t>
      </w:r>
      <w:r w:rsidR="00BD6F6E">
        <w:t>io</w:t>
      </w:r>
      <w:r>
        <w:t xml:space="preserve"> is around 2.2%. REOS data indicates that in 2022, around 6</w:t>
      </w:r>
      <w:r w:rsidR="000F5C21">
        <w:t>8</w:t>
      </w:r>
      <w:r>
        <w:t xml:space="preserve">% of all recruitment </w:t>
      </w:r>
      <w:r w:rsidR="002669C9">
        <w:t xml:space="preserve">activity </w:t>
      </w:r>
      <w:r>
        <w:t xml:space="preserve">used an internet job board, inferring that a comprehensive </w:t>
      </w:r>
      <w:r w:rsidR="000F5C21">
        <w:t>capital city</w:t>
      </w:r>
      <w:r>
        <w:t xml:space="preserve"> vacancy rate would be around 3.2%.</w:t>
      </w:r>
    </w:p>
    <w:p w14:paraId="15F264FC" w14:textId="174D168F" w:rsidR="005E15C6" w:rsidRDefault="005E15C6" w:rsidP="00CB0BE2">
      <w:pPr>
        <w:pStyle w:val="ListParagraph"/>
        <w:numPr>
          <w:ilvl w:val="0"/>
          <w:numId w:val="19"/>
        </w:numPr>
      </w:pPr>
      <w:r>
        <w:lastRenderedPageBreak/>
        <w:t>For regional areas outside of capital cities, the current national IVI vacancy rat</w:t>
      </w:r>
      <w:r w:rsidR="00BD6F6E">
        <w:t>io</w:t>
      </w:r>
      <w:r>
        <w:t xml:space="preserve"> is around 1.6%. REOS data indicates that in 2022, around 53% of all recruitment </w:t>
      </w:r>
      <w:r w:rsidR="002669C9">
        <w:t xml:space="preserve">activity </w:t>
      </w:r>
      <w:r>
        <w:t xml:space="preserve">used an internet job board, inferring that a comprehensive </w:t>
      </w:r>
      <w:r w:rsidR="007D0EBE">
        <w:t>regional area</w:t>
      </w:r>
      <w:r>
        <w:t xml:space="preserve"> vacancy rate would be around 3.0%.</w:t>
      </w:r>
    </w:p>
    <w:p w14:paraId="4E171951" w14:textId="57B55BC3" w:rsidR="003A0F02" w:rsidRDefault="00E34029" w:rsidP="00854554">
      <w:r>
        <w:t xml:space="preserve">While the following analysis </w:t>
      </w:r>
      <w:r w:rsidR="00985D86">
        <w:t>reflects IVI vacancy rat</w:t>
      </w:r>
      <w:r w:rsidR="0087083B">
        <w:t>io</w:t>
      </w:r>
      <w:r w:rsidR="00985D86">
        <w:t xml:space="preserve">s alone, it is worth understanding </w:t>
      </w:r>
      <w:r w:rsidR="002669C9">
        <w:t>difference</w:t>
      </w:r>
      <w:r w:rsidR="00297EBD">
        <w:t>s</w:t>
      </w:r>
      <w:r w:rsidR="002669C9">
        <w:t xml:space="preserve"> in recruitment methods</w:t>
      </w:r>
      <w:r w:rsidR="00446C45">
        <w:t xml:space="preserve"> when compar</w:t>
      </w:r>
      <w:r w:rsidR="00297EBD">
        <w:t>ing</w:t>
      </w:r>
      <w:r w:rsidR="00446C45">
        <w:t xml:space="preserve"> results</w:t>
      </w:r>
      <w:r w:rsidR="00297EBD">
        <w:t xml:space="preserve">, </w:t>
      </w:r>
      <w:r w:rsidR="00446C45">
        <w:t xml:space="preserve">particularly </w:t>
      </w:r>
      <w:r w:rsidR="00297EBD">
        <w:t>between</w:t>
      </w:r>
      <w:r w:rsidR="0073218C">
        <w:t xml:space="preserve"> </w:t>
      </w:r>
      <w:r w:rsidR="00446C45">
        <w:t>capital cit</w:t>
      </w:r>
      <w:r w:rsidR="0073218C">
        <w:t>ies</w:t>
      </w:r>
      <w:r w:rsidR="00446C45">
        <w:t xml:space="preserve"> </w:t>
      </w:r>
      <w:r w:rsidR="00297EBD">
        <w:t>and</w:t>
      </w:r>
      <w:r w:rsidR="0073218C">
        <w:t xml:space="preserve"> regional areas.</w:t>
      </w:r>
      <w:r w:rsidR="00402E17">
        <w:t xml:space="preserve"> </w:t>
      </w:r>
      <w:r w:rsidR="005234FF">
        <w:t xml:space="preserve"> </w:t>
      </w:r>
    </w:p>
    <w:p w14:paraId="1BBE053E" w14:textId="040E2E36" w:rsidR="00D33650" w:rsidRDefault="00360316" w:rsidP="00D33650">
      <w:pPr>
        <w:pStyle w:val="Heading3"/>
      </w:pPr>
      <w:bookmarkStart w:id="32" w:name="_Toc134785338"/>
      <w:r>
        <w:t xml:space="preserve">Regional participation rates are driven by many factors, including </w:t>
      </w:r>
      <w:r w:rsidR="00945F84">
        <w:t xml:space="preserve">(but not limited to) </w:t>
      </w:r>
      <w:r w:rsidR="00D33650">
        <w:t>vacancy rates</w:t>
      </w:r>
      <w:bookmarkEnd w:id="32"/>
    </w:p>
    <w:p w14:paraId="0529096A" w14:textId="167452B8" w:rsidR="007A3D25" w:rsidRDefault="006071A0" w:rsidP="007A3D25">
      <w:r>
        <w:t>Australia’s l</w:t>
      </w:r>
      <w:r w:rsidR="007A3D25">
        <w:t xml:space="preserve">abour market strength has been broadly based, with high levels of job advertisements across the states and territories, as well as low rates of unemployment and high rates of labour force participation, as strong labour market conditions have encouraged more people to enter the labour force. </w:t>
      </w:r>
    </w:p>
    <w:p w14:paraId="3236C786" w14:textId="3DE5F47C" w:rsidR="007A3D25" w:rsidRPr="00BD2DE9" w:rsidRDefault="007A3D25" w:rsidP="007A3D25">
      <w:r>
        <w:t xml:space="preserve">The </w:t>
      </w:r>
      <w:r w:rsidRPr="00BD2DE9">
        <w:t xml:space="preserve">vacancy rate (job vacancies as a share of employment) can also be a useful indicator of underlying labour market dynamism. </w:t>
      </w:r>
      <w:bookmarkStart w:id="33" w:name="_Hlk133583052"/>
      <w:r w:rsidRPr="00BD2DE9">
        <w:t xml:space="preserve">Unsurprisingly, given the strong labour market conditions currently prevailing, the </w:t>
      </w:r>
      <w:r w:rsidR="005F0C27" w:rsidRPr="00BD2DE9">
        <w:t xml:space="preserve">IVI </w:t>
      </w:r>
      <w:r w:rsidRPr="00BD2DE9">
        <w:t>vacancy rat</w:t>
      </w:r>
      <w:r w:rsidR="005F0C27" w:rsidRPr="00BD2DE9">
        <w:t>io</w:t>
      </w:r>
      <w:r w:rsidRPr="00BD2DE9">
        <w:t xml:space="preserve"> remains high, at </w:t>
      </w:r>
      <w:r w:rsidR="005F0C27" w:rsidRPr="00BD2DE9">
        <w:t xml:space="preserve">around </w:t>
      </w:r>
      <w:r w:rsidRPr="00BD2DE9">
        <w:t>2.0%, well above the recent low of 0.9% recorded in September 2020.</w:t>
      </w:r>
      <w:bookmarkEnd w:id="33"/>
      <w:r w:rsidR="00D33650" w:rsidRPr="00BD2DE9">
        <w:t xml:space="preserve"> </w:t>
      </w:r>
      <w:r w:rsidR="00F85FDA" w:rsidRPr="00BD2DE9">
        <w:t>Figure 1</w:t>
      </w:r>
      <w:r w:rsidR="007D03B0" w:rsidRPr="00BD2DE9">
        <w:t>2</w:t>
      </w:r>
      <w:r w:rsidRPr="00BD2DE9">
        <w:t>, below (left panel), plots the working age (15-64 years) participation rate against the IVI vacancy rat</w:t>
      </w:r>
      <w:r w:rsidR="00295D7B" w:rsidRPr="00BD2DE9">
        <w:t>io</w:t>
      </w:r>
      <w:r w:rsidRPr="00BD2DE9">
        <w:t>.</w:t>
      </w:r>
      <w:r w:rsidRPr="00BD2DE9">
        <w:rPr>
          <w:rStyle w:val="FootnoteReference"/>
        </w:rPr>
        <w:footnoteReference w:id="21"/>
      </w:r>
      <w:r w:rsidRPr="00BD2DE9">
        <w:t xml:space="preserve"> As illustrated, at the Greater Capital City Statistical Area (GCCSA) level,</w:t>
      </w:r>
      <w:r w:rsidRPr="00BD2DE9">
        <w:rPr>
          <w:rStyle w:val="FootnoteReference"/>
        </w:rPr>
        <w:footnoteReference w:id="22"/>
      </w:r>
      <w:r w:rsidRPr="00BD2DE9">
        <w:t xml:space="preserve"> regions with high vacancy rates also tend to exhibit high rates of labour force participation.</w:t>
      </w:r>
    </w:p>
    <w:p w14:paraId="7A9129DB" w14:textId="0CAF4858" w:rsidR="007A3D25" w:rsidRPr="00BD2DE9" w:rsidRDefault="00F85FDA" w:rsidP="007A3D25">
      <w:pPr>
        <w:rPr>
          <w:b/>
          <w:bCs/>
        </w:rPr>
      </w:pPr>
      <w:r w:rsidRPr="00BD2DE9">
        <w:rPr>
          <w:b/>
          <w:bCs/>
        </w:rPr>
        <w:t>Figure 1</w:t>
      </w:r>
      <w:r w:rsidR="007D03B0" w:rsidRPr="00BD2DE9">
        <w:rPr>
          <w:b/>
          <w:bCs/>
        </w:rPr>
        <w:t>2</w:t>
      </w:r>
      <w:r w:rsidR="007A3D25" w:rsidRPr="00BD2DE9">
        <w:rPr>
          <w:b/>
          <w:bCs/>
        </w:rPr>
        <w:t>: Scatter plots of the working age participation rate and the IVI vacancy rat</w:t>
      </w:r>
      <w:r w:rsidR="00AD0499" w:rsidRPr="00BD2DE9">
        <w:rPr>
          <w:b/>
          <w:bCs/>
        </w:rPr>
        <w:t>io</w:t>
      </w:r>
      <w:r w:rsidR="007A3D25" w:rsidRPr="00BD2DE9">
        <w:rPr>
          <w:b/>
          <w:bCs/>
        </w:rPr>
        <w:t xml:space="preserve"> by GCCSA, February 2023</w:t>
      </w:r>
    </w:p>
    <w:p w14:paraId="2DFFB005" w14:textId="77777777" w:rsidR="007A3D25" w:rsidRPr="00BD2DE9" w:rsidRDefault="007A3D25" w:rsidP="007A3D25">
      <w:r w:rsidRPr="00BD2DE9">
        <w:rPr>
          <w:noProof/>
        </w:rPr>
        <w:drawing>
          <wp:inline distT="0" distB="0" distL="0" distR="0" wp14:anchorId="472DF446" wp14:editId="37E81290">
            <wp:extent cx="2808000" cy="2700000"/>
            <wp:effectExtent l="0" t="0" r="0" b="5715"/>
            <wp:docPr id="4" name="Chart 4" descr="Figure 12: Scatter plots of the working age participation rate and the IVI vacancy ratio by GCCSA, February 2023&#10;Figure 12 shows two side-by-side scatter plots. The left chart is a scatterplot of the participation rate (y-axis) and the vacancy ratio (x-axis), for each Capital City and Rest of State region, based on the 6-month average of these results to February 2023. It shows that regions with high vacancy rates also tend to exhibit high rates of labour force participation.&#10;">
              <a:extLst xmlns:a="http://schemas.openxmlformats.org/drawingml/2006/main">
                <a:ext uri="{FF2B5EF4-FFF2-40B4-BE49-F238E27FC236}">
                  <a16:creationId xmlns:a16="http://schemas.microsoft.com/office/drawing/2014/main" id="{51340BCA-B437-45B9-87E8-A99E8EE24A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BD2DE9">
        <w:rPr>
          <w:noProof/>
        </w:rPr>
        <w:drawing>
          <wp:inline distT="0" distB="0" distL="0" distR="0" wp14:anchorId="4788E2A8" wp14:editId="0E4D028E">
            <wp:extent cx="2808000" cy="2700000"/>
            <wp:effectExtent l="0" t="0" r="0" b="5715"/>
            <wp:docPr id="18" name="Chart 18" descr="Figure 12: Scatter plots of the working age participation rate and the IVI vacancy ratio by GCCSA, February 2023&#10;The right chart is a scatterplot of the participation rate (y-axis) and the vacancy ratio (x-axis), for each Capital City and Rest of State region, based on the 6-month average of these results for three different periods of time – the six months to February 2023, February 2022 and February 2018. It shows that regions with high vacancy rates also tended to exhibit high rates of labour force participation, for all three of the time periods chosen.">
              <a:extLst xmlns:a="http://schemas.openxmlformats.org/drawingml/2006/main">
                <a:ext uri="{FF2B5EF4-FFF2-40B4-BE49-F238E27FC236}">
                  <a16:creationId xmlns:a16="http://schemas.microsoft.com/office/drawing/2014/main" id="{F102CF4A-3392-96D1-E126-83D8056D99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CC21AC0" w14:textId="77777777" w:rsidR="002C6D13" w:rsidRPr="00BD2DE9" w:rsidRDefault="002C6D13" w:rsidP="002C6D13">
      <w:pPr>
        <w:pStyle w:val="Source"/>
      </w:pPr>
      <w:r w:rsidRPr="00BD2DE9">
        <w:rPr>
          <w:i w:val="0"/>
          <w:iCs/>
        </w:rPr>
        <w:t>JSA,</w:t>
      </w:r>
      <w:r w:rsidRPr="00BD2DE9">
        <w:t xml:space="preserve"> </w:t>
      </w:r>
      <w:r w:rsidRPr="00BD2DE9">
        <w:rPr>
          <w:iCs/>
        </w:rPr>
        <w:t>Internet Vacancy Index</w:t>
      </w:r>
      <w:r w:rsidRPr="00BD2DE9">
        <w:t xml:space="preserve">, </w:t>
      </w:r>
      <w:r w:rsidRPr="00BD2DE9">
        <w:rPr>
          <w:i w:val="0"/>
          <w:iCs/>
        </w:rPr>
        <w:t>February 2023</w:t>
      </w:r>
      <w:r w:rsidRPr="00BD2DE9">
        <w:t xml:space="preserve">; </w:t>
      </w:r>
      <w:r w:rsidRPr="00BD2DE9">
        <w:rPr>
          <w:i w:val="0"/>
          <w:iCs/>
        </w:rPr>
        <w:t>JSA</w:t>
      </w:r>
      <w:r w:rsidRPr="00BD2DE9">
        <w:t xml:space="preserve">, </w:t>
      </w:r>
      <w:r w:rsidRPr="00BD2DE9">
        <w:rPr>
          <w:iCs/>
        </w:rPr>
        <w:t>Nowcast of Employment by Region and Occupation</w:t>
      </w:r>
      <w:r w:rsidRPr="00BD2DE9">
        <w:t xml:space="preserve">, </w:t>
      </w:r>
      <w:r w:rsidRPr="00BD2DE9">
        <w:rPr>
          <w:i w:val="0"/>
          <w:iCs/>
        </w:rPr>
        <w:t>February 2023</w:t>
      </w:r>
      <w:r w:rsidRPr="00BD2DE9">
        <w:t xml:space="preserve">; </w:t>
      </w:r>
      <w:r w:rsidRPr="00BD2DE9">
        <w:rPr>
          <w:i w:val="0"/>
          <w:iCs/>
        </w:rPr>
        <w:t>ABS</w:t>
      </w:r>
      <w:r w:rsidRPr="00BD2DE9">
        <w:t xml:space="preserve">, </w:t>
      </w:r>
      <w:r w:rsidRPr="00BD2DE9">
        <w:rPr>
          <w:iCs/>
        </w:rPr>
        <w:t xml:space="preserve">Labour Force, Australia, Detailed, </w:t>
      </w:r>
      <w:r w:rsidRPr="00BD2DE9">
        <w:rPr>
          <w:i w:val="0"/>
          <w:iCs/>
        </w:rPr>
        <w:t>February 2023. All data are in 6-month average terms.</w:t>
      </w:r>
    </w:p>
    <w:p w14:paraId="63481B77" w14:textId="77777777" w:rsidR="006B499E" w:rsidRPr="00BD2DE9" w:rsidRDefault="007A3D25" w:rsidP="007A3D25">
      <w:r w:rsidRPr="00BD2DE9">
        <w:t xml:space="preserve">The left scatter plot shows that there is a clear relationship between the participation rate and the vacancy rate although the correlation also tends to vary (as shown in the right panel). It is worth noting, however, that current labour market conditions are stronger than normal. It is a little unclear, therefore, about the extent to which this relationship would hold during periods of somewhat softer labour market conditions. </w:t>
      </w:r>
    </w:p>
    <w:p w14:paraId="39E6008D" w14:textId="62469757" w:rsidR="00371E5E" w:rsidRPr="00BD2DE9" w:rsidRDefault="006B499E" w:rsidP="00371E5E">
      <w:r w:rsidRPr="00BD2DE9">
        <w:t>R</w:t>
      </w:r>
      <w:r w:rsidR="007A3D25" w:rsidRPr="00BD2DE9">
        <w:t>egional labour market characteristics, and their impact on participation rates, can be complex, so it is unsurprising that the degree to which high vacancy rates are associated with high rates of labour force participation varies somewhat, even at the GCCSA level.</w:t>
      </w:r>
      <w:r w:rsidR="007A3D25" w:rsidRPr="00BD2DE9">
        <w:rPr>
          <w:rStyle w:val="FootnoteReference"/>
        </w:rPr>
        <w:footnoteReference w:id="23"/>
      </w:r>
      <w:r w:rsidR="007A3D25" w:rsidRPr="00BD2DE9">
        <w:t xml:space="preserve"> </w:t>
      </w:r>
      <w:r w:rsidR="002672E3" w:rsidRPr="00BD2DE9">
        <w:t>Indeed</w:t>
      </w:r>
      <w:r w:rsidR="00371E5E" w:rsidRPr="00BD2DE9">
        <w:t xml:space="preserve">, as shown in Figure </w:t>
      </w:r>
      <w:r w:rsidR="006B0850" w:rsidRPr="00BD2DE9">
        <w:t>1</w:t>
      </w:r>
      <w:r w:rsidR="007D03B0" w:rsidRPr="00BD2DE9">
        <w:t>3</w:t>
      </w:r>
      <w:r w:rsidR="002672E3" w:rsidRPr="00BD2DE9">
        <w:t>,</w:t>
      </w:r>
      <w:r w:rsidR="00371E5E" w:rsidRPr="00BD2DE9">
        <w:t xml:space="preserve"> the relationship between the participation and vacancy rate is substantially weaker at the Statistical Area 4 (SA4) level. </w:t>
      </w:r>
    </w:p>
    <w:p w14:paraId="0F1F5D0E" w14:textId="3F633BF1" w:rsidR="007A3D25" w:rsidRPr="00BD2DE9" w:rsidRDefault="00295D7B" w:rsidP="007A3D25">
      <w:pPr>
        <w:rPr>
          <w:b/>
          <w:bCs/>
        </w:rPr>
      </w:pPr>
      <w:r w:rsidRPr="00BD2DE9">
        <w:rPr>
          <w:b/>
          <w:bCs/>
        </w:rPr>
        <w:lastRenderedPageBreak/>
        <w:t xml:space="preserve">Figure </w:t>
      </w:r>
      <w:r w:rsidR="006B0850" w:rsidRPr="00BD2DE9">
        <w:rPr>
          <w:b/>
          <w:bCs/>
        </w:rPr>
        <w:t>1</w:t>
      </w:r>
      <w:r w:rsidR="007D03B0" w:rsidRPr="00BD2DE9">
        <w:rPr>
          <w:b/>
          <w:bCs/>
        </w:rPr>
        <w:t>3</w:t>
      </w:r>
      <w:r w:rsidR="007A3D25" w:rsidRPr="00BD2DE9">
        <w:rPr>
          <w:b/>
          <w:bCs/>
        </w:rPr>
        <w:t>: Scatter plot of the working age participation rate and the IVI-NERO vacancy rate by SA4, February 2023</w:t>
      </w:r>
    </w:p>
    <w:p w14:paraId="414191E4" w14:textId="77777777" w:rsidR="007A3D25" w:rsidRPr="00BD2DE9" w:rsidRDefault="007A3D25" w:rsidP="007A3D25">
      <w:pPr>
        <w:spacing w:after="0"/>
      </w:pPr>
      <w:r w:rsidRPr="00BD2DE9">
        <w:rPr>
          <w:noProof/>
        </w:rPr>
        <w:drawing>
          <wp:inline distT="0" distB="0" distL="0" distR="0" wp14:anchorId="76F61CFF" wp14:editId="0BD26CAD">
            <wp:extent cx="3657600" cy="2721254"/>
            <wp:effectExtent l="0" t="0" r="0" b="3175"/>
            <wp:docPr id="3" name="Chart 3" descr="Figure 13: Scatter plot of the working age participation rate and the IVI-NERO vacancy rate by SA4, February 2023&#10;Figure 13 is a scatterplot of the participation rate (y-axis) and the vacancy ratio (x-axis), for each Statistical Area 4 region (almost 90 regions in total), based on the 6-month average of these results to February 2023. It shows a large cluster of regions that have similar participation rates and vacancy rates to each other, but also a small number of regions were participation rates are much lower, despite having similar vacancy ratios to other regions.&#10;">
              <a:extLst xmlns:a="http://schemas.openxmlformats.org/drawingml/2006/main">
                <a:ext uri="{FF2B5EF4-FFF2-40B4-BE49-F238E27FC236}">
                  <a16:creationId xmlns:a16="http://schemas.microsoft.com/office/drawing/2014/main" id="{BCBB8707-F971-48C2-8FDC-3B5A8098C5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B86AD53" w14:textId="0EB659EE" w:rsidR="007A3D25" w:rsidRPr="00BD2DE9" w:rsidRDefault="007A3D25" w:rsidP="00F6268A">
      <w:pPr>
        <w:pStyle w:val="Source"/>
      </w:pPr>
      <w:r w:rsidRPr="00BD2DE9">
        <w:rPr>
          <w:i w:val="0"/>
          <w:iCs/>
        </w:rPr>
        <w:t>J</w:t>
      </w:r>
      <w:r w:rsidR="0083585D" w:rsidRPr="00BD2DE9">
        <w:rPr>
          <w:i w:val="0"/>
          <w:iCs/>
        </w:rPr>
        <w:t>SA</w:t>
      </w:r>
      <w:r w:rsidRPr="00BD2DE9">
        <w:rPr>
          <w:i w:val="0"/>
          <w:iCs/>
        </w:rPr>
        <w:t>,</w:t>
      </w:r>
      <w:r w:rsidRPr="00BD2DE9">
        <w:t xml:space="preserve"> </w:t>
      </w:r>
      <w:r w:rsidRPr="00BD2DE9">
        <w:rPr>
          <w:iCs/>
        </w:rPr>
        <w:t>I</w:t>
      </w:r>
      <w:r w:rsidR="0083585D" w:rsidRPr="00BD2DE9">
        <w:rPr>
          <w:iCs/>
        </w:rPr>
        <w:t xml:space="preserve">nternet </w:t>
      </w:r>
      <w:r w:rsidRPr="00BD2DE9">
        <w:rPr>
          <w:iCs/>
        </w:rPr>
        <w:t>V</w:t>
      </w:r>
      <w:r w:rsidR="0083585D" w:rsidRPr="00BD2DE9">
        <w:rPr>
          <w:iCs/>
        </w:rPr>
        <w:t xml:space="preserve">acancy </w:t>
      </w:r>
      <w:r w:rsidRPr="00BD2DE9">
        <w:rPr>
          <w:iCs/>
        </w:rPr>
        <w:t>I</w:t>
      </w:r>
      <w:r w:rsidR="0083585D" w:rsidRPr="00BD2DE9">
        <w:rPr>
          <w:iCs/>
        </w:rPr>
        <w:t>ndex</w:t>
      </w:r>
      <w:r w:rsidRPr="00BD2DE9">
        <w:t xml:space="preserve">, </w:t>
      </w:r>
      <w:r w:rsidRPr="00BD2DE9">
        <w:rPr>
          <w:i w:val="0"/>
          <w:iCs/>
        </w:rPr>
        <w:t>February 2023</w:t>
      </w:r>
      <w:r w:rsidRPr="00BD2DE9">
        <w:t xml:space="preserve">; </w:t>
      </w:r>
      <w:r w:rsidR="002C6D13" w:rsidRPr="00BD2DE9">
        <w:rPr>
          <w:i w:val="0"/>
          <w:iCs/>
        </w:rPr>
        <w:t>JSA</w:t>
      </w:r>
      <w:r w:rsidRPr="00BD2DE9">
        <w:t xml:space="preserve">, </w:t>
      </w:r>
      <w:r w:rsidRPr="00BD2DE9">
        <w:rPr>
          <w:iCs/>
        </w:rPr>
        <w:t>N</w:t>
      </w:r>
      <w:r w:rsidR="0083585D" w:rsidRPr="00BD2DE9">
        <w:rPr>
          <w:iCs/>
        </w:rPr>
        <w:t xml:space="preserve">owcast of </w:t>
      </w:r>
      <w:r w:rsidRPr="00BD2DE9">
        <w:rPr>
          <w:iCs/>
        </w:rPr>
        <w:t>E</w:t>
      </w:r>
      <w:r w:rsidR="0083585D" w:rsidRPr="00BD2DE9">
        <w:rPr>
          <w:iCs/>
        </w:rPr>
        <w:t xml:space="preserve">mployment by </w:t>
      </w:r>
      <w:r w:rsidRPr="00BD2DE9">
        <w:rPr>
          <w:iCs/>
        </w:rPr>
        <w:t>R</w:t>
      </w:r>
      <w:r w:rsidR="0083585D" w:rsidRPr="00BD2DE9">
        <w:rPr>
          <w:iCs/>
        </w:rPr>
        <w:t xml:space="preserve">egion and </w:t>
      </w:r>
      <w:r w:rsidRPr="00BD2DE9">
        <w:rPr>
          <w:iCs/>
        </w:rPr>
        <w:t>O</w:t>
      </w:r>
      <w:r w:rsidR="0083585D" w:rsidRPr="00BD2DE9">
        <w:rPr>
          <w:iCs/>
        </w:rPr>
        <w:t>ccupation</w:t>
      </w:r>
      <w:r w:rsidRPr="00BD2DE9">
        <w:t xml:space="preserve">, </w:t>
      </w:r>
      <w:r w:rsidRPr="00BD2DE9">
        <w:rPr>
          <w:i w:val="0"/>
          <w:iCs/>
        </w:rPr>
        <w:t>February 2023</w:t>
      </w:r>
      <w:r w:rsidRPr="00BD2DE9">
        <w:t xml:space="preserve">; </w:t>
      </w:r>
      <w:r w:rsidRPr="00BD2DE9">
        <w:rPr>
          <w:i w:val="0"/>
          <w:iCs/>
        </w:rPr>
        <w:t>ABS</w:t>
      </w:r>
      <w:r w:rsidRPr="00BD2DE9">
        <w:t xml:space="preserve">, </w:t>
      </w:r>
      <w:r w:rsidRPr="00BD2DE9">
        <w:rPr>
          <w:iCs/>
        </w:rPr>
        <w:t xml:space="preserve">Labour Force, Australia, Detailed, </w:t>
      </w:r>
      <w:r w:rsidRPr="00BD2DE9">
        <w:rPr>
          <w:i w:val="0"/>
          <w:iCs/>
        </w:rPr>
        <w:t>February 2023. All data are in 6-month average terms.</w:t>
      </w:r>
    </w:p>
    <w:p w14:paraId="3D624D7A" w14:textId="23F93896" w:rsidR="007A3D25" w:rsidRPr="00BD2DE9" w:rsidRDefault="007A3D25" w:rsidP="007A3D25">
      <w:r w:rsidRPr="00BD2DE9">
        <w:t>While it is clear that the strength of underlying labour market conditions has a direct impact on the participation rate, some regions have a low participation rate that cannot readily be explained by the vacancy rate alone. Indeed, a number of factors can influence a region’s participation rate, including:</w:t>
      </w:r>
    </w:p>
    <w:p w14:paraId="7F43202D" w14:textId="77777777" w:rsidR="007A3D25" w:rsidRPr="00BD2DE9" w:rsidRDefault="007A3D25" w:rsidP="00CB0BE2">
      <w:pPr>
        <w:pStyle w:val="ListParagraph"/>
        <w:numPr>
          <w:ilvl w:val="0"/>
          <w:numId w:val="24"/>
        </w:numPr>
      </w:pPr>
      <w:r w:rsidRPr="00BD2DE9">
        <w:t>Age profile – regions with older populations (i.e. with a larger share of their population in older age cohorts) tend to have lower rates of labour force participation;</w:t>
      </w:r>
    </w:p>
    <w:p w14:paraId="4D365CE7" w14:textId="421006A5" w:rsidR="007A3D25" w:rsidRPr="00BD2DE9" w:rsidRDefault="007A3D25" w:rsidP="00CB0BE2">
      <w:pPr>
        <w:pStyle w:val="ListParagraph"/>
        <w:numPr>
          <w:ilvl w:val="0"/>
          <w:numId w:val="24"/>
        </w:numPr>
      </w:pPr>
      <w:r w:rsidRPr="00BD2DE9">
        <w:t>Human capital (i.e. level of education) – lower levels of educational attainment are associated with lower rates of labour force participation</w:t>
      </w:r>
      <w:r w:rsidR="00E70BCF">
        <w:t>;</w:t>
      </w:r>
    </w:p>
    <w:p w14:paraId="3996DBD1" w14:textId="77777777" w:rsidR="007A3D25" w:rsidRPr="00BD2DE9" w:rsidRDefault="007A3D25" w:rsidP="00CB0BE2">
      <w:pPr>
        <w:pStyle w:val="ListParagraph"/>
        <w:numPr>
          <w:ilvl w:val="0"/>
          <w:numId w:val="24"/>
        </w:numPr>
      </w:pPr>
      <w:r w:rsidRPr="00BD2DE9">
        <w:t xml:space="preserve">Transport infrastructure and population density – if fewer jobs are within travelling distance, it is also less likely that job seekers will be matched to jobs in that region; </w:t>
      </w:r>
    </w:p>
    <w:p w14:paraId="6B7BA8DB" w14:textId="77777777" w:rsidR="007A3D25" w:rsidRPr="00BD2DE9" w:rsidRDefault="007A3D25" w:rsidP="00CB0BE2">
      <w:pPr>
        <w:pStyle w:val="ListParagraph"/>
        <w:numPr>
          <w:ilvl w:val="0"/>
          <w:numId w:val="24"/>
        </w:numPr>
      </w:pPr>
      <w:r w:rsidRPr="00BD2DE9">
        <w:t xml:space="preserve">A region’s industry structure/concentration and the strengths of the main employing industries in the region; </w:t>
      </w:r>
    </w:p>
    <w:p w14:paraId="0209C1CA" w14:textId="77777777" w:rsidR="007A3D25" w:rsidRPr="00BD2DE9" w:rsidRDefault="007A3D25" w:rsidP="00CB0BE2">
      <w:pPr>
        <w:pStyle w:val="ListParagraph"/>
        <w:numPr>
          <w:ilvl w:val="0"/>
          <w:numId w:val="24"/>
        </w:numPr>
      </w:pPr>
      <w:r w:rsidRPr="00BD2DE9">
        <w:t>The rate of population growth; and</w:t>
      </w:r>
    </w:p>
    <w:p w14:paraId="4B5C08F8" w14:textId="77777777" w:rsidR="007A3D25" w:rsidRPr="00BD2DE9" w:rsidRDefault="007A3D25" w:rsidP="00CB0BE2">
      <w:pPr>
        <w:pStyle w:val="ListParagraph"/>
        <w:numPr>
          <w:ilvl w:val="0"/>
          <w:numId w:val="24"/>
        </w:numPr>
      </w:pPr>
      <w:r w:rsidRPr="00BD2DE9">
        <w:t>A region’s natural amenity.</w:t>
      </w:r>
    </w:p>
    <w:p w14:paraId="24D100D8" w14:textId="77777777" w:rsidR="007A3D25" w:rsidRPr="00BD2DE9" w:rsidRDefault="007A3D25" w:rsidP="007A3D25">
      <w:r w:rsidRPr="00BD2DE9">
        <w:t>Examining these factors can help to explain why low participation rates are not universally associated with low vacancy rates at the SA4 level. Put another way, while there is a reasonable relationship between vacancies and a region’s participation rate, there are key factors outside the encouraged worker effect that will be impacting on some SA4s more than others, which are outliers.</w:t>
      </w:r>
    </w:p>
    <w:p w14:paraId="011A146C" w14:textId="4DFF10E1" w:rsidR="007A3D25" w:rsidRPr="00BD2DE9" w:rsidRDefault="007A3D25" w:rsidP="007A3D25">
      <w:r w:rsidRPr="00BD2DE9">
        <w:t>To cite some examples, the SA4s of Wide Bay (Q</w:t>
      </w:r>
      <w:r w:rsidR="008A1903" w:rsidRPr="00BD2DE9">
        <w:t>ueensland</w:t>
      </w:r>
      <w:r w:rsidRPr="00BD2DE9">
        <w:t>), Mid North Coast (N</w:t>
      </w:r>
      <w:r w:rsidR="008A1903" w:rsidRPr="00BD2DE9">
        <w:t xml:space="preserve">ew </w:t>
      </w:r>
      <w:r w:rsidRPr="00BD2DE9">
        <w:t>S</w:t>
      </w:r>
      <w:r w:rsidR="008A1903" w:rsidRPr="00BD2DE9">
        <w:t xml:space="preserve">outh </w:t>
      </w:r>
      <w:r w:rsidRPr="00BD2DE9">
        <w:t>W</w:t>
      </w:r>
      <w:r w:rsidR="008A1903" w:rsidRPr="00BD2DE9">
        <w:t>ales</w:t>
      </w:r>
      <w:r w:rsidRPr="00BD2DE9">
        <w:t>) and Mandurah (W</w:t>
      </w:r>
      <w:r w:rsidR="008A1903" w:rsidRPr="00BD2DE9">
        <w:t xml:space="preserve">estern </w:t>
      </w:r>
      <w:r w:rsidRPr="00BD2DE9">
        <w:t>A</w:t>
      </w:r>
      <w:r w:rsidR="008A1903" w:rsidRPr="00BD2DE9">
        <w:t>ustralia</w:t>
      </w:r>
      <w:r w:rsidRPr="00BD2DE9">
        <w:t xml:space="preserve">) (marked with a red dot in </w:t>
      </w:r>
      <w:r w:rsidR="00AD0A7F" w:rsidRPr="00BD2DE9">
        <w:t xml:space="preserve">Figure </w:t>
      </w:r>
      <w:r w:rsidR="006B0850" w:rsidRPr="00BD2DE9">
        <w:t>1</w:t>
      </w:r>
      <w:r w:rsidR="007D03B0" w:rsidRPr="00BD2DE9">
        <w:t>3</w:t>
      </w:r>
      <w:r w:rsidRPr="00BD2DE9">
        <w:t xml:space="preserve">) each have very low rates of working age labour force participation and yet two of the three regions have </w:t>
      </w:r>
      <w:r w:rsidR="00CE59C2" w:rsidRPr="00BD2DE9">
        <w:t xml:space="preserve">IVI </w:t>
      </w:r>
      <w:r w:rsidRPr="00BD2DE9">
        <w:t>vacancy rat</w:t>
      </w:r>
      <w:r w:rsidR="00CE59C2" w:rsidRPr="00BD2DE9">
        <w:t>io</w:t>
      </w:r>
      <w:r w:rsidRPr="00BD2DE9">
        <w:t xml:space="preserve">s that are only slightly below the national average (Mid-North Coast and Mandurah, both with </w:t>
      </w:r>
      <w:r w:rsidR="00CE59C2" w:rsidRPr="00BD2DE9">
        <w:t xml:space="preserve">IVI </w:t>
      </w:r>
      <w:r w:rsidRPr="00BD2DE9">
        <w:t>vacancy rat</w:t>
      </w:r>
      <w:r w:rsidR="00CE59C2" w:rsidRPr="00BD2DE9">
        <w:t>io</w:t>
      </w:r>
      <w:r w:rsidRPr="00BD2DE9">
        <w:t xml:space="preserve">s of 1.8%). </w:t>
      </w:r>
    </w:p>
    <w:p w14:paraId="608E1E51" w14:textId="77777777" w:rsidR="007A3D25" w:rsidRPr="00BD2DE9" w:rsidRDefault="007A3D25" w:rsidP="007A3D25">
      <w:r w:rsidRPr="00BD2DE9">
        <w:t>The factors affecting labour force participation, listed above, help to explain the low participation rate in these three regions. For instance, the regions have a population with an older demographic, have below-average levels of educational attainment, have a far more concentrated industry structure and, for Mid North Coast and Wide Bay, lack a close transport link to a more dynamic, capital city labour market. It is also worth noting that each region has a history of labour market disadvantage. Quite clearly, a number of factors impact on labour force participation, which can vary, depending on the specific characteristics of individual regions.</w:t>
      </w:r>
    </w:p>
    <w:p w14:paraId="42F75A69" w14:textId="5DFE1070" w:rsidR="009E030D" w:rsidRPr="00BD2DE9" w:rsidRDefault="00BA3856" w:rsidP="009E030D">
      <w:pPr>
        <w:pStyle w:val="Heading3"/>
      </w:pPr>
      <w:bookmarkStart w:id="34" w:name="_Toc134785339"/>
      <w:r>
        <w:t>C</w:t>
      </w:r>
      <w:r w:rsidR="009E030D" w:rsidRPr="00BD2DE9">
        <w:t>omparing recruitment difficulty in capital cities and regional areas</w:t>
      </w:r>
      <w:bookmarkEnd w:id="34"/>
      <w:r w:rsidR="009E030D" w:rsidRPr="00BD2DE9">
        <w:t xml:space="preserve"> </w:t>
      </w:r>
    </w:p>
    <w:p w14:paraId="2654491D" w14:textId="5F374CFD" w:rsidR="009E030D" w:rsidRPr="00BD2DE9" w:rsidRDefault="009E030D" w:rsidP="009E030D">
      <w:pPr>
        <w:spacing w:after="120" w:line="276" w:lineRule="auto"/>
        <w:rPr>
          <w:rFonts w:cs="Arial"/>
          <w:color w:val="FF0000"/>
        </w:rPr>
      </w:pPr>
      <w:r w:rsidRPr="00BD2DE9">
        <w:rPr>
          <w:rFonts w:cs="Arial"/>
        </w:rPr>
        <w:t>Figure 1</w:t>
      </w:r>
      <w:r w:rsidR="007D03B0" w:rsidRPr="00BD2DE9">
        <w:rPr>
          <w:rFonts w:cs="Arial"/>
        </w:rPr>
        <w:t>4</w:t>
      </w:r>
      <w:r w:rsidRPr="00BD2DE9">
        <w:rPr>
          <w:rFonts w:cs="Arial"/>
        </w:rPr>
        <w:t xml:space="preserve"> shows that recruitment difficulty (for recruiting employers) has declined in both capital cities and regional areas in the March 2023 quarter. In capital cities, recruitment difficulty peaked at 75% in August </w:t>
      </w:r>
      <w:r w:rsidRPr="00BD2DE9">
        <w:rPr>
          <w:rFonts w:cs="Arial"/>
        </w:rPr>
        <w:lastRenderedPageBreak/>
        <w:t xml:space="preserve">2022 but has since declined to 65% in March 2023. For rest of state areas, recruitment difficulty peaked at 77% in July 2022 but has since declined to 64% in March 2023. </w:t>
      </w:r>
    </w:p>
    <w:p w14:paraId="0A859549" w14:textId="3DBAF2F8" w:rsidR="009E030D" w:rsidRPr="00BD2DE9" w:rsidRDefault="009E030D" w:rsidP="009E030D">
      <w:pPr>
        <w:pStyle w:val="Heading5"/>
      </w:pPr>
      <w:r w:rsidRPr="00BD2DE9">
        <w:t>Figure 1</w:t>
      </w:r>
      <w:r w:rsidR="007D03B0" w:rsidRPr="00BD2DE9">
        <w:t>4</w:t>
      </w:r>
      <w:r w:rsidRPr="00BD2DE9">
        <w:t xml:space="preserve">: Difficulty by region type (as a proportion of recruiting employers), August 2020 to </w:t>
      </w:r>
      <w:r w:rsidR="00292E71" w:rsidRPr="00BD2DE9">
        <w:t>March 2023</w:t>
      </w:r>
    </w:p>
    <w:p w14:paraId="7353B4C3" w14:textId="6D4A843D" w:rsidR="00FD193C" w:rsidRPr="00BD2DE9" w:rsidRDefault="00FD193C" w:rsidP="00FD193C">
      <w:r w:rsidRPr="00BD2DE9">
        <w:rPr>
          <w:noProof/>
        </w:rPr>
        <w:drawing>
          <wp:inline distT="0" distB="0" distL="0" distR="0" wp14:anchorId="5EC00B79" wp14:editId="7428B992">
            <wp:extent cx="6543675" cy="2943225"/>
            <wp:effectExtent l="0" t="0" r="0" b="0"/>
            <wp:docPr id="28" name="Chart 28" descr="Figure 14: Difficulty by region type (as a proportion of recruiting employers), August 2020 to March 2023&#10;Figure 14 is a line chart showing the recruitment rate difficulty nationally, for Capital Cities and for Rest of State areas, from August 2020 to March 2023. In capital cities, recruitment difficulty peaked at 75% in August 2022 but has since declined to 65% in March 2023. For rest of state areas, recruitment difficulty peaked at 77% in July 2022 but has since declined to 64% in March 2023. &#10;">
              <a:extLst xmlns:a="http://schemas.openxmlformats.org/drawingml/2006/main">
                <a:ext uri="{FF2B5EF4-FFF2-40B4-BE49-F238E27FC236}">
                  <a16:creationId xmlns:a16="http://schemas.microsoft.com/office/drawing/2014/main" id="{589D2596-EE01-42D3-95D2-7A5C705567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2AD3300" w14:textId="42CA6072" w:rsidR="009E030D" w:rsidRPr="00BD2DE9" w:rsidRDefault="009E030D" w:rsidP="009E030D">
      <w:pPr>
        <w:pStyle w:val="Source"/>
        <w:spacing w:line="240" w:lineRule="auto"/>
        <w:rPr>
          <w:rFonts w:ascii="Arial" w:hAnsi="Arial" w:cs="Arial"/>
          <w:i w:val="0"/>
          <w:iCs/>
        </w:rPr>
      </w:pPr>
      <w:r w:rsidRPr="00BD2DE9">
        <w:rPr>
          <w:rFonts w:ascii="Arial" w:hAnsi="Arial" w:cs="Arial"/>
          <w:i w:val="0"/>
          <w:iCs/>
          <w:color w:val="auto"/>
        </w:rPr>
        <w:t>JSA</w:t>
      </w:r>
      <w:r w:rsidRPr="00BD2DE9">
        <w:rPr>
          <w:rFonts w:ascii="Arial" w:hAnsi="Arial" w:cs="Arial"/>
          <w:color w:val="auto"/>
        </w:rPr>
        <w:t xml:space="preserve">, Recruitment Experiences and Outlook Survey, </w:t>
      </w:r>
      <w:r w:rsidR="009C645F" w:rsidRPr="00BD2DE9">
        <w:rPr>
          <w:rFonts w:ascii="Arial" w:hAnsi="Arial" w:cs="Arial"/>
          <w:i w:val="0"/>
          <w:iCs/>
          <w:color w:val="auto"/>
        </w:rPr>
        <w:t>March 2023</w:t>
      </w:r>
      <w:r w:rsidRPr="00BD2DE9">
        <w:rPr>
          <w:rFonts w:ascii="Arial" w:hAnsi="Arial" w:cs="Arial"/>
          <w:color w:val="auto"/>
        </w:rPr>
        <w:t xml:space="preserve">. </w:t>
      </w:r>
      <w:r w:rsidR="00292E71" w:rsidRPr="00BD2DE9">
        <w:rPr>
          <w:rFonts w:ascii="Arial" w:hAnsi="Arial" w:cs="Arial"/>
          <w:i w:val="0"/>
          <w:iCs/>
        </w:rPr>
        <w:t>Please note: Disaggregated data was not publishable in January of each year; hence relevant data points have been joined by a dotted line.</w:t>
      </w:r>
    </w:p>
    <w:p w14:paraId="498A4437" w14:textId="38C086FF" w:rsidR="009E030D" w:rsidRPr="00BD2DE9" w:rsidRDefault="009E030D" w:rsidP="009E030D">
      <w:pPr>
        <w:spacing w:after="120" w:line="276" w:lineRule="auto"/>
        <w:rPr>
          <w:rFonts w:cs="Arial"/>
        </w:rPr>
      </w:pPr>
      <w:r w:rsidRPr="00BD2DE9">
        <w:rPr>
          <w:rFonts w:cs="Arial"/>
        </w:rPr>
        <w:t xml:space="preserve">Figure </w:t>
      </w:r>
      <w:r w:rsidR="00611517" w:rsidRPr="00BD2DE9">
        <w:rPr>
          <w:rFonts w:cs="Arial"/>
        </w:rPr>
        <w:t>1</w:t>
      </w:r>
      <w:r w:rsidR="007D03B0" w:rsidRPr="00BD2DE9">
        <w:rPr>
          <w:rFonts w:cs="Arial"/>
        </w:rPr>
        <w:t>5</w:t>
      </w:r>
      <w:r w:rsidRPr="00BD2DE9">
        <w:rPr>
          <w:rFonts w:cs="Arial"/>
        </w:rPr>
        <w:t xml:space="preserve"> shows that 2020 marked the first time that employers in rest-of-state areas experienced more difficulty than those in capital cities since records began in 2016. However, with lockdowns having eased and activity in the major cities picking up, recruitment difficulty in the capital cities has increased to a similar (albeit slightly lower) level as that experienced in regional areas over 2022. </w:t>
      </w:r>
      <w:r w:rsidR="00E67EE8" w:rsidRPr="00BD2DE9">
        <w:rPr>
          <w:rFonts w:cs="Arial"/>
        </w:rPr>
        <w:t>I</w:t>
      </w:r>
      <w:r w:rsidRPr="00BD2DE9">
        <w:rPr>
          <w:rFonts w:cs="Arial"/>
        </w:rPr>
        <w:t xml:space="preserve">n both cases, the rate of recruitment difficulty over 2022 exceeded that </w:t>
      </w:r>
      <w:r w:rsidR="00E67EE8" w:rsidRPr="00BD2DE9">
        <w:rPr>
          <w:rFonts w:cs="Arial"/>
        </w:rPr>
        <w:t>of</w:t>
      </w:r>
      <w:r w:rsidRPr="00BD2DE9">
        <w:rPr>
          <w:rFonts w:cs="Arial"/>
        </w:rPr>
        <w:t xml:space="preserve"> prior years, with a slight decline observed in 2023 to date.</w:t>
      </w:r>
    </w:p>
    <w:p w14:paraId="5867DB2E" w14:textId="3CC72422" w:rsidR="009E030D" w:rsidRPr="00BD2DE9" w:rsidRDefault="009E030D" w:rsidP="009E030D">
      <w:pPr>
        <w:pStyle w:val="Heading5"/>
      </w:pPr>
      <w:r w:rsidRPr="00BD2DE9">
        <w:t>Figure 1</w:t>
      </w:r>
      <w:r w:rsidR="007D03B0" w:rsidRPr="00BD2DE9">
        <w:t>5</w:t>
      </w:r>
      <w:r w:rsidRPr="00BD2DE9">
        <w:t>: Proportion of recruiting employers who experienced difficulty with their most recent recruitment, 2016 to 202</w:t>
      </w:r>
      <w:r w:rsidR="00CF5D82" w:rsidRPr="00BD2DE9">
        <w:t>3</w:t>
      </w:r>
    </w:p>
    <w:p w14:paraId="7CEF4988" w14:textId="27DB8238" w:rsidR="00DA12FF" w:rsidRPr="00BD2DE9" w:rsidRDefault="00DA12FF" w:rsidP="00DA12FF">
      <w:r w:rsidRPr="00BD2DE9">
        <w:rPr>
          <w:noProof/>
        </w:rPr>
        <w:drawing>
          <wp:inline distT="0" distB="0" distL="0" distR="0" wp14:anchorId="2B1F72A4" wp14:editId="30471CD8">
            <wp:extent cx="6267450" cy="3038475"/>
            <wp:effectExtent l="0" t="0" r="0" b="0"/>
            <wp:docPr id="26" name="Chart 26" descr="Figure 15: Proportion of recruiting employers who experienced difficulty with their most recent recruitment, 2016 to 2023&#10;Figure 15 is a line chart showing the annual rate of recruitment rate difficulty for Capital Cities and for Rest of State areas, 2016 to 2023. 2020 marked the first time that employers in rest-of-state areas experienced more difficulty than those in capital cities since records began in 2016. Additionally, in both cases, the rate of recruitment difficulty over 2022 (69% in Rest of State areas, 68% in Capital Cities) exceeded that seen in prior years. In 2023 to date, recruitment difficulty has declined to 62% in Rest of State areas and 61% in Capital Cities. &#10;">
              <a:extLst xmlns:a="http://schemas.openxmlformats.org/drawingml/2006/main">
                <a:ext uri="{FF2B5EF4-FFF2-40B4-BE49-F238E27FC236}">
                  <a16:creationId xmlns:a16="http://schemas.microsoft.com/office/drawing/2014/main" id="{7E43C691-12DB-70E8-EC7E-80E071A1CB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E50E2A3" w14:textId="711886FD" w:rsidR="009E030D" w:rsidRPr="00BD2DE9" w:rsidRDefault="009E030D" w:rsidP="009E030D">
      <w:pPr>
        <w:pStyle w:val="Source"/>
        <w:spacing w:before="0" w:after="0" w:afterAutospacing="0" w:line="240" w:lineRule="auto"/>
        <w:rPr>
          <w:rFonts w:ascii="Arial" w:hAnsi="Arial" w:cs="Arial"/>
        </w:rPr>
      </w:pPr>
      <w:r w:rsidRPr="00BD2DE9">
        <w:rPr>
          <w:rFonts w:ascii="Arial" w:hAnsi="Arial" w:cs="Arial"/>
          <w:i w:val="0"/>
          <w:iCs/>
        </w:rPr>
        <w:t>JSA</w:t>
      </w:r>
      <w:r w:rsidRPr="00BD2DE9">
        <w:rPr>
          <w:rFonts w:ascii="Arial" w:hAnsi="Arial" w:cs="Arial"/>
        </w:rPr>
        <w:t xml:space="preserve">, Survey of Employers' Recruitment Experiences </w:t>
      </w:r>
      <w:r w:rsidRPr="00BD2DE9">
        <w:rPr>
          <w:rFonts w:ascii="Arial" w:hAnsi="Arial" w:cs="Arial"/>
          <w:i w:val="0"/>
          <w:iCs/>
        </w:rPr>
        <w:t>(2016-2019)</w:t>
      </w:r>
      <w:r w:rsidRPr="00BD2DE9">
        <w:rPr>
          <w:rFonts w:ascii="Arial" w:hAnsi="Arial" w:cs="Arial"/>
        </w:rPr>
        <w:t xml:space="preserve">, Recruitment Experiences and Outlook Survey </w:t>
      </w:r>
      <w:r w:rsidRPr="00BD2DE9">
        <w:rPr>
          <w:rFonts w:ascii="Arial" w:hAnsi="Arial" w:cs="Arial"/>
          <w:i w:val="0"/>
          <w:iCs/>
        </w:rPr>
        <w:t>(2020-202</w:t>
      </w:r>
      <w:r w:rsidR="00E67EE8" w:rsidRPr="00BD2DE9">
        <w:rPr>
          <w:rFonts w:ascii="Arial" w:hAnsi="Arial" w:cs="Arial"/>
          <w:i w:val="0"/>
          <w:iCs/>
        </w:rPr>
        <w:t>3</w:t>
      </w:r>
      <w:r w:rsidRPr="00BD2DE9">
        <w:rPr>
          <w:rFonts w:ascii="Arial" w:hAnsi="Arial" w:cs="Arial"/>
          <w:i w:val="0"/>
          <w:iCs/>
        </w:rPr>
        <w:t>)</w:t>
      </w:r>
      <w:r w:rsidRPr="00BD2DE9">
        <w:rPr>
          <w:rFonts w:ascii="Arial" w:hAnsi="Arial" w:cs="Arial"/>
        </w:rPr>
        <w:t xml:space="preserve">. </w:t>
      </w:r>
    </w:p>
    <w:p w14:paraId="60137CB3" w14:textId="77777777" w:rsidR="009E030D" w:rsidRPr="00BD2DE9" w:rsidRDefault="009E030D" w:rsidP="009E030D">
      <w:pPr>
        <w:spacing w:after="0" w:line="240" w:lineRule="auto"/>
        <w:rPr>
          <w:rFonts w:cs="Arial"/>
          <w:sz w:val="16"/>
          <w:szCs w:val="16"/>
        </w:rPr>
      </w:pPr>
      <w:r w:rsidRPr="00BD2DE9">
        <w:rPr>
          <w:rFonts w:cs="Arial"/>
          <w:sz w:val="16"/>
          <w:szCs w:val="16"/>
        </w:rPr>
        <w:t>*2020 data covers the period from August 2020 to December 2020. As a result, it does not reflect recruitment conditions at the height of the restrictions that were put in place in response to the pandemic.</w:t>
      </w:r>
    </w:p>
    <w:p w14:paraId="2039751A" w14:textId="77777777" w:rsidR="00CC66FC" w:rsidRDefault="00CC66FC" w:rsidP="009E030D">
      <w:pPr>
        <w:spacing w:after="120" w:line="276" w:lineRule="auto"/>
        <w:rPr>
          <w:rFonts w:cs="Arial"/>
        </w:rPr>
      </w:pPr>
    </w:p>
    <w:p w14:paraId="36A3B886" w14:textId="059AD712" w:rsidR="009E030D" w:rsidRPr="00BD2DE9" w:rsidRDefault="009E030D" w:rsidP="009E030D">
      <w:pPr>
        <w:spacing w:after="120" w:line="276" w:lineRule="auto"/>
        <w:rPr>
          <w:rFonts w:cs="Arial"/>
        </w:rPr>
      </w:pPr>
      <w:r w:rsidRPr="00BD2DE9">
        <w:rPr>
          <w:rFonts w:cs="Arial"/>
        </w:rPr>
        <w:t>Rates of recruitment and recruitment difficulty vary by individual rest of state and capital city areas. For each region, Figure 1</w:t>
      </w:r>
      <w:r w:rsidR="007D03B0" w:rsidRPr="00BD2DE9">
        <w:rPr>
          <w:rFonts w:cs="Arial"/>
        </w:rPr>
        <w:t>6</w:t>
      </w:r>
      <w:r w:rsidRPr="00BD2DE9">
        <w:rPr>
          <w:rFonts w:cs="Arial"/>
        </w:rPr>
        <w:t xml:space="preserve"> shows not only the regional variation that we have seen on average over the past 12 </w:t>
      </w:r>
      <w:r w:rsidRPr="00BD2DE9">
        <w:rPr>
          <w:rFonts w:cs="Arial"/>
        </w:rPr>
        <w:lastRenderedPageBreak/>
        <w:t>months, but also there tends to be a positive correlation between the share of employers that are recruiting and recruitment difficulty.</w:t>
      </w:r>
    </w:p>
    <w:p w14:paraId="41EAABB2" w14:textId="3126E195" w:rsidR="009E030D" w:rsidRDefault="009E030D" w:rsidP="009E030D">
      <w:pPr>
        <w:pStyle w:val="Heading5"/>
      </w:pPr>
      <w:r w:rsidRPr="00BD2DE9">
        <w:t>Figure 1</w:t>
      </w:r>
      <w:r w:rsidR="007D03B0" w:rsidRPr="00BD2DE9">
        <w:t>6</w:t>
      </w:r>
      <w:r w:rsidRPr="00BD2DE9">
        <w:t xml:space="preserve">: Rates of recruitment and recruitment difficulty by region (12 months to </w:t>
      </w:r>
      <w:r w:rsidR="004871A7">
        <w:t>March 2023</w:t>
      </w:r>
      <w:r w:rsidRPr="00BD2DE9">
        <w:t>)</w:t>
      </w:r>
    </w:p>
    <w:p w14:paraId="0F2B2237" w14:textId="740E1219" w:rsidR="00663599" w:rsidRDefault="004871A7" w:rsidP="00663599">
      <w:r>
        <w:rPr>
          <w:noProof/>
        </w:rPr>
        <w:drawing>
          <wp:inline distT="0" distB="0" distL="0" distR="0" wp14:anchorId="5AD9331B" wp14:editId="5787C987">
            <wp:extent cx="6419850" cy="3147695"/>
            <wp:effectExtent l="0" t="0" r="0" b="0"/>
            <wp:docPr id="10" name="Chart 10" descr="Figure 16: Rates of recruitment and recruitment difficulty by region (12 months to March 2023)&#10;Figure 16 is a scatterplot of the recruitment rate (y-axis) and recruitment difficulty rate (x-axis), for each Capital City and Rest of State region in the 12 months to March 2023.  It shows that regions with higher recruitment rates tend to also have higher recruitment difficulty rates. In each state and territory, Rest of State regions reported a higher rate of recruitment difficulty than the relevant Capital City (for example, the rate of recruitment difficulty for Rest of South Australia was higher than for Greater Adelaide).&#10;">
              <a:extLst xmlns:a="http://schemas.openxmlformats.org/drawingml/2006/main">
                <a:ext uri="{FF2B5EF4-FFF2-40B4-BE49-F238E27FC236}">
                  <a16:creationId xmlns:a16="http://schemas.microsoft.com/office/drawing/2014/main" id="{8479DC73-211C-2EB6-AAD3-D27FEEE394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B7D8771" w14:textId="303FDB79" w:rsidR="009E030D" w:rsidRPr="00BD2DE9" w:rsidRDefault="009E030D" w:rsidP="009E030D">
      <w:pPr>
        <w:pStyle w:val="Source"/>
        <w:rPr>
          <w:rFonts w:ascii="Arial" w:hAnsi="Arial" w:cs="Arial"/>
          <w:i w:val="0"/>
          <w:iCs/>
        </w:rPr>
      </w:pPr>
      <w:r w:rsidRPr="00BD2DE9">
        <w:rPr>
          <w:rFonts w:ascii="Arial" w:hAnsi="Arial" w:cs="Arial"/>
          <w:i w:val="0"/>
          <w:iCs/>
        </w:rPr>
        <w:t>JSA,</w:t>
      </w:r>
      <w:r w:rsidRPr="00BD2DE9">
        <w:rPr>
          <w:rFonts w:ascii="Arial" w:hAnsi="Arial" w:cs="Arial"/>
        </w:rPr>
        <w:t xml:space="preserve"> Recruitment Experiences and Outlook Survey, </w:t>
      </w:r>
      <w:r w:rsidR="004871A7" w:rsidRPr="004871A7">
        <w:rPr>
          <w:rFonts w:ascii="Arial" w:hAnsi="Arial" w:cs="Arial"/>
          <w:i w:val="0"/>
          <w:iCs/>
        </w:rPr>
        <w:t>March 2023</w:t>
      </w:r>
    </w:p>
    <w:p w14:paraId="461A3D87" w14:textId="77777777" w:rsidR="0065662F" w:rsidRDefault="0065662F" w:rsidP="006B0850">
      <w:pPr>
        <w:pStyle w:val="Heading3"/>
      </w:pPr>
    </w:p>
    <w:p w14:paraId="02166B7E" w14:textId="55CD754F" w:rsidR="006B0850" w:rsidRPr="00BD2DE9" w:rsidRDefault="006B0850" w:rsidP="006B0850">
      <w:pPr>
        <w:pStyle w:val="Heading3"/>
      </w:pPr>
      <w:bookmarkStart w:id="35" w:name="_Toc134785340"/>
      <w:r w:rsidRPr="00BD2DE9">
        <w:t xml:space="preserve">Finding skilled workers: the </w:t>
      </w:r>
      <w:r w:rsidR="00E46011" w:rsidRPr="00BD2DE9">
        <w:t>capital city</w:t>
      </w:r>
      <w:r w:rsidRPr="00BD2DE9">
        <w:t xml:space="preserve"> and regional divide</w:t>
      </w:r>
      <w:bookmarkEnd w:id="35"/>
      <w:r w:rsidRPr="00BD2DE9">
        <w:t xml:space="preserve"> </w:t>
      </w:r>
    </w:p>
    <w:p w14:paraId="312675AD" w14:textId="5597AD96" w:rsidR="006B0850" w:rsidRPr="00BD2DE9" w:rsidRDefault="006B0850" w:rsidP="006B0850">
      <w:pPr>
        <w:spacing w:after="120" w:line="276" w:lineRule="auto"/>
      </w:pPr>
      <w:r w:rsidRPr="00BD2DE9">
        <w:t>Fill rates in capital cities or metro areas (63%) and regional areas (62%) were similar in March 2023 quarter, as regional fill rates strengthened by 7 percentage points. However, applicant numbers per vacancy were far greater in metro labour markets (</w:t>
      </w:r>
      <w:r w:rsidR="005323B6" w:rsidRPr="00BD2DE9">
        <w:t xml:space="preserve">see </w:t>
      </w:r>
      <w:r w:rsidRPr="00BD2DE9">
        <w:t xml:space="preserve">Table </w:t>
      </w:r>
      <w:r w:rsidR="00611517" w:rsidRPr="00BD2DE9">
        <w:t>7</w:t>
      </w:r>
      <w:r w:rsidRPr="00BD2DE9">
        <w:t xml:space="preserve">). </w:t>
      </w:r>
    </w:p>
    <w:p w14:paraId="2B7D2A78" w14:textId="0133030A" w:rsidR="006B0850" w:rsidRPr="00BD2DE9" w:rsidRDefault="006B0850" w:rsidP="006B0850">
      <w:pPr>
        <w:pStyle w:val="Heading5"/>
      </w:pPr>
      <w:r w:rsidRPr="00BD2DE9">
        <w:t xml:space="preserve">Table </w:t>
      </w:r>
      <w:r w:rsidR="00611517" w:rsidRPr="00BD2DE9">
        <w:t>7</w:t>
      </w:r>
      <w:r w:rsidRPr="00BD2DE9">
        <w:t>: Applicant per vacancy metrics (no.), metro and regional areas, March quarter 2023</w:t>
      </w:r>
    </w:p>
    <w:tbl>
      <w:tblPr>
        <w:tblStyle w:val="TableGrid"/>
        <w:tblW w:w="7315" w:type="dxa"/>
        <w:tblLayout w:type="fixed"/>
        <w:tblLook w:val="04A0" w:firstRow="1" w:lastRow="0" w:firstColumn="1" w:lastColumn="0" w:noHBand="0" w:noVBand="1"/>
      </w:tblPr>
      <w:tblGrid>
        <w:gridCol w:w="3506"/>
        <w:gridCol w:w="1905"/>
        <w:gridCol w:w="1904"/>
      </w:tblGrid>
      <w:tr w:rsidR="006B0850" w:rsidRPr="00BD2DE9" w14:paraId="32F57978" w14:textId="77777777" w:rsidTr="001D600D">
        <w:trPr>
          <w:trHeight w:val="570"/>
        </w:trPr>
        <w:tc>
          <w:tcPr>
            <w:tcW w:w="3506" w:type="dxa"/>
            <w:tcBorders>
              <w:top w:val="nil"/>
              <w:left w:val="nil"/>
              <w:bottom w:val="nil"/>
              <w:right w:val="nil"/>
            </w:tcBorders>
            <w:shd w:val="clear" w:color="auto" w:fill="441170"/>
            <w:vAlign w:val="bottom"/>
          </w:tcPr>
          <w:p w14:paraId="7BD3060C" w14:textId="77777777" w:rsidR="006B0850" w:rsidRPr="00BD2DE9" w:rsidRDefault="006B0850" w:rsidP="001D600D">
            <w:pPr>
              <w:jc w:val="center"/>
              <w:rPr>
                <w:rFonts w:cs="Arial"/>
                <w:b/>
                <w:bCs/>
                <w:color w:val="FFFFFF" w:themeColor="background1"/>
              </w:rPr>
            </w:pPr>
          </w:p>
        </w:tc>
        <w:tc>
          <w:tcPr>
            <w:tcW w:w="1905" w:type="dxa"/>
            <w:tcBorders>
              <w:top w:val="nil"/>
              <w:left w:val="nil"/>
              <w:bottom w:val="nil"/>
              <w:right w:val="nil"/>
            </w:tcBorders>
            <w:shd w:val="clear" w:color="auto" w:fill="441170"/>
            <w:vAlign w:val="bottom"/>
            <w:hideMark/>
          </w:tcPr>
          <w:p w14:paraId="699BECFF" w14:textId="77777777" w:rsidR="006B0850" w:rsidRPr="00BD2DE9" w:rsidRDefault="006B0850" w:rsidP="001D600D">
            <w:pPr>
              <w:jc w:val="center"/>
              <w:rPr>
                <w:rFonts w:cs="Arial"/>
                <w:b/>
                <w:bCs/>
                <w:color w:val="FFFFFF" w:themeColor="background1"/>
              </w:rPr>
            </w:pPr>
            <w:r w:rsidRPr="00BD2DE9">
              <w:rPr>
                <w:rFonts w:cs="Arial"/>
                <w:b/>
                <w:bCs/>
                <w:color w:val="FFFFFF" w:themeColor="background1"/>
              </w:rPr>
              <w:t>Metro areas</w:t>
            </w:r>
          </w:p>
        </w:tc>
        <w:tc>
          <w:tcPr>
            <w:tcW w:w="1904" w:type="dxa"/>
            <w:tcBorders>
              <w:top w:val="nil"/>
              <w:left w:val="nil"/>
              <w:bottom w:val="nil"/>
              <w:right w:val="nil"/>
            </w:tcBorders>
            <w:shd w:val="clear" w:color="auto" w:fill="441170"/>
            <w:vAlign w:val="bottom"/>
          </w:tcPr>
          <w:p w14:paraId="1DDFEF8B" w14:textId="77777777" w:rsidR="006B0850" w:rsidRPr="00BD2DE9" w:rsidRDefault="006B0850" w:rsidP="001D600D">
            <w:pPr>
              <w:jc w:val="center"/>
              <w:rPr>
                <w:rFonts w:cs="Arial"/>
                <w:b/>
                <w:bCs/>
                <w:color w:val="FFFFFF" w:themeColor="background1"/>
              </w:rPr>
            </w:pPr>
            <w:r w:rsidRPr="00BD2DE9">
              <w:rPr>
                <w:rFonts w:cs="Arial"/>
                <w:b/>
                <w:bCs/>
                <w:color w:val="FFFFFF" w:themeColor="background1"/>
              </w:rPr>
              <w:t>Regional areas</w:t>
            </w:r>
          </w:p>
        </w:tc>
      </w:tr>
      <w:tr w:rsidR="006B0850" w:rsidRPr="00BD2DE9" w14:paraId="2F942A2A" w14:textId="77777777" w:rsidTr="001D600D">
        <w:trPr>
          <w:trHeight w:val="300"/>
        </w:trPr>
        <w:tc>
          <w:tcPr>
            <w:tcW w:w="3506" w:type="dxa"/>
            <w:tcBorders>
              <w:top w:val="nil"/>
              <w:left w:val="nil"/>
              <w:bottom w:val="nil"/>
              <w:right w:val="nil"/>
            </w:tcBorders>
            <w:shd w:val="clear" w:color="auto" w:fill="D9D9D9" w:themeFill="background1" w:themeFillShade="D9"/>
          </w:tcPr>
          <w:p w14:paraId="0E41BF7F" w14:textId="77777777" w:rsidR="006B0850" w:rsidRPr="00BD2DE9" w:rsidRDefault="006B0850" w:rsidP="001D600D">
            <w:pPr>
              <w:jc w:val="center"/>
              <w:rPr>
                <w:rFonts w:cs="Arial"/>
              </w:rPr>
            </w:pPr>
            <w:r w:rsidRPr="00BD2DE9">
              <w:rPr>
                <w:rFonts w:cs="Arial"/>
              </w:rPr>
              <w:t>Applicants per vacancy</w:t>
            </w:r>
          </w:p>
        </w:tc>
        <w:tc>
          <w:tcPr>
            <w:tcW w:w="1905" w:type="dxa"/>
            <w:tcBorders>
              <w:top w:val="nil"/>
              <w:left w:val="nil"/>
              <w:bottom w:val="nil"/>
              <w:right w:val="nil"/>
            </w:tcBorders>
            <w:shd w:val="clear" w:color="auto" w:fill="D9D9D9" w:themeFill="background1" w:themeFillShade="D9"/>
            <w:noWrap/>
          </w:tcPr>
          <w:p w14:paraId="0B5C28E2" w14:textId="77777777" w:rsidR="006B0850" w:rsidRPr="00BD2DE9" w:rsidRDefault="006B0850" w:rsidP="001D600D">
            <w:pPr>
              <w:jc w:val="center"/>
              <w:rPr>
                <w:rFonts w:cs="Arial"/>
                <w:sz w:val="20"/>
              </w:rPr>
            </w:pPr>
            <w:r w:rsidRPr="00BD2DE9">
              <w:rPr>
                <w:rFonts w:cs="Arial"/>
                <w:sz w:val="20"/>
              </w:rPr>
              <w:t>15.8</w:t>
            </w:r>
          </w:p>
        </w:tc>
        <w:tc>
          <w:tcPr>
            <w:tcW w:w="1904" w:type="dxa"/>
            <w:tcBorders>
              <w:top w:val="nil"/>
              <w:left w:val="nil"/>
              <w:bottom w:val="nil"/>
              <w:right w:val="nil"/>
            </w:tcBorders>
            <w:shd w:val="clear" w:color="auto" w:fill="D9D9D9" w:themeFill="background1" w:themeFillShade="D9"/>
          </w:tcPr>
          <w:p w14:paraId="69990CFD" w14:textId="77777777" w:rsidR="006B0850" w:rsidRPr="00BD2DE9" w:rsidRDefault="006B0850" w:rsidP="001D600D">
            <w:pPr>
              <w:jc w:val="center"/>
            </w:pPr>
            <w:r w:rsidRPr="00BD2DE9">
              <w:t>10.2</w:t>
            </w:r>
          </w:p>
        </w:tc>
      </w:tr>
      <w:tr w:rsidR="006B0850" w:rsidRPr="00BD2DE9" w14:paraId="025D6ABE" w14:textId="77777777" w:rsidTr="001D600D">
        <w:trPr>
          <w:trHeight w:val="300"/>
        </w:trPr>
        <w:tc>
          <w:tcPr>
            <w:tcW w:w="3506" w:type="dxa"/>
            <w:tcBorders>
              <w:top w:val="nil"/>
              <w:left w:val="nil"/>
              <w:bottom w:val="nil"/>
              <w:right w:val="nil"/>
            </w:tcBorders>
          </w:tcPr>
          <w:p w14:paraId="62226872" w14:textId="77777777" w:rsidR="006B0850" w:rsidRPr="00BD2DE9" w:rsidRDefault="006B0850" w:rsidP="001D600D">
            <w:pPr>
              <w:jc w:val="center"/>
              <w:rPr>
                <w:rFonts w:cs="Arial"/>
              </w:rPr>
            </w:pPr>
            <w:r w:rsidRPr="00BD2DE9">
              <w:rPr>
                <w:rFonts w:cs="Arial"/>
              </w:rPr>
              <w:t>Qualified applicants per vacancy</w:t>
            </w:r>
          </w:p>
        </w:tc>
        <w:tc>
          <w:tcPr>
            <w:tcW w:w="1905" w:type="dxa"/>
            <w:tcBorders>
              <w:top w:val="nil"/>
              <w:left w:val="nil"/>
              <w:bottom w:val="nil"/>
              <w:right w:val="nil"/>
            </w:tcBorders>
            <w:noWrap/>
          </w:tcPr>
          <w:p w14:paraId="5D0DB96D" w14:textId="77777777" w:rsidR="006B0850" w:rsidRPr="00BD2DE9" w:rsidRDefault="006B0850" w:rsidP="001D600D">
            <w:pPr>
              <w:jc w:val="center"/>
              <w:rPr>
                <w:rFonts w:cs="Arial"/>
                <w:sz w:val="20"/>
              </w:rPr>
            </w:pPr>
            <w:r w:rsidRPr="00BD2DE9">
              <w:rPr>
                <w:rFonts w:cs="Arial"/>
                <w:sz w:val="20"/>
              </w:rPr>
              <w:t>5.4</w:t>
            </w:r>
          </w:p>
        </w:tc>
        <w:tc>
          <w:tcPr>
            <w:tcW w:w="1904" w:type="dxa"/>
            <w:tcBorders>
              <w:top w:val="nil"/>
              <w:left w:val="nil"/>
              <w:bottom w:val="nil"/>
              <w:right w:val="nil"/>
            </w:tcBorders>
          </w:tcPr>
          <w:p w14:paraId="728F6688" w14:textId="77777777" w:rsidR="006B0850" w:rsidRPr="00BD2DE9" w:rsidRDefault="006B0850" w:rsidP="001D600D">
            <w:pPr>
              <w:jc w:val="center"/>
            </w:pPr>
            <w:r w:rsidRPr="00BD2DE9">
              <w:t>3.3</w:t>
            </w:r>
          </w:p>
        </w:tc>
      </w:tr>
      <w:tr w:rsidR="006B0850" w:rsidRPr="00BD2DE9" w14:paraId="63389AC6" w14:textId="77777777" w:rsidTr="001D600D">
        <w:trPr>
          <w:trHeight w:val="300"/>
        </w:trPr>
        <w:tc>
          <w:tcPr>
            <w:tcW w:w="3506" w:type="dxa"/>
            <w:tcBorders>
              <w:top w:val="nil"/>
              <w:left w:val="nil"/>
              <w:bottom w:val="nil"/>
              <w:right w:val="nil"/>
            </w:tcBorders>
            <w:shd w:val="clear" w:color="auto" w:fill="D9D9D9" w:themeFill="background1" w:themeFillShade="D9"/>
          </w:tcPr>
          <w:p w14:paraId="54D4ADE6" w14:textId="77777777" w:rsidR="006B0850" w:rsidRPr="00BD2DE9" w:rsidRDefault="006B0850" w:rsidP="001D600D">
            <w:pPr>
              <w:jc w:val="center"/>
              <w:rPr>
                <w:rFonts w:cs="Arial"/>
              </w:rPr>
            </w:pPr>
            <w:r w:rsidRPr="00BD2DE9">
              <w:rPr>
                <w:rFonts w:cs="Arial"/>
              </w:rPr>
              <w:t>Suitable applicants per vacancy</w:t>
            </w:r>
          </w:p>
        </w:tc>
        <w:tc>
          <w:tcPr>
            <w:tcW w:w="1905" w:type="dxa"/>
            <w:tcBorders>
              <w:top w:val="nil"/>
              <w:left w:val="nil"/>
              <w:bottom w:val="nil"/>
              <w:right w:val="nil"/>
            </w:tcBorders>
            <w:shd w:val="clear" w:color="auto" w:fill="D9D9D9" w:themeFill="background1" w:themeFillShade="D9"/>
            <w:noWrap/>
          </w:tcPr>
          <w:p w14:paraId="7E203735" w14:textId="77777777" w:rsidR="006B0850" w:rsidRPr="00BD2DE9" w:rsidRDefault="006B0850" w:rsidP="001D600D">
            <w:pPr>
              <w:jc w:val="center"/>
              <w:rPr>
                <w:rFonts w:cs="Arial"/>
                <w:sz w:val="20"/>
              </w:rPr>
            </w:pPr>
            <w:r w:rsidRPr="00BD2DE9">
              <w:rPr>
                <w:rFonts w:cs="Arial"/>
                <w:sz w:val="20"/>
              </w:rPr>
              <w:t>2.6</w:t>
            </w:r>
          </w:p>
        </w:tc>
        <w:tc>
          <w:tcPr>
            <w:tcW w:w="1904" w:type="dxa"/>
            <w:tcBorders>
              <w:top w:val="nil"/>
              <w:left w:val="nil"/>
              <w:bottom w:val="nil"/>
              <w:right w:val="nil"/>
            </w:tcBorders>
            <w:shd w:val="clear" w:color="auto" w:fill="D9D9D9" w:themeFill="background1" w:themeFillShade="D9"/>
          </w:tcPr>
          <w:p w14:paraId="34F2D741" w14:textId="77777777" w:rsidR="006B0850" w:rsidRPr="00BD2DE9" w:rsidRDefault="006B0850" w:rsidP="001D600D">
            <w:pPr>
              <w:jc w:val="center"/>
            </w:pPr>
            <w:r w:rsidRPr="00BD2DE9">
              <w:t>2.0</w:t>
            </w:r>
          </w:p>
        </w:tc>
      </w:tr>
    </w:tbl>
    <w:p w14:paraId="0D9686AF" w14:textId="77777777" w:rsidR="006B0850" w:rsidRPr="00BD2DE9" w:rsidRDefault="006B0850" w:rsidP="006B0850">
      <w:r w:rsidRPr="00BD2DE9">
        <w:rPr>
          <w:i/>
          <w:iCs/>
          <w:sz w:val="16"/>
          <w:szCs w:val="16"/>
        </w:rPr>
        <w:t xml:space="preserve">Source: JSA, Survey of Employers who have Recently Advertised, March quarter 2023 </w:t>
      </w:r>
    </w:p>
    <w:p w14:paraId="62B99880" w14:textId="3BC0C8FA" w:rsidR="006B0850" w:rsidRPr="00BD2DE9" w:rsidRDefault="006B0850" w:rsidP="006B0850">
      <w:r w:rsidRPr="00BD2DE9">
        <w:t xml:space="preserve">Generally, fill rates and the various applicant per vacancy metrics are higher in metro locations than in regional areas. The gap between metro and regional fill rates and applicant numbers substantially widened during the peak period (mid to late 2022) of labour market tightness (Figure </w:t>
      </w:r>
      <w:r w:rsidR="00611517" w:rsidRPr="00BD2DE9">
        <w:t>1</w:t>
      </w:r>
      <w:r w:rsidR="007D03B0" w:rsidRPr="00BD2DE9">
        <w:t>7</w:t>
      </w:r>
      <w:r w:rsidRPr="00BD2DE9">
        <w:t xml:space="preserve">). </w:t>
      </w:r>
    </w:p>
    <w:p w14:paraId="67C51C6B" w14:textId="77777777" w:rsidR="0065662F" w:rsidRDefault="0065662F" w:rsidP="006B0850">
      <w:pPr>
        <w:pStyle w:val="Heading5"/>
      </w:pPr>
      <w:r>
        <w:br w:type="page"/>
      </w:r>
    </w:p>
    <w:p w14:paraId="051C57CC" w14:textId="5D2B78C6" w:rsidR="006B0850" w:rsidRPr="00BD2DE9" w:rsidRDefault="006B0850" w:rsidP="006B0850">
      <w:pPr>
        <w:pStyle w:val="Heading5"/>
      </w:pPr>
      <w:r w:rsidRPr="00BD2DE9">
        <w:lastRenderedPageBreak/>
        <w:t xml:space="preserve">Figure </w:t>
      </w:r>
      <w:r w:rsidR="00611517" w:rsidRPr="00BD2DE9">
        <w:t>1</w:t>
      </w:r>
      <w:r w:rsidR="007D03B0" w:rsidRPr="00BD2DE9">
        <w:t>7</w:t>
      </w:r>
      <w:r w:rsidRPr="00BD2DE9">
        <w:t xml:space="preserve">: Quarterly fill rates (%) and applicants per vacancy (no.), metro and regional areas, March 2021 to March 2023 </w:t>
      </w:r>
    </w:p>
    <w:p w14:paraId="2B60D2CD" w14:textId="77777777" w:rsidR="006B0850" w:rsidRPr="00BD2DE9" w:rsidRDefault="006B0850" w:rsidP="006B0850">
      <w:pPr>
        <w:spacing w:after="120" w:line="276" w:lineRule="auto"/>
      </w:pPr>
      <w:r w:rsidRPr="00BD2DE9">
        <w:rPr>
          <w:noProof/>
        </w:rPr>
        <w:drawing>
          <wp:inline distT="0" distB="0" distL="0" distR="0" wp14:anchorId="3EC82D90" wp14:editId="1B9F700B">
            <wp:extent cx="2808365" cy="2304000"/>
            <wp:effectExtent l="0" t="0" r="0" b="1270"/>
            <wp:docPr id="7" name="Chart 7" descr="Figure 17: Quarterly fill rates (%) and applicants per vacancy (no.), metro and regional areas, March 2021 to March 2023&#10;Figure 17 shows two side-by-side line charts. The left chart shows the proportion of vacancies filled, for metro and regional areas, from March 2021 to March 2023. Aside from an upward spike in the third quarter of 2021, the proportion of vacancies filled in metro areas was typically below 60% from the first quarter of 2021 through to the third quarter of 2022. However it has since increased to 63% in the first quarter of 2023. Aside from a similar upward spike in the third quarter of 2021, the proportion of vacancies filled in regional areas was typically between 50% and 55% from the first quarter of 2021 through to the last quarter of 2022. However it has since increased to 62% in the first quarter of 2023. ">
              <a:extLst xmlns:a="http://schemas.openxmlformats.org/drawingml/2006/main">
                <a:ext uri="{FF2B5EF4-FFF2-40B4-BE49-F238E27FC236}">
                  <a16:creationId xmlns:a16="http://schemas.microsoft.com/office/drawing/2014/main" id="{CA39E5E2-407C-A746-80C4-3A095ADC45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BD2DE9">
        <w:rPr>
          <w:noProof/>
        </w:rPr>
        <w:drawing>
          <wp:inline distT="0" distB="0" distL="0" distR="0" wp14:anchorId="38EB64BF" wp14:editId="02D55C91">
            <wp:extent cx="2808000" cy="2304000"/>
            <wp:effectExtent l="0" t="0" r="0" b="1270"/>
            <wp:docPr id="34" name="Chart 34" descr="Figure 17: Quarterly fill rates (%) and applicants per vacancy (no.), metro and regional areas, March 2021 to March 2023&#10;The right chart shows the average number of applicants per vacancy, for metro and regional areas, from March 2021 to March 2023. The average number of applicants per vacancy in metro areas increased from 11.0 in the first quarter of 2022, to 15.8 in the first quarter of 2023. The average number of applicants per vacancy in regional areas has increased from 7.7 in the first quarter of 2022 to 10.2 in the first quarter of 2023.">
              <a:extLst xmlns:a="http://schemas.openxmlformats.org/drawingml/2006/main">
                <a:ext uri="{FF2B5EF4-FFF2-40B4-BE49-F238E27FC236}">
                  <a16:creationId xmlns:a16="http://schemas.microsoft.com/office/drawing/2014/main" id="{5469C369-CE57-6FB3-1FCA-86B14DF7BC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C83C3F6" w14:textId="77777777" w:rsidR="006B0850" w:rsidRPr="00BD2DE9" w:rsidRDefault="006B0850" w:rsidP="006B0850">
      <w:pPr>
        <w:rPr>
          <w:i/>
          <w:iCs/>
          <w:sz w:val="16"/>
          <w:szCs w:val="16"/>
        </w:rPr>
      </w:pPr>
      <w:r w:rsidRPr="00BD2DE9">
        <w:rPr>
          <w:i/>
          <w:iCs/>
          <w:sz w:val="16"/>
          <w:szCs w:val="16"/>
        </w:rPr>
        <w:t>Source: JSA, Survey of Employers who have Recently Advertised, 2021 - 2023.</w:t>
      </w:r>
    </w:p>
    <w:p w14:paraId="260184C4" w14:textId="77777777" w:rsidR="006B0850" w:rsidRPr="00BD2DE9" w:rsidRDefault="006B0850" w:rsidP="006B0850">
      <w:r w:rsidRPr="00BD2DE9">
        <w:t>The sharp rise in regional fill rates, despite the much lower pool of applicants in regional areas could reflect lower employer requirements and expectations among regional employers when filling vacancies. This is another sign that skill shortage pressures are more acute in regional labour markets.</w:t>
      </w:r>
    </w:p>
    <w:p w14:paraId="234F2939" w14:textId="77777777" w:rsidR="006B0850" w:rsidRPr="00BD2DE9" w:rsidRDefault="006B0850" w:rsidP="00A37D3E">
      <w:pPr>
        <w:rPr>
          <w:b/>
        </w:rPr>
      </w:pPr>
      <w:r w:rsidRPr="00BD2DE9">
        <w:t xml:space="preserve">The lower level of requirements among regional employers can be further demonstrated through examination of average years of relevant labour market experience required by employers in metro and regional areas. </w:t>
      </w:r>
    </w:p>
    <w:p w14:paraId="2EED3744" w14:textId="0BD63F87" w:rsidR="006B0850" w:rsidRPr="00BD2DE9" w:rsidRDefault="006B0850" w:rsidP="006B0850">
      <w:r w:rsidRPr="00BD2DE9">
        <w:t>SERA data highlights that regional employers report lower experience requirements for vacancies in Professional and Technician and Trades Worker major occupation groups</w:t>
      </w:r>
      <w:r w:rsidR="00475238" w:rsidRPr="00BD2DE9">
        <w:t xml:space="preserve"> (see Figure 1</w:t>
      </w:r>
      <w:r w:rsidR="007D03B0" w:rsidRPr="00BD2DE9">
        <w:t>8</w:t>
      </w:r>
      <w:r w:rsidR="00475238" w:rsidRPr="00BD2DE9">
        <w:t>)</w:t>
      </w:r>
      <w:r w:rsidRPr="00BD2DE9">
        <w:t>. Over the year to March 2023:</w:t>
      </w:r>
    </w:p>
    <w:p w14:paraId="5D6DF116" w14:textId="77777777" w:rsidR="006B0850" w:rsidRPr="00BD2DE9" w:rsidRDefault="006B0850" w:rsidP="006B0850">
      <w:pPr>
        <w:pStyle w:val="ListBullet"/>
      </w:pPr>
      <w:r w:rsidRPr="00BD2DE9">
        <w:t>Regional employers required an average of 2.9 years of experience for professional group vacancies, compared with 3.3 years for employers in metro areas.</w:t>
      </w:r>
    </w:p>
    <w:p w14:paraId="5DC6BA79" w14:textId="77777777" w:rsidR="006B0850" w:rsidRPr="00BD2DE9" w:rsidRDefault="006B0850" w:rsidP="006B0850">
      <w:pPr>
        <w:pStyle w:val="ListBullet"/>
      </w:pPr>
      <w:r w:rsidRPr="00BD2DE9">
        <w:t>Regional employers required an average of 2.5 years of experience for technician and trades worker vacancies, compared with 2.7 years for employers in metro areas.</w:t>
      </w:r>
    </w:p>
    <w:p w14:paraId="2BEC99DC" w14:textId="77777777" w:rsidR="006B0850" w:rsidRPr="00BD2DE9" w:rsidRDefault="006B0850" w:rsidP="006B0850">
      <w:r w:rsidRPr="00BD2DE9">
        <w:t>However, for the Community and Personal Service Workers major occupation group both metro and regional employers recruiting required an average of 1.8 years of relevant labour market experience.</w:t>
      </w:r>
    </w:p>
    <w:p w14:paraId="02B5D13C" w14:textId="6974BC97" w:rsidR="006B0850" w:rsidRPr="00BD2DE9" w:rsidRDefault="006B0850" w:rsidP="006B0850">
      <w:pPr>
        <w:pStyle w:val="Heading5"/>
      </w:pPr>
      <w:r w:rsidRPr="00BD2DE9">
        <w:t xml:space="preserve">Figure </w:t>
      </w:r>
      <w:r w:rsidR="00475238" w:rsidRPr="00BD2DE9">
        <w:t>1</w:t>
      </w:r>
      <w:r w:rsidR="007D03B0" w:rsidRPr="00BD2DE9">
        <w:t>8</w:t>
      </w:r>
      <w:r w:rsidRPr="00BD2DE9">
        <w:t>: Average years of experience required, metro and regional areas, year to March 2023</w:t>
      </w:r>
    </w:p>
    <w:p w14:paraId="142898A8" w14:textId="77777777" w:rsidR="006B0850" w:rsidRPr="00BD2DE9" w:rsidRDefault="006B0850" w:rsidP="006B0850">
      <w:pPr>
        <w:pStyle w:val="BodyText"/>
        <w:rPr>
          <w:lang w:eastAsia="en-AU"/>
        </w:rPr>
      </w:pPr>
      <w:r w:rsidRPr="00BD2DE9">
        <w:rPr>
          <w:noProof/>
        </w:rPr>
        <w:drawing>
          <wp:inline distT="0" distB="0" distL="0" distR="0" wp14:anchorId="37EA0E6C" wp14:editId="4E947B90">
            <wp:extent cx="5133975" cy="2695575"/>
            <wp:effectExtent l="0" t="0" r="0" b="0"/>
            <wp:docPr id="35" name="Chart 35" descr="Figure 18: Average years of experience required, metro and regional areas, year to March 2023&#10;Figure 18 shows two vertical bar charts of the average years of experience required for specific occupation groups, in both metro and regional areas, for the year to March 2023. It shows that across all occupations, regional employers required an average of 2.7 years of experience, compared with 3.0 years for employers in metro areas. For professional group occupations, regional employers required an average of 2.9 years of experience, compared with 3.3 years for employers in metro areas. For technician and trades worker vacancies, regional employers required an average of 2.5 years of experience, compared with 2.7 years for employers in metro areas. For community and personal service worker vacancies, both regional and metro employers required an average of 1.8 years of experience.&#10;">
              <a:extLst xmlns:a="http://schemas.openxmlformats.org/drawingml/2006/main">
                <a:ext uri="{FF2B5EF4-FFF2-40B4-BE49-F238E27FC236}">
                  <a16:creationId xmlns:a16="http://schemas.microsoft.com/office/drawing/2014/main" id="{AF9D4A88-F058-1C96-B923-D613858B91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4751ECD" w14:textId="77777777" w:rsidR="006B0850" w:rsidRPr="00BD2DE9" w:rsidRDefault="006B0850" w:rsidP="006B0850">
      <w:pPr>
        <w:rPr>
          <w:sz w:val="16"/>
          <w:szCs w:val="16"/>
        </w:rPr>
      </w:pPr>
      <w:r w:rsidRPr="00BD2DE9">
        <w:rPr>
          <w:i/>
          <w:iCs/>
          <w:sz w:val="16"/>
          <w:szCs w:val="16"/>
        </w:rPr>
        <w:t>Source</w:t>
      </w:r>
      <w:r w:rsidRPr="00BD2DE9">
        <w:rPr>
          <w:sz w:val="16"/>
          <w:szCs w:val="16"/>
        </w:rPr>
        <w:t xml:space="preserve">: JSA, </w:t>
      </w:r>
      <w:r w:rsidRPr="00FC7843">
        <w:rPr>
          <w:i/>
          <w:iCs/>
          <w:sz w:val="16"/>
          <w:szCs w:val="16"/>
        </w:rPr>
        <w:t>Survey of Employers who have Recently Advertised</w:t>
      </w:r>
      <w:r w:rsidRPr="00BD2DE9">
        <w:rPr>
          <w:sz w:val="16"/>
          <w:szCs w:val="16"/>
        </w:rPr>
        <w:t>, April 2022 – March 2023.</w:t>
      </w:r>
    </w:p>
    <w:p w14:paraId="249AEB85" w14:textId="77777777" w:rsidR="0065662F" w:rsidRDefault="0065662F" w:rsidP="00A37D3E"/>
    <w:p w14:paraId="4C2B910A" w14:textId="0FE02292" w:rsidR="006B0850" w:rsidRPr="00BD2DE9" w:rsidRDefault="006B0850" w:rsidP="00A37D3E">
      <w:r w:rsidRPr="00BD2DE9">
        <w:lastRenderedPageBreak/>
        <w:t>The lower experience requirements highlight the challenges regional employers face when recruiting skilled workers. However, it may also represent an opportunity for inexperienced workers to find employment if they are willing and able to move to regional areas early in their career.</w:t>
      </w:r>
    </w:p>
    <w:p w14:paraId="4E672981" w14:textId="60FC0465" w:rsidR="00FE41A2" w:rsidRPr="00BD2DE9" w:rsidRDefault="006B0850" w:rsidP="00FE41A2">
      <w:pPr>
        <w:spacing w:after="120" w:line="276" w:lineRule="auto"/>
        <w:rPr>
          <w:rFonts w:cs="Arial"/>
        </w:rPr>
      </w:pPr>
      <w:r w:rsidRPr="00BD2DE9">
        <w:t xml:space="preserve">Further, regional employers are more likely to report ‘location’ as the reason vacant positions remained unfilled (Figure </w:t>
      </w:r>
      <w:r w:rsidR="007D03B0" w:rsidRPr="00BD2DE9">
        <w:t>19</w:t>
      </w:r>
      <w:r w:rsidRPr="00BD2DE9">
        <w:t xml:space="preserve">). Location as a barrier to finding skilled workers appears to be a major issue for regional employers among Hospitality Workers, Construction Trades, Skilled Animal, Agriculture and Horticulture Workers, ICT Professionals and Education Professionals sub-major occupation groups. </w:t>
      </w:r>
      <w:r w:rsidR="00FE41A2" w:rsidRPr="00BD2DE9">
        <w:rPr>
          <w:rFonts w:cs="Arial"/>
        </w:rPr>
        <w:t>Studies have shown that health professional students with a rural origin a</w:t>
      </w:r>
      <w:r w:rsidR="00BF22F1">
        <w:rPr>
          <w:rFonts w:cs="Arial"/>
        </w:rPr>
        <w:t>re</w:t>
      </w:r>
      <w:r w:rsidR="00FE41A2" w:rsidRPr="00BD2DE9">
        <w:rPr>
          <w:rFonts w:cs="Arial"/>
        </w:rPr>
        <w:t xml:space="preserve"> more likely to practice in a rural setting, and it is the strongest factor for continued rural practice (Grobler et al 2009).</w:t>
      </w:r>
      <w:r w:rsidR="00FE41A2" w:rsidRPr="00BD2DE9">
        <w:rPr>
          <w:rStyle w:val="FootnoteReference"/>
          <w:rFonts w:cs="Arial"/>
        </w:rPr>
        <w:footnoteReference w:id="24"/>
      </w:r>
      <w:r w:rsidR="00FE41A2" w:rsidRPr="00BD2DE9">
        <w:rPr>
          <w:rFonts w:cs="Arial"/>
        </w:rPr>
        <w:t xml:space="preserve"> This may extend to other professional occupations. Providing training pathways for people in regional areas, through universities for Professional occupations including many healthcare roles and through TAFE for occupations such as Aged and Disabled Carer, will be important to fill this demand.</w:t>
      </w:r>
    </w:p>
    <w:p w14:paraId="3640737A" w14:textId="1E75D240" w:rsidR="006B0850" w:rsidRPr="00BD2DE9" w:rsidRDefault="006B0850" w:rsidP="006B0850">
      <w:r w:rsidRPr="00BD2DE9">
        <w:t xml:space="preserve">For metro area employers, the lack of specific skills was a more likely reason that skilled people were not found. This outcome may be due to metro employers having access to a larger pool of skilled workers to choose from and therefore can be </w:t>
      </w:r>
      <w:r w:rsidR="00A82533">
        <w:t>more selective</w:t>
      </w:r>
      <w:r w:rsidRPr="00BD2DE9">
        <w:t xml:space="preserve"> with respect to suitable skills.</w:t>
      </w:r>
    </w:p>
    <w:p w14:paraId="619AE1F7" w14:textId="1FF06884" w:rsidR="006B0850" w:rsidRPr="00BD2DE9" w:rsidRDefault="006B0850" w:rsidP="006B0850">
      <w:pPr>
        <w:pStyle w:val="Heading5"/>
      </w:pPr>
      <w:r w:rsidRPr="00BD2DE9">
        <w:t xml:space="preserve">Figure </w:t>
      </w:r>
      <w:r w:rsidR="007D03B0" w:rsidRPr="00BD2DE9">
        <w:t>19</w:t>
      </w:r>
      <w:r w:rsidRPr="00BD2DE9">
        <w:t>: Vacancy unfilled due to location (%), metro and regional areas, year to March 2023</w:t>
      </w:r>
    </w:p>
    <w:p w14:paraId="6D2245C5" w14:textId="77777777" w:rsidR="001E3572" w:rsidRPr="00BD2DE9" w:rsidRDefault="006B0850" w:rsidP="006B0850">
      <w:pPr>
        <w:rPr>
          <w:i/>
          <w:iCs/>
          <w:sz w:val="16"/>
          <w:szCs w:val="16"/>
        </w:rPr>
      </w:pPr>
      <w:r w:rsidRPr="00BD2DE9">
        <w:rPr>
          <w:noProof/>
        </w:rPr>
        <w:drawing>
          <wp:inline distT="0" distB="0" distL="0" distR="0" wp14:anchorId="689CD29E" wp14:editId="0A0A4A45">
            <wp:extent cx="6029325" cy="3490595"/>
            <wp:effectExtent l="0" t="0" r="0" b="0"/>
            <wp:docPr id="36" name="Chart 36" descr="Figure 19: Vacancy unfilled due to location (%), metro and regional areas, year to March 2023&#10;Figure 19 shows two horizontal bar charts of the percentage of vacancies that were unfilled due to location for specific occupation groups, in both metro and regional areas, for the year to March 2023. It shows that a higher percentage of vacancies were unfilled due to location in regional areas than was the case for metro areas, for all 16 occupation groups that were analysed. This difference was greatest for Skilled Animal, Agricultural and Horticultural Workers (17% of regional vacancies were unfilled due to location, compared to 2% of metro vacancies) and for Hospitality Workers (19% of regional vacancies were unfilled due to location, compared to 7% of metro vacancies) &#10;">
              <a:extLst xmlns:a="http://schemas.openxmlformats.org/drawingml/2006/main">
                <a:ext uri="{FF2B5EF4-FFF2-40B4-BE49-F238E27FC236}">
                  <a16:creationId xmlns:a16="http://schemas.microsoft.com/office/drawing/2014/main" id="{BBA206E4-36E8-ECF4-77A5-C3130EE3D0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BD2DE9">
        <w:rPr>
          <w:i/>
          <w:iCs/>
          <w:sz w:val="16"/>
          <w:szCs w:val="16"/>
        </w:rPr>
        <w:t xml:space="preserve"> </w:t>
      </w:r>
    </w:p>
    <w:p w14:paraId="48C3295B" w14:textId="723AE73F" w:rsidR="006B0850" w:rsidRPr="00BD2DE9" w:rsidRDefault="006B0850" w:rsidP="001E3572">
      <w:pPr>
        <w:rPr>
          <w:i/>
          <w:iCs/>
          <w:sz w:val="16"/>
          <w:szCs w:val="16"/>
        </w:rPr>
      </w:pPr>
      <w:r w:rsidRPr="00BD2DE9">
        <w:rPr>
          <w:i/>
          <w:iCs/>
          <w:sz w:val="16"/>
          <w:szCs w:val="16"/>
        </w:rPr>
        <w:t xml:space="preserve">Source: </w:t>
      </w:r>
      <w:r w:rsidRPr="00FC7843">
        <w:rPr>
          <w:sz w:val="16"/>
          <w:szCs w:val="16"/>
        </w:rPr>
        <w:t>JSA,</w:t>
      </w:r>
      <w:r w:rsidRPr="00BD2DE9">
        <w:rPr>
          <w:i/>
          <w:iCs/>
          <w:sz w:val="16"/>
          <w:szCs w:val="16"/>
        </w:rPr>
        <w:t xml:space="preserve"> Survey of Employers who have Recently Advertised, </w:t>
      </w:r>
      <w:r w:rsidRPr="00BD2DE9">
        <w:rPr>
          <w:sz w:val="16"/>
          <w:szCs w:val="16"/>
        </w:rPr>
        <w:t>March quarter 2023</w:t>
      </w:r>
      <w:r w:rsidR="00086A7E">
        <w:rPr>
          <w:sz w:val="16"/>
          <w:szCs w:val="16"/>
        </w:rPr>
        <w:t>.</w:t>
      </w:r>
      <w:r w:rsidRPr="00BD2DE9">
        <w:rPr>
          <w:i/>
          <w:iCs/>
          <w:sz w:val="16"/>
          <w:szCs w:val="16"/>
        </w:rPr>
        <w:t xml:space="preserve"> </w:t>
      </w:r>
    </w:p>
    <w:p w14:paraId="5A6A7C11" w14:textId="77777777" w:rsidR="0065662F" w:rsidRDefault="0065662F" w:rsidP="00AC1D37">
      <w:pPr>
        <w:pStyle w:val="Heading3"/>
      </w:pPr>
      <w:r>
        <w:br w:type="page"/>
      </w:r>
    </w:p>
    <w:p w14:paraId="540D6DE2" w14:textId="430CBAE3" w:rsidR="00AC1D37" w:rsidRPr="00BD2DE9" w:rsidRDefault="006A6706" w:rsidP="00AC1D37">
      <w:pPr>
        <w:pStyle w:val="Heading3"/>
      </w:pPr>
      <w:bookmarkStart w:id="36" w:name="_Toc134785341"/>
      <w:r w:rsidRPr="00BD2DE9">
        <w:lastRenderedPageBreak/>
        <w:t>Regional skills pressure c</w:t>
      </w:r>
      <w:r w:rsidR="003B6643" w:rsidRPr="00BD2DE9">
        <w:t>ase study: General Practitioners and Resident Medical Officers</w:t>
      </w:r>
      <w:bookmarkEnd w:id="36"/>
      <w:r w:rsidR="00AC1D37" w:rsidRPr="00BD2DE9">
        <w:t xml:space="preserve"> </w:t>
      </w:r>
    </w:p>
    <w:p w14:paraId="0488F924" w14:textId="77777777" w:rsidR="00376C50" w:rsidRPr="00BD2DE9" w:rsidRDefault="00432D6D" w:rsidP="006A07A0">
      <w:r w:rsidRPr="00BD2DE9">
        <w:t xml:space="preserve">One occupation that has been the subject of regular public discussion with respect to regional skills shortages is General Practitioners (GPs). </w:t>
      </w:r>
    </w:p>
    <w:p w14:paraId="452E4941" w14:textId="6D703408" w:rsidR="00214CED" w:rsidRPr="00BD2DE9" w:rsidRDefault="005F1915" w:rsidP="006A07A0">
      <w:bookmarkStart w:id="37" w:name="_Hlk134775381"/>
      <w:r w:rsidRPr="00BD2DE9">
        <w:t xml:space="preserve">In April 2022, </w:t>
      </w:r>
      <w:r w:rsidR="006A07A0" w:rsidRPr="00BD2DE9">
        <w:t xml:space="preserve">the Interim Report of the Community Affairs References Committee into the </w:t>
      </w:r>
      <w:r w:rsidR="006A07A0" w:rsidRPr="00BD2DE9">
        <w:rPr>
          <w:i/>
          <w:iCs/>
        </w:rPr>
        <w:t>Provision of general practitioner and related primary health services to outer metropolitan, rural, and regional Australians</w:t>
      </w:r>
      <w:r w:rsidR="006A07A0" w:rsidRPr="00BD2DE9">
        <w:t xml:space="preserve"> </w:t>
      </w:r>
      <w:r w:rsidR="00E53289" w:rsidRPr="00BD2DE9">
        <w:t xml:space="preserve">found that “the distribution of the primary health workforce is a significant issue in Australia's health system, and it is well known that those living in outer metropolitan, regional, and rural areas have less access to timely and affordable primary health care and experience worse health outcomes than those in metropolitan areas.” This report also </w:t>
      </w:r>
      <w:r w:rsidR="00BE2722" w:rsidRPr="00BD2DE9">
        <w:t xml:space="preserve">highlighted a number of key stakeholder submissions that remain relevant to this </w:t>
      </w:r>
      <w:r w:rsidR="00934F96" w:rsidRPr="00BD2DE9">
        <w:t>subject. In particular</w:t>
      </w:r>
      <w:bookmarkEnd w:id="37"/>
      <w:r w:rsidR="00934F96" w:rsidRPr="00BD2DE9">
        <w:t>:</w:t>
      </w:r>
    </w:p>
    <w:p w14:paraId="3B99DFBB" w14:textId="24EDF1ED" w:rsidR="00934F96" w:rsidRPr="00BD2DE9" w:rsidRDefault="004B3F5D" w:rsidP="00CB0BE2">
      <w:pPr>
        <w:pStyle w:val="ListParagraph"/>
        <w:numPr>
          <w:ilvl w:val="0"/>
          <w:numId w:val="18"/>
        </w:numPr>
      </w:pPr>
      <w:r w:rsidRPr="00BD2DE9">
        <w:t xml:space="preserve">The </w:t>
      </w:r>
      <w:r w:rsidR="00E752DA" w:rsidRPr="00BD2DE9">
        <w:t>Primary Health Network Cooperative</w:t>
      </w:r>
      <w:r w:rsidRPr="00BD2DE9">
        <w:t xml:space="preserve"> </w:t>
      </w:r>
      <w:r w:rsidR="00AB17A1" w:rsidRPr="00BD2DE9">
        <w:t>noted</w:t>
      </w:r>
      <w:r w:rsidRPr="00BD2DE9">
        <w:t xml:space="preserve"> that </w:t>
      </w:r>
      <w:r w:rsidR="00181974" w:rsidRPr="00BD2DE9">
        <w:t>r</w:t>
      </w:r>
      <w:r w:rsidR="0008650D" w:rsidRPr="00BD2DE9">
        <w:t xml:space="preserve">egional and rural areas experience significant </w:t>
      </w:r>
      <w:r w:rsidR="00F77FCB" w:rsidRPr="00BD2DE9">
        <w:t>health workforce shortages</w:t>
      </w:r>
      <w:r w:rsidR="00E729F8" w:rsidRPr="00BD2DE9">
        <w:t xml:space="preserve"> (</w:t>
      </w:r>
      <w:r w:rsidR="00F77FCB" w:rsidRPr="00BD2DE9">
        <w:t>relative to both state averages and patient need</w:t>
      </w:r>
      <w:r w:rsidR="00230251" w:rsidRPr="00BD2DE9">
        <w:t>)</w:t>
      </w:r>
      <w:r w:rsidR="00F77FCB" w:rsidRPr="00BD2DE9">
        <w:t>, along with an inability to attract and retain health care practitioners to health care settings that can’t offer the career and lifestyle opportunities found in inner metropolitan areas</w:t>
      </w:r>
      <w:r w:rsidR="00D24CCB" w:rsidRPr="00BD2DE9">
        <w:t>.</w:t>
      </w:r>
      <w:r w:rsidR="00352559" w:rsidRPr="00BD2DE9">
        <w:rPr>
          <w:rStyle w:val="FootnoteReference"/>
        </w:rPr>
        <w:footnoteReference w:id="25"/>
      </w:r>
    </w:p>
    <w:p w14:paraId="7E9F2348" w14:textId="15643484" w:rsidR="00E752DA" w:rsidRPr="00BD2DE9" w:rsidRDefault="00AB17A1" w:rsidP="00CB0BE2">
      <w:pPr>
        <w:pStyle w:val="ListParagraph"/>
        <w:numPr>
          <w:ilvl w:val="0"/>
          <w:numId w:val="18"/>
        </w:numPr>
      </w:pPr>
      <w:r w:rsidRPr="00BD2DE9">
        <w:t xml:space="preserve">The </w:t>
      </w:r>
      <w:r w:rsidR="00682E3D" w:rsidRPr="00BD2DE9">
        <w:t>Rural Workforce Agency Network</w:t>
      </w:r>
      <w:r w:rsidRPr="00BD2DE9">
        <w:t xml:space="preserve"> noted that several rural health workforce challenges, including </w:t>
      </w:r>
      <w:r w:rsidR="00230251" w:rsidRPr="00BD2DE9">
        <w:t xml:space="preserve">workforce </w:t>
      </w:r>
      <w:r w:rsidRPr="00BD2DE9">
        <w:t>distribution which skews towards metropolitan centres</w:t>
      </w:r>
      <w:r w:rsidR="00037CAB" w:rsidRPr="00BD2DE9">
        <w:t>; h</w:t>
      </w:r>
      <w:r w:rsidRPr="00BD2DE9">
        <w:t>igh dependence on International Medical Graduate (IMGs) doctors to provide primary care and general</w:t>
      </w:r>
      <w:r w:rsidR="00037CAB" w:rsidRPr="00BD2DE9">
        <w:t xml:space="preserve"> </w:t>
      </w:r>
      <w:r w:rsidRPr="00BD2DE9">
        <w:t>practice services within country regions;</w:t>
      </w:r>
      <w:r w:rsidR="005D4C13" w:rsidRPr="00BD2DE9">
        <w:t xml:space="preserve"> and uncertain v</w:t>
      </w:r>
      <w:r w:rsidRPr="00BD2DE9">
        <w:t>iability of small rural hospitals</w:t>
      </w:r>
      <w:r w:rsidR="00D24CCB" w:rsidRPr="00BD2DE9">
        <w:t xml:space="preserve">, as </w:t>
      </w:r>
      <w:r w:rsidRPr="00BD2DE9">
        <w:t>loss of services such as maternity, surgical, anaesthetic and</w:t>
      </w:r>
      <w:r w:rsidR="005D4C13" w:rsidRPr="00BD2DE9">
        <w:t xml:space="preserve"> </w:t>
      </w:r>
      <w:r w:rsidRPr="00BD2DE9">
        <w:t>emergency services mak</w:t>
      </w:r>
      <w:r w:rsidR="00D24CCB" w:rsidRPr="00BD2DE9">
        <w:t>es</w:t>
      </w:r>
      <w:r w:rsidRPr="00BD2DE9">
        <w:t xml:space="preserve"> working in those communities less attractive for rural generalists</w:t>
      </w:r>
      <w:r w:rsidR="00D24CCB" w:rsidRPr="00BD2DE9">
        <w:t>.</w:t>
      </w:r>
      <w:r w:rsidR="00642E09" w:rsidRPr="00BD2DE9">
        <w:rPr>
          <w:rStyle w:val="FootnoteReference"/>
        </w:rPr>
        <w:footnoteReference w:id="26"/>
      </w:r>
    </w:p>
    <w:p w14:paraId="11EC92E9" w14:textId="31B4130E" w:rsidR="00682E3D" w:rsidRPr="00BD2DE9" w:rsidRDefault="000E039D" w:rsidP="00CB0BE2">
      <w:pPr>
        <w:pStyle w:val="ListParagraph"/>
        <w:numPr>
          <w:ilvl w:val="0"/>
          <w:numId w:val="18"/>
        </w:numPr>
      </w:pPr>
      <w:r w:rsidRPr="00BD2DE9">
        <w:t xml:space="preserve">The </w:t>
      </w:r>
      <w:r w:rsidR="00682E3D" w:rsidRPr="00BD2DE9">
        <w:t>Regional Australia Institute</w:t>
      </w:r>
      <w:r w:rsidR="000B0FFE" w:rsidRPr="00BD2DE9">
        <w:t xml:space="preserve"> </w:t>
      </w:r>
      <w:r w:rsidRPr="00BD2DE9">
        <w:t>noted that access to e</w:t>
      </w:r>
      <w:r w:rsidR="000B0FFE" w:rsidRPr="00BD2DE9">
        <w:t>mployment opportunities</w:t>
      </w:r>
      <w:r w:rsidRPr="00BD2DE9">
        <w:t xml:space="preserve"> </w:t>
      </w:r>
      <w:r w:rsidR="000B0FFE" w:rsidRPr="00BD2DE9">
        <w:t>is impacted by the recruitment (including supply and distribution) and retention of an appropriately trained, skilled and equitably distributed health workforce</w:t>
      </w:r>
      <w:r w:rsidRPr="00BD2DE9">
        <w:t>.</w:t>
      </w:r>
      <w:r w:rsidR="00642E09" w:rsidRPr="00BD2DE9">
        <w:rPr>
          <w:rStyle w:val="FootnoteReference"/>
        </w:rPr>
        <w:footnoteReference w:id="27"/>
      </w:r>
      <w:r w:rsidR="004B3F5D" w:rsidRPr="00BD2DE9">
        <w:t xml:space="preserve"> </w:t>
      </w:r>
    </w:p>
    <w:p w14:paraId="1303A391" w14:textId="1DEA39CD" w:rsidR="00682E3D" w:rsidRPr="00BD2DE9" w:rsidRDefault="000E039D" w:rsidP="00CB0BE2">
      <w:pPr>
        <w:pStyle w:val="ListParagraph"/>
        <w:numPr>
          <w:ilvl w:val="0"/>
          <w:numId w:val="18"/>
        </w:numPr>
      </w:pPr>
      <w:r w:rsidRPr="00BD2DE9">
        <w:t>T</w:t>
      </w:r>
      <w:r w:rsidR="002E52BD" w:rsidRPr="00BD2DE9">
        <w:t>h</w:t>
      </w:r>
      <w:r w:rsidRPr="00BD2DE9">
        <w:t xml:space="preserve">e </w:t>
      </w:r>
      <w:r w:rsidR="00D90498" w:rsidRPr="00BD2DE9">
        <w:t>Rural and Remote Medical Services</w:t>
      </w:r>
      <w:r w:rsidR="002E52BD" w:rsidRPr="00BD2DE9">
        <w:t xml:space="preserve"> noted a range of barriers for GPs</w:t>
      </w:r>
      <w:r w:rsidR="00D2611B" w:rsidRPr="00BD2DE9">
        <w:t xml:space="preserve"> </w:t>
      </w:r>
      <w:r w:rsidR="002E52BD" w:rsidRPr="00BD2DE9">
        <w:t>to take up residence and work in rural and remote communities</w:t>
      </w:r>
      <w:r w:rsidR="00916C0E" w:rsidRPr="00BD2DE9">
        <w:t>, including i</w:t>
      </w:r>
      <w:r w:rsidR="002E52BD" w:rsidRPr="00BD2DE9">
        <w:t>solation</w:t>
      </w:r>
      <w:r w:rsidR="00916C0E" w:rsidRPr="00BD2DE9">
        <w:t>; l</w:t>
      </w:r>
      <w:r w:rsidR="002E52BD" w:rsidRPr="00BD2DE9">
        <w:t>ack of professional development</w:t>
      </w:r>
      <w:r w:rsidR="00916C0E" w:rsidRPr="00BD2DE9">
        <w:t>; i</w:t>
      </w:r>
      <w:r w:rsidR="002E52BD" w:rsidRPr="00BD2DE9">
        <w:t>nability of spouse to gain employment</w:t>
      </w:r>
      <w:r w:rsidR="00916C0E" w:rsidRPr="00BD2DE9">
        <w:t>; l</w:t>
      </w:r>
      <w:r w:rsidR="002E52BD" w:rsidRPr="00BD2DE9">
        <w:t>ack of educational options for children</w:t>
      </w:r>
      <w:r w:rsidR="00916C0E" w:rsidRPr="00BD2DE9">
        <w:t>; l</w:t>
      </w:r>
      <w:r w:rsidR="002E52BD" w:rsidRPr="00BD2DE9">
        <w:t>ack of social amenity</w:t>
      </w:r>
      <w:r w:rsidR="00916C0E" w:rsidRPr="00BD2DE9">
        <w:t>; p</w:t>
      </w:r>
      <w:r w:rsidR="002E52BD" w:rsidRPr="00BD2DE9">
        <w:t>erceived workload</w:t>
      </w:r>
      <w:r w:rsidR="00916C0E" w:rsidRPr="00BD2DE9">
        <w:t>; and c</w:t>
      </w:r>
      <w:r w:rsidR="002E52BD" w:rsidRPr="00BD2DE9">
        <w:t>omparatively lower remuneration for rural and remote GPs</w:t>
      </w:r>
      <w:r w:rsidR="00916C0E" w:rsidRPr="00BD2DE9">
        <w:t>.</w:t>
      </w:r>
      <w:r w:rsidR="00642E09" w:rsidRPr="00BD2DE9">
        <w:rPr>
          <w:rStyle w:val="FootnoteReference"/>
        </w:rPr>
        <w:footnoteReference w:id="28"/>
      </w:r>
      <w:r w:rsidR="00D90498" w:rsidRPr="00BD2DE9">
        <w:t xml:space="preserve"> </w:t>
      </w:r>
      <w:r w:rsidR="000948BA" w:rsidRPr="00BD2DE9">
        <w:t xml:space="preserve"> </w:t>
      </w:r>
    </w:p>
    <w:p w14:paraId="7E05DE8F" w14:textId="195676F2" w:rsidR="00C34B49" w:rsidRPr="00BD2DE9" w:rsidRDefault="009377E5" w:rsidP="00166A15">
      <w:r w:rsidRPr="00BD2DE9">
        <w:t xml:space="preserve">As noted earlier, </w:t>
      </w:r>
      <w:r w:rsidR="0088230D" w:rsidRPr="00BD2DE9">
        <w:t xml:space="preserve">an indicator based on the ratio of </w:t>
      </w:r>
      <w:r w:rsidR="00AB2A22" w:rsidRPr="00BD2DE9">
        <w:t xml:space="preserve">IVI </w:t>
      </w:r>
      <w:r w:rsidR="0088230D" w:rsidRPr="00BD2DE9">
        <w:t>job ad</w:t>
      </w:r>
      <w:r w:rsidR="00AB2A22" w:rsidRPr="00BD2DE9">
        <w:t>vertisement</w:t>
      </w:r>
      <w:r w:rsidR="0088230D" w:rsidRPr="00BD2DE9">
        <w:t xml:space="preserve">s to employment can be </w:t>
      </w:r>
      <w:r w:rsidR="001F67E4" w:rsidRPr="00BD2DE9">
        <w:t>used</w:t>
      </w:r>
      <w:r w:rsidR="0088230D" w:rsidRPr="00BD2DE9">
        <w:t xml:space="preserve"> to test current labour demand pressures for occupations</w:t>
      </w:r>
      <w:r w:rsidR="00087CA9" w:rsidRPr="00BD2DE9">
        <w:t>,</w:t>
      </w:r>
      <w:r w:rsidR="0088230D" w:rsidRPr="00BD2DE9">
        <w:t xml:space="preserve"> on a region-by-region basi</w:t>
      </w:r>
      <w:r w:rsidR="001F67E4" w:rsidRPr="00BD2DE9">
        <w:t>s</w:t>
      </w:r>
      <w:r w:rsidR="0088230D" w:rsidRPr="00BD2DE9">
        <w:t>.</w:t>
      </w:r>
      <w:r w:rsidR="007F1B9A" w:rsidRPr="00BD2DE9">
        <w:t xml:space="preserve"> </w:t>
      </w:r>
      <w:r w:rsidR="00F051C7" w:rsidRPr="00BD2DE9">
        <w:t xml:space="preserve">Table </w:t>
      </w:r>
      <w:r w:rsidR="005323B6" w:rsidRPr="00BD2DE9">
        <w:t>8</w:t>
      </w:r>
      <w:r w:rsidR="00F051C7" w:rsidRPr="00BD2DE9">
        <w:t xml:space="preserve"> presents these results </w:t>
      </w:r>
      <w:r w:rsidR="00903FC1" w:rsidRPr="00BD2DE9">
        <w:t>for General Practitioners and Resident Medical Officers</w:t>
      </w:r>
      <w:r w:rsidR="00371831" w:rsidRPr="00BD2DE9">
        <w:t>, which is an occupation that was found to be in shortage (both nationally and for each state and territory) in the 2022</w:t>
      </w:r>
      <w:r w:rsidR="00DE42A2" w:rsidRPr="00BD2DE9">
        <w:t xml:space="preserve"> </w:t>
      </w:r>
      <w:r w:rsidR="00903FC1" w:rsidRPr="00BD2DE9">
        <w:t>Skills Priority List</w:t>
      </w:r>
      <w:r w:rsidR="00371831" w:rsidRPr="00BD2DE9">
        <w:t>.</w:t>
      </w:r>
      <w:r w:rsidR="00903FC1" w:rsidRPr="00BD2DE9">
        <w:t xml:space="preserve"> However, </w:t>
      </w:r>
      <w:r w:rsidR="00DE42A2" w:rsidRPr="00BD2DE9">
        <w:t>as the table illustrates,</w:t>
      </w:r>
      <w:r w:rsidR="00903FC1" w:rsidRPr="00BD2DE9">
        <w:t xml:space="preserve"> the </w:t>
      </w:r>
      <w:r w:rsidR="00DE42A2" w:rsidRPr="00BD2DE9">
        <w:t>current degree</w:t>
      </w:r>
      <w:r w:rsidR="00903FC1" w:rsidRPr="00BD2DE9">
        <w:t xml:space="preserve"> of s</w:t>
      </w:r>
      <w:r w:rsidR="00DE42A2" w:rsidRPr="00BD2DE9">
        <w:t>kills pressure</w:t>
      </w:r>
      <w:r w:rsidR="00903FC1" w:rsidRPr="00BD2DE9">
        <w:t xml:space="preserve"> is </w:t>
      </w:r>
      <w:r w:rsidR="00C84B7A" w:rsidRPr="00BD2DE9">
        <w:t>far from</w:t>
      </w:r>
      <w:r w:rsidR="00903FC1" w:rsidRPr="00BD2DE9">
        <w:t xml:space="preserve"> uniform across regions. </w:t>
      </w:r>
    </w:p>
    <w:p w14:paraId="00158CF6" w14:textId="77777777" w:rsidR="0065662F" w:rsidRDefault="0065662F" w:rsidP="00903FC1">
      <w:pPr>
        <w:pStyle w:val="Heading5"/>
      </w:pPr>
      <w:r>
        <w:br w:type="page"/>
      </w:r>
    </w:p>
    <w:p w14:paraId="4EE94239" w14:textId="59B140F3" w:rsidR="0041679C" w:rsidRPr="00BD2DE9" w:rsidRDefault="0041679C" w:rsidP="00903FC1">
      <w:pPr>
        <w:pStyle w:val="Heading5"/>
      </w:pPr>
      <w:r w:rsidRPr="00BD2DE9">
        <w:lastRenderedPageBreak/>
        <w:t xml:space="preserve">Table </w:t>
      </w:r>
      <w:r w:rsidR="005323B6" w:rsidRPr="00BD2DE9">
        <w:t>8</w:t>
      </w:r>
      <w:r w:rsidRPr="00BD2DE9">
        <w:t xml:space="preserve">: </w:t>
      </w:r>
      <w:r w:rsidR="00F53310" w:rsidRPr="00BD2DE9">
        <w:t>I</w:t>
      </w:r>
      <w:r w:rsidR="004B2E96" w:rsidRPr="00BD2DE9">
        <w:t xml:space="preserve">VI </w:t>
      </w:r>
      <w:r w:rsidR="00F53310" w:rsidRPr="00BD2DE9">
        <w:t>v</w:t>
      </w:r>
      <w:r w:rsidR="00817124" w:rsidRPr="00BD2DE9">
        <w:t>acancy ratios (</w:t>
      </w:r>
      <w:r w:rsidR="004B2E96" w:rsidRPr="00BD2DE9">
        <w:t xml:space="preserve">IVI </w:t>
      </w:r>
      <w:r w:rsidR="00817124" w:rsidRPr="00BD2DE9">
        <w:rPr>
          <w:rFonts w:asciiTheme="minorHAnsi" w:hAnsiTheme="minorHAnsi" w:cstheme="minorHAnsi"/>
        </w:rPr>
        <w:t xml:space="preserve">online job advertisements </w:t>
      </w:r>
      <w:r w:rsidR="00817124" w:rsidRPr="00BD2DE9">
        <w:t>as a proportion of employment)</w:t>
      </w:r>
      <w:r w:rsidR="00DC4160" w:rsidRPr="00BD2DE9">
        <w:t xml:space="preserve"> </w:t>
      </w:r>
      <w:r w:rsidR="00BE45AC" w:rsidRPr="00BD2DE9">
        <w:t>for General Practitioners and Resident Medical Officers, by region</w:t>
      </w:r>
    </w:p>
    <w:tbl>
      <w:tblPr>
        <w:tblStyle w:val="PlainTable4"/>
        <w:tblW w:w="10915" w:type="dxa"/>
        <w:tblLook w:val="04A0" w:firstRow="1" w:lastRow="0" w:firstColumn="1" w:lastColumn="0" w:noHBand="0" w:noVBand="1"/>
      </w:tblPr>
      <w:tblGrid>
        <w:gridCol w:w="649"/>
        <w:gridCol w:w="3596"/>
        <w:gridCol w:w="1142"/>
        <w:gridCol w:w="816"/>
        <w:gridCol w:w="3564"/>
        <w:gridCol w:w="1148"/>
      </w:tblGrid>
      <w:tr w:rsidR="004E781C" w:rsidRPr="00BD2DE9" w14:paraId="0362D32D" w14:textId="2003F2C8" w:rsidTr="0066117B">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649" w:type="dxa"/>
            <w:shd w:val="clear" w:color="auto" w:fill="441170" w:themeFill="text2"/>
          </w:tcPr>
          <w:p w14:paraId="659E6FDA" w14:textId="77777777" w:rsidR="00621A09" w:rsidRPr="00BD2DE9" w:rsidRDefault="00621A09" w:rsidP="00621A09">
            <w:pPr>
              <w:jc w:val="center"/>
              <w:rPr>
                <w:rFonts w:cs="Arial"/>
                <w:b w:val="0"/>
                <w:bCs w:val="0"/>
                <w:color w:val="FFFFFF" w:themeColor="background1"/>
                <w:sz w:val="20"/>
                <w:szCs w:val="20"/>
              </w:rPr>
            </w:pPr>
            <w:r w:rsidRPr="00BD2DE9">
              <w:rPr>
                <w:rFonts w:cs="Arial"/>
                <w:color w:val="FFFFFF" w:themeColor="background1"/>
                <w:sz w:val="20"/>
                <w:szCs w:val="20"/>
              </w:rPr>
              <w:t>No.</w:t>
            </w:r>
          </w:p>
        </w:tc>
        <w:tc>
          <w:tcPr>
            <w:tcW w:w="3596" w:type="dxa"/>
            <w:shd w:val="clear" w:color="auto" w:fill="441170" w:themeFill="text2"/>
            <w:hideMark/>
          </w:tcPr>
          <w:p w14:paraId="0A35F4A9" w14:textId="77777777" w:rsidR="00621A09" w:rsidRPr="00BD2DE9" w:rsidRDefault="00621A09" w:rsidP="00621A09">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BD2DE9">
              <w:rPr>
                <w:rFonts w:cs="Arial"/>
                <w:color w:val="FFFFFF" w:themeColor="background1"/>
                <w:sz w:val="20"/>
                <w:szCs w:val="20"/>
              </w:rPr>
              <w:t>Region</w:t>
            </w:r>
          </w:p>
        </w:tc>
        <w:tc>
          <w:tcPr>
            <w:tcW w:w="1142" w:type="dxa"/>
            <w:shd w:val="clear" w:color="auto" w:fill="441170" w:themeFill="text2"/>
            <w:hideMark/>
          </w:tcPr>
          <w:p w14:paraId="52F7B18A" w14:textId="10BE1264" w:rsidR="00621A09" w:rsidRPr="00BD2DE9" w:rsidRDefault="00621A09" w:rsidP="00621A09">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BD2DE9">
              <w:rPr>
                <w:rFonts w:cs="Arial"/>
                <w:color w:val="FFFFFF" w:themeColor="background1"/>
                <w:sz w:val="20"/>
                <w:szCs w:val="20"/>
              </w:rPr>
              <w:t>IVI vacancy ratio (%)</w:t>
            </w:r>
          </w:p>
        </w:tc>
        <w:tc>
          <w:tcPr>
            <w:tcW w:w="816" w:type="dxa"/>
            <w:shd w:val="clear" w:color="auto" w:fill="441170" w:themeFill="text2"/>
          </w:tcPr>
          <w:p w14:paraId="5285B4ED" w14:textId="7F2063ED" w:rsidR="00621A09" w:rsidRPr="00BD2DE9" w:rsidRDefault="00621A09" w:rsidP="00621A09">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BD2DE9">
              <w:rPr>
                <w:rFonts w:cs="Arial"/>
                <w:color w:val="FFFFFF" w:themeColor="background1"/>
                <w:sz w:val="20"/>
                <w:szCs w:val="20"/>
              </w:rPr>
              <w:t>No.</w:t>
            </w:r>
          </w:p>
        </w:tc>
        <w:tc>
          <w:tcPr>
            <w:tcW w:w="3564" w:type="dxa"/>
            <w:shd w:val="clear" w:color="auto" w:fill="441170" w:themeFill="text2"/>
          </w:tcPr>
          <w:p w14:paraId="6E7AD2DE" w14:textId="18A66EDD" w:rsidR="00621A09" w:rsidRPr="00BD2DE9" w:rsidRDefault="00621A09" w:rsidP="00621A09">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BD2DE9">
              <w:rPr>
                <w:rFonts w:cs="Arial"/>
                <w:color w:val="FFFFFF" w:themeColor="background1"/>
                <w:sz w:val="20"/>
                <w:szCs w:val="20"/>
              </w:rPr>
              <w:t>Region</w:t>
            </w:r>
          </w:p>
        </w:tc>
        <w:tc>
          <w:tcPr>
            <w:tcW w:w="1148" w:type="dxa"/>
            <w:shd w:val="clear" w:color="auto" w:fill="441170" w:themeFill="text2"/>
          </w:tcPr>
          <w:p w14:paraId="78F888A1" w14:textId="43F7E030" w:rsidR="00621A09" w:rsidRPr="00BD2DE9" w:rsidRDefault="00621A09" w:rsidP="00621A09">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BD2DE9">
              <w:rPr>
                <w:rFonts w:cs="Arial"/>
                <w:color w:val="FFFFFF" w:themeColor="background1"/>
                <w:sz w:val="20"/>
                <w:szCs w:val="20"/>
              </w:rPr>
              <w:t>IVI vacancy ratio (%)</w:t>
            </w:r>
          </w:p>
        </w:tc>
      </w:tr>
      <w:tr w:rsidR="004E781C" w:rsidRPr="00BD2DE9" w14:paraId="7C403796" w14:textId="469534F9" w:rsidTr="00661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9" w:type="dxa"/>
          </w:tcPr>
          <w:p w14:paraId="014C293D" w14:textId="124C8C11" w:rsidR="00621A09" w:rsidRPr="00BD2DE9" w:rsidRDefault="00621A09" w:rsidP="00621A09">
            <w:pPr>
              <w:rPr>
                <w:rFonts w:cs="Arial"/>
                <w:sz w:val="20"/>
                <w:szCs w:val="20"/>
              </w:rPr>
            </w:pPr>
            <w:r w:rsidRPr="00BD2DE9">
              <w:rPr>
                <w:sz w:val="20"/>
                <w:szCs w:val="20"/>
              </w:rPr>
              <w:t>1</w:t>
            </w:r>
          </w:p>
        </w:tc>
        <w:tc>
          <w:tcPr>
            <w:tcW w:w="3596" w:type="dxa"/>
            <w:noWrap/>
            <w:hideMark/>
          </w:tcPr>
          <w:p w14:paraId="61D6AC00" w14:textId="08B924C2" w:rsidR="00621A09" w:rsidRPr="00BD2DE9" w:rsidRDefault="00621A09" w:rsidP="00621A0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D2DE9">
              <w:rPr>
                <w:sz w:val="20"/>
                <w:szCs w:val="20"/>
              </w:rPr>
              <w:t>Far West and Orana</w:t>
            </w:r>
          </w:p>
        </w:tc>
        <w:tc>
          <w:tcPr>
            <w:tcW w:w="1142" w:type="dxa"/>
            <w:noWrap/>
            <w:hideMark/>
          </w:tcPr>
          <w:p w14:paraId="0391679A" w14:textId="10A181EC"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2DE9">
              <w:rPr>
                <w:sz w:val="20"/>
                <w:szCs w:val="20"/>
              </w:rPr>
              <w:t>20.7</w:t>
            </w:r>
          </w:p>
        </w:tc>
        <w:tc>
          <w:tcPr>
            <w:tcW w:w="816" w:type="dxa"/>
          </w:tcPr>
          <w:p w14:paraId="651E1ACF" w14:textId="170D6709"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BD2DE9">
              <w:rPr>
                <w:b/>
                <w:bCs/>
                <w:sz w:val="20"/>
                <w:szCs w:val="20"/>
              </w:rPr>
              <w:t>25</w:t>
            </w:r>
          </w:p>
        </w:tc>
        <w:tc>
          <w:tcPr>
            <w:tcW w:w="3564" w:type="dxa"/>
          </w:tcPr>
          <w:p w14:paraId="4EF755AF" w14:textId="5E153B1E" w:rsidR="00621A09" w:rsidRPr="00BD2DE9" w:rsidRDefault="00621A09" w:rsidP="005822F3">
            <w:pP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Mid North Coast</w:t>
            </w:r>
          </w:p>
        </w:tc>
        <w:tc>
          <w:tcPr>
            <w:tcW w:w="1148" w:type="dxa"/>
          </w:tcPr>
          <w:p w14:paraId="019EF64A" w14:textId="1347B4C4"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6.1</w:t>
            </w:r>
          </w:p>
        </w:tc>
      </w:tr>
      <w:tr w:rsidR="004E781C" w:rsidRPr="00BD2DE9" w14:paraId="40276339" w14:textId="4B0CB234" w:rsidTr="0066117B">
        <w:trPr>
          <w:trHeight w:val="300"/>
        </w:trPr>
        <w:tc>
          <w:tcPr>
            <w:cnfStyle w:val="001000000000" w:firstRow="0" w:lastRow="0" w:firstColumn="1" w:lastColumn="0" w:oddVBand="0" w:evenVBand="0" w:oddHBand="0" w:evenHBand="0" w:firstRowFirstColumn="0" w:firstRowLastColumn="0" w:lastRowFirstColumn="0" w:lastRowLastColumn="0"/>
            <w:tcW w:w="649" w:type="dxa"/>
          </w:tcPr>
          <w:p w14:paraId="46A181FC" w14:textId="26F16CBE" w:rsidR="00621A09" w:rsidRPr="00BD2DE9" w:rsidRDefault="00621A09" w:rsidP="00621A09">
            <w:pPr>
              <w:rPr>
                <w:rFonts w:cs="Arial"/>
                <w:sz w:val="20"/>
                <w:szCs w:val="20"/>
              </w:rPr>
            </w:pPr>
            <w:r w:rsidRPr="00BD2DE9">
              <w:rPr>
                <w:sz w:val="20"/>
                <w:szCs w:val="20"/>
              </w:rPr>
              <w:t>2</w:t>
            </w:r>
          </w:p>
        </w:tc>
        <w:tc>
          <w:tcPr>
            <w:tcW w:w="3596" w:type="dxa"/>
            <w:noWrap/>
            <w:hideMark/>
          </w:tcPr>
          <w:p w14:paraId="3D046A34" w14:textId="7AD27D90" w:rsidR="00621A09" w:rsidRPr="00BD2DE9" w:rsidRDefault="00621A09" w:rsidP="00621A0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BD2DE9">
              <w:rPr>
                <w:sz w:val="20"/>
                <w:szCs w:val="20"/>
              </w:rPr>
              <w:t>Queensland - Outback</w:t>
            </w:r>
          </w:p>
        </w:tc>
        <w:tc>
          <w:tcPr>
            <w:tcW w:w="1142" w:type="dxa"/>
            <w:noWrap/>
            <w:hideMark/>
          </w:tcPr>
          <w:p w14:paraId="6D6B1592" w14:textId="323DF6CE"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2DE9">
              <w:rPr>
                <w:sz w:val="20"/>
                <w:szCs w:val="20"/>
              </w:rPr>
              <w:t>20.0</w:t>
            </w:r>
          </w:p>
        </w:tc>
        <w:tc>
          <w:tcPr>
            <w:tcW w:w="816" w:type="dxa"/>
          </w:tcPr>
          <w:p w14:paraId="411D53AD" w14:textId="1A2BA1C7"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BD2DE9">
              <w:rPr>
                <w:b/>
                <w:bCs/>
                <w:sz w:val="20"/>
                <w:szCs w:val="20"/>
              </w:rPr>
              <w:t>26</w:t>
            </w:r>
          </w:p>
        </w:tc>
        <w:tc>
          <w:tcPr>
            <w:tcW w:w="3564" w:type="dxa"/>
          </w:tcPr>
          <w:p w14:paraId="1D1FE513" w14:textId="2D47B0E9" w:rsidR="00621A09" w:rsidRPr="00BD2DE9" w:rsidRDefault="00621A09" w:rsidP="005822F3">
            <w:pP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West and North West</w:t>
            </w:r>
          </w:p>
        </w:tc>
        <w:tc>
          <w:tcPr>
            <w:tcW w:w="1148" w:type="dxa"/>
          </w:tcPr>
          <w:p w14:paraId="6BA3B97B" w14:textId="57CE8423"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6.0</w:t>
            </w:r>
          </w:p>
        </w:tc>
      </w:tr>
      <w:tr w:rsidR="004E781C" w:rsidRPr="00BD2DE9" w14:paraId="67EC9AD4" w14:textId="53CC2BB2" w:rsidTr="00661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9" w:type="dxa"/>
          </w:tcPr>
          <w:p w14:paraId="42164BD0" w14:textId="2E866B98" w:rsidR="00621A09" w:rsidRPr="00BD2DE9" w:rsidRDefault="00621A09" w:rsidP="00621A09">
            <w:pPr>
              <w:rPr>
                <w:rFonts w:cs="Arial"/>
                <w:sz w:val="20"/>
                <w:szCs w:val="20"/>
              </w:rPr>
            </w:pPr>
            <w:r w:rsidRPr="00BD2DE9">
              <w:rPr>
                <w:sz w:val="20"/>
                <w:szCs w:val="20"/>
              </w:rPr>
              <w:t>3</w:t>
            </w:r>
          </w:p>
        </w:tc>
        <w:tc>
          <w:tcPr>
            <w:tcW w:w="3596" w:type="dxa"/>
            <w:noWrap/>
            <w:hideMark/>
          </w:tcPr>
          <w:p w14:paraId="6C6736B0" w14:textId="5AF3CB2C" w:rsidR="00621A09" w:rsidRPr="00BD2DE9" w:rsidRDefault="00621A09" w:rsidP="00621A0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D2DE9">
              <w:rPr>
                <w:sz w:val="20"/>
                <w:szCs w:val="20"/>
              </w:rPr>
              <w:t>Darling Downs - Maranoa</w:t>
            </w:r>
          </w:p>
        </w:tc>
        <w:tc>
          <w:tcPr>
            <w:tcW w:w="1142" w:type="dxa"/>
            <w:noWrap/>
            <w:hideMark/>
          </w:tcPr>
          <w:p w14:paraId="4EA9ECC2" w14:textId="2F90DD39"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2DE9">
              <w:rPr>
                <w:sz w:val="20"/>
                <w:szCs w:val="20"/>
              </w:rPr>
              <w:t>13.4</w:t>
            </w:r>
          </w:p>
        </w:tc>
        <w:tc>
          <w:tcPr>
            <w:tcW w:w="816" w:type="dxa"/>
          </w:tcPr>
          <w:p w14:paraId="5AB51D7A" w14:textId="08CC87FF"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BD2DE9">
              <w:rPr>
                <w:b/>
                <w:bCs/>
                <w:sz w:val="20"/>
                <w:szCs w:val="20"/>
              </w:rPr>
              <w:t>27</w:t>
            </w:r>
          </w:p>
        </w:tc>
        <w:tc>
          <w:tcPr>
            <w:tcW w:w="3564" w:type="dxa"/>
          </w:tcPr>
          <w:p w14:paraId="7138A95C" w14:textId="2ECC1158" w:rsidR="00621A09" w:rsidRPr="00BD2DE9" w:rsidRDefault="00621A09" w:rsidP="005822F3">
            <w:pP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Ballarat</w:t>
            </w:r>
          </w:p>
        </w:tc>
        <w:tc>
          <w:tcPr>
            <w:tcW w:w="1148" w:type="dxa"/>
          </w:tcPr>
          <w:p w14:paraId="25C618AC" w14:textId="63E355B8"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5.1</w:t>
            </w:r>
          </w:p>
        </w:tc>
      </w:tr>
      <w:tr w:rsidR="004E781C" w:rsidRPr="00BD2DE9" w14:paraId="51CDC147" w14:textId="6B8E2D18" w:rsidTr="0066117B">
        <w:trPr>
          <w:trHeight w:val="300"/>
        </w:trPr>
        <w:tc>
          <w:tcPr>
            <w:cnfStyle w:val="001000000000" w:firstRow="0" w:lastRow="0" w:firstColumn="1" w:lastColumn="0" w:oddVBand="0" w:evenVBand="0" w:oddHBand="0" w:evenHBand="0" w:firstRowFirstColumn="0" w:firstRowLastColumn="0" w:lastRowFirstColumn="0" w:lastRowLastColumn="0"/>
            <w:tcW w:w="649" w:type="dxa"/>
          </w:tcPr>
          <w:p w14:paraId="7AFC945F" w14:textId="4A418C96" w:rsidR="00621A09" w:rsidRPr="00BD2DE9" w:rsidRDefault="00621A09" w:rsidP="00621A09">
            <w:pPr>
              <w:rPr>
                <w:rFonts w:cs="Arial"/>
                <w:sz w:val="20"/>
                <w:szCs w:val="20"/>
              </w:rPr>
            </w:pPr>
            <w:r w:rsidRPr="00BD2DE9">
              <w:rPr>
                <w:sz w:val="20"/>
                <w:szCs w:val="20"/>
              </w:rPr>
              <w:t>4</w:t>
            </w:r>
          </w:p>
        </w:tc>
        <w:tc>
          <w:tcPr>
            <w:tcW w:w="3596" w:type="dxa"/>
            <w:noWrap/>
            <w:hideMark/>
          </w:tcPr>
          <w:p w14:paraId="46D50D27" w14:textId="5DB26219" w:rsidR="00621A09" w:rsidRPr="00BD2DE9" w:rsidRDefault="00621A09" w:rsidP="00621A0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BD2DE9">
              <w:rPr>
                <w:sz w:val="20"/>
                <w:szCs w:val="20"/>
              </w:rPr>
              <w:t>New England and North West</w:t>
            </w:r>
          </w:p>
        </w:tc>
        <w:tc>
          <w:tcPr>
            <w:tcW w:w="1142" w:type="dxa"/>
            <w:noWrap/>
            <w:hideMark/>
          </w:tcPr>
          <w:p w14:paraId="766668C2" w14:textId="4A3B81DE"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2DE9">
              <w:rPr>
                <w:sz w:val="20"/>
                <w:szCs w:val="20"/>
              </w:rPr>
              <w:t>13.2</w:t>
            </w:r>
          </w:p>
        </w:tc>
        <w:tc>
          <w:tcPr>
            <w:tcW w:w="816" w:type="dxa"/>
          </w:tcPr>
          <w:p w14:paraId="4864E09D" w14:textId="28AF7224"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BD2DE9">
              <w:rPr>
                <w:b/>
                <w:bCs/>
                <w:sz w:val="20"/>
                <w:szCs w:val="20"/>
              </w:rPr>
              <w:t>28</w:t>
            </w:r>
          </w:p>
        </w:tc>
        <w:tc>
          <w:tcPr>
            <w:tcW w:w="3564" w:type="dxa"/>
          </w:tcPr>
          <w:p w14:paraId="6109C5D1" w14:textId="2CA45468" w:rsidR="00621A09" w:rsidRPr="00BD2DE9" w:rsidRDefault="00621A09" w:rsidP="005822F3">
            <w:pP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Hume</w:t>
            </w:r>
          </w:p>
        </w:tc>
        <w:tc>
          <w:tcPr>
            <w:tcW w:w="1148" w:type="dxa"/>
          </w:tcPr>
          <w:p w14:paraId="4EF6DA83" w14:textId="36BAFAEB"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5.0</w:t>
            </w:r>
          </w:p>
        </w:tc>
      </w:tr>
      <w:tr w:rsidR="004E781C" w:rsidRPr="00BD2DE9" w14:paraId="7222A6A9" w14:textId="075C6C15" w:rsidTr="00661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9" w:type="dxa"/>
          </w:tcPr>
          <w:p w14:paraId="5D7CA2B9" w14:textId="4BCD9F1D" w:rsidR="00621A09" w:rsidRPr="00BD2DE9" w:rsidRDefault="00621A09" w:rsidP="00621A09">
            <w:pPr>
              <w:rPr>
                <w:rFonts w:cs="Arial"/>
                <w:sz w:val="20"/>
                <w:szCs w:val="20"/>
              </w:rPr>
            </w:pPr>
            <w:r w:rsidRPr="00BD2DE9">
              <w:rPr>
                <w:sz w:val="20"/>
                <w:szCs w:val="20"/>
              </w:rPr>
              <w:t>5</w:t>
            </w:r>
          </w:p>
        </w:tc>
        <w:tc>
          <w:tcPr>
            <w:tcW w:w="3596" w:type="dxa"/>
            <w:noWrap/>
            <w:hideMark/>
          </w:tcPr>
          <w:p w14:paraId="117B7C8F" w14:textId="712DFA75" w:rsidR="00621A09" w:rsidRPr="00BD2DE9" w:rsidRDefault="00621A09" w:rsidP="00621A0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D2DE9">
              <w:rPr>
                <w:sz w:val="20"/>
                <w:szCs w:val="20"/>
              </w:rPr>
              <w:t>Capital Region</w:t>
            </w:r>
          </w:p>
        </w:tc>
        <w:tc>
          <w:tcPr>
            <w:tcW w:w="1142" w:type="dxa"/>
            <w:noWrap/>
            <w:hideMark/>
          </w:tcPr>
          <w:p w14:paraId="49663C43" w14:textId="52821ED8"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2DE9">
              <w:rPr>
                <w:sz w:val="20"/>
                <w:szCs w:val="20"/>
              </w:rPr>
              <w:t>12.5</w:t>
            </w:r>
          </w:p>
        </w:tc>
        <w:tc>
          <w:tcPr>
            <w:tcW w:w="816" w:type="dxa"/>
          </w:tcPr>
          <w:p w14:paraId="7FAB03F1" w14:textId="278E1EFF"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BD2DE9">
              <w:rPr>
                <w:b/>
                <w:bCs/>
                <w:sz w:val="20"/>
                <w:szCs w:val="20"/>
              </w:rPr>
              <w:t>29</w:t>
            </w:r>
          </w:p>
        </w:tc>
        <w:tc>
          <w:tcPr>
            <w:tcW w:w="3564" w:type="dxa"/>
          </w:tcPr>
          <w:p w14:paraId="5EC33C18" w14:textId="6D48FDAE" w:rsidR="00621A09" w:rsidRPr="00BD2DE9" w:rsidRDefault="00621A09" w:rsidP="005822F3">
            <w:pP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Riverina</w:t>
            </w:r>
          </w:p>
        </w:tc>
        <w:tc>
          <w:tcPr>
            <w:tcW w:w="1148" w:type="dxa"/>
          </w:tcPr>
          <w:p w14:paraId="02E55531" w14:textId="37949323"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4.9</w:t>
            </w:r>
          </w:p>
        </w:tc>
      </w:tr>
      <w:tr w:rsidR="004E781C" w:rsidRPr="00BD2DE9" w14:paraId="54C43848" w14:textId="256AE0A2" w:rsidTr="0066117B">
        <w:trPr>
          <w:trHeight w:val="300"/>
        </w:trPr>
        <w:tc>
          <w:tcPr>
            <w:cnfStyle w:val="001000000000" w:firstRow="0" w:lastRow="0" w:firstColumn="1" w:lastColumn="0" w:oddVBand="0" w:evenVBand="0" w:oddHBand="0" w:evenHBand="0" w:firstRowFirstColumn="0" w:firstRowLastColumn="0" w:lastRowFirstColumn="0" w:lastRowLastColumn="0"/>
            <w:tcW w:w="649" w:type="dxa"/>
          </w:tcPr>
          <w:p w14:paraId="366096CF" w14:textId="6CE31A53" w:rsidR="00621A09" w:rsidRPr="00BD2DE9" w:rsidRDefault="00621A09" w:rsidP="00621A09">
            <w:pPr>
              <w:rPr>
                <w:rFonts w:cs="Arial"/>
                <w:sz w:val="20"/>
                <w:szCs w:val="20"/>
              </w:rPr>
            </w:pPr>
            <w:r w:rsidRPr="00BD2DE9">
              <w:rPr>
                <w:sz w:val="20"/>
                <w:szCs w:val="20"/>
              </w:rPr>
              <w:t>6</w:t>
            </w:r>
          </w:p>
        </w:tc>
        <w:tc>
          <w:tcPr>
            <w:tcW w:w="3596" w:type="dxa"/>
            <w:noWrap/>
            <w:hideMark/>
          </w:tcPr>
          <w:p w14:paraId="32864EF4" w14:textId="44AB1A92" w:rsidR="00621A09" w:rsidRPr="00BD2DE9" w:rsidRDefault="00621A09" w:rsidP="00621A0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BD2DE9">
              <w:rPr>
                <w:sz w:val="20"/>
                <w:szCs w:val="20"/>
              </w:rPr>
              <w:t>Sunshine Coast</w:t>
            </w:r>
          </w:p>
        </w:tc>
        <w:tc>
          <w:tcPr>
            <w:tcW w:w="1142" w:type="dxa"/>
            <w:noWrap/>
            <w:hideMark/>
          </w:tcPr>
          <w:p w14:paraId="658FB29E" w14:textId="43448AA4"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2DE9">
              <w:rPr>
                <w:sz w:val="20"/>
                <w:szCs w:val="20"/>
              </w:rPr>
              <w:t>12.5</w:t>
            </w:r>
          </w:p>
        </w:tc>
        <w:tc>
          <w:tcPr>
            <w:tcW w:w="816" w:type="dxa"/>
          </w:tcPr>
          <w:p w14:paraId="1038742E" w14:textId="209BA5F6"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BD2DE9">
              <w:rPr>
                <w:b/>
                <w:bCs/>
                <w:sz w:val="20"/>
                <w:szCs w:val="20"/>
              </w:rPr>
              <w:t>30</w:t>
            </w:r>
          </w:p>
        </w:tc>
        <w:tc>
          <w:tcPr>
            <w:tcW w:w="3564" w:type="dxa"/>
          </w:tcPr>
          <w:p w14:paraId="60CDCD92" w14:textId="75D62A2A" w:rsidR="00621A09" w:rsidRPr="00BD2DE9" w:rsidRDefault="00621A09" w:rsidP="005822F3">
            <w:pP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Central West</w:t>
            </w:r>
          </w:p>
        </w:tc>
        <w:tc>
          <w:tcPr>
            <w:tcW w:w="1148" w:type="dxa"/>
          </w:tcPr>
          <w:p w14:paraId="5254311B" w14:textId="43A5B97C"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4.9</w:t>
            </w:r>
          </w:p>
        </w:tc>
      </w:tr>
      <w:tr w:rsidR="004E781C" w:rsidRPr="00BD2DE9" w14:paraId="317F212F" w14:textId="0EC56F7F" w:rsidTr="00661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9" w:type="dxa"/>
          </w:tcPr>
          <w:p w14:paraId="06AFF6AE" w14:textId="652B9DD6" w:rsidR="00621A09" w:rsidRPr="00BD2DE9" w:rsidRDefault="00621A09" w:rsidP="00621A09">
            <w:pPr>
              <w:rPr>
                <w:rFonts w:cs="Arial"/>
                <w:sz w:val="20"/>
                <w:szCs w:val="20"/>
              </w:rPr>
            </w:pPr>
            <w:r w:rsidRPr="00BD2DE9">
              <w:rPr>
                <w:sz w:val="20"/>
                <w:szCs w:val="20"/>
              </w:rPr>
              <w:t>7</w:t>
            </w:r>
          </w:p>
        </w:tc>
        <w:tc>
          <w:tcPr>
            <w:tcW w:w="3596" w:type="dxa"/>
            <w:noWrap/>
            <w:hideMark/>
          </w:tcPr>
          <w:p w14:paraId="2797207E" w14:textId="6D802724" w:rsidR="00621A09" w:rsidRPr="00BD2DE9" w:rsidRDefault="00621A09" w:rsidP="00621A0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D2DE9">
              <w:rPr>
                <w:sz w:val="20"/>
                <w:szCs w:val="20"/>
              </w:rPr>
              <w:t>Warrnambool and South West</w:t>
            </w:r>
          </w:p>
        </w:tc>
        <w:tc>
          <w:tcPr>
            <w:tcW w:w="1142" w:type="dxa"/>
            <w:noWrap/>
            <w:hideMark/>
          </w:tcPr>
          <w:p w14:paraId="6BC64CD9" w14:textId="569360ED"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2DE9">
              <w:rPr>
                <w:sz w:val="20"/>
                <w:szCs w:val="20"/>
              </w:rPr>
              <w:t>11.4</w:t>
            </w:r>
          </w:p>
        </w:tc>
        <w:tc>
          <w:tcPr>
            <w:tcW w:w="816" w:type="dxa"/>
          </w:tcPr>
          <w:p w14:paraId="475326BD" w14:textId="1AE0CCD3"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BD2DE9">
              <w:rPr>
                <w:b/>
                <w:bCs/>
                <w:sz w:val="20"/>
                <w:szCs w:val="20"/>
              </w:rPr>
              <w:t>31</w:t>
            </w:r>
          </w:p>
        </w:tc>
        <w:tc>
          <w:tcPr>
            <w:tcW w:w="3564" w:type="dxa"/>
          </w:tcPr>
          <w:p w14:paraId="5C020510" w14:textId="5537055B" w:rsidR="00621A09" w:rsidRPr="00BD2DE9" w:rsidRDefault="00621A09" w:rsidP="005822F3">
            <w:pP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Richmond - Tweed</w:t>
            </w:r>
          </w:p>
        </w:tc>
        <w:tc>
          <w:tcPr>
            <w:tcW w:w="1148" w:type="dxa"/>
          </w:tcPr>
          <w:p w14:paraId="54891FF0" w14:textId="24CF5A15"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4.8</w:t>
            </w:r>
          </w:p>
        </w:tc>
      </w:tr>
      <w:tr w:rsidR="004E781C" w:rsidRPr="00BD2DE9" w14:paraId="3D96E4FD" w14:textId="4051F03A" w:rsidTr="0066117B">
        <w:trPr>
          <w:trHeight w:val="300"/>
        </w:trPr>
        <w:tc>
          <w:tcPr>
            <w:cnfStyle w:val="001000000000" w:firstRow="0" w:lastRow="0" w:firstColumn="1" w:lastColumn="0" w:oddVBand="0" w:evenVBand="0" w:oddHBand="0" w:evenHBand="0" w:firstRowFirstColumn="0" w:firstRowLastColumn="0" w:lastRowFirstColumn="0" w:lastRowLastColumn="0"/>
            <w:tcW w:w="649" w:type="dxa"/>
          </w:tcPr>
          <w:p w14:paraId="7528E7C1" w14:textId="126043C4" w:rsidR="00621A09" w:rsidRPr="00BD2DE9" w:rsidRDefault="00621A09" w:rsidP="00621A09">
            <w:pPr>
              <w:rPr>
                <w:rFonts w:cs="Arial"/>
                <w:sz w:val="20"/>
                <w:szCs w:val="20"/>
              </w:rPr>
            </w:pPr>
            <w:r w:rsidRPr="00BD2DE9">
              <w:rPr>
                <w:sz w:val="20"/>
                <w:szCs w:val="20"/>
              </w:rPr>
              <w:t>8</w:t>
            </w:r>
          </w:p>
        </w:tc>
        <w:tc>
          <w:tcPr>
            <w:tcW w:w="3596" w:type="dxa"/>
            <w:noWrap/>
            <w:hideMark/>
          </w:tcPr>
          <w:p w14:paraId="3D4FD598" w14:textId="35C4F743" w:rsidR="00621A09" w:rsidRPr="00BD2DE9" w:rsidRDefault="00621A09" w:rsidP="00621A0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BD2DE9">
              <w:rPr>
                <w:sz w:val="20"/>
                <w:szCs w:val="20"/>
              </w:rPr>
              <w:t>Southern Highlands and Shoalhaven</w:t>
            </w:r>
          </w:p>
        </w:tc>
        <w:tc>
          <w:tcPr>
            <w:tcW w:w="1142" w:type="dxa"/>
            <w:noWrap/>
            <w:hideMark/>
          </w:tcPr>
          <w:p w14:paraId="3AC1F313" w14:textId="407A5932"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2DE9">
              <w:rPr>
                <w:sz w:val="20"/>
                <w:szCs w:val="20"/>
              </w:rPr>
              <w:t>11.0</w:t>
            </w:r>
          </w:p>
        </w:tc>
        <w:tc>
          <w:tcPr>
            <w:tcW w:w="816" w:type="dxa"/>
          </w:tcPr>
          <w:p w14:paraId="2279B751" w14:textId="6D8D2DDD"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BD2DE9">
              <w:rPr>
                <w:b/>
                <w:bCs/>
                <w:sz w:val="20"/>
                <w:szCs w:val="20"/>
              </w:rPr>
              <w:t>32</w:t>
            </w:r>
          </w:p>
        </w:tc>
        <w:tc>
          <w:tcPr>
            <w:tcW w:w="3564" w:type="dxa"/>
          </w:tcPr>
          <w:p w14:paraId="327A5486" w14:textId="23887231" w:rsidR="00621A09" w:rsidRPr="00BD2DE9" w:rsidRDefault="00621A09" w:rsidP="005822F3">
            <w:pP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Wide Bay</w:t>
            </w:r>
          </w:p>
        </w:tc>
        <w:tc>
          <w:tcPr>
            <w:tcW w:w="1148" w:type="dxa"/>
          </w:tcPr>
          <w:p w14:paraId="1A097811" w14:textId="1EE1ED36"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4.7</w:t>
            </w:r>
          </w:p>
        </w:tc>
      </w:tr>
      <w:tr w:rsidR="004E781C" w:rsidRPr="00BD2DE9" w14:paraId="61C89B9A" w14:textId="4D828F47" w:rsidTr="00661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9" w:type="dxa"/>
          </w:tcPr>
          <w:p w14:paraId="60DB8384" w14:textId="53A7359E" w:rsidR="00621A09" w:rsidRPr="00BD2DE9" w:rsidRDefault="00621A09" w:rsidP="00621A09">
            <w:pPr>
              <w:rPr>
                <w:rFonts w:cs="Arial"/>
                <w:sz w:val="20"/>
                <w:szCs w:val="20"/>
              </w:rPr>
            </w:pPr>
            <w:r w:rsidRPr="00BD2DE9">
              <w:rPr>
                <w:sz w:val="20"/>
                <w:szCs w:val="20"/>
              </w:rPr>
              <w:t>9</w:t>
            </w:r>
          </w:p>
        </w:tc>
        <w:tc>
          <w:tcPr>
            <w:tcW w:w="3596" w:type="dxa"/>
            <w:noWrap/>
            <w:hideMark/>
          </w:tcPr>
          <w:p w14:paraId="60515557" w14:textId="100ACF9C" w:rsidR="00621A09" w:rsidRPr="00BD2DE9" w:rsidRDefault="00621A09" w:rsidP="00621A0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D2DE9">
              <w:rPr>
                <w:sz w:val="20"/>
                <w:szCs w:val="20"/>
              </w:rPr>
              <w:t>Shepparton</w:t>
            </w:r>
          </w:p>
        </w:tc>
        <w:tc>
          <w:tcPr>
            <w:tcW w:w="1142" w:type="dxa"/>
            <w:noWrap/>
            <w:hideMark/>
          </w:tcPr>
          <w:p w14:paraId="2B43C425" w14:textId="57724318"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2DE9">
              <w:rPr>
                <w:sz w:val="20"/>
                <w:szCs w:val="20"/>
              </w:rPr>
              <w:t>10.6</w:t>
            </w:r>
          </w:p>
        </w:tc>
        <w:tc>
          <w:tcPr>
            <w:tcW w:w="816" w:type="dxa"/>
          </w:tcPr>
          <w:p w14:paraId="24BF7175" w14:textId="6A40EEAB"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BD2DE9">
              <w:rPr>
                <w:b/>
                <w:bCs/>
                <w:sz w:val="20"/>
                <w:szCs w:val="20"/>
              </w:rPr>
              <w:t>33</w:t>
            </w:r>
          </w:p>
        </w:tc>
        <w:tc>
          <w:tcPr>
            <w:tcW w:w="3564" w:type="dxa"/>
          </w:tcPr>
          <w:p w14:paraId="5F706719" w14:textId="1ED50AE4" w:rsidR="00621A09" w:rsidRPr="00BD2DE9" w:rsidRDefault="00621A09" w:rsidP="005822F3">
            <w:pP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Western Australia – Outback (South)</w:t>
            </w:r>
          </w:p>
        </w:tc>
        <w:tc>
          <w:tcPr>
            <w:tcW w:w="1148" w:type="dxa"/>
          </w:tcPr>
          <w:p w14:paraId="763022DD" w14:textId="68182FB3"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4.3</w:t>
            </w:r>
          </w:p>
        </w:tc>
      </w:tr>
      <w:tr w:rsidR="004E781C" w:rsidRPr="00BD2DE9" w14:paraId="053F7EEC" w14:textId="45D1F2D3" w:rsidTr="0066117B">
        <w:trPr>
          <w:trHeight w:val="300"/>
        </w:trPr>
        <w:tc>
          <w:tcPr>
            <w:cnfStyle w:val="001000000000" w:firstRow="0" w:lastRow="0" w:firstColumn="1" w:lastColumn="0" w:oddVBand="0" w:evenVBand="0" w:oddHBand="0" w:evenHBand="0" w:firstRowFirstColumn="0" w:firstRowLastColumn="0" w:lastRowFirstColumn="0" w:lastRowLastColumn="0"/>
            <w:tcW w:w="649" w:type="dxa"/>
          </w:tcPr>
          <w:p w14:paraId="68064CD1" w14:textId="6548E12F" w:rsidR="00621A09" w:rsidRPr="00BD2DE9" w:rsidRDefault="00621A09" w:rsidP="00621A09">
            <w:pPr>
              <w:rPr>
                <w:rFonts w:cs="Arial"/>
                <w:sz w:val="20"/>
                <w:szCs w:val="20"/>
              </w:rPr>
            </w:pPr>
            <w:r w:rsidRPr="00BD2DE9">
              <w:rPr>
                <w:sz w:val="20"/>
                <w:szCs w:val="20"/>
              </w:rPr>
              <w:t>10</w:t>
            </w:r>
          </w:p>
        </w:tc>
        <w:tc>
          <w:tcPr>
            <w:tcW w:w="3596" w:type="dxa"/>
            <w:noWrap/>
            <w:hideMark/>
          </w:tcPr>
          <w:p w14:paraId="54BDE104" w14:textId="1BC7BAF4" w:rsidR="00621A09" w:rsidRPr="00BD2DE9" w:rsidRDefault="00621A09" w:rsidP="00621A0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BD2DE9">
              <w:rPr>
                <w:sz w:val="20"/>
                <w:szCs w:val="20"/>
              </w:rPr>
              <w:t>Central Queensland</w:t>
            </w:r>
          </w:p>
        </w:tc>
        <w:tc>
          <w:tcPr>
            <w:tcW w:w="1142" w:type="dxa"/>
            <w:noWrap/>
            <w:hideMark/>
          </w:tcPr>
          <w:p w14:paraId="136E304C" w14:textId="58F52EC1"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2DE9">
              <w:rPr>
                <w:sz w:val="20"/>
                <w:szCs w:val="20"/>
              </w:rPr>
              <w:t>9.9</w:t>
            </w:r>
          </w:p>
        </w:tc>
        <w:tc>
          <w:tcPr>
            <w:tcW w:w="816" w:type="dxa"/>
          </w:tcPr>
          <w:p w14:paraId="225D53A8" w14:textId="03FA6BE0"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BD2DE9">
              <w:rPr>
                <w:b/>
                <w:bCs/>
                <w:sz w:val="20"/>
                <w:szCs w:val="20"/>
              </w:rPr>
              <w:t>34</w:t>
            </w:r>
          </w:p>
        </w:tc>
        <w:tc>
          <w:tcPr>
            <w:tcW w:w="3564" w:type="dxa"/>
          </w:tcPr>
          <w:p w14:paraId="715F270D" w14:textId="2DA31705" w:rsidR="00621A09" w:rsidRPr="00BD2DE9" w:rsidRDefault="00621A09" w:rsidP="005822F3">
            <w:pP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Newcastle and Lake Macquarie</w:t>
            </w:r>
          </w:p>
        </w:tc>
        <w:tc>
          <w:tcPr>
            <w:tcW w:w="1148" w:type="dxa"/>
          </w:tcPr>
          <w:p w14:paraId="6A6A0173" w14:textId="56ACE70B"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4.0</w:t>
            </w:r>
          </w:p>
        </w:tc>
      </w:tr>
      <w:tr w:rsidR="004E781C" w:rsidRPr="00BD2DE9" w14:paraId="23CFBE71" w14:textId="20F75638" w:rsidTr="00661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9" w:type="dxa"/>
          </w:tcPr>
          <w:p w14:paraId="6FF4D6C2" w14:textId="5D4EEC11" w:rsidR="00621A09" w:rsidRPr="00BD2DE9" w:rsidRDefault="00621A09" w:rsidP="00621A09">
            <w:pPr>
              <w:rPr>
                <w:rFonts w:cs="Arial"/>
                <w:sz w:val="20"/>
                <w:szCs w:val="20"/>
              </w:rPr>
            </w:pPr>
            <w:r w:rsidRPr="00BD2DE9">
              <w:rPr>
                <w:sz w:val="20"/>
                <w:szCs w:val="20"/>
              </w:rPr>
              <w:t>11</w:t>
            </w:r>
          </w:p>
        </w:tc>
        <w:tc>
          <w:tcPr>
            <w:tcW w:w="3596" w:type="dxa"/>
            <w:noWrap/>
            <w:hideMark/>
          </w:tcPr>
          <w:p w14:paraId="1EDFC511" w14:textId="544781C3" w:rsidR="00621A09" w:rsidRPr="00BD2DE9" w:rsidRDefault="00621A09" w:rsidP="00621A0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D2DE9">
              <w:rPr>
                <w:sz w:val="20"/>
                <w:szCs w:val="20"/>
              </w:rPr>
              <w:t>Barossa – Yorke – Mid North</w:t>
            </w:r>
          </w:p>
        </w:tc>
        <w:tc>
          <w:tcPr>
            <w:tcW w:w="1142" w:type="dxa"/>
            <w:noWrap/>
            <w:hideMark/>
          </w:tcPr>
          <w:p w14:paraId="0997E8EF" w14:textId="6E9C2AF3"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2DE9">
              <w:rPr>
                <w:sz w:val="20"/>
                <w:szCs w:val="20"/>
              </w:rPr>
              <w:t>9.4</w:t>
            </w:r>
          </w:p>
        </w:tc>
        <w:tc>
          <w:tcPr>
            <w:tcW w:w="816" w:type="dxa"/>
          </w:tcPr>
          <w:p w14:paraId="4BB377FD" w14:textId="249739E8"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BD2DE9">
              <w:rPr>
                <w:b/>
                <w:bCs/>
                <w:sz w:val="20"/>
                <w:szCs w:val="20"/>
              </w:rPr>
              <w:t>35</w:t>
            </w:r>
          </w:p>
        </w:tc>
        <w:tc>
          <w:tcPr>
            <w:tcW w:w="3564" w:type="dxa"/>
          </w:tcPr>
          <w:p w14:paraId="3F0EEFFD" w14:textId="38606D50" w:rsidR="00621A09" w:rsidRPr="00BD2DE9" w:rsidRDefault="00621A09" w:rsidP="005822F3">
            <w:pP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Brisbane</w:t>
            </w:r>
          </w:p>
        </w:tc>
        <w:tc>
          <w:tcPr>
            <w:tcW w:w="1148" w:type="dxa"/>
          </w:tcPr>
          <w:p w14:paraId="3B1996E6" w14:textId="6A3D47CB"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4.0</w:t>
            </w:r>
          </w:p>
        </w:tc>
      </w:tr>
      <w:tr w:rsidR="004E781C" w:rsidRPr="00BD2DE9" w14:paraId="1611714D" w14:textId="424BCDC1" w:rsidTr="0066117B">
        <w:trPr>
          <w:trHeight w:val="300"/>
        </w:trPr>
        <w:tc>
          <w:tcPr>
            <w:cnfStyle w:val="001000000000" w:firstRow="0" w:lastRow="0" w:firstColumn="1" w:lastColumn="0" w:oddVBand="0" w:evenVBand="0" w:oddHBand="0" w:evenHBand="0" w:firstRowFirstColumn="0" w:firstRowLastColumn="0" w:lastRowFirstColumn="0" w:lastRowLastColumn="0"/>
            <w:tcW w:w="649" w:type="dxa"/>
          </w:tcPr>
          <w:p w14:paraId="73C9AF91" w14:textId="47182E5A" w:rsidR="00621A09" w:rsidRPr="00BD2DE9" w:rsidRDefault="00621A09" w:rsidP="00621A09">
            <w:pPr>
              <w:rPr>
                <w:rFonts w:cs="Arial"/>
                <w:sz w:val="20"/>
                <w:szCs w:val="20"/>
              </w:rPr>
            </w:pPr>
            <w:r w:rsidRPr="00BD2DE9">
              <w:rPr>
                <w:sz w:val="20"/>
                <w:szCs w:val="20"/>
              </w:rPr>
              <w:t>12</w:t>
            </w:r>
          </w:p>
        </w:tc>
        <w:tc>
          <w:tcPr>
            <w:tcW w:w="3596" w:type="dxa"/>
            <w:noWrap/>
            <w:hideMark/>
          </w:tcPr>
          <w:p w14:paraId="1B614890" w14:textId="58520D7F" w:rsidR="00621A09" w:rsidRPr="00BD2DE9" w:rsidRDefault="00621A09" w:rsidP="00621A0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BD2DE9">
              <w:rPr>
                <w:sz w:val="20"/>
                <w:szCs w:val="20"/>
              </w:rPr>
              <w:t>Western Australia – Wheat Belt</w:t>
            </w:r>
          </w:p>
        </w:tc>
        <w:tc>
          <w:tcPr>
            <w:tcW w:w="1142" w:type="dxa"/>
            <w:noWrap/>
            <w:hideMark/>
          </w:tcPr>
          <w:p w14:paraId="7E296B97" w14:textId="50043C90"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2DE9">
              <w:rPr>
                <w:sz w:val="20"/>
                <w:szCs w:val="20"/>
              </w:rPr>
              <w:t>9.0</w:t>
            </w:r>
          </w:p>
        </w:tc>
        <w:tc>
          <w:tcPr>
            <w:tcW w:w="816" w:type="dxa"/>
          </w:tcPr>
          <w:p w14:paraId="7121502F" w14:textId="09AC191F"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BD2DE9">
              <w:rPr>
                <w:b/>
                <w:bCs/>
                <w:sz w:val="20"/>
                <w:szCs w:val="20"/>
              </w:rPr>
              <w:t>36</w:t>
            </w:r>
          </w:p>
        </w:tc>
        <w:tc>
          <w:tcPr>
            <w:tcW w:w="3564" w:type="dxa"/>
          </w:tcPr>
          <w:p w14:paraId="260E0A92" w14:textId="68506343" w:rsidR="00621A09" w:rsidRPr="00BD2DE9" w:rsidRDefault="00621A09" w:rsidP="005822F3">
            <w:pP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Perth</w:t>
            </w:r>
          </w:p>
        </w:tc>
        <w:tc>
          <w:tcPr>
            <w:tcW w:w="1148" w:type="dxa"/>
          </w:tcPr>
          <w:p w14:paraId="03B8414F" w14:textId="5E664B84"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4.0</w:t>
            </w:r>
          </w:p>
        </w:tc>
      </w:tr>
      <w:tr w:rsidR="004E781C" w:rsidRPr="00BD2DE9" w14:paraId="0D56C8A9" w14:textId="4D168960" w:rsidTr="00661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9" w:type="dxa"/>
          </w:tcPr>
          <w:p w14:paraId="36344AC0" w14:textId="48D88F3D" w:rsidR="00621A09" w:rsidRPr="00BD2DE9" w:rsidRDefault="00621A09" w:rsidP="00621A09">
            <w:pPr>
              <w:rPr>
                <w:rFonts w:cs="Arial"/>
                <w:sz w:val="20"/>
                <w:szCs w:val="20"/>
              </w:rPr>
            </w:pPr>
            <w:r w:rsidRPr="00BD2DE9">
              <w:rPr>
                <w:sz w:val="20"/>
                <w:szCs w:val="20"/>
              </w:rPr>
              <w:t>13</w:t>
            </w:r>
          </w:p>
        </w:tc>
        <w:tc>
          <w:tcPr>
            <w:tcW w:w="3596" w:type="dxa"/>
            <w:noWrap/>
            <w:hideMark/>
          </w:tcPr>
          <w:p w14:paraId="0F246EEF" w14:textId="7AEED7F2" w:rsidR="00621A09" w:rsidRPr="00BD2DE9" w:rsidRDefault="00621A09" w:rsidP="00621A0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D2DE9">
              <w:rPr>
                <w:sz w:val="20"/>
                <w:szCs w:val="20"/>
              </w:rPr>
              <w:t>Murray</w:t>
            </w:r>
          </w:p>
        </w:tc>
        <w:tc>
          <w:tcPr>
            <w:tcW w:w="1142" w:type="dxa"/>
            <w:noWrap/>
            <w:hideMark/>
          </w:tcPr>
          <w:p w14:paraId="03C08FBC" w14:textId="0BE13B39"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2DE9">
              <w:rPr>
                <w:sz w:val="20"/>
                <w:szCs w:val="20"/>
              </w:rPr>
              <w:t>8.7</w:t>
            </w:r>
          </w:p>
        </w:tc>
        <w:tc>
          <w:tcPr>
            <w:tcW w:w="816" w:type="dxa"/>
          </w:tcPr>
          <w:p w14:paraId="74A11199" w14:textId="68FFE1DF"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BD2DE9">
              <w:rPr>
                <w:b/>
                <w:bCs/>
                <w:sz w:val="20"/>
                <w:szCs w:val="20"/>
              </w:rPr>
              <w:t>37</w:t>
            </w:r>
          </w:p>
        </w:tc>
        <w:tc>
          <w:tcPr>
            <w:tcW w:w="3564" w:type="dxa"/>
          </w:tcPr>
          <w:p w14:paraId="622CFFBC" w14:textId="12B6F2C2" w:rsidR="00621A09" w:rsidRPr="00BD2DE9" w:rsidRDefault="00621A09" w:rsidP="005822F3">
            <w:pP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Adelaide</w:t>
            </w:r>
          </w:p>
        </w:tc>
        <w:tc>
          <w:tcPr>
            <w:tcW w:w="1148" w:type="dxa"/>
          </w:tcPr>
          <w:p w14:paraId="735BB186" w14:textId="7D5FD002"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3.7</w:t>
            </w:r>
          </w:p>
        </w:tc>
      </w:tr>
      <w:tr w:rsidR="004E781C" w:rsidRPr="00BD2DE9" w14:paraId="3FF27988" w14:textId="305CB7BC" w:rsidTr="0066117B">
        <w:trPr>
          <w:trHeight w:val="300"/>
        </w:trPr>
        <w:tc>
          <w:tcPr>
            <w:cnfStyle w:val="001000000000" w:firstRow="0" w:lastRow="0" w:firstColumn="1" w:lastColumn="0" w:oddVBand="0" w:evenVBand="0" w:oddHBand="0" w:evenHBand="0" w:firstRowFirstColumn="0" w:firstRowLastColumn="0" w:lastRowFirstColumn="0" w:lastRowLastColumn="0"/>
            <w:tcW w:w="649" w:type="dxa"/>
          </w:tcPr>
          <w:p w14:paraId="555CB90F" w14:textId="3AA21308" w:rsidR="00621A09" w:rsidRPr="00BD2DE9" w:rsidRDefault="00621A09" w:rsidP="00621A09">
            <w:pPr>
              <w:rPr>
                <w:rFonts w:cs="Arial"/>
                <w:sz w:val="20"/>
                <w:szCs w:val="20"/>
              </w:rPr>
            </w:pPr>
            <w:r w:rsidRPr="00BD2DE9">
              <w:rPr>
                <w:sz w:val="20"/>
                <w:szCs w:val="20"/>
              </w:rPr>
              <w:t>14</w:t>
            </w:r>
          </w:p>
        </w:tc>
        <w:tc>
          <w:tcPr>
            <w:tcW w:w="3596" w:type="dxa"/>
            <w:noWrap/>
            <w:hideMark/>
          </w:tcPr>
          <w:p w14:paraId="61346118" w14:textId="61C9E9C6" w:rsidR="00621A09" w:rsidRPr="00BD2DE9" w:rsidRDefault="00621A09" w:rsidP="00621A0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BD2DE9">
              <w:rPr>
                <w:sz w:val="20"/>
                <w:szCs w:val="20"/>
              </w:rPr>
              <w:t>North West</w:t>
            </w:r>
          </w:p>
        </w:tc>
        <w:tc>
          <w:tcPr>
            <w:tcW w:w="1142" w:type="dxa"/>
            <w:noWrap/>
            <w:hideMark/>
          </w:tcPr>
          <w:p w14:paraId="317DBE18" w14:textId="7CF82A6B"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2DE9">
              <w:rPr>
                <w:sz w:val="20"/>
                <w:szCs w:val="20"/>
              </w:rPr>
              <w:t>8.7</w:t>
            </w:r>
          </w:p>
        </w:tc>
        <w:tc>
          <w:tcPr>
            <w:tcW w:w="816" w:type="dxa"/>
          </w:tcPr>
          <w:p w14:paraId="70018661" w14:textId="42B323D4"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BD2DE9">
              <w:rPr>
                <w:b/>
                <w:bCs/>
                <w:sz w:val="20"/>
                <w:szCs w:val="20"/>
              </w:rPr>
              <w:t>38</w:t>
            </w:r>
          </w:p>
        </w:tc>
        <w:tc>
          <w:tcPr>
            <w:tcW w:w="3564" w:type="dxa"/>
          </w:tcPr>
          <w:p w14:paraId="058D2456" w14:textId="57AA94D7" w:rsidR="00621A09" w:rsidRPr="00BD2DE9" w:rsidRDefault="00621A09" w:rsidP="005822F3">
            <w:pP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Darwin</w:t>
            </w:r>
          </w:p>
        </w:tc>
        <w:tc>
          <w:tcPr>
            <w:tcW w:w="1148" w:type="dxa"/>
          </w:tcPr>
          <w:p w14:paraId="12B7BCB4" w14:textId="5C7928E0"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3.4</w:t>
            </w:r>
          </w:p>
        </w:tc>
      </w:tr>
      <w:tr w:rsidR="004E781C" w:rsidRPr="00BD2DE9" w14:paraId="7B55343D" w14:textId="1E5681DC" w:rsidTr="00661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9" w:type="dxa"/>
          </w:tcPr>
          <w:p w14:paraId="542D35F0" w14:textId="706262EC" w:rsidR="00621A09" w:rsidRPr="00BD2DE9" w:rsidRDefault="00621A09" w:rsidP="00621A09">
            <w:pPr>
              <w:rPr>
                <w:rFonts w:cs="Arial"/>
                <w:sz w:val="20"/>
                <w:szCs w:val="20"/>
              </w:rPr>
            </w:pPr>
            <w:r w:rsidRPr="00BD2DE9">
              <w:rPr>
                <w:sz w:val="20"/>
                <w:szCs w:val="20"/>
              </w:rPr>
              <w:t>15</w:t>
            </w:r>
          </w:p>
        </w:tc>
        <w:tc>
          <w:tcPr>
            <w:tcW w:w="3596" w:type="dxa"/>
            <w:noWrap/>
            <w:hideMark/>
          </w:tcPr>
          <w:p w14:paraId="657B28BA" w14:textId="24C53F8F" w:rsidR="00621A09" w:rsidRPr="00BD2DE9" w:rsidRDefault="00621A09" w:rsidP="00621A0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D2DE9">
              <w:rPr>
                <w:sz w:val="20"/>
                <w:szCs w:val="20"/>
              </w:rPr>
              <w:t>Latrobe - Gippsland</w:t>
            </w:r>
          </w:p>
        </w:tc>
        <w:tc>
          <w:tcPr>
            <w:tcW w:w="1142" w:type="dxa"/>
            <w:noWrap/>
            <w:hideMark/>
          </w:tcPr>
          <w:p w14:paraId="40D66108" w14:textId="0820ABE2"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2DE9">
              <w:rPr>
                <w:sz w:val="20"/>
                <w:szCs w:val="20"/>
              </w:rPr>
              <w:t>8.6</w:t>
            </w:r>
          </w:p>
        </w:tc>
        <w:tc>
          <w:tcPr>
            <w:tcW w:w="816" w:type="dxa"/>
          </w:tcPr>
          <w:p w14:paraId="77C09F79" w14:textId="47F1AED2"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BD2DE9">
              <w:rPr>
                <w:b/>
                <w:bCs/>
                <w:sz w:val="20"/>
                <w:szCs w:val="20"/>
              </w:rPr>
              <w:t>39</w:t>
            </w:r>
          </w:p>
        </w:tc>
        <w:tc>
          <w:tcPr>
            <w:tcW w:w="3564" w:type="dxa"/>
          </w:tcPr>
          <w:p w14:paraId="33B2DAE5" w14:textId="49FF7220" w:rsidR="00621A09" w:rsidRPr="00BD2DE9" w:rsidRDefault="00621A09" w:rsidP="005822F3">
            <w:pP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Launceston and North East</w:t>
            </w:r>
          </w:p>
        </w:tc>
        <w:tc>
          <w:tcPr>
            <w:tcW w:w="1148" w:type="dxa"/>
          </w:tcPr>
          <w:p w14:paraId="6F84596E" w14:textId="4FD1021B"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3.4</w:t>
            </w:r>
          </w:p>
        </w:tc>
      </w:tr>
      <w:tr w:rsidR="004E781C" w:rsidRPr="00BD2DE9" w14:paraId="20F6539F" w14:textId="5BC002C3" w:rsidTr="0066117B">
        <w:trPr>
          <w:trHeight w:val="300"/>
        </w:trPr>
        <w:tc>
          <w:tcPr>
            <w:cnfStyle w:val="001000000000" w:firstRow="0" w:lastRow="0" w:firstColumn="1" w:lastColumn="0" w:oddVBand="0" w:evenVBand="0" w:oddHBand="0" w:evenHBand="0" w:firstRowFirstColumn="0" w:firstRowLastColumn="0" w:lastRowFirstColumn="0" w:lastRowLastColumn="0"/>
            <w:tcW w:w="649" w:type="dxa"/>
          </w:tcPr>
          <w:p w14:paraId="0EC1FB2E" w14:textId="7AA6C1DB" w:rsidR="00621A09" w:rsidRPr="00BD2DE9" w:rsidRDefault="00621A09" w:rsidP="00621A09">
            <w:pPr>
              <w:rPr>
                <w:rFonts w:cs="Arial"/>
                <w:sz w:val="20"/>
                <w:szCs w:val="20"/>
              </w:rPr>
            </w:pPr>
            <w:r w:rsidRPr="00BD2DE9">
              <w:rPr>
                <w:sz w:val="20"/>
                <w:szCs w:val="20"/>
              </w:rPr>
              <w:t>16</w:t>
            </w:r>
          </w:p>
        </w:tc>
        <w:tc>
          <w:tcPr>
            <w:tcW w:w="3596" w:type="dxa"/>
            <w:noWrap/>
            <w:hideMark/>
          </w:tcPr>
          <w:p w14:paraId="42CDC04B" w14:textId="2E9333EF" w:rsidR="00621A09" w:rsidRPr="00BD2DE9" w:rsidRDefault="00621A09" w:rsidP="00621A0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BD2DE9">
              <w:rPr>
                <w:sz w:val="20"/>
                <w:szCs w:val="20"/>
              </w:rPr>
              <w:t>Australian Capital Territory</w:t>
            </w:r>
          </w:p>
        </w:tc>
        <w:tc>
          <w:tcPr>
            <w:tcW w:w="1142" w:type="dxa"/>
            <w:noWrap/>
            <w:hideMark/>
          </w:tcPr>
          <w:p w14:paraId="6A56DA01" w14:textId="7C9862F9"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2DE9">
              <w:rPr>
                <w:sz w:val="20"/>
                <w:szCs w:val="20"/>
              </w:rPr>
              <w:t>8.3</w:t>
            </w:r>
          </w:p>
        </w:tc>
        <w:tc>
          <w:tcPr>
            <w:tcW w:w="816" w:type="dxa"/>
          </w:tcPr>
          <w:p w14:paraId="7036EC4C" w14:textId="6B23263B"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BD2DE9">
              <w:rPr>
                <w:b/>
                <w:bCs/>
                <w:sz w:val="20"/>
                <w:szCs w:val="20"/>
              </w:rPr>
              <w:t>40</w:t>
            </w:r>
          </w:p>
        </w:tc>
        <w:tc>
          <w:tcPr>
            <w:tcW w:w="3564" w:type="dxa"/>
          </w:tcPr>
          <w:p w14:paraId="061415C6" w14:textId="1A29C109" w:rsidR="00621A09" w:rsidRPr="00BD2DE9" w:rsidRDefault="00621A09" w:rsidP="005822F3">
            <w:pP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Gold Coast</w:t>
            </w:r>
          </w:p>
        </w:tc>
        <w:tc>
          <w:tcPr>
            <w:tcW w:w="1148" w:type="dxa"/>
          </w:tcPr>
          <w:p w14:paraId="4B9411A3" w14:textId="6453DEE8"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3.3</w:t>
            </w:r>
          </w:p>
        </w:tc>
      </w:tr>
      <w:tr w:rsidR="004E781C" w:rsidRPr="00BD2DE9" w14:paraId="643D6DB9" w14:textId="1CAA8C45" w:rsidTr="00661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9" w:type="dxa"/>
          </w:tcPr>
          <w:p w14:paraId="24F2CCE3" w14:textId="6831F135" w:rsidR="00621A09" w:rsidRPr="00BD2DE9" w:rsidRDefault="00621A09" w:rsidP="00621A09">
            <w:pPr>
              <w:rPr>
                <w:rFonts w:cs="Arial"/>
                <w:sz w:val="20"/>
                <w:szCs w:val="20"/>
              </w:rPr>
            </w:pPr>
            <w:r w:rsidRPr="00BD2DE9">
              <w:rPr>
                <w:sz w:val="20"/>
                <w:szCs w:val="20"/>
              </w:rPr>
              <w:t>17</w:t>
            </w:r>
          </w:p>
        </w:tc>
        <w:tc>
          <w:tcPr>
            <w:tcW w:w="3596" w:type="dxa"/>
            <w:noWrap/>
            <w:hideMark/>
          </w:tcPr>
          <w:p w14:paraId="11AAD6F1" w14:textId="09B1AB0B" w:rsidR="00621A09" w:rsidRPr="00BD2DE9" w:rsidRDefault="00621A09" w:rsidP="00621A0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BD2DE9">
              <w:rPr>
                <w:sz w:val="20"/>
                <w:szCs w:val="20"/>
              </w:rPr>
              <w:t>Illawarra</w:t>
            </w:r>
          </w:p>
        </w:tc>
        <w:tc>
          <w:tcPr>
            <w:tcW w:w="1142" w:type="dxa"/>
            <w:noWrap/>
            <w:hideMark/>
          </w:tcPr>
          <w:p w14:paraId="6204910C" w14:textId="6D5ACADA"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2DE9">
              <w:rPr>
                <w:sz w:val="20"/>
                <w:szCs w:val="20"/>
              </w:rPr>
              <w:t>8.0</w:t>
            </w:r>
          </w:p>
        </w:tc>
        <w:tc>
          <w:tcPr>
            <w:tcW w:w="816" w:type="dxa"/>
          </w:tcPr>
          <w:p w14:paraId="55D3FA79" w14:textId="63EF58A0"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BD2DE9">
              <w:rPr>
                <w:b/>
                <w:bCs/>
                <w:sz w:val="20"/>
                <w:szCs w:val="20"/>
              </w:rPr>
              <w:t>41</w:t>
            </w:r>
          </w:p>
        </w:tc>
        <w:tc>
          <w:tcPr>
            <w:tcW w:w="3564" w:type="dxa"/>
          </w:tcPr>
          <w:p w14:paraId="403CD1C4" w14:textId="42F0B28C" w:rsidR="00621A09" w:rsidRPr="00BD2DE9" w:rsidRDefault="00621A09" w:rsidP="005822F3">
            <w:pP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Bunbury</w:t>
            </w:r>
          </w:p>
        </w:tc>
        <w:tc>
          <w:tcPr>
            <w:tcW w:w="1148" w:type="dxa"/>
          </w:tcPr>
          <w:p w14:paraId="784835ED" w14:textId="0AB17D53" w:rsidR="00621A09" w:rsidRPr="00BD2DE9" w:rsidRDefault="00621A09" w:rsidP="00621A09">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3.2</w:t>
            </w:r>
          </w:p>
        </w:tc>
      </w:tr>
      <w:tr w:rsidR="004E781C" w:rsidRPr="00BD2DE9" w14:paraId="152890F6" w14:textId="2797BC8B" w:rsidTr="0066117B">
        <w:trPr>
          <w:trHeight w:val="300"/>
        </w:trPr>
        <w:tc>
          <w:tcPr>
            <w:cnfStyle w:val="001000000000" w:firstRow="0" w:lastRow="0" w:firstColumn="1" w:lastColumn="0" w:oddVBand="0" w:evenVBand="0" w:oddHBand="0" w:evenHBand="0" w:firstRowFirstColumn="0" w:firstRowLastColumn="0" w:lastRowFirstColumn="0" w:lastRowLastColumn="0"/>
            <w:tcW w:w="649" w:type="dxa"/>
          </w:tcPr>
          <w:p w14:paraId="23A72F6B" w14:textId="57B9FF41" w:rsidR="00621A09" w:rsidRPr="00BD2DE9" w:rsidRDefault="00621A09" w:rsidP="00621A09">
            <w:pPr>
              <w:rPr>
                <w:rFonts w:cs="Arial"/>
                <w:sz w:val="20"/>
                <w:szCs w:val="20"/>
              </w:rPr>
            </w:pPr>
            <w:r w:rsidRPr="00BD2DE9">
              <w:rPr>
                <w:sz w:val="20"/>
                <w:szCs w:val="20"/>
              </w:rPr>
              <w:t>18</w:t>
            </w:r>
          </w:p>
        </w:tc>
        <w:tc>
          <w:tcPr>
            <w:tcW w:w="3596" w:type="dxa"/>
            <w:noWrap/>
            <w:hideMark/>
          </w:tcPr>
          <w:p w14:paraId="5FD2F436" w14:textId="418D545B" w:rsidR="00621A09" w:rsidRPr="00BD2DE9" w:rsidRDefault="00621A09" w:rsidP="00621A0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BD2DE9">
              <w:rPr>
                <w:sz w:val="20"/>
                <w:szCs w:val="20"/>
              </w:rPr>
              <w:t>Cairns</w:t>
            </w:r>
          </w:p>
        </w:tc>
        <w:tc>
          <w:tcPr>
            <w:tcW w:w="1142" w:type="dxa"/>
            <w:noWrap/>
            <w:hideMark/>
          </w:tcPr>
          <w:p w14:paraId="3AEF9B60" w14:textId="5A3D4B3D"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2DE9">
              <w:rPr>
                <w:sz w:val="20"/>
                <w:szCs w:val="20"/>
              </w:rPr>
              <w:t>7.9</w:t>
            </w:r>
          </w:p>
        </w:tc>
        <w:tc>
          <w:tcPr>
            <w:tcW w:w="816" w:type="dxa"/>
          </w:tcPr>
          <w:p w14:paraId="0328F8D7" w14:textId="62BD6FE5"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BD2DE9">
              <w:rPr>
                <w:b/>
                <w:bCs/>
                <w:sz w:val="20"/>
                <w:szCs w:val="20"/>
              </w:rPr>
              <w:t>42</w:t>
            </w:r>
          </w:p>
        </w:tc>
        <w:tc>
          <w:tcPr>
            <w:tcW w:w="3564" w:type="dxa"/>
          </w:tcPr>
          <w:p w14:paraId="55DF0980" w14:textId="33271231" w:rsidR="00621A09" w:rsidRPr="00BD2DE9" w:rsidRDefault="00621A09" w:rsidP="005822F3">
            <w:pP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Melbourne</w:t>
            </w:r>
          </w:p>
        </w:tc>
        <w:tc>
          <w:tcPr>
            <w:tcW w:w="1148" w:type="dxa"/>
          </w:tcPr>
          <w:p w14:paraId="687C5296" w14:textId="61988A29" w:rsidR="00621A09" w:rsidRPr="00BD2DE9" w:rsidRDefault="00621A09" w:rsidP="00621A09">
            <w:pPr>
              <w:jc w:val="cente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3.1</w:t>
            </w:r>
          </w:p>
        </w:tc>
      </w:tr>
      <w:tr w:rsidR="004E781C" w:rsidRPr="00BD2DE9" w14:paraId="00FFE3EF" w14:textId="750AA0EC" w:rsidTr="00661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9" w:type="dxa"/>
          </w:tcPr>
          <w:p w14:paraId="504DF419" w14:textId="469E8AC4" w:rsidR="00621A09" w:rsidRPr="00BD2DE9" w:rsidRDefault="00621A09" w:rsidP="00621A09">
            <w:pPr>
              <w:spacing w:line="276" w:lineRule="auto"/>
              <w:rPr>
                <w:rFonts w:cs="Arial"/>
                <w:color w:val="FF0000"/>
                <w:sz w:val="20"/>
                <w:szCs w:val="20"/>
              </w:rPr>
            </w:pPr>
            <w:r w:rsidRPr="00BD2DE9">
              <w:rPr>
                <w:sz w:val="20"/>
                <w:szCs w:val="20"/>
              </w:rPr>
              <w:t>19</w:t>
            </w:r>
          </w:p>
        </w:tc>
        <w:tc>
          <w:tcPr>
            <w:tcW w:w="3596" w:type="dxa"/>
            <w:noWrap/>
            <w:hideMark/>
          </w:tcPr>
          <w:p w14:paraId="599A4EE7" w14:textId="30EFD56A" w:rsidR="00621A09" w:rsidRPr="00BD2DE9" w:rsidRDefault="00621A09" w:rsidP="00621A09">
            <w:pPr>
              <w:spacing w:line="276" w:lineRule="auto"/>
              <w:cnfStyle w:val="000000100000" w:firstRow="0" w:lastRow="0" w:firstColumn="0" w:lastColumn="0" w:oddVBand="0" w:evenVBand="0" w:oddHBand="1" w:evenHBand="0" w:firstRowFirstColumn="0" w:firstRowLastColumn="0" w:lastRowFirstColumn="0" w:lastRowLastColumn="0"/>
              <w:rPr>
                <w:rFonts w:cs="Arial"/>
                <w:color w:val="FF0000"/>
                <w:sz w:val="20"/>
                <w:szCs w:val="20"/>
              </w:rPr>
            </w:pPr>
            <w:r w:rsidRPr="00BD2DE9">
              <w:rPr>
                <w:sz w:val="20"/>
                <w:szCs w:val="20"/>
              </w:rPr>
              <w:t>Western Australia – Outback (North)</w:t>
            </w:r>
          </w:p>
        </w:tc>
        <w:tc>
          <w:tcPr>
            <w:tcW w:w="1142" w:type="dxa"/>
            <w:noWrap/>
            <w:hideMark/>
          </w:tcPr>
          <w:p w14:paraId="0FD1DC5F" w14:textId="1B9AE3B4" w:rsidR="00621A09" w:rsidRPr="00BD2DE9" w:rsidRDefault="00621A09" w:rsidP="00621A0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FF0000"/>
                <w:sz w:val="20"/>
                <w:szCs w:val="20"/>
              </w:rPr>
            </w:pPr>
            <w:r w:rsidRPr="00BD2DE9">
              <w:rPr>
                <w:sz w:val="20"/>
                <w:szCs w:val="20"/>
              </w:rPr>
              <w:t>7.9</w:t>
            </w:r>
          </w:p>
        </w:tc>
        <w:tc>
          <w:tcPr>
            <w:tcW w:w="816" w:type="dxa"/>
          </w:tcPr>
          <w:p w14:paraId="33CC85CE" w14:textId="7AEA759E" w:rsidR="00621A09" w:rsidRPr="00BD2DE9" w:rsidRDefault="00621A09" w:rsidP="00621A09">
            <w:pPr>
              <w:spacing w:line="276"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BD2DE9">
              <w:rPr>
                <w:b/>
                <w:bCs/>
                <w:sz w:val="20"/>
                <w:szCs w:val="20"/>
              </w:rPr>
              <w:t>43</w:t>
            </w:r>
          </w:p>
        </w:tc>
        <w:tc>
          <w:tcPr>
            <w:tcW w:w="3564" w:type="dxa"/>
          </w:tcPr>
          <w:p w14:paraId="48360448" w14:textId="4B937E9C" w:rsidR="00621A09" w:rsidRPr="00BD2DE9" w:rsidRDefault="00621A09" w:rsidP="005822F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Hunter Valley excl. Newcastle</w:t>
            </w:r>
          </w:p>
        </w:tc>
        <w:tc>
          <w:tcPr>
            <w:tcW w:w="1148" w:type="dxa"/>
          </w:tcPr>
          <w:p w14:paraId="5B4F0CD4" w14:textId="15B947C1" w:rsidR="00621A09" w:rsidRPr="00BD2DE9" w:rsidRDefault="00621A09" w:rsidP="00621A09">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2.9</w:t>
            </w:r>
          </w:p>
        </w:tc>
      </w:tr>
      <w:tr w:rsidR="004E781C" w:rsidRPr="00BD2DE9" w14:paraId="59306C51" w14:textId="393A3D5F" w:rsidTr="0066117B">
        <w:trPr>
          <w:trHeight w:val="80"/>
        </w:trPr>
        <w:tc>
          <w:tcPr>
            <w:cnfStyle w:val="001000000000" w:firstRow="0" w:lastRow="0" w:firstColumn="1" w:lastColumn="0" w:oddVBand="0" w:evenVBand="0" w:oddHBand="0" w:evenHBand="0" w:firstRowFirstColumn="0" w:firstRowLastColumn="0" w:lastRowFirstColumn="0" w:lastRowLastColumn="0"/>
            <w:tcW w:w="649" w:type="dxa"/>
          </w:tcPr>
          <w:p w14:paraId="73D7FCDF" w14:textId="3FE84698" w:rsidR="00621A09" w:rsidRPr="00BD2DE9" w:rsidRDefault="00621A09" w:rsidP="00621A09">
            <w:pPr>
              <w:spacing w:line="276" w:lineRule="auto"/>
              <w:rPr>
                <w:rFonts w:cs="Arial"/>
                <w:color w:val="FF0000"/>
                <w:sz w:val="20"/>
                <w:szCs w:val="20"/>
              </w:rPr>
            </w:pPr>
            <w:r w:rsidRPr="00BD2DE9">
              <w:rPr>
                <w:sz w:val="20"/>
                <w:szCs w:val="20"/>
              </w:rPr>
              <w:t>20</w:t>
            </w:r>
          </w:p>
        </w:tc>
        <w:tc>
          <w:tcPr>
            <w:tcW w:w="3596" w:type="dxa"/>
            <w:noWrap/>
            <w:hideMark/>
          </w:tcPr>
          <w:p w14:paraId="400CE7EE" w14:textId="2643A97B" w:rsidR="00621A09" w:rsidRPr="00BD2DE9" w:rsidRDefault="00621A09" w:rsidP="00621A09">
            <w:pPr>
              <w:spacing w:line="276"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BD2DE9">
              <w:rPr>
                <w:sz w:val="20"/>
                <w:szCs w:val="20"/>
              </w:rPr>
              <w:t>Mackay – Isaac - Whitsunday</w:t>
            </w:r>
          </w:p>
        </w:tc>
        <w:tc>
          <w:tcPr>
            <w:tcW w:w="1142" w:type="dxa"/>
            <w:noWrap/>
            <w:hideMark/>
          </w:tcPr>
          <w:p w14:paraId="4A2A70A6" w14:textId="2F43C8AA" w:rsidR="00621A09" w:rsidRPr="00BD2DE9" w:rsidRDefault="00621A09" w:rsidP="00621A0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BD2DE9">
              <w:rPr>
                <w:sz w:val="20"/>
                <w:szCs w:val="20"/>
              </w:rPr>
              <w:t>7.7</w:t>
            </w:r>
          </w:p>
        </w:tc>
        <w:tc>
          <w:tcPr>
            <w:tcW w:w="816" w:type="dxa"/>
          </w:tcPr>
          <w:p w14:paraId="0A513BE8" w14:textId="7A385813" w:rsidR="00621A09" w:rsidRPr="00BD2DE9" w:rsidRDefault="00621A09" w:rsidP="00621A09">
            <w:pPr>
              <w:spacing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BD2DE9">
              <w:rPr>
                <w:b/>
                <w:bCs/>
                <w:sz w:val="20"/>
                <w:szCs w:val="20"/>
              </w:rPr>
              <w:t>44</w:t>
            </w:r>
          </w:p>
        </w:tc>
        <w:tc>
          <w:tcPr>
            <w:tcW w:w="3564" w:type="dxa"/>
          </w:tcPr>
          <w:p w14:paraId="6973F750" w14:textId="7D894304" w:rsidR="00621A09" w:rsidRPr="00BD2DE9" w:rsidRDefault="00621A09" w:rsidP="005822F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Sydney</w:t>
            </w:r>
          </w:p>
        </w:tc>
        <w:tc>
          <w:tcPr>
            <w:tcW w:w="1148" w:type="dxa"/>
          </w:tcPr>
          <w:p w14:paraId="20E3B592" w14:textId="58458BFC" w:rsidR="00621A09" w:rsidRPr="00BD2DE9" w:rsidRDefault="00621A09" w:rsidP="00621A09">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2.7</w:t>
            </w:r>
          </w:p>
        </w:tc>
      </w:tr>
      <w:tr w:rsidR="004E781C" w:rsidRPr="00BD2DE9" w14:paraId="7AE83F9A" w14:textId="7BE5ADA0" w:rsidTr="0066117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649" w:type="dxa"/>
          </w:tcPr>
          <w:p w14:paraId="31B83B5D" w14:textId="05A9C09F" w:rsidR="00621A09" w:rsidRPr="00BD2DE9" w:rsidRDefault="00621A09" w:rsidP="00621A09">
            <w:pPr>
              <w:spacing w:line="276" w:lineRule="auto"/>
              <w:rPr>
                <w:rFonts w:cs="Arial"/>
                <w:sz w:val="20"/>
                <w:szCs w:val="20"/>
              </w:rPr>
            </w:pPr>
            <w:r w:rsidRPr="00BD2DE9">
              <w:rPr>
                <w:sz w:val="20"/>
                <w:szCs w:val="20"/>
              </w:rPr>
              <w:t>21</w:t>
            </w:r>
          </w:p>
        </w:tc>
        <w:tc>
          <w:tcPr>
            <w:tcW w:w="3596" w:type="dxa"/>
            <w:noWrap/>
          </w:tcPr>
          <w:p w14:paraId="03CA33C2" w14:textId="69D130CB" w:rsidR="00621A09" w:rsidRPr="00BD2DE9" w:rsidRDefault="00621A09" w:rsidP="00621A09">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Coffs Harbour - Grafton</w:t>
            </w:r>
          </w:p>
        </w:tc>
        <w:tc>
          <w:tcPr>
            <w:tcW w:w="1142" w:type="dxa"/>
            <w:noWrap/>
          </w:tcPr>
          <w:p w14:paraId="7F304C33" w14:textId="3F9F20EF" w:rsidR="00621A09" w:rsidRPr="00BD2DE9" w:rsidRDefault="00621A09" w:rsidP="00621A09">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7.6</w:t>
            </w:r>
          </w:p>
        </w:tc>
        <w:tc>
          <w:tcPr>
            <w:tcW w:w="816" w:type="dxa"/>
          </w:tcPr>
          <w:p w14:paraId="3542D0EE" w14:textId="5F3BC323" w:rsidR="00621A09" w:rsidRPr="00BD2DE9" w:rsidRDefault="00621A09" w:rsidP="00621A09">
            <w:pPr>
              <w:spacing w:line="276"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BD2DE9">
              <w:rPr>
                <w:b/>
                <w:bCs/>
                <w:sz w:val="20"/>
                <w:szCs w:val="20"/>
              </w:rPr>
              <w:t>45</w:t>
            </w:r>
          </w:p>
        </w:tc>
        <w:tc>
          <w:tcPr>
            <w:tcW w:w="3564" w:type="dxa"/>
          </w:tcPr>
          <w:p w14:paraId="5F561366" w14:textId="06387D72" w:rsidR="00621A09" w:rsidRPr="00BD2DE9" w:rsidRDefault="00621A09" w:rsidP="005822F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Geelong</w:t>
            </w:r>
          </w:p>
        </w:tc>
        <w:tc>
          <w:tcPr>
            <w:tcW w:w="1148" w:type="dxa"/>
          </w:tcPr>
          <w:p w14:paraId="04332133" w14:textId="3AE942C7" w:rsidR="00621A09" w:rsidRPr="00BD2DE9" w:rsidRDefault="00621A09" w:rsidP="00621A09">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2.5</w:t>
            </w:r>
          </w:p>
        </w:tc>
      </w:tr>
      <w:tr w:rsidR="004E781C" w:rsidRPr="00BD2DE9" w14:paraId="71B62FB8" w14:textId="305BC422" w:rsidTr="0066117B">
        <w:trPr>
          <w:trHeight w:val="80"/>
        </w:trPr>
        <w:tc>
          <w:tcPr>
            <w:cnfStyle w:val="001000000000" w:firstRow="0" w:lastRow="0" w:firstColumn="1" w:lastColumn="0" w:oddVBand="0" w:evenVBand="0" w:oddHBand="0" w:evenHBand="0" w:firstRowFirstColumn="0" w:firstRowLastColumn="0" w:lastRowFirstColumn="0" w:lastRowLastColumn="0"/>
            <w:tcW w:w="649" w:type="dxa"/>
          </w:tcPr>
          <w:p w14:paraId="3ADCF98C" w14:textId="05101CE1" w:rsidR="00621A09" w:rsidRPr="00BD2DE9" w:rsidRDefault="00621A09" w:rsidP="00621A09">
            <w:pPr>
              <w:spacing w:line="276" w:lineRule="auto"/>
              <w:rPr>
                <w:rFonts w:cs="Arial"/>
                <w:sz w:val="20"/>
                <w:szCs w:val="20"/>
              </w:rPr>
            </w:pPr>
            <w:r w:rsidRPr="00BD2DE9">
              <w:rPr>
                <w:sz w:val="20"/>
                <w:szCs w:val="20"/>
              </w:rPr>
              <w:t>22</w:t>
            </w:r>
          </w:p>
        </w:tc>
        <w:tc>
          <w:tcPr>
            <w:tcW w:w="3596" w:type="dxa"/>
            <w:noWrap/>
          </w:tcPr>
          <w:p w14:paraId="4A5E3A6A" w14:textId="22849AE0" w:rsidR="00621A09" w:rsidRPr="00BD2DE9" w:rsidRDefault="00621A09" w:rsidP="00621A09">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Hobart</w:t>
            </w:r>
          </w:p>
        </w:tc>
        <w:tc>
          <w:tcPr>
            <w:tcW w:w="1142" w:type="dxa"/>
            <w:noWrap/>
          </w:tcPr>
          <w:p w14:paraId="1BF3C416" w14:textId="43F66069" w:rsidR="00621A09" w:rsidRPr="00BD2DE9" w:rsidRDefault="00621A09" w:rsidP="00621A09">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7.5</w:t>
            </w:r>
          </w:p>
        </w:tc>
        <w:tc>
          <w:tcPr>
            <w:tcW w:w="816" w:type="dxa"/>
          </w:tcPr>
          <w:p w14:paraId="4B80296A" w14:textId="00899F9A" w:rsidR="00621A09" w:rsidRPr="00BD2DE9" w:rsidRDefault="00621A09" w:rsidP="00621A09">
            <w:pPr>
              <w:spacing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BD2DE9">
              <w:rPr>
                <w:b/>
                <w:bCs/>
                <w:sz w:val="20"/>
                <w:szCs w:val="20"/>
              </w:rPr>
              <w:t>46</w:t>
            </w:r>
          </w:p>
        </w:tc>
        <w:tc>
          <w:tcPr>
            <w:tcW w:w="3564" w:type="dxa"/>
          </w:tcPr>
          <w:p w14:paraId="0EC191EA" w14:textId="6D482C37" w:rsidR="00621A09" w:rsidRPr="00BD2DE9" w:rsidRDefault="00621A09" w:rsidP="005822F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Toowoomba</w:t>
            </w:r>
          </w:p>
        </w:tc>
        <w:tc>
          <w:tcPr>
            <w:tcW w:w="1148" w:type="dxa"/>
          </w:tcPr>
          <w:p w14:paraId="33077FA5" w14:textId="03458D7A" w:rsidR="00621A09" w:rsidRPr="00BD2DE9" w:rsidRDefault="00621A09" w:rsidP="00621A09">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2.2</w:t>
            </w:r>
          </w:p>
        </w:tc>
      </w:tr>
      <w:tr w:rsidR="004E781C" w:rsidRPr="00BD2DE9" w14:paraId="64626B16" w14:textId="6E868958" w:rsidTr="0066117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649" w:type="dxa"/>
          </w:tcPr>
          <w:p w14:paraId="75519ABB" w14:textId="16823983" w:rsidR="00621A09" w:rsidRPr="00BD2DE9" w:rsidRDefault="00621A09" w:rsidP="00621A09">
            <w:pPr>
              <w:spacing w:line="276" w:lineRule="auto"/>
              <w:rPr>
                <w:rFonts w:cs="Arial"/>
                <w:sz w:val="20"/>
                <w:szCs w:val="20"/>
              </w:rPr>
            </w:pPr>
            <w:r w:rsidRPr="00BD2DE9">
              <w:rPr>
                <w:sz w:val="20"/>
                <w:szCs w:val="20"/>
              </w:rPr>
              <w:t>23</w:t>
            </w:r>
          </w:p>
        </w:tc>
        <w:tc>
          <w:tcPr>
            <w:tcW w:w="3596" w:type="dxa"/>
            <w:noWrap/>
          </w:tcPr>
          <w:p w14:paraId="56A9DF8F" w14:textId="1A8EF68A" w:rsidR="00621A09" w:rsidRPr="00BD2DE9" w:rsidRDefault="00621A09" w:rsidP="00621A09">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Townsville</w:t>
            </w:r>
          </w:p>
        </w:tc>
        <w:tc>
          <w:tcPr>
            <w:tcW w:w="1142" w:type="dxa"/>
            <w:noWrap/>
          </w:tcPr>
          <w:p w14:paraId="4DF252E1" w14:textId="5BFD4488" w:rsidR="00621A09" w:rsidRPr="00BD2DE9" w:rsidRDefault="00621A09" w:rsidP="00621A09">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7.0</w:t>
            </w:r>
          </w:p>
        </w:tc>
        <w:tc>
          <w:tcPr>
            <w:tcW w:w="816" w:type="dxa"/>
          </w:tcPr>
          <w:p w14:paraId="3A4FD9AC" w14:textId="2D5D5C89" w:rsidR="00621A09" w:rsidRPr="00BD2DE9" w:rsidRDefault="00621A09" w:rsidP="00621A09">
            <w:pPr>
              <w:spacing w:line="276"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BD2DE9">
              <w:rPr>
                <w:b/>
                <w:bCs/>
                <w:sz w:val="20"/>
                <w:szCs w:val="20"/>
              </w:rPr>
              <w:t>47</w:t>
            </w:r>
          </w:p>
        </w:tc>
        <w:tc>
          <w:tcPr>
            <w:tcW w:w="3564" w:type="dxa"/>
          </w:tcPr>
          <w:p w14:paraId="245E7A1F" w14:textId="15885D86" w:rsidR="00621A09" w:rsidRPr="00BD2DE9" w:rsidRDefault="00621A09" w:rsidP="005822F3">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Northern Territory - Outback</w:t>
            </w:r>
          </w:p>
        </w:tc>
        <w:tc>
          <w:tcPr>
            <w:tcW w:w="1148" w:type="dxa"/>
          </w:tcPr>
          <w:p w14:paraId="577FBA8C" w14:textId="4F4250B7" w:rsidR="00621A09" w:rsidRPr="00BD2DE9" w:rsidRDefault="00621A09" w:rsidP="00621A09">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D2DE9">
              <w:rPr>
                <w:sz w:val="20"/>
                <w:szCs w:val="20"/>
              </w:rPr>
              <w:t>2.1</w:t>
            </w:r>
          </w:p>
        </w:tc>
      </w:tr>
      <w:tr w:rsidR="004E781C" w:rsidRPr="00BD2DE9" w14:paraId="2007C3E9" w14:textId="16BC5414" w:rsidTr="0066117B">
        <w:trPr>
          <w:trHeight w:val="80"/>
        </w:trPr>
        <w:tc>
          <w:tcPr>
            <w:cnfStyle w:val="001000000000" w:firstRow="0" w:lastRow="0" w:firstColumn="1" w:lastColumn="0" w:oddVBand="0" w:evenVBand="0" w:oddHBand="0" w:evenHBand="0" w:firstRowFirstColumn="0" w:firstRowLastColumn="0" w:lastRowFirstColumn="0" w:lastRowLastColumn="0"/>
            <w:tcW w:w="649" w:type="dxa"/>
          </w:tcPr>
          <w:p w14:paraId="2EB313AB" w14:textId="561B9401" w:rsidR="00621A09" w:rsidRPr="00BD2DE9" w:rsidRDefault="00621A09" w:rsidP="00621A09">
            <w:pPr>
              <w:spacing w:line="276" w:lineRule="auto"/>
              <w:rPr>
                <w:rFonts w:cs="Arial"/>
                <w:sz w:val="20"/>
                <w:szCs w:val="20"/>
              </w:rPr>
            </w:pPr>
            <w:r w:rsidRPr="00BD2DE9">
              <w:rPr>
                <w:sz w:val="20"/>
                <w:szCs w:val="20"/>
              </w:rPr>
              <w:t>24</w:t>
            </w:r>
          </w:p>
        </w:tc>
        <w:tc>
          <w:tcPr>
            <w:tcW w:w="3596" w:type="dxa"/>
            <w:noWrap/>
          </w:tcPr>
          <w:p w14:paraId="27065772" w14:textId="44BDE244" w:rsidR="00621A09" w:rsidRPr="00BD2DE9" w:rsidRDefault="00621A09" w:rsidP="00621A09">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Bendigo</w:t>
            </w:r>
          </w:p>
        </w:tc>
        <w:tc>
          <w:tcPr>
            <w:tcW w:w="1142" w:type="dxa"/>
            <w:noWrap/>
          </w:tcPr>
          <w:p w14:paraId="39557F77" w14:textId="223AD935" w:rsidR="00621A09" w:rsidRPr="00BD2DE9" w:rsidRDefault="00621A09" w:rsidP="00621A09">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6.4</w:t>
            </w:r>
          </w:p>
        </w:tc>
        <w:tc>
          <w:tcPr>
            <w:tcW w:w="816" w:type="dxa"/>
          </w:tcPr>
          <w:p w14:paraId="51F240DB" w14:textId="53731722" w:rsidR="00621A09" w:rsidRPr="00BD2DE9" w:rsidRDefault="00621A09" w:rsidP="00621A09">
            <w:pPr>
              <w:spacing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BD2DE9">
              <w:rPr>
                <w:b/>
                <w:bCs/>
                <w:sz w:val="20"/>
                <w:szCs w:val="20"/>
              </w:rPr>
              <w:t>48</w:t>
            </w:r>
          </w:p>
        </w:tc>
        <w:tc>
          <w:tcPr>
            <w:tcW w:w="3564" w:type="dxa"/>
          </w:tcPr>
          <w:p w14:paraId="55AEF73C" w14:textId="412D9EDA" w:rsidR="00621A09" w:rsidRPr="00BD2DE9" w:rsidRDefault="00621A09" w:rsidP="005822F3">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South Australia – South East</w:t>
            </w:r>
          </w:p>
        </w:tc>
        <w:tc>
          <w:tcPr>
            <w:tcW w:w="1148" w:type="dxa"/>
          </w:tcPr>
          <w:p w14:paraId="344FA54B" w14:textId="78AFD6B2" w:rsidR="00621A09" w:rsidRPr="00BD2DE9" w:rsidRDefault="00621A09" w:rsidP="00621A09">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BD2DE9">
              <w:rPr>
                <w:sz w:val="20"/>
                <w:szCs w:val="20"/>
              </w:rPr>
              <w:t>1.7</w:t>
            </w:r>
          </w:p>
        </w:tc>
      </w:tr>
    </w:tbl>
    <w:p w14:paraId="57CF3CE3" w14:textId="77777777" w:rsidR="002C3BBC" w:rsidRPr="00BD2DE9" w:rsidRDefault="002C3BBC" w:rsidP="0041679C">
      <w:pPr>
        <w:autoSpaceDE w:val="0"/>
        <w:autoSpaceDN w:val="0"/>
        <w:adjustRightInd w:val="0"/>
        <w:spacing w:after="120" w:line="276" w:lineRule="auto"/>
        <w:rPr>
          <w:rFonts w:cs="Arial"/>
          <w:sz w:val="16"/>
          <w:szCs w:val="16"/>
        </w:rPr>
      </w:pPr>
    </w:p>
    <w:p w14:paraId="4B3285BC" w14:textId="3F4F146C" w:rsidR="0041679C" w:rsidRPr="00BD2DE9" w:rsidRDefault="0041679C" w:rsidP="0041679C">
      <w:pPr>
        <w:autoSpaceDE w:val="0"/>
        <w:autoSpaceDN w:val="0"/>
        <w:adjustRightInd w:val="0"/>
        <w:spacing w:after="120" w:line="276" w:lineRule="auto"/>
        <w:rPr>
          <w:rFonts w:cs="Arial"/>
          <w:sz w:val="16"/>
          <w:szCs w:val="16"/>
        </w:rPr>
      </w:pPr>
      <w:r w:rsidRPr="00BD2DE9">
        <w:rPr>
          <w:rFonts w:cs="Arial"/>
          <w:sz w:val="16"/>
          <w:szCs w:val="16"/>
        </w:rPr>
        <w:t xml:space="preserve">Notes: IVI data are October </w:t>
      </w:r>
      <w:r w:rsidR="00096927" w:rsidRPr="00BD2DE9">
        <w:rPr>
          <w:rFonts w:cs="Arial"/>
          <w:sz w:val="16"/>
          <w:szCs w:val="16"/>
        </w:rPr>
        <w:t xml:space="preserve">2022 </w:t>
      </w:r>
      <w:r w:rsidRPr="00BD2DE9">
        <w:rPr>
          <w:rFonts w:cs="Arial"/>
          <w:sz w:val="16"/>
          <w:szCs w:val="16"/>
        </w:rPr>
        <w:t xml:space="preserve">to </w:t>
      </w:r>
      <w:r w:rsidR="00096927" w:rsidRPr="00BD2DE9">
        <w:rPr>
          <w:rFonts w:cs="Arial"/>
          <w:sz w:val="16"/>
          <w:szCs w:val="16"/>
        </w:rPr>
        <w:t>March 2023</w:t>
      </w:r>
      <w:r w:rsidRPr="00BD2DE9">
        <w:rPr>
          <w:rFonts w:cs="Arial"/>
          <w:sz w:val="16"/>
          <w:szCs w:val="16"/>
        </w:rPr>
        <w:t xml:space="preserve"> monthly average.</w:t>
      </w:r>
      <w:r w:rsidRPr="00BD2DE9">
        <w:rPr>
          <w:iCs/>
        </w:rPr>
        <w:t xml:space="preserve"> </w:t>
      </w:r>
      <w:r w:rsidRPr="00BD2DE9">
        <w:rPr>
          <w:iCs/>
          <w:sz w:val="16"/>
          <w:szCs w:val="16"/>
        </w:rPr>
        <w:t>Regions presented in this table are Statistical Area 4 (SA4) regions, with the exception of capital cities, where relevant SA4 regions are combined to present an overall result for that capital city.</w:t>
      </w:r>
      <w:r w:rsidR="008270DD" w:rsidRPr="00BD2DE9">
        <w:rPr>
          <w:iCs/>
          <w:sz w:val="16"/>
          <w:szCs w:val="16"/>
        </w:rPr>
        <w:t xml:space="preserve"> Results for </w:t>
      </w:r>
      <w:r w:rsidR="000D4CE4" w:rsidRPr="00BD2DE9">
        <w:rPr>
          <w:iCs/>
          <w:sz w:val="16"/>
          <w:szCs w:val="16"/>
        </w:rPr>
        <w:t xml:space="preserve">Tasmania-South East and </w:t>
      </w:r>
      <w:r w:rsidR="001C5BC0" w:rsidRPr="00BD2DE9">
        <w:rPr>
          <w:iCs/>
          <w:sz w:val="16"/>
          <w:szCs w:val="16"/>
        </w:rPr>
        <w:t>South Australia</w:t>
      </w:r>
      <w:r w:rsidR="000D4CE4" w:rsidRPr="00BD2DE9">
        <w:rPr>
          <w:iCs/>
          <w:sz w:val="16"/>
          <w:szCs w:val="16"/>
        </w:rPr>
        <w:t>-Outback SA4 regions are excluded from the table,</w:t>
      </w:r>
      <w:r w:rsidR="001339DE" w:rsidRPr="00BD2DE9">
        <w:rPr>
          <w:iCs/>
          <w:sz w:val="16"/>
          <w:szCs w:val="16"/>
        </w:rPr>
        <w:t xml:space="preserve"> due to small sample sizes and accompanying low reliability of the result.</w:t>
      </w:r>
    </w:p>
    <w:p w14:paraId="188EFCE5" w14:textId="5CF1526B" w:rsidR="002372AA" w:rsidRPr="00BD2DE9" w:rsidRDefault="0041679C" w:rsidP="00AD278D">
      <w:pPr>
        <w:pStyle w:val="Source"/>
      </w:pPr>
      <w:r w:rsidRPr="00BD2DE9">
        <w:rPr>
          <w:i w:val="0"/>
        </w:rPr>
        <w:t>JSA</w:t>
      </w:r>
      <w:r w:rsidRPr="00BD2DE9">
        <w:rPr>
          <w:iCs/>
        </w:rPr>
        <w:t xml:space="preserve">, </w:t>
      </w:r>
      <w:r w:rsidRPr="00BD2DE9">
        <w:t>Internet Vacancy Index</w:t>
      </w:r>
      <w:r w:rsidRPr="00BD2DE9">
        <w:rPr>
          <w:iCs/>
        </w:rPr>
        <w:t xml:space="preserve">, </w:t>
      </w:r>
      <w:r w:rsidR="00A11E14" w:rsidRPr="00BD2DE9">
        <w:rPr>
          <w:i w:val="0"/>
        </w:rPr>
        <w:t>March</w:t>
      </w:r>
      <w:r w:rsidR="006D56CF" w:rsidRPr="00BD2DE9">
        <w:rPr>
          <w:i w:val="0"/>
        </w:rPr>
        <w:t xml:space="preserve"> 2023;</w:t>
      </w:r>
      <w:r w:rsidR="006D56CF" w:rsidRPr="00BD2DE9">
        <w:rPr>
          <w:iCs/>
        </w:rPr>
        <w:t xml:space="preserve"> </w:t>
      </w:r>
      <w:r w:rsidR="00216D45" w:rsidRPr="00BD2DE9">
        <w:t>Nowcast of Employment by Region and Occupation</w:t>
      </w:r>
      <w:r w:rsidR="006D56CF" w:rsidRPr="00BD2DE9">
        <w:rPr>
          <w:iCs/>
        </w:rPr>
        <w:t xml:space="preserve">, </w:t>
      </w:r>
      <w:r w:rsidR="00A11E14" w:rsidRPr="00BD2DE9">
        <w:rPr>
          <w:i w:val="0"/>
        </w:rPr>
        <w:t>March</w:t>
      </w:r>
      <w:r w:rsidR="006D56CF" w:rsidRPr="00BD2DE9">
        <w:rPr>
          <w:i w:val="0"/>
        </w:rPr>
        <w:t xml:space="preserve"> 2023</w:t>
      </w:r>
      <w:r w:rsidR="00086A7E">
        <w:rPr>
          <w:i w:val="0"/>
        </w:rPr>
        <w:t>.</w:t>
      </w:r>
    </w:p>
    <w:bookmarkEnd w:id="23"/>
    <w:p w14:paraId="7282D877" w14:textId="028CC9A1" w:rsidR="00376C50" w:rsidRPr="00BD2DE9" w:rsidRDefault="00376C50" w:rsidP="00376C50">
      <w:r w:rsidRPr="00BD2DE9">
        <w:t xml:space="preserve">Despite capital cities generally using internet job boards for a higher percentage of their total recruitment activity (as noted earlier), the five largest capital cities (Sydney, Melbourne, Adelaide, Perth and Brisbane) all appear in the bottom third of this table, with </w:t>
      </w:r>
      <w:r w:rsidR="008A3124" w:rsidRPr="00BD2DE9">
        <w:t>IVI</w:t>
      </w:r>
      <w:r w:rsidRPr="00BD2DE9">
        <w:t xml:space="preserve"> job ad</w:t>
      </w:r>
      <w:r w:rsidR="00F53310" w:rsidRPr="00BD2DE9">
        <w:t>vertisement</w:t>
      </w:r>
      <w:r w:rsidRPr="00BD2DE9">
        <w:t xml:space="preserve">s for General Practitioners and Resident Medical Officers representing 4% or less of the relevant employment level in each city. </w:t>
      </w:r>
    </w:p>
    <w:p w14:paraId="39A94403" w14:textId="2D5E8A62" w:rsidR="00ED7359" w:rsidRDefault="00376C50" w:rsidP="00446141">
      <w:pPr>
        <w:rPr>
          <w:rFonts w:cs="Arial"/>
        </w:rPr>
      </w:pPr>
      <w:r w:rsidRPr="00BD2DE9">
        <w:t xml:space="preserve">Conversely, many regions outside major cities, particularly remote or sparsely populated areas, exhibit much higher ratios of online job ads to employment for this occupation. This is particularly true of regional New South Wales and Queensland, where the six highest ratios were recorded. In both the Far West and Orana and the Queensland – Outback regions, there is one General Practitioners and Resident Medical Officers </w:t>
      </w:r>
      <w:r w:rsidR="008A3124" w:rsidRPr="00BD2DE9">
        <w:t>IVI</w:t>
      </w:r>
      <w:r w:rsidRPr="00BD2DE9">
        <w:t xml:space="preserve"> job advertisement for every five people currently</w:t>
      </w:r>
      <w:r>
        <w:t xml:space="preserve"> working in these roles.</w:t>
      </w:r>
      <w:r w:rsidR="00ED7359">
        <w:rPr>
          <w:rFonts w:cs="Arial"/>
        </w:rPr>
        <w:br w:type="page"/>
      </w:r>
    </w:p>
    <w:p w14:paraId="15CAA06C" w14:textId="13D5A24E" w:rsidR="00745D89" w:rsidRPr="00BB36CB" w:rsidRDefault="00745D89" w:rsidP="00745D89">
      <w:pPr>
        <w:pStyle w:val="Heading1"/>
        <w:rPr>
          <w:rFonts w:cs="Arial"/>
        </w:rPr>
      </w:pPr>
      <w:bookmarkStart w:id="38" w:name="_Toc134785342"/>
      <w:bookmarkEnd w:id="3"/>
      <w:bookmarkEnd w:id="4"/>
      <w:r>
        <w:rPr>
          <w:rFonts w:cs="Arial"/>
        </w:rPr>
        <w:lastRenderedPageBreak/>
        <w:t xml:space="preserve">Appendix A: Highest </w:t>
      </w:r>
      <w:r w:rsidR="0064373F">
        <w:rPr>
          <w:rFonts w:cs="Arial"/>
        </w:rPr>
        <w:t xml:space="preserve">IVI </w:t>
      </w:r>
      <w:r>
        <w:rPr>
          <w:rFonts w:cs="Arial"/>
        </w:rPr>
        <w:t>vacancy rat</w:t>
      </w:r>
      <w:r w:rsidR="000B456B">
        <w:rPr>
          <w:rFonts w:cs="Arial"/>
        </w:rPr>
        <w:t>io</w:t>
      </w:r>
      <w:r>
        <w:rPr>
          <w:rFonts w:cs="Arial"/>
        </w:rPr>
        <w:t>s – capital cities and regional areas</w:t>
      </w:r>
      <w:bookmarkEnd w:id="38"/>
    </w:p>
    <w:p w14:paraId="197913F2" w14:textId="3F1E7ECD" w:rsidR="00745D89" w:rsidRPr="002970F5" w:rsidRDefault="00745D89" w:rsidP="00D52926">
      <w:r w:rsidRPr="002970F5">
        <w:t xml:space="preserve">The analysis of </w:t>
      </w:r>
      <w:r w:rsidR="008237A7">
        <w:t xml:space="preserve">online </w:t>
      </w:r>
      <w:r w:rsidRPr="002970F5">
        <w:t>vacancy rat</w:t>
      </w:r>
      <w:r w:rsidR="000B456B">
        <w:t>io</w:t>
      </w:r>
      <w:r w:rsidRPr="002970F5">
        <w:t>s that follows is based on:</w:t>
      </w:r>
    </w:p>
    <w:p w14:paraId="54FEF40B" w14:textId="77777777" w:rsidR="00745D89" w:rsidRPr="00EA5D48" w:rsidRDefault="00745D89" w:rsidP="00D52926">
      <w:pPr>
        <w:pStyle w:val="ListParagraph"/>
        <w:numPr>
          <w:ilvl w:val="0"/>
          <w:numId w:val="7"/>
        </w:numPr>
        <w:spacing w:after="120"/>
      </w:pPr>
      <w:r w:rsidRPr="00EA5D48">
        <w:t>the 2022 Skills Priority List ratings of current skills shortages;</w:t>
      </w:r>
    </w:p>
    <w:p w14:paraId="53E52EA0" w14:textId="580D5E8A" w:rsidR="00745D89" w:rsidRPr="00EA5D48" w:rsidRDefault="00533C81" w:rsidP="00D52926">
      <w:pPr>
        <w:pStyle w:val="ListParagraph"/>
        <w:numPr>
          <w:ilvl w:val="0"/>
          <w:numId w:val="7"/>
        </w:numPr>
        <w:spacing w:after="120"/>
      </w:pPr>
      <w:r>
        <w:t xml:space="preserve">Internet Vacancy Index (IVI) </w:t>
      </w:r>
      <w:r w:rsidR="00745D89" w:rsidRPr="00EA5D48">
        <w:t xml:space="preserve">data on job vacancies, based on the most recent 6-month average </w:t>
      </w:r>
      <w:r w:rsidR="00745D89">
        <w:t>(</w:t>
      </w:r>
      <w:r w:rsidR="00745D89" w:rsidRPr="00EA5D48">
        <w:t>from October 2022 to March 2023</w:t>
      </w:r>
      <w:r w:rsidR="00745D89">
        <w:t xml:space="preserve"> inclusive)</w:t>
      </w:r>
      <w:r w:rsidR="00745D89" w:rsidRPr="00EA5D48">
        <w:t xml:space="preserve"> for each region; and </w:t>
      </w:r>
    </w:p>
    <w:p w14:paraId="1A3A87CB" w14:textId="77777777" w:rsidR="00745D89" w:rsidRPr="00153E19" w:rsidRDefault="00745D89" w:rsidP="00D52926">
      <w:pPr>
        <w:pStyle w:val="ListParagraph"/>
        <w:numPr>
          <w:ilvl w:val="0"/>
          <w:numId w:val="7"/>
        </w:numPr>
        <w:spacing w:after="120"/>
      </w:pPr>
      <w:r w:rsidRPr="00EA5D48">
        <w:t xml:space="preserve">monthly estimates </w:t>
      </w:r>
      <w:r w:rsidRPr="002970F5">
        <w:t xml:space="preserve">of current employment levels for 355 occupations across each region, based on </w:t>
      </w:r>
      <w:r w:rsidRPr="00153E19">
        <w:t>JSA’s Nowcast of Employment by Region and Occupation (NERO).</w:t>
      </w:r>
    </w:p>
    <w:p w14:paraId="52783E27" w14:textId="646C1C2C" w:rsidR="00745D89" w:rsidRPr="00D86547" w:rsidRDefault="00745D89" w:rsidP="00D52926">
      <w:pPr>
        <w:spacing w:after="120"/>
      </w:pPr>
      <w:r w:rsidRPr="00153E19">
        <w:t xml:space="preserve">To minimise the effect that small sample sizes (which can display greater volatility over time) have on this </w:t>
      </w:r>
      <w:r w:rsidRPr="00D86547">
        <w:t xml:space="preserve">analysis, results are only presented for occupations </w:t>
      </w:r>
      <w:r w:rsidR="007D2B62" w:rsidRPr="00D86547">
        <w:t>and regions that meet the following criteria:</w:t>
      </w:r>
    </w:p>
    <w:p w14:paraId="69F53BFA" w14:textId="0F76648B" w:rsidR="00745D89" w:rsidRPr="00D86547" w:rsidRDefault="00745D89" w:rsidP="00D52926">
      <w:pPr>
        <w:spacing w:after="120"/>
      </w:pPr>
      <w:r w:rsidRPr="00D86547">
        <w:t xml:space="preserve">For </w:t>
      </w:r>
      <w:r w:rsidR="00765CF0" w:rsidRPr="00D86547">
        <w:t>capital cities:</w:t>
      </w:r>
    </w:p>
    <w:p w14:paraId="78594E34" w14:textId="3B606F89" w:rsidR="00023D8D" w:rsidRDefault="007D2B62" w:rsidP="00D52926">
      <w:pPr>
        <w:pStyle w:val="ListParagraph"/>
        <w:numPr>
          <w:ilvl w:val="0"/>
          <w:numId w:val="17"/>
        </w:numPr>
        <w:spacing w:after="120"/>
      </w:pPr>
      <w:r w:rsidRPr="00D86547">
        <w:t xml:space="preserve">at least </w:t>
      </w:r>
      <w:r w:rsidR="00745D89" w:rsidRPr="00D86547">
        <w:t xml:space="preserve">20 </w:t>
      </w:r>
      <w:r w:rsidR="00985FCF">
        <w:t>IVI</w:t>
      </w:r>
      <w:r w:rsidR="008237A7">
        <w:t xml:space="preserve"> </w:t>
      </w:r>
      <w:r w:rsidR="00745D89" w:rsidRPr="00D86547">
        <w:t>job vacancies per month (on average)</w:t>
      </w:r>
      <w:r w:rsidR="00D86547" w:rsidRPr="00D86547">
        <w:t>, employment of at least 100</w:t>
      </w:r>
      <w:r w:rsidR="000C7854">
        <w:t xml:space="preserve"> people in that occupation</w:t>
      </w:r>
      <w:r w:rsidR="00D86547" w:rsidRPr="00D86547">
        <w:t xml:space="preserve">, </w:t>
      </w:r>
      <w:r w:rsidR="00745D89" w:rsidRPr="00D86547">
        <w:t>and a</w:t>
      </w:r>
      <w:r w:rsidR="0064373F">
        <w:t>n IVI</w:t>
      </w:r>
      <w:r w:rsidR="00745D89" w:rsidRPr="00D86547">
        <w:t xml:space="preserve"> vacancy rat</w:t>
      </w:r>
      <w:r w:rsidR="00C05CB4">
        <w:t>io</w:t>
      </w:r>
      <w:r w:rsidR="00745D89" w:rsidRPr="00D86547">
        <w:t xml:space="preserve"> of at least 5 per cent; </w:t>
      </w:r>
    </w:p>
    <w:p w14:paraId="000ACF8C" w14:textId="70408999" w:rsidR="00745D89" w:rsidRPr="00D86547" w:rsidRDefault="00D40652" w:rsidP="00D52926">
      <w:pPr>
        <w:pStyle w:val="ListParagraph"/>
        <w:spacing w:after="120"/>
        <w:ind w:left="1080"/>
      </w:pPr>
      <w:r>
        <w:t>OR</w:t>
      </w:r>
    </w:p>
    <w:p w14:paraId="6C2B7E63" w14:textId="280D0725" w:rsidR="00745D89" w:rsidRPr="00D86547" w:rsidRDefault="00D86547" w:rsidP="00D52926">
      <w:pPr>
        <w:pStyle w:val="ListParagraph"/>
        <w:numPr>
          <w:ilvl w:val="0"/>
          <w:numId w:val="17"/>
        </w:numPr>
        <w:spacing w:after="120"/>
      </w:pPr>
      <w:r w:rsidRPr="00D86547">
        <w:t xml:space="preserve">where estimated employment </w:t>
      </w:r>
      <w:r w:rsidR="000C7854">
        <w:t xml:space="preserve">in that occupation </w:t>
      </w:r>
      <w:r w:rsidRPr="00D86547">
        <w:t xml:space="preserve">falls below 100, at least </w:t>
      </w:r>
      <w:r w:rsidR="00745D89" w:rsidRPr="00D86547">
        <w:t xml:space="preserve">40 </w:t>
      </w:r>
      <w:r w:rsidR="00985FCF">
        <w:t xml:space="preserve">IVI </w:t>
      </w:r>
      <w:r w:rsidR="00745D89" w:rsidRPr="00D86547">
        <w:t>job vacancies per month (on average)</w:t>
      </w:r>
    </w:p>
    <w:p w14:paraId="5B9C7A86" w14:textId="478B41FC" w:rsidR="00745D89" w:rsidRPr="00D86547" w:rsidRDefault="00745D89" w:rsidP="00D52926">
      <w:pPr>
        <w:pStyle w:val="ListParagraph"/>
        <w:spacing w:after="120"/>
        <w:ind w:left="0"/>
      </w:pPr>
      <w:r w:rsidRPr="00D86547">
        <w:t xml:space="preserve">For </w:t>
      </w:r>
      <w:r w:rsidR="00D86547" w:rsidRPr="00D86547">
        <w:t>r</w:t>
      </w:r>
      <w:r w:rsidRPr="00D86547">
        <w:t>egion</w:t>
      </w:r>
      <w:r w:rsidR="00D86547" w:rsidRPr="00D86547">
        <w:t>al areas:</w:t>
      </w:r>
    </w:p>
    <w:p w14:paraId="242A01DA" w14:textId="0E8A84F7" w:rsidR="00023D8D" w:rsidRDefault="00D86547" w:rsidP="00D52926">
      <w:pPr>
        <w:pStyle w:val="ListParagraph"/>
        <w:numPr>
          <w:ilvl w:val="0"/>
          <w:numId w:val="17"/>
        </w:numPr>
        <w:spacing w:after="120"/>
      </w:pPr>
      <w:r w:rsidRPr="00D86547">
        <w:t xml:space="preserve">at least 10 </w:t>
      </w:r>
      <w:r w:rsidR="00985FCF">
        <w:t xml:space="preserve">IVI </w:t>
      </w:r>
      <w:r w:rsidRPr="00D86547">
        <w:t>job vacancies per month (on average), employment of at least 100</w:t>
      </w:r>
      <w:r w:rsidR="000C7854">
        <w:t xml:space="preserve"> in that occupation</w:t>
      </w:r>
      <w:r w:rsidRPr="00D86547">
        <w:t>, and a</w:t>
      </w:r>
      <w:r w:rsidR="0064373F">
        <w:t>n IVI</w:t>
      </w:r>
      <w:r w:rsidRPr="00D86547">
        <w:t xml:space="preserve"> vacancy rat</w:t>
      </w:r>
      <w:r w:rsidR="00C05CB4">
        <w:t>io</w:t>
      </w:r>
      <w:r w:rsidRPr="00D86547">
        <w:t xml:space="preserve"> of at least 4 per cent; </w:t>
      </w:r>
    </w:p>
    <w:p w14:paraId="47781683" w14:textId="4544D46E" w:rsidR="00D86547" w:rsidRPr="00D86547" w:rsidRDefault="00D40652" w:rsidP="00D52926">
      <w:pPr>
        <w:pStyle w:val="ListParagraph"/>
        <w:spacing w:after="120"/>
        <w:ind w:left="1080"/>
      </w:pPr>
      <w:r>
        <w:t>OR</w:t>
      </w:r>
    </w:p>
    <w:p w14:paraId="6504747B" w14:textId="07859F4A" w:rsidR="00D86547" w:rsidRPr="00D86547" w:rsidRDefault="00D86547" w:rsidP="00D52926">
      <w:pPr>
        <w:pStyle w:val="ListParagraph"/>
        <w:numPr>
          <w:ilvl w:val="0"/>
          <w:numId w:val="17"/>
        </w:numPr>
        <w:spacing w:after="120"/>
      </w:pPr>
      <w:r w:rsidRPr="00D86547">
        <w:t xml:space="preserve">where estimated employment </w:t>
      </w:r>
      <w:r w:rsidR="000C7854">
        <w:t xml:space="preserve">in that occupation </w:t>
      </w:r>
      <w:r w:rsidRPr="00D86547">
        <w:t xml:space="preserve">falls below 100, at least 20 </w:t>
      </w:r>
      <w:r w:rsidR="00985FCF">
        <w:t>IVI</w:t>
      </w:r>
      <w:r w:rsidR="00C05CB4">
        <w:t xml:space="preserve"> </w:t>
      </w:r>
      <w:r w:rsidRPr="00D86547">
        <w:t>job vacancies per month (on average)</w:t>
      </w:r>
    </w:p>
    <w:p w14:paraId="720F13D0" w14:textId="77777777" w:rsidR="00D86547" w:rsidRPr="000A0E24" w:rsidRDefault="00D86547" w:rsidP="00D86547">
      <w:pPr>
        <w:pStyle w:val="ListParagraph"/>
        <w:spacing w:after="120" w:line="360" w:lineRule="auto"/>
        <w:ind w:left="1080"/>
        <w:rPr>
          <w:highlight w:val="yellow"/>
        </w:rPr>
      </w:pPr>
    </w:p>
    <w:p w14:paraId="3A4F49E7" w14:textId="77777777" w:rsidR="00D86547" w:rsidRDefault="00D86547" w:rsidP="00745D89">
      <w:pPr>
        <w:pStyle w:val="Heading5"/>
      </w:pPr>
      <w:r>
        <w:br w:type="page"/>
      </w:r>
    </w:p>
    <w:p w14:paraId="4963092E" w14:textId="701648D2" w:rsidR="00745D89" w:rsidRPr="00BA3297" w:rsidRDefault="00745D89" w:rsidP="00745D89">
      <w:pPr>
        <w:pStyle w:val="Heading5"/>
      </w:pPr>
      <w:r>
        <w:lastRenderedPageBreak/>
        <w:t xml:space="preserve">Table A1: Top capital city </w:t>
      </w:r>
      <w:r w:rsidR="0064373F">
        <w:t>IVI vacancy</w:t>
      </w:r>
      <w:r>
        <w:t xml:space="preserve"> rat</w:t>
      </w:r>
      <w:r w:rsidR="000B456B">
        <w:t>io</w:t>
      </w:r>
      <w:r>
        <w:t>s (</w:t>
      </w:r>
      <w:r w:rsidR="00AA78A0">
        <w:rPr>
          <w:rFonts w:asciiTheme="minorHAnsi" w:hAnsiTheme="minorHAnsi" w:cstheme="minorHAnsi"/>
        </w:rPr>
        <w:t>IVI job</w:t>
      </w:r>
      <w:r w:rsidR="002A1C3A" w:rsidRPr="002E702C">
        <w:rPr>
          <w:rFonts w:asciiTheme="minorHAnsi" w:hAnsiTheme="minorHAnsi" w:cstheme="minorHAnsi"/>
        </w:rPr>
        <w:t xml:space="preserve"> ad</w:t>
      </w:r>
      <w:r w:rsidR="002A1C3A">
        <w:rPr>
          <w:rFonts w:asciiTheme="minorHAnsi" w:hAnsiTheme="minorHAnsi" w:cstheme="minorHAnsi"/>
        </w:rPr>
        <w:t>vertisement</w:t>
      </w:r>
      <w:r w:rsidR="002A1C3A" w:rsidRPr="002E702C">
        <w:rPr>
          <w:rFonts w:asciiTheme="minorHAnsi" w:hAnsiTheme="minorHAnsi" w:cstheme="minorHAnsi"/>
        </w:rPr>
        <w:t xml:space="preserve">s </w:t>
      </w:r>
      <w:r>
        <w:t xml:space="preserve">as a proportion of employment), for occupations in shortage on the 2022 SPL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6520"/>
        <w:gridCol w:w="1276"/>
      </w:tblGrid>
      <w:tr w:rsidR="00745D89" w14:paraId="7A2857A3" w14:textId="77777777" w:rsidTr="00176DD9">
        <w:trPr>
          <w:tblHeader/>
        </w:trPr>
        <w:tc>
          <w:tcPr>
            <w:tcW w:w="2547" w:type="dxa"/>
            <w:shd w:val="clear" w:color="auto" w:fill="441170" w:themeFill="text2"/>
          </w:tcPr>
          <w:p w14:paraId="7763FE87" w14:textId="77777777" w:rsidR="00745D89" w:rsidRPr="000B64FA" w:rsidRDefault="00745D89" w:rsidP="001D600D">
            <w:pPr>
              <w:spacing w:after="0" w:line="276"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Capital City</w:t>
            </w:r>
          </w:p>
        </w:tc>
        <w:tc>
          <w:tcPr>
            <w:tcW w:w="6520" w:type="dxa"/>
            <w:shd w:val="clear" w:color="auto" w:fill="441170" w:themeFill="text2"/>
            <w:tcMar>
              <w:top w:w="0" w:type="dxa"/>
              <w:left w:w="108" w:type="dxa"/>
              <w:bottom w:w="0" w:type="dxa"/>
              <w:right w:w="108" w:type="dxa"/>
            </w:tcMar>
            <w:hideMark/>
          </w:tcPr>
          <w:p w14:paraId="5228728F" w14:textId="77777777" w:rsidR="00745D89" w:rsidRPr="000B64FA" w:rsidRDefault="00745D89" w:rsidP="001D600D">
            <w:pPr>
              <w:spacing w:after="0" w:line="276" w:lineRule="auto"/>
              <w:rPr>
                <w:rFonts w:asciiTheme="minorHAnsi" w:hAnsiTheme="minorHAnsi" w:cstheme="minorHAnsi"/>
                <w:b/>
                <w:bCs/>
                <w:color w:val="FFFFFF" w:themeColor="background1"/>
              </w:rPr>
            </w:pPr>
            <w:r w:rsidRPr="000B64FA">
              <w:rPr>
                <w:rFonts w:asciiTheme="minorHAnsi" w:hAnsiTheme="minorHAnsi" w:cstheme="minorHAnsi"/>
                <w:b/>
                <w:bCs/>
                <w:color w:val="FFFFFF" w:themeColor="background1"/>
              </w:rPr>
              <w:t xml:space="preserve">Occupations </w:t>
            </w:r>
          </w:p>
        </w:tc>
        <w:tc>
          <w:tcPr>
            <w:tcW w:w="1276" w:type="dxa"/>
            <w:shd w:val="clear" w:color="auto" w:fill="441170" w:themeFill="text2"/>
            <w:tcMar>
              <w:top w:w="0" w:type="dxa"/>
              <w:left w:w="108" w:type="dxa"/>
              <w:bottom w:w="0" w:type="dxa"/>
              <w:right w:w="108" w:type="dxa"/>
            </w:tcMar>
            <w:hideMark/>
          </w:tcPr>
          <w:p w14:paraId="74BFB8FA" w14:textId="442FB252" w:rsidR="00745D89" w:rsidRPr="000B64FA" w:rsidRDefault="0064373F" w:rsidP="001D600D">
            <w:pPr>
              <w:spacing w:after="0" w:line="276" w:lineRule="auto"/>
              <w:rPr>
                <w:rFonts w:asciiTheme="minorHAnsi" w:hAnsiTheme="minorHAnsi" w:cstheme="minorHAnsi"/>
                <w:b/>
                <w:bCs/>
                <w:color w:val="FFFFFF" w:themeColor="background1"/>
              </w:rPr>
            </w:pPr>
            <w:r>
              <w:rPr>
                <w:rFonts w:asciiTheme="minorHAnsi" w:hAnsiTheme="minorHAnsi" w:cstheme="minorHAnsi"/>
                <w:b/>
                <w:bCs/>
                <w:color w:val="FFFFFF"/>
              </w:rPr>
              <w:t>IVI vacancy</w:t>
            </w:r>
            <w:r w:rsidR="00745D89">
              <w:rPr>
                <w:rFonts w:asciiTheme="minorHAnsi" w:hAnsiTheme="minorHAnsi" w:cstheme="minorHAnsi"/>
                <w:b/>
                <w:bCs/>
                <w:color w:val="FFFFFF"/>
              </w:rPr>
              <w:t xml:space="preserve"> </w:t>
            </w:r>
            <w:r w:rsidR="00502054">
              <w:rPr>
                <w:rFonts w:asciiTheme="minorHAnsi" w:hAnsiTheme="minorHAnsi" w:cstheme="minorHAnsi"/>
                <w:b/>
                <w:bCs/>
                <w:color w:val="FFFFFF"/>
              </w:rPr>
              <w:t>r</w:t>
            </w:r>
            <w:r w:rsidR="00745D89">
              <w:rPr>
                <w:rFonts w:asciiTheme="minorHAnsi" w:hAnsiTheme="minorHAnsi" w:cstheme="minorHAnsi"/>
                <w:b/>
                <w:bCs/>
                <w:color w:val="FFFFFF"/>
              </w:rPr>
              <w:t>atio</w:t>
            </w:r>
            <w:r w:rsidR="00745D89" w:rsidRPr="002E702C">
              <w:rPr>
                <w:rFonts w:asciiTheme="minorHAnsi" w:hAnsiTheme="minorHAnsi" w:cstheme="minorHAnsi"/>
                <w:b/>
                <w:bCs/>
                <w:color w:val="FFFFFF"/>
              </w:rPr>
              <w:t xml:space="preserve"> (%)</w:t>
            </w:r>
          </w:p>
        </w:tc>
      </w:tr>
      <w:tr w:rsidR="00745D89" w14:paraId="35A92C8A" w14:textId="77777777" w:rsidTr="00176DD9">
        <w:tc>
          <w:tcPr>
            <w:tcW w:w="2547" w:type="dxa"/>
            <w:vMerge w:val="restart"/>
            <w:vAlign w:val="bottom"/>
          </w:tcPr>
          <w:p w14:paraId="75F87733"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Sydney</w:t>
            </w:r>
          </w:p>
        </w:tc>
        <w:tc>
          <w:tcPr>
            <w:tcW w:w="6520" w:type="dxa"/>
            <w:tcMar>
              <w:top w:w="0" w:type="dxa"/>
              <w:left w:w="108" w:type="dxa"/>
              <w:bottom w:w="0" w:type="dxa"/>
              <w:right w:w="108" w:type="dxa"/>
            </w:tcMar>
            <w:vAlign w:val="bottom"/>
          </w:tcPr>
          <w:p w14:paraId="5801E32D"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Sheetmetal Trades Workers</w:t>
            </w:r>
          </w:p>
        </w:tc>
        <w:tc>
          <w:tcPr>
            <w:tcW w:w="1276" w:type="dxa"/>
            <w:tcMar>
              <w:top w:w="0" w:type="dxa"/>
              <w:left w:w="108" w:type="dxa"/>
              <w:bottom w:w="0" w:type="dxa"/>
              <w:right w:w="108" w:type="dxa"/>
            </w:tcMar>
            <w:vAlign w:val="bottom"/>
          </w:tcPr>
          <w:p w14:paraId="5B7514BB"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12.5</w:t>
            </w:r>
          </w:p>
        </w:tc>
      </w:tr>
      <w:tr w:rsidR="00745D89" w14:paraId="70119B84" w14:textId="77777777" w:rsidTr="00176DD9">
        <w:tc>
          <w:tcPr>
            <w:tcW w:w="2547" w:type="dxa"/>
            <w:vMerge/>
            <w:vAlign w:val="bottom"/>
          </w:tcPr>
          <w:p w14:paraId="361E8579" w14:textId="77777777" w:rsidR="00745D89" w:rsidRPr="000B64FA" w:rsidRDefault="00745D89"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4BF3368B"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Safety Inspectors</w:t>
            </w:r>
          </w:p>
        </w:tc>
        <w:tc>
          <w:tcPr>
            <w:tcW w:w="1276" w:type="dxa"/>
            <w:tcMar>
              <w:top w:w="0" w:type="dxa"/>
              <w:left w:w="108" w:type="dxa"/>
              <w:bottom w:w="0" w:type="dxa"/>
              <w:right w:w="108" w:type="dxa"/>
            </w:tcMar>
            <w:vAlign w:val="bottom"/>
          </w:tcPr>
          <w:p w14:paraId="4C804631"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8.2</w:t>
            </w:r>
          </w:p>
        </w:tc>
      </w:tr>
      <w:tr w:rsidR="00745D89" w14:paraId="5E2DA421" w14:textId="77777777" w:rsidTr="00176DD9">
        <w:tc>
          <w:tcPr>
            <w:tcW w:w="2547" w:type="dxa"/>
            <w:vMerge/>
            <w:vAlign w:val="bottom"/>
          </w:tcPr>
          <w:p w14:paraId="6E880F5C" w14:textId="77777777" w:rsidR="00745D89" w:rsidRPr="000B64FA" w:rsidRDefault="00745D89"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74C238BA"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5A071E98"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8.2</w:t>
            </w:r>
          </w:p>
        </w:tc>
      </w:tr>
      <w:tr w:rsidR="00745D89" w14:paraId="31FD061E" w14:textId="77777777" w:rsidTr="00176DD9">
        <w:tc>
          <w:tcPr>
            <w:tcW w:w="2547" w:type="dxa"/>
            <w:vMerge/>
            <w:vAlign w:val="bottom"/>
          </w:tcPr>
          <w:p w14:paraId="17FE69F2" w14:textId="77777777" w:rsidR="00745D89" w:rsidRPr="000B64FA" w:rsidRDefault="00745D89"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1633283B"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Cooks</w:t>
            </w:r>
          </w:p>
        </w:tc>
        <w:tc>
          <w:tcPr>
            <w:tcW w:w="1276" w:type="dxa"/>
            <w:tcMar>
              <w:top w:w="0" w:type="dxa"/>
              <w:left w:w="108" w:type="dxa"/>
              <w:bottom w:w="0" w:type="dxa"/>
              <w:right w:w="108" w:type="dxa"/>
            </w:tcMar>
            <w:vAlign w:val="bottom"/>
          </w:tcPr>
          <w:p w14:paraId="439B2591"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8.0</w:t>
            </w:r>
          </w:p>
        </w:tc>
      </w:tr>
      <w:tr w:rsidR="00745D89" w14:paraId="44A4A66A" w14:textId="77777777" w:rsidTr="00176DD9">
        <w:tc>
          <w:tcPr>
            <w:tcW w:w="2547" w:type="dxa"/>
            <w:vMerge/>
            <w:vAlign w:val="bottom"/>
          </w:tcPr>
          <w:p w14:paraId="52E06997" w14:textId="77777777" w:rsidR="00745D89" w:rsidRPr="000B64FA" w:rsidRDefault="00745D89"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063FA4A5"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Mining Engineers</w:t>
            </w:r>
          </w:p>
        </w:tc>
        <w:tc>
          <w:tcPr>
            <w:tcW w:w="1276" w:type="dxa"/>
            <w:tcMar>
              <w:top w:w="0" w:type="dxa"/>
              <w:left w:w="108" w:type="dxa"/>
              <w:bottom w:w="0" w:type="dxa"/>
              <w:right w:w="108" w:type="dxa"/>
            </w:tcMar>
            <w:vAlign w:val="bottom"/>
          </w:tcPr>
          <w:p w14:paraId="529BF8CD"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7.5</w:t>
            </w:r>
          </w:p>
        </w:tc>
      </w:tr>
      <w:tr w:rsidR="00745D89" w14:paraId="04A0AAB2" w14:textId="77777777" w:rsidTr="00176DD9">
        <w:tc>
          <w:tcPr>
            <w:tcW w:w="2547" w:type="dxa"/>
            <w:vMerge/>
            <w:vAlign w:val="bottom"/>
          </w:tcPr>
          <w:p w14:paraId="7B911775" w14:textId="77777777" w:rsidR="00745D89" w:rsidRPr="000B64FA" w:rsidRDefault="00745D89"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083DD360"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Other Miscellaneous Technicians and Trades Workers</w:t>
            </w:r>
          </w:p>
        </w:tc>
        <w:tc>
          <w:tcPr>
            <w:tcW w:w="1276" w:type="dxa"/>
            <w:tcMar>
              <w:top w:w="0" w:type="dxa"/>
              <w:left w:w="108" w:type="dxa"/>
              <w:bottom w:w="0" w:type="dxa"/>
              <w:right w:w="108" w:type="dxa"/>
            </w:tcMar>
            <w:vAlign w:val="bottom"/>
          </w:tcPr>
          <w:p w14:paraId="46E2C4B2"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7.1</w:t>
            </w:r>
          </w:p>
        </w:tc>
      </w:tr>
      <w:tr w:rsidR="00745D89" w14:paraId="44A4F628" w14:textId="77777777" w:rsidTr="00176DD9">
        <w:tc>
          <w:tcPr>
            <w:tcW w:w="2547" w:type="dxa"/>
            <w:vMerge/>
            <w:vAlign w:val="bottom"/>
          </w:tcPr>
          <w:p w14:paraId="22C133D3" w14:textId="77777777" w:rsidR="00745D89" w:rsidRPr="000B64FA" w:rsidRDefault="00745D89"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68EDF23A"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Industrial Spraypainters</w:t>
            </w:r>
          </w:p>
        </w:tc>
        <w:tc>
          <w:tcPr>
            <w:tcW w:w="1276" w:type="dxa"/>
            <w:tcMar>
              <w:top w:w="0" w:type="dxa"/>
              <w:left w:w="108" w:type="dxa"/>
              <w:bottom w:w="0" w:type="dxa"/>
              <w:right w:w="108" w:type="dxa"/>
            </w:tcMar>
            <w:vAlign w:val="bottom"/>
          </w:tcPr>
          <w:p w14:paraId="0B728D57"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6.8</w:t>
            </w:r>
          </w:p>
        </w:tc>
      </w:tr>
      <w:tr w:rsidR="00745D89" w14:paraId="55C48049" w14:textId="77777777" w:rsidTr="00176DD9">
        <w:tc>
          <w:tcPr>
            <w:tcW w:w="2547" w:type="dxa"/>
            <w:vMerge/>
            <w:vAlign w:val="bottom"/>
          </w:tcPr>
          <w:p w14:paraId="0784352D" w14:textId="77777777" w:rsidR="00745D89" w:rsidRPr="000B64FA" w:rsidRDefault="00745D89"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75F8AE40"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Audiologists and Speech Pathologists \ Therapists</w:t>
            </w:r>
          </w:p>
        </w:tc>
        <w:tc>
          <w:tcPr>
            <w:tcW w:w="1276" w:type="dxa"/>
            <w:tcMar>
              <w:top w:w="0" w:type="dxa"/>
              <w:left w:w="108" w:type="dxa"/>
              <w:bottom w:w="0" w:type="dxa"/>
              <w:right w:w="108" w:type="dxa"/>
            </w:tcMar>
            <w:vAlign w:val="bottom"/>
          </w:tcPr>
          <w:p w14:paraId="6041C236"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6.7</w:t>
            </w:r>
          </w:p>
        </w:tc>
      </w:tr>
      <w:tr w:rsidR="00745D89" w14:paraId="00B8DCAC" w14:textId="77777777" w:rsidTr="00176DD9">
        <w:tc>
          <w:tcPr>
            <w:tcW w:w="2547" w:type="dxa"/>
            <w:vMerge/>
            <w:vAlign w:val="bottom"/>
          </w:tcPr>
          <w:p w14:paraId="6E7A5538" w14:textId="77777777" w:rsidR="00745D89" w:rsidRPr="000B64FA" w:rsidRDefault="00745D89"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66244A57"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Automotive Electricians</w:t>
            </w:r>
          </w:p>
        </w:tc>
        <w:tc>
          <w:tcPr>
            <w:tcW w:w="1276" w:type="dxa"/>
            <w:tcMar>
              <w:top w:w="0" w:type="dxa"/>
              <w:left w:w="108" w:type="dxa"/>
              <w:bottom w:w="0" w:type="dxa"/>
              <w:right w:w="108" w:type="dxa"/>
            </w:tcMar>
            <w:vAlign w:val="bottom"/>
          </w:tcPr>
          <w:p w14:paraId="1944D555"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6.5</w:t>
            </w:r>
          </w:p>
        </w:tc>
      </w:tr>
      <w:tr w:rsidR="00745D89" w14:paraId="5EE9ABEC" w14:textId="77777777" w:rsidTr="00176DD9">
        <w:tc>
          <w:tcPr>
            <w:tcW w:w="2547" w:type="dxa"/>
            <w:vMerge/>
            <w:vAlign w:val="bottom"/>
          </w:tcPr>
          <w:p w14:paraId="4EF66E34" w14:textId="77777777" w:rsidR="00745D89" w:rsidRPr="000B64FA" w:rsidRDefault="00745D89"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5EEE91D0"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Insurance Agents</w:t>
            </w:r>
          </w:p>
        </w:tc>
        <w:tc>
          <w:tcPr>
            <w:tcW w:w="1276" w:type="dxa"/>
            <w:tcMar>
              <w:top w:w="0" w:type="dxa"/>
              <w:left w:w="108" w:type="dxa"/>
              <w:bottom w:w="0" w:type="dxa"/>
              <w:right w:w="108" w:type="dxa"/>
            </w:tcMar>
            <w:vAlign w:val="bottom"/>
          </w:tcPr>
          <w:p w14:paraId="015CC477"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6.2</w:t>
            </w:r>
          </w:p>
        </w:tc>
      </w:tr>
      <w:tr w:rsidR="00745D89" w14:paraId="2C8D0816" w14:textId="77777777" w:rsidTr="00176DD9">
        <w:tc>
          <w:tcPr>
            <w:tcW w:w="2547" w:type="dxa"/>
            <w:vMerge/>
            <w:vAlign w:val="bottom"/>
          </w:tcPr>
          <w:p w14:paraId="45755A65" w14:textId="77777777" w:rsidR="00745D89" w:rsidRPr="000B64FA" w:rsidRDefault="00745D89"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4219BBF1"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Enrolled and Mothercraft Nurses</w:t>
            </w:r>
          </w:p>
        </w:tc>
        <w:tc>
          <w:tcPr>
            <w:tcW w:w="1276" w:type="dxa"/>
            <w:tcMar>
              <w:top w:w="0" w:type="dxa"/>
              <w:left w:w="108" w:type="dxa"/>
              <w:bottom w:w="0" w:type="dxa"/>
              <w:right w:w="108" w:type="dxa"/>
            </w:tcMar>
            <w:vAlign w:val="bottom"/>
          </w:tcPr>
          <w:p w14:paraId="704BF1ED"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5.4</w:t>
            </w:r>
          </w:p>
        </w:tc>
      </w:tr>
      <w:tr w:rsidR="00745D89" w14:paraId="1A4DEF2D" w14:textId="77777777" w:rsidTr="00176DD9">
        <w:tc>
          <w:tcPr>
            <w:tcW w:w="2547" w:type="dxa"/>
            <w:vMerge/>
            <w:vAlign w:val="bottom"/>
          </w:tcPr>
          <w:p w14:paraId="397BF88D" w14:textId="77777777" w:rsidR="00745D89" w:rsidRPr="000B64FA" w:rsidRDefault="00745D89"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63FB1AC7"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Crane, Hoist and Lift Operators</w:t>
            </w:r>
          </w:p>
        </w:tc>
        <w:tc>
          <w:tcPr>
            <w:tcW w:w="1276" w:type="dxa"/>
            <w:tcMar>
              <w:top w:w="0" w:type="dxa"/>
              <w:left w:w="108" w:type="dxa"/>
              <w:bottom w:w="0" w:type="dxa"/>
              <w:right w:w="108" w:type="dxa"/>
            </w:tcMar>
            <w:vAlign w:val="bottom"/>
          </w:tcPr>
          <w:p w14:paraId="333F312A"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5.3</w:t>
            </w:r>
          </w:p>
        </w:tc>
      </w:tr>
      <w:tr w:rsidR="00852FA5" w:rsidRPr="000B64FA" w14:paraId="57FEA3C2" w14:textId="77777777" w:rsidTr="00176DD9">
        <w:tc>
          <w:tcPr>
            <w:tcW w:w="2547" w:type="dxa"/>
            <w:vMerge w:val="restart"/>
            <w:vAlign w:val="bottom"/>
          </w:tcPr>
          <w:p w14:paraId="199AEC87" w14:textId="77777777" w:rsidR="00852FA5" w:rsidRPr="000B64FA" w:rsidRDefault="00852FA5"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Melbourne</w:t>
            </w:r>
          </w:p>
        </w:tc>
        <w:tc>
          <w:tcPr>
            <w:tcW w:w="6520" w:type="dxa"/>
            <w:tcMar>
              <w:top w:w="0" w:type="dxa"/>
              <w:left w:w="108" w:type="dxa"/>
              <w:bottom w:w="0" w:type="dxa"/>
              <w:right w:w="108" w:type="dxa"/>
            </w:tcMar>
            <w:vAlign w:val="bottom"/>
          </w:tcPr>
          <w:p w14:paraId="6770B47B"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Sheetmetal Trades Workers</w:t>
            </w:r>
          </w:p>
        </w:tc>
        <w:tc>
          <w:tcPr>
            <w:tcW w:w="1276" w:type="dxa"/>
            <w:tcMar>
              <w:top w:w="0" w:type="dxa"/>
              <w:left w:w="108" w:type="dxa"/>
              <w:bottom w:w="0" w:type="dxa"/>
              <w:right w:w="108" w:type="dxa"/>
            </w:tcMar>
            <w:vAlign w:val="bottom"/>
          </w:tcPr>
          <w:p w14:paraId="69C8D0C9"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9.3</w:t>
            </w:r>
          </w:p>
        </w:tc>
      </w:tr>
      <w:tr w:rsidR="00852FA5" w:rsidRPr="000B64FA" w14:paraId="554093C7" w14:textId="77777777" w:rsidTr="00176DD9">
        <w:tc>
          <w:tcPr>
            <w:tcW w:w="2547" w:type="dxa"/>
            <w:vMerge/>
            <w:vAlign w:val="bottom"/>
          </w:tcPr>
          <w:p w14:paraId="5EDD232A"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649AEC5B"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Cooks</w:t>
            </w:r>
          </w:p>
        </w:tc>
        <w:tc>
          <w:tcPr>
            <w:tcW w:w="1276" w:type="dxa"/>
            <w:tcMar>
              <w:top w:w="0" w:type="dxa"/>
              <w:left w:w="108" w:type="dxa"/>
              <w:bottom w:w="0" w:type="dxa"/>
              <w:right w:w="108" w:type="dxa"/>
            </w:tcMar>
            <w:vAlign w:val="bottom"/>
          </w:tcPr>
          <w:p w14:paraId="266A40B1"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9.0</w:t>
            </w:r>
          </w:p>
        </w:tc>
      </w:tr>
      <w:tr w:rsidR="00852FA5" w:rsidRPr="000B64FA" w14:paraId="6B5AB834" w14:textId="77777777" w:rsidTr="00176DD9">
        <w:tc>
          <w:tcPr>
            <w:tcW w:w="2547" w:type="dxa"/>
            <w:vMerge/>
            <w:vAlign w:val="bottom"/>
          </w:tcPr>
          <w:p w14:paraId="29720C17"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17469D2F"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Automotive Electricians</w:t>
            </w:r>
          </w:p>
        </w:tc>
        <w:tc>
          <w:tcPr>
            <w:tcW w:w="1276" w:type="dxa"/>
            <w:tcMar>
              <w:top w:w="0" w:type="dxa"/>
              <w:left w:w="108" w:type="dxa"/>
              <w:bottom w:w="0" w:type="dxa"/>
              <w:right w:w="108" w:type="dxa"/>
            </w:tcMar>
            <w:vAlign w:val="bottom"/>
          </w:tcPr>
          <w:p w14:paraId="0B08CADA"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8.2</w:t>
            </w:r>
          </w:p>
        </w:tc>
      </w:tr>
      <w:tr w:rsidR="00852FA5" w:rsidRPr="000B64FA" w14:paraId="55B82850" w14:textId="77777777" w:rsidTr="00176DD9">
        <w:tc>
          <w:tcPr>
            <w:tcW w:w="2547" w:type="dxa"/>
            <w:vMerge/>
            <w:vAlign w:val="bottom"/>
          </w:tcPr>
          <w:p w14:paraId="125986C6"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0F94125B"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Enrolled and Mothercraft Nurses</w:t>
            </w:r>
          </w:p>
        </w:tc>
        <w:tc>
          <w:tcPr>
            <w:tcW w:w="1276" w:type="dxa"/>
            <w:tcMar>
              <w:top w:w="0" w:type="dxa"/>
              <w:left w:w="108" w:type="dxa"/>
              <w:bottom w:w="0" w:type="dxa"/>
              <w:right w:w="108" w:type="dxa"/>
            </w:tcMar>
            <w:vAlign w:val="bottom"/>
          </w:tcPr>
          <w:p w14:paraId="3E90D7EB"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7.3</w:t>
            </w:r>
          </w:p>
        </w:tc>
      </w:tr>
      <w:tr w:rsidR="00852FA5" w:rsidRPr="000B64FA" w14:paraId="0E8E6199" w14:textId="77777777" w:rsidTr="00176DD9">
        <w:tc>
          <w:tcPr>
            <w:tcW w:w="2547" w:type="dxa"/>
            <w:vMerge/>
            <w:vAlign w:val="bottom"/>
          </w:tcPr>
          <w:p w14:paraId="14EF6C04"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400F9EF5"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Audiologists and Speech Pathologists \ Therapists</w:t>
            </w:r>
          </w:p>
        </w:tc>
        <w:tc>
          <w:tcPr>
            <w:tcW w:w="1276" w:type="dxa"/>
            <w:tcMar>
              <w:top w:w="0" w:type="dxa"/>
              <w:left w:w="108" w:type="dxa"/>
              <w:bottom w:w="0" w:type="dxa"/>
              <w:right w:w="108" w:type="dxa"/>
            </w:tcMar>
            <w:vAlign w:val="bottom"/>
          </w:tcPr>
          <w:p w14:paraId="3251FE1D"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7.0</w:t>
            </w:r>
          </w:p>
        </w:tc>
      </w:tr>
      <w:tr w:rsidR="00852FA5" w:rsidRPr="000B64FA" w14:paraId="321374E6" w14:textId="77777777" w:rsidTr="00176DD9">
        <w:tc>
          <w:tcPr>
            <w:tcW w:w="2547" w:type="dxa"/>
            <w:vMerge/>
            <w:vAlign w:val="bottom"/>
          </w:tcPr>
          <w:p w14:paraId="0742F3DE"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2E92317D"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Mining Engineers</w:t>
            </w:r>
          </w:p>
        </w:tc>
        <w:tc>
          <w:tcPr>
            <w:tcW w:w="1276" w:type="dxa"/>
            <w:tcMar>
              <w:top w:w="0" w:type="dxa"/>
              <w:left w:w="108" w:type="dxa"/>
              <w:bottom w:w="0" w:type="dxa"/>
              <w:right w:w="108" w:type="dxa"/>
            </w:tcMar>
            <w:vAlign w:val="bottom"/>
          </w:tcPr>
          <w:p w14:paraId="398157D6"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6.8</w:t>
            </w:r>
          </w:p>
        </w:tc>
      </w:tr>
      <w:tr w:rsidR="00852FA5" w:rsidRPr="000B64FA" w14:paraId="56449642" w14:textId="77777777" w:rsidTr="00176DD9">
        <w:tc>
          <w:tcPr>
            <w:tcW w:w="2547" w:type="dxa"/>
            <w:vMerge/>
            <w:vAlign w:val="bottom"/>
          </w:tcPr>
          <w:p w14:paraId="2F787253"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3AC69AAB"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Insurance Agents</w:t>
            </w:r>
          </w:p>
        </w:tc>
        <w:tc>
          <w:tcPr>
            <w:tcW w:w="1276" w:type="dxa"/>
            <w:tcMar>
              <w:top w:w="0" w:type="dxa"/>
              <w:left w:w="108" w:type="dxa"/>
              <w:bottom w:w="0" w:type="dxa"/>
              <w:right w:w="108" w:type="dxa"/>
            </w:tcMar>
            <w:vAlign w:val="bottom"/>
          </w:tcPr>
          <w:p w14:paraId="702854A8"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6.3</w:t>
            </w:r>
          </w:p>
        </w:tc>
      </w:tr>
      <w:tr w:rsidR="00852FA5" w:rsidRPr="000B64FA" w14:paraId="4855980C" w14:textId="77777777" w:rsidTr="00176DD9">
        <w:tc>
          <w:tcPr>
            <w:tcW w:w="2547" w:type="dxa"/>
            <w:vMerge/>
            <w:vAlign w:val="bottom"/>
          </w:tcPr>
          <w:p w14:paraId="20454B1A"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1D5EF838"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Other Miscellaneous Technicians and Trades Workers</w:t>
            </w:r>
          </w:p>
        </w:tc>
        <w:tc>
          <w:tcPr>
            <w:tcW w:w="1276" w:type="dxa"/>
            <w:tcMar>
              <w:top w:w="0" w:type="dxa"/>
              <w:left w:w="108" w:type="dxa"/>
              <w:bottom w:w="0" w:type="dxa"/>
              <w:right w:w="108" w:type="dxa"/>
            </w:tcMar>
            <w:vAlign w:val="bottom"/>
          </w:tcPr>
          <w:p w14:paraId="5F6532AA"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6.3</w:t>
            </w:r>
          </w:p>
        </w:tc>
      </w:tr>
      <w:tr w:rsidR="00852FA5" w:rsidRPr="000B64FA" w14:paraId="0F1160F1" w14:textId="77777777" w:rsidTr="00176DD9">
        <w:tc>
          <w:tcPr>
            <w:tcW w:w="2547" w:type="dxa"/>
            <w:vMerge/>
            <w:vAlign w:val="bottom"/>
          </w:tcPr>
          <w:p w14:paraId="16B6DA9B"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7FED2267" w14:textId="77777777" w:rsidR="00852FA5" w:rsidRPr="000B64FA" w:rsidRDefault="00852FA5"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474DCF2A" w14:textId="77777777" w:rsidR="00852FA5" w:rsidRPr="000B64FA" w:rsidRDefault="00852FA5"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6.0</w:t>
            </w:r>
          </w:p>
        </w:tc>
      </w:tr>
      <w:tr w:rsidR="00852FA5" w:rsidRPr="000B64FA" w14:paraId="5DB28FA6" w14:textId="77777777" w:rsidTr="00176DD9">
        <w:tc>
          <w:tcPr>
            <w:tcW w:w="2547" w:type="dxa"/>
            <w:vMerge/>
            <w:vAlign w:val="bottom"/>
          </w:tcPr>
          <w:p w14:paraId="28C0B97F"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0498FC9B" w14:textId="77777777" w:rsidR="00852FA5" w:rsidRPr="000B64FA" w:rsidRDefault="00852FA5"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Podiatrists</w:t>
            </w:r>
          </w:p>
        </w:tc>
        <w:tc>
          <w:tcPr>
            <w:tcW w:w="1276" w:type="dxa"/>
            <w:tcMar>
              <w:top w:w="0" w:type="dxa"/>
              <w:left w:w="108" w:type="dxa"/>
              <w:bottom w:w="0" w:type="dxa"/>
              <w:right w:w="108" w:type="dxa"/>
            </w:tcMar>
            <w:vAlign w:val="bottom"/>
          </w:tcPr>
          <w:p w14:paraId="7C1F7403" w14:textId="77777777" w:rsidR="00852FA5" w:rsidRPr="000B64FA" w:rsidRDefault="00852FA5"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5.3</w:t>
            </w:r>
          </w:p>
        </w:tc>
      </w:tr>
      <w:tr w:rsidR="00852FA5" w:rsidRPr="000B64FA" w14:paraId="7017807E" w14:textId="77777777" w:rsidTr="00176DD9">
        <w:tc>
          <w:tcPr>
            <w:tcW w:w="2547" w:type="dxa"/>
            <w:vMerge/>
            <w:vAlign w:val="bottom"/>
          </w:tcPr>
          <w:p w14:paraId="263DB730"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28A964C9" w14:textId="77777777" w:rsidR="00852FA5" w:rsidRPr="000B64FA" w:rsidRDefault="00852FA5"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Credit and Loans Officers</w:t>
            </w:r>
          </w:p>
        </w:tc>
        <w:tc>
          <w:tcPr>
            <w:tcW w:w="1276" w:type="dxa"/>
            <w:tcMar>
              <w:top w:w="0" w:type="dxa"/>
              <w:left w:w="108" w:type="dxa"/>
              <w:bottom w:w="0" w:type="dxa"/>
              <w:right w:w="108" w:type="dxa"/>
            </w:tcMar>
            <w:vAlign w:val="bottom"/>
          </w:tcPr>
          <w:p w14:paraId="058C3D47" w14:textId="77777777" w:rsidR="00852FA5" w:rsidRPr="000B64FA" w:rsidRDefault="00852FA5"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5.1</w:t>
            </w:r>
          </w:p>
        </w:tc>
      </w:tr>
      <w:tr w:rsidR="00852FA5" w:rsidRPr="000B64FA" w14:paraId="4C8913E9" w14:textId="77777777" w:rsidTr="00176DD9">
        <w:tc>
          <w:tcPr>
            <w:tcW w:w="2547" w:type="dxa"/>
            <w:vMerge w:val="restart"/>
            <w:vAlign w:val="bottom"/>
          </w:tcPr>
          <w:p w14:paraId="0EE7149E" w14:textId="16068C51" w:rsidR="00852FA5" w:rsidRPr="000B64FA" w:rsidRDefault="00852FA5" w:rsidP="001D600D">
            <w:pPr>
              <w:spacing w:after="0" w:line="276" w:lineRule="auto"/>
              <w:rPr>
                <w:rFonts w:asciiTheme="minorHAnsi" w:hAnsiTheme="minorHAnsi" w:cstheme="minorHAnsi"/>
                <w:color w:val="000000"/>
              </w:rPr>
            </w:pPr>
            <w:r>
              <w:t xml:space="preserve"> </w:t>
            </w:r>
            <w:r w:rsidRPr="000B64FA">
              <w:rPr>
                <w:rFonts w:asciiTheme="minorHAnsi" w:hAnsiTheme="minorHAnsi" w:cstheme="minorHAnsi"/>
                <w:color w:val="000000"/>
              </w:rPr>
              <w:t>Brisbane</w:t>
            </w:r>
          </w:p>
        </w:tc>
        <w:tc>
          <w:tcPr>
            <w:tcW w:w="6520" w:type="dxa"/>
            <w:tcMar>
              <w:top w:w="0" w:type="dxa"/>
              <w:left w:w="108" w:type="dxa"/>
              <w:bottom w:w="0" w:type="dxa"/>
              <w:right w:w="108" w:type="dxa"/>
            </w:tcMar>
            <w:vAlign w:val="bottom"/>
          </w:tcPr>
          <w:p w14:paraId="520EB06A"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Insurance Agents</w:t>
            </w:r>
          </w:p>
        </w:tc>
        <w:tc>
          <w:tcPr>
            <w:tcW w:w="1276" w:type="dxa"/>
            <w:tcMar>
              <w:top w:w="0" w:type="dxa"/>
              <w:left w:w="108" w:type="dxa"/>
              <w:bottom w:w="0" w:type="dxa"/>
              <w:right w:w="108" w:type="dxa"/>
            </w:tcMar>
            <w:vAlign w:val="bottom"/>
          </w:tcPr>
          <w:p w14:paraId="1892A322"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10.1</w:t>
            </w:r>
          </w:p>
        </w:tc>
      </w:tr>
      <w:tr w:rsidR="00852FA5" w:rsidRPr="000B64FA" w14:paraId="4812B9E8" w14:textId="77777777" w:rsidTr="00176DD9">
        <w:tc>
          <w:tcPr>
            <w:tcW w:w="2547" w:type="dxa"/>
            <w:vMerge/>
            <w:vAlign w:val="bottom"/>
          </w:tcPr>
          <w:p w14:paraId="41CDB334"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0B609867"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Mining Engineers</w:t>
            </w:r>
          </w:p>
        </w:tc>
        <w:tc>
          <w:tcPr>
            <w:tcW w:w="1276" w:type="dxa"/>
            <w:tcMar>
              <w:top w:w="0" w:type="dxa"/>
              <w:left w:w="108" w:type="dxa"/>
              <w:bottom w:w="0" w:type="dxa"/>
              <w:right w:w="108" w:type="dxa"/>
            </w:tcMar>
            <w:vAlign w:val="bottom"/>
          </w:tcPr>
          <w:p w14:paraId="13C357F9"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8.7</w:t>
            </w:r>
          </w:p>
        </w:tc>
      </w:tr>
      <w:tr w:rsidR="00852FA5" w:rsidRPr="000B64FA" w14:paraId="050915A9" w14:textId="77777777" w:rsidTr="00176DD9">
        <w:tc>
          <w:tcPr>
            <w:tcW w:w="2547" w:type="dxa"/>
            <w:vMerge/>
            <w:vAlign w:val="bottom"/>
          </w:tcPr>
          <w:p w14:paraId="1172D9F1"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7E1FB229"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Automotive Electricians</w:t>
            </w:r>
          </w:p>
        </w:tc>
        <w:tc>
          <w:tcPr>
            <w:tcW w:w="1276" w:type="dxa"/>
            <w:tcMar>
              <w:top w:w="0" w:type="dxa"/>
              <w:left w:w="108" w:type="dxa"/>
              <w:bottom w:w="0" w:type="dxa"/>
              <w:right w:w="108" w:type="dxa"/>
            </w:tcMar>
            <w:vAlign w:val="bottom"/>
          </w:tcPr>
          <w:p w14:paraId="2102D744"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7.8</w:t>
            </w:r>
          </w:p>
        </w:tc>
      </w:tr>
      <w:tr w:rsidR="00852FA5" w:rsidRPr="000B64FA" w14:paraId="6C9487F3" w14:textId="77777777" w:rsidTr="00176DD9">
        <w:tc>
          <w:tcPr>
            <w:tcW w:w="2547" w:type="dxa"/>
            <w:vMerge/>
            <w:vAlign w:val="bottom"/>
          </w:tcPr>
          <w:p w14:paraId="4890B296"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721FF530"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4F0E2454"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7.3</w:t>
            </w:r>
          </w:p>
        </w:tc>
      </w:tr>
      <w:tr w:rsidR="00852FA5" w:rsidRPr="000B64FA" w14:paraId="626A2FA2" w14:textId="77777777" w:rsidTr="00176DD9">
        <w:tc>
          <w:tcPr>
            <w:tcW w:w="2547" w:type="dxa"/>
            <w:vMerge/>
            <w:vAlign w:val="bottom"/>
          </w:tcPr>
          <w:p w14:paraId="19306287"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70408239"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ICT Business and Systems Analysts</w:t>
            </w:r>
          </w:p>
        </w:tc>
        <w:tc>
          <w:tcPr>
            <w:tcW w:w="1276" w:type="dxa"/>
            <w:tcMar>
              <w:top w:w="0" w:type="dxa"/>
              <w:left w:w="108" w:type="dxa"/>
              <w:bottom w:w="0" w:type="dxa"/>
              <w:right w:w="108" w:type="dxa"/>
            </w:tcMar>
            <w:vAlign w:val="bottom"/>
          </w:tcPr>
          <w:p w14:paraId="75D0B2D9"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6.7</w:t>
            </w:r>
          </w:p>
        </w:tc>
      </w:tr>
      <w:tr w:rsidR="00852FA5" w:rsidRPr="000B64FA" w14:paraId="27E45F34" w14:textId="77777777" w:rsidTr="00176DD9">
        <w:tc>
          <w:tcPr>
            <w:tcW w:w="2547" w:type="dxa"/>
            <w:vMerge/>
            <w:vAlign w:val="bottom"/>
          </w:tcPr>
          <w:p w14:paraId="1EB23CFC"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36DA4EF0" w14:textId="77777777" w:rsidR="00852FA5" w:rsidRPr="000B64FA" w:rsidRDefault="00852FA5"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Other Miscellaneous Technicians and Trades Workers</w:t>
            </w:r>
          </w:p>
        </w:tc>
        <w:tc>
          <w:tcPr>
            <w:tcW w:w="1276" w:type="dxa"/>
            <w:tcMar>
              <w:top w:w="0" w:type="dxa"/>
              <w:left w:w="108" w:type="dxa"/>
              <w:bottom w:w="0" w:type="dxa"/>
              <w:right w:w="108" w:type="dxa"/>
            </w:tcMar>
            <w:vAlign w:val="bottom"/>
          </w:tcPr>
          <w:p w14:paraId="70131A49" w14:textId="77777777" w:rsidR="00852FA5" w:rsidRPr="000B64FA" w:rsidRDefault="00852FA5"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6.6</w:t>
            </w:r>
          </w:p>
        </w:tc>
      </w:tr>
      <w:tr w:rsidR="00852FA5" w:rsidRPr="000B64FA" w14:paraId="699F8C21" w14:textId="77777777" w:rsidTr="00176DD9">
        <w:tc>
          <w:tcPr>
            <w:tcW w:w="2547" w:type="dxa"/>
            <w:vMerge/>
            <w:vAlign w:val="bottom"/>
          </w:tcPr>
          <w:p w14:paraId="7F250AF4"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4B223444"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Sheetmetal Trades Workers</w:t>
            </w:r>
          </w:p>
        </w:tc>
        <w:tc>
          <w:tcPr>
            <w:tcW w:w="1276" w:type="dxa"/>
            <w:tcMar>
              <w:top w:w="0" w:type="dxa"/>
              <w:left w:w="108" w:type="dxa"/>
              <w:bottom w:w="0" w:type="dxa"/>
              <w:right w:w="108" w:type="dxa"/>
            </w:tcMar>
            <w:vAlign w:val="bottom"/>
          </w:tcPr>
          <w:p w14:paraId="7A3BF7D4"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6.6</w:t>
            </w:r>
          </w:p>
        </w:tc>
      </w:tr>
      <w:tr w:rsidR="00852FA5" w:rsidRPr="000B64FA" w14:paraId="0FA0E87F" w14:textId="77777777" w:rsidTr="00176DD9">
        <w:tc>
          <w:tcPr>
            <w:tcW w:w="2547" w:type="dxa"/>
            <w:vMerge/>
            <w:vAlign w:val="bottom"/>
          </w:tcPr>
          <w:p w14:paraId="28CFC19B"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45431533"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Early Childhood (Pre-primary School) Teachers</w:t>
            </w:r>
          </w:p>
        </w:tc>
        <w:tc>
          <w:tcPr>
            <w:tcW w:w="1276" w:type="dxa"/>
            <w:tcMar>
              <w:top w:w="0" w:type="dxa"/>
              <w:left w:w="108" w:type="dxa"/>
              <w:bottom w:w="0" w:type="dxa"/>
              <w:right w:w="108" w:type="dxa"/>
            </w:tcMar>
            <w:vAlign w:val="bottom"/>
          </w:tcPr>
          <w:p w14:paraId="399120B7"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6.3</w:t>
            </w:r>
          </w:p>
        </w:tc>
      </w:tr>
      <w:tr w:rsidR="00852FA5" w:rsidRPr="000B64FA" w14:paraId="02D3BB59" w14:textId="77777777" w:rsidTr="00176DD9">
        <w:tc>
          <w:tcPr>
            <w:tcW w:w="2547" w:type="dxa"/>
            <w:vMerge/>
            <w:vAlign w:val="bottom"/>
          </w:tcPr>
          <w:p w14:paraId="2B0405B6"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545BEC16"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Hotel and Motel Managers</w:t>
            </w:r>
          </w:p>
        </w:tc>
        <w:tc>
          <w:tcPr>
            <w:tcW w:w="1276" w:type="dxa"/>
            <w:tcMar>
              <w:top w:w="0" w:type="dxa"/>
              <w:left w:w="108" w:type="dxa"/>
              <w:bottom w:w="0" w:type="dxa"/>
              <w:right w:w="108" w:type="dxa"/>
            </w:tcMar>
            <w:vAlign w:val="bottom"/>
          </w:tcPr>
          <w:p w14:paraId="657CE114"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6.1</w:t>
            </w:r>
          </w:p>
        </w:tc>
      </w:tr>
      <w:tr w:rsidR="00852FA5" w:rsidRPr="000B64FA" w14:paraId="4B0B4E6E" w14:textId="77777777" w:rsidTr="00176DD9">
        <w:tc>
          <w:tcPr>
            <w:tcW w:w="2547" w:type="dxa"/>
            <w:vMerge/>
            <w:vAlign w:val="bottom"/>
          </w:tcPr>
          <w:p w14:paraId="0FC6FB35"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5F9FEABC"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Mechanical Engineering Draftspersons and Technicians</w:t>
            </w:r>
          </w:p>
        </w:tc>
        <w:tc>
          <w:tcPr>
            <w:tcW w:w="1276" w:type="dxa"/>
            <w:tcMar>
              <w:top w:w="0" w:type="dxa"/>
              <w:left w:w="108" w:type="dxa"/>
              <w:bottom w:w="0" w:type="dxa"/>
              <w:right w:w="108" w:type="dxa"/>
            </w:tcMar>
            <w:vAlign w:val="bottom"/>
          </w:tcPr>
          <w:p w14:paraId="14FD0DE9"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5.8</w:t>
            </w:r>
          </w:p>
        </w:tc>
      </w:tr>
      <w:tr w:rsidR="00852FA5" w:rsidRPr="000B64FA" w14:paraId="4F225134" w14:textId="77777777" w:rsidTr="00176DD9">
        <w:tc>
          <w:tcPr>
            <w:tcW w:w="2547" w:type="dxa"/>
            <w:vMerge/>
            <w:vAlign w:val="bottom"/>
          </w:tcPr>
          <w:p w14:paraId="0BCCA0F0"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4446DBE6"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Podiatrists</w:t>
            </w:r>
          </w:p>
        </w:tc>
        <w:tc>
          <w:tcPr>
            <w:tcW w:w="1276" w:type="dxa"/>
            <w:tcMar>
              <w:top w:w="0" w:type="dxa"/>
              <w:left w:w="108" w:type="dxa"/>
              <w:bottom w:w="0" w:type="dxa"/>
              <w:right w:w="108" w:type="dxa"/>
            </w:tcMar>
            <w:vAlign w:val="bottom"/>
          </w:tcPr>
          <w:p w14:paraId="6D6ECFAF"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5.7</w:t>
            </w:r>
          </w:p>
        </w:tc>
      </w:tr>
      <w:tr w:rsidR="00852FA5" w:rsidRPr="000B64FA" w14:paraId="35AFA651" w14:textId="77777777" w:rsidTr="00176DD9">
        <w:tc>
          <w:tcPr>
            <w:tcW w:w="2547" w:type="dxa"/>
            <w:vMerge/>
            <w:vAlign w:val="bottom"/>
          </w:tcPr>
          <w:p w14:paraId="72920FA1"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686E8839" w14:textId="77777777" w:rsidR="00852FA5" w:rsidRPr="000B64FA" w:rsidRDefault="00852FA5"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Audiologists and Speech Pathologists \ Therapists</w:t>
            </w:r>
          </w:p>
        </w:tc>
        <w:tc>
          <w:tcPr>
            <w:tcW w:w="1276" w:type="dxa"/>
            <w:tcMar>
              <w:top w:w="0" w:type="dxa"/>
              <w:left w:w="108" w:type="dxa"/>
              <w:bottom w:w="0" w:type="dxa"/>
              <w:right w:w="108" w:type="dxa"/>
            </w:tcMar>
            <w:vAlign w:val="bottom"/>
          </w:tcPr>
          <w:p w14:paraId="736CF2E8" w14:textId="77777777" w:rsidR="00852FA5" w:rsidRPr="000B64FA" w:rsidRDefault="00852FA5"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5.7</w:t>
            </w:r>
          </w:p>
        </w:tc>
      </w:tr>
      <w:tr w:rsidR="00852FA5" w:rsidRPr="000B64FA" w14:paraId="0592931F" w14:textId="77777777" w:rsidTr="00176DD9">
        <w:tc>
          <w:tcPr>
            <w:tcW w:w="2547" w:type="dxa"/>
            <w:vMerge/>
            <w:vAlign w:val="bottom"/>
          </w:tcPr>
          <w:p w14:paraId="2E8C4AF7"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5724C1E4"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Motor Mechanics</w:t>
            </w:r>
          </w:p>
        </w:tc>
        <w:tc>
          <w:tcPr>
            <w:tcW w:w="1276" w:type="dxa"/>
            <w:tcMar>
              <w:top w:w="0" w:type="dxa"/>
              <w:left w:w="108" w:type="dxa"/>
              <w:bottom w:w="0" w:type="dxa"/>
              <w:right w:w="108" w:type="dxa"/>
            </w:tcMar>
            <w:vAlign w:val="bottom"/>
          </w:tcPr>
          <w:p w14:paraId="382F31B4"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5.6</w:t>
            </w:r>
          </w:p>
        </w:tc>
      </w:tr>
      <w:tr w:rsidR="00852FA5" w:rsidRPr="000B64FA" w14:paraId="506DA24A" w14:textId="77777777" w:rsidTr="00176DD9">
        <w:tc>
          <w:tcPr>
            <w:tcW w:w="2547" w:type="dxa"/>
            <w:vMerge/>
            <w:vAlign w:val="bottom"/>
          </w:tcPr>
          <w:p w14:paraId="6322BFBC"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47228755"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Industrial Spraypainters</w:t>
            </w:r>
          </w:p>
        </w:tc>
        <w:tc>
          <w:tcPr>
            <w:tcW w:w="1276" w:type="dxa"/>
            <w:tcMar>
              <w:top w:w="0" w:type="dxa"/>
              <w:left w:w="108" w:type="dxa"/>
              <w:bottom w:w="0" w:type="dxa"/>
              <w:right w:w="108" w:type="dxa"/>
            </w:tcMar>
            <w:vAlign w:val="bottom"/>
          </w:tcPr>
          <w:p w14:paraId="12AEA145"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5.5</w:t>
            </w:r>
          </w:p>
        </w:tc>
      </w:tr>
      <w:tr w:rsidR="00852FA5" w:rsidRPr="000B64FA" w14:paraId="58753AFC" w14:textId="77777777" w:rsidTr="00176DD9">
        <w:tc>
          <w:tcPr>
            <w:tcW w:w="2547" w:type="dxa"/>
            <w:vMerge/>
            <w:vAlign w:val="bottom"/>
          </w:tcPr>
          <w:p w14:paraId="18F7E300"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78CC42F9"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Civil Engineering Professionals</w:t>
            </w:r>
          </w:p>
        </w:tc>
        <w:tc>
          <w:tcPr>
            <w:tcW w:w="1276" w:type="dxa"/>
            <w:tcMar>
              <w:top w:w="0" w:type="dxa"/>
              <w:left w:w="108" w:type="dxa"/>
              <w:bottom w:w="0" w:type="dxa"/>
              <w:right w:w="108" w:type="dxa"/>
            </w:tcMar>
            <w:vAlign w:val="bottom"/>
          </w:tcPr>
          <w:p w14:paraId="4F3251B4"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5.4</w:t>
            </w:r>
          </w:p>
        </w:tc>
      </w:tr>
      <w:tr w:rsidR="00852FA5" w:rsidRPr="000B64FA" w14:paraId="61CA9809" w14:textId="77777777" w:rsidTr="00176DD9">
        <w:tc>
          <w:tcPr>
            <w:tcW w:w="2547" w:type="dxa"/>
            <w:vMerge/>
            <w:vAlign w:val="bottom"/>
          </w:tcPr>
          <w:p w14:paraId="2464B229"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461395DA"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Dental Practitioners</w:t>
            </w:r>
          </w:p>
        </w:tc>
        <w:tc>
          <w:tcPr>
            <w:tcW w:w="1276" w:type="dxa"/>
            <w:tcMar>
              <w:top w:w="0" w:type="dxa"/>
              <w:left w:w="108" w:type="dxa"/>
              <w:bottom w:w="0" w:type="dxa"/>
              <w:right w:w="108" w:type="dxa"/>
            </w:tcMar>
            <w:vAlign w:val="bottom"/>
          </w:tcPr>
          <w:p w14:paraId="7868A68E"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5.0</w:t>
            </w:r>
          </w:p>
        </w:tc>
      </w:tr>
      <w:tr w:rsidR="00852FA5" w:rsidRPr="000B64FA" w14:paraId="34E4D91D" w14:textId="77777777" w:rsidTr="00176DD9">
        <w:tc>
          <w:tcPr>
            <w:tcW w:w="2547" w:type="dxa"/>
            <w:vMerge w:val="restart"/>
            <w:vAlign w:val="bottom"/>
          </w:tcPr>
          <w:p w14:paraId="34B8FB67" w14:textId="0D5C83E5" w:rsidR="00852FA5" w:rsidRPr="000B64FA" w:rsidRDefault="00852FA5" w:rsidP="001D600D">
            <w:pPr>
              <w:spacing w:after="0" w:line="276" w:lineRule="auto"/>
              <w:rPr>
                <w:rFonts w:asciiTheme="minorHAnsi" w:hAnsiTheme="minorHAnsi" w:cstheme="minorHAnsi"/>
                <w:color w:val="000000"/>
              </w:rPr>
            </w:pPr>
            <w:r>
              <w:t xml:space="preserve"> </w:t>
            </w:r>
            <w:r w:rsidRPr="000B64FA">
              <w:rPr>
                <w:rFonts w:asciiTheme="minorHAnsi" w:hAnsiTheme="minorHAnsi" w:cstheme="minorHAnsi"/>
                <w:color w:val="000000"/>
              </w:rPr>
              <w:t>Adelaide</w:t>
            </w:r>
          </w:p>
        </w:tc>
        <w:tc>
          <w:tcPr>
            <w:tcW w:w="6520" w:type="dxa"/>
            <w:tcMar>
              <w:top w:w="0" w:type="dxa"/>
              <w:left w:w="108" w:type="dxa"/>
              <w:bottom w:w="0" w:type="dxa"/>
              <w:right w:w="108" w:type="dxa"/>
            </w:tcMar>
            <w:vAlign w:val="bottom"/>
            <w:hideMark/>
          </w:tcPr>
          <w:p w14:paraId="3791727D"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Sheetmetal Trades Workers</w:t>
            </w:r>
          </w:p>
        </w:tc>
        <w:tc>
          <w:tcPr>
            <w:tcW w:w="1276" w:type="dxa"/>
            <w:tcMar>
              <w:top w:w="0" w:type="dxa"/>
              <w:left w:w="108" w:type="dxa"/>
              <w:bottom w:w="0" w:type="dxa"/>
              <w:right w:w="108" w:type="dxa"/>
            </w:tcMar>
            <w:vAlign w:val="bottom"/>
            <w:hideMark/>
          </w:tcPr>
          <w:p w14:paraId="61E1F79B"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9.1</w:t>
            </w:r>
          </w:p>
        </w:tc>
      </w:tr>
      <w:tr w:rsidR="00852FA5" w:rsidRPr="000B64FA" w14:paraId="57C99ACC" w14:textId="77777777" w:rsidTr="00176DD9">
        <w:tc>
          <w:tcPr>
            <w:tcW w:w="2547" w:type="dxa"/>
            <w:vMerge/>
            <w:vAlign w:val="bottom"/>
          </w:tcPr>
          <w:p w14:paraId="4A6A0547"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6059432B"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Other Miscellaneous Technicians and Trades Workers</w:t>
            </w:r>
          </w:p>
        </w:tc>
        <w:tc>
          <w:tcPr>
            <w:tcW w:w="1276" w:type="dxa"/>
            <w:tcMar>
              <w:top w:w="0" w:type="dxa"/>
              <w:left w:w="108" w:type="dxa"/>
              <w:bottom w:w="0" w:type="dxa"/>
              <w:right w:w="108" w:type="dxa"/>
            </w:tcMar>
            <w:vAlign w:val="bottom"/>
          </w:tcPr>
          <w:p w14:paraId="5B72A24F"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6.8</w:t>
            </w:r>
          </w:p>
        </w:tc>
      </w:tr>
      <w:tr w:rsidR="00852FA5" w:rsidRPr="000B64FA" w14:paraId="07383E2E" w14:textId="77777777" w:rsidTr="00176DD9">
        <w:tc>
          <w:tcPr>
            <w:tcW w:w="2547" w:type="dxa"/>
            <w:vMerge/>
            <w:vAlign w:val="bottom"/>
          </w:tcPr>
          <w:p w14:paraId="6C4465BD"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16FFF781"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74C6BC71"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6.6</w:t>
            </w:r>
          </w:p>
        </w:tc>
      </w:tr>
      <w:tr w:rsidR="00852FA5" w:rsidRPr="000B64FA" w14:paraId="4ECD458F" w14:textId="77777777" w:rsidTr="00176DD9">
        <w:tc>
          <w:tcPr>
            <w:tcW w:w="2547" w:type="dxa"/>
            <w:vMerge/>
            <w:vAlign w:val="bottom"/>
          </w:tcPr>
          <w:p w14:paraId="13B61965"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4BF8F163"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Cooks</w:t>
            </w:r>
          </w:p>
        </w:tc>
        <w:tc>
          <w:tcPr>
            <w:tcW w:w="1276" w:type="dxa"/>
            <w:tcMar>
              <w:top w:w="0" w:type="dxa"/>
              <w:left w:w="108" w:type="dxa"/>
              <w:bottom w:w="0" w:type="dxa"/>
              <w:right w:w="108" w:type="dxa"/>
            </w:tcMar>
            <w:vAlign w:val="bottom"/>
          </w:tcPr>
          <w:p w14:paraId="28513790"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6.5</w:t>
            </w:r>
          </w:p>
        </w:tc>
      </w:tr>
      <w:tr w:rsidR="00852FA5" w:rsidRPr="000B64FA" w14:paraId="2F463C57" w14:textId="77777777" w:rsidTr="00176DD9">
        <w:tc>
          <w:tcPr>
            <w:tcW w:w="2547" w:type="dxa"/>
            <w:vMerge/>
            <w:vAlign w:val="bottom"/>
          </w:tcPr>
          <w:p w14:paraId="33F26C45"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76306D6D"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Mining Engineers</w:t>
            </w:r>
          </w:p>
        </w:tc>
        <w:tc>
          <w:tcPr>
            <w:tcW w:w="1276" w:type="dxa"/>
            <w:tcMar>
              <w:top w:w="0" w:type="dxa"/>
              <w:left w:w="108" w:type="dxa"/>
              <w:bottom w:w="0" w:type="dxa"/>
              <w:right w:w="108" w:type="dxa"/>
            </w:tcMar>
            <w:vAlign w:val="bottom"/>
          </w:tcPr>
          <w:p w14:paraId="3AE2F10C"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5.2</w:t>
            </w:r>
          </w:p>
        </w:tc>
      </w:tr>
      <w:tr w:rsidR="00852FA5" w:rsidRPr="000B64FA" w14:paraId="6B843173" w14:textId="77777777" w:rsidTr="00176DD9">
        <w:tc>
          <w:tcPr>
            <w:tcW w:w="2547" w:type="dxa"/>
            <w:vMerge w:val="restart"/>
            <w:vAlign w:val="bottom"/>
          </w:tcPr>
          <w:p w14:paraId="1969EE06" w14:textId="77777777" w:rsidR="00852FA5" w:rsidRDefault="00852FA5" w:rsidP="001D600D">
            <w:pPr>
              <w:spacing w:after="0" w:line="276" w:lineRule="auto"/>
              <w:rPr>
                <w:rFonts w:asciiTheme="minorHAnsi" w:hAnsiTheme="minorHAnsi" w:cstheme="minorHAnsi"/>
                <w:color w:val="000000"/>
              </w:rPr>
            </w:pPr>
            <w:r>
              <w:t xml:space="preserve"> </w:t>
            </w:r>
            <w:r w:rsidRPr="000B64FA">
              <w:rPr>
                <w:rFonts w:asciiTheme="minorHAnsi" w:hAnsiTheme="minorHAnsi" w:cstheme="minorHAnsi"/>
                <w:color w:val="000000"/>
              </w:rPr>
              <w:t>Perth</w:t>
            </w:r>
          </w:p>
          <w:p w14:paraId="2F410B1C" w14:textId="77777777" w:rsidR="00B06806" w:rsidRDefault="00B06806" w:rsidP="001D600D">
            <w:pPr>
              <w:spacing w:after="0" w:line="276" w:lineRule="auto"/>
              <w:rPr>
                <w:rFonts w:asciiTheme="minorHAnsi" w:hAnsiTheme="minorHAnsi" w:cstheme="minorHAnsi"/>
                <w:color w:val="000000"/>
              </w:rPr>
            </w:pPr>
          </w:p>
          <w:p w14:paraId="559F97BD" w14:textId="71AEDBDB" w:rsidR="00B06806" w:rsidRPr="000B64FA" w:rsidRDefault="00B06806" w:rsidP="001D600D">
            <w:pPr>
              <w:spacing w:after="0" w:line="276" w:lineRule="auto"/>
              <w:rPr>
                <w:rFonts w:asciiTheme="minorHAnsi" w:hAnsiTheme="minorHAnsi" w:cstheme="minorHAnsi"/>
                <w:color w:val="000000"/>
              </w:rPr>
            </w:pPr>
            <w:r>
              <w:rPr>
                <w:rFonts w:asciiTheme="minorHAnsi" w:hAnsiTheme="minorHAnsi" w:cstheme="minorHAnsi"/>
                <w:color w:val="000000"/>
              </w:rPr>
              <w:lastRenderedPageBreak/>
              <w:t>Perth (cont.)</w:t>
            </w:r>
          </w:p>
        </w:tc>
        <w:tc>
          <w:tcPr>
            <w:tcW w:w="6520" w:type="dxa"/>
            <w:tcMar>
              <w:top w:w="0" w:type="dxa"/>
              <w:left w:w="108" w:type="dxa"/>
              <w:bottom w:w="0" w:type="dxa"/>
              <w:right w:w="108" w:type="dxa"/>
            </w:tcMar>
            <w:vAlign w:val="bottom"/>
          </w:tcPr>
          <w:p w14:paraId="668D222C" w14:textId="77777777" w:rsidR="00852FA5" w:rsidRPr="000B64FA" w:rsidRDefault="00852FA5"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lastRenderedPageBreak/>
              <w:t>Automotive Electricians</w:t>
            </w:r>
          </w:p>
        </w:tc>
        <w:tc>
          <w:tcPr>
            <w:tcW w:w="1276" w:type="dxa"/>
            <w:tcMar>
              <w:top w:w="0" w:type="dxa"/>
              <w:left w:w="108" w:type="dxa"/>
              <w:bottom w:w="0" w:type="dxa"/>
              <w:right w:w="108" w:type="dxa"/>
            </w:tcMar>
            <w:vAlign w:val="bottom"/>
          </w:tcPr>
          <w:p w14:paraId="4F64DD22" w14:textId="77777777" w:rsidR="00852FA5" w:rsidRPr="000B64FA" w:rsidRDefault="00852FA5"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9.1</w:t>
            </w:r>
          </w:p>
        </w:tc>
      </w:tr>
      <w:tr w:rsidR="00852FA5" w:rsidRPr="000B64FA" w14:paraId="540BFAE2" w14:textId="77777777" w:rsidTr="00176DD9">
        <w:tc>
          <w:tcPr>
            <w:tcW w:w="2547" w:type="dxa"/>
            <w:vMerge/>
            <w:vAlign w:val="bottom"/>
          </w:tcPr>
          <w:p w14:paraId="4969E949"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7F276D8F" w14:textId="77777777" w:rsidR="00852FA5" w:rsidRPr="000B64FA" w:rsidRDefault="00852FA5"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Sheetmetal Trades Workers</w:t>
            </w:r>
          </w:p>
        </w:tc>
        <w:tc>
          <w:tcPr>
            <w:tcW w:w="1276" w:type="dxa"/>
            <w:tcMar>
              <w:top w:w="0" w:type="dxa"/>
              <w:left w:w="108" w:type="dxa"/>
              <w:bottom w:w="0" w:type="dxa"/>
              <w:right w:w="108" w:type="dxa"/>
            </w:tcMar>
            <w:vAlign w:val="bottom"/>
          </w:tcPr>
          <w:p w14:paraId="26A2F133" w14:textId="77777777" w:rsidR="00852FA5" w:rsidRPr="000B64FA" w:rsidRDefault="00852FA5"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8.0</w:t>
            </w:r>
          </w:p>
        </w:tc>
      </w:tr>
      <w:tr w:rsidR="00852FA5" w:rsidRPr="000B64FA" w14:paraId="4F435343" w14:textId="77777777" w:rsidTr="00176DD9">
        <w:tc>
          <w:tcPr>
            <w:tcW w:w="2547" w:type="dxa"/>
            <w:vMerge/>
            <w:vAlign w:val="bottom"/>
          </w:tcPr>
          <w:p w14:paraId="6AA48345"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444CDFBC" w14:textId="77777777" w:rsidR="00852FA5" w:rsidRPr="000B64FA" w:rsidRDefault="00852FA5"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Mining Engineers</w:t>
            </w:r>
          </w:p>
        </w:tc>
        <w:tc>
          <w:tcPr>
            <w:tcW w:w="1276" w:type="dxa"/>
            <w:tcMar>
              <w:top w:w="0" w:type="dxa"/>
              <w:left w:w="108" w:type="dxa"/>
              <w:bottom w:w="0" w:type="dxa"/>
              <w:right w:w="108" w:type="dxa"/>
            </w:tcMar>
            <w:vAlign w:val="bottom"/>
          </w:tcPr>
          <w:p w14:paraId="542FF7D4" w14:textId="77777777" w:rsidR="00852FA5" w:rsidRPr="000B64FA" w:rsidRDefault="00852FA5"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8.0</w:t>
            </w:r>
          </w:p>
        </w:tc>
      </w:tr>
      <w:tr w:rsidR="00852FA5" w:rsidRPr="000B64FA" w14:paraId="590DBF05" w14:textId="77777777" w:rsidTr="00176DD9">
        <w:tc>
          <w:tcPr>
            <w:tcW w:w="2547" w:type="dxa"/>
            <w:vMerge/>
            <w:vAlign w:val="bottom"/>
          </w:tcPr>
          <w:p w14:paraId="64DE039C"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343D6272" w14:textId="77777777" w:rsidR="00852FA5" w:rsidRPr="000B64FA" w:rsidRDefault="00852FA5"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Crane, Hoist and Lift Operators</w:t>
            </w:r>
          </w:p>
        </w:tc>
        <w:tc>
          <w:tcPr>
            <w:tcW w:w="1276" w:type="dxa"/>
            <w:tcMar>
              <w:top w:w="0" w:type="dxa"/>
              <w:left w:w="108" w:type="dxa"/>
              <w:bottom w:w="0" w:type="dxa"/>
              <w:right w:w="108" w:type="dxa"/>
            </w:tcMar>
            <w:vAlign w:val="bottom"/>
          </w:tcPr>
          <w:p w14:paraId="31F68309" w14:textId="77777777" w:rsidR="00852FA5" w:rsidRPr="000B64FA" w:rsidRDefault="00852FA5"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6.2</w:t>
            </w:r>
          </w:p>
        </w:tc>
      </w:tr>
      <w:tr w:rsidR="00852FA5" w:rsidRPr="000B64FA" w14:paraId="7D6DF0D0" w14:textId="77777777" w:rsidTr="00176DD9">
        <w:tc>
          <w:tcPr>
            <w:tcW w:w="2547" w:type="dxa"/>
            <w:vMerge/>
            <w:vAlign w:val="bottom"/>
          </w:tcPr>
          <w:p w14:paraId="7F65F8FB"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060DB10B" w14:textId="77777777" w:rsidR="00852FA5" w:rsidRPr="000B64FA" w:rsidRDefault="00852FA5"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Civil Engineering Professionals</w:t>
            </w:r>
          </w:p>
        </w:tc>
        <w:tc>
          <w:tcPr>
            <w:tcW w:w="1276" w:type="dxa"/>
            <w:tcMar>
              <w:top w:w="0" w:type="dxa"/>
              <w:left w:w="108" w:type="dxa"/>
              <w:bottom w:w="0" w:type="dxa"/>
              <w:right w:w="108" w:type="dxa"/>
            </w:tcMar>
            <w:vAlign w:val="bottom"/>
          </w:tcPr>
          <w:p w14:paraId="564DB036" w14:textId="77777777" w:rsidR="00852FA5" w:rsidRPr="000B64FA" w:rsidRDefault="00852FA5"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5.8</w:t>
            </w:r>
          </w:p>
        </w:tc>
      </w:tr>
      <w:tr w:rsidR="00852FA5" w:rsidRPr="000B64FA" w14:paraId="5AF5329F" w14:textId="77777777" w:rsidTr="00176DD9">
        <w:tc>
          <w:tcPr>
            <w:tcW w:w="2547" w:type="dxa"/>
            <w:vMerge/>
            <w:vAlign w:val="bottom"/>
          </w:tcPr>
          <w:p w14:paraId="7DBC5CA9"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3E3BBE66" w14:textId="77777777" w:rsidR="00852FA5" w:rsidRPr="000B64FA" w:rsidRDefault="00852FA5"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Earthmoving Plant Operators</w:t>
            </w:r>
          </w:p>
        </w:tc>
        <w:tc>
          <w:tcPr>
            <w:tcW w:w="1276" w:type="dxa"/>
            <w:tcMar>
              <w:top w:w="0" w:type="dxa"/>
              <w:left w:w="108" w:type="dxa"/>
              <w:bottom w:w="0" w:type="dxa"/>
              <w:right w:w="108" w:type="dxa"/>
            </w:tcMar>
            <w:vAlign w:val="bottom"/>
          </w:tcPr>
          <w:p w14:paraId="15042467" w14:textId="77777777" w:rsidR="00852FA5" w:rsidRPr="000B64FA" w:rsidRDefault="00852FA5"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5.5</w:t>
            </w:r>
          </w:p>
        </w:tc>
      </w:tr>
      <w:tr w:rsidR="00852FA5" w:rsidRPr="000B64FA" w14:paraId="58EC4E9F" w14:textId="77777777" w:rsidTr="00176DD9">
        <w:tc>
          <w:tcPr>
            <w:tcW w:w="2547" w:type="dxa"/>
            <w:vMerge/>
            <w:vAlign w:val="bottom"/>
          </w:tcPr>
          <w:p w14:paraId="0BA3E83D"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2A1123E9"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ICT Business and Systems Analysts</w:t>
            </w:r>
          </w:p>
        </w:tc>
        <w:tc>
          <w:tcPr>
            <w:tcW w:w="1276" w:type="dxa"/>
            <w:tcMar>
              <w:top w:w="0" w:type="dxa"/>
              <w:left w:w="108" w:type="dxa"/>
              <w:bottom w:w="0" w:type="dxa"/>
              <w:right w:w="108" w:type="dxa"/>
            </w:tcMar>
            <w:vAlign w:val="bottom"/>
          </w:tcPr>
          <w:p w14:paraId="6E9B5A83"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5.3</w:t>
            </w:r>
          </w:p>
        </w:tc>
      </w:tr>
      <w:tr w:rsidR="00852FA5" w:rsidRPr="000B64FA" w14:paraId="731FB81D" w14:textId="77777777" w:rsidTr="00176DD9">
        <w:tc>
          <w:tcPr>
            <w:tcW w:w="2547" w:type="dxa"/>
            <w:vMerge/>
            <w:vAlign w:val="bottom"/>
          </w:tcPr>
          <w:p w14:paraId="7C910D7D"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63BF6B8B"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Enrolled and Mothercraft Nurses</w:t>
            </w:r>
          </w:p>
        </w:tc>
        <w:tc>
          <w:tcPr>
            <w:tcW w:w="1276" w:type="dxa"/>
            <w:tcMar>
              <w:top w:w="0" w:type="dxa"/>
              <w:left w:w="108" w:type="dxa"/>
              <w:bottom w:w="0" w:type="dxa"/>
              <w:right w:w="108" w:type="dxa"/>
            </w:tcMar>
            <w:vAlign w:val="bottom"/>
          </w:tcPr>
          <w:p w14:paraId="418DAC81"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5.3</w:t>
            </w:r>
          </w:p>
        </w:tc>
      </w:tr>
      <w:tr w:rsidR="00852FA5" w:rsidRPr="000B64FA" w14:paraId="7C1A1897" w14:textId="77777777" w:rsidTr="00176DD9">
        <w:tc>
          <w:tcPr>
            <w:tcW w:w="2547" w:type="dxa"/>
            <w:vMerge/>
            <w:vAlign w:val="bottom"/>
          </w:tcPr>
          <w:p w14:paraId="22E715EA"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164082B5"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Construction Managers</w:t>
            </w:r>
          </w:p>
        </w:tc>
        <w:tc>
          <w:tcPr>
            <w:tcW w:w="1276" w:type="dxa"/>
            <w:tcMar>
              <w:top w:w="0" w:type="dxa"/>
              <w:left w:w="108" w:type="dxa"/>
              <w:bottom w:w="0" w:type="dxa"/>
              <w:right w:w="108" w:type="dxa"/>
            </w:tcMar>
            <w:vAlign w:val="bottom"/>
          </w:tcPr>
          <w:p w14:paraId="43E32548"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5.1</w:t>
            </w:r>
          </w:p>
        </w:tc>
      </w:tr>
      <w:tr w:rsidR="00852FA5" w:rsidRPr="000B64FA" w14:paraId="12274161" w14:textId="77777777" w:rsidTr="00176DD9">
        <w:tc>
          <w:tcPr>
            <w:tcW w:w="2547" w:type="dxa"/>
            <w:vMerge/>
            <w:vAlign w:val="bottom"/>
          </w:tcPr>
          <w:p w14:paraId="102E461B"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5A4426FD"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Cooks</w:t>
            </w:r>
          </w:p>
        </w:tc>
        <w:tc>
          <w:tcPr>
            <w:tcW w:w="1276" w:type="dxa"/>
            <w:tcMar>
              <w:top w:w="0" w:type="dxa"/>
              <w:left w:w="108" w:type="dxa"/>
              <w:bottom w:w="0" w:type="dxa"/>
              <w:right w:w="108" w:type="dxa"/>
            </w:tcMar>
            <w:vAlign w:val="bottom"/>
          </w:tcPr>
          <w:p w14:paraId="0398A60F"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5.1</w:t>
            </w:r>
          </w:p>
        </w:tc>
      </w:tr>
      <w:tr w:rsidR="00852FA5" w:rsidRPr="000B64FA" w14:paraId="56A71636" w14:textId="77777777" w:rsidTr="00176DD9">
        <w:tc>
          <w:tcPr>
            <w:tcW w:w="2547" w:type="dxa"/>
            <w:vMerge w:val="restart"/>
            <w:vAlign w:val="bottom"/>
          </w:tcPr>
          <w:p w14:paraId="1A639274" w14:textId="03BF434A" w:rsidR="00852FA5" w:rsidRPr="000B64FA" w:rsidRDefault="00852FA5" w:rsidP="001D600D">
            <w:pPr>
              <w:spacing w:after="0" w:line="276" w:lineRule="auto"/>
              <w:rPr>
                <w:rFonts w:asciiTheme="minorHAnsi" w:hAnsiTheme="minorHAnsi" w:cstheme="minorHAnsi"/>
                <w:color w:val="000000"/>
              </w:rPr>
            </w:pPr>
            <w:r>
              <w:t xml:space="preserve"> </w:t>
            </w:r>
            <w:r w:rsidRPr="000B64FA">
              <w:rPr>
                <w:rFonts w:asciiTheme="minorHAnsi" w:hAnsiTheme="minorHAnsi" w:cstheme="minorHAnsi"/>
                <w:color w:val="000000"/>
              </w:rPr>
              <w:t>Hobart</w:t>
            </w:r>
          </w:p>
        </w:tc>
        <w:tc>
          <w:tcPr>
            <w:tcW w:w="6520" w:type="dxa"/>
            <w:tcMar>
              <w:top w:w="0" w:type="dxa"/>
              <w:left w:w="108" w:type="dxa"/>
              <w:bottom w:w="0" w:type="dxa"/>
              <w:right w:w="108" w:type="dxa"/>
            </w:tcMar>
            <w:vAlign w:val="bottom"/>
          </w:tcPr>
          <w:p w14:paraId="78F62229"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15897DAD"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7.5</w:t>
            </w:r>
          </w:p>
        </w:tc>
      </w:tr>
      <w:tr w:rsidR="00852FA5" w:rsidRPr="000B64FA" w14:paraId="236403EE" w14:textId="77777777" w:rsidTr="00176DD9">
        <w:tc>
          <w:tcPr>
            <w:tcW w:w="2547" w:type="dxa"/>
            <w:vMerge/>
            <w:vAlign w:val="bottom"/>
          </w:tcPr>
          <w:p w14:paraId="630BF094"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5C194B3C"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51682519"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7.0</w:t>
            </w:r>
          </w:p>
        </w:tc>
      </w:tr>
      <w:tr w:rsidR="00852FA5" w:rsidRPr="000B64FA" w14:paraId="51FDC8BA" w14:textId="77777777" w:rsidTr="00176DD9">
        <w:tc>
          <w:tcPr>
            <w:tcW w:w="2547" w:type="dxa"/>
            <w:vMerge w:val="restart"/>
            <w:vAlign w:val="bottom"/>
          </w:tcPr>
          <w:p w14:paraId="40C5B274" w14:textId="77777777" w:rsidR="00852FA5" w:rsidRPr="000B64FA" w:rsidRDefault="00852FA5"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Darwin</w:t>
            </w:r>
          </w:p>
        </w:tc>
        <w:tc>
          <w:tcPr>
            <w:tcW w:w="6520" w:type="dxa"/>
            <w:tcMar>
              <w:top w:w="0" w:type="dxa"/>
              <w:left w:w="108" w:type="dxa"/>
              <w:bottom w:w="0" w:type="dxa"/>
              <w:right w:w="108" w:type="dxa"/>
            </w:tcMar>
            <w:vAlign w:val="bottom"/>
          </w:tcPr>
          <w:p w14:paraId="7B5BE155"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Welfare, Recreation and Community Arts Workers</w:t>
            </w:r>
          </w:p>
        </w:tc>
        <w:tc>
          <w:tcPr>
            <w:tcW w:w="1276" w:type="dxa"/>
            <w:tcMar>
              <w:top w:w="0" w:type="dxa"/>
              <w:left w:w="108" w:type="dxa"/>
              <w:bottom w:w="0" w:type="dxa"/>
              <w:right w:w="108" w:type="dxa"/>
            </w:tcMar>
            <w:vAlign w:val="bottom"/>
          </w:tcPr>
          <w:p w14:paraId="0EE067E1"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14.4</w:t>
            </w:r>
          </w:p>
        </w:tc>
      </w:tr>
      <w:tr w:rsidR="00852FA5" w:rsidRPr="000B64FA" w14:paraId="1308E42F" w14:textId="77777777" w:rsidTr="00176DD9">
        <w:tc>
          <w:tcPr>
            <w:tcW w:w="2547" w:type="dxa"/>
            <w:vMerge/>
            <w:vAlign w:val="bottom"/>
          </w:tcPr>
          <w:p w14:paraId="100A64EF"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79CEE4BC"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Social Workers</w:t>
            </w:r>
          </w:p>
        </w:tc>
        <w:tc>
          <w:tcPr>
            <w:tcW w:w="1276" w:type="dxa"/>
            <w:tcMar>
              <w:top w:w="0" w:type="dxa"/>
              <w:left w:w="108" w:type="dxa"/>
              <w:bottom w:w="0" w:type="dxa"/>
              <w:right w:w="108" w:type="dxa"/>
            </w:tcMar>
            <w:vAlign w:val="bottom"/>
          </w:tcPr>
          <w:p w14:paraId="1129FE2E"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9.1</w:t>
            </w:r>
          </w:p>
        </w:tc>
      </w:tr>
      <w:tr w:rsidR="00852FA5" w:rsidRPr="000B64FA" w14:paraId="2C3A5168" w14:textId="77777777" w:rsidTr="00176DD9">
        <w:tc>
          <w:tcPr>
            <w:tcW w:w="2547" w:type="dxa"/>
            <w:vMerge/>
            <w:vAlign w:val="bottom"/>
          </w:tcPr>
          <w:p w14:paraId="57269EC3"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7FA587D0"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0C5822C3"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8.4</w:t>
            </w:r>
          </w:p>
        </w:tc>
      </w:tr>
      <w:tr w:rsidR="00852FA5" w:rsidRPr="000B64FA" w14:paraId="0DCED071" w14:textId="77777777" w:rsidTr="00176DD9">
        <w:tc>
          <w:tcPr>
            <w:tcW w:w="2547" w:type="dxa"/>
            <w:vMerge/>
            <w:vAlign w:val="bottom"/>
          </w:tcPr>
          <w:p w14:paraId="5451CFF5"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61A3C74A"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Motor Mechanics</w:t>
            </w:r>
          </w:p>
        </w:tc>
        <w:tc>
          <w:tcPr>
            <w:tcW w:w="1276" w:type="dxa"/>
            <w:tcMar>
              <w:top w:w="0" w:type="dxa"/>
              <w:left w:w="108" w:type="dxa"/>
              <w:bottom w:w="0" w:type="dxa"/>
              <w:right w:w="108" w:type="dxa"/>
            </w:tcMar>
            <w:vAlign w:val="bottom"/>
          </w:tcPr>
          <w:p w14:paraId="63214131"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7.8</w:t>
            </w:r>
          </w:p>
        </w:tc>
      </w:tr>
      <w:tr w:rsidR="00852FA5" w:rsidRPr="000B64FA" w14:paraId="40E32F72" w14:textId="77777777" w:rsidTr="00176DD9">
        <w:tc>
          <w:tcPr>
            <w:tcW w:w="2547" w:type="dxa"/>
            <w:vMerge/>
            <w:vAlign w:val="bottom"/>
          </w:tcPr>
          <w:p w14:paraId="521F3825"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12B9CD05"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Metal Fitters and Machinists</w:t>
            </w:r>
          </w:p>
        </w:tc>
        <w:tc>
          <w:tcPr>
            <w:tcW w:w="1276" w:type="dxa"/>
            <w:tcMar>
              <w:top w:w="0" w:type="dxa"/>
              <w:left w:w="108" w:type="dxa"/>
              <w:bottom w:w="0" w:type="dxa"/>
              <w:right w:w="108" w:type="dxa"/>
            </w:tcMar>
            <w:vAlign w:val="bottom"/>
          </w:tcPr>
          <w:p w14:paraId="7CFAE9AB"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6.8</w:t>
            </w:r>
          </w:p>
        </w:tc>
      </w:tr>
      <w:tr w:rsidR="00852FA5" w:rsidRPr="000B64FA" w14:paraId="1A7AF4EB" w14:textId="77777777" w:rsidTr="00176DD9">
        <w:tc>
          <w:tcPr>
            <w:tcW w:w="2547" w:type="dxa"/>
            <w:vMerge/>
            <w:vAlign w:val="bottom"/>
          </w:tcPr>
          <w:p w14:paraId="669FF8A9"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221359D7"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Storepersons</w:t>
            </w:r>
          </w:p>
        </w:tc>
        <w:tc>
          <w:tcPr>
            <w:tcW w:w="1276" w:type="dxa"/>
            <w:tcMar>
              <w:top w:w="0" w:type="dxa"/>
              <w:left w:w="108" w:type="dxa"/>
              <w:bottom w:w="0" w:type="dxa"/>
              <w:right w:w="108" w:type="dxa"/>
            </w:tcMar>
            <w:vAlign w:val="bottom"/>
          </w:tcPr>
          <w:p w14:paraId="5B6A5CE7"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5.3</w:t>
            </w:r>
          </w:p>
        </w:tc>
      </w:tr>
      <w:tr w:rsidR="00852FA5" w:rsidRPr="000B64FA" w14:paraId="2771B553" w14:textId="77777777" w:rsidTr="00176DD9">
        <w:tc>
          <w:tcPr>
            <w:tcW w:w="2547" w:type="dxa"/>
            <w:vMerge/>
            <w:vAlign w:val="bottom"/>
          </w:tcPr>
          <w:p w14:paraId="7A129D88"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37325328"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Earthmoving Plant Operators</w:t>
            </w:r>
          </w:p>
        </w:tc>
        <w:tc>
          <w:tcPr>
            <w:tcW w:w="1276" w:type="dxa"/>
            <w:tcMar>
              <w:top w:w="0" w:type="dxa"/>
              <w:left w:w="108" w:type="dxa"/>
              <w:bottom w:w="0" w:type="dxa"/>
              <w:right w:w="108" w:type="dxa"/>
            </w:tcMar>
            <w:vAlign w:val="bottom"/>
          </w:tcPr>
          <w:p w14:paraId="20ACFCFA"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5.3</w:t>
            </w:r>
          </w:p>
        </w:tc>
      </w:tr>
      <w:tr w:rsidR="00852FA5" w:rsidRPr="000B64FA" w14:paraId="4DD7C6F2" w14:textId="77777777" w:rsidTr="00176DD9">
        <w:tc>
          <w:tcPr>
            <w:tcW w:w="2547" w:type="dxa"/>
            <w:vMerge/>
            <w:vAlign w:val="bottom"/>
          </w:tcPr>
          <w:p w14:paraId="5045F4F6"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26D369F8"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Construction Managers</w:t>
            </w:r>
          </w:p>
        </w:tc>
        <w:tc>
          <w:tcPr>
            <w:tcW w:w="1276" w:type="dxa"/>
            <w:tcMar>
              <w:top w:w="0" w:type="dxa"/>
              <w:left w:w="108" w:type="dxa"/>
              <w:bottom w:w="0" w:type="dxa"/>
              <w:right w:w="108" w:type="dxa"/>
            </w:tcMar>
            <w:vAlign w:val="bottom"/>
          </w:tcPr>
          <w:p w14:paraId="17951874"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5.0</w:t>
            </w:r>
          </w:p>
        </w:tc>
      </w:tr>
      <w:tr w:rsidR="00852FA5" w:rsidRPr="000B64FA" w14:paraId="7669B19B" w14:textId="77777777" w:rsidTr="00176DD9">
        <w:tc>
          <w:tcPr>
            <w:tcW w:w="2547" w:type="dxa"/>
            <w:vMerge w:val="restart"/>
            <w:vAlign w:val="bottom"/>
          </w:tcPr>
          <w:p w14:paraId="09700C30" w14:textId="77777777" w:rsidR="00852FA5" w:rsidRPr="000B64FA" w:rsidRDefault="00852FA5" w:rsidP="001D600D">
            <w:pPr>
              <w:spacing w:after="0" w:line="276" w:lineRule="auto"/>
              <w:rPr>
                <w:rFonts w:asciiTheme="minorHAnsi" w:hAnsiTheme="minorHAnsi" w:cstheme="minorHAnsi"/>
                <w:color w:val="000000"/>
              </w:rPr>
            </w:pPr>
            <w:r>
              <w:rPr>
                <w:rFonts w:asciiTheme="minorHAnsi" w:hAnsiTheme="minorHAnsi" w:cstheme="minorHAnsi"/>
                <w:color w:val="000000"/>
              </w:rPr>
              <w:t>Canberra</w:t>
            </w:r>
          </w:p>
        </w:tc>
        <w:tc>
          <w:tcPr>
            <w:tcW w:w="6520" w:type="dxa"/>
            <w:tcMar>
              <w:top w:w="0" w:type="dxa"/>
              <w:left w:w="108" w:type="dxa"/>
              <w:bottom w:w="0" w:type="dxa"/>
              <w:right w:w="108" w:type="dxa"/>
            </w:tcMar>
            <w:vAlign w:val="bottom"/>
          </w:tcPr>
          <w:p w14:paraId="2A904F4D" w14:textId="77777777" w:rsidR="00852FA5" w:rsidRPr="000B64FA" w:rsidRDefault="00852FA5"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Audiologists and Speech Pathologists \ Therapists</w:t>
            </w:r>
          </w:p>
        </w:tc>
        <w:tc>
          <w:tcPr>
            <w:tcW w:w="1276" w:type="dxa"/>
            <w:tcMar>
              <w:top w:w="0" w:type="dxa"/>
              <w:left w:w="108" w:type="dxa"/>
              <w:bottom w:w="0" w:type="dxa"/>
              <w:right w:w="108" w:type="dxa"/>
            </w:tcMar>
            <w:vAlign w:val="bottom"/>
          </w:tcPr>
          <w:p w14:paraId="7D3F09D8" w14:textId="77777777" w:rsidR="00852FA5" w:rsidRPr="000B64FA" w:rsidRDefault="00852FA5"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16.6</w:t>
            </w:r>
          </w:p>
        </w:tc>
      </w:tr>
      <w:tr w:rsidR="00852FA5" w:rsidRPr="000B64FA" w14:paraId="7B5C56D8" w14:textId="77777777" w:rsidTr="00176DD9">
        <w:tc>
          <w:tcPr>
            <w:tcW w:w="2547" w:type="dxa"/>
            <w:vMerge/>
            <w:vAlign w:val="bottom"/>
          </w:tcPr>
          <w:p w14:paraId="4FCF772D"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651BDA87"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Other Miscellaneous Technicians and Trades Workers</w:t>
            </w:r>
          </w:p>
        </w:tc>
        <w:tc>
          <w:tcPr>
            <w:tcW w:w="1276" w:type="dxa"/>
            <w:tcMar>
              <w:top w:w="0" w:type="dxa"/>
              <w:left w:w="108" w:type="dxa"/>
              <w:bottom w:w="0" w:type="dxa"/>
              <w:right w:w="108" w:type="dxa"/>
            </w:tcMar>
            <w:vAlign w:val="bottom"/>
          </w:tcPr>
          <w:p w14:paraId="789B5D6F"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15.3</w:t>
            </w:r>
          </w:p>
        </w:tc>
      </w:tr>
      <w:tr w:rsidR="00852FA5" w:rsidRPr="000B64FA" w14:paraId="2E95F12A" w14:textId="77777777" w:rsidTr="00176DD9">
        <w:tc>
          <w:tcPr>
            <w:tcW w:w="2547" w:type="dxa"/>
            <w:vMerge/>
            <w:vAlign w:val="bottom"/>
          </w:tcPr>
          <w:p w14:paraId="207C8F7C"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hideMark/>
          </w:tcPr>
          <w:p w14:paraId="65995AFE"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Metal Fitters and Machinists</w:t>
            </w:r>
          </w:p>
        </w:tc>
        <w:tc>
          <w:tcPr>
            <w:tcW w:w="1276" w:type="dxa"/>
            <w:tcMar>
              <w:top w:w="0" w:type="dxa"/>
              <w:left w:w="108" w:type="dxa"/>
              <w:bottom w:w="0" w:type="dxa"/>
              <w:right w:w="108" w:type="dxa"/>
            </w:tcMar>
            <w:vAlign w:val="bottom"/>
            <w:hideMark/>
          </w:tcPr>
          <w:p w14:paraId="47449F09"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13.7</w:t>
            </w:r>
          </w:p>
        </w:tc>
      </w:tr>
      <w:tr w:rsidR="00852FA5" w:rsidRPr="000B64FA" w14:paraId="3ACFF934" w14:textId="77777777" w:rsidTr="00176DD9">
        <w:tc>
          <w:tcPr>
            <w:tcW w:w="2547" w:type="dxa"/>
            <w:vMerge/>
            <w:vAlign w:val="bottom"/>
          </w:tcPr>
          <w:p w14:paraId="4951AA61"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5D022813"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Construction Managers</w:t>
            </w:r>
          </w:p>
        </w:tc>
        <w:tc>
          <w:tcPr>
            <w:tcW w:w="1276" w:type="dxa"/>
            <w:tcMar>
              <w:top w:w="0" w:type="dxa"/>
              <w:left w:w="108" w:type="dxa"/>
              <w:bottom w:w="0" w:type="dxa"/>
              <w:right w:w="108" w:type="dxa"/>
            </w:tcMar>
            <w:vAlign w:val="bottom"/>
          </w:tcPr>
          <w:p w14:paraId="36C83CC4"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11.5</w:t>
            </w:r>
          </w:p>
        </w:tc>
      </w:tr>
      <w:tr w:rsidR="00852FA5" w:rsidRPr="000B64FA" w14:paraId="6DCAED60" w14:textId="77777777" w:rsidTr="00176DD9">
        <w:tc>
          <w:tcPr>
            <w:tcW w:w="2547" w:type="dxa"/>
            <w:vMerge/>
            <w:vAlign w:val="bottom"/>
          </w:tcPr>
          <w:p w14:paraId="57981D1A"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01A146CA"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Auditors, Company Secretaries and Corporate Treasurers</w:t>
            </w:r>
          </w:p>
        </w:tc>
        <w:tc>
          <w:tcPr>
            <w:tcW w:w="1276" w:type="dxa"/>
            <w:tcMar>
              <w:top w:w="0" w:type="dxa"/>
              <w:left w:w="108" w:type="dxa"/>
              <w:bottom w:w="0" w:type="dxa"/>
              <w:right w:w="108" w:type="dxa"/>
            </w:tcMar>
            <w:vAlign w:val="bottom"/>
          </w:tcPr>
          <w:p w14:paraId="23256CC8"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8.4</w:t>
            </w:r>
          </w:p>
        </w:tc>
      </w:tr>
      <w:tr w:rsidR="00852FA5" w:rsidRPr="000B64FA" w14:paraId="6D01B05A" w14:textId="77777777" w:rsidTr="00176DD9">
        <w:tc>
          <w:tcPr>
            <w:tcW w:w="2547" w:type="dxa"/>
            <w:vMerge/>
            <w:vAlign w:val="bottom"/>
          </w:tcPr>
          <w:p w14:paraId="1D017479"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5BDE1A1A"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729C309B"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8.3</w:t>
            </w:r>
          </w:p>
        </w:tc>
      </w:tr>
      <w:tr w:rsidR="00852FA5" w:rsidRPr="000B64FA" w14:paraId="1AC27165" w14:textId="77777777" w:rsidTr="00176DD9">
        <w:tc>
          <w:tcPr>
            <w:tcW w:w="2547" w:type="dxa"/>
            <w:vMerge/>
            <w:vAlign w:val="bottom"/>
          </w:tcPr>
          <w:p w14:paraId="74D76B3F"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073A4827"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Security Officers and Guards</w:t>
            </w:r>
          </w:p>
        </w:tc>
        <w:tc>
          <w:tcPr>
            <w:tcW w:w="1276" w:type="dxa"/>
            <w:tcMar>
              <w:top w:w="0" w:type="dxa"/>
              <w:left w:w="108" w:type="dxa"/>
              <w:bottom w:w="0" w:type="dxa"/>
              <w:right w:w="108" w:type="dxa"/>
            </w:tcMar>
            <w:vAlign w:val="bottom"/>
          </w:tcPr>
          <w:p w14:paraId="61EEA1CF"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8.0</w:t>
            </w:r>
          </w:p>
        </w:tc>
      </w:tr>
      <w:tr w:rsidR="00852FA5" w:rsidRPr="000B64FA" w14:paraId="03593D1B" w14:textId="77777777" w:rsidTr="00176DD9">
        <w:tc>
          <w:tcPr>
            <w:tcW w:w="2547" w:type="dxa"/>
            <w:vMerge/>
            <w:vAlign w:val="bottom"/>
          </w:tcPr>
          <w:p w14:paraId="3084F873"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783C1590"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34142196"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7.5</w:t>
            </w:r>
          </w:p>
        </w:tc>
      </w:tr>
      <w:tr w:rsidR="00852FA5" w:rsidRPr="000B64FA" w14:paraId="1B75C29E" w14:textId="77777777" w:rsidTr="00176DD9">
        <w:tc>
          <w:tcPr>
            <w:tcW w:w="2547" w:type="dxa"/>
            <w:vMerge/>
            <w:vAlign w:val="bottom"/>
          </w:tcPr>
          <w:p w14:paraId="1189DE79"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71287B21"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ICT Business and Systems Analysts</w:t>
            </w:r>
          </w:p>
        </w:tc>
        <w:tc>
          <w:tcPr>
            <w:tcW w:w="1276" w:type="dxa"/>
            <w:tcMar>
              <w:top w:w="0" w:type="dxa"/>
              <w:left w:w="108" w:type="dxa"/>
              <w:bottom w:w="0" w:type="dxa"/>
              <w:right w:w="108" w:type="dxa"/>
            </w:tcMar>
            <w:vAlign w:val="bottom"/>
          </w:tcPr>
          <w:p w14:paraId="3908A384"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6.5</w:t>
            </w:r>
          </w:p>
        </w:tc>
      </w:tr>
      <w:tr w:rsidR="00852FA5" w:rsidRPr="000B64FA" w14:paraId="52AAF434" w14:textId="77777777" w:rsidTr="00176DD9">
        <w:tc>
          <w:tcPr>
            <w:tcW w:w="2547" w:type="dxa"/>
            <w:vMerge/>
            <w:vAlign w:val="bottom"/>
          </w:tcPr>
          <w:p w14:paraId="0FB7DBB4"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1B7433A0" w14:textId="77777777" w:rsidR="00852FA5" w:rsidRPr="000B64FA" w:rsidRDefault="00852FA5"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Social Workers</w:t>
            </w:r>
          </w:p>
        </w:tc>
        <w:tc>
          <w:tcPr>
            <w:tcW w:w="1276" w:type="dxa"/>
            <w:tcMar>
              <w:top w:w="0" w:type="dxa"/>
              <w:left w:w="108" w:type="dxa"/>
              <w:bottom w:w="0" w:type="dxa"/>
              <w:right w:w="108" w:type="dxa"/>
            </w:tcMar>
            <w:vAlign w:val="bottom"/>
          </w:tcPr>
          <w:p w14:paraId="53ED538C" w14:textId="77777777" w:rsidR="00852FA5" w:rsidRPr="000B64FA" w:rsidRDefault="00852FA5"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6.2</w:t>
            </w:r>
          </w:p>
        </w:tc>
      </w:tr>
      <w:tr w:rsidR="00852FA5" w:rsidRPr="000B64FA" w14:paraId="6A3CAFEF" w14:textId="77777777" w:rsidTr="00176DD9">
        <w:tc>
          <w:tcPr>
            <w:tcW w:w="2547" w:type="dxa"/>
            <w:vMerge/>
            <w:vAlign w:val="bottom"/>
          </w:tcPr>
          <w:p w14:paraId="036760A3"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2FF2F65A"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Physiotherapists</w:t>
            </w:r>
          </w:p>
        </w:tc>
        <w:tc>
          <w:tcPr>
            <w:tcW w:w="1276" w:type="dxa"/>
            <w:tcMar>
              <w:top w:w="0" w:type="dxa"/>
              <w:left w:w="108" w:type="dxa"/>
              <w:bottom w:w="0" w:type="dxa"/>
              <w:right w:w="108" w:type="dxa"/>
            </w:tcMar>
            <w:vAlign w:val="bottom"/>
          </w:tcPr>
          <w:p w14:paraId="16E1A9D3"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5.7</w:t>
            </w:r>
          </w:p>
        </w:tc>
      </w:tr>
      <w:tr w:rsidR="00852FA5" w:rsidRPr="000B64FA" w14:paraId="59E35437" w14:textId="77777777" w:rsidTr="00176DD9">
        <w:tc>
          <w:tcPr>
            <w:tcW w:w="2547" w:type="dxa"/>
            <w:vMerge/>
            <w:vAlign w:val="bottom"/>
          </w:tcPr>
          <w:p w14:paraId="35364B14"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7EEAFD47"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Early Childhood (Pre-primary School) Teachers</w:t>
            </w:r>
          </w:p>
        </w:tc>
        <w:tc>
          <w:tcPr>
            <w:tcW w:w="1276" w:type="dxa"/>
            <w:tcMar>
              <w:top w:w="0" w:type="dxa"/>
              <w:left w:w="108" w:type="dxa"/>
              <w:bottom w:w="0" w:type="dxa"/>
              <w:right w:w="108" w:type="dxa"/>
            </w:tcMar>
            <w:vAlign w:val="bottom"/>
          </w:tcPr>
          <w:p w14:paraId="180383C8"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5.2</w:t>
            </w:r>
          </w:p>
        </w:tc>
      </w:tr>
      <w:tr w:rsidR="00852FA5" w:rsidRPr="000B64FA" w14:paraId="7F60A716" w14:textId="77777777" w:rsidTr="00176DD9">
        <w:tc>
          <w:tcPr>
            <w:tcW w:w="2547" w:type="dxa"/>
            <w:vMerge/>
            <w:vAlign w:val="bottom"/>
          </w:tcPr>
          <w:p w14:paraId="0122A38B"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28E8ABA4"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Civil Engineering Professionals</w:t>
            </w:r>
          </w:p>
        </w:tc>
        <w:tc>
          <w:tcPr>
            <w:tcW w:w="1276" w:type="dxa"/>
            <w:tcMar>
              <w:top w:w="0" w:type="dxa"/>
              <w:left w:w="108" w:type="dxa"/>
              <w:bottom w:w="0" w:type="dxa"/>
              <w:right w:w="108" w:type="dxa"/>
            </w:tcMar>
            <w:vAlign w:val="bottom"/>
          </w:tcPr>
          <w:p w14:paraId="010D8980"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5.1</w:t>
            </w:r>
          </w:p>
        </w:tc>
      </w:tr>
      <w:tr w:rsidR="00852FA5" w:rsidRPr="000B64FA" w14:paraId="651B61F5" w14:textId="77777777" w:rsidTr="00176DD9">
        <w:tc>
          <w:tcPr>
            <w:tcW w:w="2547" w:type="dxa"/>
            <w:vMerge/>
            <w:vAlign w:val="bottom"/>
          </w:tcPr>
          <w:p w14:paraId="39F6E64D"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4FEDE393"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Software and Applications Programmers</w:t>
            </w:r>
          </w:p>
        </w:tc>
        <w:tc>
          <w:tcPr>
            <w:tcW w:w="1276" w:type="dxa"/>
            <w:tcMar>
              <w:top w:w="0" w:type="dxa"/>
              <w:left w:w="108" w:type="dxa"/>
              <w:bottom w:w="0" w:type="dxa"/>
              <w:right w:w="108" w:type="dxa"/>
            </w:tcMar>
            <w:vAlign w:val="bottom"/>
          </w:tcPr>
          <w:p w14:paraId="744062CE"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5.1</w:t>
            </w:r>
          </w:p>
        </w:tc>
      </w:tr>
      <w:tr w:rsidR="00852FA5" w:rsidRPr="000B64FA" w14:paraId="597E586A" w14:textId="77777777" w:rsidTr="00176DD9">
        <w:tc>
          <w:tcPr>
            <w:tcW w:w="2547" w:type="dxa"/>
            <w:vMerge/>
            <w:vAlign w:val="bottom"/>
          </w:tcPr>
          <w:p w14:paraId="6689EE36" w14:textId="77777777" w:rsidR="00852FA5" w:rsidRPr="000B64FA" w:rsidRDefault="00852FA5" w:rsidP="001D600D">
            <w:pPr>
              <w:spacing w:after="0" w:line="276" w:lineRule="auto"/>
              <w:rPr>
                <w:rFonts w:asciiTheme="minorHAnsi" w:hAnsiTheme="minorHAnsi" w:cstheme="minorHAnsi"/>
                <w:color w:val="000000"/>
              </w:rPr>
            </w:pPr>
          </w:p>
        </w:tc>
        <w:tc>
          <w:tcPr>
            <w:tcW w:w="6520" w:type="dxa"/>
            <w:tcMar>
              <w:top w:w="0" w:type="dxa"/>
              <w:left w:w="108" w:type="dxa"/>
              <w:bottom w:w="0" w:type="dxa"/>
              <w:right w:w="108" w:type="dxa"/>
            </w:tcMar>
            <w:vAlign w:val="bottom"/>
          </w:tcPr>
          <w:p w14:paraId="54847145"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Computer Network Professionals</w:t>
            </w:r>
          </w:p>
        </w:tc>
        <w:tc>
          <w:tcPr>
            <w:tcW w:w="1276" w:type="dxa"/>
            <w:tcMar>
              <w:top w:w="0" w:type="dxa"/>
              <w:left w:w="108" w:type="dxa"/>
              <w:bottom w:w="0" w:type="dxa"/>
              <w:right w:w="108" w:type="dxa"/>
            </w:tcMar>
            <w:vAlign w:val="bottom"/>
          </w:tcPr>
          <w:p w14:paraId="77FA543B" w14:textId="77777777" w:rsidR="00852FA5" w:rsidRPr="000B64FA" w:rsidRDefault="00852FA5" w:rsidP="001D600D">
            <w:pPr>
              <w:spacing w:after="0" w:line="276" w:lineRule="auto"/>
              <w:rPr>
                <w:rFonts w:asciiTheme="minorHAnsi" w:hAnsiTheme="minorHAnsi" w:cstheme="minorHAnsi"/>
              </w:rPr>
            </w:pPr>
            <w:r w:rsidRPr="000B64FA">
              <w:rPr>
                <w:rFonts w:asciiTheme="minorHAnsi" w:hAnsiTheme="minorHAnsi" w:cstheme="minorHAnsi"/>
                <w:color w:val="000000"/>
              </w:rPr>
              <w:t>5.0</w:t>
            </w:r>
          </w:p>
        </w:tc>
      </w:tr>
    </w:tbl>
    <w:p w14:paraId="6F79D3A8" w14:textId="77777777" w:rsidR="00852FA5" w:rsidRPr="00852FA5" w:rsidRDefault="00852FA5" w:rsidP="00852FA5"/>
    <w:p w14:paraId="3ADD5FCC" w14:textId="390EFB4D" w:rsidR="00745D89" w:rsidRDefault="00745D89" w:rsidP="00745D89">
      <w:pPr>
        <w:pStyle w:val="Heading5"/>
      </w:pPr>
      <w:r>
        <w:br w:type="page"/>
      </w:r>
    </w:p>
    <w:p w14:paraId="59B0F5C4" w14:textId="3E0352DF" w:rsidR="00745D89" w:rsidRPr="00BA3297" w:rsidRDefault="00745D89" w:rsidP="00745D89">
      <w:pPr>
        <w:pStyle w:val="Heading5"/>
      </w:pPr>
      <w:r>
        <w:lastRenderedPageBreak/>
        <w:t xml:space="preserve">Table A2: Top regional New South Wales </w:t>
      </w:r>
      <w:r w:rsidR="0064373F">
        <w:t>IVI vacancy</w:t>
      </w:r>
      <w:r>
        <w:t xml:space="preserve"> rat</w:t>
      </w:r>
      <w:r w:rsidR="00A70DCF">
        <w:t>io</w:t>
      </w:r>
      <w:r>
        <w:t>s (</w:t>
      </w:r>
      <w:r w:rsidR="00AA78A0">
        <w:rPr>
          <w:rFonts w:asciiTheme="minorHAnsi" w:hAnsiTheme="minorHAnsi" w:cstheme="minorHAnsi"/>
        </w:rPr>
        <w:t>IVI job</w:t>
      </w:r>
      <w:r w:rsidR="002A1C3A" w:rsidRPr="002E702C">
        <w:rPr>
          <w:rFonts w:asciiTheme="minorHAnsi" w:hAnsiTheme="minorHAnsi" w:cstheme="minorHAnsi"/>
        </w:rPr>
        <w:t xml:space="preserve"> ad</w:t>
      </w:r>
      <w:r w:rsidR="002A1C3A">
        <w:rPr>
          <w:rFonts w:asciiTheme="minorHAnsi" w:hAnsiTheme="minorHAnsi" w:cstheme="minorHAnsi"/>
        </w:rPr>
        <w:t>vertisement</w:t>
      </w:r>
      <w:r w:rsidR="002A1C3A" w:rsidRPr="002E702C">
        <w:rPr>
          <w:rFonts w:asciiTheme="minorHAnsi" w:hAnsiTheme="minorHAnsi" w:cstheme="minorHAnsi"/>
        </w:rPr>
        <w:t xml:space="preserve">s </w:t>
      </w:r>
      <w:r>
        <w:t xml:space="preserve">as a proportion of employment), for occupations in shortage on the 2022 SPL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5953"/>
        <w:gridCol w:w="1276"/>
      </w:tblGrid>
      <w:tr w:rsidR="00745D89" w14:paraId="04F7B6AB" w14:textId="77777777" w:rsidTr="00AD4DDD">
        <w:trPr>
          <w:tblHeader/>
        </w:trPr>
        <w:tc>
          <w:tcPr>
            <w:tcW w:w="3256" w:type="dxa"/>
            <w:shd w:val="clear" w:color="auto" w:fill="441170" w:themeFill="text2"/>
          </w:tcPr>
          <w:p w14:paraId="74D1462D" w14:textId="498784A7" w:rsidR="00745D89" w:rsidRPr="000B64FA" w:rsidRDefault="00745D89" w:rsidP="001D600D">
            <w:pPr>
              <w:spacing w:after="0" w:line="276" w:lineRule="auto"/>
              <w:rPr>
                <w:rFonts w:asciiTheme="minorHAnsi" w:hAnsiTheme="minorHAnsi" w:cstheme="minorHAnsi"/>
                <w:b/>
                <w:bCs/>
                <w:color w:val="FFFFFF" w:themeColor="background1"/>
              </w:rPr>
            </w:pPr>
            <w:r w:rsidRPr="000B64FA">
              <w:rPr>
                <w:rFonts w:asciiTheme="minorHAnsi" w:hAnsiTheme="minorHAnsi" w:cstheme="minorHAnsi"/>
                <w:b/>
                <w:bCs/>
                <w:color w:val="FFFFFF" w:themeColor="background1"/>
              </w:rPr>
              <w:t>N</w:t>
            </w:r>
            <w:r w:rsidR="00172136">
              <w:rPr>
                <w:rFonts w:asciiTheme="minorHAnsi" w:hAnsiTheme="minorHAnsi" w:cstheme="minorHAnsi"/>
                <w:b/>
                <w:bCs/>
                <w:color w:val="FFFFFF" w:themeColor="background1"/>
              </w:rPr>
              <w:t xml:space="preserve">ew </w:t>
            </w:r>
            <w:r w:rsidRPr="000B64FA">
              <w:rPr>
                <w:rFonts w:asciiTheme="minorHAnsi" w:hAnsiTheme="minorHAnsi" w:cstheme="minorHAnsi"/>
                <w:b/>
                <w:bCs/>
                <w:color w:val="FFFFFF" w:themeColor="background1"/>
              </w:rPr>
              <w:t>S</w:t>
            </w:r>
            <w:r w:rsidR="00172136">
              <w:rPr>
                <w:rFonts w:asciiTheme="minorHAnsi" w:hAnsiTheme="minorHAnsi" w:cstheme="minorHAnsi"/>
                <w:b/>
                <w:bCs/>
                <w:color w:val="FFFFFF" w:themeColor="background1"/>
              </w:rPr>
              <w:t xml:space="preserve">outh </w:t>
            </w:r>
            <w:r w:rsidRPr="000B64FA">
              <w:rPr>
                <w:rFonts w:asciiTheme="minorHAnsi" w:hAnsiTheme="minorHAnsi" w:cstheme="minorHAnsi"/>
                <w:b/>
                <w:bCs/>
                <w:color w:val="FFFFFF" w:themeColor="background1"/>
              </w:rPr>
              <w:t>W</w:t>
            </w:r>
            <w:r w:rsidR="00172136">
              <w:rPr>
                <w:rFonts w:asciiTheme="minorHAnsi" w:hAnsiTheme="minorHAnsi" w:cstheme="minorHAnsi"/>
                <w:b/>
                <w:bCs/>
                <w:color w:val="FFFFFF" w:themeColor="background1"/>
              </w:rPr>
              <w:t>ales</w:t>
            </w:r>
            <w:r>
              <w:rPr>
                <w:rFonts w:asciiTheme="minorHAnsi" w:hAnsiTheme="minorHAnsi" w:cstheme="minorHAnsi"/>
                <w:b/>
                <w:bCs/>
                <w:color w:val="FFFFFF" w:themeColor="background1"/>
              </w:rPr>
              <w:t xml:space="preserve"> SA4 Region</w:t>
            </w:r>
          </w:p>
        </w:tc>
        <w:tc>
          <w:tcPr>
            <w:tcW w:w="5953" w:type="dxa"/>
            <w:shd w:val="clear" w:color="auto" w:fill="441170" w:themeFill="text2"/>
            <w:tcMar>
              <w:top w:w="0" w:type="dxa"/>
              <w:left w:w="108" w:type="dxa"/>
              <w:bottom w:w="0" w:type="dxa"/>
              <w:right w:w="108" w:type="dxa"/>
            </w:tcMar>
            <w:hideMark/>
          </w:tcPr>
          <w:p w14:paraId="1B7E34B8" w14:textId="77777777" w:rsidR="00745D89" w:rsidRPr="000B64FA" w:rsidRDefault="00745D89" w:rsidP="001D600D">
            <w:pPr>
              <w:spacing w:after="0" w:line="276" w:lineRule="auto"/>
              <w:rPr>
                <w:rFonts w:asciiTheme="minorHAnsi" w:hAnsiTheme="minorHAnsi" w:cstheme="minorHAnsi"/>
                <w:b/>
                <w:bCs/>
                <w:color w:val="FFFFFF" w:themeColor="background1"/>
              </w:rPr>
            </w:pPr>
            <w:r w:rsidRPr="000B64FA">
              <w:rPr>
                <w:rFonts w:asciiTheme="minorHAnsi" w:hAnsiTheme="minorHAnsi" w:cstheme="minorHAnsi"/>
                <w:b/>
                <w:bCs/>
                <w:color w:val="FFFFFF" w:themeColor="background1"/>
              </w:rPr>
              <w:t xml:space="preserve">Occupations </w:t>
            </w:r>
          </w:p>
        </w:tc>
        <w:tc>
          <w:tcPr>
            <w:tcW w:w="1276" w:type="dxa"/>
            <w:shd w:val="clear" w:color="auto" w:fill="441170" w:themeFill="text2"/>
            <w:tcMar>
              <w:top w:w="0" w:type="dxa"/>
              <w:left w:w="108" w:type="dxa"/>
              <w:bottom w:w="0" w:type="dxa"/>
              <w:right w:w="108" w:type="dxa"/>
            </w:tcMar>
            <w:hideMark/>
          </w:tcPr>
          <w:p w14:paraId="53B940CC" w14:textId="1090C1CC" w:rsidR="00745D89" w:rsidRPr="000B64FA" w:rsidRDefault="0064373F" w:rsidP="001D600D">
            <w:pPr>
              <w:spacing w:after="0" w:line="276" w:lineRule="auto"/>
              <w:rPr>
                <w:rFonts w:asciiTheme="minorHAnsi" w:hAnsiTheme="minorHAnsi" w:cstheme="minorHAnsi"/>
                <w:b/>
                <w:bCs/>
                <w:color w:val="FFFFFF" w:themeColor="background1"/>
              </w:rPr>
            </w:pPr>
            <w:r>
              <w:rPr>
                <w:rFonts w:asciiTheme="minorHAnsi" w:hAnsiTheme="minorHAnsi" w:cstheme="minorHAnsi"/>
                <w:b/>
                <w:bCs/>
                <w:color w:val="FFFFFF"/>
              </w:rPr>
              <w:t>IVI vacancy</w:t>
            </w:r>
            <w:r w:rsidR="00745D89">
              <w:rPr>
                <w:rFonts w:asciiTheme="minorHAnsi" w:hAnsiTheme="minorHAnsi" w:cstheme="minorHAnsi"/>
                <w:b/>
                <w:bCs/>
                <w:color w:val="FFFFFF"/>
              </w:rPr>
              <w:t xml:space="preserve"> </w:t>
            </w:r>
            <w:r w:rsidR="00502054">
              <w:rPr>
                <w:rFonts w:asciiTheme="minorHAnsi" w:hAnsiTheme="minorHAnsi" w:cstheme="minorHAnsi"/>
                <w:b/>
                <w:bCs/>
                <w:color w:val="FFFFFF"/>
              </w:rPr>
              <w:t>r</w:t>
            </w:r>
            <w:r w:rsidR="00745D89">
              <w:rPr>
                <w:rFonts w:asciiTheme="minorHAnsi" w:hAnsiTheme="minorHAnsi" w:cstheme="minorHAnsi"/>
                <w:b/>
                <w:bCs/>
                <w:color w:val="FFFFFF"/>
              </w:rPr>
              <w:t>atio</w:t>
            </w:r>
            <w:r w:rsidR="00745D89" w:rsidRPr="002E702C">
              <w:rPr>
                <w:rFonts w:asciiTheme="minorHAnsi" w:hAnsiTheme="minorHAnsi" w:cstheme="minorHAnsi"/>
                <w:b/>
                <w:bCs/>
                <w:color w:val="FFFFFF"/>
              </w:rPr>
              <w:t xml:space="preserve"> (%)</w:t>
            </w:r>
          </w:p>
        </w:tc>
      </w:tr>
      <w:tr w:rsidR="00745D89" w14:paraId="486EC2DA" w14:textId="77777777" w:rsidTr="00A64361">
        <w:tc>
          <w:tcPr>
            <w:tcW w:w="3256" w:type="dxa"/>
            <w:vMerge w:val="restart"/>
            <w:vAlign w:val="bottom"/>
          </w:tcPr>
          <w:p w14:paraId="2E276875"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Capital Region</w:t>
            </w:r>
          </w:p>
        </w:tc>
        <w:tc>
          <w:tcPr>
            <w:tcW w:w="5953" w:type="dxa"/>
            <w:tcMar>
              <w:top w:w="0" w:type="dxa"/>
              <w:left w:w="108" w:type="dxa"/>
              <w:bottom w:w="0" w:type="dxa"/>
              <w:right w:w="108" w:type="dxa"/>
            </w:tcMar>
            <w:vAlign w:val="bottom"/>
            <w:hideMark/>
          </w:tcPr>
          <w:p w14:paraId="38DF1C08"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hideMark/>
          </w:tcPr>
          <w:p w14:paraId="62433C57"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12.5</w:t>
            </w:r>
          </w:p>
        </w:tc>
      </w:tr>
      <w:tr w:rsidR="00745D89" w14:paraId="57424D56" w14:textId="77777777" w:rsidTr="00A64361">
        <w:tc>
          <w:tcPr>
            <w:tcW w:w="3256" w:type="dxa"/>
            <w:vMerge/>
            <w:vAlign w:val="bottom"/>
          </w:tcPr>
          <w:p w14:paraId="5C35F897"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1D8E9911"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0292DD59"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8.7</w:t>
            </w:r>
          </w:p>
        </w:tc>
      </w:tr>
      <w:tr w:rsidR="00745D89" w14:paraId="10BEC532" w14:textId="77777777" w:rsidTr="00A64361">
        <w:tc>
          <w:tcPr>
            <w:tcW w:w="3256" w:type="dxa"/>
            <w:vMerge/>
            <w:vAlign w:val="bottom"/>
          </w:tcPr>
          <w:p w14:paraId="259DCA51"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31674963"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Civil Engineering Professionals</w:t>
            </w:r>
          </w:p>
        </w:tc>
        <w:tc>
          <w:tcPr>
            <w:tcW w:w="1276" w:type="dxa"/>
            <w:tcMar>
              <w:top w:w="0" w:type="dxa"/>
              <w:left w:w="108" w:type="dxa"/>
              <w:bottom w:w="0" w:type="dxa"/>
              <w:right w:w="108" w:type="dxa"/>
            </w:tcMar>
            <w:vAlign w:val="bottom"/>
          </w:tcPr>
          <w:p w14:paraId="62772B23"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7.5</w:t>
            </w:r>
          </w:p>
        </w:tc>
      </w:tr>
      <w:tr w:rsidR="00745D89" w14:paraId="46FB7440" w14:textId="77777777" w:rsidTr="00A64361">
        <w:tc>
          <w:tcPr>
            <w:tcW w:w="3256" w:type="dxa"/>
            <w:vMerge/>
            <w:vAlign w:val="bottom"/>
          </w:tcPr>
          <w:p w14:paraId="019FBCB9"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6817C977"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Early Childhood (Pre-primary School) Teachers</w:t>
            </w:r>
          </w:p>
        </w:tc>
        <w:tc>
          <w:tcPr>
            <w:tcW w:w="1276" w:type="dxa"/>
            <w:tcMar>
              <w:top w:w="0" w:type="dxa"/>
              <w:left w:w="108" w:type="dxa"/>
              <w:bottom w:w="0" w:type="dxa"/>
              <w:right w:w="108" w:type="dxa"/>
            </w:tcMar>
            <w:vAlign w:val="bottom"/>
          </w:tcPr>
          <w:p w14:paraId="7398C647"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6.5</w:t>
            </w:r>
          </w:p>
        </w:tc>
      </w:tr>
      <w:tr w:rsidR="00745D89" w14:paraId="31FEBBCC" w14:textId="77777777" w:rsidTr="00A64361">
        <w:tc>
          <w:tcPr>
            <w:tcW w:w="3256" w:type="dxa"/>
            <w:vMerge/>
            <w:vAlign w:val="bottom"/>
          </w:tcPr>
          <w:p w14:paraId="37A788CD"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3137FA3D"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Physiotherapists</w:t>
            </w:r>
          </w:p>
        </w:tc>
        <w:tc>
          <w:tcPr>
            <w:tcW w:w="1276" w:type="dxa"/>
            <w:tcMar>
              <w:top w:w="0" w:type="dxa"/>
              <w:left w:w="108" w:type="dxa"/>
              <w:bottom w:w="0" w:type="dxa"/>
              <w:right w:w="108" w:type="dxa"/>
            </w:tcMar>
            <w:vAlign w:val="bottom"/>
          </w:tcPr>
          <w:p w14:paraId="4B87C0DD"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4.7</w:t>
            </w:r>
          </w:p>
        </w:tc>
      </w:tr>
      <w:tr w:rsidR="00745D89" w14:paraId="4626B9E7" w14:textId="77777777" w:rsidTr="00A64361">
        <w:tc>
          <w:tcPr>
            <w:tcW w:w="3256" w:type="dxa"/>
            <w:vMerge w:val="restart"/>
            <w:vAlign w:val="bottom"/>
          </w:tcPr>
          <w:p w14:paraId="14774EF6"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Central West</w:t>
            </w:r>
          </w:p>
        </w:tc>
        <w:tc>
          <w:tcPr>
            <w:tcW w:w="5953" w:type="dxa"/>
            <w:tcMar>
              <w:top w:w="0" w:type="dxa"/>
              <w:left w:w="108" w:type="dxa"/>
              <w:bottom w:w="0" w:type="dxa"/>
              <w:right w:w="108" w:type="dxa"/>
            </w:tcMar>
            <w:vAlign w:val="bottom"/>
          </w:tcPr>
          <w:p w14:paraId="401D02A4"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33FB2E29"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8.5</w:t>
            </w:r>
          </w:p>
        </w:tc>
      </w:tr>
      <w:tr w:rsidR="00745D89" w14:paraId="577F8CA4" w14:textId="77777777" w:rsidTr="00A64361">
        <w:tc>
          <w:tcPr>
            <w:tcW w:w="3256" w:type="dxa"/>
            <w:vMerge/>
            <w:vAlign w:val="bottom"/>
          </w:tcPr>
          <w:p w14:paraId="56B6B90B"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3AE5CAF1"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Early Childhood (Pre-primary School) Teachers</w:t>
            </w:r>
          </w:p>
        </w:tc>
        <w:tc>
          <w:tcPr>
            <w:tcW w:w="1276" w:type="dxa"/>
            <w:tcMar>
              <w:top w:w="0" w:type="dxa"/>
              <w:left w:w="108" w:type="dxa"/>
              <w:bottom w:w="0" w:type="dxa"/>
              <w:right w:w="108" w:type="dxa"/>
            </w:tcMar>
            <w:vAlign w:val="bottom"/>
          </w:tcPr>
          <w:p w14:paraId="1CA74144"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6.7</w:t>
            </w:r>
          </w:p>
        </w:tc>
      </w:tr>
      <w:tr w:rsidR="00745D89" w14:paraId="5F46FEB5" w14:textId="77777777" w:rsidTr="00A64361">
        <w:tc>
          <w:tcPr>
            <w:tcW w:w="3256" w:type="dxa"/>
            <w:vMerge/>
            <w:vAlign w:val="bottom"/>
          </w:tcPr>
          <w:p w14:paraId="53435F98"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5AB73943"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421CA086"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4.9</w:t>
            </w:r>
          </w:p>
        </w:tc>
      </w:tr>
      <w:tr w:rsidR="00745D89" w14:paraId="14BD296D" w14:textId="77777777" w:rsidTr="00A64361">
        <w:tc>
          <w:tcPr>
            <w:tcW w:w="3256" w:type="dxa"/>
            <w:vMerge/>
            <w:vAlign w:val="bottom"/>
          </w:tcPr>
          <w:p w14:paraId="41A65147"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2488DD5F"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Civil Engineering Professionals</w:t>
            </w:r>
          </w:p>
        </w:tc>
        <w:tc>
          <w:tcPr>
            <w:tcW w:w="1276" w:type="dxa"/>
            <w:tcMar>
              <w:top w:w="0" w:type="dxa"/>
              <w:left w:w="108" w:type="dxa"/>
              <w:bottom w:w="0" w:type="dxa"/>
              <w:right w:w="108" w:type="dxa"/>
            </w:tcMar>
            <w:vAlign w:val="bottom"/>
          </w:tcPr>
          <w:p w14:paraId="31A1516A"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4.3</w:t>
            </w:r>
          </w:p>
        </w:tc>
      </w:tr>
      <w:tr w:rsidR="00745D89" w14:paraId="60A6B6BA" w14:textId="77777777" w:rsidTr="00A64361">
        <w:tc>
          <w:tcPr>
            <w:tcW w:w="3256" w:type="dxa"/>
            <w:vAlign w:val="bottom"/>
          </w:tcPr>
          <w:p w14:paraId="37EAECE0"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Coffs Harbour - Grafton</w:t>
            </w:r>
          </w:p>
        </w:tc>
        <w:tc>
          <w:tcPr>
            <w:tcW w:w="5953" w:type="dxa"/>
            <w:tcMar>
              <w:top w:w="0" w:type="dxa"/>
              <w:left w:w="108" w:type="dxa"/>
              <w:bottom w:w="0" w:type="dxa"/>
              <w:right w:w="108" w:type="dxa"/>
            </w:tcMar>
            <w:vAlign w:val="bottom"/>
          </w:tcPr>
          <w:p w14:paraId="4A8E22A5"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49D3E28A"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7.6</w:t>
            </w:r>
          </w:p>
        </w:tc>
      </w:tr>
      <w:tr w:rsidR="00745D89" w14:paraId="533882EF" w14:textId="77777777" w:rsidTr="00A64361">
        <w:tc>
          <w:tcPr>
            <w:tcW w:w="3256" w:type="dxa"/>
            <w:vMerge w:val="restart"/>
            <w:vAlign w:val="bottom"/>
          </w:tcPr>
          <w:p w14:paraId="76BCDB4D"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Far West and Orana</w:t>
            </w:r>
          </w:p>
        </w:tc>
        <w:tc>
          <w:tcPr>
            <w:tcW w:w="5953" w:type="dxa"/>
            <w:tcMar>
              <w:top w:w="0" w:type="dxa"/>
              <w:left w:w="108" w:type="dxa"/>
              <w:bottom w:w="0" w:type="dxa"/>
              <w:right w:w="108" w:type="dxa"/>
            </w:tcMar>
            <w:vAlign w:val="bottom"/>
          </w:tcPr>
          <w:p w14:paraId="46362217"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25C6B5C8"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20.7</w:t>
            </w:r>
          </w:p>
        </w:tc>
      </w:tr>
      <w:tr w:rsidR="00745D89" w14:paraId="3362E5D6" w14:textId="77777777" w:rsidTr="00A64361">
        <w:tc>
          <w:tcPr>
            <w:tcW w:w="3256" w:type="dxa"/>
            <w:vMerge/>
            <w:vAlign w:val="bottom"/>
          </w:tcPr>
          <w:p w14:paraId="3A03FD64"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461CB4C1"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Civil Engineering Professionals</w:t>
            </w:r>
          </w:p>
        </w:tc>
        <w:tc>
          <w:tcPr>
            <w:tcW w:w="1276" w:type="dxa"/>
            <w:tcMar>
              <w:top w:w="0" w:type="dxa"/>
              <w:left w:w="108" w:type="dxa"/>
              <w:bottom w:w="0" w:type="dxa"/>
              <w:right w:w="108" w:type="dxa"/>
            </w:tcMar>
            <w:vAlign w:val="bottom"/>
          </w:tcPr>
          <w:p w14:paraId="564F1845"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12.8</w:t>
            </w:r>
          </w:p>
        </w:tc>
      </w:tr>
      <w:tr w:rsidR="00745D89" w14:paraId="21074DFA" w14:textId="77777777" w:rsidTr="00A64361">
        <w:tc>
          <w:tcPr>
            <w:tcW w:w="3256" w:type="dxa"/>
            <w:vMerge/>
            <w:vAlign w:val="bottom"/>
          </w:tcPr>
          <w:p w14:paraId="74180341"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5841BD83"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Early Childhood (Pre-primary School) Teachers</w:t>
            </w:r>
          </w:p>
        </w:tc>
        <w:tc>
          <w:tcPr>
            <w:tcW w:w="1276" w:type="dxa"/>
            <w:tcMar>
              <w:top w:w="0" w:type="dxa"/>
              <w:left w:w="108" w:type="dxa"/>
              <w:bottom w:w="0" w:type="dxa"/>
              <w:right w:w="108" w:type="dxa"/>
            </w:tcMar>
            <w:vAlign w:val="bottom"/>
          </w:tcPr>
          <w:p w14:paraId="6D102FD1"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7.3</w:t>
            </w:r>
          </w:p>
        </w:tc>
      </w:tr>
      <w:tr w:rsidR="00745D89" w14:paraId="6422D106" w14:textId="77777777" w:rsidTr="00A64361">
        <w:tc>
          <w:tcPr>
            <w:tcW w:w="3256" w:type="dxa"/>
            <w:vMerge/>
            <w:vAlign w:val="bottom"/>
          </w:tcPr>
          <w:p w14:paraId="30473CC6"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37F34050"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Enrolled and Mothercraft Nurses</w:t>
            </w:r>
          </w:p>
        </w:tc>
        <w:tc>
          <w:tcPr>
            <w:tcW w:w="1276" w:type="dxa"/>
            <w:tcMar>
              <w:top w:w="0" w:type="dxa"/>
              <w:left w:w="108" w:type="dxa"/>
              <w:bottom w:w="0" w:type="dxa"/>
              <w:right w:w="108" w:type="dxa"/>
            </w:tcMar>
            <w:vAlign w:val="bottom"/>
          </w:tcPr>
          <w:p w14:paraId="09F70260"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6.3</w:t>
            </w:r>
          </w:p>
        </w:tc>
      </w:tr>
      <w:tr w:rsidR="00745D89" w14:paraId="467C307F" w14:textId="77777777" w:rsidTr="00A64361">
        <w:tc>
          <w:tcPr>
            <w:tcW w:w="3256" w:type="dxa"/>
            <w:vMerge/>
            <w:vAlign w:val="bottom"/>
          </w:tcPr>
          <w:p w14:paraId="26B9BD35"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3E9C4E8E"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Registered Nurses</w:t>
            </w:r>
          </w:p>
        </w:tc>
        <w:tc>
          <w:tcPr>
            <w:tcW w:w="1276" w:type="dxa"/>
            <w:tcMar>
              <w:top w:w="0" w:type="dxa"/>
              <w:left w:w="108" w:type="dxa"/>
              <w:bottom w:w="0" w:type="dxa"/>
              <w:right w:w="108" w:type="dxa"/>
            </w:tcMar>
            <w:vAlign w:val="bottom"/>
          </w:tcPr>
          <w:p w14:paraId="0D7E6F30"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5.3</w:t>
            </w:r>
          </w:p>
        </w:tc>
      </w:tr>
      <w:tr w:rsidR="00745D89" w14:paraId="7849D134" w14:textId="77777777" w:rsidTr="00A64361">
        <w:tc>
          <w:tcPr>
            <w:tcW w:w="3256" w:type="dxa"/>
            <w:vMerge w:val="restart"/>
            <w:vAlign w:val="bottom"/>
          </w:tcPr>
          <w:p w14:paraId="255D4A7C" w14:textId="55694DD9"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Hunter Valley exc</w:t>
            </w:r>
            <w:r w:rsidR="00A64361">
              <w:rPr>
                <w:rFonts w:asciiTheme="minorHAnsi" w:hAnsiTheme="minorHAnsi" w:cstheme="minorHAnsi"/>
                <w:color w:val="000000"/>
              </w:rPr>
              <w:t>l.</w:t>
            </w:r>
            <w:r w:rsidRPr="000B64FA">
              <w:rPr>
                <w:rFonts w:asciiTheme="minorHAnsi" w:hAnsiTheme="minorHAnsi" w:cstheme="minorHAnsi"/>
                <w:color w:val="000000"/>
              </w:rPr>
              <w:t xml:space="preserve"> Newcastle</w:t>
            </w:r>
          </w:p>
        </w:tc>
        <w:tc>
          <w:tcPr>
            <w:tcW w:w="5953" w:type="dxa"/>
            <w:tcMar>
              <w:top w:w="0" w:type="dxa"/>
              <w:left w:w="108" w:type="dxa"/>
              <w:bottom w:w="0" w:type="dxa"/>
              <w:right w:w="108" w:type="dxa"/>
            </w:tcMar>
            <w:vAlign w:val="bottom"/>
          </w:tcPr>
          <w:p w14:paraId="06FF426E"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Mining Engineers</w:t>
            </w:r>
          </w:p>
        </w:tc>
        <w:tc>
          <w:tcPr>
            <w:tcW w:w="1276" w:type="dxa"/>
            <w:tcMar>
              <w:top w:w="0" w:type="dxa"/>
              <w:left w:w="108" w:type="dxa"/>
              <w:bottom w:w="0" w:type="dxa"/>
              <w:right w:w="108" w:type="dxa"/>
            </w:tcMar>
            <w:vAlign w:val="bottom"/>
          </w:tcPr>
          <w:p w14:paraId="09A41F1A"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12.3</w:t>
            </w:r>
          </w:p>
        </w:tc>
      </w:tr>
      <w:tr w:rsidR="00745D89" w14:paraId="5A0AEA7E" w14:textId="77777777" w:rsidTr="00A64361">
        <w:tc>
          <w:tcPr>
            <w:tcW w:w="3256" w:type="dxa"/>
            <w:vMerge/>
            <w:vAlign w:val="bottom"/>
          </w:tcPr>
          <w:p w14:paraId="42EBB0E6"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66EE4EE1"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5F54FA15"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10.8</w:t>
            </w:r>
          </w:p>
        </w:tc>
      </w:tr>
      <w:tr w:rsidR="00745D89" w14:paraId="4E4C76C8" w14:textId="77777777" w:rsidTr="00A64361">
        <w:tc>
          <w:tcPr>
            <w:tcW w:w="3256" w:type="dxa"/>
            <w:vMerge/>
            <w:vAlign w:val="bottom"/>
          </w:tcPr>
          <w:p w14:paraId="6FD2CF11"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055EC394"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Cooks</w:t>
            </w:r>
          </w:p>
        </w:tc>
        <w:tc>
          <w:tcPr>
            <w:tcW w:w="1276" w:type="dxa"/>
            <w:tcMar>
              <w:top w:w="0" w:type="dxa"/>
              <w:left w:w="108" w:type="dxa"/>
              <w:bottom w:w="0" w:type="dxa"/>
              <w:right w:w="108" w:type="dxa"/>
            </w:tcMar>
            <w:vAlign w:val="bottom"/>
          </w:tcPr>
          <w:p w14:paraId="1F81B6BF"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6.5</w:t>
            </w:r>
          </w:p>
        </w:tc>
      </w:tr>
      <w:tr w:rsidR="00745D89" w14:paraId="1BE7D447" w14:textId="77777777" w:rsidTr="00A64361">
        <w:tc>
          <w:tcPr>
            <w:tcW w:w="3256" w:type="dxa"/>
            <w:vMerge/>
            <w:vAlign w:val="bottom"/>
          </w:tcPr>
          <w:p w14:paraId="6675B5BD"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4CCA00C1"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Civil Engineering Professionals</w:t>
            </w:r>
          </w:p>
        </w:tc>
        <w:tc>
          <w:tcPr>
            <w:tcW w:w="1276" w:type="dxa"/>
            <w:tcMar>
              <w:top w:w="0" w:type="dxa"/>
              <w:left w:w="108" w:type="dxa"/>
              <w:bottom w:w="0" w:type="dxa"/>
              <w:right w:w="108" w:type="dxa"/>
            </w:tcMar>
            <w:vAlign w:val="bottom"/>
          </w:tcPr>
          <w:p w14:paraId="7C8BD7EF"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6.5</w:t>
            </w:r>
          </w:p>
        </w:tc>
      </w:tr>
      <w:tr w:rsidR="00745D89" w14:paraId="3670C1D9" w14:textId="77777777" w:rsidTr="00A64361">
        <w:tc>
          <w:tcPr>
            <w:tcW w:w="3256" w:type="dxa"/>
            <w:vMerge/>
            <w:vAlign w:val="bottom"/>
          </w:tcPr>
          <w:p w14:paraId="27C7635D"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273BA9C6"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Physiotherapists</w:t>
            </w:r>
          </w:p>
        </w:tc>
        <w:tc>
          <w:tcPr>
            <w:tcW w:w="1276" w:type="dxa"/>
            <w:tcMar>
              <w:top w:w="0" w:type="dxa"/>
              <w:left w:w="108" w:type="dxa"/>
              <w:bottom w:w="0" w:type="dxa"/>
              <w:right w:w="108" w:type="dxa"/>
            </w:tcMar>
            <w:vAlign w:val="bottom"/>
          </w:tcPr>
          <w:p w14:paraId="36ECD33E"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6.0</w:t>
            </w:r>
          </w:p>
        </w:tc>
      </w:tr>
      <w:tr w:rsidR="00745D89" w14:paraId="7C91E8C2" w14:textId="77777777" w:rsidTr="00A64361">
        <w:tc>
          <w:tcPr>
            <w:tcW w:w="3256" w:type="dxa"/>
            <w:vMerge/>
            <w:vAlign w:val="bottom"/>
          </w:tcPr>
          <w:p w14:paraId="1EC970E2"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30FC59C8"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Software and Applications Programmers</w:t>
            </w:r>
          </w:p>
        </w:tc>
        <w:tc>
          <w:tcPr>
            <w:tcW w:w="1276" w:type="dxa"/>
            <w:tcMar>
              <w:top w:w="0" w:type="dxa"/>
              <w:left w:w="108" w:type="dxa"/>
              <w:bottom w:w="0" w:type="dxa"/>
              <w:right w:w="108" w:type="dxa"/>
            </w:tcMar>
            <w:vAlign w:val="bottom"/>
          </w:tcPr>
          <w:p w14:paraId="5C0D12AA"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4.8</w:t>
            </w:r>
          </w:p>
        </w:tc>
      </w:tr>
      <w:tr w:rsidR="00745D89" w14:paraId="25168B7B" w14:textId="77777777" w:rsidTr="00A64361">
        <w:tc>
          <w:tcPr>
            <w:tcW w:w="3256" w:type="dxa"/>
            <w:vMerge/>
            <w:vAlign w:val="bottom"/>
          </w:tcPr>
          <w:p w14:paraId="049B54FD"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561820C9"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Enrolled and Mothercraft Nurses</w:t>
            </w:r>
          </w:p>
        </w:tc>
        <w:tc>
          <w:tcPr>
            <w:tcW w:w="1276" w:type="dxa"/>
            <w:tcMar>
              <w:top w:w="0" w:type="dxa"/>
              <w:left w:w="108" w:type="dxa"/>
              <w:bottom w:w="0" w:type="dxa"/>
              <w:right w:w="108" w:type="dxa"/>
            </w:tcMar>
            <w:vAlign w:val="bottom"/>
          </w:tcPr>
          <w:p w14:paraId="76AEA5AB"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4.7</w:t>
            </w:r>
          </w:p>
        </w:tc>
      </w:tr>
      <w:tr w:rsidR="00745D89" w14:paraId="166409E2" w14:textId="77777777" w:rsidTr="00A64361">
        <w:tc>
          <w:tcPr>
            <w:tcW w:w="3256" w:type="dxa"/>
            <w:vMerge/>
            <w:vAlign w:val="bottom"/>
          </w:tcPr>
          <w:p w14:paraId="6CF1B8FC"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10528A72"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Early Childhood (Pre-primary School) Teachers</w:t>
            </w:r>
          </w:p>
        </w:tc>
        <w:tc>
          <w:tcPr>
            <w:tcW w:w="1276" w:type="dxa"/>
            <w:tcMar>
              <w:top w:w="0" w:type="dxa"/>
              <w:left w:w="108" w:type="dxa"/>
              <w:bottom w:w="0" w:type="dxa"/>
              <w:right w:w="108" w:type="dxa"/>
            </w:tcMar>
            <w:vAlign w:val="bottom"/>
          </w:tcPr>
          <w:p w14:paraId="4995E44C"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4.5</w:t>
            </w:r>
          </w:p>
        </w:tc>
      </w:tr>
      <w:tr w:rsidR="00745D89" w14:paraId="3D76DA51" w14:textId="77777777" w:rsidTr="00A64361">
        <w:tc>
          <w:tcPr>
            <w:tcW w:w="3256" w:type="dxa"/>
            <w:vMerge/>
            <w:vAlign w:val="bottom"/>
          </w:tcPr>
          <w:p w14:paraId="16DBE784"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0D4D6037"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Psychologists</w:t>
            </w:r>
          </w:p>
        </w:tc>
        <w:tc>
          <w:tcPr>
            <w:tcW w:w="1276" w:type="dxa"/>
            <w:tcMar>
              <w:top w:w="0" w:type="dxa"/>
              <w:left w:w="108" w:type="dxa"/>
              <w:bottom w:w="0" w:type="dxa"/>
              <w:right w:w="108" w:type="dxa"/>
            </w:tcMar>
            <w:vAlign w:val="bottom"/>
          </w:tcPr>
          <w:p w14:paraId="6C70C65D"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4.5</w:t>
            </w:r>
          </w:p>
        </w:tc>
      </w:tr>
      <w:tr w:rsidR="00745D89" w14:paraId="599FBC92" w14:textId="77777777" w:rsidTr="00A64361">
        <w:tc>
          <w:tcPr>
            <w:tcW w:w="3256" w:type="dxa"/>
            <w:vMerge w:val="restart"/>
            <w:vAlign w:val="bottom"/>
          </w:tcPr>
          <w:p w14:paraId="13A22B12"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Illawarra</w:t>
            </w:r>
          </w:p>
        </w:tc>
        <w:tc>
          <w:tcPr>
            <w:tcW w:w="5953" w:type="dxa"/>
            <w:tcMar>
              <w:top w:w="0" w:type="dxa"/>
              <w:left w:w="108" w:type="dxa"/>
              <w:bottom w:w="0" w:type="dxa"/>
              <w:right w:w="108" w:type="dxa"/>
            </w:tcMar>
            <w:vAlign w:val="bottom"/>
          </w:tcPr>
          <w:p w14:paraId="4F5B1C9E"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7565B362"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10.0</w:t>
            </w:r>
          </w:p>
        </w:tc>
      </w:tr>
      <w:tr w:rsidR="00745D89" w14:paraId="1D66364B" w14:textId="77777777" w:rsidTr="00A64361">
        <w:tc>
          <w:tcPr>
            <w:tcW w:w="3256" w:type="dxa"/>
            <w:vMerge/>
            <w:vAlign w:val="bottom"/>
          </w:tcPr>
          <w:p w14:paraId="6012248C"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33110433"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Audiologists and Speech Pathologists \ Therapists</w:t>
            </w:r>
          </w:p>
        </w:tc>
        <w:tc>
          <w:tcPr>
            <w:tcW w:w="1276" w:type="dxa"/>
            <w:tcMar>
              <w:top w:w="0" w:type="dxa"/>
              <w:left w:w="108" w:type="dxa"/>
              <w:bottom w:w="0" w:type="dxa"/>
              <w:right w:w="108" w:type="dxa"/>
            </w:tcMar>
            <w:vAlign w:val="bottom"/>
          </w:tcPr>
          <w:p w14:paraId="2EDADD3D"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9.4</w:t>
            </w:r>
          </w:p>
        </w:tc>
      </w:tr>
      <w:tr w:rsidR="00745D89" w14:paraId="614F6A27" w14:textId="77777777" w:rsidTr="00A64361">
        <w:tc>
          <w:tcPr>
            <w:tcW w:w="3256" w:type="dxa"/>
            <w:vMerge/>
            <w:vAlign w:val="bottom"/>
          </w:tcPr>
          <w:p w14:paraId="753D9982"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57370E41"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762AC188"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8.0</w:t>
            </w:r>
          </w:p>
        </w:tc>
      </w:tr>
      <w:tr w:rsidR="00745D89" w14:paraId="44BE64BA" w14:textId="77777777" w:rsidTr="00A64361">
        <w:tc>
          <w:tcPr>
            <w:tcW w:w="3256" w:type="dxa"/>
            <w:vMerge/>
            <w:vAlign w:val="bottom"/>
          </w:tcPr>
          <w:p w14:paraId="3EA83BCD"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570AF4F3"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Cooks</w:t>
            </w:r>
          </w:p>
        </w:tc>
        <w:tc>
          <w:tcPr>
            <w:tcW w:w="1276" w:type="dxa"/>
            <w:tcMar>
              <w:top w:w="0" w:type="dxa"/>
              <w:left w:w="108" w:type="dxa"/>
              <w:bottom w:w="0" w:type="dxa"/>
              <w:right w:w="108" w:type="dxa"/>
            </w:tcMar>
            <w:vAlign w:val="bottom"/>
          </w:tcPr>
          <w:p w14:paraId="5A63E112"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7.4</w:t>
            </w:r>
          </w:p>
        </w:tc>
      </w:tr>
      <w:tr w:rsidR="00745D89" w14:paraId="37274F93" w14:textId="77777777" w:rsidTr="00A64361">
        <w:tc>
          <w:tcPr>
            <w:tcW w:w="3256" w:type="dxa"/>
            <w:vMerge/>
            <w:vAlign w:val="bottom"/>
          </w:tcPr>
          <w:p w14:paraId="572B10B5"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2A2CC121"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Medical Imaging Professionals</w:t>
            </w:r>
          </w:p>
        </w:tc>
        <w:tc>
          <w:tcPr>
            <w:tcW w:w="1276" w:type="dxa"/>
            <w:tcMar>
              <w:top w:w="0" w:type="dxa"/>
              <w:left w:w="108" w:type="dxa"/>
              <w:bottom w:w="0" w:type="dxa"/>
              <w:right w:w="108" w:type="dxa"/>
            </w:tcMar>
            <w:vAlign w:val="bottom"/>
          </w:tcPr>
          <w:p w14:paraId="11F9CC82"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4.5</w:t>
            </w:r>
          </w:p>
        </w:tc>
      </w:tr>
      <w:tr w:rsidR="00745D89" w14:paraId="35D32661" w14:textId="77777777" w:rsidTr="00A64361">
        <w:tc>
          <w:tcPr>
            <w:tcW w:w="3256" w:type="dxa"/>
            <w:vMerge/>
            <w:vAlign w:val="bottom"/>
          </w:tcPr>
          <w:p w14:paraId="7A2484A7"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6601FB18"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Enrolled and Mothercraft Nurses</w:t>
            </w:r>
          </w:p>
        </w:tc>
        <w:tc>
          <w:tcPr>
            <w:tcW w:w="1276" w:type="dxa"/>
            <w:tcMar>
              <w:top w:w="0" w:type="dxa"/>
              <w:left w:w="108" w:type="dxa"/>
              <w:bottom w:w="0" w:type="dxa"/>
              <w:right w:w="108" w:type="dxa"/>
            </w:tcMar>
            <w:vAlign w:val="bottom"/>
          </w:tcPr>
          <w:p w14:paraId="750AAE71"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4.4</w:t>
            </w:r>
          </w:p>
        </w:tc>
      </w:tr>
      <w:tr w:rsidR="00745D89" w14:paraId="50582A34" w14:textId="77777777" w:rsidTr="00A64361">
        <w:tc>
          <w:tcPr>
            <w:tcW w:w="3256" w:type="dxa"/>
            <w:vMerge/>
            <w:vAlign w:val="bottom"/>
          </w:tcPr>
          <w:p w14:paraId="00741E80"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01C2BE04"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Motor Mechanics</w:t>
            </w:r>
          </w:p>
        </w:tc>
        <w:tc>
          <w:tcPr>
            <w:tcW w:w="1276" w:type="dxa"/>
            <w:tcMar>
              <w:top w:w="0" w:type="dxa"/>
              <w:left w:w="108" w:type="dxa"/>
              <w:bottom w:w="0" w:type="dxa"/>
              <w:right w:w="108" w:type="dxa"/>
            </w:tcMar>
            <w:vAlign w:val="bottom"/>
          </w:tcPr>
          <w:p w14:paraId="270044B2"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4.2</w:t>
            </w:r>
          </w:p>
        </w:tc>
      </w:tr>
      <w:tr w:rsidR="00745D89" w14:paraId="13379B11" w14:textId="77777777" w:rsidTr="00A64361">
        <w:tc>
          <w:tcPr>
            <w:tcW w:w="3256" w:type="dxa"/>
            <w:vMerge w:val="restart"/>
            <w:vAlign w:val="bottom"/>
          </w:tcPr>
          <w:p w14:paraId="6157EDA9"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Mid North Coast</w:t>
            </w:r>
          </w:p>
        </w:tc>
        <w:tc>
          <w:tcPr>
            <w:tcW w:w="5953" w:type="dxa"/>
            <w:tcMar>
              <w:top w:w="0" w:type="dxa"/>
              <w:left w:w="108" w:type="dxa"/>
              <w:bottom w:w="0" w:type="dxa"/>
              <w:right w:w="108" w:type="dxa"/>
            </w:tcMar>
            <w:vAlign w:val="bottom"/>
          </w:tcPr>
          <w:p w14:paraId="0545499C"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Enrolled and Mothercraft Nurses</w:t>
            </w:r>
          </w:p>
        </w:tc>
        <w:tc>
          <w:tcPr>
            <w:tcW w:w="1276" w:type="dxa"/>
            <w:tcMar>
              <w:top w:w="0" w:type="dxa"/>
              <w:left w:w="108" w:type="dxa"/>
              <w:bottom w:w="0" w:type="dxa"/>
              <w:right w:w="108" w:type="dxa"/>
            </w:tcMar>
            <w:vAlign w:val="bottom"/>
          </w:tcPr>
          <w:p w14:paraId="4E2597A6"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6.5</w:t>
            </w:r>
          </w:p>
        </w:tc>
      </w:tr>
      <w:tr w:rsidR="00745D89" w14:paraId="68796B21" w14:textId="77777777" w:rsidTr="00A64361">
        <w:tc>
          <w:tcPr>
            <w:tcW w:w="3256" w:type="dxa"/>
            <w:vMerge/>
            <w:vAlign w:val="bottom"/>
          </w:tcPr>
          <w:p w14:paraId="574493E5"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7CEAA549"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50D3CD57"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6.1</w:t>
            </w:r>
          </w:p>
        </w:tc>
      </w:tr>
      <w:tr w:rsidR="00745D89" w14:paraId="49FF8A17" w14:textId="77777777" w:rsidTr="00A64361">
        <w:tc>
          <w:tcPr>
            <w:tcW w:w="3256" w:type="dxa"/>
            <w:vMerge/>
            <w:vAlign w:val="bottom"/>
          </w:tcPr>
          <w:p w14:paraId="150FB9BE"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17555EF4"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Civil Engineering Professionals</w:t>
            </w:r>
          </w:p>
        </w:tc>
        <w:tc>
          <w:tcPr>
            <w:tcW w:w="1276" w:type="dxa"/>
            <w:tcMar>
              <w:top w:w="0" w:type="dxa"/>
              <w:left w:w="108" w:type="dxa"/>
              <w:bottom w:w="0" w:type="dxa"/>
              <w:right w:w="108" w:type="dxa"/>
            </w:tcMar>
            <w:vAlign w:val="bottom"/>
          </w:tcPr>
          <w:p w14:paraId="41288192"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6.0</w:t>
            </w:r>
          </w:p>
        </w:tc>
      </w:tr>
      <w:tr w:rsidR="00745D89" w14:paraId="2122E85E" w14:textId="77777777" w:rsidTr="00A64361">
        <w:tc>
          <w:tcPr>
            <w:tcW w:w="3256" w:type="dxa"/>
            <w:vMerge/>
            <w:vAlign w:val="bottom"/>
          </w:tcPr>
          <w:p w14:paraId="6B617C34"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15E6CDA8"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Registered Nurses</w:t>
            </w:r>
          </w:p>
        </w:tc>
        <w:tc>
          <w:tcPr>
            <w:tcW w:w="1276" w:type="dxa"/>
            <w:tcMar>
              <w:top w:w="0" w:type="dxa"/>
              <w:left w:w="108" w:type="dxa"/>
              <w:bottom w:w="0" w:type="dxa"/>
              <w:right w:w="108" w:type="dxa"/>
            </w:tcMar>
            <w:vAlign w:val="bottom"/>
          </w:tcPr>
          <w:p w14:paraId="526C55C3"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5.3</w:t>
            </w:r>
          </w:p>
        </w:tc>
      </w:tr>
      <w:tr w:rsidR="00745D89" w14:paraId="71C93908" w14:textId="77777777" w:rsidTr="00A64361">
        <w:tc>
          <w:tcPr>
            <w:tcW w:w="3256" w:type="dxa"/>
            <w:vMerge/>
            <w:vAlign w:val="bottom"/>
          </w:tcPr>
          <w:p w14:paraId="53391F69"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5176E100"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Cooks</w:t>
            </w:r>
          </w:p>
        </w:tc>
        <w:tc>
          <w:tcPr>
            <w:tcW w:w="1276" w:type="dxa"/>
            <w:tcMar>
              <w:top w:w="0" w:type="dxa"/>
              <w:left w:w="108" w:type="dxa"/>
              <w:bottom w:w="0" w:type="dxa"/>
              <w:right w:w="108" w:type="dxa"/>
            </w:tcMar>
            <w:vAlign w:val="bottom"/>
          </w:tcPr>
          <w:p w14:paraId="58A29F61"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5.0</w:t>
            </w:r>
          </w:p>
        </w:tc>
      </w:tr>
      <w:tr w:rsidR="00745D89" w14:paraId="1B99B36D" w14:textId="77777777" w:rsidTr="00A64361">
        <w:tc>
          <w:tcPr>
            <w:tcW w:w="3256" w:type="dxa"/>
            <w:vMerge w:val="restart"/>
            <w:vAlign w:val="bottom"/>
          </w:tcPr>
          <w:p w14:paraId="4F9DDE38"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Murray</w:t>
            </w:r>
          </w:p>
        </w:tc>
        <w:tc>
          <w:tcPr>
            <w:tcW w:w="5953" w:type="dxa"/>
            <w:tcMar>
              <w:top w:w="0" w:type="dxa"/>
              <w:left w:w="108" w:type="dxa"/>
              <w:bottom w:w="0" w:type="dxa"/>
              <w:right w:w="108" w:type="dxa"/>
            </w:tcMar>
            <w:vAlign w:val="bottom"/>
          </w:tcPr>
          <w:p w14:paraId="7662DCFD"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Enrolled and Mothercraft Nurses</w:t>
            </w:r>
          </w:p>
        </w:tc>
        <w:tc>
          <w:tcPr>
            <w:tcW w:w="1276" w:type="dxa"/>
            <w:tcMar>
              <w:top w:w="0" w:type="dxa"/>
              <w:left w:w="108" w:type="dxa"/>
              <w:bottom w:w="0" w:type="dxa"/>
              <w:right w:w="108" w:type="dxa"/>
            </w:tcMar>
            <w:vAlign w:val="bottom"/>
          </w:tcPr>
          <w:p w14:paraId="49C4BD29"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10.2</w:t>
            </w:r>
          </w:p>
        </w:tc>
      </w:tr>
      <w:tr w:rsidR="00745D89" w14:paraId="7AC900B0" w14:textId="77777777" w:rsidTr="00A64361">
        <w:tc>
          <w:tcPr>
            <w:tcW w:w="3256" w:type="dxa"/>
            <w:vMerge/>
            <w:vAlign w:val="bottom"/>
          </w:tcPr>
          <w:p w14:paraId="728514CB"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767B926C"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7DAD41FA"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8.7</w:t>
            </w:r>
          </w:p>
        </w:tc>
      </w:tr>
      <w:tr w:rsidR="00745D89" w14:paraId="1CC5BE7E" w14:textId="77777777" w:rsidTr="00A64361">
        <w:tc>
          <w:tcPr>
            <w:tcW w:w="3256" w:type="dxa"/>
            <w:vMerge/>
            <w:vAlign w:val="bottom"/>
          </w:tcPr>
          <w:p w14:paraId="0C2C5D4C"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1D03DBBE"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3811C52A"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7.2</w:t>
            </w:r>
          </w:p>
        </w:tc>
      </w:tr>
      <w:tr w:rsidR="00745D89" w14:paraId="38004170" w14:textId="77777777" w:rsidTr="00A64361">
        <w:tc>
          <w:tcPr>
            <w:tcW w:w="3256" w:type="dxa"/>
            <w:vMerge/>
            <w:vAlign w:val="bottom"/>
          </w:tcPr>
          <w:p w14:paraId="6929A044"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7CF64F41"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Early Childhood (Pre-primary School) Teachers</w:t>
            </w:r>
          </w:p>
        </w:tc>
        <w:tc>
          <w:tcPr>
            <w:tcW w:w="1276" w:type="dxa"/>
            <w:tcMar>
              <w:top w:w="0" w:type="dxa"/>
              <w:left w:w="108" w:type="dxa"/>
              <w:bottom w:w="0" w:type="dxa"/>
              <w:right w:w="108" w:type="dxa"/>
            </w:tcMar>
            <w:vAlign w:val="bottom"/>
          </w:tcPr>
          <w:p w14:paraId="104B68CD"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5.8</w:t>
            </w:r>
          </w:p>
        </w:tc>
      </w:tr>
      <w:tr w:rsidR="00745D89" w14:paraId="565FCB73" w14:textId="77777777" w:rsidTr="00A64361">
        <w:tc>
          <w:tcPr>
            <w:tcW w:w="3256" w:type="dxa"/>
            <w:vMerge/>
            <w:vAlign w:val="bottom"/>
          </w:tcPr>
          <w:p w14:paraId="7CDB2BAB"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7F2731FC"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Registered Nurses</w:t>
            </w:r>
          </w:p>
        </w:tc>
        <w:tc>
          <w:tcPr>
            <w:tcW w:w="1276" w:type="dxa"/>
            <w:tcMar>
              <w:top w:w="0" w:type="dxa"/>
              <w:left w:w="108" w:type="dxa"/>
              <w:bottom w:w="0" w:type="dxa"/>
              <w:right w:w="108" w:type="dxa"/>
            </w:tcMar>
            <w:vAlign w:val="bottom"/>
          </w:tcPr>
          <w:p w14:paraId="1DB57BEC"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5.3</w:t>
            </w:r>
          </w:p>
        </w:tc>
      </w:tr>
      <w:tr w:rsidR="00745D89" w14:paraId="3ED42649" w14:textId="77777777" w:rsidTr="00A64361">
        <w:tc>
          <w:tcPr>
            <w:tcW w:w="3256" w:type="dxa"/>
            <w:vMerge/>
            <w:vAlign w:val="bottom"/>
          </w:tcPr>
          <w:p w14:paraId="340CD5E4"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6B7660DF"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Motor Mechanics</w:t>
            </w:r>
          </w:p>
        </w:tc>
        <w:tc>
          <w:tcPr>
            <w:tcW w:w="1276" w:type="dxa"/>
            <w:tcMar>
              <w:top w:w="0" w:type="dxa"/>
              <w:left w:w="108" w:type="dxa"/>
              <w:bottom w:w="0" w:type="dxa"/>
              <w:right w:w="108" w:type="dxa"/>
            </w:tcMar>
            <w:vAlign w:val="bottom"/>
          </w:tcPr>
          <w:p w14:paraId="376F2B12"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4.2</w:t>
            </w:r>
          </w:p>
        </w:tc>
      </w:tr>
      <w:tr w:rsidR="00745D89" w:rsidRPr="00B51616" w14:paraId="3AE96AAB" w14:textId="77777777" w:rsidTr="00A64361">
        <w:tc>
          <w:tcPr>
            <w:tcW w:w="3256" w:type="dxa"/>
            <w:vMerge w:val="restart"/>
            <w:vAlign w:val="bottom"/>
          </w:tcPr>
          <w:p w14:paraId="6BCD82B4"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New England and North West</w:t>
            </w:r>
          </w:p>
        </w:tc>
        <w:tc>
          <w:tcPr>
            <w:tcW w:w="5953" w:type="dxa"/>
            <w:tcMar>
              <w:top w:w="0" w:type="dxa"/>
              <w:left w:w="108" w:type="dxa"/>
              <w:bottom w:w="0" w:type="dxa"/>
              <w:right w:w="108" w:type="dxa"/>
            </w:tcMar>
            <w:vAlign w:val="bottom"/>
          </w:tcPr>
          <w:p w14:paraId="461C1878"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3EE38EC8"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13.2</w:t>
            </w:r>
          </w:p>
        </w:tc>
      </w:tr>
      <w:tr w:rsidR="00745D89" w:rsidRPr="00DF570A" w14:paraId="19861D16" w14:textId="77777777" w:rsidTr="00A64361">
        <w:tc>
          <w:tcPr>
            <w:tcW w:w="3256" w:type="dxa"/>
            <w:vMerge/>
            <w:vAlign w:val="bottom"/>
          </w:tcPr>
          <w:p w14:paraId="27ADFE0F"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58F85A6B"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Civil Engineering Professionals</w:t>
            </w:r>
          </w:p>
        </w:tc>
        <w:tc>
          <w:tcPr>
            <w:tcW w:w="1276" w:type="dxa"/>
            <w:tcMar>
              <w:top w:w="0" w:type="dxa"/>
              <w:left w:w="108" w:type="dxa"/>
              <w:bottom w:w="0" w:type="dxa"/>
              <w:right w:w="108" w:type="dxa"/>
            </w:tcMar>
            <w:vAlign w:val="bottom"/>
          </w:tcPr>
          <w:p w14:paraId="4AB193F6"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6.8</w:t>
            </w:r>
          </w:p>
        </w:tc>
      </w:tr>
      <w:tr w:rsidR="00745D89" w:rsidRPr="00B51616" w14:paraId="62ADAC6F" w14:textId="77777777" w:rsidTr="00A64361">
        <w:tc>
          <w:tcPr>
            <w:tcW w:w="3256" w:type="dxa"/>
            <w:vMerge/>
            <w:vAlign w:val="bottom"/>
          </w:tcPr>
          <w:p w14:paraId="49168ADE"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00DA3122"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Early Childhood (Pre-primary School) Teachers</w:t>
            </w:r>
          </w:p>
        </w:tc>
        <w:tc>
          <w:tcPr>
            <w:tcW w:w="1276" w:type="dxa"/>
            <w:tcMar>
              <w:top w:w="0" w:type="dxa"/>
              <w:left w:w="108" w:type="dxa"/>
              <w:bottom w:w="0" w:type="dxa"/>
              <w:right w:w="108" w:type="dxa"/>
            </w:tcMar>
            <w:vAlign w:val="bottom"/>
          </w:tcPr>
          <w:p w14:paraId="4D9B8798"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6.0</w:t>
            </w:r>
          </w:p>
        </w:tc>
      </w:tr>
      <w:tr w:rsidR="00745D89" w:rsidRPr="00B51616" w14:paraId="1B77F3D1" w14:textId="77777777" w:rsidTr="00A64361">
        <w:tc>
          <w:tcPr>
            <w:tcW w:w="3256" w:type="dxa"/>
            <w:vMerge/>
            <w:vAlign w:val="bottom"/>
          </w:tcPr>
          <w:p w14:paraId="3BBCF7F0"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5B809551"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Registered Nurses</w:t>
            </w:r>
          </w:p>
        </w:tc>
        <w:tc>
          <w:tcPr>
            <w:tcW w:w="1276" w:type="dxa"/>
            <w:tcMar>
              <w:top w:w="0" w:type="dxa"/>
              <w:left w:w="108" w:type="dxa"/>
              <w:bottom w:w="0" w:type="dxa"/>
              <w:right w:w="108" w:type="dxa"/>
            </w:tcMar>
            <w:vAlign w:val="bottom"/>
          </w:tcPr>
          <w:p w14:paraId="6EED2A2D"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5.7</w:t>
            </w:r>
          </w:p>
        </w:tc>
      </w:tr>
      <w:tr w:rsidR="00745D89" w:rsidRPr="00B51616" w14:paraId="0222C85D" w14:textId="77777777" w:rsidTr="00A64361">
        <w:tc>
          <w:tcPr>
            <w:tcW w:w="3256" w:type="dxa"/>
            <w:vMerge w:val="restart"/>
            <w:vAlign w:val="bottom"/>
          </w:tcPr>
          <w:p w14:paraId="63D148F4"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lastRenderedPageBreak/>
              <w:t>Newcastle and Lake Macquarie</w:t>
            </w:r>
          </w:p>
        </w:tc>
        <w:tc>
          <w:tcPr>
            <w:tcW w:w="5953" w:type="dxa"/>
            <w:tcMar>
              <w:top w:w="0" w:type="dxa"/>
              <w:left w:w="108" w:type="dxa"/>
              <w:bottom w:w="0" w:type="dxa"/>
              <w:right w:w="108" w:type="dxa"/>
            </w:tcMar>
            <w:vAlign w:val="bottom"/>
          </w:tcPr>
          <w:p w14:paraId="6EE8A309"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Mining Engineers</w:t>
            </w:r>
          </w:p>
        </w:tc>
        <w:tc>
          <w:tcPr>
            <w:tcW w:w="1276" w:type="dxa"/>
            <w:tcMar>
              <w:top w:w="0" w:type="dxa"/>
              <w:left w:w="108" w:type="dxa"/>
              <w:bottom w:w="0" w:type="dxa"/>
              <w:right w:w="108" w:type="dxa"/>
            </w:tcMar>
            <w:vAlign w:val="bottom"/>
          </w:tcPr>
          <w:p w14:paraId="6DC38DC6"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27.8</w:t>
            </w:r>
          </w:p>
        </w:tc>
      </w:tr>
      <w:tr w:rsidR="00745D89" w:rsidRPr="00B51616" w14:paraId="63BD6C66" w14:textId="77777777" w:rsidTr="00A64361">
        <w:tc>
          <w:tcPr>
            <w:tcW w:w="3256" w:type="dxa"/>
            <w:vMerge/>
            <w:vAlign w:val="bottom"/>
          </w:tcPr>
          <w:p w14:paraId="0B6D4CC3"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7B26986D"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Earthmoving Plant Operators</w:t>
            </w:r>
          </w:p>
        </w:tc>
        <w:tc>
          <w:tcPr>
            <w:tcW w:w="1276" w:type="dxa"/>
            <w:tcMar>
              <w:top w:w="0" w:type="dxa"/>
              <w:left w:w="108" w:type="dxa"/>
              <w:bottom w:w="0" w:type="dxa"/>
              <w:right w:w="108" w:type="dxa"/>
            </w:tcMar>
            <w:vAlign w:val="bottom"/>
          </w:tcPr>
          <w:p w14:paraId="12B2784A"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6.9</w:t>
            </w:r>
          </w:p>
        </w:tc>
      </w:tr>
      <w:tr w:rsidR="00745D89" w:rsidRPr="00B51616" w14:paraId="52383B1F" w14:textId="77777777" w:rsidTr="00A64361">
        <w:tc>
          <w:tcPr>
            <w:tcW w:w="3256" w:type="dxa"/>
            <w:vMerge/>
            <w:vAlign w:val="bottom"/>
          </w:tcPr>
          <w:p w14:paraId="74F463C3"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5EA42075"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Cooks</w:t>
            </w:r>
          </w:p>
        </w:tc>
        <w:tc>
          <w:tcPr>
            <w:tcW w:w="1276" w:type="dxa"/>
            <w:tcMar>
              <w:top w:w="0" w:type="dxa"/>
              <w:left w:w="108" w:type="dxa"/>
              <w:bottom w:w="0" w:type="dxa"/>
              <w:right w:w="108" w:type="dxa"/>
            </w:tcMar>
            <w:vAlign w:val="bottom"/>
          </w:tcPr>
          <w:p w14:paraId="597E02A4"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6.7</w:t>
            </w:r>
          </w:p>
        </w:tc>
      </w:tr>
      <w:tr w:rsidR="00745D89" w:rsidRPr="00B51616" w14:paraId="5225CC19" w14:textId="77777777" w:rsidTr="00A64361">
        <w:tc>
          <w:tcPr>
            <w:tcW w:w="3256" w:type="dxa"/>
            <w:vMerge/>
            <w:vAlign w:val="bottom"/>
          </w:tcPr>
          <w:p w14:paraId="52410388"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23314822"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Motor Mechanics</w:t>
            </w:r>
          </w:p>
        </w:tc>
        <w:tc>
          <w:tcPr>
            <w:tcW w:w="1276" w:type="dxa"/>
            <w:tcMar>
              <w:top w:w="0" w:type="dxa"/>
              <w:left w:w="108" w:type="dxa"/>
              <w:bottom w:w="0" w:type="dxa"/>
              <w:right w:w="108" w:type="dxa"/>
            </w:tcMar>
            <w:vAlign w:val="bottom"/>
          </w:tcPr>
          <w:p w14:paraId="34A8FE05"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6.4</w:t>
            </w:r>
          </w:p>
        </w:tc>
      </w:tr>
      <w:tr w:rsidR="00745D89" w:rsidRPr="00B51616" w14:paraId="3540EB8C" w14:textId="77777777" w:rsidTr="00A64361">
        <w:tc>
          <w:tcPr>
            <w:tcW w:w="3256" w:type="dxa"/>
            <w:vMerge/>
            <w:vAlign w:val="bottom"/>
          </w:tcPr>
          <w:p w14:paraId="0F13C376"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043E3A52"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Industrial, Mechanical and Production Engineers</w:t>
            </w:r>
          </w:p>
        </w:tc>
        <w:tc>
          <w:tcPr>
            <w:tcW w:w="1276" w:type="dxa"/>
            <w:tcMar>
              <w:top w:w="0" w:type="dxa"/>
              <w:left w:w="108" w:type="dxa"/>
              <w:bottom w:w="0" w:type="dxa"/>
              <w:right w:w="108" w:type="dxa"/>
            </w:tcMar>
            <w:vAlign w:val="bottom"/>
          </w:tcPr>
          <w:p w14:paraId="625014F5"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5.6</w:t>
            </w:r>
          </w:p>
        </w:tc>
      </w:tr>
      <w:tr w:rsidR="00745D89" w:rsidRPr="00B51616" w14:paraId="4F43E3D9" w14:textId="77777777" w:rsidTr="00A64361">
        <w:tc>
          <w:tcPr>
            <w:tcW w:w="3256" w:type="dxa"/>
            <w:vMerge/>
            <w:vAlign w:val="bottom"/>
          </w:tcPr>
          <w:p w14:paraId="16992CF5"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0D5E7758"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Structural Steel and Welding Trades Workers</w:t>
            </w:r>
          </w:p>
        </w:tc>
        <w:tc>
          <w:tcPr>
            <w:tcW w:w="1276" w:type="dxa"/>
            <w:tcMar>
              <w:top w:w="0" w:type="dxa"/>
              <w:left w:w="108" w:type="dxa"/>
              <w:bottom w:w="0" w:type="dxa"/>
              <w:right w:w="108" w:type="dxa"/>
            </w:tcMar>
            <w:vAlign w:val="bottom"/>
          </w:tcPr>
          <w:p w14:paraId="7C151141"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5.3</w:t>
            </w:r>
          </w:p>
        </w:tc>
      </w:tr>
      <w:tr w:rsidR="00745D89" w:rsidRPr="00B51616" w14:paraId="23113D3C" w14:textId="77777777" w:rsidTr="00A64361">
        <w:tc>
          <w:tcPr>
            <w:tcW w:w="3256" w:type="dxa"/>
            <w:vMerge/>
            <w:vAlign w:val="bottom"/>
          </w:tcPr>
          <w:p w14:paraId="7A88D1C6"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6DE47FE1"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Enrolled and Mothercraft Nurses</w:t>
            </w:r>
          </w:p>
        </w:tc>
        <w:tc>
          <w:tcPr>
            <w:tcW w:w="1276" w:type="dxa"/>
            <w:tcMar>
              <w:top w:w="0" w:type="dxa"/>
              <w:left w:w="108" w:type="dxa"/>
              <w:bottom w:w="0" w:type="dxa"/>
              <w:right w:w="108" w:type="dxa"/>
            </w:tcMar>
            <w:vAlign w:val="bottom"/>
          </w:tcPr>
          <w:p w14:paraId="720ACAC1" w14:textId="77777777" w:rsidR="00745D89" w:rsidRPr="000B64FA" w:rsidRDefault="00745D89" w:rsidP="001D600D">
            <w:pPr>
              <w:spacing w:after="0" w:line="276" w:lineRule="auto"/>
              <w:rPr>
                <w:rFonts w:asciiTheme="minorHAnsi" w:hAnsiTheme="minorHAnsi" w:cstheme="minorHAnsi"/>
              </w:rPr>
            </w:pPr>
            <w:r w:rsidRPr="000B64FA">
              <w:rPr>
                <w:rFonts w:asciiTheme="minorHAnsi" w:hAnsiTheme="minorHAnsi" w:cstheme="minorHAnsi"/>
                <w:color w:val="000000"/>
              </w:rPr>
              <w:t>5.1</w:t>
            </w:r>
          </w:p>
        </w:tc>
      </w:tr>
      <w:tr w:rsidR="00745D89" w:rsidRPr="00B51616" w14:paraId="5EA455F9" w14:textId="77777777" w:rsidTr="00A64361">
        <w:trPr>
          <w:trHeight w:val="188"/>
        </w:trPr>
        <w:tc>
          <w:tcPr>
            <w:tcW w:w="3256" w:type="dxa"/>
            <w:vMerge/>
            <w:vAlign w:val="bottom"/>
          </w:tcPr>
          <w:p w14:paraId="6766E8A8"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71F86845"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Audiologists and Speech Pathologists \ Therapists</w:t>
            </w:r>
          </w:p>
        </w:tc>
        <w:tc>
          <w:tcPr>
            <w:tcW w:w="1276" w:type="dxa"/>
            <w:tcMar>
              <w:top w:w="0" w:type="dxa"/>
              <w:left w:w="108" w:type="dxa"/>
              <w:bottom w:w="0" w:type="dxa"/>
              <w:right w:w="108" w:type="dxa"/>
            </w:tcMar>
            <w:vAlign w:val="bottom"/>
          </w:tcPr>
          <w:p w14:paraId="61C506D7"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4.5</w:t>
            </w:r>
          </w:p>
        </w:tc>
      </w:tr>
      <w:tr w:rsidR="00745D89" w:rsidRPr="00B51616" w14:paraId="3E1E37E7" w14:textId="77777777" w:rsidTr="00A64361">
        <w:tc>
          <w:tcPr>
            <w:tcW w:w="3256" w:type="dxa"/>
            <w:vMerge/>
            <w:vAlign w:val="bottom"/>
          </w:tcPr>
          <w:p w14:paraId="61831290"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7C6C07BC"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Construction Managers</w:t>
            </w:r>
          </w:p>
        </w:tc>
        <w:tc>
          <w:tcPr>
            <w:tcW w:w="1276" w:type="dxa"/>
            <w:tcMar>
              <w:top w:w="0" w:type="dxa"/>
              <w:left w:w="108" w:type="dxa"/>
              <w:bottom w:w="0" w:type="dxa"/>
              <w:right w:w="108" w:type="dxa"/>
            </w:tcMar>
            <w:vAlign w:val="bottom"/>
          </w:tcPr>
          <w:p w14:paraId="5771A6F0"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4.3</w:t>
            </w:r>
          </w:p>
        </w:tc>
      </w:tr>
      <w:tr w:rsidR="00745D89" w:rsidRPr="00B51616" w14:paraId="1A5EC2EC" w14:textId="77777777" w:rsidTr="00A64361">
        <w:tc>
          <w:tcPr>
            <w:tcW w:w="3256" w:type="dxa"/>
            <w:vMerge/>
            <w:vAlign w:val="bottom"/>
          </w:tcPr>
          <w:p w14:paraId="28537648"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24ED6812"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42BE520E"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4.0</w:t>
            </w:r>
          </w:p>
        </w:tc>
      </w:tr>
      <w:tr w:rsidR="00745D89" w:rsidRPr="00B87C29" w14:paraId="241334B5" w14:textId="77777777" w:rsidTr="00A64361">
        <w:tc>
          <w:tcPr>
            <w:tcW w:w="3256" w:type="dxa"/>
            <w:vMerge w:val="restart"/>
            <w:vAlign w:val="bottom"/>
          </w:tcPr>
          <w:p w14:paraId="4068976C"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Richmond - Tweed</w:t>
            </w:r>
          </w:p>
        </w:tc>
        <w:tc>
          <w:tcPr>
            <w:tcW w:w="5953" w:type="dxa"/>
            <w:tcMar>
              <w:top w:w="0" w:type="dxa"/>
              <w:left w:w="108" w:type="dxa"/>
              <w:bottom w:w="0" w:type="dxa"/>
              <w:right w:w="108" w:type="dxa"/>
            </w:tcMar>
            <w:vAlign w:val="bottom"/>
          </w:tcPr>
          <w:p w14:paraId="0785F336"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Dental Practitioners</w:t>
            </w:r>
          </w:p>
        </w:tc>
        <w:tc>
          <w:tcPr>
            <w:tcW w:w="1276" w:type="dxa"/>
            <w:tcMar>
              <w:top w:w="0" w:type="dxa"/>
              <w:left w:w="108" w:type="dxa"/>
              <w:bottom w:w="0" w:type="dxa"/>
              <w:right w:w="108" w:type="dxa"/>
            </w:tcMar>
            <w:vAlign w:val="bottom"/>
          </w:tcPr>
          <w:p w14:paraId="38D02473"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9.0</w:t>
            </w:r>
          </w:p>
        </w:tc>
      </w:tr>
      <w:tr w:rsidR="00745D89" w:rsidRPr="00B87C29" w14:paraId="71745D4C" w14:textId="77777777" w:rsidTr="00A64361">
        <w:tc>
          <w:tcPr>
            <w:tcW w:w="3256" w:type="dxa"/>
            <w:vMerge/>
            <w:vAlign w:val="bottom"/>
          </w:tcPr>
          <w:p w14:paraId="0FD9D0EF"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323117BF"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2068D9B3"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7.4</w:t>
            </w:r>
          </w:p>
        </w:tc>
      </w:tr>
      <w:tr w:rsidR="00745D89" w:rsidRPr="00B87C29" w14:paraId="5564EECD" w14:textId="77777777" w:rsidTr="00A64361">
        <w:tc>
          <w:tcPr>
            <w:tcW w:w="3256" w:type="dxa"/>
            <w:vMerge/>
            <w:vAlign w:val="bottom"/>
          </w:tcPr>
          <w:p w14:paraId="182C326F"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72978FAF"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Medical Imaging Professionals</w:t>
            </w:r>
          </w:p>
        </w:tc>
        <w:tc>
          <w:tcPr>
            <w:tcW w:w="1276" w:type="dxa"/>
            <w:tcMar>
              <w:top w:w="0" w:type="dxa"/>
              <w:left w:w="108" w:type="dxa"/>
              <w:bottom w:w="0" w:type="dxa"/>
              <w:right w:w="108" w:type="dxa"/>
            </w:tcMar>
            <w:vAlign w:val="bottom"/>
          </w:tcPr>
          <w:p w14:paraId="3B7011BA"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6.2</w:t>
            </w:r>
          </w:p>
        </w:tc>
      </w:tr>
      <w:tr w:rsidR="00745D89" w:rsidRPr="00B87C29" w14:paraId="3066E2C0" w14:textId="77777777" w:rsidTr="00A64361">
        <w:tc>
          <w:tcPr>
            <w:tcW w:w="3256" w:type="dxa"/>
            <w:vMerge/>
            <w:vAlign w:val="bottom"/>
          </w:tcPr>
          <w:p w14:paraId="1C2A0D56"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144E4E13"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Registered Nurses</w:t>
            </w:r>
          </w:p>
        </w:tc>
        <w:tc>
          <w:tcPr>
            <w:tcW w:w="1276" w:type="dxa"/>
            <w:tcMar>
              <w:top w:w="0" w:type="dxa"/>
              <w:left w:w="108" w:type="dxa"/>
              <w:bottom w:w="0" w:type="dxa"/>
              <w:right w:w="108" w:type="dxa"/>
            </w:tcMar>
            <w:vAlign w:val="bottom"/>
          </w:tcPr>
          <w:p w14:paraId="1B15DA5D"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5.1</w:t>
            </w:r>
          </w:p>
        </w:tc>
      </w:tr>
      <w:tr w:rsidR="00745D89" w:rsidRPr="00B87C29" w14:paraId="3F10ADB0" w14:textId="77777777" w:rsidTr="00A64361">
        <w:tc>
          <w:tcPr>
            <w:tcW w:w="3256" w:type="dxa"/>
            <w:vMerge/>
            <w:vAlign w:val="bottom"/>
          </w:tcPr>
          <w:p w14:paraId="7615A5BB"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3783E9CD"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Civil Engineering Professionals</w:t>
            </w:r>
          </w:p>
        </w:tc>
        <w:tc>
          <w:tcPr>
            <w:tcW w:w="1276" w:type="dxa"/>
            <w:tcMar>
              <w:top w:w="0" w:type="dxa"/>
              <w:left w:w="108" w:type="dxa"/>
              <w:bottom w:w="0" w:type="dxa"/>
              <w:right w:w="108" w:type="dxa"/>
            </w:tcMar>
            <w:vAlign w:val="bottom"/>
          </w:tcPr>
          <w:p w14:paraId="5AAD227B"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4.9</w:t>
            </w:r>
          </w:p>
        </w:tc>
      </w:tr>
      <w:tr w:rsidR="00745D89" w:rsidRPr="00B51616" w14:paraId="4DB001D1" w14:textId="77777777" w:rsidTr="00A64361">
        <w:tc>
          <w:tcPr>
            <w:tcW w:w="3256" w:type="dxa"/>
            <w:vMerge/>
            <w:vAlign w:val="bottom"/>
          </w:tcPr>
          <w:p w14:paraId="7DE40D14"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30D6B7CB"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Dental Assistants</w:t>
            </w:r>
          </w:p>
        </w:tc>
        <w:tc>
          <w:tcPr>
            <w:tcW w:w="1276" w:type="dxa"/>
            <w:tcMar>
              <w:top w:w="0" w:type="dxa"/>
              <w:left w:w="108" w:type="dxa"/>
              <w:bottom w:w="0" w:type="dxa"/>
              <w:right w:w="108" w:type="dxa"/>
            </w:tcMar>
            <w:vAlign w:val="bottom"/>
          </w:tcPr>
          <w:p w14:paraId="3855C695"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4.9</w:t>
            </w:r>
          </w:p>
        </w:tc>
      </w:tr>
      <w:tr w:rsidR="00745D89" w:rsidRPr="00B51616" w14:paraId="1A165064" w14:textId="77777777" w:rsidTr="00A64361">
        <w:tc>
          <w:tcPr>
            <w:tcW w:w="3256" w:type="dxa"/>
            <w:vMerge/>
            <w:vAlign w:val="bottom"/>
          </w:tcPr>
          <w:p w14:paraId="744297E6"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39CA3EC0"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1ED630AE"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4.8</w:t>
            </w:r>
          </w:p>
        </w:tc>
      </w:tr>
      <w:tr w:rsidR="00745D89" w:rsidRPr="00B51616" w14:paraId="6BF853F3" w14:textId="77777777" w:rsidTr="00A64361">
        <w:tc>
          <w:tcPr>
            <w:tcW w:w="3256" w:type="dxa"/>
            <w:vMerge/>
            <w:vAlign w:val="bottom"/>
          </w:tcPr>
          <w:p w14:paraId="6516C340"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354D4D8F" w14:textId="77777777" w:rsidR="00745D89" w:rsidRPr="000B456B" w:rsidRDefault="00745D89" w:rsidP="001D600D">
            <w:pPr>
              <w:spacing w:after="0" w:line="276" w:lineRule="auto"/>
              <w:rPr>
                <w:rFonts w:asciiTheme="minorHAnsi" w:hAnsiTheme="minorHAnsi" w:cstheme="minorHAnsi"/>
                <w:color w:val="FF0000"/>
              </w:rPr>
            </w:pPr>
            <w:r w:rsidRPr="000B456B">
              <w:rPr>
                <w:rFonts w:asciiTheme="minorHAnsi" w:hAnsiTheme="minorHAnsi" w:cstheme="minorHAnsi"/>
                <w:color w:val="000000"/>
              </w:rPr>
              <w:t>Enrolled and Mothercraft Nurses</w:t>
            </w:r>
          </w:p>
        </w:tc>
        <w:tc>
          <w:tcPr>
            <w:tcW w:w="1276" w:type="dxa"/>
            <w:tcMar>
              <w:top w:w="0" w:type="dxa"/>
              <w:left w:w="108" w:type="dxa"/>
              <w:bottom w:w="0" w:type="dxa"/>
              <w:right w:w="108" w:type="dxa"/>
            </w:tcMar>
            <w:vAlign w:val="bottom"/>
          </w:tcPr>
          <w:p w14:paraId="71A54295" w14:textId="77777777" w:rsidR="00745D89" w:rsidRPr="000B456B" w:rsidRDefault="00745D89" w:rsidP="001D600D">
            <w:pPr>
              <w:spacing w:after="0" w:line="276" w:lineRule="auto"/>
              <w:rPr>
                <w:rFonts w:asciiTheme="minorHAnsi" w:hAnsiTheme="minorHAnsi" w:cstheme="minorHAnsi"/>
                <w:color w:val="FF0000"/>
              </w:rPr>
            </w:pPr>
            <w:r w:rsidRPr="000B456B">
              <w:rPr>
                <w:rFonts w:asciiTheme="minorHAnsi" w:hAnsiTheme="minorHAnsi" w:cstheme="minorHAnsi"/>
                <w:color w:val="000000"/>
              </w:rPr>
              <w:t>4.3</w:t>
            </w:r>
          </w:p>
        </w:tc>
      </w:tr>
      <w:tr w:rsidR="00745D89" w:rsidRPr="003433DF" w14:paraId="00AE9811" w14:textId="77777777" w:rsidTr="00A64361">
        <w:tc>
          <w:tcPr>
            <w:tcW w:w="3256" w:type="dxa"/>
            <w:vMerge w:val="restart"/>
            <w:vAlign w:val="bottom"/>
          </w:tcPr>
          <w:p w14:paraId="30B97B01"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Riverina</w:t>
            </w:r>
          </w:p>
        </w:tc>
        <w:tc>
          <w:tcPr>
            <w:tcW w:w="5953" w:type="dxa"/>
            <w:tcMar>
              <w:top w:w="0" w:type="dxa"/>
              <w:left w:w="108" w:type="dxa"/>
              <w:bottom w:w="0" w:type="dxa"/>
              <w:right w:w="108" w:type="dxa"/>
            </w:tcMar>
            <w:vAlign w:val="bottom"/>
          </w:tcPr>
          <w:p w14:paraId="56B0943A" w14:textId="77777777" w:rsidR="00745D89" w:rsidRPr="000B456B" w:rsidRDefault="00745D89" w:rsidP="001D600D">
            <w:pPr>
              <w:spacing w:after="0" w:line="276" w:lineRule="auto"/>
              <w:rPr>
                <w:rFonts w:asciiTheme="minorHAnsi" w:hAnsiTheme="minorHAnsi" w:cstheme="minorHAnsi"/>
                <w:color w:val="000000"/>
              </w:rPr>
            </w:pPr>
            <w:r w:rsidRPr="000B456B">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4F335E1F" w14:textId="77777777" w:rsidR="00745D89" w:rsidRPr="000B456B" w:rsidRDefault="00745D89" w:rsidP="001D600D">
            <w:pPr>
              <w:spacing w:after="0" w:line="276" w:lineRule="auto"/>
              <w:rPr>
                <w:rFonts w:asciiTheme="minorHAnsi" w:hAnsiTheme="minorHAnsi" w:cstheme="minorHAnsi"/>
                <w:color w:val="000000"/>
              </w:rPr>
            </w:pPr>
            <w:r w:rsidRPr="000B456B">
              <w:rPr>
                <w:rFonts w:asciiTheme="minorHAnsi" w:hAnsiTheme="minorHAnsi" w:cstheme="minorHAnsi"/>
                <w:color w:val="000000"/>
              </w:rPr>
              <w:t>23.0</w:t>
            </w:r>
          </w:p>
        </w:tc>
      </w:tr>
      <w:tr w:rsidR="00745D89" w:rsidRPr="003433DF" w14:paraId="13FBF8EF" w14:textId="77777777" w:rsidTr="00A64361">
        <w:tc>
          <w:tcPr>
            <w:tcW w:w="3256" w:type="dxa"/>
            <w:vMerge/>
            <w:vAlign w:val="bottom"/>
          </w:tcPr>
          <w:p w14:paraId="450C7E9F"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0B626751" w14:textId="77777777" w:rsidR="00745D89" w:rsidRPr="000B456B" w:rsidRDefault="00745D89" w:rsidP="001D600D">
            <w:pPr>
              <w:spacing w:after="0" w:line="276" w:lineRule="auto"/>
              <w:rPr>
                <w:rFonts w:asciiTheme="minorHAnsi" w:hAnsiTheme="minorHAnsi" w:cstheme="minorHAnsi"/>
                <w:color w:val="FF0000"/>
              </w:rPr>
            </w:pPr>
            <w:r w:rsidRPr="000B456B">
              <w:rPr>
                <w:rFonts w:asciiTheme="minorHAnsi" w:hAnsiTheme="minorHAnsi" w:cstheme="minorHAnsi"/>
                <w:color w:val="000000"/>
              </w:rPr>
              <w:t>Enrolled and Mothercraft Nurses</w:t>
            </w:r>
          </w:p>
        </w:tc>
        <w:tc>
          <w:tcPr>
            <w:tcW w:w="1276" w:type="dxa"/>
            <w:tcMar>
              <w:top w:w="0" w:type="dxa"/>
              <w:left w:w="108" w:type="dxa"/>
              <w:bottom w:w="0" w:type="dxa"/>
              <w:right w:w="108" w:type="dxa"/>
            </w:tcMar>
            <w:vAlign w:val="bottom"/>
          </w:tcPr>
          <w:p w14:paraId="59224D4A" w14:textId="77777777" w:rsidR="00745D89" w:rsidRPr="000B456B" w:rsidRDefault="00745D89" w:rsidP="001D600D">
            <w:pPr>
              <w:spacing w:after="0" w:line="276" w:lineRule="auto"/>
              <w:rPr>
                <w:rFonts w:asciiTheme="minorHAnsi" w:hAnsiTheme="minorHAnsi" w:cstheme="minorHAnsi"/>
                <w:color w:val="FF0000"/>
              </w:rPr>
            </w:pPr>
            <w:r w:rsidRPr="000B456B">
              <w:rPr>
                <w:rFonts w:asciiTheme="minorHAnsi" w:hAnsiTheme="minorHAnsi" w:cstheme="minorHAnsi"/>
                <w:color w:val="000000"/>
              </w:rPr>
              <w:t>13.0</w:t>
            </w:r>
          </w:p>
        </w:tc>
      </w:tr>
      <w:tr w:rsidR="00745D89" w:rsidRPr="00DF570A" w14:paraId="793255B6" w14:textId="77777777" w:rsidTr="00A64361">
        <w:tc>
          <w:tcPr>
            <w:tcW w:w="3256" w:type="dxa"/>
            <w:vMerge/>
            <w:vAlign w:val="bottom"/>
          </w:tcPr>
          <w:p w14:paraId="4489B5A0"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72099BEE" w14:textId="77777777" w:rsidR="00745D89" w:rsidRPr="000B456B" w:rsidRDefault="00745D89" w:rsidP="001D600D">
            <w:pPr>
              <w:spacing w:after="0" w:line="276" w:lineRule="auto"/>
              <w:rPr>
                <w:rFonts w:asciiTheme="minorHAnsi" w:hAnsiTheme="minorHAnsi" w:cstheme="minorHAnsi"/>
                <w:color w:val="FF0000"/>
              </w:rPr>
            </w:pPr>
            <w:r w:rsidRPr="000B456B">
              <w:rPr>
                <w:rFonts w:asciiTheme="minorHAnsi" w:hAnsiTheme="minorHAnsi" w:cstheme="minorHAnsi"/>
                <w:color w:val="000000"/>
              </w:rPr>
              <w:t>Physiotherapists</w:t>
            </w:r>
          </w:p>
        </w:tc>
        <w:tc>
          <w:tcPr>
            <w:tcW w:w="1276" w:type="dxa"/>
            <w:tcMar>
              <w:top w:w="0" w:type="dxa"/>
              <w:left w:w="108" w:type="dxa"/>
              <w:bottom w:w="0" w:type="dxa"/>
              <w:right w:w="108" w:type="dxa"/>
            </w:tcMar>
            <w:vAlign w:val="bottom"/>
          </w:tcPr>
          <w:p w14:paraId="75AFED5F" w14:textId="77777777" w:rsidR="00745D89" w:rsidRPr="000B456B" w:rsidRDefault="00745D89" w:rsidP="001D600D">
            <w:pPr>
              <w:spacing w:after="0" w:line="276" w:lineRule="auto"/>
              <w:rPr>
                <w:rFonts w:asciiTheme="minorHAnsi" w:hAnsiTheme="minorHAnsi" w:cstheme="minorHAnsi"/>
                <w:color w:val="FF0000"/>
              </w:rPr>
            </w:pPr>
            <w:r w:rsidRPr="000B456B">
              <w:rPr>
                <w:rFonts w:asciiTheme="minorHAnsi" w:hAnsiTheme="minorHAnsi" w:cstheme="minorHAnsi"/>
                <w:color w:val="000000"/>
              </w:rPr>
              <w:t>8.6</w:t>
            </w:r>
          </w:p>
        </w:tc>
      </w:tr>
      <w:tr w:rsidR="00745D89" w:rsidRPr="00B51616" w14:paraId="7EDBA431" w14:textId="77777777" w:rsidTr="00A64361">
        <w:tc>
          <w:tcPr>
            <w:tcW w:w="3256" w:type="dxa"/>
            <w:vMerge/>
            <w:vAlign w:val="bottom"/>
          </w:tcPr>
          <w:p w14:paraId="1B0F1F3B"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2E2DD481" w14:textId="77777777" w:rsidR="00745D89" w:rsidRPr="000B456B" w:rsidRDefault="00745D89" w:rsidP="001D600D">
            <w:pPr>
              <w:spacing w:after="0" w:line="276" w:lineRule="auto"/>
              <w:rPr>
                <w:rFonts w:asciiTheme="minorHAnsi" w:hAnsiTheme="minorHAnsi" w:cstheme="minorHAnsi"/>
                <w:color w:val="FF0000"/>
              </w:rPr>
            </w:pPr>
            <w:r w:rsidRPr="000B456B">
              <w:rPr>
                <w:rFonts w:asciiTheme="minorHAnsi" w:hAnsiTheme="minorHAnsi" w:cstheme="minorHAnsi"/>
                <w:color w:val="000000"/>
              </w:rPr>
              <w:t>Pharmacists</w:t>
            </w:r>
          </w:p>
        </w:tc>
        <w:tc>
          <w:tcPr>
            <w:tcW w:w="1276" w:type="dxa"/>
            <w:tcMar>
              <w:top w:w="0" w:type="dxa"/>
              <w:left w:w="108" w:type="dxa"/>
              <w:bottom w:w="0" w:type="dxa"/>
              <w:right w:w="108" w:type="dxa"/>
            </w:tcMar>
            <w:vAlign w:val="bottom"/>
          </w:tcPr>
          <w:p w14:paraId="2F3E29F0" w14:textId="77777777" w:rsidR="00745D89" w:rsidRPr="000B456B" w:rsidRDefault="00745D89" w:rsidP="001D600D">
            <w:pPr>
              <w:spacing w:after="0" w:line="276" w:lineRule="auto"/>
              <w:rPr>
                <w:rFonts w:asciiTheme="minorHAnsi" w:hAnsiTheme="minorHAnsi" w:cstheme="minorHAnsi"/>
                <w:color w:val="FF0000"/>
              </w:rPr>
            </w:pPr>
            <w:r w:rsidRPr="000B456B">
              <w:rPr>
                <w:rFonts w:asciiTheme="minorHAnsi" w:hAnsiTheme="minorHAnsi" w:cstheme="minorHAnsi"/>
                <w:color w:val="000000"/>
              </w:rPr>
              <w:t>7.0</w:t>
            </w:r>
          </w:p>
        </w:tc>
      </w:tr>
      <w:tr w:rsidR="00745D89" w:rsidRPr="00B51616" w14:paraId="5AC88197" w14:textId="77777777" w:rsidTr="00A64361">
        <w:tc>
          <w:tcPr>
            <w:tcW w:w="3256" w:type="dxa"/>
            <w:vMerge/>
            <w:vAlign w:val="bottom"/>
          </w:tcPr>
          <w:p w14:paraId="4B36DAFE"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127C3165" w14:textId="77777777" w:rsidR="00745D89" w:rsidRPr="000B456B" w:rsidRDefault="00745D89" w:rsidP="001D600D">
            <w:pPr>
              <w:spacing w:after="0" w:line="276" w:lineRule="auto"/>
              <w:rPr>
                <w:rFonts w:asciiTheme="minorHAnsi" w:hAnsiTheme="minorHAnsi" w:cstheme="minorHAnsi"/>
                <w:color w:val="FF0000"/>
              </w:rPr>
            </w:pPr>
            <w:r w:rsidRPr="000B456B">
              <w:rPr>
                <w:rFonts w:asciiTheme="minorHAnsi" w:hAnsiTheme="minorHAnsi" w:cstheme="minorHAnsi"/>
                <w:color w:val="000000"/>
              </w:rPr>
              <w:t>Early Childhood (Pre-primary School) Teachers</w:t>
            </w:r>
          </w:p>
        </w:tc>
        <w:tc>
          <w:tcPr>
            <w:tcW w:w="1276" w:type="dxa"/>
            <w:tcMar>
              <w:top w:w="0" w:type="dxa"/>
              <w:left w:w="108" w:type="dxa"/>
              <w:bottom w:w="0" w:type="dxa"/>
              <w:right w:w="108" w:type="dxa"/>
            </w:tcMar>
            <w:vAlign w:val="bottom"/>
          </w:tcPr>
          <w:p w14:paraId="417FB17B" w14:textId="77777777" w:rsidR="00745D89" w:rsidRPr="000B456B" w:rsidRDefault="00745D89" w:rsidP="001D600D">
            <w:pPr>
              <w:spacing w:after="0" w:line="276" w:lineRule="auto"/>
              <w:rPr>
                <w:rFonts w:asciiTheme="minorHAnsi" w:hAnsiTheme="minorHAnsi" w:cstheme="minorHAnsi"/>
                <w:color w:val="FF0000"/>
              </w:rPr>
            </w:pPr>
            <w:r w:rsidRPr="000B456B">
              <w:rPr>
                <w:rFonts w:asciiTheme="minorHAnsi" w:hAnsiTheme="minorHAnsi" w:cstheme="minorHAnsi"/>
                <w:color w:val="000000"/>
              </w:rPr>
              <w:t>6.5</w:t>
            </w:r>
          </w:p>
        </w:tc>
      </w:tr>
      <w:tr w:rsidR="00745D89" w:rsidRPr="00B51616" w14:paraId="12DF82F2" w14:textId="77777777" w:rsidTr="00A64361">
        <w:tc>
          <w:tcPr>
            <w:tcW w:w="3256" w:type="dxa"/>
            <w:vMerge/>
            <w:vAlign w:val="bottom"/>
          </w:tcPr>
          <w:p w14:paraId="592069C0"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4B85DA2B" w14:textId="77777777" w:rsidR="00745D89" w:rsidRPr="000B456B" w:rsidRDefault="00745D89" w:rsidP="001D600D">
            <w:pPr>
              <w:spacing w:after="0" w:line="276" w:lineRule="auto"/>
              <w:rPr>
                <w:rFonts w:asciiTheme="minorHAnsi" w:hAnsiTheme="minorHAnsi" w:cstheme="minorHAnsi"/>
                <w:color w:val="FF0000"/>
              </w:rPr>
            </w:pPr>
            <w:r w:rsidRPr="000B456B">
              <w:rPr>
                <w:rFonts w:asciiTheme="minorHAnsi" w:hAnsiTheme="minorHAnsi" w:cstheme="minorHAnsi"/>
                <w:color w:val="000000"/>
              </w:rPr>
              <w:t>Civil Engineering Professionals</w:t>
            </w:r>
          </w:p>
        </w:tc>
        <w:tc>
          <w:tcPr>
            <w:tcW w:w="1276" w:type="dxa"/>
            <w:tcMar>
              <w:top w:w="0" w:type="dxa"/>
              <w:left w:w="108" w:type="dxa"/>
              <w:bottom w:w="0" w:type="dxa"/>
              <w:right w:w="108" w:type="dxa"/>
            </w:tcMar>
            <w:vAlign w:val="bottom"/>
          </w:tcPr>
          <w:p w14:paraId="690F8147" w14:textId="77777777" w:rsidR="00745D89" w:rsidRPr="000B456B" w:rsidRDefault="00745D89" w:rsidP="001D600D">
            <w:pPr>
              <w:spacing w:after="0" w:line="276" w:lineRule="auto"/>
              <w:rPr>
                <w:rFonts w:asciiTheme="minorHAnsi" w:hAnsiTheme="minorHAnsi" w:cstheme="minorHAnsi"/>
                <w:color w:val="FF0000"/>
              </w:rPr>
            </w:pPr>
            <w:r w:rsidRPr="000B456B">
              <w:rPr>
                <w:rFonts w:asciiTheme="minorHAnsi" w:hAnsiTheme="minorHAnsi" w:cstheme="minorHAnsi"/>
                <w:color w:val="000000"/>
              </w:rPr>
              <w:t>5.9</w:t>
            </w:r>
          </w:p>
        </w:tc>
      </w:tr>
      <w:tr w:rsidR="00745D89" w:rsidRPr="00B51616" w14:paraId="2969177A" w14:textId="77777777" w:rsidTr="00A64361">
        <w:tc>
          <w:tcPr>
            <w:tcW w:w="3256" w:type="dxa"/>
            <w:vMerge/>
            <w:vAlign w:val="bottom"/>
          </w:tcPr>
          <w:p w14:paraId="23AF44F3"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15F4D940" w14:textId="77777777" w:rsidR="00745D89" w:rsidRPr="000B456B" w:rsidRDefault="00745D89" w:rsidP="001D600D">
            <w:pPr>
              <w:spacing w:after="0" w:line="276" w:lineRule="auto"/>
              <w:rPr>
                <w:rFonts w:asciiTheme="minorHAnsi" w:hAnsiTheme="minorHAnsi" w:cstheme="minorHAnsi"/>
                <w:color w:val="FF0000"/>
              </w:rPr>
            </w:pPr>
            <w:r w:rsidRPr="000B456B">
              <w:rPr>
                <w:rFonts w:asciiTheme="minorHAnsi" w:hAnsiTheme="minorHAnsi" w:cstheme="minorHAnsi"/>
                <w:color w:val="000000"/>
              </w:rPr>
              <w:t>Motor Mechanics</w:t>
            </w:r>
          </w:p>
        </w:tc>
        <w:tc>
          <w:tcPr>
            <w:tcW w:w="1276" w:type="dxa"/>
            <w:tcMar>
              <w:top w:w="0" w:type="dxa"/>
              <w:left w:w="108" w:type="dxa"/>
              <w:bottom w:w="0" w:type="dxa"/>
              <w:right w:w="108" w:type="dxa"/>
            </w:tcMar>
            <w:vAlign w:val="bottom"/>
          </w:tcPr>
          <w:p w14:paraId="6D3F1DDA" w14:textId="77777777" w:rsidR="00745D89" w:rsidRPr="000B456B" w:rsidRDefault="00745D89" w:rsidP="001D600D">
            <w:pPr>
              <w:spacing w:after="0" w:line="276" w:lineRule="auto"/>
              <w:rPr>
                <w:rFonts w:asciiTheme="minorHAnsi" w:hAnsiTheme="minorHAnsi" w:cstheme="minorHAnsi"/>
                <w:color w:val="FF0000"/>
              </w:rPr>
            </w:pPr>
            <w:r w:rsidRPr="000B456B">
              <w:rPr>
                <w:rFonts w:asciiTheme="minorHAnsi" w:hAnsiTheme="minorHAnsi" w:cstheme="minorHAnsi"/>
                <w:color w:val="000000"/>
              </w:rPr>
              <w:t>5.8</w:t>
            </w:r>
          </w:p>
        </w:tc>
      </w:tr>
      <w:tr w:rsidR="00745D89" w:rsidRPr="00B51616" w14:paraId="17D4B3BF" w14:textId="77777777" w:rsidTr="00A64361">
        <w:tc>
          <w:tcPr>
            <w:tcW w:w="3256" w:type="dxa"/>
            <w:vMerge/>
            <w:vAlign w:val="bottom"/>
          </w:tcPr>
          <w:p w14:paraId="3FB670B9"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550F3509"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43726D37"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4.9</w:t>
            </w:r>
          </w:p>
        </w:tc>
      </w:tr>
      <w:tr w:rsidR="00745D89" w:rsidRPr="00B51616" w14:paraId="5DDDF788" w14:textId="77777777" w:rsidTr="00A64361">
        <w:tc>
          <w:tcPr>
            <w:tcW w:w="3256" w:type="dxa"/>
            <w:vMerge/>
            <w:vAlign w:val="bottom"/>
          </w:tcPr>
          <w:p w14:paraId="560054EB"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65C68D7E"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Registered Nurses</w:t>
            </w:r>
          </w:p>
        </w:tc>
        <w:tc>
          <w:tcPr>
            <w:tcW w:w="1276" w:type="dxa"/>
            <w:tcMar>
              <w:top w:w="0" w:type="dxa"/>
              <w:left w:w="108" w:type="dxa"/>
              <w:bottom w:w="0" w:type="dxa"/>
              <w:right w:w="108" w:type="dxa"/>
            </w:tcMar>
            <w:vAlign w:val="bottom"/>
          </w:tcPr>
          <w:p w14:paraId="0D2EF79D"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4.9</w:t>
            </w:r>
          </w:p>
        </w:tc>
      </w:tr>
      <w:tr w:rsidR="00745D89" w:rsidRPr="00B51616" w14:paraId="7D282A9B" w14:textId="77777777" w:rsidTr="00A64361">
        <w:tc>
          <w:tcPr>
            <w:tcW w:w="3256" w:type="dxa"/>
            <w:vMerge/>
            <w:vAlign w:val="bottom"/>
          </w:tcPr>
          <w:p w14:paraId="276E10C6"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448632C7"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Electricians</w:t>
            </w:r>
          </w:p>
        </w:tc>
        <w:tc>
          <w:tcPr>
            <w:tcW w:w="1276" w:type="dxa"/>
            <w:tcMar>
              <w:top w:w="0" w:type="dxa"/>
              <w:left w:w="108" w:type="dxa"/>
              <w:bottom w:w="0" w:type="dxa"/>
              <w:right w:w="108" w:type="dxa"/>
            </w:tcMar>
            <w:vAlign w:val="bottom"/>
          </w:tcPr>
          <w:p w14:paraId="6B56D4A2"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4.5</w:t>
            </w:r>
          </w:p>
        </w:tc>
      </w:tr>
      <w:tr w:rsidR="00745D89" w:rsidRPr="00B51616" w14:paraId="7BFEFAA5" w14:textId="77777777" w:rsidTr="00A64361">
        <w:tc>
          <w:tcPr>
            <w:tcW w:w="3256" w:type="dxa"/>
            <w:vMerge w:val="restart"/>
            <w:vAlign w:val="bottom"/>
          </w:tcPr>
          <w:p w14:paraId="08F781E9" w14:textId="77777777" w:rsidR="00745D89" w:rsidRPr="000B64FA" w:rsidRDefault="00745D89" w:rsidP="001D600D">
            <w:pPr>
              <w:spacing w:after="0" w:line="276" w:lineRule="auto"/>
              <w:rPr>
                <w:rFonts w:asciiTheme="minorHAnsi" w:hAnsiTheme="minorHAnsi" w:cstheme="minorHAnsi"/>
                <w:color w:val="000000"/>
              </w:rPr>
            </w:pPr>
            <w:r w:rsidRPr="000B64FA">
              <w:rPr>
                <w:rFonts w:asciiTheme="minorHAnsi" w:hAnsiTheme="minorHAnsi" w:cstheme="minorHAnsi"/>
                <w:color w:val="000000"/>
              </w:rPr>
              <w:t>Southern Highlands and Shoalhaven</w:t>
            </w:r>
          </w:p>
        </w:tc>
        <w:tc>
          <w:tcPr>
            <w:tcW w:w="5953" w:type="dxa"/>
            <w:tcMar>
              <w:top w:w="0" w:type="dxa"/>
              <w:left w:w="108" w:type="dxa"/>
              <w:bottom w:w="0" w:type="dxa"/>
              <w:right w:w="108" w:type="dxa"/>
            </w:tcMar>
            <w:vAlign w:val="bottom"/>
          </w:tcPr>
          <w:p w14:paraId="1A3F7607"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0F9FAEBB"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11.0</w:t>
            </w:r>
          </w:p>
        </w:tc>
      </w:tr>
      <w:tr w:rsidR="00745D89" w:rsidRPr="00DF570A" w14:paraId="49AA13A4" w14:textId="77777777" w:rsidTr="00A64361">
        <w:trPr>
          <w:trHeight w:val="85"/>
        </w:trPr>
        <w:tc>
          <w:tcPr>
            <w:tcW w:w="3256" w:type="dxa"/>
            <w:vMerge/>
            <w:vAlign w:val="bottom"/>
          </w:tcPr>
          <w:p w14:paraId="7FE28D6A"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315816EA"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1B73EF25"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7.6</w:t>
            </w:r>
          </w:p>
        </w:tc>
      </w:tr>
      <w:tr w:rsidR="00745D89" w:rsidRPr="00DF570A" w14:paraId="04B5D60B" w14:textId="77777777" w:rsidTr="00A64361">
        <w:tc>
          <w:tcPr>
            <w:tcW w:w="3256" w:type="dxa"/>
            <w:vMerge/>
            <w:vAlign w:val="bottom"/>
          </w:tcPr>
          <w:p w14:paraId="1CC05312" w14:textId="77777777" w:rsidR="00745D89" w:rsidRPr="000B64FA" w:rsidRDefault="00745D89" w:rsidP="001D600D">
            <w:pPr>
              <w:spacing w:after="0" w:line="276" w:lineRule="auto"/>
              <w:rPr>
                <w:rFonts w:asciiTheme="minorHAnsi" w:hAnsiTheme="minorHAnsi" w:cstheme="minorHAnsi"/>
                <w:color w:val="000000"/>
              </w:rPr>
            </w:pPr>
          </w:p>
        </w:tc>
        <w:tc>
          <w:tcPr>
            <w:tcW w:w="5953" w:type="dxa"/>
            <w:tcMar>
              <w:top w:w="0" w:type="dxa"/>
              <w:left w:w="108" w:type="dxa"/>
              <w:bottom w:w="0" w:type="dxa"/>
              <w:right w:w="108" w:type="dxa"/>
            </w:tcMar>
            <w:vAlign w:val="bottom"/>
          </w:tcPr>
          <w:p w14:paraId="193FA0E0"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Civil Engineering Professionals</w:t>
            </w:r>
          </w:p>
        </w:tc>
        <w:tc>
          <w:tcPr>
            <w:tcW w:w="1276" w:type="dxa"/>
            <w:tcMar>
              <w:top w:w="0" w:type="dxa"/>
              <w:left w:w="108" w:type="dxa"/>
              <w:bottom w:w="0" w:type="dxa"/>
              <w:right w:w="108" w:type="dxa"/>
            </w:tcMar>
            <w:vAlign w:val="bottom"/>
          </w:tcPr>
          <w:p w14:paraId="390B61DB" w14:textId="77777777" w:rsidR="00745D89" w:rsidRPr="000B64FA" w:rsidRDefault="00745D89" w:rsidP="001D600D">
            <w:pPr>
              <w:spacing w:after="0" w:line="276" w:lineRule="auto"/>
              <w:rPr>
                <w:rFonts w:asciiTheme="minorHAnsi" w:hAnsiTheme="minorHAnsi" w:cstheme="minorHAnsi"/>
                <w:color w:val="FF0000"/>
              </w:rPr>
            </w:pPr>
            <w:r w:rsidRPr="000B64FA">
              <w:rPr>
                <w:rFonts w:asciiTheme="minorHAnsi" w:hAnsiTheme="minorHAnsi" w:cstheme="minorHAnsi"/>
                <w:color w:val="000000"/>
              </w:rPr>
              <w:t>5.4</w:t>
            </w:r>
          </w:p>
        </w:tc>
      </w:tr>
    </w:tbl>
    <w:p w14:paraId="4EE12269" w14:textId="77777777" w:rsidR="00745D89" w:rsidRDefault="00745D89" w:rsidP="00745D89">
      <w:pPr>
        <w:pStyle w:val="Heading5"/>
      </w:pPr>
      <w:r>
        <w:br w:type="page"/>
      </w:r>
    </w:p>
    <w:p w14:paraId="2DF1FBC0" w14:textId="2BC0ACCA" w:rsidR="00745D89" w:rsidRPr="002E702C" w:rsidRDefault="00745D89" w:rsidP="00745D89">
      <w:pPr>
        <w:pStyle w:val="Heading5"/>
        <w:rPr>
          <w:rFonts w:asciiTheme="minorHAnsi" w:hAnsiTheme="minorHAnsi" w:cstheme="minorHAnsi"/>
        </w:rPr>
      </w:pPr>
      <w:r w:rsidRPr="002E702C">
        <w:rPr>
          <w:rFonts w:asciiTheme="minorHAnsi" w:hAnsiTheme="minorHAnsi" w:cstheme="minorHAnsi"/>
        </w:rPr>
        <w:lastRenderedPageBreak/>
        <w:t xml:space="preserve">Table A3: Top regional Victoria </w:t>
      </w:r>
      <w:r w:rsidR="0064373F">
        <w:rPr>
          <w:rFonts w:asciiTheme="minorHAnsi" w:hAnsiTheme="minorHAnsi" w:cstheme="minorHAnsi"/>
        </w:rPr>
        <w:t>IVI vacancy</w:t>
      </w:r>
      <w:r w:rsidRPr="002E702C">
        <w:rPr>
          <w:rFonts w:asciiTheme="minorHAnsi" w:hAnsiTheme="minorHAnsi" w:cstheme="minorHAnsi"/>
        </w:rPr>
        <w:t xml:space="preserve"> rat</w:t>
      </w:r>
      <w:r w:rsidR="00A70DCF">
        <w:rPr>
          <w:rFonts w:asciiTheme="minorHAnsi" w:hAnsiTheme="minorHAnsi" w:cstheme="minorHAnsi"/>
        </w:rPr>
        <w:t>io</w:t>
      </w:r>
      <w:r w:rsidRPr="002E702C">
        <w:rPr>
          <w:rFonts w:asciiTheme="minorHAnsi" w:hAnsiTheme="minorHAnsi" w:cstheme="minorHAnsi"/>
        </w:rPr>
        <w:t>s (</w:t>
      </w:r>
      <w:r w:rsidR="00AA78A0">
        <w:rPr>
          <w:rFonts w:asciiTheme="minorHAnsi" w:hAnsiTheme="minorHAnsi" w:cstheme="minorHAnsi"/>
        </w:rPr>
        <w:t>IVI job</w:t>
      </w:r>
      <w:r w:rsidR="002A1C3A" w:rsidRPr="002E702C">
        <w:rPr>
          <w:rFonts w:asciiTheme="minorHAnsi" w:hAnsiTheme="minorHAnsi" w:cstheme="minorHAnsi"/>
        </w:rPr>
        <w:t xml:space="preserve"> ad</w:t>
      </w:r>
      <w:r w:rsidR="002A1C3A">
        <w:rPr>
          <w:rFonts w:asciiTheme="minorHAnsi" w:hAnsiTheme="minorHAnsi" w:cstheme="minorHAnsi"/>
        </w:rPr>
        <w:t>vertisement</w:t>
      </w:r>
      <w:r w:rsidR="002A1C3A" w:rsidRPr="002E702C">
        <w:rPr>
          <w:rFonts w:asciiTheme="minorHAnsi" w:hAnsiTheme="minorHAnsi" w:cstheme="minorHAnsi"/>
        </w:rPr>
        <w:t xml:space="preserve">s </w:t>
      </w:r>
      <w:r w:rsidRPr="002E702C">
        <w:rPr>
          <w:rFonts w:asciiTheme="minorHAnsi" w:hAnsiTheme="minorHAnsi" w:cstheme="minorHAnsi"/>
        </w:rPr>
        <w:t xml:space="preserve">as a proportion of employment), for occupations in shortage on the 2022 SPL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5811"/>
        <w:gridCol w:w="1276"/>
      </w:tblGrid>
      <w:tr w:rsidR="00745D89" w:rsidRPr="002E702C" w14:paraId="288BB45E" w14:textId="77777777" w:rsidTr="00AD4DDD">
        <w:trPr>
          <w:tblHeader/>
        </w:trPr>
        <w:tc>
          <w:tcPr>
            <w:tcW w:w="3256" w:type="dxa"/>
            <w:shd w:val="clear" w:color="auto" w:fill="441170" w:themeFill="text2"/>
          </w:tcPr>
          <w:p w14:paraId="3753B3EA" w14:textId="6EF8DE2C" w:rsidR="00745D89" w:rsidRPr="002E702C" w:rsidRDefault="00745D89" w:rsidP="001D600D">
            <w:pPr>
              <w:spacing w:after="0" w:line="276" w:lineRule="auto"/>
              <w:rPr>
                <w:rFonts w:asciiTheme="minorHAnsi" w:hAnsiTheme="minorHAnsi" w:cstheme="minorHAnsi"/>
                <w:b/>
                <w:bCs/>
                <w:color w:val="FFFFFF" w:themeColor="background1"/>
              </w:rPr>
            </w:pPr>
            <w:r w:rsidRPr="002E702C">
              <w:rPr>
                <w:rFonts w:asciiTheme="minorHAnsi" w:hAnsiTheme="minorHAnsi" w:cstheme="minorHAnsi"/>
                <w:b/>
                <w:bCs/>
                <w:color w:val="FFFFFF" w:themeColor="background1"/>
              </w:rPr>
              <w:t>Vic</w:t>
            </w:r>
            <w:r w:rsidR="009A31A5">
              <w:rPr>
                <w:rFonts w:asciiTheme="minorHAnsi" w:hAnsiTheme="minorHAnsi" w:cstheme="minorHAnsi"/>
                <w:b/>
                <w:bCs/>
                <w:color w:val="FFFFFF" w:themeColor="background1"/>
              </w:rPr>
              <w:t>toria</w:t>
            </w:r>
            <w:r w:rsidRPr="002E702C">
              <w:rPr>
                <w:rFonts w:asciiTheme="minorHAnsi" w:hAnsiTheme="minorHAnsi" w:cstheme="minorHAnsi"/>
                <w:b/>
                <w:bCs/>
                <w:color w:val="FFFFFF" w:themeColor="background1"/>
              </w:rPr>
              <w:t xml:space="preserve"> SA4 Region</w:t>
            </w:r>
          </w:p>
        </w:tc>
        <w:tc>
          <w:tcPr>
            <w:tcW w:w="5811" w:type="dxa"/>
            <w:shd w:val="clear" w:color="auto" w:fill="441170" w:themeFill="text2"/>
            <w:tcMar>
              <w:top w:w="0" w:type="dxa"/>
              <w:left w:w="108" w:type="dxa"/>
              <w:bottom w:w="0" w:type="dxa"/>
              <w:right w:w="108" w:type="dxa"/>
            </w:tcMar>
            <w:hideMark/>
          </w:tcPr>
          <w:p w14:paraId="2129F692" w14:textId="77777777" w:rsidR="00745D89" w:rsidRPr="002E702C" w:rsidRDefault="00745D89" w:rsidP="001D600D">
            <w:pPr>
              <w:spacing w:after="0" w:line="276" w:lineRule="auto"/>
              <w:rPr>
                <w:rFonts w:asciiTheme="minorHAnsi" w:hAnsiTheme="minorHAnsi" w:cstheme="minorHAnsi"/>
                <w:b/>
                <w:bCs/>
                <w:color w:val="FFFFFF" w:themeColor="background1"/>
              </w:rPr>
            </w:pPr>
            <w:r w:rsidRPr="002E702C">
              <w:rPr>
                <w:rFonts w:asciiTheme="minorHAnsi" w:hAnsiTheme="minorHAnsi" w:cstheme="minorHAnsi"/>
                <w:b/>
                <w:bCs/>
                <w:color w:val="FFFFFF" w:themeColor="background1"/>
              </w:rPr>
              <w:t xml:space="preserve">Occupations </w:t>
            </w:r>
          </w:p>
        </w:tc>
        <w:tc>
          <w:tcPr>
            <w:tcW w:w="1276" w:type="dxa"/>
            <w:shd w:val="clear" w:color="auto" w:fill="441170" w:themeFill="text2"/>
            <w:tcMar>
              <w:top w:w="0" w:type="dxa"/>
              <w:left w:w="108" w:type="dxa"/>
              <w:bottom w:w="0" w:type="dxa"/>
              <w:right w:w="108" w:type="dxa"/>
            </w:tcMar>
            <w:hideMark/>
          </w:tcPr>
          <w:p w14:paraId="61E4FB5B" w14:textId="3CD3E578" w:rsidR="00745D89" w:rsidRPr="002E702C" w:rsidRDefault="0064373F" w:rsidP="001D600D">
            <w:pPr>
              <w:spacing w:after="0" w:line="276" w:lineRule="auto"/>
              <w:rPr>
                <w:rFonts w:asciiTheme="minorHAnsi" w:hAnsiTheme="minorHAnsi" w:cstheme="minorHAnsi"/>
                <w:b/>
                <w:bCs/>
                <w:color w:val="FFFFFF" w:themeColor="background1"/>
              </w:rPr>
            </w:pPr>
            <w:r>
              <w:rPr>
                <w:rFonts w:asciiTheme="minorHAnsi" w:hAnsiTheme="minorHAnsi" w:cstheme="minorHAnsi"/>
                <w:b/>
                <w:bCs/>
                <w:color w:val="FFFFFF"/>
              </w:rPr>
              <w:t>IVI vacancy</w:t>
            </w:r>
            <w:r w:rsidR="00745D89">
              <w:rPr>
                <w:rFonts w:asciiTheme="minorHAnsi" w:hAnsiTheme="minorHAnsi" w:cstheme="minorHAnsi"/>
                <w:b/>
                <w:bCs/>
                <w:color w:val="FFFFFF"/>
              </w:rPr>
              <w:t xml:space="preserve"> </w:t>
            </w:r>
            <w:r w:rsidR="00502054">
              <w:rPr>
                <w:rFonts w:asciiTheme="minorHAnsi" w:hAnsiTheme="minorHAnsi" w:cstheme="minorHAnsi"/>
                <w:b/>
                <w:bCs/>
                <w:color w:val="FFFFFF"/>
              </w:rPr>
              <w:t>r</w:t>
            </w:r>
            <w:r w:rsidR="00745D89">
              <w:rPr>
                <w:rFonts w:asciiTheme="minorHAnsi" w:hAnsiTheme="minorHAnsi" w:cstheme="minorHAnsi"/>
                <w:b/>
                <w:bCs/>
                <w:color w:val="FFFFFF"/>
              </w:rPr>
              <w:t>atio</w:t>
            </w:r>
            <w:r w:rsidR="00745D89" w:rsidRPr="002E702C">
              <w:rPr>
                <w:rFonts w:asciiTheme="minorHAnsi" w:hAnsiTheme="minorHAnsi" w:cstheme="minorHAnsi"/>
                <w:b/>
                <w:bCs/>
                <w:color w:val="FFFFFF"/>
              </w:rPr>
              <w:t xml:space="preserve"> (%)</w:t>
            </w:r>
          </w:p>
        </w:tc>
      </w:tr>
      <w:tr w:rsidR="00745D89" w:rsidRPr="002E702C" w14:paraId="5944402B" w14:textId="77777777" w:rsidTr="00A64361">
        <w:tc>
          <w:tcPr>
            <w:tcW w:w="3256" w:type="dxa"/>
            <w:vMerge w:val="restart"/>
            <w:vAlign w:val="bottom"/>
          </w:tcPr>
          <w:p w14:paraId="1293399E"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Ballarat</w:t>
            </w:r>
          </w:p>
        </w:tc>
        <w:tc>
          <w:tcPr>
            <w:tcW w:w="5811" w:type="dxa"/>
            <w:tcMar>
              <w:top w:w="0" w:type="dxa"/>
              <w:left w:w="108" w:type="dxa"/>
              <w:bottom w:w="0" w:type="dxa"/>
              <w:right w:w="108" w:type="dxa"/>
            </w:tcMar>
            <w:vAlign w:val="bottom"/>
            <w:hideMark/>
          </w:tcPr>
          <w:p w14:paraId="3516101B"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hideMark/>
          </w:tcPr>
          <w:p w14:paraId="2A74AE02"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14.9</w:t>
            </w:r>
          </w:p>
        </w:tc>
      </w:tr>
      <w:tr w:rsidR="00745D89" w:rsidRPr="002E702C" w14:paraId="24E35F3B" w14:textId="77777777" w:rsidTr="00A64361">
        <w:tc>
          <w:tcPr>
            <w:tcW w:w="3256" w:type="dxa"/>
            <w:vMerge/>
            <w:vAlign w:val="bottom"/>
          </w:tcPr>
          <w:p w14:paraId="2A5E895D"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07C8832A"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Pharmacists</w:t>
            </w:r>
          </w:p>
        </w:tc>
        <w:tc>
          <w:tcPr>
            <w:tcW w:w="1276" w:type="dxa"/>
            <w:tcMar>
              <w:top w:w="0" w:type="dxa"/>
              <w:left w:w="108" w:type="dxa"/>
              <w:bottom w:w="0" w:type="dxa"/>
              <w:right w:w="108" w:type="dxa"/>
            </w:tcMar>
            <w:vAlign w:val="bottom"/>
          </w:tcPr>
          <w:p w14:paraId="325C9596"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11.7</w:t>
            </w:r>
          </w:p>
        </w:tc>
      </w:tr>
      <w:tr w:rsidR="00745D89" w:rsidRPr="002E702C" w14:paraId="6C041E3C" w14:textId="77777777" w:rsidTr="00A64361">
        <w:tc>
          <w:tcPr>
            <w:tcW w:w="3256" w:type="dxa"/>
            <w:vMerge/>
            <w:vAlign w:val="bottom"/>
          </w:tcPr>
          <w:p w14:paraId="41C915B4"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5A5267DD"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Early Childhood (Pre-primary School) Teachers</w:t>
            </w:r>
          </w:p>
        </w:tc>
        <w:tc>
          <w:tcPr>
            <w:tcW w:w="1276" w:type="dxa"/>
            <w:tcMar>
              <w:top w:w="0" w:type="dxa"/>
              <w:left w:w="108" w:type="dxa"/>
              <w:bottom w:w="0" w:type="dxa"/>
              <w:right w:w="108" w:type="dxa"/>
            </w:tcMar>
            <w:vAlign w:val="bottom"/>
          </w:tcPr>
          <w:p w14:paraId="26678272"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10.6</w:t>
            </w:r>
          </w:p>
        </w:tc>
      </w:tr>
      <w:tr w:rsidR="00745D89" w:rsidRPr="002E702C" w14:paraId="7CE0C25B" w14:textId="77777777" w:rsidTr="00A64361">
        <w:tc>
          <w:tcPr>
            <w:tcW w:w="3256" w:type="dxa"/>
            <w:vMerge/>
            <w:vAlign w:val="bottom"/>
          </w:tcPr>
          <w:p w14:paraId="7508E74B"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719E200E"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Enrolled and Mothercraft Nurses</w:t>
            </w:r>
          </w:p>
        </w:tc>
        <w:tc>
          <w:tcPr>
            <w:tcW w:w="1276" w:type="dxa"/>
            <w:tcMar>
              <w:top w:w="0" w:type="dxa"/>
              <w:left w:w="108" w:type="dxa"/>
              <w:bottom w:w="0" w:type="dxa"/>
              <w:right w:w="108" w:type="dxa"/>
            </w:tcMar>
            <w:vAlign w:val="bottom"/>
          </w:tcPr>
          <w:p w14:paraId="5A40A402"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6.5</w:t>
            </w:r>
          </w:p>
        </w:tc>
      </w:tr>
      <w:tr w:rsidR="00745D89" w:rsidRPr="002E702C" w14:paraId="3F61483C" w14:textId="77777777" w:rsidTr="00A64361">
        <w:tc>
          <w:tcPr>
            <w:tcW w:w="3256" w:type="dxa"/>
            <w:vMerge/>
            <w:vAlign w:val="bottom"/>
          </w:tcPr>
          <w:p w14:paraId="558D10E6"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1FCE1A81"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Cooks</w:t>
            </w:r>
          </w:p>
        </w:tc>
        <w:tc>
          <w:tcPr>
            <w:tcW w:w="1276" w:type="dxa"/>
            <w:tcMar>
              <w:top w:w="0" w:type="dxa"/>
              <w:left w:w="108" w:type="dxa"/>
              <w:bottom w:w="0" w:type="dxa"/>
              <w:right w:w="108" w:type="dxa"/>
            </w:tcMar>
            <w:vAlign w:val="bottom"/>
          </w:tcPr>
          <w:p w14:paraId="40DB7D43"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5.4</w:t>
            </w:r>
          </w:p>
        </w:tc>
      </w:tr>
      <w:tr w:rsidR="00745D89" w:rsidRPr="002E702C" w14:paraId="5C1A4D0C" w14:textId="77777777" w:rsidTr="00A64361">
        <w:tc>
          <w:tcPr>
            <w:tcW w:w="3256" w:type="dxa"/>
            <w:vMerge/>
            <w:vAlign w:val="bottom"/>
          </w:tcPr>
          <w:p w14:paraId="121CF7EC"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7C5FCF34"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029D001F"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5.1</w:t>
            </w:r>
          </w:p>
        </w:tc>
      </w:tr>
      <w:tr w:rsidR="00745D89" w:rsidRPr="002E702C" w14:paraId="4E188ADE" w14:textId="77777777" w:rsidTr="00A64361">
        <w:tc>
          <w:tcPr>
            <w:tcW w:w="3256" w:type="dxa"/>
            <w:vMerge/>
            <w:vAlign w:val="bottom"/>
          </w:tcPr>
          <w:p w14:paraId="780AB082"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4D225254"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Child Carers</w:t>
            </w:r>
          </w:p>
        </w:tc>
        <w:tc>
          <w:tcPr>
            <w:tcW w:w="1276" w:type="dxa"/>
            <w:tcMar>
              <w:top w:w="0" w:type="dxa"/>
              <w:left w:w="108" w:type="dxa"/>
              <w:bottom w:w="0" w:type="dxa"/>
              <w:right w:w="108" w:type="dxa"/>
            </w:tcMar>
            <w:vAlign w:val="bottom"/>
          </w:tcPr>
          <w:p w14:paraId="38BD37F5"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4.6</w:t>
            </w:r>
          </w:p>
        </w:tc>
      </w:tr>
      <w:tr w:rsidR="00745D89" w:rsidRPr="002E702C" w14:paraId="1377723F" w14:textId="77777777" w:rsidTr="00A64361">
        <w:tc>
          <w:tcPr>
            <w:tcW w:w="3256" w:type="dxa"/>
            <w:vMerge/>
            <w:vAlign w:val="bottom"/>
          </w:tcPr>
          <w:p w14:paraId="1E9450D3"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3AED70E4"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Chefs</w:t>
            </w:r>
          </w:p>
        </w:tc>
        <w:tc>
          <w:tcPr>
            <w:tcW w:w="1276" w:type="dxa"/>
            <w:tcMar>
              <w:top w:w="0" w:type="dxa"/>
              <w:left w:w="108" w:type="dxa"/>
              <w:bottom w:w="0" w:type="dxa"/>
              <w:right w:w="108" w:type="dxa"/>
            </w:tcMar>
            <w:vAlign w:val="bottom"/>
          </w:tcPr>
          <w:p w14:paraId="4210A42F"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4.2</w:t>
            </w:r>
          </w:p>
        </w:tc>
      </w:tr>
      <w:tr w:rsidR="00745D89" w:rsidRPr="002E702C" w14:paraId="4AD94BE5" w14:textId="77777777" w:rsidTr="00A64361">
        <w:tc>
          <w:tcPr>
            <w:tcW w:w="3256" w:type="dxa"/>
            <w:vMerge/>
            <w:vAlign w:val="bottom"/>
          </w:tcPr>
          <w:p w14:paraId="6866A630"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45026E55"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Social Workers</w:t>
            </w:r>
          </w:p>
        </w:tc>
        <w:tc>
          <w:tcPr>
            <w:tcW w:w="1276" w:type="dxa"/>
            <w:tcMar>
              <w:top w:w="0" w:type="dxa"/>
              <w:left w:w="108" w:type="dxa"/>
              <w:bottom w:w="0" w:type="dxa"/>
              <w:right w:w="108" w:type="dxa"/>
            </w:tcMar>
            <w:vAlign w:val="bottom"/>
          </w:tcPr>
          <w:p w14:paraId="094F8621"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4.1</w:t>
            </w:r>
          </w:p>
        </w:tc>
      </w:tr>
      <w:tr w:rsidR="00745D89" w:rsidRPr="002E702C" w14:paraId="61415B94" w14:textId="77777777" w:rsidTr="00A64361">
        <w:tc>
          <w:tcPr>
            <w:tcW w:w="3256" w:type="dxa"/>
            <w:vMerge w:val="restart"/>
            <w:vAlign w:val="bottom"/>
          </w:tcPr>
          <w:p w14:paraId="0D417AF8"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Bendigo</w:t>
            </w:r>
          </w:p>
        </w:tc>
        <w:tc>
          <w:tcPr>
            <w:tcW w:w="5811" w:type="dxa"/>
            <w:tcMar>
              <w:top w:w="0" w:type="dxa"/>
              <w:left w:w="108" w:type="dxa"/>
              <w:bottom w:w="0" w:type="dxa"/>
              <w:right w:w="108" w:type="dxa"/>
            </w:tcMar>
            <w:vAlign w:val="bottom"/>
          </w:tcPr>
          <w:p w14:paraId="2417295A"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Early Childhood (Pre-primary School) Teachers</w:t>
            </w:r>
          </w:p>
        </w:tc>
        <w:tc>
          <w:tcPr>
            <w:tcW w:w="1276" w:type="dxa"/>
            <w:tcMar>
              <w:top w:w="0" w:type="dxa"/>
              <w:left w:w="108" w:type="dxa"/>
              <w:bottom w:w="0" w:type="dxa"/>
              <w:right w:w="108" w:type="dxa"/>
            </w:tcMar>
            <w:vAlign w:val="bottom"/>
          </w:tcPr>
          <w:p w14:paraId="279A3072"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8.3</w:t>
            </w:r>
          </w:p>
        </w:tc>
      </w:tr>
      <w:tr w:rsidR="00745D89" w:rsidRPr="002E702C" w14:paraId="2FDD00AF" w14:textId="77777777" w:rsidTr="00A64361">
        <w:tc>
          <w:tcPr>
            <w:tcW w:w="3256" w:type="dxa"/>
            <w:vMerge/>
            <w:vAlign w:val="bottom"/>
          </w:tcPr>
          <w:p w14:paraId="236338A0"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30800F45"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3BD685EF"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6.8</w:t>
            </w:r>
          </w:p>
        </w:tc>
      </w:tr>
      <w:tr w:rsidR="00745D89" w:rsidRPr="002E702C" w14:paraId="13578837" w14:textId="77777777" w:rsidTr="00A64361">
        <w:tc>
          <w:tcPr>
            <w:tcW w:w="3256" w:type="dxa"/>
            <w:vMerge/>
            <w:vAlign w:val="bottom"/>
          </w:tcPr>
          <w:p w14:paraId="4C7011C4"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02665E07"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Cooks</w:t>
            </w:r>
          </w:p>
        </w:tc>
        <w:tc>
          <w:tcPr>
            <w:tcW w:w="1276" w:type="dxa"/>
            <w:tcMar>
              <w:top w:w="0" w:type="dxa"/>
              <w:left w:w="108" w:type="dxa"/>
              <w:bottom w:w="0" w:type="dxa"/>
              <w:right w:w="108" w:type="dxa"/>
            </w:tcMar>
            <w:vAlign w:val="bottom"/>
          </w:tcPr>
          <w:p w14:paraId="2C31F382"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5.3</w:t>
            </w:r>
          </w:p>
        </w:tc>
      </w:tr>
      <w:tr w:rsidR="00745D89" w:rsidRPr="002E702C" w14:paraId="654ACD0A" w14:textId="77777777" w:rsidTr="00A64361">
        <w:tc>
          <w:tcPr>
            <w:tcW w:w="3256" w:type="dxa"/>
            <w:vMerge/>
            <w:vAlign w:val="bottom"/>
          </w:tcPr>
          <w:p w14:paraId="20116320"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56147E7E"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6B4586A1"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5.0</w:t>
            </w:r>
          </w:p>
        </w:tc>
      </w:tr>
      <w:tr w:rsidR="00745D89" w:rsidRPr="002E702C" w14:paraId="23AA1DC1" w14:textId="77777777" w:rsidTr="00A64361">
        <w:tc>
          <w:tcPr>
            <w:tcW w:w="3256" w:type="dxa"/>
            <w:vMerge/>
            <w:vAlign w:val="bottom"/>
          </w:tcPr>
          <w:p w14:paraId="01A8F0E6"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492E491F"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Nursing Support and Personal Care Workers</w:t>
            </w:r>
          </w:p>
        </w:tc>
        <w:tc>
          <w:tcPr>
            <w:tcW w:w="1276" w:type="dxa"/>
            <w:tcMar>
              <w:top w:w="0" w:type="dxa"/>
              <w:left w:w="108" w:type="dxa"/>
              <w:bottom w:w="0" w:type="dxa"/>
              <w:right w:w="108" w:type="dxa"/>
            </w:tcMar>
            <w:vAlign w:val="bottom"/>
          </w:tcPr>
          <w:p w14:paraId="0FB8127E"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4.3</w:t>
            </w:r>
          </w:p>
        </w:tc>
      </w:tr>
      <w:tr w:rsidR="00745D89" w:rsidRPr="002E702C" w14:paraId="3439BE92" w14:textId="77777777" w:rsidTr="00A64361">
        <w:tc>
          <w:tcPr>
            <w:tcW w:w="3256" w:type="dxa"/>
            <w:vMerge w:val="restart"/>
            <w:vAlign w:val="bottom"/>
          </w:tcPr>
          <w:p w14:paraId="50442E82"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Geelong</w:t>
            </w:r>
          </w:p>
        </w:tc>
        <w:tc>
          <w:tcPr>
            <w:tcW w:w="5811" w:type="dxa"/>
            <w:tcMar>
              <w:top w:w="0" w:type="dxa"/>
              <w:left w:w="108" w:type="dxa"/>
              <w:bottom w:w="0" w:type="dxa"/>
              <w:right w:w="108" w:type="dxa"/>
            </w:tcMar>
            <w:vAlign w:val="bottom"/>
          </w:tcPr>
          <w:p w14:paraId="62B9104F"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Enrolled and Mothercraft Nurses</w:t>
            </w:r>
          </w:p>
        </w:tc>
        <w:tc>
          <w:tcPr>
            <w:tcW w:w="1276" w:type="dxa"/>
            <w:tcMar>
              <w:top w:w="0" w:type="dxa"/>
              <w:left w:w="108" w:type="dxa"/>
              <w:bottom w:w="0" w:type="dxa"/>
              <w:right w:w="108" w:type="dxa"/>
            </w:tcMar>
            <w:vAlign w:val="bottom"/>
          </w:tcPr>
          <w:p w14:paraId="70B393CB"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9.8</w:t>
            </w:r>
          </w:p>
        </w:tc>
      </w:tr>
      <w:tr w:rsidR="00745D89" w:rsidRPr="002E702C" w14:paraId="1FB0C7FF" w14:textId="77777777" w:rsidTr="00A64361">
        <w:tc>
          <w:tcPr>
            <w:tcW w:w="3256" w:type="dxa"/>
            <w:vMerge/>
            <w:vAlign w:val="bottom"/>
          </w:tcPr>
          <w:p w14:paraId="2650A934"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7F77F246"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Cooks</w:t>
            </w:r>
          </w:p>
        </w:tc>
        <w:tc>
          <w:tcPr>
            <w:tcW w:w="1276" w:type="dxa"/>
            <w:tcMar>
              <w:top w:w="0" w:type="dxa"/>
              <w:left w:w="108" w:type="dxa"/>
              <w:bottom w:w="0" w:type="dxa"/>
              <w:right w:w="108" w:type="dxa"/>
            </w:tcMar>
            <w:vAlign w:val="bottom"/>
          </w:tcPr>
          <w:p w14:paraId="37966516"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8.3</w:t>
            </w:r>
          </w:p>
        </w:tc>
      </w:tr>
      <w:tr w:rsidR="00745D89" w:rsidRPr="002E702C" w14:paraId="42DCD2AE" w14:textId="77777777" w:rsidTr="00A64361">
        <w:tc>
          <w:tcPr>
            <w:tcW w:w="3256" w:type="dxa"/>
            <w:vMerge/>
            <w:vAlign w:val="bottom"/>
          </w:tcPr>
          <w:p w14:paraId="5BF554A8"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6DBD94C2"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Nursing Support and Personal Care Workers</w:t>
            </w:r>
          </w:p>
        </w:tc>
        <w:tc>
          <w:tcPr>
            <w:tcW w:w="1276" w:type="dxa"/>
            <w:tcMar>
              <w:top w:w="0" w:type="dxa"/>
              <w:left w:w="108" w:type="dxa"/>
              <w:bottom w:w="0" w:type="dxa"/>
              <w:right w:w="108" w:type="dxa"/>
            </w:tcMar>
            <w:vAlign w:val="bottom"/>
          </w:tcPr>
          <w:p w14:paraId="1D00CD9D"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7.9</w:t>
            </w:r>
          </w:p>
        </w:tc>
      </w:tr>
      <w:tr w:rsidR="00745D89" w:rsidRPr="002E702C" w14:paraId="41FA8B26" w14:textId="77777777" w:rsidTr="00A64361">
        <w:tc>
          <w:tcPr>
            <w:tcW w:w="3256" w:type="dxa"/>
            <w:vMerge/>
            <w:vAlign w:val="bottom"/>
          </w:tcPr>
          <w:p w14:paraId="2C8B4477"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75CE483E"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Social Workers</w:t>
            </w:r>
          </w:p>
        </w:tc>
        <w:tc>
          <w:tcPr>
            <w:tcW w:w="1276" w:type="dxa"/>
            <w:tcMar>
              <w:top w:w="0" w:type="dxa"/>
              <w:left w:w="108" w:type="dxa"/>
              <w:bottom w:w="0" w:type="dxa"/>
              <w:right w:w="108" w:type="dxa"/>
            </w:tcMar>
            <w:vAlign w:val="bottom"/>
          </w:tcPr>
          <w:p w14:paraId="05B66983"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7.7</w:t>
            </w:r>
          </w:p>
        </w:tc>
      </w:tr>
      <w:tr w:rsidR="00745D89" w:rsidRPr="002E702C" w14:paraId="0ECE9DB6" w14:textId="77777777" w:rsidTr="00A64361">
        <w:tc>
          <w:tcPr>
            <w:tcW w:w="3256" w:type="dxa"/>
            <w:vMerge/>
            <w:vAlign w:val="bottom"/>
          </w:tcPr>
          <w:p w14:paraId="43B9125D"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2E02404B"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Chefs</w:t>
            </w:r>
          </w:p>
        </w:tc>
        <w:tc>
          <w:tcPr>
            <w:tcW w:w="1276" w:type="dxa"/>
            <w:tcMar>
              <w:top w:w="0" w:type="dxa"/>
              <w:left w:w="108" w:type="dxa"/>
              <w:bottom w:w="0" w:type="dxa"/>
              <w:right w:w="108" w:type="dxa"/>
            </w:tcMar>
            <w:vAlign w:val="bottom"/>
          </w:tcPr>
          <w:p w14:paraId="2769542A"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7.6</w:t>
            </w:r>
          </w:p>
        </w:tc>
      </w:tr>
      <w:tr w:rsidR="00745D89" w:rsidRPr="002E702C" w14:paraId="75358B05" w14:textId="77777777" w:rsidTr="00A64361">
        <w:tc>
          <w:tcPr>
            <w:tcW w:w="3256" w:type="dxa"/>
            <w:vMerge/>
            <w:vAlign w:val="bottom"/>
          </w:tcPr>
          <w:p w14:paraId="2785096A"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35C6E71F"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Credit and Loans Officers</w:t>
            </w:r>
          </w:p>
        </w:tc>
        <w:tc>
          <w:tcPr>
            <w:tcW w:w="1276" w:type="dxa"/>
            <w:tcMar>
              <w:top w:w="0" w:type="dxa"/>
              <w:left w:w="108" w:type="dxa"/>
              <w:bottom w:w="0" w:type="dxa"/>
              <w:right w:w="108" w:type="dxa"/>
            </w:tcMar>
            <w:vAlign w:val="bottom"/>
          </w:tcPr>
          <w:p w14:paraId="2A9D7245"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7.5</w:t>
            </w:r>
          </w:p>
        </w:tc>
      </w:tr>
      <w:tr w:rsidR="00745D89" w:rsidRPr="002E702C" w14:paraId="52C597A8" w14:textId="77777777" w:rsidTr="00A64361">
        <w:tc>
          <w:tcPr>
            <w:tcW w:w="3256" w:type="dxa"/>
            <w:vMerge/>
            <w:vAlign w:val="bottom"/>
          </w:tcPr>
          <w:p w14:paraId="2223235F"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3910C45C"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Other Miscellaneous Technicians and Trades Workers</w:t>
            </w:r>
          </w:p>
        </w:tc>
        <w:tc>
          <w:tcPr>
            <w:tcW w:w="1276" w:type="dxa"/>
            <w:tcMar>
              <w:top w:w="0" w:type="dxa"/>
              <w:left w:w="108" w:type="dxa"/>
              <w:bottom w:w="0" w:type="dxa"/>
              <w:right w:w="108" w:type="dxa"/>
            </w:tcMar>
            <w:vAlign w:val="bottom"/>
          </w:tcPr>
          <w:p w14:paraId="5349D6E3"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7.4</w:t>
            </w:r>
          </w:p>
        </w:tc>
      </w:tr>
      <w:tr w:rsidR="00745D89" w:rsidRPr="002E702C" w14:paraId="1B582F01" w14:textId="77777777" w:rsidTr="00A64361">
        <w:tc>
          <w:tcPr>
            <w:tcW w:w="3256" w:type="dxa"/>
            <w:vMerge/>
            <w:vAlign w:val="bottom"/>
          </w:tcPr>
          <w:p w14:paraId="0157F608"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268636E6"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05F4CC8F"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7.4</w:t>
            </w:r>
          </w:p>
        </w:tc>
      </w:tr>
      <w:tr w:rsidR="00745D89" w:rsidRPr="002E702C" w14:paraId="14435D32" w14:textId="77777777" w:rsidTr="00A64361">
        <w:tc>
          <w:tcPr>
            <w:tcW w:w="3256" w:type="dxa"/>
            <w:vMerge/>
            <w:vAlign w:val="bottom"/>
          </w:tcPr>
          <w:p w14:paraId="210FF92B"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7CD6A080"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Physiotherapists</w:t>
            </w:r>
          </w:p>
        </w:tc>
        <w:tc>
          <w:tcPr>
            <w:tcW w:w="1276" w:type="dxa"/>
            <w:tcMar>
              <w:top w:w="0" w:type="dxa"/>
              <w:left w:w="108" w:type="dxa"/>
              <w:bottom w:w="0" w:type="dxa"/>
              <w:right w:w="108" w:type="dxa"/>
            </w:tcMar>
            <w:vAlign w:val="bottom"/>
          </w:tcPr>
          <w:p w14:paraId="50D847B2"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7.2</w:t>
            </w:r>
          </w:p>
        </w:tc>
      </w:tr>
      <w:tr w:rsidR="00745D89" w:rsidRPr="002E702C" w14:paraId="53BADD86" w14:textId="77777777" w:rsidTr="00A64361">
        <w:tc>
          <w:tcPr>
            <w:tcW w:w="3256" w:type="dxa"/>
            <w:vMerge/>
            <w:vAlign w:val="bottom"/>
          </w:tcPr>
          <w:p w14:paraId="775AFF5B"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79034F19"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Registered Nurses</w:t>
            </w:r>
          </w:p>
        </w:tc>
        <w:tc>
          <w:tcPr>
            <w:tcW w:w="1276" w:type="dxa"/>
            <w:tcMar>
              <w:top w:w="0" w:type="dxa"/>
              <w:left w:w="108" w:type="dxa"/>
              <w:bottom w:w="0" w:type="dxa"/>
              <w:right w:w="108" w:type="dxa"/>
            </w:tcMar>
            <w:vAlign w:val="bottom"/>
          </w:tcPr>
          <w:p w14:paraId="0EFE7AD4"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6.6</w:t>
            </w:r>
          </w:p>
        </w:tc>
      </w:tr>
      <w:tr w:rsidR="00745D89" w:rsidRPr="002E702C" w14:paraId="15A20171" w14:textId="77777777" w:rsidTr="00A64361">
        <w:tc>
          <w:tcPr>
            <w:tcW w:w="3256" w:type="dxa"/>
            <w:vMerge/>
            <w:vAlign w:val="bottom"/>
          </w:tcPr>
          <w:p w14:paraId="42D13499"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6EDBA008"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Child Carers</w:t>
            </w:r>
          </w:p>
        </w:tc>
        <w:tc>
          <w:tcPr>
            <w:tcW w:w="1276" w:type="dxa"/>
            <w:tcMar>
              <w:top w:w="0" w:type="dxa"/>
              <w:left w:w="108" w:type="dxa"/>
              <w:bottom w:w="0" w:type="dxa"/>
              <w:right w:w="108" w:type="dxa"/>
            </w:tcMar>
            <w:vAlign w:val="bottom"/>
          </w:tcPr>
          <w:p w14:paraId="7A97338F"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4.9</w:t>
            </w:r>
          </w:p>
        </w:tc>
      </w:tr>
      <w:tr w:rsidR="00745D89" w:rsidRPr="002E702C" w14:paraId="15E68443" w14:textId="77777777" w:rsidTr="00A64361">
        <w:tc>
          <w:tcPr>
            <w:tcW w:w="3256" w:type="dxa"/>
            <w:vMerge w:val="restart"/>
            <w:vAlign w:val="bottom"/>
          </w:tcPr>
          <w:p w14:paraId="031E15B6"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Hume</w:t>
            </w:r>
          </w:p>
        </w:tc>
        <w:tc>
          <w:tcPr>
            <w:tcW w:w="5811" w:type="dxa"/>
            <w:tcMar>
              <w:top w:w="0" w:type="dxa"/>
              <w:left w:w="108" w:type="dxa"/>
              <w:bottom w:w="0" w:type="dxa"/>
              <w:right w:w="108" w:type="dxa"/>
            </w:tcMar>
            <w:vAlign w:val="bottom"/>
          </w:tcPr>
          <w:p w14:paraId="3433896F"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Early Childhood (Pre-primary School) Teachers</w:t>
            </w:r>
          </w:p>
        </w:tc>
        <w:tc>
          <w:tcPr>
            <w:tcW w:w="1276" w:type="dxa"/>
            <w:tcMar>
              <w:top w:w="0" w:type="dxa"/>
              <w:left w:w="108" w:type="dxa"/>
              <w:bottom w:w="0" w:type="dxa"/>
              <w:right w:w="108" w:type="dxa"/>
            </w:tcMar>
            <w:vAlign w:val="bottom"/>
          </w:tcPr>
          <w:p w14:paraId="382C4882"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9.6</w:t>
            </w:r>
          </w:p>
        </w:tc>
      </w:tr>
      <w:tr w:rsidR="00745D89" w:rsidRPr="002E702C" w14:paraId="7CC303FF" w14:textId="77777777" w:rsidTr="00A64361">
        <w:tc>
          <w:tcPr>
            <w:tcW w:w="3256" w:type="dxa"/>
            <w:vMerge/>
            <w:vAlign w:val="bottom"/>
          </w:tcPr>
          <w:p w14:paraId="476CBA6F"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313901BA"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73040865"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8.3</w:t>
            </w:r>
          </w:p>
        </w:tc>
      </w:tr>
      <w:tr w:rsidR="00745D89" w:rsidRPr="002E702C" w14:paraId="4BD7AACD" w14:textId="77777777" w:rsidTr="00A64361">
        <w:tc>
          <w:tcPr>
            <w:tcW w:w="3256" w:type="dxa"/>
            <w:vMerge/>
            <w:vAlign w:val="bottom"/>
          </w:tcPr>
          <w:p w14:paraId="607D50D6"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4292FDAE"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Enrolled and Mothercraft Nurses</w:t>
            </w:r>
          </w:p>
        </w:tc>
        <w:tc>
          <w:tcPr>
            <w:tcW w:w="1276" w:type="dxa"/>
            <w:tcMar>
              <w:top w:w="0" w:type="dxa"/>
              <w:left w:w="108" w:type="dxa"/>
              <w:bottom w:w="0" w:type="dxa"/>
              <w:right w:w="108" w:type="dxa"/>
            </w:tcMar>
            <w:vAlign w:val="bottom"/>
          </w:tcPr>
          <w:p w14:paraId="1C1AD12F"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5.4</w:t>
            </w:r>
          </w:p>
        </w:tc>
      </w:tr>
      <w:tr w:rsidR="00745D89" w:rsidRPr="002E702C" w14:paraId="7F44AE1E" w14:textId="77777777" w:rsidTr="00A64361">
        <w:tc>
          <w:tcPr>
            <w:tcW w:w="3256" w:type="dxa"/>
            <w:vMerge/>
            <w:vAlign w:val="bottom"/>
          </w:tcPr>
          <w:p w14:paraId="2BC05330"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0C4434AD"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Nursing Support and Personal Care Workers</w:t>
            </w:r>
          </w:p>
        </w:tc>
        <w:tc>
          <w:tcPr>
            <w:tcW w:w="1276" w:type="dxa"/>
            <w:tcMar>
              <w:top w:w="0" w:type="dxa"/>
              <w:left w:w="108" w:type="dxa"/>
              <w:bottom w:w="0" w:type="dxa"/>
              <w:right w:w="108" w:type="dxa"/>
            </w:tcMar>
            <w:vAlign w:val="bottom"/>
          </w:tcPr>
          <w:p w14:paraId="2FA59B54"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5.3</w:t>
            </w:r>
          </w:p>
        </w:tc>
      </w:tr>
      <w:tr w:rsidR="00745D89" w:rsidRPr="002E702C" w14:paraId="5CD0A645" w14:textId="77777777" w:rsidTr="00A64361">
        <w:tc>
          <w:tcPr>
            <w:tcW w:w="3256" w:type="dxa"/>
            <w:vMerge/>
            <w:vAlign w:val="bottom"/>
          </w:tcPr>
          <w:p w14:paraId="08D8B57B"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7CB6D778"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Social Workers</w:t>
            </w:r>
          </w:p>
        </w:tc>
        <w:tc>
          <w:tcPr>
            <w:tcW w:w="1276" w:type="dxa"/>
            <w:tcMar>
              <w:top w:w="0" w:type="dxa"/>
              <w:left w:w="108" w:type="dxa"/>
              <w:bottom w:w="0" w:type="dxa"/>
              <w:right w:w="108" w:type="dxa"/>
            </w:tcMar>
            <w:vAlign w:val="bottom"/>
          </w:tcPr>
          <w:p w14:paraId="0D7501BF"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5.1</w:t>
            </w:r>
          </w:p>
        </w:tc>
      </w:tr>
      <w:tr w:rsidR="00745D89" w:rsidRPr="002E702C" w14:paraId="2F2A1DE5" w14:textId="77777777" w:rsidTr="00A64361">
        <w:tc>
          <w:tcPr>
            <w:tcW w:w="3256" w:type="dxa"/>
            <w:vMerge/>
            <w:vAlign w:val="bottom"/>
          </w:tcPr>
          <w:p w14:paraId="4B879383"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2B32D864"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58A438F6"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5.0</w:t>
            </w:r>
          </w:p>
        </w:tc>
      </w:tr>
      <w:tr w:rsidR="00745D89" w:rsidRPr="002E702C" w14:paraId="1A10D02A" w14:textId="77777777" w:rsidTr="00A64361">
        <w:tc>
          <w:tcPr>
            <w:tcW w:w="3256" w:type="dxa"/>
            <w:vMerge w:val="restart"/>
            <w:vAlign w:val="bottom"/>
          </w:tcPr>
          <w:p w14:paraId="7DC99C93"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Latrobe - Gippsland</w:t>
            </w:r>
          </w:p>
        </w:tc>
        <w:tc>
          <w:tcPr>
            <w:tcW w:w="5811" w:type="dxa"/>
            <w:tcMar>
              <w:top w:w="0" w:type="dxa"/>
              <w:left w:w="108" w:type="dxa"/>
              <w:bottom w:w="0" w:type="dxa"/>
              <w:right w:w="108" w:type="dxa"/>
            </w:tcMar>
            <w:vAlign w:val="bottom"/>
          </w:tcPr>
          <w:p w14:paraId="3A88B10F"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Enrolled and Mothercraft Nurses</w:t>
            </w:r>
          </w:p>
        </w:tc>
        <w:tc>
          <w:tcPr>
            <w:tcW w:w="1276" w:type="dxa"/>
            <w:tcMar>
              <w:top w:w="0" w:type="dxa"/>
              <w:left w:w="108" w:type="dxa"/>
              <w:bottom w:w="0" w:type="dxa"/>
              <w:right w:w="108" w:type="dxa"/>
            </w:tcMar>
            <w:vAlign w:val="bottom"/>
          </w:tcPr>
          <w:p w14:paraId="28FD5774"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18.4</w:t>
            </w:r>
          </w:p>
        </w:tc>
      </w:tr>
      <w:tr w:rsidR="00745D89" w:rsidRPr="002E702C" w14:paraId="3846400A" w14:textId="77777777" w:rsidTr="00A64361">
        <w:tc>
          <w:tcPr>
            <w:tcW w:w="3256" w:type="dxa"/>
            <w:vMerge/>
            <w:vAlign w:val="bottom"/>
          </w:tcPr>
          <w:p w14:paraId="120E98A1"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550202E6"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Early Childhood (Pre-primary School) Teachers</w:t>
            </w:r>
          </w:p>
        </w:tc>
        <w:tc>
          <w:tcPr>
            <w:tcW w:w="1276" w:type="dxa"/>
            <w:tcMar>
              <w:top w:w="0" w:type="dxa"/>
              <w:left w:w="108" w:type="dxa"/>
              <w:bottom w:w="0" w:type="dxa"/>
              <w:right w:w="108" w:type="dxa"/>
            </w:tcMar>
            <w:vAlign w:val="bottom"/>
          </w:tcPr>
          <w:p w14:paraId="4936040D"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18.4</w:t>
            </w:r>
          </w:p>
        </w:tc>
      </w:tr>
      <w:tr w:rsidR="00745D89" w:rsidRPr="002E702C" w14:paraId="0148D06C" w14:textId="77777777" w:rsidTr="00A64361">
        <w:tc>
          <w:tcPr>
            <w:tcW w:w="3256" w:type="dxa"/>
            <w:vMerge/>
            <w:vAlign w:val="bottom"/>
          </w:tcPr>
          <w:p w14:paraId="7A1386E3"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5A2AA8B3"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3196CD25"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15.4</w:t>
            </w:r>
          </w:p>
        </w:tc>
      </w:tr>
      <w:tr w:rsidR="00745D89" w:rsidRPr="002E702C" w14:paraId="62BCE86D" w14:textId="77777777" w:rsidTr="00A64361">
        <w:tc>
          <w:tcPr>
            <w:tcW w:w="3256" w:type="dxa"/>
            <w:vMerge/>
            <w:vAlign w:val="bottom"/>
          </w:tcPr>
          <w:p w14:paraId="617079C0"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32FBB5A2"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Pharmacists</w:t>
            </w:r>
          </w:p>
        </w:tc>
        <w:tc>
          <w:tcPr>
            <w:tcW w:w="1276" w:type="dxa"/>
            <w:tcMar>
              <w:top w:w="0" w:type="dxa"/>
              <w:left w:w="108" w:type="dxa"/>
              <w:bottom w:w="0" w:type="dxa"/>
              <w:right w:w="108" w:type="dxa"/>
            </w:tcMar>
            <w:vAlign w:val="bottom"/>
          </w:tcPr>
          <w:p w14:paraId="7D73E8F5"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11.5</w:t>
            </w:r>
          </w:p>
        </w:tc>
      </w:tr>
      <w:tr w:rsidR="00745D89" w:rsidRPr="002E702C" w14:paraId="64BB8BFE" w14:textId="77777777" w:rsidTr="00A64361">
        <w:tc>
          <w:tcPr>
            <w:tcW w:w="3256" w:type="dxa"/>
            <w:vMerge/>
            <w:vAlign w:val="bottom"/>
          </w:tcPr>
          <w:p w14:paraId="042D8D52"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62932F98"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Audiologists and Speech Pathologists \ Therapists</w:t>
            </w:r>
          </w:p>
        </w:tc>
        <w:tc>
          <w:tcPr>
            <w:tcW w:w="1276" w:type="dxa"/>
            <w:tcMar>
              <w:top w:w="0" w:type="dxa"/>
              <w:left w:w="108" w:type="dxa"/>
              <w:bottom w:w="0" w:type="dxa"/>
              <w:right w:w="108" w:type="dxa"/>
            </w:tcMar>
            <w:vAlign w:val="bottom"/>
          </w:tcPr>
          <w:p w14:paraId="4395CBE3"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11.3</w:t>
            </w:r>
          </w:p>
        </w:tc>
      </w:tr>
      <w:tr w:rsidR="00745D89" w:rsidRPr="002E702C" w14:paraId="7F67C723" w14:textId="77777777" w:rsidTr="00A64361">
        <w:tc>
          <w:tcPr>
            <w:tcW w:w="3256" w:type="dxa"/>
            <w:vMerge/>
            <w:vAlign w:val="bottom"/>
          </w:tcPr>
          <w:p w14:paraId="09F688E3"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51EE185F"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Physiotherapists</w:t>
            </w:r>
          </w:p>
        </w:tc>
        <w:tc>
          <w:tcPr>
            <w:tcW w:w="1276" w:type="dxa"/>
            <w:tcMar>
              <w:top w:w="0" w:type="dxa"/>
              <w:left w:w="108" w:type="dxa"/>
              <w:bottom w:w="0" w:type="dxa"/>
              <w:right w:w="108" w:type="dxa"/>
            </w:tcMar>
            <w:vAlign w:val="bottom"/>
          </w:tcPr>
          <w:p w14:paraId="3629DF49"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9.6</w:t>
            </w:r>
          </w:p>
        </w:tc>
      </w:tr>
      <w:tr w:rsidR="00745D89" w:rsidRPr="002E702C" w14:paraId="29539113" w14:textId="77777777" w:rsidTr="00A64361">
        <w:tc>
          <w:tcPr>
            <w:tcW w:w="3256" w:type="dxa"/>
            <w:vMerge/>
            <w:vAlign w:val="bottom"/>
          </w:tcPr>
          <w:p w14:paraId="4B4F7ED4"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43C16142"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Medical Imaging Professionals</w:t>
            </w:r>
          </w:p>
        </w:tc>
        <w:tc>
          <w:tcPr>
            <w:tcW w:w="1276" w:type="dxa"/>
            <w:tcMar>
              <w:top w:w="0" w:type="dxa"/>
              <w:left w:w="108" w:type="dxa"/>
              <w:bottom w:w="0" w:type="dxa"/>
              <w:right w:w="108" w:type="dxa"/>
            </w:tcMar>
            <w:vAlign w:val="bottom"/>
          </w:tcPr>
          <w:p w14:paraId="6CBCFD70"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8.7</w:t>
            </w:r>
          </w:p>
        </w:tc>
      </w:tr>
      <w:tr w:rsidR="00745D89" w:rsidRPr="002E702C" w14:paraId="44D71A6C" w14:textId="77777777" w:rsidTr="00A64361">
        <w:tc>
          <w:tcPr>
            <w:tcW w:w="3256" w:type="dxa"/>
            <w:vMerge/>
            <w:vAlign w:val="bottom"/>
          </w:tcPr>
          <w:p w14:paraId="05F14239"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138640A7"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206B0622"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8.6</w:t>
            </w:r>
          </w:p>
        </w:tc>
      </w:tr>
      <w:tr w:rsidR="00745D89" w:rsidRPr="002E702C" w14:paraId="1A28864B" w14:textId="77777777" w:rsidTr="00A64361">
        <w:tc>
          <w:tcPr>
            <w:tcW w:w="3256" w:type="dxa"/>
            <w:vMerge/>
            <w:vAlign w:val="bottom"/>
          </w:tcPr>
          <w:p w14:paraId="0B1D736F"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03E226C5"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Chefs</w:t>
            </w:r>
          </w:p>
        </w:tc>
        <w:tc>
          <w:tcPr>
            <w:tcW w:w="1276" w:type="dxa"/>
            <w:tcMar>
              <w:top w:w="0" w:type="dxa"/>
              <w:left w:w="108" w:type="dxa"/>
              <w:bottom w:w="0" w:type="dxa"/>
              <w:right w:w="108" w:type="dxa"/>
            </w:tcMar>
            <w:vAlign w:val="bottom"/>
          </w:tcPr>
          <w:p w14:paraId="15F604F2"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8.4</w:t>
            </w:r>
          </w:p>
        </w:tc>
      </w:tr>
      <w:tr w:rsidR="00745D89" w:rsidRPr="002E702C" w14:paraId="08973CE3" w14:textId="77777777" w:rsidTr="00A64361">
        <w:tc>
          <w:tcPr>
            <w:tcW w:w="3256" w:type="dxa"/>
            <w:vMerge/>
            <w:vAlign w:val="bottom"/>
          </w:tcPr>
          <w:p w14:paraId="1FB49E93"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6F343123"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Cooks</w:t>
            </w:r>
          </w:p>
        </w:tc>
        <w:tc>
          <w:tcPr>
            <w:tcW w:w="1276" w:type="dxa"/>
            <w:tcMar>
              <w:top w:w="0" w:type="dxa"/>
              <w:left w:w="108" w:type="dxa"/>
              <w:bottom w:w="0" w:type="dxa"/>
              <w:right w:w="108" w:type="dxa"/>
            </w:tcMar>
            <w:vAlign w:val="bottom"/>
          </w:tcPr>
          <w:p w14:paraId="404DED59"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7.6</w:t>
            </w:r>
          </w:p>
        </w:tc>
      </w:tr>
      <w:tr w:rsidR="00745D89" w:rsidRPr="002E702C" w14:paraId="1EBDC71B" w14:textId="77777777" w:rsidTr="00A64361">
        <w:tc>
          <w:tcPr>
            <w:tcW w:w="3256" w:type="dxa"/>
            <w:vMerge/>
            <w:vAlign w:val="bottom"/>
          </w:tcPr>
          <w:p w14:paraId="2D0783DE"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145AA65B"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Registered Nurses</w:t>
            </w:r>
          </w:p>
        </w:tc>
        <w:tc>
          <w:tcPr>
            <w:tcW w:w="1276" w:type="dxa"/>
            <w:tcMar>
              <w:top w:w="0" w:type="dxa"/>
              <w:left w:w="108" w:type="dxa"/>
              <w:bottom w:w="0" w:type="dxa"/>
              <w:right w:w="108" w:type="dxa"/>
            </w:tcMar>
            <w:vAlign w:val="bottom"/>
          </w:tcPr>
          <w:p w14:paraId="74ACA834"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7.4</w:t>
            </w:r>
          </w:p>
        </w:tc>
      </w:tr>
      <w:tr w:rsidR="00745D89" w:rsidRPr="002E702C" w14:paraId="2707C233" w14:textId="77777777" w:rsidTr="00A64361">
        <w:tc>
          <w:tcPr>
            <w:tcW w:w="3256" w:type="dxa"/>
            <w:vMerge/>
            <w:vAlign w:val="bottom"/>
          </w:tcPr>
          <w:p w14:paraId="718C2628"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28A0B415"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Dental Assistants</w:t>
            </w:r>
          </w:p>
        </w:tc>
        <w:tc>
          <w:tcPr>
            <w:tcW w:w="1276" w:type="dxa"/>
            <w:tcMar>
              <w:top w:w="0" w:type="dxa"/>
              <w:left w:w="108" w:type="dxa"/>
              <w:bottom w:w="0" w:type="dxa"/>
              <w:right w:w="108" w:type="dxa"/>
            </w:tcMar>
            <w:vAlign w:val="bottom"/>
          </w:tcPr>
          <w:p w14:paraId="382964AB"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6.1</w:t>
            </w:r>
          </w:p>
        </w:tc>
      </w:tr>
      <w:tr w:rsidR="00745D89" w:rsidRPr="002E702C" w14:paraId="5AAD599A" w14:textId="77777777" w:rsidTr="00A64361">
        <w:tc>
          <w:tcPr>
            <w:tcW w:w="3256" w:type="dxa"/>
            <w:vMerge/>
            <w:vAlign w:val="bottom"/>
          </w:tcPr>
          <w:p w14:paraId="6FB1DC57"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155EF031"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Nursing Support and Personal Care Workers</w:t>
            </w:r>
          </w:p>
        </w:tc>
        <w:tc>
          <w:tcPr>
            <w:tcW w:w="1276" w:type="dxa"/>
            <w:tcMar>
              <w:top w:w="0" w:type="dxa"/>
              <w:left w:w="108" w:type="dxa"/>
              <w:bottom w:w="0" w:type="dxa"/>
              <w:right w:w="108" w:type="dxa"/>
            </w:tcMar>
            <w:vAlign w:val="bottom"/>
          </w:tcPr>
          <w:p w14:paraId="76314191"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6.1</w:t>
            </w:r>
          </w:p>
        </w:tc>
      </w:tr>
      <w:tr w:rsidR="00745D89" w:rsidRPr="002E702C" w14:paraId="09E08E49" w14:textId="77777777" w:rsidTr="00A64361">
        <w:tc>
          <w:tcPr>
            <w:tcW w:w="3256" w:type="dxa"/>
            <w:vMerge/>
            <w:vAlign w:val="bottom"/>
          </w:tcPr>
          <w:p w14:paraId="47534196"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6007ECC2"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Child Carers</w:t>
            </w:r>
          </w:p>
        </w:tc>
        <w:tc>
          <w:tcPr>
            <w:tcW w:w="1276" w:type="dxa"/>
            <w:tcMar>
              <w:top w:w="0" w:type="dxa"/>
              <w:left w:w="108" w:type="dxa"/>
              <w:bottom w:w="0" w:type="dxa"/>
              <w:right w:w="108" w:type="dxa"/>
            </w:tcMar>
            <w:vAlign w:val="bottom"/>
          </w:tcPr>
          <w:p w14:paraId="2B12C371"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5.0</w:t>
            </w:r>
          </w:p>
        </w:tc>
      </w:tr>
      <w:tr w:rsidR="00745D89" w:rsidRPr="002E702C" w14:paraId="49E5E033" w14:textId="77777777" w:rsidTr="00A64361">
        <w:tc>
          <w:tcPr>
            <w:tcW w:w="3256" w:type="dxa"/>
            <w:vMerge/>
            <w:vAlign w:val="bottom"/>
          </w:tcPr>
          <w:p w14:paraId="06BF3DE5"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71B63695"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Social Workers</w:t>
            </w:r>
          </w:p>
        </w:tc>
        <w:tc>
          <w:tcPr>
            <w:tcW w:w="1276" w:type="dxa"/>
            <w:tcMar>
              <w:top w:w="0" w:type="dxa"/>
              <w:left w:w="108" w:type="dxa"/>
              <w:bottom w:w="0" w:type="dxa"/>
              <w:right w:w="108" w:type="dxa"/>
            </w:tcMar>
            <w:vAlign w:val="bottom"/>
          </w:tcPr>
          <w:p w14:paraId="7658DB66"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4.2</w:t>
            </w:r>
          </w:p>
        </w:tc>
      </w:tr>
      <w:tr w:rsidR="00745D89" w:rsidRPr="002E702C" w14:paraId="0A21E7E7" w14:textId="77777777" w:rsidTr="00A64361">
        <w:tc>
          <w:tcPr>
            <w:tcW w:w="3256" w:type="dxa"/>
            <w:vMerge w:val="restart"/>
            <w:vAlign w:val="bottom"/>
          </w:tcPr>
          <w:p w14:paraId="12D6E005" w14:textId="32A68B3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lastRenderedPageBreak/>
              <w:t>North West</w:t>
            </w:r>
          </w:p>
        </w:tc>
        <w:tc>
          <w:tcPr>
            <w:tcW w:w="5811" w:type="dxa"/>
            <w:tcMar>
              <w:top w:w="0" w:type="dxa"/>
              <w:left w:w="108" w:type="dxa"/>
              <w:bottom w:w="0" w:type="dxa"/>
              <w:right w:w="108" w:type="dxa"/>
            </w:tcMar>
            <w:vAlign w:val="bottom"/>
          </w:tcPr>
          <w:p w14:paraId="585CCAF9"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Occupational Therapists</w:t>
            </w:r>
          </w:p>
        </w:tc>
        <w:tc>
          <w:tcPr>
            <w:tcW w:w="1276" w:type="dxa"/>
            <w:tcMar>
              <w:top w:w="0" w:type="dxa"/>
              <w:left w:w="108" w:type="dxa"/>
              <w:bottom w:w="0" w:type="dxa"/>
              <w:right w:w="108" w:type="dxa"/>
            </w:tcMar>
            <w:vAlign w:val="bottom"/>
          </w:tcPr>
          <w:p w14:paraId="7AE3A445"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11.2</w:t>
            </w:r>
          </w:p>
        </w:tc>
      </w:tr>
      <w:tr w:rsidR="00745D89" w:rsidRPr="002E702C" w14:paraId="6B20E9D4" w14:textId="77777777" w:rsidTr="00A64361">
        <w:tc>
          <w:tcPr>
            <w:tcW w:w="3256" w:type="dxa"/>
            <w:vMerge/>
            <w:vAlign w:val="bottom"/>
          </w:tcPr>
          <w:p w14:paraId="51CA2DB5"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544859B6"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76A6769A"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8.7</w:t>
            </w:r>
          </w:p>
        </w:tc>
      </w:tr>
      <w:tr w:rsidR="00745D89" w:rsidRPr="002E702C" w14:paraId="4DF051A7" w14:textId="77777777" w:rsidTr="00A64361">
        <w:tc>
          <w:tcPr>
            <w:tcW w:w="3256" w:type="dxa"/>
            <w:vMerge/>
            <w:vAlign w:val="bottom"/>
          </w:tcPr>
          <w:p w14:paraId="68B75BD4"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5D4AD0EB"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Social Workers</w:t>
            </w:r>
          </w:p>
        </w:tc>
        <w:tc>
          <w:tcPr>
            <w:tcW w:w="1276" w:type="dxa"/>
            <w:tcMar>
              <w:top w:w="0" w:type="dxa"/>
              <w:left w:w="108" w:type="dxa"/>
              <w:bottom w:w="0" w:type="dxa"/>
              <w:right w:w="108" w:type="dxa"/>
            </w:tcMar>
            <w:vAlign w:val="bottom"/>
          </w:tcPr>
          <w:p w14:paraId="1A3DBFB5"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7.1</w:t>
            </w:r>
          </w:p>
        </w:tc>
      </w:tr>
      <w:tr w:rsidR="00745D89" w:rsidRPr="002E702C" w14:paraId="4E163AEB" w14:textId="77777777" w:rsidTr="00A64361">
        <w:tc>
          <w:tcPr>
            <w:tcW w:w="3256" w:type="dxa"/>
            <w:vMerge/>
            <w:vAlign w:val="bottom"/>
          </w:tcPr>
          <w:p w14:paraId="177957C6"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2529142F"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Physiotherapists</w:t>
            </w:r>
          </w:p>
        </w:tc>
        <w:tc>
          <w:tcPr>
            <w:tcW w:w="1276" w:type="dxa"/>
            <w:tcMar>
              <w:top w:w="0" w:type="dxa"/>
              <w:left w:w="108" w:type="dxa"/>
              <w:bottom w:w="0" w:type="dxa"/>
              <w:right w:w="108" w:type="dxa"/>
            </w:tcMar>
            <w:vAlign w:val="bottom"/>
          </w:tcPr>
          <w:p w14:paraId="33F80CF7"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6.7</w:t>
            </w:r>
          </w:p>
        </w:tc>
      </w:tr>
      <w:tr w:rsidR="00745D89" w:rsidRPr="002E702C" w14:paraId="74323188" w14:textId="77777777" w:rsidTr="00A64361">
        <w:tc>
          <w:tcPr>
            <w:tcW w:w="3256" w:type="dxa"/>
            <w:vMerge/>
            <w:vAlign w:val="bottom"/>
          </w:tcPr>
          <w:p w14:paraId="45DF2562"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1CA9FC8B"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Early Childhood (Pre-primary School) Teachers</w:t>
            </w:r>
          </w:p>
        </w:tc>
        <w:tc>
          <w:tcPr>
            <w:tcW w:w="1276" w:type="dxa"/>
            <w:tcMar>
              <w:top w:w="0" w:type="dxa"/>
              <w:left w:w="108" w:type="dxa"/>
              <w:bottom w:w="0" w:type="dxa"/>
              <w:right w:w="108" w:type="dxa"/>
            </w:tcMar>
            <w:vAlign w:val="bottom"/>
          </w:tcPr>
          <w:p w14:paraId="404A0F1A"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6.1</w:t>
            </w:r>
          </w:p>
        </w:tc>
      </w:tr>
      <w:tr w:rsidR="00745D89" w:rsidRPr="002E702C" w14:paraId="32E2519B" w14:textId="77777777" w:rsidTr="00A64361">
        <w:tc>
          <w:tcPr>
            <w:tcW w:w="3256" w:type="dxa"/>
            <w:vMerge/>
            <w:vAlign w:val="bottom"/>
          </w:tcPr>
          <w:p w14:paraId="44A32D7C"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4314CA49"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Enrolled and Mothercraft Nurses</w:t>
            </w:r>
          </w:p>
        </w:tc>
        <w:tc>
          <w:tcPr>
            <w:tcW w:w="1276" w:type="dxa"/>
            <w:tcMar>
              <w:top w:w="0" w:type="dxa"/>
              <w:left w:w="108" w:type="dxa"/>
              <w:bottom w:w="0" w:type="dxa"/>
              <w:right w:w="108" w:type="dxa"/>
            </w:tcMar>
            <w:vAlign w:val="bottom"/>
          </w:tcPr>
          <w:p w14:paraId="0FA11D00"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4.8</w:t>
            </w:r>
          </w:p>
        </w:tc>
      </w:tr>
      <w:tr w:rsidR="00745D89" w:rsidRPr="002E702C" w14:paraId="3ACA025B" w14:textId="77777777" w:rsidTr="00A64361">
        <w:tc>
          <w:tcPr>
            <w:tcW w:w="3256" w:type="dxa"/>
            <w:vMerge/>
            <w:vAlign w:val="bottom"/>
          </w:tcPr>
          <w:p w14:paraId="2F618186"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4AB2BFD4"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Motor Mechanics</w:t>
            </w:r>
          </w:p>
        </w:tc>
        <w:tc>
          <w:tcPr>
            <w:tcW w:w="1276" w:type="dxa"/>
            <w:tcMar>
              <w:top w:w="0" w:type="dxa"/>
              <w:left w:w="108" w:type="dxa"/>
              <w:bottom w:w="0" w:type="dxa"/>
              <w:right w:w="108" w:type="dxa"/>
            </w:tcMar>
            <w:vAlign w:val="bottom"/>
          </w:tcPr>
          <w:p w14:paraId="4676132A"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4.7</w:t>
            </w:r>
          </w:p>
        </w:tc>
      </w:tr>
      <w:tr w:rsidR="00745D89" w:rsidRPr="002E702C" w14:paraId="741BC002" w14:textId="77777777" w:rsidTr="00A64361">
        <w:tc>
          <w:tcPr>
            <w:tcW w:w="3256" w:type="dxa"/>
            <w:vMerge/>
            <w:vAlign w:val="bottom"/>
          </w:tcPr>
          <w:p w14:paraId="72C93D90"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2D4BBBB8"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Registered Nurses</w:t>
            </w:r>
          </w:p>
        </w:tc>
        <w:tc>
          <w:tcPr>
            <w:tcW w:w="1276" w:type="dxa"/>
            <w:tcMar>
              <w:top w:w="0" w:type="dxa"/>
              <w:left w:w="108" w:type="dxa"/>
              <w:bottom w:w="0" w:type="dxa"/>
              <w:right w:w="108" w:type="dxa"/>
            </w:tcMar>
            <w:vAlign w:val="bottom"/>
          </w:tcPr>
          <w:p w14:paraId="4D6D45CE"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4.6</w:t>
            </w:r>
          </w:p>
        </w:tc>
      </w:tr>
      <w:tr w:rsidR="00745D89" w:rsidRPr="002E702C" w14:paraId="74827339" w14:textId="77777777" w:rsidTr="00A64361">
        <w:tc>
          <w:tcPr>
            <w:tcW w:w="3256" w:type="dxa"/>
            <w:vMerge w:val="restart"/>
            <w:vAlign w:val="bottom"/>
          </w:tcPr>
          <w:p w14:paraId="67A1F433"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Shepparton</w:t>
            </w:r>
          </w:p>
        </w:tc>
        <w:tc>
          <w:tcPr>
            <w:tcW w:w="5811" w:type="dxa"/>
            <w:tcMar>
              <w:top w:w="0" w:type="dxa"/>
              <w:left w:w="108" w:type="dxa"/>
              <w:bottom w:w="0" w:type="dxa"/>
              <w:right w:w="108" w:type="dxa"/>
            </w:tcMar>
            <w:vAlign w:val="bottom"/>
          </w:tcPr>
          <w:p w14:paraId="4B2242E3"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Early Childhood (Pre-primary School) Teachers</w:t>
            </w:r>
          </w:p>
        </w:tc>
        <w:tc>
          <w:tcPr>
            <w:tcW w:w="1276" w:type="dxa"/>
            <w:tcMar>
              <w:top w:w="0" w:type="dxa"/>
              <w:left w:w="108" w:type="dxa"/>
              <w:bottom w:w="0" w:type="dxa"/>
              <w:right w:w="108" w:type="dxa"/>
            </w:tcMar>
            <w:vAlign w:val="bottom"/>
          </w:tcPr>
          <w:p w14:paraId="7C6CC9B1"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11.9</w:t>
            </w:r>
          </w:p>
        </w:tc>
      </w:tr>
      <w:tr w:rsidR="00745D89" w:rsidRPr="002E702C" w14:paraId="1BAB408E" w14:textId="77777777" w:rsidTr="00A64361">
        <w:tc>
          <w:tcPr>
            <w:tcW w:w="3256" w:type="dxa"/>
            <w:vMerge/>
            <w:vAlign w:val="bottom"/>
          </w:tcPr>
          <w:p w14:paraId="4B8B4F83"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3A762D88"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62BD852F"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10.6</w:t>
            </w:r>
          </w:p>
        </w:tc>
      </w:tr>
      <w:tr w:rsidR="00745D89" w:rsidRPr="002E702C" w14:paraId="6943EF48" w14:textId="77777777" w:rsidTr="00A64361">
        <w:tc>
          <w:tcPr>
            <w:tcW w:w="3256" w:type="dxa"/>
            <w:vMerge/>
            <w:vAlign w:val="bottom"/>
          </w:tcPr>
          <w:p w14:paraId="13D85152"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6CB46012"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Cooks</w:t>
            </w:r>
          </w:p>
        </w:tc>
        <w:tc>
          <w:tcPr>
            <w:tcW w:w="1276" w:type="dxa"/>
            <w:tcMar>
              <w:top w:w="0" w:type="dxa"/>
              <w:left w:w="108" w:type="dxa"/>
              <w:bottom w:w="0" w:type="dxa"/>
              <w:right w:w="108" w:type="dxa"/>
            </w:tcMar>
            <w:vAlign w:val="bottom"/>
          </w:tcPr>
          <w:p w14:paraId="5ED695F6"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5.8</w:t>
            </w:r>
          </w:p>
        </w:tc>
      </w:tr>
      <w:tr w:rsidR="00745D89" w:rsidRPr="002E702C" w14:paraId="6F5B227C" w14:textId="77777777" w:rsidTr="00A64361">
        <w:tc>
          <w:tcPr>
            <w:tcW w:w="3256" w:type="dxa"/>
            <w:vMerge/>
            <w:vAlign w:val="bottom"/>
          </w:tcPr>
          <w:p w14:paraId="6E3F9317"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17FAD5D0"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Child Carers</w:t>
            </w:r>
          </w:p>
        </w:tc>
        <w:tc>
          <w:tcPr>
            <w:tcW w:w="1276" w:type="dxa"/>
            <w:tcMar>
              <w:top w:w="0" w:type="dxa"/>
              <w:left w:w="108" w:type="dxa"/>
              <w:bottom w:w="0" w:type="dxa"/>
              <w:right w:w="108" w:type="dxa"/>
            </w:tcMar>
            <w:vAlign w:val="bottom"/>
          </w:tcPr>
          <w:p w14:paraId="0CE95B2A"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4.7</w:t>
            </w:r>
          </w:p>
        </w:tc>
      </w:tr>
      <w:tr w:rsidR="00745D89" w:rsidRPr="002E702C" w14:paraId="7C009C48" w14:textId="77777777" w:rsidTr="00A64361">
        <w:tc>
          <w:tcPr>
            <w:tcW w:w="3256" w:type="dxa"/>
            <w:vMerge/>
            <w:vAlign w:val="bottom"/>
          </w:tcPr>
          <w:p w14:paraId="1646F326"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3AEAB546"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Chefs</w:t>
            </w:r>
          </w:p>
        </w:tc>
        <w:tc>
          <w:tcPr>
            <w:tcW w:w="1276" w:type="dxa"/>
            <w:tcMar>
              <w:top w:w="0" w:type="dxa"/>
              <w:left w:w="108" w:type="dxa"/>
              <w:bottom w:w="0" w:type="dxa"/>
              <w:right w:w="108" w:type="dxa"/>
            </w:tcMar>
            <w:vAlign w:val="bottom"/>
          </w:tcPr>
          <w:p w14:paraId="5939084F"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4.0</w:t>
            </w:r>
          </w:p>
        </w:tc>
      </w:tr>
      <w:tr w:rsidR="00745D89" w:rsidRPr="002E702C" w14:paraId="2BDA6DD0" w14:textId="77777777" w:rsidTr="00A64361">
        <w:tc>
          <w:tcPr>
            <w:tcW w:w="3256" w:type="dxa"/>
            <w:vMerge w:val="restart"/>
            <w:vAlign w:val="bottom"/>
          </w:tcPr>
          <w:p w14:paraId="3E787157"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Warrnambool and South West</w:t>
            </w:r>
          </w:p>
        </w:tc>
        <w:tc>
          <w:tcPr>
            <w:tcW w:w="5811" w:type="dxa"/>
            <w:tcMar>
              <w:top w:w="0" w:type="dxa"/>
              <w:left w:w="108" w:type="dxa"/>
              <w:bottom w:w="0" w:type="dxa"/>
              <w:right w:w="108" w:type="dxa"/>
            </w:tcMar>
            <w:vAlign w:val="bottom"/>
          </w:tcPr>
          <w:p w14:paraId="2DA0E1C3"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General Practitioners and Resident Medical Officers</w:t>
            </w:r>
          </w:p>
        </w:tc>
        <w:tc>
          <w:tcPr>
            <w:tcW w:w="1276" w:type="dxa"/>
            <w:tcMar>
              <w:top w:w="0" w:type="dxa"/>
              <w:left w:w="108" w:type="dxa"/>
              <w:bottom w:w="0" w:type="dxa"/>
              <w:right w:w="108" w:type="dxa"/>
            </w:tcMar>
            <w:vAlign w:val="bottom"/>
          </w:tcPr>
          <w:p w14:paraId="1001B070"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11.4</w:t>
            </w:r>
          </w:p>
        </w:tc>
      </w:tr>
      <w:tr w:rsidR="00745D89" w:rsidRPr="002E702C" w14:paraId="6B40E4F9" w14:textId="77777777" w:rsidTr="00A64361">
        <w:tc>
          <w:tcPr>
            <w:tcW w:w="3256" w:type="dxa"/>
            <w:vMerge/>
            <w:vAlign w:val="bottom"/>
          </w:tcPr>
          <w:p w14:paraId="75B39615"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05919573"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Enrolled and Mothercraft Nurses</w:t>
            </w:r>
          </w:p>
        </w:tc>
        <w:tc>
          <w:tcPr>
            <w:tcW w:w="1276" w:type="dxa"/>
            <w:tcMar>
              <w:top w:w="0" w:type="dxa"/>
              <w:left w:w="108" w:type="dxa"/>
              <w:bottom w:w="0" w:type="dxa"/>
              <w:right w:w="108" w:type="dxa"/>
            </w:tcMar>
            <w:vAlign w:val="bottom"/>
          </w:tcPr>
          <w:p w14:paraId="3D1F0CF5"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11.2</w:t>
            </w:r>
          </w:p>
        </w:tc>
      </w:tr>
      <w:tr w:rsidR="00745D89" w:rsidRPr="002E702C" w14:paraId="4CEEA730" w14:textId="77777777" w:rsidTr="00A64361">
        <w:tc>
          <w:tcPr>
            <w:tcW w:w="3256" w:type="dxa"/>
            <w:vMerge/>
            <w:vAlign w:val="bottom"/>
          </w:tcPr>
          <w:p w14:paraId="339D19B9"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2CF08C06"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Social Workers</w:t>
            </w:r>
          </w:p>
        </w:tc>
        <w:tc>
          <w:tcPr>
            <w:tcW w:w="1276" w:type="dxa"/>
            <w:tcMar>
              <w:top w:w="0" w:type="dxa"/>
              <w:left w:w="108" w:type="dxa"/>
              <w:bottom w:w="0" w:type="dxa"/>
              <w:right w:w="108" w:type="dxa"/>
            </w:tcMar>
            <w:vAlign w:val="bottom"/>
          </w:tcPr>
          <w:p w14:paraId="23389667"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10.7</w:t>
            </w:r>
          </w:p>
        </w:tc>
      </w:tr>
      <w:tr w:rsidR="00745D89" w:rsidRPr="002E702C" w14:paraId="25CB5786" w14:textId="77777777" w:rsidTr="00A64361">
        <w:tc>
          <w:tcPr>
            <w:tcW w:w="3256" w:type="dxa"/>
            <w:vMerge/>
            <w:vAlign w:val="bottom"/>
          </w:tcPr>
          <w:p w14:paraId="7A90B7FF"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1CEFB07E"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Early Childhood (Pre-primary School) Teachers</w:t>
            </w:r>
          </w:p>
        </w:tc>
        <w:tc>
          <w:tcPr>
            <w:tcW w:w="1276" w:type="dxa"/>
            <w:tcMar>
              <w:top w:w="0" w:type="dxa"/>
              <w:left w:w="108" w:type="dxa"/>
              <w:bottom w:w="0" w:type="dxa"/>
              <w:right w:w="108" w:type="dxa"/>
            </w:tcMar>
            <w:vAlign w:val="bottom"/>
          </w:tcPr>
          <w:p w14:paraId="3252992E"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10.3</w:t>
            </w:r>
          </w:p>
        </w:tc>
      </w:tr>
      <w:tr w:rsidR="00745D89" w:rsidRPr="002E702C" w14:paraId="195DD65F" w14:textId="77777777" w:rsidTr="00A64361">
        <w:tc>
          <w:tcPr>
            <w:tcW w:w="3256" w:type="dxa"/>
            <w:vMerge/>
            <w:vAlign w:val="bottom"/>
          </w:tcPr>
          <w:p w14:paraId="04E9730B"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0AEF2BCA"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Registered Nurses</w:t>
            </w:r>
          </w:p>
        </w:tc>
        <w:tc>
          <w:tcPr>
            <w:tcW w:w="1276" w:type="dxa"/>
            <w:tcMar>
              <w:top w:w="0" w:type="dxa"/>
              <w:left w:w="108" w:type="dxa"/>
              <w:bottom w:w="0" w:type="dxa"/>
              <w:right w:w="108" w:type="dxa"/>
            </w:tcMar>
            <w:vAlign w:val="bottom"/>
          </w:tcPr>
          <w:p w14:paraId="146FA01B"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9.4</w:t>
            </w:r>
          </w:p>
        </w:tc>
      </w:tr>
      <w:tr w:rsidR="00745D89" w:rsidRPr="002E702C" w14:paraId="6BA9DB62" w14:textId="77777777" w:rsidTr="00A64361">
        <w:tc>
          <w:tcPr>
            <w:tcW w:w="3256" w:type="dxa"/>
            <w:vMerge/>
            <w:vAlign w:val="bottom"/>
          </w:tcPr>
          <w:p w14:paraId="3FF5B495"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501D8933"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Physiotherapists</w:t>
            </w:r>
          </w:p>
        </w:tc>
        <w:tc>
          <w:tcPr>
            <w:tcW w:w="1276" w:type="dxa"/>
            <w:tcMar>
              <w:top w:w="0" w:type="dxa"/>
              <w:left w:w="108" w:type="dxa"/>
              <w:bottom w:w="0" w:type="dxa"/>
              <w:right w:w="108" w:type="dxa"/>
            </w:tcMar>
            <w:vAlign w:val="bottom"/>
          </w:tcPr>
          <w:p w14:paraId="182557E6"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8.5</w:t>
            </w:r>
          </w:p>
        </w:tc>
      </w:tr>
      <w:tr w:rsidR="00745D89" w:rsidRPr="002E702C" w14:paraId="28F54128" w14:textId="77777777" w:rsidTr="00A64361">
        <w:tc>
          <w:tcPr>
            <w:tcW w:w="3256" w:type="dxa"/>
            <w:vMerge/>
            <w:vAlign w:val="bottom"/>
          </w:tcPr>
          <w:p w14:paraId="6E522DB8" w14:textId="77777777" w:rsidR="00745D89" w:rsidRPr="002E702C" w:rsidRDefault="00745D89" w:rsidP="001D600D">
            <w:pPr>
              <w:spacing w:after="0" w:line="276" w:lineRule="auto"/>
              <w:rPr>
                <w:rFonts w:asciiTheme="minorHAnsi" w:hAnsiTheme="minorHAnsi" w:cstheme="minorHAnsi"/>
                <w:color w:val="000000"/>
              </w:rPr>
            </w:pPr>
          </w:p>
        </w:tc>
        <w:tc>
          <w:tcPr>
            <w:tcW w:w="5811" w:type="dxa"/>
            <w:tcMar>
              <w:top w:w="0" w:type="dxa"/>
              <w:left w:w="108" w:type="dxa"/>
              <w:bottom w:w="0" w:type="dxa"/>
              <w:right w:w="108" w:type="dxa"/>
            </w:tcMar>
            <w:vAlign w:val="bottom"/>
          </w:tcPr>
          <w:p w14:paraId="61B0D411"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Nursing Support and Personal Care Workers</w:t>
            </w:r>
          </w:p>
        </w:tc>
        <w:tc>
          <w:tcPr>
            <w:tcW w:w="1276" w:type="dxa"/>
            <w:tcMar>
              <w:top w:w="0" w:type="dxa"/>
              <w:left w:w="108" w:type="dxa"/>
              <w:bottom w:w="0" w:type="dxa"/>
              <w:right w:w="108" w:type="dxa"/>
            </w:tcMar>
            <w:vAlign w:val="bottom"/>
          </w:tcPr>
          <w:p w14:paraId="57C4837D"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6.9</w:t>
            </w:r>
          </w:p>
        </w:tc>
      </w:tr>
    </w:tbl>
    <w:p w14:paraId="63D160D7" w14:textId="4D438F63" w:rsidR="00745D89" w:rsidRPr="002E702C" w:rsidRDefault="00745D89" w:rsidP="00745D89">
      <w:pPr>
        <w:pStyle w:val="Heading5"/>
        <w:rPr>
          <w:rFonts w:asciiTheme="minorHAnsi" w:hAnsiTheme="minorHAnsi" w:cstheme="minorHAnsi"/>
        </w:rPr>
      </w:pPr>
      <w:r w:rsidRPr="002E702C">
        <w:rPr>
          <w:rFonts w:asciiTheme="minorHAnsi" w:hAnsiTheme="minorHAnsi" w:cstheme="minorHAnsi"/>
        </w:rPr>
        <w:br w:type="page"/>
      </w:r>
      <w:r w:rsidRPr="002E702C">
        <w:rPr>
          <w:rFonts w:asciiTheme="minorHAnsi" w:hAnsiTheme="minorHAnsi" w:cstheme="minorHAnsi"/>
        </w:rPr>
        <w:lastRenderedPageBreak/>
        <w:t xml:space="preserve">Table A4: Top regional Queensland </w:t>
      </w:r>
      <w:r w:rsidR="0064373F">
        <w:rPr>
          <w:rFonts w:asciiTheme="minorHAnsi" w:hAnsiTheme="minorHAnsi" w:cstheme="minorHAnsi"/>
        </w:rPr>
        <w:t>IVI vacancy</w:t>
      </w:r>
      <w:r w:rsidRPr="002E702C">
        <w:rPr>
          <w:rFonts w:asciiTheme="minorHAnsi" w:hAnsiTheme="minorHAnsi" w:cstheme="minorHAnsi"/>
        </w:rPr>
        <w:t xml:space="preserve"> rat</w:t>
      </w:r>
      <w:r w:rsidR="00A70DCF">
        <w:rPr>
          <w:rFonts w:asciiTheme="minorHAnsi" w:hAnsiTheme="minorHAnsi" w:cstheme="minorHAnsi"/>
        </w:rPr>
        <w:t>io</w:t>
      </w:r>
      <w:r w:rsidRPr="002E702C">
        <w:rPr>
          <w:rFonts w:asciiTheme="minorHAnsi" w:hAnsiTheme="minorHAnsi" w:cstheme="minorHAnsi"/>
        </w:rPr>
        <w:t>s (</w:t>
      </w:r>
      <w:r w:rsidR="00AA78A0">
        <w:rPr>
          <w:rFonts w:asciiTheme="minorHAnsi" w:hAnsiTheme="minorHAnsi" w:cstheme="minorHAnsi"/>
        </w:rPr>
        <w:t>IVI job</w:t>
      </w:r>
      <w:r w:rsidR="002A1C3A" w:rsidRPr="002E702C">
        <w:rPr>
          <w:rFonts w:asciiTheme="minorHAnsi" w:hAnsiTheme="minorHAnsi" w:cstheme="minorHAnsi"/>
        </w:rPr>
        <w:t xml:space="preserve"> ad</w:t>
      </w:r>
      <w:r w:rsidR="002A1C3A">
        <w:rPr>
          <w:rFonts w:asciiTheme="minorHAnsi" w:hAnsiTheme="minorHAnsi" w:cstheme="minorHAnsi"/>
        </w:rPr>
        <w:t>vertisement</w:t>
      </w:r>
      <w:r w:rsidR="002A1C3A" w:rsidRPr="002E702C">
        <w:rPr>
          <w:rFonts w:asciiTheme="minorHAnsi" w:hAnsiTheme="minorHAnsi" w:cstheme="minorHAnsi"/>
        </w:rPr>
        <w:t xml:space="preserve">s </w:t>
      </w:r>
      <w:r w:rsidRPr="002E702C">
        <w:rPr>
          <w:rFonts w:asciiTheme="minorHAnsi" w:hAnsiTheme="minorHAnsi" w:cstheme="minorHAnsi"/>
        </w:rPr>
        <w:t xml:space="preserve">as a proportion of employment), for occupations in shortage on the 2022 SPL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812"/>
        <w:gridCol w:w="1275"/>
      </w:tblGrid>
      <w:tr w:rsidR="00745D89" w:rsidRPr="002E702C" w14:paraId="0FCAB707" w14:textId="77777777" w:rsidTr="00AD4DDD">
        <w:trPr>
          <w:tblHeader/>
        </w:trPr>
        <w:tc>
          <w:tcPr>
            <w:tcW w:w="3114" w:type="dxa"/>
            <w:shd w:val="clear" w:color="auto" w:fill="441170" w:themeFill="text2"/>
          </w:tcPr>
          <w:p w14:paraId="727CF29E" w14:textId="180C4BA6" w:rsidR="00745D89" w:rsidRPr="002E702C" w:rsidRDefault="00745D89" w:rsidP="001D600D">
            <w:pPr>
              <w:spacing w:after="0" w:line="276" w:lineRule="auto"/>
              <w:rPr>
                <w:rFonts w:asciiTheme="minorHAnsi" w:hAnsiTheme="minorHAnsi" w:cstheme="minorHAnsi"/>
                <w:b/>
                <w:bCs/>
                <w:color w:val="FFFFFF" w:themeColor="background1"/>
              </w:rPr>
            </w:pPr>
            <w:r w:rsidRPr="002E702C">
              <w:rPr>
                <w:rFonts w:asciiTheme="minorHAnsi" w:hAnsiTheme="minorHAnsi" w:cstheme="minorHAnsi"/>
                <w:b/>
                <w:bCs/>
                <w:color w:val="FFFFFF" w:themeColor="background1"/>
              </w:rPr>
              <w:t>Q</w:t>
            </w:r>
            <w:r w:rsidR="00172136">
              <w:rPr>
                <w:rFonts w:asciiTheme="minorHAnsi" w:hAnsiTheme="minorHAnsi" w:cstheme="minorHAnsi"/>
                <w:b/>
                <w:bCs/>
                <w:color w:val="FFFFFF" w:themeColor="background1"/>
              </w:rPr>
              <w:t>ueensland</w:t>
            </w:r>
            <w:r w:rsidRPr="002E702C">
              <w:rPr>
                <w:rFonts w:asciiTheme="minorHAnsi" w:hAnsiTheme="minorHAnsi" w:cstheme="minorHAnsi"/>
                <w:b/>
                <w:bCs/>
                <w:color w:val="FFFFFF" w:themeColor="background1"/>
              </w:rPr>
              <w:t xml:space="preserve"> SA4 Region</w:t>
            </w:r>
          </w:p>
        </w:tc>
        <w:tc>
          <w:tcPr>
            <w:tcW w:w="5812" w:type="dxa"/>
            <w:shd w:val="clear" w:color="auto" w:fill="441170" w:themeFill="text2"/>
            <w:tcMar>
              <w:top w:w="0" w:type="dxa"/>
              <w:left w:w="108" w:type="dxa"/>
              <w:bottom w:w="0" w:type="dxa"/>
              <w:right w:w="108" w:type="dxa"/>
            </w:tcMar>
            <w:hideMark/>
          </w:tcPr>
          <w:p w14:paraId="3E74816C" w14:textId="77777777" w:rsidR="00745D89" w:rsidRPr="002E702C" w:rsidRDefault="00745D89" w:rsidP="001D600D">
            <w:pPr>
              <w:spacing w:after="0" w:line="276" w:lineRule="auto"/>
              <w:rPr>
                <w:rFonts w:asciiTheme="minorHAnsi" w:hAnsiTheme="minorHAnsi" w:cstheme="minorHAnsi"/>
                <w:b/>
                <w:bCs/>
                <w:color w:val="FFFFFF" w:themeColor="background1"/>
              </w:rPr>
            </w:pPr>
            <w:r w:rsidRPr="002E702C">
              <w:rPr>
                <w:rFonts w:asciiTheme="minorHAnsi" w:hAnsiTheme="minorHAnsi" w:cstheme="minorHAnsi"/>
                <w:b/>
                <w:bCs/>
                <w:color w:val="FFFFFF" w:themeColor="background1"/>
              </w:rPr>
              <w:t xml:space="preserve">Occupations </w:t>
            </w:r>
          </w:p>
        </w:tc>
        <w:tc>
          <w:tcPr>
            <w:tcW w:w="1275" w:type="dxa"/>
            <w:shd w:val="clear" w:color="auto" w:fill="441170" w:themeFill="text2"/>
            <w:tcMar>
              <w:top w:w="0" w:type="dxa"/>
              <w:left w:w="108" w:type="dxa"/>
              <w:bottom w:w="0" w:type="dxa"/>
              <w:right w:w="108" w:type="dxa"/>
            </w:tcMar>
            <w:hideMark/>
          </w:tcPr>
          <w:p w14:paraId="1695E6FA" w14:textId="17E59069" w:rsidR="00745D89" w:rsidRPr="002E702C" w:rsidRDefault="0064373F" w:rsidP="001D600D">
            <w:pPr>
              <w:spacing w:after="0" w:line="276" w:lineRule="auto"/>
              <w:rPr>
                <w:rFonts w:asciiTheme="minorHAnsi" w:hAnsiTheme="minorHAnsi" w:cstheme="minorHAnsi"/>
                <w:b/>
                <w:bCs/>
                <w:color w:val="FFFFFF" w:themeColor="background1"/>
              </w:rPr>
            </w:pPr>
            <w:r>
              <w:rPr>
                <w:rFonts w:asciiTheme="minorHAnsi" w:hAnsiTheme="minorHAnsi" w:cstheme="minorHAnsi"/>
                <w:b/>
                <w:bCs/>
                <w:color w:val="FFFFFF"/>
              </w:rPr>
              <w:t>IVI vacancy</w:t>
            </w:r>
            <w:r w:rsidR="00745D89">
              <w:rPr>
                <w:rFonts w:asciiTheme="minorHAnsi" w:hAnsiTheme="minorHAnsi" w:cstheme="minorHAnsi"/>
                <w:b/>
                <w:bCs/>
                <w:color w:val="FFFFFF"/>
              </w:rPr>
              <w:t xml:space="preserve"> </w:t>
            </w:r>
            <w:r w:rsidR="00502054">
              <w:rPr>
                <w:rFonts w:asciiTheme="minorHAnsi" w:hAnsiTheme="minorHAnsi" w:cstheme="minorHAnsi"/>
                <w:b/>
                <w:bCs/>
                <w:color w:val="FFFFFF"/>
              </w:rPr>
              <w:t>r</w:t>
            </w:r>
            <w:r w:rsidR="00745D89">
              <w:rPr>
                <w:rFonts w:asciiTheme="minorHAnsi" w:hAnsiTheme="minorHAnsi" w:cstheme="minorHAnsi"/>
                <w:b/>
                <w:bCs/>
                <w:color w:val="FFFFFF"/>
              </w:rPr>
              <w:t>atio</w:t>
            </w:r>
            <w:r w:rsidR="00745D89" w:rsidRPr="002E702C">
              <w:rPr>
                <w:rFonts w:asciiTheme="minorHAnsi" w:hAnsiTheme="minorHAnsi" w:cstheme="minorHAnsi"/>
                <w:b/>
                <w:bCs/>
                <w:color w:val="FFFFFF"/>
              </w:rPr>
              <w:t xml:space="preserve"> (%)</w:t>
            </w:r>
          </w:p>
        </w:tc>
      </w:tr>
      <w:tr w:rsidR="00745D89" w:rsidRPr="002E702C" w14:paraId="73CD0B78" w14:textId="77777777" w:rsidTr="00D52926">
        <w:tc>
          <w:tcPr>
            <w:tcW w:w="3114" w:type="dxa"/>
            <w:vMerge w:val="restart"/>
            <w:vAlign w:val="bottom"/>
          </w:tcPr>
          <w:p w14:paraId="6EDC2F7A"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Cairns</w:t>
            </w:r>
          </w:p>
        </w:tc>
        <w:tc>
          <w:tcPr>
            <w:tcW w:w="5812" w:type="dxa"/>
            <w:tcMar>
              <w:top w:w="0" w:type="dxa"/>
              <w:left w:w="108" w:type="dxa"/>
              <w:bottom w:w="0" w:type="dxa"/>
              <w:right w:w="108" w:type="dxa"/>
            </w:tcMar>
            <w:vAlign w:val="bottom"/>
            <w:hideMark/>
          </w:tcPr>
          <w:p w14:paraId="10165468"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Occupational Therapists</w:t>
            </w:r>
          </w:p>
        </w:tc>
        <w:tc>
          <w:tcPr>
            <w:tcW w:w="1275" w:type="dxa"/>
            <w:tcMar>
              <w:top w:w="0" w:type="dxa"/>
              <w:left w:w="108" w:type="dxa"/>
              <w:bottom w:w="0" w:type="dxa"/>
              <w:right w:w="108" w:type="dxa"/>
            </w:tcMar>
            <w:vAlign w:val="bottom"/>
            <w:hideMark/>
          </w:tcPr>
          <w:p w14:paraId="43B0E1A3"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12.9</w:t>
            </w:r>
          </w:p>
        </w:tc>
      </w:tr>
      <w:tr w:rsidR="00745D89" w:rsidRPr="002E702C" w14:paraId="7E8FF38C" w14:textId="77777777" w:rsidTr="00D52926">
        <w:tc>
          <w:tcPr>
            <w:tcW w:w="3114" w:type="dxa"/>
            <w:vMerge/>
            <w:vAlign w:val="bottom"/>
          </w:tcPr>
          <w:p w14:paraId="1C3DF1F5"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0F78051F"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Automotive Electricians</w:t>
            </w:r>
          </w:p>
        </w:tc>
        <w:tc>
          <w:tcPr>
            <w:tcW w:w="1275" w:type="dxa"/>
            <w:tcMar>
              <w:top w:w="0" w:type="dxa"/>
              <w:left w:w="108" w:type="dxa"/>
              <w:bottom w:w="0" w:type="dxa"/>
              <w:right w:w="108" w:type="dxa"/>
            </w:tcMar>
            <w:vAlign w:val="bottom"/>
          </w:tcPr>
          <w:p w14:paraId="0A6923D2"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10.9</w:t>
            </w:r>
          </w:p>
        </w:tc>
      </w:tr>
      <w:tr w:rsidR="00745D89" w:rsidRPr="002E702C" w14:paraId="1BD57319" w14:textId="77777777" w:rsidTr="00D52926">
        <w:tc>
          <w:tcPr>
            <w:tcW w:w="3114" w:type="dxa"/>
            <w:vMerge/>
            <w:vAlign w:val="bottom"/>
          </w:tcPr>
          <w:p w14:paraId="737F2DE7"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7110F46C"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Medical Imaging Professionals</w:t>
            </w:r>
          </w:p>
        </w:tc>
        <w:tc>
          <w:tcPr>
            <w:tcW w:w="1275" w:type="dxa"/>
            <w:tcMar>
              <w:top w:w="0" w:type="dxa"/>
              <w:left w:w="108" w:type="dxa"/>
              <w:bottom w:w="0" w:type="dxa"/>
              <w:right w:w="108" w:type="dxa"/>
            </w:tcMar>
            <w:vAlign w:val="bottom"/>
          </w:tcPr>
          <w:p w14:paraId="327DB6AA"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9.1</w:t>
            </w:r>
          </w:p>
        </w:tc>
      </w:tr>
      <w:tr w:rsidR="00745D89" w:rsidRPr="002E702C" w14:paraId="167B6EFE" w14:textId="77777777" w:rsidTr="00D52926">
        <w:tc>
          <w:tcPr>
            <w:tcW w:w="3114" w:type="dxa"/>
            <w:vMerge/>
            <w:vAlign w:val="bottom"/>
          </w:tcPr>
          <w:p w14:paraId="66AD49AA"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20EFF8D1"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Audiologists and Speech Pathologists \ Therapists</w:t>
            </w:r>
          </w:p>
        </w:tc>
        <w:tc>
          <w:tcPr>
            <w:tcW w:w="1275" w:type="dxa"/>
            <w:tcMar>
              <w:top w:w="0" w:type="dxa"/>
              <w:left w:w="108" w:type="dxa"/>
              <w:bottom w:w="0" w:type="dxa"/>
              <w:right w:w="108" w:type="dxa"/>
            </w:tcMar>
            <w:vAlign w:val="bottom"/>
          </w:tcPr>
          <w:p w14:paraId="31293FA5"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8.8</w:t>
            </w:r>
          </w:p>
        </w:tc>
      </w:tr>
      <w:tr w:rsidR="00745D89" w:rsidRPr="002E702C" w14:paraId="7393419A" w14:textId="77777777" w:rsidTr="00D52926">
        <w:tc>
          <w:tcPr>
            <w:tcW w:w="3114" w:type="dxa"/>
            <w:vMerge/>
            <w:vAlign w:val="bottom"/>
          </w:tcPr>
          <w:p w14:paraId="185DB5C8"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5E137346"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Early Childhood (Pre-primary School) Teachers</w:t>
            </w:r>
          </w:p>
        </w:tc>
        <w:tc>
          <w:tcPr>
            <w:tcW w:w="1275" w:type="dxa"/>
            <w:tcMar>
              <w:top w:w="0" w:type="dxa"/>
              <w:left w:w="108" w:type="dxa"/>
              <w:bottom w:w="0" w:type="dxa"/>
              <w:right w:w="108" w:type="dxa"/>
            </w:tcMar>
            <w:vAlign w:val="bottom"/>
          </w:tcPr>
          <w:p w14:paraId="2B3A386C"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8.6</w:t>
            </w:r>
          </w:p>
        </w:tc>
      </w:tr>
      <w:tr w:rsidR="00745D89" w:rsidRPr="002E702C" w14:paraId="384390E2" w14:textId="77777777" w:rsidTr="00D52926">
        <w:tc>
          <w:tcPr>
            <w:tcW w:w="3114" w:type="dxa"/>
            <w:vMerge/>
            <w:vAlign w:val="bottom"/>
          </w:tcPr>
          <w:p w14:paraId="73489DE3"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43DE11DD"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Other Miscellaneous Technicians and Trades Workers</w:t>
            </w:r>
          </w:p>
        </w:tc>
        <w:tc>
          <w:tcPr>
            <w:tcW w:w="1275" w:type="dxa"/>
            <w:tcMar>
              <w:top w:w="0" w:type="dxa"/>
              <w:left w:w="108" w:type="dxa"/>
              <w:bottom w:w="0" w:type="dxa"/>
              <w:right w:w="108" w:type="dxa"/>
            </w:tcMar>
            <w:vAlign w:val="bottom"/>
          </w:tcPr>
          <w:p w14:paraId="396023A0"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8.4</w:t>
            </w:r>
          </w:p>
        </w:tc>
      </w:tr>
      <w:tr w:rsidR="00745D89" w:rsidRPr="002E702C" w14:paraId="4A649980" w14:textId="77777777" w:rsidTr="00D52926">
        <w:tc>
          <w:tcPr>
            <w:tcW w:w="3114" w:type="dxa"/>
            <w:vMerge/>
            <w:vAlign w:val="bottom"/>
          </w:tcPr>
          <w:p w14:paraId="131A0D30"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6978B12B"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General Practitioners and Resident Medical Officers</w:t>
            </w:r>
          </w:p>
        </w:tc>
        <w:tc>
          <w:tcPr>
            <w:tcW w:w="1275" w:type="dxa"/>
            <w:tcMar>
              <w:top w:w="0" w:type="dxa"/>
              <w:left w:w="108" w:type="dxa"/>
              <w:bottom w:w="0" w:type="dxa"/>
              <w:right w:w="108" w:type="dxa"/>
            </w:tcMar>
            <w:vAlign w:val="bottom"/>
          </w:tcPr>
          <w:p w14:paraId="5631AA71"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7.9</w:t>
            </w:r>
          </w:p>
        </w:tc>
      </w:tr>
      <w:tr w:rsidR="00745D89" w:rsidRPr="002E702C" w14:paraId="0B4F7BCC" w14:textId="77777777" w:rsidTr="00D52926">
        <w:tc>
          <w:tcPr>
            <w:tcW w:w="3114" w:type="dxa"/>
            <w:vMerge/>
            <w:vAlign w:val="bottom"/>
          </w:tcPr>
          <w:p w14:paraId="1061A549"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0D0E9692"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Physiotherapists</w:t>
            </w:r>
          </w:p>
        </w:tc>
        <w:tc>
          <w:tcPr>
            <w:tcW w:w="1275" w:type="dxa"/>
            <w:tcMar>
              <w:top w:w="0" w:type="dxa"/>
              <w:left w:w="108" w:type="dxa"/>
              <w:bottom w:w="0" w:type="dxa"/>
              <w:right w:w="108" w:type="dxa"/>
            </w:tcMar>
            <w:vAlign w:val="bottom"/>
          </w:tcPr>
          <w:p w14:paraId="03B32999"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6.8</w:t>
            </w:r>
          </w:p>
        </w:tc>
      </w:tr>
      <w:tr w:rsidR="00745D89" w:rsidRPr="002E702C" w14:paraId="007D9F66" w14:textId="77777777" w:rsidTr="00D52926">
        <w:tc>
          <w:tcPr>
            <w:tcW w:w="3114" w:type="dxa"/>
            <w:vMerge/>
            <w:vAlign w:val="bottom"/>
          </w:tcPr>
          <w:p w14:paraId="034CF0D8"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39C036A2"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Metal Fitters and Machinists</w:t>
            </w:r>
          </w:p>
        </w:tc>
        <w:tc>
          <w:tcPr>
            <w:tcW w:w="1275" w:type="dxa"/>
            <w:tcMar>
              <w:top w:w="0" w:type="dxa"/>
              <w:left w:w="108" w:type="dxa"/>
              <w:bottom w:w="0" w:type="dxa"/>
              <w:right w:w="108" w:type="dxa"/>
            </w:tcMar>
            <w:vAlign w:val="bottom"/>
          </w:tcPr>
          <w:p w14:paraId="1DFCA61E"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6.8</w:t>
            </w:r>
          </w:p>
        </w:tc>
      </w:tr>
      <w:tr w:rsidR="00745D89" w:rsidRPr="002E702C" w14:paraId="7B4A93CA" w14:textId="77777777" w:rsidTr="00D52926">
        <w:tc>
          <w:tcPr>
            <w:tcW w:w="3114" w:type="dxa"/>
            <w:vMerge/>
            <w:vAlign w:val="bottom"/>
          </w:tcPr>
          <w:p w14:paraId="6E58BF01"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5DA476FC"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Motor Mechanics</w:t>
            </w:r>
          </w:p>
        </w:tc>
        <w:tc>
          <w:tcPr>
            <w:tcW w:w="1275" w:type="dxa"/>
            <w:tcMar>
              <w:top w:w="0" w:type="dxa"/>
              <w:left w:w="108" w:type="dxa"/>
              <w:bottom w:w="0" w:type="dxa"/>
              <w:right w:w="108" w:type="dxa"/>
            </w:tcMar>
            <w:vAlign w:val="bottom"/>
          </w:tcPr>
          <w:p w14:paraId="09757D0A"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5.4</w:t>
            </w:r>
          </w:p>
        </w:tc>
      </w:tr>
      <w:tr w:rsidR="00745D89" w:rsidRPr="002E702C" w14:paraId="0D18ED70" w14:textId="77777777" w:rsidTr="00D52926">
        <w:tc>
          <w:tcPr>
            <w:tcW w:w="3114" w:type="dxa"/>
            <w:vMerge/>
            <w:vAlign w:val="bottom"/>
          </w:tcPr>
          <w:p w14:paraId="77149E32"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6D05E111"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Cooks</w:t>
            </w:r>
          </w:p>
        </w:tc>
        <w:tc>
          <w:tcPr>
            <w:tcW w:w="1275" w:type="dxa"/>
            <w:tcMar>
              <w:top w:w="0" w:type="dxa"/>
              <w:left w:w="108" w:type="dxa"/>
              <w:bottom w:w="0" w:type="dxa"/>
              <w:right w:w="108" w:type="dxa"/>
            </w:tcMar>
            <w:vAlign w:val="bottom"/>
          </w:tcPr>
          <w:p w14:paraId="15984197"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5.4</w:t>
            </w:r>
          </w:p>
        </w:tc>
      </w:tr>
      <w:tr w:rsidR="00745D89" w:rsidRPr="002E702C" w14:paraId="4F3EC8E7" w14:textId="77777777" w:rsidTr="00D52926">
        <w:tc>
          <w:tcPr>
            <w:tcW w:w="3114" w:type="dxa"/>
            <w:vMerge/>
            <w:vAlign w:val="bottom"/>
          </w:tcPr>
          <w:p w14:paraId="1059A247"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59B3474C"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Pharmacists</w:t>
            </w:r>
          </w:p>
        </w:tc>
        <w:tc>
          <w:tcPr>
            <w:tcW w:w="1275" w:type="dxa"/>
            <w:tcMar>
              <w:top w:w="0" w:type="dxa"/>
              <w:left w:w="108" w:type="dxa"/>
              <w:bottom w:w="0" w:type="dxa"/>
              <w:right w:w="108" w:type="dxa"/>
            </w:tcMar>
            <w:vAlign w:val="bottom"/>
          </w:tcPr>
          <w:p w14:paraId="4DC30FB7"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4.6</w:t>
            </w:r>
          </w:p>
        </w:tc>
      </w:tr>
      <w:tr w:rsidR="00745D89" w:rsidRPr="002E702C" w14:paraId="75089564" w14:textId="77777777" w:rsidTr="00D52926">
        <w:tc>
          <w:tcPr>
            <w:tcW w:w="3114" w:type="dxa"/>
            <w:vMerge/>
            <w:vAlign w:val="bottom"/>
          </w:tcPr>
          <w:p w14:paraId="36AE3590"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5449A183"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Drillers, Miners and Shot Firers</w:t>
            </w:r>
          </w:p>
        </w:tc>
        <w:tc>
          <w:tcPr>
            <w:tcW w:w="1275" w:type="dxa"/>
            <w:tcMar>
              <w:top w:w="0" w:type="dxa"/>
              <w:left w:w="108" w:type="dxa"/>
              <w:bottom w:w="0" w:type="dxa"/>
              <w:right w:w="108" w:type="dxa"/>
            </w:tcMar>
            <w:vAlign w:val="bottom"/>
          </w:tcPr>
          <w:p w14:paraId="27C61461"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4.3</w:t>
            </w:r>
          </w:p>
        </w:tc>
      </w:tr>
      <w:tr w:rsidR="00745D89" w:rsidRPr="002E702C" w14:paraId="34640AE0" w14:textId="77777777" w:rsidTr="00D52926">
        <w:tc>
          <w:tcPr>
            <w:tcW w:w="3114" w:type="dxa"/>
            <w:vMerge/>
            <w:vAlign w:val="bottom"/>
          </w:tcPr>
          <w:p w14:paraId="65581A75"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7FFBE187"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Earthmoving Plant Operators</w:t>
            </w:r>
          </w:p>
        </w:tc>
        <w:tc>
          <w:tcPr>
            <w:tcW w:w="1275" w:type="dxa"/>
            <w:tcMar>
              <w:top w:w="0" w:type="dxa"/>
              <w:left w:w="108" w:type="dxa"/>
              <w:bottom w:w="0" w:type="dxa"/>
              <w:right w:w="108" w:type="dxa"/>
            </w:tcMar>
            <w:vAlign w:val="bottom"/>
          </w:tcPr>
          <w:p w14:paraId="7D07EEE0"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4.3</w:t>
            </w:r>
          </w:p>
        </w:tc>
      </w:tr>
      <w:tr w:rsidR="00745D89" w:rsidRPr="002E702C" w14:paraId="68821EB4" w14:textId="77777777" w:rsidTr="00D52926">
        <w:tc>
          <w:tcPr>
            <w:tcW w:w="3114" w:type="dxa"/>
            <w:vMerge/>
            <w:vAlign w:val="bottom"/>
          </w:tcPr>
          <w:p w14:paraId="7D0204D2"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517FD723"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Dental Assistants</w:t>
            </w:r>
          </w:p>
        </w:tc>
        <w:tc>
          <w:tcPr>
            <w:tcW w:w="1275" w:type="dxa"/>
            <w:tcMar>
              <w:top w:w="0" w:type="dxa"/>
              <w:left w:w="108" w:type="dxa"/>
              <w:bottom w:w="0" w:type="dxa"/>
              <w:right w:w="108" w:type="dxa"/>
            </w:tcMar>
            <w:vAlign w:val="bottom"/>
          </w:tcPr>
          <w:p w14:paraId="306D3474"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4.2</w:t>
            </w:r>
          </w:p>
        </w:tc>
      </w:tr>
      <w:tr w:rsidR="00745D89" w:rsidRPr="002E702C" w14:paraId="61A01A57" w14:textId="77777777" w:rsidTr="00D52926">
        <w:tc>
          <w:tcPr>
            <w:tcW w:w="3114" w:type="dxa"/>
            <w:vMerge/>
            <w:vAlign w:val="bottom"/>
          </w:tcPr>
          <w:p w14:paraId="62E0D40D"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6633EFCE"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Psychologists</w:t>
            </w:r>
          </w:p>
        </w:tc>
        <w:tc>
          <w:tcPr>
            <w:tcW w:w="1275" w:type="dxa"/>
            <w:tcMar>
              <w:top w:w="0" w:type="dxa"/>
              <w:left w:w="108" w:type="dxa"/>
              <w:bottom w:w="0" w:type="dxa"/>
              <w:right w:w="108" w:type="dxa"/>
            </w:tcMar>
            <w:vAlign w:val="bottom"/>
          </w:tcPr>
          <w:p w14:paraId="7183A00E"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4.2</w:t>
            </w:r>
          </w:p>
        </w:tc>
      </w:tr>
      <w:tr w:rsidR="00745D89" w:rsidRPr="002E702C" w14:paraId="5E8D071F" w14:textId="77777777" w:rsidTr="00D52926">
        <w:tc>
          <w:tcPr>
            <w:tcW w:w="3114" w:type="dxa"/>
            <w:vMerge w:val="restart"/>
            <w:vAlign w:val="bottom"/>
          </w:tcPr>
          <w:p w14:paraId="561F731D"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Central Queensland</w:t>
            </w:r>
          </w:p>
        </w:tc>
        <w:tc>
          <w:tcPr>
            <w:tcW w:w="5812" w:type="dxa"/>
            <w:tcMar>
              <w:top w:w="0" w:type="dxa"/>
              <w:left w:w="108" w:type="dxa"/>
              <w:bottom w:w="0" w:type="dxa"/>
              <w:right w:w="108" w:type="dxa"/>
            </w:tcMar>
            <w:vAlign w:val="bottom"/>
          </w:tcPr>
          <w:p w14:paraId="0F9014E0"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Occupational Therapists</w:t>
            </w:r>
          </w:p>
        </w:tc>
        <w:tc>
          <w:tcPr>
            <w:tcW w:w="1275" w:type="dxa"/>
            <w:tcMar>
              <w:top w:w="0" w:type="dxa"/>
              <w:left w:w="108" w:type="dxa"/>
              <w:bottom w:w="0" w:type="dxa"/>
              <w:right w:w="108" w:type="dxa"/>
            </w:tcMar>
            <w:vAlign w:val="bottom"/>
          </w:tcPr>
          <w:p w14:paraId="257D9A16"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13.0</w:t>
            </w:r>
          </w:p>
        </w:tc>
      </w:tr>
      <w:tr w:rsidR="00745D89" w:rsidRPr="002E702C" w14:paraId="2D1FDB4F" w14:textId="77777777" w:rsidTr="00D52926">
        <w:tc>
          <w:tcPr>
            <w:tcW w:w="3114" w:type="dxa"/>
            <w:vMerge/>
            <w:vAlign w:val="bottom"/>
          </w:tcPr>
          <w:p w14:paraId="635714E3"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1EC9467F"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General Practitioners and Resident Medical Officers</w:t>
            </w:r>
          </w:p>
        </w:tc>
        <w:tc>
          <w:tcPr>
            <w:tcW w:w="1275" w:type="dxa"/>
            <w:tcMar>
              <w:top w:w="0" w:type="dxa"/>
              <w:left w:w="108" w:type="dxa"/>
              <w:bottom w:w="0" w:type="dxa"/>
              <w:right w:w="108" w:type="dxa"/>
            </w:tcMar>
            <w:vAlign w:val="bottom"/>
          </w:tcPr>
          <w:p w14:paraId="2AA23D8C"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9.9</w:t>
            </w:r>
          </w:p>
        </w:tc>
      </w:tr>
      <w:tr w:rsidR="00745D89" w:rsidRPr="002E702C" w14:paraId="4C034C8A" w14:textId="77777777" w:rsidTr="00D52926">
        <w:tc>
          <w:tcPr>
            <w:tcW w:w="3114" w:type="dxa"/>
            <w:vMerge/>
            <w:vAlign w:val="bottom"/>
          </w:tcPr>
          <w:p w14:paraId="3A2D290F"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718D099A"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Medical Imaging Professionals</w:t>
            </w:r>
          </w:p>
        </w:tc>
        <w:tc>
          <w:tcPr>
            <w:tcW w:w="1275" w:type="dxa"/>
            <w:tcMar>
              <w:top w:w="0" w:type="dxa"/>
              <w:left w:w="108" w:type="dxa"/>
              <w:bottom w:w="0" w:type="dxa"/>
              <w:right w:w="108" w:type="dxa"/>
            </w:tcMar>
            <w:vAlign w:val="bottom"/>
          </w:tcPr>
          <w:p w14:paraId="4AB63B07"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9.8</w:t>
            </w:r>
          </w:p>
        </w:tc>
      </w:tr>
      <w:tr w:rsidR="00745D89" w:rsidRPr="002E702C" w14:paraId="05842C2B" w14:textId="77777777" w:rsidTr="00D52926">
        <w:tc>
          <w:tcPr>
            <w:tcW w:w="3114" w:type="dxa"/>
            <w:vMerge/>
            <w:vAlign w:val="bottom"/>
          </w:tcPr>
          <w:p w14:paraId="359C3189"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442521B9"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Pharmacists</w:t>
            </w:r>
          </w:p>
        </w:tc>
        <w:tc>
          <w:tcPr>
            <w:tcW w:w="1275" w:type="dxa"/>
            <w:tcMar>
              <w:top w:w="0" w:type="dxa"/>
              <w:left w:w="108" w:type="dxa"/>
              <w:bottom w:w="0" w:type="dxa"/>
              <w:right w:w="108" w:type="dxa"/>
            </w:tcMar>
            <w:vAlign w:val="bottom"/>
          </w:tcPr>
          <w:p w14:paraId="5F8B7E96"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7.1</w:t>
            </w:r>
          </w:p>
        </w:tc>
      </w:tr>
      <w:tr w:rsidR="00745D89" w:rsidRPr="002E702C" w14:paraId="5E6E3AE9" w14:textId="77777777" w:rsidTr="00D52926">
        <w:tc>
          <w:tcPr>
            <w:tcW w:w="3114" w:type="dxa"/>
            <w:vMerge/>
            <w:vAlign w:val="bottom"/>
          </w:tcPr>
          <w:p w14:paraId="3A9F21C6"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05DF6C98"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Physiotherapists</w:t>
            </w:r>
          </w:p>
        </w:tc>
        <w:tc>
          <w:tcPr>
            <w:tcW w:w="1275" w:type="dxa"/>
            <w:tcMar>
              <w:top w:w="0" w:type="dxa"/>
              <w:left w:w="108" w:type="dxa"/>
              <w:bottom w:w="0" w:type="dxa"/>
              <w:right w:w="108" w:type="dxa"/>
            </w:tcMar>
            <w:vAlign w:val="bottom"/>
          </w:tcPr>
          <w:p w14:paraId="6755B784"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6.5</w:t>
            </w:r>
          </w:p>
        </w:tc>
      </w:tr>
      <w:tr w:rsidR="00745D89" w:rsidRPr="002E702C" w14:paraId="7541AFC3" w14:textId="77777777" w:rsidTr="00D52926">
        <w:tc>
          <w:tcPr>
            <w:tcW w:w="3114" w:type="dxa"/>
            <w:vMerge/>
            <w:vAlign w:val="bottom"/>
          </w:tcPr>
          <w:p w14:paraId="45D6F56E"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62924F4E"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Enrolled and Mothercraft Nurses</w:t>
            </w:r>
          </w:p>
        </w:tc>
        <w:tc>
          <w:tcPr>
            <w:tcW w:w="1275" w:type="dxa"/>
            <w:tcMar>
              <w:top w:w="0" w:type="dxa"/>
              <w:left w:w="108" w:type="dxa"/>
              <w:bottom w:w="0" w:type="dxa"/>
              <w:right w:w="108" w:type="dxa"/>
            </w:tcMar>
            <w:vAlign w:val="bottom"/>
          </w:tcPr>
          <w:p w14:paraId="21F95514"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5.5</w:t>
            </w:r>
          </w:p>
        </w:tc>
      </w:tr>
      <w:tr w:rsidR="00745D89" w:rsidRPr="002E702C" w14:paraId="130CE2B1" w14:textId="77777777" w:rsidTr="00D52926">
        <w:tc>
          <w:tcPr>
            <w:tcW w:w="3114" w:type="dxa"/>
            <w:vMerge/>
            <w:vAlign w:val="bottom"/>
          </w:tcPr>
          <w:p w14:paraId="7400C153"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5C058629"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Motor Mechanics</w:t>
            </w:r>
          </w:p>
        </w:tc>
        <w:tc>
          <w:tcPr>
            <w:tcW w:w="1275" w:type="dxa"/>
            <w:tcMar>
              <w:top w:w="0" w:type="dxa"/>
              <w:left w:w="108" w:type="dxa"/>
              <w:bottom w:w="0" w:type="dxa"/>
              <w:right w:w="108" w:type="dxa"/>
            </w:tcMar>
            <w:vAlign w:val="bottom"/>
          </w:tcPr>
          <w:p w14:paraId="5AF8BA38"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5.0</w:t>
            </w:r>
          </w:p>
        </w:tc>
      </w:tr>
      <w:tr w:rsidR="00745D89" w:rsidRPr="002E702C" w14:paraId="401CFA36" w14:textId="77777777" w:rsidTr="00D52926">
        <w:tc>
          <w:tcPr>
            <w:tcW w:w="3114" w:type="dxa"/>
            <w:vMerge/>
            <w:vAlign w:val="bottom"/>
          </w:tcPr>
          <w:p w14:paraId="70616CCD"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6497DFC5"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Cooks</w:t>
            </w:r>
          </w:p>
        </w:tc>
        <w:tc>
          <w:tcPr>
            <w:tcW w:w="1275" w:type="dxa"/>
            <w:tcMar>
              <w:top w:w="0" w:type="dxa"/>
              <w:left w:w="108" w:type="dxa"/>
              <w:bottom w:w="0" w:type="dxa"/>
              <w:right w:w="108" w:type="dxa"/>
            </w:tcMar>
            <w:vAlign w:val="bottom"/>
          </w:tcPr>
          <w:p w14:paraId="3170669A"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4.6</w:t>
            </w:r>
          </w:p>
        </w:tc>
      </w:tr>
      <w:tr w:rsidR="00745D89" w:rsidRPr="002E702C" w14:paraId="4BBA120C" w14:textId="77777777" w:rsidTr="00D52926">
        <w:tc>
          <w:tcPr>
            <w:tcW w:w="3114" w:type="dxa"/>
            <w:vAlign w:val="bottom"/>
          </w:tcPr>
          <w:p w14:paraId="32B7C269"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Darling Downs - Maranoa</w:t>
            </w:r>
          </w:p>
        </w:tc>
        <w:tc>
          <w:tcPr>
            <w:tcW w:w="5812" w:type="dxa"/>
            <w:tcMar>
              <w:top w:w="0" w:type="dxa"/>
              <w:left w:w="108" w:type="dxa"/>
              <w:bottom w:w="0" w:type="dxa"/>
              <w:right w:w="108" w:type="dxa"/>
            </w:tcMar>
            <w:vAlign w:val="bottom"/>
          </w:tcPr>
          <w:p w14:paraId="4EA9F2FC"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General Practitioners and Resident Medical Officers</w:t>
            </w:r>
          </w:p>
        </w:tc>
        <w:tc>
          <w:tcPr>
            <w:tcW w:w="1275" w:type="dxa"/>
            <w:tcMar>
              <w:top w:w="0" w:type="dxa"/>
              <w:left w:w="108" w:type="dxa"/>
              <w:bottom w:w="0" w:type="dxa"/>
              <w:right w:w="108" w:type="dxa"/>
            </w:tcMar>
            <w:vAlign w:val="bottom"/>
          </w:tcPr>
          <w:p w14:paraId="68DB9A44"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13.4</w:t>
            </w:r>
          </w:p>
        </w:tc>
      </w:tr>
      <w:tr w:rsidR="00745D89" w:rsidRPr="002E702C" w14:paraId="14F8DC15" w14:textId="77777777" w:rsidTr="00D52926">
        <w:tc>
          <w:tcPr>
            <w:tcW w:w="3114" w:type="dxa"/>
            <w:vMerge w:val="restart"/>
            <w:vAlign w:val="bottom"/>
          </w:tcPr>
          <w:p w14:paraId="3C532D0D"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Gold Coast</w:t>
            </w:r>
          </w:p>
        </w:tc>
        <w:tc>
          <w:tcPr>
            <w:tcW w:w="5812" w:type="dxa"/>
            <w:tcMar>
              <w:top w:w="0" w:type="dxa"/>
              <w:left w:w="108" w:type="dxa"/>
              <w:bottom w:w="0" w:type="dxa"/>
              <w:right w:w="108" w:type="dxa"/>
            </w:tcMar>
            <w:vAlign w:val="bottom"/>
          </w:tcPr>
          <w:p w14:paraId="5DF42BA1"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Insurance Agents</w:t>
            </w:r>
          </w:p>
        </w:tc>
        <w:tc>
          <w:tcPr>
            <w:tcW w:w="1275" w:type="dxa"/>
            <w:tcMar>
              <w:top w:w="0" w:type="dxa"/>
              <w:left w:w="108" w:type="dxa"/>
              <w:bottom w:w="0" w:type="dxa"/>
              <w:right w:w="108" w:type="dxa"/>
            </w:tcMar>
            <w:vAlign w:val="bottom"/>
          </w:tcPr>
          <w:p w14:paraId="7B3AAC81"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10.8</w:t>
            </w:r>
          </w:p>
        </w:tc>
      </w:tr>
      <w:tr w:rsidR="00745D89" w:rsidRPr="002E702C" w14:paraId="73292039" w14:textId="77777777" w:rsidTr="00D52926">
        <w:tc>
          <w:tcPr>
            <w:tcW w:w="3114" w:type="dxa"/>
            <w:vMerge/>
            <w:vAlign w:val="bottom"/>
          </w:tcPr>
          <w:p w14:paraId="2A1FD7FD"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22ADCDE4"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Cooks</w:t>
            </w:r>
          </w:p>
        </w:tc>
        <w:tc>
          <w:tcPr>
            <w:tcW w:w="1275" w:type="dxa"/>
            <w:tcMar>
              <w:top w:w="0" w:type="dxa"/>
              <w:left w:w="108" w:type="dxa"/>
              <w:bottom w:w="0" w:type="dxa"/>
              <w:right w:w="108" w:type="dxa"/>
            </w:tcMar>
            <w:vAlign w:val="bottom"/>
          </w:tcPr>
          <w:p w14:paraId="00C07A86"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9.3</w:t>
            </w:r>
          </w:p>
        </w:tc>
      </w:tr>
      <w:tr w:rsidR="00745D89" w:rsidRPr="002E702C" w14:paraId="24EF034C" w14:textId="77777777" w:rsidTr="00D52926">
        <w:tc>
          <w:tcPr>
            <w:tcW w:w="3114" w:type="dxa"/>
            <w:vMerge/>
            <w:vAlign w:val="bottom"/>
          </w:tcPr>
          <w:p w14:paraId="0BC617BB"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49892B0A"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Enrolled and Mothercraft Nurses</w:t>
            </w:r>
          </w:p>
        </w:tc>
        <w:tc>
          <w:tcPr>
            <w:tcW w:w="1275" w:type="dxa"/>
            <w:tcMar>
              <w:top w:w="0" w:type="dxa"/>
              <w:left w:w="108" w:type="dxa"/>
              <w:bottom w:w="0" w:type="dxa"/>
              <w:right w:w="108" w:type="dxa"/>
            </w:tcMar>
            <w:vAlign w:val="bottom"/>
          </w:tcPr>
          <w:p w14:paraId="2E44EAC3"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9.2</w:t>
            </w:r>
          </w:p>
        </w:tc>
      </w:tr>
      <w:tr w:rsidR="00745D89" w:rsidRPr="002E702C" w14:paraId="33D31388" w14:textId="77777777" w:rsidTr="00D52926">
        <w:tc>
          <w:tcPr>
            <w:tcW w:w="3114" w:type="dxa"/>
            <w:vMerge/>
            <w:vAlign w:val="bottom"/>
          </w:tcPr>
          <w:p w14:paraId="005E46E4"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3BD248DC"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Occupational Therapists</w:t>
            </w:r>
          </w:p>
        </w:tc>
        <w:tc>
          <w:tcPr>
            <w:tcW w:w="1275" w:type="dxa"/>
            <w:tcMar>
              <w:top w:w="0" w:type="dxa"/>
              <w:left w:w="108" w:type="dxa"/>
              <w:bottom w:w="0" w:type="dxa"/>
              <w:right w:w="108" w:type="dxa"/>
            </w:tcMar>
            <w:vAlign w:val="bottom"/>
          </w:tcPr>
          <w:p w14:paraId="0D41E3F6"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7.5</w:t>
            </w:r>
          </w:p>
        </w:tc>
      </w:tr>
      <w:tr w:rsidR="00745D89" w:rsidRPr="002E702C" w14:paraId="08C8DB9C" w14:textId="77777777" w:rsidTr="00D52926">
        <w:tc>
          <w:tcPr>
            <w:tcW w:w="3114" w:type="dxa"/>
            <w:vMerge/>
            <w:vAlign w:val="bottom"/>
          </w:tcPr>
          <w:p w14:paraId="43A126F7"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1860B46A"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Audiologists and Speech Pathologists \ Therapists</w:t>
            </w:r>
          </w:p>
        </w:tc>
        <w:tc>
          <w:tcPr>
            <w:tcW w:w="1275" w:type="dxa"/>
            <w:tcMar>
              <w:top w:w="0" w:type="dxa"/>
              <w:left w:w="108" w:type="dxa"/>
              <w:bottom w:w="0" w:type="dxa"/>
              <w:right w:w="108" w:type="dxa"/>
            </w:tcMar>
            <w:vAlign w:val="bottom"/>
          </w:tcPr>
          <w:p w14:paraId="50F60273"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6.5</w:t>
            </w:r>
          </w:p>
        </w:tc>
      </w:tr>
      <w:tr w:rsidR="00745D89" w:rsidRPr="002E702C" w14:paraId="4F14FBBB" w14:textId="77777777" w:rsidTr="00D52926">
        <w:tc>
          <w:tcPr>
            <w:tcW w:w="3114" w:type="dxa"/>
            <w:vMerge w:val="restart"/>
            <w:vAlign w:val="bottom"/>
          </w:tcPr>
          <w:p w14:paraId="1C9D9D61"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Mackay - Isaac - Whitsunday</w:t>
            </w:r>
          </w:p>
        </w:tc>
        <w:tc>
          <w:tcPr>
            <w:tcW w:w="5812" w:type="dxa"/>
            <w:tcMar>
              <w:top w:w="0" w:type="dxa"/>
              <w:left w:w="108" w:type="dxa"/>
              <w:bottom w:w="0" w:type="dxa"/>
              <w:right w:w="108" w:type="dxa"/>
            </w:tcMar>
            <w:vAlign w:val="bottom"/>
          </w:tcPr>
          <w:p w14:paraId="65AB646F"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Mining Engineers</w:t>
            </w:r>
          </w:p>
        </w:tc>
        <w:tc>
          <w:tcPr>
            <w:tcW w:w="1275" w:type="dxa"/>
            <w:tcMar>
              <w:top w:w="0" w:type="dxa"/>
              <w:left w:w="108" w:type="dxa"/>
              <w:bottom w:w="0" w:type="dxa"/>
              <w:right w:w="108" w:type="dxa"/>
            </w:tcMar>
            <w:vAlign w:val="bottom"/>
          </w:tcPr>
          <w:p w14:paraId="7B38DA20"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11.1</w:t>
            </w:r>
          </w:p>
        </w:tc>
      </w:tr>
      <w:tr w:rsidR="00745D89" w:rsidRPr="002E702C" w14:paraId="70D25663" w14:textId="77777777" w:rsidTr="00D52926">
        <w:tc>
          <w:tcPr>
            <w:tcW w:w="3114" w:type="dxa"/>
            <w:vMerge/>
            <w:vAlign w:val="bottom"/>
          </w:tcPr>
          <w:p w14:paraId="730A0361"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6230A742"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Occupational Therapists</w:t>
            </w:r>
          </w:p>
        </w:tc>
        <w:tc>
          <w:tcPr>
            <w:tcW w:w="1275" w:type="dxa"/>
            <w:tcMar>
              <w:top w:w="0" w:type="dxa"/>
              <w:left w:w="108" w:type="dxa"/>
              <w:bottom w:w="0" w:type="dxa"/>
              <w:right w:w="108" w:type="dxa"/>
            </w:tcMar>
            <w:vAlign w:val="bottom"/>
          </w:tcPr>
          <w:p w14:paraId="7F8D751A"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11.0</w:t>
            </w:r>
          </w:p>
        </w:tc>
      </w:tr>
      <w:tr w:rsidR="00745D89" w:rsidRPr="002E702C" w14:paraId="71AF6171" w14:textId="77777777" w:rsidTr="00D52926">
        <w:tc>
          <w:tcPr>
            <w:tcW w:w="3114" w:type="dxa"/>
            <w:vMerge/>
            <w:vAlign w:val="bottom"/>
          </w:tcPr>
          <w:p w14:paraId="5048FC30"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1AFFB0C1"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Other Miscellaneous Technicians and Trades Workers</w:t>
            </w:r>
          </w:p>
        </w:tc>
        <w:tc>
          <w:tcPr>
            <w:tcW w:w="1275" w:type="dxa"/>
            <w:tcMar>
              <w:top w:w="0" w:type="dxa"/>
              <w:left w:w="108" w:type="dxa"/>
              <w:bottom w:w="0" w:type="dxa"/>
              <w:right w:w="108" w:type="dxa"/>
            </w:tcMar>
            <w:vAlign w:val="bottom"/>
          </w:tcPr>
          <w:p w14:paraId="5E2CA47E"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10.8</w:t>
            </w:r>
          </w:p>
        </w:tc>
      </w:tr>
      <w:tr w:rsidR="00745D89" w:rsidRPr="002E702C" w14:paraId="1D279292" w14:textId="77777777" w:rsidTr="00D52926">
        <w:tc>
          <w:tcPr>
            <w:tcW w:w="3114" w:type="dxa"/>
            <w:vMerge/>
            <w:vAlign w:val="bottom"/>
          </w:tcPr>
          <w:p w14:paraId="703A2CED"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02DA6A20"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Medical Imaging Professionals</w:t>
            </w:r>
          </w:p>
        </w:tc>
        <w:tc>
          <w:tcPr>
            <w:tcW w:w="1275" w:type="dxa"/>
            <w:tcMar>
              <w:top w:w="0" w:type="dxa"/>
              <w:left w:w="108" w:type="dxa"/>
              <w:bottom w:w="0" w:type="dxa"/>
              <w:right w:w="108" w:type="dxa"/>
            </w:tcMar>
            <w:vAlign w:val="bottom"/>
          </w:tcPr>
          <w:p w14:paraId="10260201"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9.7</w:t>
            </w:r>
          </w:p>
        </w:tc>
      </w:tr>
      <w:tr w:rsidR="00745D89" w:rsidRPr="002E702C" w14:paraId="6C556333" w14:textId="77777777" w:rsidTr="00D52926">
        <w:tc>
          <w:tcPr>
            <w:tcW w:w="3114" w:type="dxa"/>
            <w:vMerge/>
            <w:vAlign w:val="bottom"/>
          </w:tcPr>
          <w:p w14:paraId="122EA9FB"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233BCBD7"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Enrolled and Mothercraft Nurses</w:t>
            </w:r>
          </w:p>
        </w:tc>
        <w:tc>
          <w:tcPr>
            <w:tcW w:w="1275" w:type="dxa"/>
            <w:tcMar>
              <w:top w:w="0" w:type="dxa"/>
              <w:left w:w="108" w:type="dxa"/>
              <w:bottom w:w="0" w:type="dxa"/>
              <w:right w:w="108" w:type="dxa"/>
            </w:tcMar>
            <w:vAlign w:val="bottom"/>
          </w:tcPr>
          <w:p w14:paraId="4807BFC9"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9.3</w:t>
            </w:r>
          </w:p>
        </w:tc>
      </w:tr>
      <w:tr w:rsidR="00745D89" w:rsidRPr="002E702C" w14:paraId="7D0C439D" w14:textId="77777777" w:rsidTr="00D52926">
        <w:tc>
          <w:tcPr>
            <w:tcW w:w="3114" w:type="dxa"/>
            <w:vMerge/>
            <w:vAlign w:val="bottom"/>
          </w:tcPr>
          <w:p w14:paraId="22CB8BEC"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75C3A1E4"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General Practitioners and Resident Medical Officers</w:t>
            </w:r>
          </w:p>
        </w:tc>
        <w:tc>
          <w:tcPr>
            <w:tcW w:w="1275" w:type="dxa"/>
            <w:tcMar>
              <w:top w:w="0" w:type="dxa"/>
              <w:left w:w="108" w:type="dxa"/>
              <w:bottom w:w="0" w:type="dxa"/>
              <w:right w:w="108" w:type="dxa"/>
            </w:tcMar>
            <w:vAlign w:val="bottom"/>
          </w:tcPr>
          <w:p w14:paraId="6D269AC4"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7.7</w:t>
            </w:r>
          </w:p>
        </w:tc>
      </w:tr>
      <w:tr w:rsidR="00745D89" w:rsidRPr="002E702C" w14:paraId="7B1B8ACD" w14:textId="77777777" w:rsidTr="00D52926">
        <w:tc>
          <w:tcPr>
            <w:tcW w:w="3114" w:type="dxa"/>
            <w:vMerge/>
            <w:vAlign w:val="bottom"/>
          </w:tcPr>
          <w:p w14:paraId="5A8AEC53"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1E990399"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Pharmacists</w:t>
            </w:r>
          </w:p>
        </w:tc>
        <w:tc>
          <w:tcPr>
            <w:tcW w:w="1275" w:type="dxa"/>
            <w:tcMar>
              <w:top w:w="0" w:type="dxa"/>
              <w:left w:w="108" w:type="dxa"/>
              <w:bottom w:w="0" w:type="dxa"/>
              <w:right w:w="108" w:type="dxa"/>
            </w:tcMar>
            <w:vAlign w:val="bottom"/>
          </w:tcPr>
          <w:p w14:paraId="6F2BB715"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7.1</w:t>
            </w:r>
          </w:p>
        </w:tc>
      </w:tr>
      <w:tr w:rsidR="00745D89" w:rsidRPr="002E702C" w14:paraId="1193B334" w14:textId="77777777" w:rsidTr="00D52926">
        <w:tc>
          <w:tcPr>
            <w:tcW w:w="3114" w:type="dxa"/>
            <w:vMerge/>
            <w:vAlign w:val="bottom"/>
          </w:tcPr>
          <w:p w14:paraId="6AA8C325"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67535933"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Aged and Disabled Carers</w:t>
            </w:r>
          </w:p>
        </w:tc>
        <w:tc>
          <w:tcPr>
            <w:tcW w:w="1275" w:type="dxa"/>
            <w:tcMar>
              <w:top w:w="0" w:type="dxa"/>
              <w:left w:w="108" w:type="dxa"/>
              <w:bottom w:w="0" w:type="dxa"/>
              <w:right w:w="108" w:type="dxa"/>
            </w:tcMar>
            <w:vAlign w:val="bottom"/>
          </w:tcPr>
          <w:p w14:paraId="0391F5EA"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5.6</w:t>
            </w:r>
          </w:p>
        </w:tc>
      </w:tr>
      <w:tr w:rsidR="00745D89" w:rsidRPr="002E702C" w14:paraId="2AA026E6" w14:textId="77777777" w:rsidTr="00D52926">
        <w:tc>
          <w:tcPr>
            <w:tcW w:w="3114" w:type="dxa"/>
            <w:vMerge/>
            <w:vAlign w:val="bottom"/>
          </w:tcPr>
          <w:p w14:paraId="6A4E9746"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640E39E9"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Physiotherapists</w:t>
            </w:r>
          </w:p>
        </w:tc>
        <w:tc>
          <w:tcPr>
            <w:tcW w:w="1275" w:type="dxa"/>
            <w:tcMar>
              <w:top w:w="0" w:type="dxa"/>
              <w:left w:w="108" w:type="dxa"/>
              <w:bottom w:w="0" w:type="dxa"/>
              <w:right w:w="108" w:type="dxa"/>
            </w:tcMar>
            <w:vAlign w:val="bottom"/>
          </w:tcPr>
          <w:p w14:paraId="10D0858D"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5.3</w:t>
            </w:r>
          </w:p>
        </w:tc>
      </w:tr>
      <w:tr w:rsidR="00745D89" w:rsidRPr="002E702C" w14:paraId="1E2B90BE" w14:textId="77777777" w:rsidTr="00D52926">
        <w:trPr>
          <w:trHeight w:val="70"/>
        </w:trPr>
        <w:tc>
          <w:tcPr>
            <w:tcW w:w="3114" w:type="dxa"/>
            <w:vMerge/>
            <w:vAlign w:val="bottom"/>
          </w:tcPr>
          <w:p w14:paraId="5D0113A1"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0D5AEBAC"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Registered Nurses</w:t>
            </w:r>
          </w:p>
        </w:tc>
        <w:tc>
          <w:tcPr>
            <w:tcW w:w="1275" w:type="dxa"/>
            <w:tcMar>
              <w:top w:w="0" w:type="dxa"/>
              <w:left w:w="108" w:type="dxa"/>
              <w:bottom w:w="0" w:type="dxa"/>
              <w:right w:w="108" w:type="dxa"/>
            </w:tcMar>
            <w:vAlign w:val="bottom"/>
          </w:tcPr>
          <w:p w14:paraId="740FD356"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4.6</w:t>
            </w:r>
          </w:p>
        </w:tc>
      </w:tr>
      <w:tr w:rsidR="00745D89" w:rsidRPr="002E702C" w14:paraId="2DE72EF8" w14:textId="77777777" w:rsidTr="00D52926">
        <w:tc>
          <w:tcPr>
            <w:tcW w:w="3114" w:type="dxa"/>
            <w:vMerge/>
            <w:vAlign w:val="bottom"/>
          </w:tcPr>
          <w:p w14:paraId="085C7E4D"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5F660911"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Cooks</w:t>
            </w:r>
          </w:p>
        </w:tc>
        <w:tc>
          <w:tcPr>
            <w:tcW w:w="1275" w:type="dxa"/>
            <w:tcMar>
              <w:top w:w="0" w:type="dxa"/>
              <w:left w:w="108" w:type="dxa"/>
              <w:bottom w:w="0" w:type="dxa"/>
              <w:right w:w="108" w:type="dxa"/>
            </w:tcMar>
            <w:vAlign w:val="bottom"/>
          </w:tcPr>
          <w:p w14:paraId="6876BABF"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4.3</w:t>
            </w:r>
          </w:p>
        </w:tc>
      </w:tr>
      <w:tr w:rsidR="00745D89" w:rsidRPr="002E702C" w14:paraId="5D6A1A22" w14:textId="77777777" w:rsidTr="00D52926">
        <w:tc>
          <w:tcPr>
            <w:tcW w:w="3114" w:type="dxa"/>
            <w:vMerge w:val="restart"/>
            <w:vAlign w:val="bottom"/>
          </w:tcPr>
          <w:p w14:paraId="1901A40E"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Queensland - Outback</w:t>
            </w:r>
          </w:p>
        </w:tc>
        <w:tc>
          <w:tcPr>
            <w:tcW w:w="5812" w:type="dxa"/>
            <w:tcMar>
              <w:top w:w="0" w:type="dxa"/>
              <w:left w:w="108" w:type="dxa"/>
              <w:bottom w:w="0" w:type="dxa"/>
              <w:right w:w="108" w:type="dxa"/>
            </w:tcMar>
            <w:vAlign w:val="bottom"/>
          </w:tcPr>
          <w:p w14:paraId="6EFF7D42" w14:textId="77777777" w:rsidR="00745D89" w:rsidRPr="005244FA" w:rsidRDefault="00745D89" w:rsidP="001D600D">
            <w:pPr>
              <w:spacing w:after="0" w:line="276" w:lineRule="auto"/>
              <w:rPr>
                <w:rFonts w:asciiTheme="minorHAnsi" w:hAnsiTheme="minorHAnsi" w:cstheme="minorHAnsi"/>
                <w:color w:val="000000"/>
              </w:rPr>
            </w:pPr>
            <w:r w:rsidRPr="005244FA">
              <w:rPr>
                <w:rFonts w:asciiTheme="minorHAnsi" w:hAnsiTheme="minorHAnsi" w:cstheme="minorHAnsi"/>
                <w:color w:val="000000"/>
              </w:rPr>
              <w:t>Mining Engineers</w:t>
            </w:r>
          </w:p>
        </w:tc>
        <w:tc>
          <w:tcPr>
            <w:tcW w:w="1275" w:type="dxa"/>
            <w:tcMar>
              <w:top w:w="0" w:type="dxa"/>
              <w:left w:w="108" w:type="dxa"/>
              <w:bottom w:w="0" w:type="dxa"/>
              <w:right w:w="108" w:type="dxa"/>
            </w:tcMar>
            <w:vAlign w:val="bottom"/>
          </w:tcPr>
          <w:p w14:paraId="5A753474" w14:textId="77777777" w:rsidR="00745D89" w:rsidRPr="005244FA" w:rsidRDefault="00745D89" w:rsidP="001D600D">
            <w:pPr>
              <w:spacing w:after="0" w:line="276" w:lineRule="auto"/>
              <w:rPr>
                <w:rFonts w:asciiTheme="minorHAnsi" w:hAnsiTheme="minorHAnsi" w:cstheme="minorHAnsi"/>
                <w:color w:val="000000"/>
              </w:rPr>
            </w:pPr>
            <w:r w:rsidRPr="005244FA">
              <w:rPr>
                <w:rFonts w:asciiTheme="minorHAnsi" w:hAnsiTheme="minorHAnsi" w:cstheme="minorHAnsi"/>
                <w:color w:val="000000"/>
              </w:rPr>
              <w:t>26.0</w:t>
            </w:r>
          </w:p>
        </w:tc>
      </w:tr>
      <w:tr w:rsidR="00745D89" w:rsidRPr="002E702C" w14:paraId="16B4C8D6" w14:textId="77777777" w:rsidTr="00D52926">
        <w:tc>
          <w:tcPr>
            <w:tcW w:w="3114" w:type="dxa"/>
            <w:vMerge/>
            <w:vAlign w:val="bottom"/>
          </w:tcPr>
          <w:p w14:paraId="4A797BF1"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3194B47A"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General Practitioners and Resident Medical Officers</w:t>
            </w:r>
          </w:p>
        </w:tc>
        <w:tc>
          <w:tcPr>
            <w:tcW w:w="1275" w:type="dxa"/>
            <w:tcMar>
              <w:top w:w="0" w:type="dxa"/>
              <w:left w:w="108" w:type="dxa"/>
              <w:bottom w:w="0" w:type="dxa"/>
              <w:right w:w="108" w:type="dxa"/>
            </w:tcMar>
            <w:vAlign w:val="bottom"/>
          </w:tcPr>
          <w:p w14:paraId="30DC83B0"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20.0</w:t>
            </w:r>
          </w:p>
        </w:tc>
      </w:tr>
      <w:tr w:rsidR="00745D89" w:rsidRPr="002E702C" w14:paraId="4FB9A50C" w14:textId="77777777" w:rsidTr="00D52926">
        <w:trPr>
          <w:trHeight w:val="54"/>
        </w:trPr>
        <w:tc>
          <w:tcPr>
            <w:tcW w:w="3114" w:type="dxa"/>
            <w:vMerge/>
            <w:vAlign w:val="bottom"/>
          </w:tcPr>
          <w:p w14:paraId="308981AD"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26408BB6"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Chefs</w:t>
            </w:r>
          </w:p>
        </w:tc>
        <w:tc>
          <w:tcPr>
            <w:tcW w:w="1275" w:type="dxa"/>
            <w:tcMar>
              <w:top w:w="0" w:type="dxa"/>
              <w:left w:w="108" w:type="dxa"/>
              <w:bottom w:w="0" w:type="dxa"/>
              <w:right w:w="108" w:type="dxa"/>
            </w:tcMar>
            <w:vAlign w:val="bottom"/>
          </w:tcPr>
          <w:p w14:paraId="153C91FF"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14.1</w:t>
            </w:r>
          </w:p>
        </w:tc>
      </w:tr>
      <w:tr w:rsidR="00745D89" w:rsidRPr="002E702C" w14:paraId="5DA1D301" w14:textId="77777777" w:rsidTr="00D52926">
        <w:tc>
          <w:tcPr>
            <w:tcW w:w="3114" w:type="dxa"/>
            <w:vMerge/>
            <w:vAlign w:val="bottom"/>
          </w:tcPr>
          <w:p w14:paraId="1FFDAD28"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61E88B4E" w14:textId="77777777" w:rsidR="00745D89" w:rsidRPr="005244FA" w:rsidRDefault="00745D89" w:rsidP="001D600D">
            <w:pPr>
              <w:spacing w:after="0" w:line="276" w:lineRule="auto"/>
              <w:rPr>
                <w:rFonts w:asciiTheme="minorHAnsi" w:hAnsiTheme="minorHAnsi" w:cstheme="minorHAnsi"/>
                <w:color w:val="FF0000"/>
              </w:rPr>
            </w:pPr>
            <w:r w:rsidRPr="005244FA">
              <w:rPr>
                <w:rFonts w:asciiTheme="minorHAnsi" w:hAnsiTheme="minorHAnsi" w:cstheme="minorHAnsi"/>
                <w:color w:val="000000"/>
              </w:rPr>
              <w:t>Registered Nurses</w:t>
            </w:r>
          </w:p>
        </w:tc>
        <w:tc>
          <w:tcPr>
            <w:tcW w:w="1275" w:type="dxa"/>
            <w:tcMar>
              <w:top w:w="0" w:type="dxa"/>
              <w:left w:w="108" w:type="dxa"/>
              <w:bottom w:w="0" w:type="dxa"/>
              <w:right w:w="108" w:type="dxa"/>
            </w:tcMar>
            <w:vAlign w:val="bottom"/>
          </w:tcPr>
          <w:p w14:paraId="31351CE2" w14:textId="77777777" w:rsidR="00745D89" w:rsidRPr="005244FA" w:rsidRDefault="00745D89" w:rsidP="001D600D">
            <w:pPr>
              <w:spacing w:after="0" w:line="276" w:lineRule="auto"/>
              <w:rPr>
                <w:rFonts w:asciiTheme="minorHAnsi" w:hAnsiTheme="minorHAnsi" w:cstheme="minorHAnsi"/>
                <w:color w:val="FF0000"/>
              </w:rPr>
            </w:pPr>
            <w:r w:rsidRPr="005244FA">
              <w:rPr>
                <w:rFonts w:asciiTheme="minorHAnsi" w:hAnsiTheme="minorHAnsi" w:cstheme="minorHAnsi"/>
                <w:color w:val="000000"/>
              </w:rPr>
              <w:t>10.8</w:t>
            </w:r>
          </w:p>
        </w:tc>
      </w:tr>
      <w:tr w:rsidR="00745D89" w:rsidRPr="002E702C" w14:paraId="68D73C0E" w14:textId="77777777" w:rsidTr="00D52926">
        <w:tc>
          <w:tcPr>
            <w:tcW w:w="3114" w:type="dxa"/>
            <w:vMerge/>
            <w:vAlign w:val="bottom"/>
          </w:tcPr>
          <w:p w14:paraId="2428C374"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4ADEF6CE"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Metal Fitters and Machinists</w:t>
            </w:r>
          </w:p>
        </w:tc>
        <w:tc>
          <w:tcPr>
            <w:tcW w:w="1275" w:type="dxa"/>
            <w:tcMar>
              <w:top w:w="0" w:type="dxa"/>
              <w:left w:w="108" w:type="dxa"/>
              <w:bottom w:w="0" w:type="dxa"/>
              <w:right w:w="108" w:type="dxa"/>
            </w:tcMar>
            <w:vAlign w:val="bottom"/>
          </w:tcPr>
          <w:p w14:paraId="66AF297B"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7.6</w:t>
            </w:r>
          </w:p>
        </w:tc>
      </w:tr>
      <w:tr w:rsidR="00745D89" w:rsidRPr="002E702C" w14:paraId="54F498AE" w14:textId="77777777" w:rsidTr="00D52926">
        <w:tc>
          <w:tcPr>
            <w:tcW w:w="3114" w:type="dxa"/>
            <w:vMerge/>
            <w:vAlign w:val="bottom"/>
          </w:tcPr>
          <w:p w14:paraId="2427E644"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29B977E0"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Motor Mechanics</w:t>
            </w:r>
          </w:p>
        </w:tc>
        <w:tc>
          <w:tcPr>
            <w:tcW w:w="1275" w:type="dxa"/>
            <w:tcMar>
              <w:top w:w="0" w:type="dxa"/>
              <w:left w:w="108" w:type="dxa"/>
              <w:bottom w:w="0" w:type="dxa"/>
              <w:right w:w="108" w:type="dxa"/>
            </w:tcMar>
            <w:vAlign w:val="bottom"/>
          </w:tcPr>
          <w:p w14:paraId="4B38968E"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4.9</w:t>
            </w:r>
          </w:p>
        </w:tc>
      </w:tr>
      <w:tr w:rsidR="00745D89" w:rsidRPr="002E702C" w14:paraId="6FC39AA0" w14:textId="77777777" w:rsidTr="00D52926">
        <w:tc>
          <w:tcPr>
            <w:tcW w:w="3114" w:type="dxa"/>
            <w:vMerge/>
            <w:vAlign w:val="bottom"/>
          </w:tcPr>
          <w:p w14:paraId="469235E9"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722AF84B"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Structural Steel and Welding Trades Workers</w:t>
            </w:r>
          </w:p>
        </w:tc>
        <w:tc>
          <w:tcPr>
            <w:tcW w:w="1275" w:type="dxa"/>
            <w:tcMar>
              <w:top w:w="0" w:type="dxa"/>
              <w:left w:w="108" w:type="dxa"/>
              <w:bottom w:w="0" w:type="dxa"/>
              <w:right w:w="108" w:type="dxa"/>
            </w:tcMar>
            <w:vAlign w:val="bottom"/>
          </w:tcPr>
          <w:p w14:paraId="75844E7A"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4.5</w:t>
            </w:r>
          </w:p>
        </w:tc>
      </w:tr>
      <w:tr w:rsidR="00745D89" w:rsidRPr="002E702C" w14:paraId="50779F01" w14:textId="77777777" w:rsidTr="00D52926">
        <w:tc>
          <w:tcPr>
            <w:tcW w:w="3114" w:type="dxa"/>
            <w:vMerge w:val="restart"/>
            <w:vAlign w:val="bottom"/>
          </w:tcPr>
          <w:p w14:paraId="3E0FD327"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Sunshine Coast</w:t>
            </w:r>
          </w:p>
        </w:tc>
        <w:tc>
          <w:tcPr>
            <w:tcW w:w="5812" w:type="dxa"/>
            <w:tcMar>
              <w:top w:w="0" w:type="dxa"/>
              <w:left w:w="108" w:type="dxa"/>
              <w:bottom w:w="0" w:type="dxa"/>
              <w:right w:w="108" w:type="dxa"/>
            </w:tcMar>
            <w:vAlign w:val="bottom"/>
          </w:tcPr>
          <w:p w14:paraId="00244FB8"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General Practitioners and Resident Medical Officers</w:t>
            </w:r>
          </w:p>
        </w:tc>
        <w:tc>
          <w:tcPr>
            <w:tcW w:w="1275" w:type="dxa"/>
            <w:tcMar>
              <w:top w:w="0" w:type="dxa"/>
              <w:left w:w="108" w:type="dxa"/>
              <w:bottom w:w="0" w:type="dxa"/>
              <w:right w:w="108" w:type="dxa"/>
            </w:tcMar>
            <w:vAlign w:val="bottom"/>
          </w:tcPr>
          <w:p w14:paraId="0C130370"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12.5</w:t>
            </w:r>
          </w:p>
        </w:tc>
      </w:tr>
      <w:tr w:rsidR="00745D89" w:rsidRPr="002E702C" w14:paraId="6F267BA2" w14:textId="77777777" w:rsidTr="00D52926">
        <w:tc>
          <w:tcPr>
            <w:tcW w:w="3114" w:type="dxa"/>
            <w:vMerge/>
            <w:vAlign w:val="bottom"/>
          </w:tcPr>
          <w:p w14:paraId="181BBDE0"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7B5000BB"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Enrolled and Mothercraft Nurses</w:t>
            </w:r>
          </w:p>
        </w:tc>
        <w:tc>
          <w:tcPr>
            <w:tcW w:w="1275" w:type="dxa"/>
            <w:tcMar>
              <w:top w:w="0" w:type="dxa"/>
              <w:left w:w="108" w:type="dxa"/>
              <w:bottom w:w="0" w:type="dxa"/>
              <w:right w:w="108" w:type="dxa"/>
            </w:tcMar>
            <w:vAlign w:val="bottom"/>
          </w:tcPr>
          <w:p w14:paraId="4738F547"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6.6</w:t>
            </w:r>
          </w:p>
        </w:tc>
      </w:tr>
      <w:tr w:rsidR="00745D89" w:rsidRPr="002E702C" w14:paraId="04600C22" w14:textId="77777777" w:rsidTr="00D52926">
        <w:tc>
          <w:tcPr>
            <w:tcW w:w="3114" w:type="dxa"/>
            <w:vMerge/>
            <w:vAlign w:val="bottom"/>
          </w:tcPr>
          <w:p w14:paraId="3261E3B3"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70690897"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Other Miscellaneous Technicians and Trades Workers</w:t>
            </w:r>
          </w:p>
        </w:tc>
        <w:tc>
          <w:tcPr>
            <w:tcW w:w="1275" w:type="dxa"/>
            <w:tcMar>
              <w:top w:w="0" w:type="dxa"/>
              <w:left w:w="108" w:type="dxa"/>
              <w:bottom w:w="0" w:type="dxa"/>
              <w:right w:w="108" w:type="dxa"/>
            </w:tcMar>
            <w:vAlign w:val="bottom"/>
          </w:tcPr>
          <w:p w14:paraId="087B7C66"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5.0</w:t>
            </w:r>
          </w:p>
        </w:tc>
      </w:tr>
      <w:tr w:rsidR="00745D89" w:rsidRPr="002E702C" w14:paraId="29553F50" w14:textId="77777777" w:rsidTr="00D52926">
        <w:trPr>
          <w:trHeight w:val="364"/>
        </w:trPr>
        <w:tc>
          <w:tcPr>
            <w:tcW w:w="3114" w:type="dxa"/>
            <w:vMerge/>
            <w:vAlign w:val="bottom"/>
          </w:tcPr>
          <w:p w14:paraId="73BE14DE"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5E338268"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Cooks</w:t>
            </w:r>
          </w:p>
        </w:tc>
        <w:tc>
          <w:tcPr>
            <w:tcW w:w="1275" w:type="dxa"/>
            <w:tcMar>
              <w:top w:w="0" w:type="dxa"/>
              <w:left w:w="108" w:type="dxa"/>
              <w:bottom w:w="0" w:type="dxa"/>
              <w:right w:w="108" w:type="dxa"/>
            </w:tcMar>
            <w:vAlign w:val="bottom"/>
          </w:tcPr>
          <w:p w14:paraId="791EB010"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4.3</w:t>
            </w:r>
          </w:p>
        </w:tc>
      </w:tr>
      <w:tr w:rsidR="00745D89" w:rsidRPr="002E702C" w14:paraId="7EBC3B27" w14:textId="77777777" w:rsidTr="00D52926">
        <w:tc>
          <w:tcPr>
            <w:tcW w:w="3114" w:type="dxa"/>
            <w:vMerge/>
            <w:vAlign w:val="bottom"/>
          </w:tcPr>
          <w:p w14:paraId="466AB050"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05FAB526"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Bakers and Pastrycooks</w:t>
            </w:r>
          </w:p>
        </w:tc>
        <w:tc>
          <w:tcPr>
            <w:tcW w:w="1275" w:type="dxa"/>
            <w:tcMar>
              <w:top w:w="0" w:type="dxa"/>
              <w:left w:w="108" w:type="dxa"/>
              <w:bottom w:w="0" w:type="dxa"/>
              <w:right w:w="108" w:type="dxa"/>
            </w:tcMar>
            <w:vAlign w:val="bottom"/>
          </w:tcPr>
          <w:p w14:paraId="7E041C3D"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4.3</w:t>
            </w:r>
          </w:p>
        </w:tc>
      </w:tr>
      <w:tr w:rsidR="00745D89" w:rsidRPr="002E702C" w14:paraId="68FFAA16" w14:textId="77777777" w:rsidTr="00D52926">
        <w:tc>
          <w:tcPr>
            <w:tcW w:w="3114" w:type="dxa"/>
            <w:vMerge/>
            <w:vAlign w:val="bottom"/>
          </w:tcPr>
          <w:p w14:paraId="1636560F"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3D903FE9"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Child Carers</w:t>
            </w:r>
          </w:p>
        </w:tc>
        <w:tc>
          <w:tcPr>
            <w:tcW w:w="1275" w:type="dxa"/>
            <w:tcMar>
              <w:top w:w="0" w:type="dxa"/>
              <w:left w:w="108" w:type="dxa"/>
              <w:bottom w:w="0" w:type="dxa"/>
              <w:right w:w="108" w:type="dxa"/>
            </w:tcMar>
            <w:vAlign w:val="bottom"/>
          </w:tcPr>
          <w:p w14:paraId="61F0ABE7"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4.3</w:t>
            </w:r>
          </w:p>
        </w:tc>
      </w:tr>
      <w:tr w:rsidR="00745D89" w:rsidRPr="002E702C" w14:paraId="45FF7E48" w14:textId="77777777" w:rsidTr="00D52926">
        <w:tc>
          <w:tcPr>
            <w:tcW w:w="3114" w:type="dxa"/>
            <w:vMerge/>
            <w:vAlign w:val="bottom"/>
          </w:tcPr>
          <w:p w14:paraId="332D00C9"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6083DCFC"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Medical Imaging Professionals</w:t>
            </w:r>
          </w:p>
        </w:tc>
        <w:tc>
          <w:tcPr>
            <w:tcW w:w="1275" w:type="dxa"/>
            <w:tcMar>
              <w:top w:w="0" w:type="dxa"/>
              <w:left w:w="108" w:type="dxa"/>
              <w:bottom w:w="0" w:type="dxa"/>
              <w:right w:w="108" w:type="dxa"/>
            </w:tcMar>
            <w:vAlign w:val="bottom"/>
          </w:tcPr>
          <w:p w14:paraId="3DC191B4"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4.3</w:t>
            </w:r>
          </w:p>
        </w:tc>
      </w:tr>
      <w:tr w:rsidR="00745D89" w:rsidRPr="002E702C" w14:paraId="1310BC25" w14:textId="77777777" w:rsidTr="00D52926">
        <w:tc>
          <w:tcPr>
            <w:tcW w:w="3114" w:type="dxa"/>
            <w:vMerge w:val="restart"/>
            <w:vAlign w:val="bottom"/>
          </w:tcPr>
          <w:p w14:paraId="759C6C77"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Townsville</w:t>
            </w:r>
          </w:p>
        </w:tc>
        <w:tc>
          <w:tcPr>
            <w:tcW w:w="5812" w:type="dxa"/>
            <w:tcMar>
              <w:top w:w="0" w:type="dxa"/>
              <w:left w:w="108" w:type="dxa"/>
              <w:bottom w:w="0" w:type="dxa"/>
              <w:right w:w="108" w:type="dxa"/>
            </w:tcMar>
            <w:vAlign w:val="bottom"/>
          </w:tcPr>
          <w:p w14:paraId="0CFA090B" w14:textId="77777777" w:rsidR="00745D89" w:rsidRPr="005244FA" w:rsidRDefault="00745D89" w:rsidP="001D600D">
            <w:pPr>
              <w:spacing w:after="0" w:line="276" w:lineRule="auto"/>
              <w:rPr>
                <w:rFonts w:asciiTheme="minorHAnsi" w:hAnsiTheme="minorHAnsi" w:cstheme="minorHAnsi"/>
                <w:color w:val="000000"/>
              </w:rPr>
            </w:pPr>
            <w:r w:rsidRPr="005244FA">
              <w:rPr>
                <w:rFonts w:asciiTheme="minorHAnsi" w:hAnsiTheme="minorHAnsi" w:cstheme="minorHAnsi"/>
                <w:color w:val="000000"/>
              </w:rPr>
              <w:t>Mining Engineers</w:t>
            </w:r>
          </w:p>
        </w:tc>
        <w:tc>
          <w:tcPr>
            <w:tcW w:w="1275" w:type="dxa"/>
            <w:tcMar>
              <w:top w:w="0" w:type="dxa"/>
              <w:left w:w="108" w:type="dxa"/>
              <w:bottom w:w="0" w:type="dxa"/>
              <w:right w:w="108" w:type="dxa"/>
            </w:tcMar>
            <w:vAlign w:val="bottom"/>
          </w:tcPr>
          <w:p w14:paraId="6F39AF8E" w14:textId="77777777" w:rsidR="00745D89" w:rsidRPr="005244FA" w:rsidRDefault="00745D89" w:rsidP="001D600D">
            <w:pPr>
              <w:spacing w:after="0" w:line="276" w:lineRule="auto"/>
              <w:rPr>
                <w:rFonts w:asciiTheme="minorHAnsi" w:hAnsiTheme="minorHAnsi" w:cstheme="minorHAnsi"/>
                <w:color w:val="000000"/>
              </w:rPr>
            </w:pPr>
            <w:r w:rsidRPr="005244FA">
              <w:rPr>
                <w:rFonts w:asciiTheme="minorHAnsi" w:hAnsiTheme="minorHAnsi" w:cstheme="minorHAnsi"/>
                <w:color w:val="000000"/>
              </w:rPr>
              <w:t>49.0</w:t>
            </w:r>
          </w:p>
        </w:tc>
      </w:tr>
      <w:tr w:rsidR="00745D89" w:rsidRPr="002E702C" w14:paraId="16FEBE1A" w14:textId="77777777" w:rsidTr="00D52926">
        <w:tc>
          <w:tcPr>
            <w:tcW w:w="3114" w:type="dxa"/>
            <w:vMerge/>
            <w:vAlign w:val="bottom"/>
          </w:tcPr>
          <w:p w14:paraId="040E9E1A"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3FD409F0"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Pharmacists</w:t>
            </w:r>
          </w:p>
        </w:tc>
        <w:tc>
          <w:tcPr>
            <w:tcW w:w="1275" w:type="dxa"/>
            <w:tcMar>
              <w:top w:w="0" w:type="dxa"/>
              <w:left w:w="108" w:type="dxa"/>
              <w:bottom w:w="0" w:type="dxa"/>
              <w:right w:w="108" w:type="dxa"/>
            </w:tcMar>
            <w:vAlign w:val="bottom"/>
          </w:tcPr>
          <w:p w14:paraId="448E0265"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14.1</w:t>
            </w:r>
          </w:p>
        </w:tc>
      </w:tr>
      <w:tr w:rsidR="00745D89" w:rsidRPr="002E702C" w14:paraId="542D03FF" w14:textId="77777777" w:rsidTr="00D52926">
        <w:tc>
          <w:tcPr>
            <w:tcW w:w="3114" w:type="dxa"/>
            <w:vMerge/>
            <w:vAlign w:val="bottom"/>
          </w:tcPr>
          <w:p w14:paraId="45CFA404"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49D40C9D"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Other Miscellaneous Technicians and Trades Workers</w:t>
            </w:r>
          </w:p>
        </w:tc>
        <w:tc>
          <w:tcPr>
            <w:tcW w:w="1275" w:type="dxa"/>
            <w:tcMar>
              <w:top w:w="0" w:type="dxa"/>
              <w:left w:w="108" w:type="dxa"/>
              <w:bottom w:w="0" w:type="dxa"/>
              <w:right w:w="108" w:type="dxa"/>
            </w:tcMar>
            <w:vAlign w:val="bottom"/>
          </w:tcPr>
          <w:p w14:paraId="66F4B0BC"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14.0</w:t>
            </w:r>
          </w:p>
        </w:tc>
      </w:tr>
      <w:tr w:rsidR="00745D89" w:rsidRPr="002E702C" w14:paraId="582CF989" w14:textId="77777777" w:rsidTr="00D52926">
        <w:tc>
          <w:tcPr>
            <w:tcW w:w="3114" w:type="dxa"/>
            <w:vMerge/>
            <w:vAlign w:val="bottom"/>
          </w:tcPr>
          <w:p w14:paraId="5DFF3676"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22D92B21"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Occupational Therapists</w:t>
            </w:r>
          </w:p>
        </w:tc>
        <w:tc>
          <w:tcPr>
            <w:tcW w:w="1275" w:type="dxa"/>
            <w:tcMar>
              <w:top w:w="0" w:type="dxa"/>
              <w:left w:w="108" w:type="dxa"/>
              <w:bottom w:w="0" w:type="dxa"/>
              <w:right w:w="108" w:type="dxa"/>
            </w:tcMar>
            <w:vAlign w:val="bottom"/>
          </w:tcPr>
          <w:p w14:paraId="005857CD"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12.0</w:t>
            </w:r>
          </w:p>
        </w:tc>
      </w:tr>
      <w:tr w:rsidR="00745D89" w:rsidRPr="002E702C" w14:paraId="6D1B940A" w14:textId="77777777" w:rsidTr="00D52926">
        <w:tc>
          <w:tcPr>
            <w:tcW w:w="3114" w:type="dxa"/>
            <w:vMerge/>
            <w:vAlign w:val="bottom"/>
          </w:tcPr>
          <w:p w14:paraId="506DE119"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22616CA0"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Early Childhood (Pre-primary School) Teachers</w:t>
            </w:r>
          </w:p>
        </w:tc>
        <w:tc>
          <w:tcPr>
            <w:tcW w:w="1275" w:type="dxa"/>
            <w:tcMar>
              <w:top w:w="0" w:type="dxa"/>
              <w:left w:w="108" w:type="dxa"/>
              <w:bottom w:w="0" w:type="dxa"/>
              <w:right w:w="108" w:type="dxa"/>
            </w:tcMar>
            <w:vAlign w:val="bottom"/>
          </w:tcPr>
          <w:p w14:paraId="0E910939"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12.0</w:t>
            </w:r>
          </w:p>
        </w:tc>
      </w:tr>
      <w:tr w:rsidR="00745D89" w:rsidRPr="002E702C" w14:paraId="6C9604FB" w14:textId="77777777" w:rsidTr="00D52926">
        <w:tc>
          <w:tcPr>
            <w:tcW w:w="3114" w:type="dxa"/>
            <w:vMerge/>
            <w:vAlign w:val="bottom"/>
          </w:tcPr>
          <w:p w14:paraId="560B36A6"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073C5141"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Automotive Electricians</w:t>
            </w:r>
          </w:p>
        </w:tc>
        <w:tc>
          <w:tcPr>
            <w:tcW w:w="1275" w:type="dxa"/>
            <w:tcMar>
              <w:top w:w="0" w:type="dxa"/>
              <w:left w:w="108" w:type="dxa"/>
              <w:bottom w:w="0" w:type="dxa"/>
              <w:right w:w="108" w:type="dxa"/>
            </w:tcMar>
            <w:vAlign w:val="bottom"/>
          </w:tcPr>
          <w:p w14:paraId="3005E103"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10.7</w:t>
            </w:r>
          </w:p>
        </w:tc>
      </w:tr>
      <w:tr w:rsidR="00745D89" w:rsidRPr="002E702C" w14:paraId="7419A5CC" w14:textId="77777777" w:rsidTr="00D52926">
        <w:tc>
          <w:tcPr>
            <w:tcW w:w="3114" w:type="dxa"/>
            <w:vMerge/>
            <w:vAlign w:val="bottom"/>
          </w:tcPr>
          <w:p w14:paraId="524A09AB"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7D61C1F4"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Medical Imaging Professionals</w:t>
            </w:r>
          </w:p>
        </w:tc>
        <w:tc>
          <w:tcPr>
            <w:tcW w:w="1275" w:type="dxa"/>
            <w:tcMar>
              <w:top w:w="0" w:type="dxa"/>
              <w:left w:w="108" w:type="dxa"/>
              <w:bottom w:w="0" w:type="dxa"/>
              <w:right w:w="108" w:type="dxa"/>
            </w:tcMar>
            <w:vAlign w:val="bottom"/>
          </w:tcPr>
          <w:p w14:paraId="2A5AAFDE"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10.1</w:t>
            </w:r>
          </w:p>
        </w:tc>
      </w:tr>
      <w:tr w:rsidR="00745D89" w:rsidRPr="002E702C" w14:paraId="386116F8" w14:textId="77777777" w:rsidTr="00D52926">
        <w:tc>
          <w:tcPr>
            <w:tcW w:w="3114" w:type="dxa"/>
            <w:vMerge/>
            <w:vAlign w:val="bottom"/>
          </w:tcPr>
          <w:p w14:paraId="16FA6E42"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2064AA3A"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Hotel and Motel Managers</w:t>
            </w:r>
          </w:p>
        </w:tc>
        <w:tc>
          <w:tcPr>
            <w:tcW w:w="1275" w:type="dxa"/>
            <w:tcMar>
              <w:top w:w="0" w:type="dxa"/>
              <w:left w:w="108" w:type="dxa"/>
              <w:bottom w:w="0" w:type="dxa"/>
              <w:right w:w="108" w:type="dxa"/>
            </w:tcMar>
            <w:vAlign w:val="bottom"/>
          </w:tcPr>
          <w:p w14:paraId="50E33B27"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9.0</w:t>
            </w:r>
          </w:p>
        </w:tc>
      </w:tr>
      <w:tr w:rsidR="00745D89" w:rsidRPr="002E702C" w14:paraId="14FA33C2" w14:textId="77777777" w:rsidTr="00D52926">
        <w:tc>
          <w:tcPr>
            <w:tcW w:w="3114" w:type="dxa"/>
            <w:vMerge/>
            <w:vAlign w:val="bottom"/>
          </w:tcPr>
          <w:p w14:paraId="7FBAECB9"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41188418"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Audiologists and Speech Pathologists \ Therapists</w:t>
            </w:r>
          </w:p>
        </w:tc>
        <w:tc>
          <w:tcPr>
            <w:tcW w:w="1275" w:type="dxa"/>
            <w:tcMar>
              <w:top w:w="0" w:type="dxa"/>
              <w:left w:w="108" w:type="dxa"/>
              <w:bottom w:w="0" w:type="dxa"/>
              <w:right w:w="108" w:type="dxa"/>
            </w:tcMar>
            <w:vAlign w:val="bottom"/>
          </w:tcPr>
          <w:p w14:paraId="6490758B"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8.9</w:t>
            </w:r>
          </w:p>
        </w:tc>
      </w:tr>
      <w:tr w:rsidR="00745D89" w:rsidRPr="002E702C" w14:paraId="167230C2" w14:textId="77777777" w:rsidTr="00D52926">
        <w:tc>
          <w:tcPr>
            <w:tcW w:w="3114" w:type="dxa"/>
            <w:vMerge/>
            <w:vAlign w:val="bottom"/>
          </w:tcPr>
          <w:p w14:paraId="5DA06048"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6C9A9CF2"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Chefs</w:t>
            </w:r>
          </w:p>
        </w:tc>
        <w:tc>
          <w:tcPr>
            <w:tcW w:w="1275" w:type="dxa"/>
            <w:tcMar>
              <w:top w:w="0" w:type="dxa"/>
              <w:left w:w="108" w:type="dxa"/>
              <w:bottom w:w="0" w:type="dxa"/>
              <w:right w:w="108" w:type="dxa"/>
            </w:tcMar>
            <w:vAlign w:val="bottom"/>
          </w:tcPr>
          <w:p w14:paraId="0283D43F"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7.6</w:t>
            </w:r>
          </w:p>
        </w:tc>
      </w:tr>
      <w:tr w:rsidR="00745D89" w:rsidRPr="002E702C" w14:paraId="78B3E362" w14:textId="77777777" w:rsidTr="00D52926">
        <w:tc>
          <w:tcPr>
            <w:tcW w:w="3114" w:type="dxa"/>
            <w:vMerge/>
            <w:vAlign w:val="bottom"/>
          </w:tcPr>
          <w:p w14:paraId="35C53AFA"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6A7451A6"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Physiotherapists</w:t>
            </w:r>
          </w:p>
        </w:tc>
        <w:tc>
          <w:tcPr>
            <w:tcW w:w="1275" w:type="dxa"/>
            <w:tcMar>
              <w:top w:w="0" w:type="dxa"/>
              <w:left w:w="108" w:type="dxa"/>
              <w:bottom w:w="0" w:type="dxa"/>
              <w:right w:w="108" w:type="dxa"/>
            </w:tcMar>
            <w:vAlign w:val="bottom"/>
          </w:tcPr>
          <w:p w14:paraId="0B6D3C6D"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7.2</w:t>
            </w:r>
          </w:p>
        </w:tc>
      </w:tr>
      <w:tr w:rsidR="00745D89" w:rsidRPr="002E702C" w14:paraId="5A070194" w14:textId="77777777" w:rsidTr="00D52926">
        <w:tc>
          <w:tcPr>
            <w:tcW w:w="3114" w:type="dxa"/>
            <w:vMerge/>
            <w:vAlign w:val="bottom"/>
          </w:tcPr>
          <w:p w14:paraId="282712E0"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7E0BE0FB"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General Practitioners and Resident Medical Officers</w:t>
            </w:r>
          </w:p>
        </w:tc>
        <w:tc>
          <w:tcPr>
            <w:tcW w:w="1275" w:type="dxa"/>
            <w:tcMar>
              <w:top w:w="0" w:type="dxa"/>
              <w:left w:w="108" w:type="dxa"/>
              <w:bottom w:w="0" w:type="dxa"/>
              <w:right w:w="108" w:type="dxa"/>
            </w:tcMar>
            <w:vAlign w:val="bottom"/>
          </w:tcPr>
          <w:p w14:paraId="28C2F392"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7.0</w:t>
            </w:r>
          </w:p>
        </w:tc>
      </w:tr>
      <w:tr w:rsidR="00745D89" w:rsidRPr="002E702C" w14:paraId="1BEB00EA" w14:textId="77777777" w:rsidTr="00D52926">
        <w:tc>
          <w:tcPr>
            <w:tcW w:w="3114" w:type="dxa"/>
            <w:vMerge/>
            <w:vAlign w:val="bottom"/>
          </w:tcPr>
          <w:p w14:paraId="59D466ED"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447D7BF9"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Motor Mechanics</w:t>
            </w:r>
          </w:p>
        </w:tc>
        <w:tc>
          <w:tcPr>
            <w:tcW w:w="1275" w:type="dxa"/>
            <w:tcMar>
              <w:top w:w="0" w:type="dxa"/>
              <w:left w:w="108" w:type="dxa"/>
              <w:bottom w:w="0" w:type="dxa"/>
              <w:right w:w="108" w:type="dxa"/>
            </w:tcMar>
            <w:vAlign w:val="bottom"/>
          </w:tcPr>
          <w:p w14:paraId="1D09CC30"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6.7</w:t>
            </w:r>
          </w:p>
        </w:tc>
      </w:tr>
      <w:tr w:rsidR="00745D89" w:rsidRPr="002E702C" w14:paraId="7ACE33BC" w14:textId="77777777" w:rsidTr="00D52926">
        <w:tc>
          <w:tcPr>
            <w:tcW w:w="3114" w:type="dxa"/>
            <w:vMerge/>
            <w:vAlign w:val="bottom"/>
          </w:tcPr>
          <w:p w14:paraId="218EE2AF"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019B069B"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Metal Fitters and Machinists</w:t>
            </w:r>
          </w:p>
        </w:tc>
        <w:tc>
          <w:tcPr>
            <w:tcW w:w="1275" w:type="dxa"/>
            <w:tcMar>
              <w:top w:w="0" w:type="dxa"/>
              <w:left w:w="108" w:type="dxa"/>
              <w:bottom w:w="0" w:type="dxa"/>
              <w:right w:w="108" w:type="dxa"/>
            </w:tcMar>
            <w:vAlign w:val="bottom"/>
          </w:tcPr>
          <w:p w14:paraId="3359102C"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5.0</w:t>
            </w:r>
          </w:p>
        </w:tc>
      </w:tr>
      <w:tr w:rsidR="00745D89" w:rsidRPr="002E702C" w14:paraId="5E5B13A8" w14:textId="77777777" w:rsidTr="00D52926">
        <w:tc>
          <w:tcPr>
            <w:tcW w:w="3114" w:type="dxa"/>
            <w:vMerge/>
            <w:vAlign w:val="bottom"/>
          </w:tcPr>
          <w:p w14:paraId="53A3B123"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49CF7B48"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Dental Assistants</w:t>
            </w:r>
          </w:p>
        </w:tc>
        <w:tc>
          <w:tcPr>
            <w:tcW w:w="1275" w:type="dxa"/>
            <w:tcMar>
              <w:top w:w="0" w:type="dxa"/>
              <w:left w:w="108" w:type="dxa"/>
              <w:bottom w:w="0" w:type="dxa"/>
              <w:right w:w="108" w:type="dxa"/>
            </w:tcMar>
            <w:vAlign w:val="bottom"/>
          </w:tcPr>
          <w:p w14:paraId="37B964C1"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5.0</w:t>
            </w:r>
          </w:p>
        </w:tc>
      </w:tr>
      <w:tr w:rsidR="00745D89" w:rsidRPr="002E702C" w14:paraId="3BDEFFE8" w14:textId="77777777" w:rsidTr="00D52926">
        <w:tc>
          <w:tcPr>
            <w:tcW w:w="3114" w:type="dxa"/>
            <w:vMerge/>
            <w:vAlign w:val="bottom"/>
          </w:tcPr>
          <w:p w14:paraId="670E022C"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1F7652A3"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Drillers, Miners and Shot Firers</w:t>
            </w:r>
          </w:p>
        </w:tc>
        <w:tc>
          <w:tcPr>
            <w:tcW w:w="1275" w:type="dxa"/>
            <w:tcMar>
              <w:top w:w="0" w:type="dxa"/>
              <w:left w:w="108" w:type="dxa"/>
              <w:bottom w:w="0" w:type="dxa"/>
              <w:right w:w="108" w:type="dxa"/>
            </w:tcMar>
            <w:vAlign w:val="bottom"/>
          </w:tcPr>
          <w:p w14:paraId="194D0C56"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4.5</w:t>
            </w:r>
          </w:p>
        </w:tc>
      </w:tr>
      <w:tr w:rsidR="00745D89" w:rsidRPr="002E702C" w14:paraId="36976FCE" w14:textId="77777777" w:rsidTr="00D52926">
        <w:tc>
          <w:tcPr>
            <w:tcW w:w="3114" w:type="dxa"/>
            <w:vMerge/>
            <w:vAlign w:val="bottom"/>
          </w:tcPr>
          <w:p w14:paraId="750C37C0"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70C3C419"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Earthmoving Plant Operators</w:t>
            </w:r>
          </w:p>
        </w:tc>
        <w:tc>
          <w:tcPr>
            <w:tcW w:w="1275" w:type="dxa"/>
            <w:tcMar>
              <w:top w:w="0" w:type="dxa"/>
              <w:left w:w="108" w:type="dxa"/>
              <w:bottom w:w="0" w:type="dxa"/>
              <w:right w:w="108" w:type="dxa"/>
            </w:tcMar>
            <w:vAlign w:val="bottom"/>
          </w:tcPr>
          <w:p w14:paraId="2146DCF5"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4.4</w:t>
            </w:r>
          </w:p>
        </w:tc>
      </w:tr>
      <w:tr w:rsidR="00745D89" w:rsidRPr="002E702C" w14:paraId="6AE9C0FC" w14:textId="77777777" w:rsidTr="00D52926">
        <w:tc>
          <w:tcPr>
            <w:tcW w:w="3114" w:type="dxa"/>
            <w:vMerge/>
            <w:vAlign w:val="bottom"/>
          </w:tcPr>
          <w:p w14:paraId="6AA912A4"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733D117D"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Registered Nurses</w:t>
            </w:r>
          </w:p>
        </w:tc>
        <w:tc>
          <w:tcPr>
            <w:tcW w:w="1275" w:type="dxa"/>
            <w:tcMar>
              <w:top w:w="0" w:type="dxa"/>
              <w:left w:w="108" w:type="dxa"/>
              <w:bottom w:w="0" w:type="dxa"/>
              <w:right w:w="108" w:type="dxa"/>
            </w:tcMar>
            <w:vAlign w:val="bottom"/>
          </w:tcPr>
          <w:p w14:paraId="08D4E88B"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4.4</w:t>
            </w:r>
          </w:p>
        </w:tc>
      </w:tr>
      <w:tr w:rsidR="00745D89" w:rsidRPr="002E702C" w14:paraId="7E68D9F6" w14:textId="77777777" w:rsidTr="00D52926">
        <w:tc>
          <w:tcPr>
            <w:tcW w:w="3114" w:type="dxa"/>
            <w:vMerge/>
            <w:vAlign w:val="bottom"/>
          </w:tcPr>
          <w:p w14:paraId="249D6EFF"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46B7F265"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Cooks</w:t>
            </w:r>
          </w:p>
        </w:tc>
        <w:tc>
          <w:tcPr>
            <w:tcW w:w="1275" w:type="dxa"/>
            <w:tcMar>
              <w:top w:w="0" w:type="dxa"/>
              <w:left w:w="108" w:type="dxa"/>
              <w:bottom w:w="0" w:type="dxa"/>
              <w:right w:w="108" w:type="dxa"/>
            </w:tcMar>
            <w:vAlign w:val="bottom"/>
          </w:tcPr>
          <w:p w14:paraId="19DAEAA7"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4.2</w:t>
            </w:r>
          </w:p>
        </w:tc>
      </w:tr>
      <w:tr w:rsidR="00745D89" w:rsidRPr="002E702C" w14:paraId="54B7A0EA" w14:textId="77777777" w:rsidTr="00D52926">
        <w:tc>
          <w:tcPr>
            <w:tcW w:w="3114" w:type="dxa"/>
            <w:vMerge w:val="restart"/>
            <w:vAlign w:val="bottom"/>
          </w:tcPr>
          <w:p w14:paraId="177EB5A5"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Wide Bay</w:t>
            </w:r>
          </w:p>
        </w:tc>
        <w:tc>
          <w:tcPr>
            <w:tcW w:w="5812" w:type="dxa"/>
            <w:tcMar>
              <w:top w:w="0" w:type="dxa"/>
              <w:left w:w="108" w:type="dxa"/>
              <w:bottom w:w="0" w:type="dxa"/>
              <w:right w:w="108" w:type="dxa"/>
            </w:tcMar>
            <w:vAlign w:val="bottom"/>
          </w:tcPr>
          <w:p w14:paraId="730B3768"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Occupational Therapists</w:t>
            </w:r>
          </w:p>
        </w:tc>
        <w:tc>
          <w:tcPr>
            <w:tcW w:w="1275" w:type="dxa"/>
            <w:tcMar>
              <w:top w:w="0" w:type="dxa"/>
              <w:left w:w="108" w:type="dxa"/>
              <w:bottom w:w="0" w:type="dxa"/>
              <w:right w:w="108" w:type="dxa"/>
            </w:tcMar>
            <w:vAlign w:val="bottom"/>
          </w:tcPr>
          <w:p w14:paraId="10598107"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8.8</w:t>
            </w:r>
          </w:p>
        </w:tc>
      </w:tr>
      <w:tr w:rsidR="00745D89" w:rsidRPr="002E702C" w14:paraId="1E3441F8" w14:textId="77777777" w:rsidTr="00D52926">
        <w:tc>
          <w:tcPr>
            <w:tcW w:w="3114" w:type="dxa"/>
            <w:vMerge/>
            <w:vAlign w:val="bottom"/>
          </w:tcPr>
          <w:p w14:paraId="23A513C4"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0EF4091E"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Chefs</w:t>
            </w:r>
          </w:p>
        </w:tc>
        <w:tc>
          <w:tcPr>
            <w:tcW w:w="1275" w:type="dxa"/>
            <w:tcMar>
              <w:top w:w="0" w:type="dxa"/>
              <w:left w:w="108" w:type="dxa"/>
              <w:bottom w:w="0" w:type="dxa"/>
              <w:right w:w="108" w:type="dxa"/>
            </w:tcMar>
            <w:vAlign w:val="bottom"/>
          </w:tcPr>
          <w:p w14:paraId="430E7F3E"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8.1</w:t>
            </w:r>
          </w:p>
        </w:tc>
      </w:tr>
      <w:tr w:rsidR="00745D89" w:rsidRPr="002E702C" w14:paraId="469C6A0E" w14:textId="77777777" w:rsidTr="00D52926">
        <w:tc>
          <w:tcPr>
            <w:tcW w:w="3114" w:type="dxa"/>
            <w:vMerge/>
            <w:vAlign w:val="bottom"/>
          </w:tcPr>
          <w:p w14:paraId="55D395C4"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312575C4"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Medical Imaging Professionals</w:t>
            </w:r>
          </w:p>
        </w:tc>
        <w:tc>
          <w:tcPr>
            <w:tcW w:w="1275" w:type="dxa"/>
            <w:tcMar>
              <w:top w:w="0" w:type="dxa"/>
              <w:left w:w="108" w:type="dxa"/>
              <w:bottom w:w="0" w:type="dxa"/>
              <w:right w:w="108" w:type="dxa"/>
            </w:tcMar>
            <w:vAlign w:val="bottom"/>
          </w:tcPr>
          <w:p w14:paraId="0523B9D2"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6.8</w:t>
            </w:r>
          </w:p>
        </w:tc>
      </w:tr>
      <w:tr w:rsidR="00745D89" w:rsidRPr="002E702C" w14:paraId="41595C57" w14:textId="77777777" w:rsidTr="00D52926">
        <w:tc>
          <w:tcPr>
            <w:tcW w:w="3114" w:type="dxa"/>
            <w:vMerge/>
            <w:vAlign w:val="bottom"/>
          </w:tcPr>
          <w:p w14:paraId="799D80D6"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2A648535"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Civil Engineering Professionals</w:t>
            </w:r>
          </w:p>
        </w:tc>
        <w:tc>
          <w:tcPr>
            <w:tcW w:w="1275" w:type="dxa"/>
            <w:tcMar>
              <w:top w:w="0" w:type="dxa"/>
              <w:left w:w="108" w:type="dxa"/>
              <w:bottom w:w="0" w:type="dxa"/>
              <w:right w:w="108" w:type="dxa"/>
            </w:tcMar>
            <w:vAlign w:val="bottom"/>
          </w:tcPr>
          <w:p w14:paraId="6D5718A5"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6.8</w:t>
            </w:r>
          </w:p>
        </w:tc>
      </w:tr>
      <w:tr w:rsidR="00745D89" w:rsidRPr="002E702C" w14:paraId="3D929187" w14:textId="77777777" w:rsidTr="00D52926">
        <w:tc>
          <w:tcPr>
            <w:tcW w:w="3114" w:type="dxa"/>
            <w:vMerge/>
            <w:vAlign w:val="bottom"/>
          </w:tcPr>
          <w:p w14:paraId="1C384CC0"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36E51EBE"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Physiotherapists</w:t>
            </w:r>
          </w:p>
        </w:tc>
        <w:tc>
          <w:tcPr>
            <w:tcW w:w="1275" w:type="dxa"/>
            <w:tcMar>
              <w:top w:w="0" w:type="dxa"/>
              <w:left w:w="108" w:type="dxa"/>
              <w:bottom w:w="0" w:type="dxa"/>
              <w:right w:w="108" w:type="dxa"/>
            </w:tcMar>
            <w:vAlign w:val="bottom"/>
          </w:tcPr>
          <w:p w14:paraId="0ED93352"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4.8</w:t>
            </w:r>
          </w:p>
        </w:tc>
      </w:tr>
      <w:tr w:rsidR="00745D89" w:rsidRPr="002E702C" w14:paraId="77DE8E86" w14:textId="77777777" w:rsidTr="00D52926">
        <w:tc>
          <w:tcPr>
            <w:tcW w:w="3114" w:type="dxa"/>
            <w:vMerge/>
            <w:vAlign w:val="bottom"/>
          </w:tcPr>
          <w:p w14:paraId="3AE5BF7C"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1AEFD0EA"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General Practitioners and Resident Medical Officers</w:t>
            </w:r>
          </w:p>
        </w:tc>
        <w:tc>
          <w:tcPr>
            <w:tcW w:w="1275" w:type="dxa"/>
            <w:tcMar>
              <w:top w:w="0" w:type="dxa"/>
              <w:left w:w="108" w:type="dxa"/>
              <w:bottom w:w="0" w:type="dxa"/>
              <w:right w:w="108" w:type="dxa"/>
            </w:tcMar>
            <w:vAlign w:val="bottom"/>
          </w:tcPr>
          <w:p w14:paraId="7D2E64D1"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4.7</w:t>
            </w:r>
          </w:p>
        </w:tc>
      </w:tr>
      <w:tr w:rsidR="00745D89" w:rsidRPr="002E702C" w14:paraId="44EE9F4C" w14:textId="77777777" w:rsidTr="00D52926">
        <w:tc>
          <w:tcPr>
            <w:tcW w:w="3114" w:type="dxa"/>
            <w:vMerge/>
            <w:vAlign w:val="bottom"/>
          </w:tcPr>
          <w:p w14:paraId="300E9A66"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3B460E4D"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Pharmacists</w:t>
            </w:r>
          </w:p>
        </w:tc>
        <w:tc>
          <w:tcPr>
            <w:tcW w:w="1275" w:type="dxa"/>
            <w:tcMar>
              <w:top w:w="0" w:type="dxa"/>
              <w:left w:w="108" w:type="dxa"/>
              <w:bottom w:w="0" w:type="dxa"/>
              <w:right w:w="108" w:type="dxa"/>
            </w:tcMar>
            <w:vAlign w:val="bottom"/>
          </w:tcPr>
          <w:p w14:paraId="099F723F"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4.7</w:t>
            </w:r>
          </w:p>
        </w:tc>
      </w:tr>
      <w:tr w:rsidR="00745D89" w:rsidRPr="002E702C" w14:paraId="6E7C152A" w14:textId="77777777" w:rsidTr="00D52926">
        <w:tc>
          <w:tcPr>
            <w:tcW w:w="3114" w:type="dxa"/>
            <w:vMerge/>
            <w:vAlign w:val="bottom"/>
          </w:tcPr>
          <w:p w14:paraId="1161FA3C"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76C9782E"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Cooks</w:t>
            </w:r>
          </w:p>
        </w:tc>
        <w:tc>
          <w:tcPr>
            <w:tcW w:w="1275" w:type="dxa"/>
            <w:tcMar>
              <w:top w:w="0" w:type="dxa"/>
              <w:left w:w="108" w:type="dxa"/>
              <w:bottom w:w="0" w:type="dxa"/>
              <w:right w:w="108" w:type="dxa"/>
            </w:tcMar>
            <w:vAlign w:val="bottom"/>
          </w:tcPr>
          <w:p w14:paraId="2A14793E"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4.2</w:t>
            </w:r>
          </w:p>
        </w:tc>
      </w:tr>
      <w:tr w:rsidR="00745D89" w:rsidRPr="002E702C" w14:paraId="3D5725BE" w14:textId="77777777" w:rsidTr="00D52926">
        <w:tc>
          <w:tcPr>
            <w:tcW w:w="3114" w:type="dxa"/>
            <w:vMerge/>
            <w:vAlign w:val="bottom"/>
          </w:tcPr>
          <w:p w14:paraId="2944DDB3" w14:textId="77777777" w:rsidR="00745D89" w:rsidRPr="002E702C" w:rsidRDefault="00745D89" w:rsidP="001D600D">
            <w:pPr>
              <w:spacing w:after="0" w:line="276" w:lineRule="auto"/>
              <w:rPr>
                <w:rFonts w:asciiTheme="minorHAnsi" w:hAnsiTheme="minorHAnsi" w:cstheme="minorHAnsi"/>
                <w:color w:val="000000"/>
              </w:rPr>
            </w:pPr>
          </w:p>
        </w:tc>
        <w:tc>
          <w:tcPr>
            <w:tcW w:w="5812" w:type="dxa"/>
            <w:tcMar>
              <w:top w:w="0" w:type="dxa"/>
              <w:left w:w="108" w:type="dxa"/>
              <w:bottom w:w="0" w:type="dxa"/>
              <w:right w:w="108" w:type="dxa"/>
            </w:tcMar>
            <w:vAlign w:val="bottom"/>
          </w:tcPr>
          <w:p w14:paraId="51F9F62A"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Early Childhood (Pre-primary School) Teachers</w:t>
            </w:r>
          </w:p>
        </w:tc>
        <w:tc>
          <w:tcPr>
            <w:tcW w:w="1275" w:type="dxa"/>
            <w:tcMar>
              <w:top w:w="0" w:type="dxa"/>
              <w:left w:w="108" w:type="dxa"/>
              <w:bottom w:w="0" w:type="dxa"/>
              <w:right w:w="108" w:type="dxa"/>
            </w:tcMar>
            <w:vAlign w:val="bottom"/>
          </w:tcPr>
          <w:p w14:paraId="7D6596CD"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4.1</w:t>
            </w:r>
          </w:p>
        </w:tc>
      </w:tr>
    </w:tbl>
    <w:p w14:paraId="534FB9D2" w14:textId="507E32B7" w:rsidR="00745D89" w:rsidRPr="002E702C" w:rsidRDefault="00745D89" w:rsidP="00745D89">
      <w:pPr>
        <w:pStyle w:val="Heading5"/>
        <w:rPr>
          <w:rFonts w:asciiTheme="minorHAnsi" w:hAnsiTheme="minorHAnsi" w:cstheme="minorHAnsi"/>
          <w:b w:val="0"/>
          <w:bCs w:val="0"/>
          <w:sz w:val="16"/>
          <w:szCs w:val="16"/>
        </w:rPr>
      </w:pPr>
      <w:r w:rsidRPr="002E702C">
        <w:rPr>
          <w:rFonts w:asciiTheme="minorHAnsi" w:hAnsiTheme="minorHAnsi" w:cstheme="minorHAnsi"/>
          <w:b w:val="0"/>
          <w:bCs w:val="0"/>
          <w:sz w:val="16"/>
          <w:szCs w:val="16"/>
        </w:rPr>
        <w:t>*No occupations in the Toowoomba SA4 region had at least 10 job vacancies per month (on average) and a vacancy rate of at least 4 per cent – Earthmoving Plant Operators were the closest occupation to meeting these two criteria.</w:t>
      </w:r>
    </w:p>
    <w:p w14:paraId="3498984A" w14:textId="77777777" w:rsidR="00745D89" w:rsidRPr="002E702C" w:rsidRDefault="00745D89" w:rsidP="00745D89">
      <w:pPr>
        <w:pStyle w:val="Heading5"/>
        <w:rPr>
          <w:rFonts w:asciiTheme="minorHAnsi" w:hAnsiTheme="minorHAnsi" w:cstheme="minorHAnsi"/>
        </w:rPr>
      </w:pPr>
    </w:p>
    <w:p w14:paraId="5D17110B" w14:textId="77777777" w:rsidR="00745D89" w:rsidRPr="002E702C" w:rsidRDefault="00745D89" w:rsidP="00745D89">
      <w:pPr>
        <w:pStyle w:val="Heading5"/>
        <w:rPr>
          <w:rFonts w:asciiTheme="minorHAnsi" w:hAnsiTheme="minorHAnsi" w:cstheme="minorHAnsi"/>
        </w:rPr>
      </w:pPr>
    </w:p>
    <w:p w14:paraId="2FA1B489" w14:textId="77777777" w:rsidR="00302981" w:rsidRDefault="00302981" w:rsidP="00745D89">
      <w:pPr>
        <w:pStyle w:val="Heading5"/>
        <w:rPr>
          <w:rFonts w:asciiTheme="minorHAnsi" w:hAnsiTheme="minorHAnsi" w:cstheme="minorHAnsi"/>
        </w:rPr>
      </w:pPr>
      <w:r>
        <w:rPr>
          <w:rFonts w:asciiTheme="minorHAnsi" w:hAnsiTheme="minorHAnsi" w:cstheme="minorHAnsi"/>
        </w:rPr>
        <w:br w:type="page"/>
      </w:r>
    </w:p>
    <w:p w14:paraId="58F5BBBF" w14:textId="4DA7156D" w:rsidR="00745D89" w:rsidRPr="002E702C" w:rsidRDefault="00745D89" w:rsidP="00745D89">
      <w:pPr>
        <w:pStyle w:val="Heading5"/>
        <w:rPr>
          <w:rFonts w:asciiTheme="minorHAnsi" w:hAnsiTheme="minorHAnsi" w:cstheme="minorHAnsi"/>
        </w:rPr>
      </w:pPr>
      <w:r w:rsidRPr="002E702C">
        <w:rPr>
          <w:rFonts w:asciiTheme="minorHAnsi" w:hAnsiTheme="minorHAnsi" w:cstheme="minorHAnsi"/>
        </w:rPr>
        <w:lastRenderedPageBreak/>
        <w:t xml:space="preserve">Table A5: Top regional South Australia </w:t>
      </w:r>
      <w:r w:rsidR="0064373F">
        <w:rPr>
          <w:rFonts w:asciiTheme="minorHAnsi" w:hAnsiTheme="minorHAnsi" w:cstheme="minorHAnsi"/>
        </w:rPr>
        <w:t>IVI vacancy</w:t>
      </w:r>
      <w:r w:rsidRPr="002E702C">
        <w:rPr>
          <w:rFonts w:asciiTheme="minorHAnsi" w:hAnsiTheme="minorHAnsi" w:cstheme="minorHAnsi"/>
        </w:rPr>
        <w:t xml:space="preserve"> rat</w:t>
      </w:r>
      <w:r w:rsidR="00315611">
        <w:rPr>
          <w:rFonts w:asciiTheme="minorHAnsi" w:hAnsiTheme="minorHAnsi" w:cstheme="minorHAnsi"/>
        </w:rPr>
        <w:t>io</w:t>
      </w:r>
      <w:r w:rsidRPr="002E702C">
        <w:rPr>
          <w:rFonts w:asciiTheme="minorHAnsi" w:hAnsiTheme="minorHAnsi" w:cstheme="minorHAnsi"/>
        </w:rPr>
        <w:t>s (</w:t>
      </w:r>
      <w:r w:rsidR="00AA78A0">
        <w:rPr>
          <w:rFonts w:asciiTheme="minorHAnsi" w:hAnsiTheme="minorHAnsi" w:cstheme="minorHAnsi"/>
        </w:rPr>
        <w:t>IVI job</w:t>
      </w:r>
      <w:r w:rsidR="002A1C3A" w:rsidRPr="002E702C">
        <w:rPr>
          <w:rFonts w:asciiTheme="minorHAnsi" w:hAnsiTheme="minorHAnsi" w:cstheme="minorHAnsi"/>
        </w:rPr>
        <w:t xml:space="preserve"> ad</w:t>
      </w:r>
      <w:r w:rsidR="002A1C3A">
        <w:rPr>
          <w:rFonts w:asciiTheme="minorHAnsi" w:hAnsiTheme="minorHAnsi" w:cstheme="minorHAnsi"/>
        </w:rPr>
        <w:t>vertisement</w:t>
      </w:r>
      <w:r w:rsidR="002A1C3A" w:rsidRPr="002E702C">
        <w:rPr>
          <w:rFonts w:asciiTheme="minorHAnsi" w:hAnsiTheme="minorHAnsi" w:cstheme="minorHAnsi"/>
        </w:rPr>
        <w:t xml:space="preserve">s </w:t>
      </w:r>
      <w:r w:rsidRPr="002E702C">
        <w:rPr>
          <w:rFonts w:asciiTheme="minorHAnsi" w:hAnsiTheme="minorHAnsi" w:cstheme="minorHAnsi"/>
        </w:rPr>
        <w:t xml:space="preserve">as a proportion of employment), for occupations in shortage on the 2022 SPL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6095"/>
        <w:gridCol w:w="1400"/>
      </w:tblGrid>
      <w:tr w:rsidR="00745D89" w:rsidRPr="002E702C" w14:paraId="5637EDD6" w14:textId="77777777" w:rsidTr="00502054">
        <w:tc>
          <w:tcPr>
            <w:tcW w:w="3114" w:type="dxa"/>
            <w:shd w:val="clear" w:color="auto" w:fill="441170" w:themeFill="text2"/>
          </w:tcPr>
          <w:p w14:paraId="663065AD" w14:textId="61CC6994" w:rsidR="00745D89" w:rsidRPr="002E702C" w:rsidRDefault="00745D89" w:rsidP="001D600D">
            <w:pPr>
              <w:spacing w:after="0" w:line="276" w:lineRule="auto"/>
              <w:rPr>
                <w:rFonts w:asciiTheme="minorHAnsi" w:hAnsiTheme="minorHAnsi" w:cstheme="minorHAnsi"/>
                <w:b/>
                <w:bCs/>
                <w:color w:val="FFFFFF" w:themeColor="background1"/>
              </w:rPr>
            </w:pPr>
            <w:r w:rsidRPr="002E702C">
              <w:rPr>
                <w:rFonts w:asciiTheme="minorHAnsi" w:hAnsiTheme="minorHAnsi" w:cstheme="minorHAnsi"/>
                <w:b/>
                <w:bCs/>
                <w:color w:val="FFFFFF" w:themeColor="background1"/>
              </w:rPr>
              <w:t>S</w:t>
            </w:r>
            <w:r w:rsidR="00172136">
              <w:rPr>
                <w:rFonts w:asciiTheme="minorHAnsi" w:hAnsiTheme="minorHAnsi" w:cstheme="minorHAnsi"/>
                <w:b/>
                <w:bCs/>
                <w:color w:val="FFFFFF" w:themeColor="background1"/>
              </w:rPr>
              <w:t xml:space="preserve">outh </w:t>
            </w:r>
            <w:r w:rsidRPr="002E702C">
              <w:rPr>
                <w:rFonts w:asciiTheme="minorHAnsi" w:hAnsiTheme="minorHAnsi" w:cstheme="minorHAnsi"/>
                <w:b/>
                <w:bCs/>
                <w:color w:val="FFFFFF" w:themeColor="background1"/>
              </w:rPr>
              <w:t>A</w:t>
            </w:r>
            <w:r w:rsidR="00172136">
              <w:rPr>
                <w:rFonts w:asciiTheme="minorHAnsi" w:hAnsiTheme="minorHAnsi" w:cstheme="minorHAnsi"/>
                <w:b/>
                <w:bCs/>
                <w:color w:val="FFFFFF" w:themeColor="background1"/>
              </w:rPr>
              <w:t>ustralia</w:t>
            </w:r>
            <w:r w:rsidRPr="002E702C">
              <w:rPr>
                <w:rFonts w:asciiTheme="minorHAnsi" w:hAnsiTheme="minorHAnsi" w:cstheme="minorHAnsi"/>
                <w:b/>
                <w:bCs/>
                <w:color w:val="FFFFFF" w:themeColor="background1"/>
              </w:rPr>
              <w:t xml:space="preserve"> SA4 Region</w:t>
            </w:r>
          </w:p>
        </w:tc>
        <w:tc>
          <w:tcPr>
            <w:tcW w:w="6095" w:type="dxa"/>
            <w:shd w:val="clear" w:color="auto" w:fill="441170" w:themeFill="text2"/>
            <w:tcMar>
              <w:top w:w="0" w:type="dxa"/>
              <w:left w:w="108" w:type="dxa"/>
              <w:bottom w:w="0" w:type="dxa"/>
              <w:right w:w="108" w:type="dxa"/>
            </w:tcMar>
            <w:hideMark/>
          </w:tcPr>
          <w:p w14:paraId="69B98F23" w14:textId="77777777" w:rsidR="00745D89" w:rsidRPr="002E702C" w:rsidRDefault="00745D89" w:rsidP="001D600D">
            <w:pPr>
              <w:spacing w:after="0" w:line="276" w:lineRule="auto"/>
              <w:rPr>
                <w:rFonts w:asciiTheme="minorHAnsi" w:hAnsiTheme="minorHAnsi" w:cstheme="minorHAnsi"/>
                <w:b/>
                <w:bCs/>
                <w:color w:val="FFFFFF" w:themeColor="background1"/>
              </w:rPr>
            </w:pPr>
            <w:r w:rsidRPr="002E702C">
              <w:rPr>
                <w:rFonts w:asciiTheme="minorHAnsi" w:hAnsiTheme="minorHAnsi" w:cstheme="minorHAnsi"/>
                <w:b/>
                <w:bCs/>
                <w:color w:val="FFFFFF" w:themeColor="background1"/>
              </w:rPr>
              <w:t xml:space="preserve">Occupations </w:t>
            </w:r>
          </w:p>
        </w:tc>
        <w:tc>
          <w:tcPr>
            <w:tcW w:w="1400" w:type="dxa"/>
            <w:shd w:val="clear" w:color="auto" w:fill="441170" w:themeFill="text2"/>
            <w:tcMar>
              <w:top w:w="0" w:type="dxa"/>
              <w:left w:w="108" w:type="dxa"/>
              <w:bottom w:w="0" w:type="dxa"/>
              <w:right w:w="108" w:type="dxa"/>
            </w:tcMar>
            <w:hideMark/>
          </w:tcPr>
          <w:p w14:paraId="0EB52422" w14:textId="5DAEAF58" w:rsidR="00745D89" w:rsidRPr="002E702C" w:rsidRDefault="0064373F" w:rsidP="001D600D">
            <w:pPr>
              <w:spacing w:after="0" w:line="276" w:lineRule="auto"/>
              <w:rPr>
                <w:rFonts w:asciiTheme="minorHAnsi" w:hAnsiTheme="minorHAnsi" w:cstheme="minorHAnsi"/>
                <w:b/>
                <w:bCs/>
                <w:color w:val="FFFFFF" w:themeColor="background1"/>
              </w:rPr>
            </w:pPr>
            <w:r>
              <w:rPr>
                <w:rFonts w:asciiTheme="minorHAnsi" w:hAnsiTheme="minorHAnsi" w:cstheme="minorHAnsi"/>
                <w:b/>
                <w:bCs/>
                <w:color w:val="FFFFFF"/>
              </w:rPr>
              <w:t>IVI vacancy</w:t>
            </w:r>
            <w:r w:rsidR="00745D89">
              <w:rPr>
                <w:rFonts w:asciiTheme="minorHAnsi" w:hAnsiTheme="minorHAnsi" w:cstheme="minorHAnsi"/>
                <w:b/>
                <w:bCs/>
                <w:color w:val="FFFFFF"/>
              </w:rPr>
              <w:t xml:space="preserve"> </w:t>
            </w:r>
            <w:r w:rsidR="00502054">
              <w:rPr>
                <w:rFonts w:asciiTheme="minorHAnsi" w:hAnsiTheme="minorHAnsi" w:cstheme="minorHAnsi"/>
                <w:b/>
                <w:bCs/>
                <w:color w:val="FFFFFF"/>
              </w:rPr>
              <w:t>r</w:t>
            </w:r>
            <w:r w:rsidR="00745D89">
              <w:rPr>
                <w:rFonts w:asciiTheme="minorHAnsi" w:hAnsiTheme="minorHAnsi" w:cstheme="minorHAnsi"/>
                <w:b/>
                <w:bCs/>
                <w:color w:val="FFFFFF"/>
              </w:rPr>
              <w:t>atio</w:t>
            </w:r>
            <w:r w:rsidR="00745D89" w:rsidRPr="002E702C">
              <w:rPr>
                <w:rFonts w:asciiTheme="minorHAnsi" w:hAnsiTheme="minorHAnsi" w:cstheme="minorHAnsi"/>
                <w:b/>
                <w:bCs/>
                <w:color w:val="FFFFFF"/>
              </w:rPr>
              <w:t xml:space="preserve"> (%)</w:t>
            </w:r>
          </w:p>
        </w:tc>
      </w:tr>
      <w:tr w:rsidR="00745D89" w:rsidRPr="002E702C" w14:paraId="1AFDA8DB" w14:textId="77777777" w:rsidTr="00502054">
        <w:tc>
          <w:tcPr>
            <w:tcW w:w="3114" w:type="dxa"/>
            <w:vAlign w:val="bottom"/>
          </w:tcPr>
          <w:p w14:paraId="3AAC2181"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Barossa - Yorke - Mid North</w:t>
            </w:r>
          </w:p>
        </w:tc>
        <w:tc>
          <w:tcPr>
            <w:tcW w:w="6095" w:type="dxa"/>
            <w:tcMar>
              <w:top w:w="0" w:type="dxa"/>
              <w:left w:w="108" w:type="dxa"/>
              <w:bottom w:w="0" w:type="dxa"/>
              <w:right w:w="108" w:type="dxa"/>
            </w:tcMar>
            <w:vAlign w:val="bottom"/>
            <w:hideMark/>
          </w:tcPr>
          <w:p w14:paraId="788E27E1"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General Practitioners and Resident Medical Officers</w:t>
            </w:r>
          </w:p>
        </w:tc>
        <w:tc>
          <w:tcPr>
            <w:tcW w:w="1400" w:type="dxa"/>
            <w:tcMar>
              <w:top w:w="0" w:type="dxa"/>
              <w:left w:w="108" w:type="dxa"/>
              <w:bottom w:w="0" w:type="dxa"/>
              <w:right w:w="108" w:type="dxa"/>
            </w:tcMar>
            <w:vAlign w:val="bottom"/>
            <w:hideMark/>
          </w:tcPr>
          <w:p w14:paraId="009CD0AA"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9.4</w:t>
            </w:r>
          </w:p>
        </w:tc>
      </w:tr>
      <w:tr w:rsidR="00745D89" w:rsidRPr="002E702C" w14:paraId="3A729A88" w14:textId="77777777" w:rsidTr="00502054">
        <w:tc>
          <w:tcPr>
            <w:tcW w:w="3114" w:type="dxa"/>
            <w:vAlign w:val="bottom"/>
          </w:tcPr>
          <w:p w14:paraId="10439BA6"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South Australia - Outback</w:t>
            </w:r>
          </w:p>
        </w:tc>
        <w:tc>
          <w:tcPr>
            <w:tcW w:w="6095" w:type="dxa"/>
            <w:tcMar>
              <w:top w:w="0" w:type="dxa"/>
              <w:left w:w="108" w:type="dxa"/>
              <w:bottom w:w="0" w:type="dxa"/>
              <w:right w:w="108" w:type="dxa"/>
            </w:tcMar>
            <w:vAlign w:val="bottom"/>
          </w:tcPr>
          <w:p w14:paraId="0CB6F63A"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Registered Nurses</w:t>
            </w:r>
          </w:p>
        </w:tc>
        <w:tc>
          <w:tcPr>
            <w:tcW w:w="1400" w:type="dxa"/>
            <w:tcMar>
              <w:top w:w="0" w:type="dxa"/>
              <w:left w:w="108" w:type="dxa"/>
              <w:bottom w:w="0" w:type="dxa"/>
              <w:right w:w="108" w:type="dxa"/>
            </w:tcMar>
            <w:vAlign w:val="bottom"/>
          </w:tcPr>
          <w:p w14:paraId="6210D2C4"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5.9</w:t>
            </w:r>
          </w:p>
        </w:tc>
      </w:tr>
      <w:tr w:rsidR="00745D89" w:rsidRPr="002E702C" w14:paraId="39089DF6" w14:textId="77777777" w:rsidTr="00502054">
        <w:tc>
          <w:tcPr>
            <w:tcW w:w="3114" w:type="dxa"/>
            <w:vMerge w:val="restart"/>
            <w:vAlign w:val="bottom"/>
          </w:tcPr>
          <w:p w14:paraId="599F3629"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South Australia - South East</w:t>
            </w:r>
          </w:p>
        </w:tc>
        <w:tc>
          <w:tcPr>
            <w:tcW w:w="6095" w:type="dxa"/>
            <w:tcMar>
              <w:top w:w="0" w:type="dxa"/>
              <w:left w:w="108" w:type="dxa"/>
              <w:bottom w:w="0" w:type="dxa"/>
              <w:right w:w="108" w:type="dxa"/>
            </w:tcMar>
            <w:vAlign w:val="bottom"/>
          </w:tcPr>
          <w:p w14:paraId="4BEDAC2B"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Registered Nurses</w:t>
            </w:r>
          </w:p>
        </w:tc>
        <w:tc>
          <w:tcPr>
            <w:tcW w:w="1400" w:type="dxa"/>
            <w:tcMar>
              <w:top w:w="0" w:type="dxa"/>
              <w:left w:w="108" w:type="dxa"/>
              <w:bottom w:w="0" w:type="dxa"/>
              <w:right w:w="108" w:type="dxa"/>
            </w:tcMar>
            <w:vAlign w:val="bottom"/>
          </w:tcPr>
          <w:p w14:paraId="77F2CF53"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4.7</w:t>
            </w:r>
          </w:p>
        </w:tc>
      </w:tr>
      <w:tr w:rsidR="00745D89" w:rsidRPr="002E702C" w14:paraId="710B06A0" w14:textId="77777777" w:rsidTr="00502054">
        <w:tc>
          <w:tcPr>
            <w:tcW w:w="3114" w:type="dxa"/>
            <w:vMerge/>
            <w:vAlign w:val="bottom"/>
          </w:tcPr>
          <w:p w14:paraId="1AA0B51F"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22511611"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Enrolled and Mothercraft Nurses</w:t>
            </w:r>
          </w:p>
        </w:tc>
        <w:tc>
          <w:tcPr>
            <w:tcW w:w="1400" w:type="dxa"/>
            <w:tcMar>
              <w:top w:w="0" w:type="dxa"/>
              <w:left w:w="108" w:type="dxa"/>
              <w:bottom w:w="0" w:type="dxa"/>
              <w:right w:w="108" w:type="dxa"/>
            </w:tcMar>
            <w:vAlign w:val="bottom"/>
          </w:tcPr>
          <w:p w14:paraId="1BC85FAC"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4.2</w:t>
            </w:r>
          </w:p>
        </w:tc>
      </w:tr>
    </w:tbl>
    <w:p w14:paraId="4F0A0A5B" w14:textId="77777777" w:rsidR="00745D89" w:rsidRPr="002E702C" w:rsidRDefault="00745D89" w:rsidP="00745D89">
      <w:pPr>
        <w:pStyle w:val="Heading5"/>
        <w:rPr>
          <w:rFonts w:asciiTheme="minorHAnsi" w:hAnsiTheme="minorHAnsi" w:cstheme="minorHAnsi"/>
        </w:rPr>
      </w:pPr>
    </w:p>
    <w:p w14:paraId="4F3C23FE" w14:textId="4A226AAD" w:rsidR="00745D89" w:rsidRPr="002E702C" w:rsidRDefault="00745D89" w:rsidP="00745D89">
      <w:pPr>
        <w:pStyle w:val="Heading5"/>
        <w:rPr>
          <w:rFonts w:asciiTheme="minorHAnsi" w:hAnsiTheme="minorHAnsi" w:cstheme="minorHAnsi"/>
        </w:rPr>
      </w:pPr>
      <w:r w:rsidRPr="002E702C">
        <w:rPr>
          <w:rFonts w:asciiTheme="minorHAnsi" w:hAnsiTheme="minorHAnsi" w:cstheme="minorHAnsi"/>
        </w:rPr>
        <w:t xml:space="preserve">Table A6: Top regional Western Australia </w:t>
      </w:r>
      <w:r w:rsidR="0064373F">
        <w:rPr>
          <w:rFonts w:asciiTheme="minorHAnsi" w:hAnsiTheme="minorHAnsi" w:cstheme="minorHAnsi"/>
        </w:rPr>
        <w:t>IVI vacancy</w:t>
      </w:r>
      <w:r w:rsidRPr="002E702C">
        <w:rPr>
          <w:rFonts w:asciiTheme="minorHAnsi" w:hAnsiTheme="minorHAnsi" w:cstheme="minorHAnsi"/>
        </w:rPr>
        <w:t xml:space="preserve"> rat</w:t>
      </w:r>
      <w:r>
        <w:rPr>
          <w:rFonts w:asciiTheme="minorHAnsi" w:hAnsiTheme="minorHAnsi" w:cstheme="minorHAnsi"/>
        </w:rPr>
        <w:t>io</w:t>
      </w:r>
      <w:r w:rsidRPr="002E702C">
        <w:rPr>
          <w:rFonts w:asciiTheme="minorHAnsi" w:hAnsiTheme="minorHAnsi" w:cstheme="minorHAnsi"/>
        </w:rPr>
        <w:t>s (</w:t>
      </w:r>
      <w:r w:rsidR="00AA78A0">
        <w:rPr>
          <w:rFonts w:asciiTheme="minorHAnsi" w:hAnsiTheme="minorHAnsi" w:cstheme="minorHAnsi"/>
        </w:rPr>
        <w:t>IVI job</w:t>
      </w:r>
      <w:r w:rsidR="002A1C3A" w:rsidRPr="002E702C">
        <w:rPr>
          <w:rFonts w:asciiTheme="minorHAnsi" w:hAnsiTheme="minorHAnsi" w:cstheme="minorHAnsi"/>
        </w:rPr>
        <w:t xml:space="preserve"> ad</w:t>
      </w:r>
      <w:r w:rsidR="002A1C3A">
        <w:rPr>
          <w:rFonts w:asciiTheme="minorHAnsi" w:hAnsiTheme="minorHAnsi" w:cstheme="minorHAnsi"/>
        </w:rPr>
        <w:t>vertisement</w:t>
      </w:r>
      <w:r w:rsidR="002A1C3A" w:rsidRPr="002E702C">
        <w:rPr>
          <w:rFonts w:asciiTheme="minorHAnsi" w:hAnsiTheme="minorHAnsi" w:cstheme="minorHAnsi"/>
        </w:rPr>
        <w:t xml:space="preserve">s </w:t>
      </w:r>
      <w:r w:rsidRPr="002E702C">
        <w:rPr>
          <w:rFonts w:asciiTheme="minorHAnsi" w:hAnsiTheme="minorHAnsi" w:cstheme="minorHAnsi"/>
        </w:rPr>
        <w:t xml:space="preserve">as a proportion of employment), for occupations in shortage on the 2022 SPL </w:t>
      </w:r>
    </w:p>
    <w:tbl>
      <w:tblPr>
        <w:tblW w:w="10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80"/>
        <w:gridCol w:w="239"/>
        <w:gridCol w:w="6095"/>
        <w:gridCol w:w="1400"/>
      </w:tblGrid>
      <w:tr w:rsidR="00745D89" w:rsidRPr="002E702C" w14:paraId="23514791" w14:textId="77777777" w:rsidTr="00502054">
        <w:trPr>
          <w:trHeight w:val="476"/>
        </w:trPr>
        <w:tc>
          <w:tcPr>
            <w:tcW w:w="2880" w:type="dxa"/>
            <w:shd w:val="clear" w:color="auto" w:fill="441170" w:themeFill="text2"/>
          </w:tcPr>
          <w:p w14:paraId="513DA66F" w14:textId="68AF43DE" w:rsidR="00745D89" w:rsidRPr="002E702C" w:rsidRDefault="00745D89" w:rsidP="001D600D">
            <w:pPr>
              <w:spacing w:after="0" w:line="276" w:lineRule="auto"/>
              <w:rPr>
                <w:rFonts w:asciiTheme="minorHAnsi" w:hAnsiTheme="minorHAnsi" w:cstheme="minorHAnsi"/>
                <w:b/>
                <w:bCs/>
                <w:color w:val="FFFFFF" w:themeColor="background1"/>
              </w:rPr>
            </w:pPr>
            <w:r w:rsidRPr="002E702C">
              <w:rPr>
                <w:rFonts w:asciiTheme="minorHAnsi" w:hAnsiTheme="minorHAnsi" w:cstheme="minorHAnsi"/>
                <w:b/>
                <w:bCs/>
                <w:color w:val="FFFFFF" w:themeColor="background1"/>
              </w:rPr>
              <w:t>W</w:t>
            </w:r>
            <w:r w:rsidR="00172136">
              <w:rPr>
                <w:rFonts w:asciiTheme="minorHAnsi" w:hAnsiTheme="minorHAnsi" w:cstheme="minorHAnsi"/>
                <w:b/>
                <w:bCs/>
                <w:color w:val="FFFFFF" w:themeColor="background1"/>
              </w:rPr>
              <w:t xml:space="preserve">estern </w:t>
            </w:r>
            <w:r w:rsidRPr="002E702C">
              <w:rPr>
                <w:rFonts w:asciiTheme="minorHAnsi" w:hAnsiTheme="minorHAnsi" w:cstheme="minorHAnsi"/>
                <w:b/>
                <w:bCs/>
                <w:color w:val="FFFFFF" w:themeColor="background1"/>
              </w:rPr>
              <w:t>A</w:t>
            </w:r>
            <w:r w:rsidR="00172136">
              <w:rPr>
                <w:rFonts w:asciiTheme="minorHAnsi" w:hAnsiTheme="minorHAnsi" w:cstheme="minorHAnsi"/>
                <w:b/>
                <w:bCs/>
                <w:color w:val="FFFFFF" w:themeColor="background1"/>
              </w:rPr>
              <w:t>ustralia</w:t>
            </w:r>
            <w:r w:rsidRPr="002E702C">
              <w:rPr>
                <w:rFonts w:asciiTheme="minorHAnsi" w:hAnsiTheme="minorHAnsi" w:cstheme="minorHAnsi"/>
                <w:b/>
                <w:bCs/>
                <w:color w:val="FFFFFF" w:themeColor="background1"/>
              </w:rPr>
              <w:t xml:space="preserve"> SA4 Region</w:t>
            </w:r>
          </w:p>
        </w:tc>
        <w:tc>
          <w:tcPr>
            <w:tcW w:w="6334" w:type="dxa"/>
            <w:gridSpan w:val="2"/>
            <w:shd w:val="clear" w:color="auto" w:fill="441170" w:themeFill="text2"/>
            <w:tcMar>
              <w:top w:w="0" w:type="dxa"/>
              <w:left w:w="108" w:type="dxa"/>
              <w:bottom w:w="0" w:type="dxa"/>
              <w:right w:w="108" w:type="dxa"/>
            </w:tcMar>
            <w:hideMark/>
          </w:tcPr>
          <w:p w14:paraId="4526BE06" w14:textId="77777777" w:rsidR="00745D89" w:rsidRPr="002E702C" w:rsidRDefault="00745D89" w:rsidP="001D600D">
            <w:pPr>
              <w:spacing w:after="0" w:line="276" w:lineRule="auto"/>
              <w:rPr>
                <w:rFonts w:asciiTheme="minorHAnsi" w:hAnsiTheme="minorHAnsi" w:cstheme="minorHAnsi"/>
                <w:b/>
                <w:bCs/>
                <w:color w:val="FFFFFF" w:themeColor="background1"/>
              </w:rPr>
            </w:pPr>
            <w:r w:rsidRPr="002E702C">
              <w:rPr>
                <w:rFonts w:asciiTheme="minorHAnsi" w:hAnsiTheme="minorHAnsi" w:cstheme="minorHAnsi"/>
                <w:b/>
                <w:bCs/>
                <w:color w:val="FFFFFF" w:themeColor="background1"/>
              </w:rPr>
              <w:t xml:space="preserve">Occupations </w:t>
            </w:r>
          </w:p>
        </w:tc>
        <w:tc>
          <w:tcPr>
            <w:tcW w:w="1400" w:type="dxa"/>
            <w:shd w:val="clear" w:color="auto" w:fill="441170" w:themeFill="text2"/>
            <w:tcMar>
              <w:top w:w="0" w:type="dxa"/>
              <w:left w:w="108" w:type="dxa"/>
              <w:bottom w:w="0" w:type="dxa"/>
              <w:right w:w="108" w:type="dxa"/>
            </w:tcMar>
            <w:hideMark/>
          </w:tcPr>
          <w:p w14:paraId="7A54D3E1" w14:textId="682BF90A" w:rsidR="00745D89" w:rsidRPr="002E702C" w:rsidRDefault="0064373F" w:rsidP="001D600D">
            <w:pPr>
              <w:spacing w:after="0" w:line="276" w:lineRule="auto"/>
              <w:rPr>
                <w:rFonts w:asciiTheme="minorHAnsi" w:hAnsiTheme="minorHAnsi" w:cstheme="minorHAnsi"/>
                <w:b/>
                <w:bCs/>
                <w:color w:val="FFFFFF" w:themeColor="background1"/>
              </w:rPr>
            </w:pPr>
            <w:r>
              <w:rPr>
                <w:rFonts w:asciiTheme="minorHAnsi" w:hAnsiTheme="minorHAnsi" w:cstheme="minorHAnsi"/>
                <w:b/>
                <w:bCs/>
                <w:color w:val="FFFFFF"/>
              </w:rPr>
              <w:t>IVI vacancy</w:t>
            </w:r>
            <w:r w:rsidR="00745D89">
              <w:rPr>
                <w:rFonts w:asciiTheme="minorHAnsi" w:hAnsiTheme="minorHAnsi" w:cstheme="minorHAnsi"/>
                <w:b/>
                <w:bCs/>
                <w:color w:val="FFFFFF"/>
              </w:rPr>
              <w:t xml:space="preserve"> </w:t>
            </w:r>
            <w:r w:rsidR="00502054">
              <w:rPr>
                <w:rFonts w:asciiTheme="minorHAnsi" w:hAnsiTheme="minorHAnsi" w:cstheme="minorHAnsi"/>
                <w:b/>
                <w:bCs/>
                <w:color w:val="FFFFFF"/>
              </w:rPr>
              <w:t>r</w:t>
            </w:r>
            <w:r w:rsidR="00745D89">
              <w:rPr>
                <w:rFonts w:asciiTheme="minorHAnsi" w:hAnsiTheme="minorHAnsi" w:cstheme="minorHAnsi"/>
                <w:b/>
                <w:bCs/>
                <w:color w:val="FFFFFF"/>
              </w:rPr>
              <w:t>atio</w:t>
            </w:r>
            <w:r w:rsidR="00745D89" w:rsidRPr="002E702C">
              <w:rPr>
                <w:rFonts w:asciiTheme="minorHAnsi" w:hAnsiTheme="minorHAnsi" w:cstheme="minorHAnsi"/>
                <w:b/>
                <w:bCs/>
                <w:color w:val="FFFFFF"/>
              </w:rPr>
              <w:t xml:space="preserve"> (%)</w:t>
            </w:r>
          </w:p>
        </w:tc>
      </w:tr>
      <w:tr w:rsidR="00745D89" w:rsidRPr="002E702C" w14:paraId="10DBABEB" w14:textId="77777777" w:rsidTr="00502054">
        <w:tc>
          <w:tcPr>
            <w:tcW w:w="3119" w:type="dxa"/>
            <w:gridSpan w:val="2"/>
            <w:vMerge w:val="restart"/>
            <w:vAlign w:val="bottom"/>
          </w:tcPr>
          <w:p w14:paraId="00333DA7"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Western Australia - Outback (North)</w:t>
            </w:r>
          </w:p>
        </w:tc>
        <w:tc>
          <w:tcPr>
            <w:tcW w:w="6095" w:type="dxa"/>
            <w:tcMar>
              <w:top w:w="0" w:type="dxa"/>
              <w:left w:w="108" w:type="dxa"/>
              <w:bottom w:w="0" w:type="dxa"/>
              <w:right w:w="108" w:type="dxa"/>
            </w:tcMar>
            <w:vAlign w:val="bottom"/>
            <w:hideMark/>
          </w:tcPr>
          <w:p w14:paraId="48D0D714"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Mining Engineers</w:t>
            </w:r>
          </w:p>
        </w:tc>
        <w:tc>
          <w:tcPr>
            <w:tcW w:w="1400" w:type="dxa"/>
            <w:tcMar>
              <w:top w:w="0" w:type="dxa"/>
              <w:left w:w="108" w:type="dxa"/>
              <w:bottom w:w="0" w:type="dxa"/>
              <w:right w:w="108" w:type="dxa"/>
            </w:tcMar>
            <w:vAlign w:val="bottom"/>
            <w:hideMark/>
          </w:tcPr>
          <w:p w14:paraId="0ED808F1"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32.5</w:t>
            </w:r>
          </w:p>
        </w:tc>
      </w:tr>
      <w:tr w:rsidR="00745D89" w:rsidRPr="002E702C" w14:paraId="0F94F4D7" w14:textId="77777777" w:rsidTr="00502054">
        <w:tc>
          <w:tcPr>
            <w:tcW w:w="3119" w:type="dxa"/>
            <w:gridSpan w:val="2"/>
            <w:vMerge/>
            <w:vAlign w:val="bottom"/>
          </w:tcPr>
          <w:p w14:paraId="565F09D9"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17099B82"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Motor Mechanics</w:t>
            </w:r>
          </w:p>
        </w:tc>
        <w:tc>
          <w:tcPr>
            <w:tcW w:w="1400" w:type="dxa"/>
            <w:tcMar>
              <w:top w:w="0" w:type="dxa"/>
              <w:left w:w="108" w:type="dxa"/>
              <w:bottom w:w="0" w:type="dxa"/>
              <w:right w:w="108" w:type="dxa"/>
            </w:tcMar>
            <w:vAlign w:val="bottom"/>
          </w:tcPr>
          <w:p w14:paraId="669F7D40"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19.7</w:t>
            </w:r>
          </w:p>
        </w:tc>
      </w:tr>
      <w:tr w:rsidR="00745D89" w:rsidRPr="002E702C" w14:paraId="7145F334" w14:textId="77777777" w:rsidTr="00502054">
        <w:tc>
          <w:tcPr>
            <w:tcW w:w="3119" w:type="dxa"/>
            <w:gridSpan w:val="2"/>
            <w:vMerge/>
            <w:vAlign w:val="bottom"/>
          </w:tcPr>
          <w:p w14:paraId="6081A7DB"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69116EE6"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Earthmoving Plant Operators</w:t>
            </w:r>
          </w:p>
        </w:tc>
        <w:tc>
          <w:tcPr>
            <w:tcW w:w="1400" w:type="dxa"/>
            <w:tcMar>
              <w:top w:w="0" w:type="dxa"/>
              <w:left w:w="108" w:type="dxa"/>
              <w:bottom w:w="0" w:type="dxa"/>
              <w:right w:w="108" w:type="dxa"/>
            </w:tcMar>
            <w:vAlign w:val="bottom"/>
          </w:tcPr>
          <w:p w14:paraId="5CD84E6F"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16.6</w:t>
            </w:r>
          </w:p>
        </w:tc>
      </w:tr>
      <w:tr w:rsidR="00745D89" w:rsidRPr="002E702C" w14:paraId="557D349B" w14:textId="77777777" w:rsidTr="00502054">
        <w:tc>
          <w:tcPr>
            <w:tcW w:w="3119" w:type="dxa"/>
            <w:gridSpan w:val="2"/>
            <w:vMerge/>
            <w:vAlign w:val="bottom"/>
          </w:tcPr>
          <w:p w14:paraId="23900DE6"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6871FBB5"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Automotive Electricians</w:t>
            </w:r>
          </w:p>
        </w:tc>
        <w:tc>
          <w:tcPr>
            <w:tcW w:w="1400" w:type="dxa"/>
            <w:tcMar>
              <w:top w:w="0" w:type="dxa"/>
              <w:left w:w="108" w:type="dxa"/>
              <w:bottom w:w="0" w:type="dxa"/>
              <w:right w:w="108" w:type="dxa"/>
            </w:tcMar>
            <w:vAlign w:val="bottom"/>
          </w:tcPr>
          <w:p w14:paraId="77D22FB5"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11.3</w:t>
            </w:r>
          </w:p>
        </w:tc>
      </w:tr>
      <w:tr w:rsidR="00745D89" w:rsidRPr="002E702C" w14:paraId="314A4E0A" w14:textId="77777777" w:rsidTr="00502054">
        <w:tc>
          <w:tcPr>
            <w:tcW w:w="3119" w:type="dxa"/>
            <w:gridSpan w:val="2"/>
            <w:vMerge/>
            <w:vAlign w:val="bottom"/>
          </w:tcPr>
          <w:p w14:paraId="3F57EFE8"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2B9B69B4"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Registered Nurses</w:t>
            </w:r>
          </w:p>
        </w:tc>
        <w:tc>
          <w:tcPr>
            <w:tcW w:w="1400" w:type="dxa"/>
            <w:tcMar>
              <w:top w:w="0" w:type="dxa"/>
              <w:left w:w="108" w:type="dxa"/>
              <w:bottom w:w="0" w:type="dxa"/>
              <w:right w:w="108" w:type="dxa"/>
            </w:tcMar>
            <w:vAlign w:val="bottom"/>
          </w:tcPr>
          <w:p w14:paraId="0432F0BE"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8.1</w:t>
            </w:r>
          </w:p>
        </w:tc>
      </w:tr>
      <w:tr w:rsidR="00745D89" w:rsidRPr="002E702C" w14:paraId="19FEF4FC" w14:textId="77777777" w:rsidTr="00502054">
        <w:tc>
          <w:tcPr>
            <w:tcW w:w="3119" w:type="dxa"/>
            <w:gridSpan w:val="2"/>
            <w:vMerge/>
            <w:vAlign w:val="bottom"/>
          </w:tcPr>
          <w:p w14:paraId="0AA0A523"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4FEBD87A"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General Practitioners and Resident Medical Officers</w:t>
            </w:r>
          </w:p>
        </w:tc>
        <w:tc>
          <w:tcPr>
            <w:tcW w:w="1400" w:type="dxa"/>
            <w:tcMar>
              <w:top w:w="0" w:type="dxa"/>
              <w:left w:w="108" w:type="dxa"/>
              <w:bottom w:w="0" w:type="dxa"/>
              <w:right w:w="108" w:type="dxa"/>
            </w:tcMar>
            <w:vAlign w:val="bottom"/>
          </w:tcPr>
          <w:p w14:paraId="25DC92F8"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7.9</w:t>
            </w:r>
          </w:p>
        </w:tc>
      </w:tr>
      <w:tr w:rsidR="00745D89" w:rsidRPr="002E702C" w14:paraId="7651B1F1" w14:textId="77777777" w:rsidTr="00502054">
        <w:tc>
          <w:tcPr>
            <w:tcW w:w="3119" w:type="dxa"/>
            <w:gridSpan w:val="2"/>
            <w:vMerge/>
            <w:vAlign w:val="bottom"/>
          </w:tcPr>
          <w:p w14:paraId="6509268F"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2B1932F0"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Structural Steel and Welding Trades Workers</w:t>
            </w:r>
          </w:p>
        </w:tc>
        <w:tc>
          <w:tcPr>
            <w:tcW w:w="1400" w:type="dxa"/>
            <w:tcMar>
              <w:top w:w="0" w:type="dxa"/>
              <w:left w:w="108" w:type="dxa"/>
              <w:bottom w:w="0" w:type="dxa"/>
              <w:right w:w="108" w:type="dxa"/>
            </w:tcMar>
            <w:vAlign w:val="bottom"/>
          </w:tcPr>
          <w:p w14:paraId="00C3E5C0"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6.5</w:t>
            </w:r>
          </w:p>
        </w:tc>
      </w:tr>
      <w:tr w:rsidR="00745D89" w:rsidRPr="002E702C" w14:paraId="5816621C" w14:textId="77777777" w:rsidTr="00502054">
        <w:tc>
          <w:tcPr>
            <w:tcW w:w="3119" w:type="dxa"/>
            <w:gridSpan w:val="2"/>
            <w:vMerge/>
            <w:vAlign w:val="bottom"/>
          </w:tcPr>
          <w:p w14:paraId="3724576C"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083AACC5"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Civil Engineering Professionals</w:t>
            </w:r>
          </w:p>
        </w:tc>
        <w:tc>
          <w:tcPr>
            <w:tcW w:w="1400" w:type="dxa"/>
            <w:tcMar>
              <w:top w:w="0" w:type="dxa"/>
              <w:left w:w="108" w:type="dxa"/>
              <w:bottom w:w="0" w:type="dxa"/>
              <w:right w:w="108" w:type="dxa"/>
            </w:tcMar>
            <w:vAlign w:val="bottom"/>
          </w:tcPr>
          <w:p w14:paraId="4E02AF92"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6.4</w:t>
            </w:r>
          </w:p>
        </w:tc>
      </w:tr>
      <w:tr w:rsidR="00745D89" w:rsidRPr="002E702C" w14:paraId="46256FE4" w14:textId="77777777" w:rsidTr="00502054">
        <w:tc>
          <w:tcPr>
            <w:tcW w:w="3119" w:type="dxa"/>
            <w:gridSpan w:val="2"/>
            <w:vMerge/>
            <w:vAlign w:val="bottom"/>
          </w:tcPr>
          <w:p w14:paraId="6DBE9F7D"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44F97E03"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Construction Managers</w:t>
            </w:r>
          </w:p>
        </w:tc>
        <w:tc>
          <w:tcPr>
            <w:tcW w:w="1400" w:type="dxa"/>
            <w:tcMar>
              <w:top w:w="0" w:type="dxa"/>
              <w:left w:w="108" w:type="dxa"/>
              <w:bottom w:w="0" w:type="dxa"/>
              <w:right w:w="108" w:type="dxa"/>
            </w:tcMar>
            <w:vAlign w:val="bottom"/>
          </w:tcPr>
          <w:p w14:paraId="32641FD1"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6.2</w:t>
            </w:r>
          </w:p>
        </w:tc>
      </w:tr>
      <w:tr w:rsidR="00745D89" w:rsidRPr="002E702C" w14:paraId="72613752" w14:textId="77777777" w:rsidTr="00502054">
        <w:tc>
          <w:tcPr>
            <w:tcW w:w="3119" w:type="dxa"/>
            <w:gridSpan w:val="2"/>
            <w:vMerge/>
            <w:vAlign w:val="bottom"/>
          </w:tcPr>
          <w:p w14:paraId="254244F0"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7A5B6D1F"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Security Officers and Guards</w:t>
            </w:r>
          </w:p>
        </w:tc>
        <w:tc>
          <w:tcPr>
            <w:tcW w:w="1400" w:type="dxa"/>
            <w:tcMar>
              <w:top w:w="0" w:type="dxa"/>
              <w:left w:w="108" w:type="dxa"/>
              <w:bottom w:w="0" w:type="dxa"/>
              <w:right w:w="108" w:type="dxa"/>
            </w:tcMar>
            <w:vAlign w:val="bottom"/>
          </w:tcPr>
          <w:p w14:paraId="20763879"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6.2</w:t>
            </w:r>
          </w:p>
        </w:tc>
      </w:tr>
      <w:tr w:rsidR="00745D89" w:rsidRPr="002E702C" w14:paraId="2FCDEFCF" w14:textId="77777777" w:rsidTr="00502054">
        <w:tc>
          <w:tcPr>
            <w:tcW w:w="3119" w:type="dxa"/>
            <w:gridSpan w:val="2"/>
            <w:vMerge/>
            <w:vAlign w:val="bottom"/>
          </w:tcPr>
          <w:p w14:paraId="16943BEE"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4FCBC5BE"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Structural Steel Construction Workers</w:t>
            </w:r>
          </w:p>
        </w:tc>
        <w:tc>
          <w:tcPr>
            <w:tcW w:w="1400" w:type="dxa"/>
            <w:tcMar>
              <w:top w:w="0" w:type="dxa"/>
              <w:left w:w="108" w:type="dxa"/>
              <w:bottom w:w="0" w:type="dxa"/>
              <w:right w:w="108" w:type="dxa"/>
            </w:tcMar>
            <w:vAlign w:val="bottom"/>
          </w:tcPr>
          <w:p w14:paraId="576DF146"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6.1</w:t>
            </w:r>
          </w:p>
        </w:tc>
      </w:tr>
      <w:tr w:rsidR="00745D89" w:rsidRPr="002E702C" w14:paraId="1E24FCDC" w14:textId="77777777" w:rsidTr="00502054">
        <w:tc>
          <w:tcPr>
            <w:tcW w:w="3119" w:type="dxa"/>
            <w:gridSpan w:val="2"/>
            <w:vMerge/>
            <w:vAlign w:val="bottom"/>
          </w:tcPr>
          <w:p w14:paraId="0A75A8D3"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5EDA6B36"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Cooks</w:t>
            </w:r>
          </w:p>
        </w:tc>
        <w:tc>
          <w:tcPr>
            <w:tcW w:w="1400" w:type="dxa"/>
            <w:tcMar>
              <w:top w:w="0" w:type="dxa"/>
              <w:left w:w="108" w:type="dxa"/>
              <w:bottom w:w="0" w:type="dxa"/>
              <w:right w:w="108" w:type="dxa"/>
            </w:tcMar>
            <w:vAlign w:val="bottom"/>
          </w:tcPr>
          <w:p w14:paraId="7C4FD82C"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5.8</w:t>
            </w:r>
          </w:p>
        </w:tc>
      </w:tr>
      <w:tr w:rsidR="00745D89" w:rsidRPr="002E702C" w14:paraId="194D18E4" w14:textId="77777777" w:rsidTr="00502054">
        <w:tc>
          <w:tcPr>
            <w:tcW w:w="3119" w:type="dxa"/>
            <w:gridSpan w:val="2"/>
            <w:vMerge/>
            <w:vAlign w:val="bottom"/>
          </w:tcPr>
          <w:p w14:paraId="0C05348E"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3EBDDAA4"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Metal Fitters and Machinists</w:t>
            </w:r>
          </w:p>
        </w:tc>
        <w:tc>
          <w:tcPr>
            <w:tcW w:w="1400" w:type="dxa"/>
            <w:tcMar>
              <w:top w:w="0" w:type="dxa"/>
              <w:left w:w="108" w:type="dxa"/>
              <w:bottom w:w="0" w:type="dxa"/>
              <w:right w:w="108" w:type="dxa"/>
            </w:tcMar>
            <w:vAlign w:val="bottom"/>
          </w:tcPr>
          <w:p w14:paraId="1479A21E"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5.7</w:t>
            </w:r>
          </w:p>
        </w:tc>
      </w:tr>
      <w:tr w:rsidR="00745D89" w:rsidRPr="002E702C" w14:paraId="572287B2" w14:textId="77777777" w:rsidTr="00502054">
        <w:tc>
          <w:tcPr>
            <w:tcW w:w="3119" w:type="dxa"/>
            <w:gridSpan w:val="2"/>
            <w:vMerge/>
            <w:vAlign w:val="bottom"/>
          </w:tcPr>
          <w:p w14:paraId="3DC09AF3"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210537FE"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Electricians</w:t>
            </w:r>
          </w:p>
        </w:tc>
        <w:tc>
          <w:tcPr>
            <w:tcW w:w="1400" w:type="dxa"/>
            <w:tcMar>
              <w:top w:w="0" w:type="dxa"/>
              <w:left w:w="108" w:type="dxa"/>
              <w:bottom w:w="0" w:type="dxa"/>
              <w:right w:w="108" w:type="dxa"/>
            </w:tcMar>
            <w:vAlign w:val="bottom"/>
          </w:tcPr>
          <w:p w14:paraId="6041CB56"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5.1</w:t>
            </w:r>
          </w:p>
        </w:tc>
      </w:tr>
      <w:tr w:rsidR="00745D89" w:rsidRPr="002E702C" w14:paraId="2BEA751D" w14:textId="77777777" w:rsidTr="00502054">
        <w:tc>
          <w:tcPr>
            <w:tcW w:w="3119" w:type="dxa"/>
            <w:gridSpan w:val="2"/>
            <w:vMerge/>
            <w:vAlign w:val="bottom"/>
          </w:tcPr>
          <w:p w14:paraId="62BC8F41"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76D09769"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Chefs</w:t>
            </w:r>
          </w:p>
        </w:tc>
        <w:tc>
          <w:tcPr>
            <w:tcW w:w="1400" w:type="dxa"/>
            <w:tcMar>
              <w:top w:w="0" w:type="dxa"/>
              <w:left w:w="108" w:type="dxa"/>
              <w:bottom w:w="0" w:type="dxa"/>
              <w:right w:w="108" w:type="dxa"/>
            </w:tcMar>
            <w:vAlign w:val="bottom"/>
          </w:tcPr>
          <w:p w14:paraId="3B4D9F71"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4.9</w:t>
            </w:r>
          </w:p>
        </w:tc>
      </w:tr>
      <w:tr w:rsidR="00745D89" w:rsidRPr="002E702C" w14:paraId="48997FAA" w14:textId="77777777" w:rsidTr="00502054">
        <w:tc>
          <w:tcPr>
            <w:tcW w:w="3119" w:type="dxa"/>
            <w:gridSpan w:val="2"/>
            <w:vMerge/>
            <w:vAlign w:val="bottom"/>
          </w:tcPr>
          <w:p w14:paraId="5C9BA2D0"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59C1F820"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Carpenters and Joiners</w:t>
            </w:r>
          </w:p>
        </w:tc>
        <w:tc>
          <w:tcPr>
            <w:tcW w:w="1400" w:type="dxa"/>
            <w:tcMar>
              <w:top w:w="0" w:type="dxa"/>
              <w:left w:w="108" w:type="dxa"/>
              <w:bottom w:w="0" w:type="dxa"/>
              <w:right w:w="108" w:type="dxa"/>
            </w:tcMar>
            <w:vAlign w:val="bottom"/>
          </w:tcPr>
          <w:p w14:paraId="0158D96B"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4.4</w:t>
            </w:r>
          </w:p>
        </w:tc>
      </w:tr>
      <w:tr w:rsidR="00745D89" w:rsidRPr="002E702C" w14:paraId="2A9D858C" w14:textId="77777777" w:rsidTr="00502054">
        <w:tc>
          <w:tcPr>
            <w:tcW w:w="3119" w:type="dxa"/>
            <w:gridSpan w:val="2"/>
            <w:vMerge/>
            <w:vAlign w:val="bottom"/>
          </w:tcPr>
          <w:p w14:paraId="43C37387"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3C33CE05"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Crane, Hoist and Lift Operators</w:t>
            </w:r>
          </w:p>
        </w:tc>
        <w:tc>
          <w:tcPr>
            <w:tcW w:w="1400" w:type="dxa"/>
            <w:tcMar>
              <w:top w:w="0" w:type="dxa"/>
              <w:left w:w="108" w:type="dxa"/>
              <w:bottom w:w="0" w:type="dxa"/>
              <w:right w:w="108" w:type="dxa"/>
            </w:tcMar>
            <w:vAlign w:val="bottom"/>
          </w:tcPr>
          <w:p w14:paraId="2A7376B3"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4.2</w:t>
            </w:r>
          </w:p>
        </w:tc>
      </w:tr>
      <w:tr w:rsidR="00745D89" w:rsidRPr="002E702C" w14:paraId="11FC0490" w14:textId="77777777" w:rsidTr="00502054">
        <w:tc>
          <w:tcPr>
            <w:tcW w:w="3119" w:type="dxa"/>
            <w:gridSpan w:val="2"/>
            <w:vMerge w:val="restart"/>
            <w:vAlign w:val="bottom"/>
          </w:tcPr>
          <w:p w14:paraId="78192180"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Western Australia - Outback (South)</w:t>
            </w:r>
          </w:p>
        </w:tc>
        <w:tc>
          <w:tcPr>
            <w:tcW w:w="6095" w:type="dxa"/>
            <w:tcMar>
              <w:top w:w="0" w:type="dxa"/>
              <w:left w:w="108" w:type="dxa"/>
              <w:bottom w:w="0" w:type="dxa"/>
              <w:right w:w="108" w:type="dxa"/>
            </w:tcMar>
            <w:vAlign w:val="bottom"/>
          </w:tcPr>
          <w:p w14:paraId="77271CF0"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Mining Engineers</w:t>
            </w:r>
          </w:p>
        </w:tc>
        <w:tc>
          <w:tcPr>
            <w:tcW w:w="1400" w:type="dxa"/>
            <w:tcMar>
              <w:top w:w="0" w:type="dxa"/>
              <w:left w:w="108" w:type="dxa"/>
              <w:bottom w:w="0" w:type="dxa"/>
              <w:right w:w="108" w:type="dxa"/>
            </w:tcMar>
            <w:vAlign w:val="bottom"/>
          </w:tcPr>
          <w:p w14:paraId="328E23B1"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34.4</w:t>
            </w:r>
          </w:p>
        </w:tc>
      </w:tr>
      <w:tr w:rsidR="00745D89" w:rsidRPr="002E702C" w14:paraId="27220B94" w14:textId="77777777" w:rsidTr="00502054">
        <w:tc>
          <w:tcPr>
            <w:tcW w:w="3119" w:type="dxa"/>
            <w:gridSpan w:val="2"/>
            <w:vMerge/>
            <w:vAlign w:val="bottom"/>
          </w:tcPr>
          <w:p w14:paraId="0C47B1D4"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357DB742"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Motor Mechanics</w:t>
            </w:r>
          </w:p>
        </w:tc>
        <w:tc>
          <w:tcPr>
            <w:tcW w:w="1400" w:type="dxa"/>
            <w:tcMar>
              <w:top w:w="0" w:type="dxa"/>
              <w:left w:w="108" w:type="dxa"/>
              <w:bottom w:w="0" w:type="dxa"/>
              <w:right w:w="108" w:type="dxa"/>
            </w:tcMar>
            <w:vAlign w:val="bottom"/>
          </w:tcPr>
          <w:p w14:paraId="32EC1D05"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17.5</w:t>
            </w:r>
          </w:p>
        </w:tc>
      </w:tr>
      <w:tr w:rsidR="00745D89" w:rsidRPr="002E702C" w14:paraId="3EA11434" w14:textId="77777777" w:rsidTr="00502054">
        <w:tc>
          <w:tcPr>
            <w:tcW w:w="3119" w:type="dxa"/>
            <w:gridSpan w:val="2"/>
            <w:vMerge/>
            <w:vAlign w:val="bottom"/>
          </w:tcPr>
          <w:p w14:paraId="60230089"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39D86475"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Automotive Electricians</w:t>
            </w:r>
          </w:p>
        </w:tc>
        <w:tc>
          <w:tcPr>
            <w:tcW w:w="1400" w:type="dxa"/>
            <w:tcMar>
              <w:top w:w="0" w:type="dxa"/>
              <w:left w:w="108" w:type="dxa"/>
              <w:bottom w:w="0" w:type="dxa"/>
              <w:right w:w="108" w:type="dxa"/>
            </w:tcMar>
            <w:vAlign w:val="bottom"/>
          </w:tcPr>
          <w:p w14:paraId="3D92AA6E"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10.8</w:t>
            </w:r>
          </w:p>
        </w:tc>
      </w:tr>
      <w:tr w:rsidR="00745D89" w:rsidRPr="002E702C" w14:paraId="6C63D659" w14:textId="77777777" w:rsidTr="00502054">
        <w:tc>
          <w:tcPr>
            <w:tcW w:w="3119" w:type="dxa"/>
            <w:gridSpan w:val="2"/>
            <w:vMerge/>
            <w:vAlign w:val="bottom"/>
          </w:tcPr>
          <w:p w14:paraId="4490EB5A"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06A1BB15"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Earthmoving Plant Operators</w:t>
            </w:r>
          </w:p>
        </w:tc>
        <w:tc>
          <w:tcPr>
            <w:tcW w:w="1400" w:type="dxa"/>
            <w:tcMar>
              <w:top w:w="0" w:type="dxa"/>
              <w:left w:w="108" w:type="dxa"/>
              <w:bottom w:w="0" w:type="dxa"/>
              <w:right w:w="108" w:type="dxa"/>
            </w:tcMar>
            <w:vAlign w:val="bottom"/>
          </w:tcPr>
          <w:p w14:paraId="0592D0E0"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8.8</w:t>
            </w:r>
          </w:p>
        </w:tc>
      </w:tr>
      <w:tr w:rsidR="00745D89" w:rsidRPr="002E702C" w14:paraId="21D671D6" w14:textId="77777777" w:rsidTr="00502054">
        <w:tc>
          <w:tcPr>
            <w:tcW w:w="3119" w:type="dxa"/>
            <w:gridSpan w:val="2"/>
            <w:vMerge/>
            <w:vAlign w:val="bottom"/>
          </w:tcPr>
          <w:p w14:paraId="4D22FE48"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5281E400"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Registered Nurses</w:t>
            </w:r>
          </w:p>
        </w:tc>
        <w:tc>
          <w:tcPr>
            <w:tcW w:w="1400" w:type="dxa"/>
            <w:tcMar>
              <w:top w:w="0" w:type="dxa"/>
              <w:left w:w="108" w:type="dxa"/>
              <w:bottom w:w="0" w:type="dxa"/>
              <w:right w:w="108" w:type="dxa"/>
            </w:tcMar>
            <w:vAlign w:val="bottom"/>
          </w:tcPr>
          <w:p w14:paraId="5C14B7A7"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7.1</w:t>
            </w:r>
          </w:p>
        </w:tc>
      </w:tr>
      <w:tr w:rsidR="00745D89" w:rsidRPr="002E702C" w14:paraId="17A105CB" w14:textId="77777777" w:rsidTr="00502054">
        <w:tc>
          <w:tcPr>
            <w:tcW w:w="3119" w:type="dxa"/>
            <w:gridSpan w:val="2"/>
            <w:vMerge/>
            <w:vAlign w:val="bottom"/>
          </w:tcPr>
          <w:p w14:paraId="3AD9F55C"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56A6A35C"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Geologists, Geophysicists and Hydrogeologists</w:t>
            </w:r>
          </w:p>
        </w:tc>
        <w:tc>
          <w:tcPr>
            <w:tcW w:w="1400" w:type="dxa"/>
            <w:tcMar>
              <w:top w:w="0" w:type="dxa"/>
              <w:left w:w="108" w:type="dxa"/>
              <w:bottom w:w="0" w:type="dxa"/>
              <w:right w:w="108" w:type="dxa"/>
            </w:tcMar>
            <w:vAlign w:val="bottom"/>
          </w:tcPr>
          <w:p w14:paraId="51D5F190"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6.6</w:t>
            </w:r>
          </w:p>
        </w:tc>
      </w:tr>
      <w:tr w:rsidR="00745D89" w:rsidRPr="002E702C" w14:paraId="7D6580EE" w14:textId="77777777" w:rsidTr="00502054">
        <w:tc>
          <w:tcPr>
            <w:tcW w:w="3119" w:type="dxa"/>
            <w:gridSpan w:val="2"/>
            <w:vMerge/>
            <w:vAlign w:val="bottom"/>
          </w:tcPr>
          <w:p w14:paraId="1768067A"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0CCD45F9"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Metal Fitters and Machinists</w:t>
            </w:r>
          </w:p>
        </w:tc>
        <w:tc>
          <w:tcPr>
            <w:tcW w:w="1400" w:type="dxa"/>
            <w:tcMar>
              <w:top w:w="0" w:type="dxa"/>
              <w:left w:w="108" w:type="dxa"/>
              <w:bottom w:w="0" w:type="dxa"/>
              <w:right w:w="108" w:type="dxa"/>
            </w:tcMar>
            <w:vAlign w:val="bottom"/>
          </w:tcPr>
          <w:p w14:paraId="3A021828"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5.9</w:t>
            </w:r>
          </w:p>
        </w:tc>
      </w:tr>
      <w:tr w:rsidR="00745D89" w:rsidRPr="002E702C" w14:paraId="2B48173F" w14:textId="77777777" w:rsidTr="00502054">
        <w:tc>
          <w:tcPr>
            <w:tcW w:w="3119" w:type="dxa"/>
            <w:gridSpan w:val="2"/>
            <w:vMerge/>
            <w:vAlign w:val="bottom"/>
          </w:tcPr>
          <w:p w14:paraId="3A1038D3"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1B60D4FD"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Structural Steel and Welding Trades Workers</w:t>
            </w:r>
          </w:p>
        </w:tc>
        <w:tc>
          <w:tcPr>
            <w:tcW w:w="1400" w:type="dxa"/>
            <w:tcMar>
              <w:top w:w="0" w:type="dxa"/>
              <w:left w:w="108" w:type="dxa"/>
              <w:bottom w:w="0" w:type="dxa"/>
              <w:right w:w="108" w:type="dxa"/>
            </w:tcMar>
            <w:vAlign w:val="bottom"/>
          </w:tcPr>
          <w:p w14:paraId="6CD7BBAF" w14:textId="77777777" w:rsidR="00745D89" w:rsidRPr="002E702C" w:rsidRDefault="00745D89" w:rsidP="001D600D">
            <w:pPr>
              <w:spacing w:after="0" w:line="276" w:lineRule="auto"/>
              <w:rPr>
                <w:rFonts w:asciiTheme="minorHAnsi" w:hAnsiTheme="minorHAnsi" w:cstheme="minorHAnsi"/>
                <w:color w:val="FF0000"/>
              </w:rPr>
            </w:pPr>
            <w:r w:rsidRPr="002E702C">
              <w:rPr>
                <w:rFonts w:asciiTheme="minorHAnsi" w:hAnsiTheme="minorHAnsi" w:cstheme="minorHAnsi"/>
                <w:color w:val="000000"/>
              </w:rPr>
              <w:t>5.6</w:t>
            </w:r>
          </w:p>
        </w:tc>
      </w:tr>
      <w:tr w:rsidR="00745D89" w:rsidRPr="002E702C" w14:paraId="174D1E06" w14:textId="77777777" w:rsidTr="00502054">
        <w:tc>
          <w:tcPr>
            <w:tcW w:w="3119" w:type="dxa"/>
            <w:gridSpan w:val="2"/>
            <w:vMerge/>
            <w:vAlign w:val="bottom"/>
          </w:tcPr>
          <w:p w14:paraId="07B08A4E"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1AB69194"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Cooks</w:t>
            </w:r>
          </w:p>
        </w:tc>
        <w:tc>
          <w:tcPr>
            <w:tcW w:w="1400" w:type="dxa"/>
            <w:tcMar>
              <w:top w:w="0" w:type="dxa"/>
              <w:left w:w="108" w:type="dxa"/>
              <w:bottom w:w="0" w:type="dxa"/>
              <w:right w:w="108" w:type="dxa"/>
            </w:tcMar>
            <w:vAlign w:val="bottom"/>
          </w:tcPr>
          <w:p w14:paraId="68FB99EE"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5.0</w:t>
            </w:r>
          </w:p>
        </w:tc>
      </w:tr>
      <w:tr w:rsidR="00745D89" w:rsidRPr="002E702C" w14:paraId="5528F1CF" w14:textId="77777777" w:rsidTr="00502054">
        <w:tc>
          <w:tcPr>
            <w:tcW w:w="3119" w:type="dxa"/>
            <w:gridSpan w:val="2"/>
            <w:vMerge/>
            <w:vAlign w:val="bottom"/>
          </w:tcPr>
          <w:p w14:paraId="04858880"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11D25272"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Construction Managers</w:t>
            </w:r>
          </w:p>
        </w:tc>
        <w:tc>
          <w:tcPr>
            <w:tcW w:w="1400" w:type="dxa"/>
            <w:tcMar>
              <w:top w:w="0" w:type="dxa"/>
              <w:left w:w="108" w:type="dxa"/>
              <w:bottom w:w="0" w:type="dxa"/>
              <w:right w:w="108" w:type="dxa"/>
            </w:tcMar>
            <w:vAlign w:val="bottom"/>
          </w:tcPr>
          <w:p w14:paraId="4CB19EE1"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4.8</w:t>
            </w:r>
          </w:p>
        </w:tc>
      </w:tr>
      <w:tr w:rsidR="00745D89" w:rsidRPr="002E702C" w14:paraId="4082331D" w14:textId="77777777" w:rsidTr="00502054">
        <w:tc>
          <w:tcPr>
            <w:tcW w:w="3119" w:type="dxa"/>
            <w:gridSpan w:val="2"/>
            <w:vMerge/>
            <w:vAlign w:val="bottom"/>
          </w:tcPr>
          <w:p w14:paraId="1ED16466"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62055A7E"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Civil Engineering Professionals</w:t>
            </w:r>
          </w:p>
        </w:tc>
        <w:tc>
          <w:tcPr>
            <w:tcW w:w="1400" w:type="dxa"/>
            <w:tcMar>
              <w:top w:w="0" w:type="dxa"/>
              <w:left w:w="108" w:type="dxa"/>
              <w:bottom w:w="0" w:type="dxa"/>
              <w:right w:w="108" w:type="dxa"/>
            </w:tcMar>
            <w:vAlign w:val="bottom"/>
          </w:tcPr>
          <w:p w14:paraId="026D91E2" w14:textId="77777777" w:rsidR="00745D89" w:rsidRPr="002E702C" w:rsidRDefault="00745D89" w:rsidP="001D600D">
            <w:pPr>
              <w:spacing w:after="0" w:line="276" w:lineRule="auto"/>
              <w:rPr>
                <w:rFonts w:asciiTheme="minorHAnsi" w:hAnsiTheme="minorHAnsi" w:cstheme="minorHAnsi"/>
              </w:rPr>
            </w:pPr>
            <w:r w:rsidRPr="002E702C">
              <w:rPr>
                <w:rFonts w:asciiTheme="minorHAnsi" w:hAnsiTheme="minorHAnsi" w:cstheme="minorHAnsi"/>
                <w:color w:val="000000"/>
              </w:rPr>
              <w:t>4.7</w:t>
            </w:r>
          </w:p>
        </w:tc>
      </w:tr>
      <w:tr w:rsidR="00745D89" w:rsidRPr="002E702C" w14:paraId="76A73680" w14:textId="77777777" w:rsidTr="00502054">
        <w:tc>
          <w:tcPr>
            <w:tcW w:w="3119" w:type="dxa"/>
            <w:gridSpan w:val="2"/>
            <w:vMerge/>
            <w:vAlign w:val="bottom"/>
          </w:tcPr>
          <w:p w14:paraId="5DEFB93A"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50A1C0CF"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General Practitioners and Resident Medical Officers</w:t>
            </w:r>
          </w:p>
        </w:tc>
        <w:tc>
          <w:tcPr>
            <w:tcW w:w="1400" w:type="dxa"/>
            <w:tcMar>
              <w:top w:w="0" w:type="dxa"/>
              <w:left w:w="108" w:type="dxa"/>
              <w:bottom w:w="0" w:type="dxa"/>
              <w:right w:w="108" w:type="dxa"/>
            </w:tcMar>
            <w:vAlign w:val="bottom"/>
          </w:tcPr>
          <w:p w14:paraId="686E9DC3"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4.3</w:t>
            </w:r>
          </w:p>
        </w:tc>
      </w:tr>
      <w:tr w:rsidR="00745D89" w:rsidRPr="002E702C" w14:paraId="1C9217DB" w14:textId="77777777" w:rsidTr="00502054">
        <w:tc>
          <w:tcPr>
            <w:tcW w:w="3119" w:type="dxa"/>
            <w:gridSpan w:val="2"/>
            <w:vMerge/>
            <w:vAlign w:val="bottom"/>
          </w:tcPr>
          <w:p w14:paraId="07E2C596"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21C2D35A"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Electricians</w:t>
            </w:r>
          </w:p>
        </w:tc>
        <w:tc>
          <w:tcPr>
            <w:tcW w:w="1400" w:type="dxa"/>
            <w:tcMar>
              <w:top w:w="0" w:type="dxa"/>
              <w:left w:w="108" w:type="dxa"/>
              <w:bottom w:w="0" w:type="dxa"/>
              <w:right w:w="108" w:type="dxa"/>
            </w:tcMar>
            <w:vAlign w:val="bottom"/>
          </w:tcPr>
          <w:p w14:paraId="4A32DE97" w14:textId="77777777" w:rsidR="00745D89" w:rsidRPr="005244FA" w:rsidRDefault="00745D89" w:rsidP="001D600D">
            <w:pPr>
              <w:spacing w:after="0" w:line="276" w:lineRule="auto"/>
              <w:rPr>
                <w:rFonts w:asciiTheme="minorHAnsi" w:hAnsiTheme="minorHAnsi" w:cstheme="minorHAnsi"/>
              </w:rPr>
            </w:pPr>
            <w:r w:rsidRPr="005244FA">
              <w:rPr>
                <w:rFonts w:asciiTheme="minorHAnsi" w:hAnsiTheme="minorHAnsi" w:cstheme="minorHAnsi"/>
                <w:color w:val="000000"/>
              </w:rPr>
              <w:t>4.2</w:t>
            </w:r>
          </w:p>
        </w:tc>
      </w:tr>
      <w:tr w:rsidR="00745D89" w:rsidRPr="002E702C" w14:paraId="4FE5587A" w14:textId="77777777" w:rsidTr="00502054">
        <w:tc>
          <w:tcPr>
            <w:tcW w:w="3119" w:type="dxa"/>
            <w:gridSpan w:val="2"/>
            <w:vMerge w:val="restart"/>
            <w:vAlign w:val="bottom"/>
          </w:tcPr>
          <w:p w14:paraId="2BA9ED99"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Western Australia - Wheat Belt</w:t>
            </w:r>
          </w:p>
        </w:tc>
        <w:tc>
          <w:tcPr>
            <w:tcW w:w="6095" w:type="dxa"/>
            <w:tcMar>
              <w:top w:w="0" w:type="dxa"/>
              <w:left w:w="108" w:type="dxa"/>
              <w:bottom w:w="0" w:type="dxa"/>
              <w:right w:w="108" w:type="dxa"/>
            </w:tcMar>
            <w:vAlign w:val="bottom"/>
          </w:tcPr>
          <w:p w14:paraId="310CD389" w14:textId="77777777" w:rsidR="00745D89" w:rsidRPr="005244FA" w:rsidRDefault="00745D89" w:rsidP="001D600D">
            <w:pPr>
              <w:spacing w:after="0" w:line="276" w:lineRule="auto"/>
              <w:rPr>
                <w:rFonts w:asciiTheme="minorHAnsi" w:hAnsiTheme="minorHAnsi" w:cstheme="minorHAnsi"/>
                <w:color w:val="000000"/>
              </w:rPr>
            </w:pPr>
            <w:r w:rsidRPr="005244FA">
              <w:rPr>
                <w:rFonts w:asciiTheme="minorHAnsi" w:hAnsiTheme="minorHAnsi" w:cstheme="minorHAnsi"/>
                <w:color w:val="000000"/>
              </w:rPr>
              <w:t>Mining Engineers</w:t>
            </w:r>
          </w:p>
        </w:tc>
        <w:tc>
          <w:tcPr>
            <w:tcW w:w="1400" w:type="dxa"/>
            <w:tcMar>
              <w:top w:w="0" w:type="dxa"/>
              <w:left w:w="108" w:type="dxa"/>
              <w:bottom w:w="0" w:type="dxa"/>
              <w:right w:w="108" w:type="dxa"/>
            </w:tcMar>
            <w:vAlign w:val="bottom"/>
          </w:tcPr>
          <w:p w14:paraId="541BF726" w14:textId="77777777" w:rsidR="00745D89" w:rsidRPr="005244FA" w:rsidRDefault="00745D89" w:rsidP="001D600D">
            <w:pPr>
              <w:spacing w:after="0" w:line="276" w:lineRule="auto"/>
              <w:rPr>
                <w:rFonts w:asciiTheme="minorHAnsi" w:hAnsiTheme="minorHAnsi" w:cstheme="minorHAnsi"/>
                <w:color w:val="000000"/>
              </w:rPr>
            </w:pPr>
            <w:r w:rsidRPr="005244FA">
              <w:rPr>
                <w:rFonts w:asciiTheme="minorHAnsi" w:hAnsiTheme="minorHAnsi" w:cstheme="minorHAnsi"/>
                <w:color w:val="000000"/>
              </w:rPr>
              <w:t>33.0</w:t>
            </w:r>
          </w:p>
        </w:tc>
      </w:tr>
      <w:tr w:rsidR="00745D89" w:rsidRPr="002E702C" w14:paraId="62979839" w14:textId="77777777" w:rsidTr="00502054">
        <w:tc>
          <w:tcPr>
            <w:tcW w:w="3119" w:type="dxa"/>
            <w:gridSpan w:val="2"/>
            <w:vMerge/>
            <w:vAlign w:val="bottom"/>
          </w:tcPr>
          <w:p w14:paraId="2C801AD6"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49924767" w14:textId="77777777" w:rsidR="00745D89" w:rsidRPr="005244FA" w:rsidRDefault="00745D89" w:rsidP="001D600D">
            <w:pPr>
              <w:spacing w:after="0" w:line="276" w:lineRule="auto"/>
              <w:rPr>
                <w:rFonts w:asciiTheme="minorHAnsi" w:hAnsiTheme="minorHAnsi" w:cstheme="minorHAnsi"/>
                <w:color w:val="000000"/>
              </w:rPr>
            </w:pPr>
            <w:r w:rsidRPr="005244FA">
              <w:rPr>
                <w:rFonts w:asciiTheme="minorHAnsi" w:hAnsiTheme="minorHAnsi" w:cstheme="minorHAnsi"/>
                <w:color w:val="000000"/>
              </w:rPr>
              <w:t>General Practitioners and Resident Medical Officers</w:t>
            </w:r>
          </w:p>
        </w:tc>
        <w:tc>
          <w:tcPr>
            <w:tcW w:w="1400" w:type="dxa"/>
            <w:tcMar>
              <w:top w:w="0" w:type="dxa"/>
              <w:left w:w="108" w:type="dxa"/>
              <w:bottom w:w="0" w:type="dxa"/>
              <w:right w:w="108" w:type="dxa"/>
            </w:tcMar>
            <w:vAlign w:val="bottom"/>
          </w:tcPr>
          <w:p w14:paraId="0BCA1516" w14:textId="77777777" w:rsidR="00745D89" w:rsidRPr="005244FA" w:rsidRDefault="00745D89" w:rsidP="001D600D">
            <w:pPr>
              <w:spacing w:after="0" w:line="276" w:lineRule="auto"/>
              <w:rPr>
                <w:rFonts w:asciiTheme="minorHAnsi" w:hAnsiTheme="minorHAnsi" w:cstheme="minorHAnsi"/>
                <w:color w:val="000000"/>
              </w:rPr>
            </w:pPr>
            <w:r w:rsidRPr="005244FA">
              <w:rPr>
                <w:rFonts w:asciiTheme="minorHAnsi" w:hAnsiTheme="minorHAnsi" w:cstheme="minorHAnsi"/>
                <w:color w:val="000000"/>
              </w:rPr>
              <w:t>9.0</w:t>
            </w:r>
          </w:p>
        </w:tc>
      </w:tr>
      <w:tr w:rsidR="00745D89" w:rsidRPr="002E702C" w14:paraId="5194EDF2" w14:textId="77777777" w:rsidTr="00502054">
        <w:tc>
          <w:tcPr>
            <w:tcW w:w="3119" w:type="dxa"/>
            <w:gridSpan w:val="2"/>
            <w:vMerge/>
            <w:vAlign w:val="bottom"/>
          </w:tcPr>
          <w:p w14:paraId="6CB7BB7D" w14:textId="77777777" w:rsidR="00745D89" w:rsidRPr="002E702C" w:rsidRDefault="00745D89" w:rsidP="001D600D">
            <w:pPr>
              <w:spacing w:after="0" w:line="276" w:lineRule="auto"/>
              <w:rPr>
                <w:rFonts w:asciiTheme="minorHAnsi" w:hAnsiTheme="minorHAnsi" w:cstheme="minorHAnsi"/>
                <w:color w:val="000000"/>
              </w:rPr>
            </w:pPr>
          </w:p>
        </w:tc>
        <w:tc>
          <w:tcPr>
            <w:tcW w:w="6095" w:type="dxa"/>
            <w:tcMar>
              <w:top w:w="0" w:type="dxa"/>
              <w:left w:w="108" w:type="dxa"/>
              <w:bottom w:w="0" w:type="dxa"/>
              <w:right w:w="108" w:type="dxa"/>
            </w:tcMar>
            <w:vAlign w:val="bottom"/>
          </w:tcPr>
          <w:p w14:paraId="5FA0A31E"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Motor Mechanics</w:t>
            </w:r>
          </w:p>
        </w:tc>
        <w:tc>
          <w:tcPr>
            <w:tcW w:w="1400" w:type="dxa"/>
            <w:tcMar>
              <w:top w:w="0" w:type="dxa"/>
              <w:left w:w="108" w:type="dxa"/>
              <w:bottom w:w="0" w:type="dxa"/>
              <w:right w:w="108" w:type="dxa"/>
            </w:tcMar>
            <w:vAlign w:val="bottom"/>
          </w:tcPr>
          <w:p w14:paraId="309EA7B7" w14:textId="77777777" w:rsidR="00745D89" w:rsidRPr="002E702C" w:rsidRDefault="00745D89"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6.3</w:t>
            </w:r>
          </w:p>
        </w:tc>
      </w:tr>
    </w:tbl>
    <w:p w14:paraId="59794E48" w14:textId="77777777" w:rsidR="00745D89" w:rsidRDefault="00745D89" w:rsidP="00745D89">
      <w:pPr>
        <w:spacing w:after="120" w:line="360" w:lineRule="auto"/>
      </w:pPr>
    </w:p>
    <w:p w14:paraId="7F4A5F5C" w14:textId="77777777" w:rsidR="000E558D" w:rsidRDefault="000E558D" w:rsidP="000E558D">
      <w:pPr>
        <w:pStyle w:val="Heading5"/>
        <w:rPr>
          <w:rFonts w:asciiTheme="minorHAnsi" w:hAnsiTheme="minorHAnsi" w:cstheme="minorHAnsi"/>
        </w:rPr>
      </w:pPr>
      <w:r>
        <w:rPr>
          <w:rFonts w:asciiTheme="minorHAnsi" w:hAnsiTheme="minorHAnsi" w:cstheme="minorHAnsi"/>
        </w:rPr>
        <w:br w:type="page"/>
      </w:r>
    </w:p>
    <w:p w14:paraId="0D115132" w14:textId="6B028F77" w:rsidR="000E558D" w:rsidRPr="002E702C" w:rsidRDefault="000E558D" w:rsidP="000E558D">
      <w:pPr>
        <w:pStyle w:val="Heading5"/>
        <w:rPr>
          <w:rFonts w:asciiTheme="minorHAnsi" w:hAnsiTheme="minorHAnsi" w:cstheme="minorHAnsi"/>
        </w:rPr>
      </w:pPr>
      <w:r w:rsidRPr="002E702C">
        <w:rPr>
          <w:rFonts w:asciiTheme="minorHAnsi" w:hAnsiTheme="minorHAnsi" w:cstheme="minorHAnsi"/>
        </w:rPr>
        <w:lastRenderedPageBreak/>
        <w:t xml:space="preserve">Table A7: Top regional Tasmania </w:t>
      </w:r>
      <w:r w:rsidR="0064373F">
        <w:rPr>
          <w:rFonts w:asciiTheme="minorHAnsi" w:hAnsiTheme="minorHAnsi" w:cstheme="minorHAnsi"/>
        </w:rPr>
        <w:t>IVI vacancy</w:t>
      </w:r>
      <w:r w:rsidRPr="002E702C">
        <w:rPr>
          <w:rFonts w:asciiTheme="minorHAnsi" w:hAnsiTheme="minorHAnsi" w:cstheme="minorHAnsi"/>
        </w:rPr>
        <w:t xml:space="preserve"> rat</w:t>
      </w:r>
      <w:r>
        <w:rPr>
          <w:rFonts w:asciiTheme="minorHAnsi" w:hAnsiTheme="minorHAnsi" w:cstheme="minorHAnsi"/>
        </w:rPr>
        <w:t>io</w:t>
      </w:r>
      <w:r w:rsidRPr="002E702C">
        <w:rPr>
          <w:rFonts w:asciiTheme="minorHAnsi" w:hAnsiTheme="minorHAnsi" w:cstheme="minorHAnsi"/>
        </w:rPr>
        <w:t>s (</w:t>
      </w:r>
      <w:r w:rsidR="00AA78A0">
        <w:rPr>
          <w:rFonts w:asciiTheme="minorHAnsi" w:hAnsiTheme="minorHAnsi" w:cstheme="minorHAnsi"/>
        </w:rPr>
        <w:t>IVI job</w:t>
      </w:r>
      <w:r w:rsidR="002A1C3A" w:rsidRPr="002E702C">
        <w:rPr>
          <w:rFonts w:asciiTheme="minorHAnsi" w:hAnsiTheme="minorHAnsi" w:cstheme="minorHAnsi"/>
        </w:rPr>
        <w:t xml:space="preserve"> ad</w:t>
      </w:r>
      <w:r w:rsidR="002A1C3A">
        <w:rPr>
          <w:rFonts w:asciiTheme="minorHAnsi" w:hAnsiTheme="minorHAnsi" w:cstheme="minorHAnsi"/>
        </w:rPr>
        <w:t>vertisement</w:t>
      </w:r>
      <w:r w:rsidR="002A1C3A" w:rsidRPr="002E702C">
        <w:rPr>
          <w:rFonts w:asciiTheme="minorHAnsi" w:hAnsiTheme="minorHAnsi" w:cstheme="minorHAnsi"/>
        </w:rPr>
        <w:t xml:space="preserve">s </w:t>
      </w:r>
      <w:r w:rsidRPr="002E702C">
        <w:rPr>
          <w:rFonts w:asciiTheme="minorHAnsi" w:hAnsiTheme="minorHAnsi" w:cstheme="minorHAnsi"/>
        </w:rPr>
        <w:t xml:space="preserve">as a proportion of employment), for occupations in shortage on the 2022 SPL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6095"/>
        <w:gridCol w:w="1400"/>
      </w:tblGrid>
      <w:tr w:rsidR="000E558D" w:rsidRPr="002E702C" w14:paraId="5A7B02D0" w14:textId="77777777" w:rsidTr="00D52926">
        <w:tc>
          <w:tcPr>
            <w:tcW w:w="3114" w:type="dxa"/>
            <w:shd w:val="clear" w:color="auto" w:fill="441170" w:themeFill="text2"/>
          </w:tcPr>
          <w:p w14:paraId="6C649220" w14:textId="49ACE47A" w:rsidR="000E558D" w:rsidRPr="002E702C" w:rsidRDefault="000E558D" w:rsidP="001D600D">
            <w:pPr>
              <w:spacing w:after="0" w:line="276" w:lineRule="auto"/>
              <w:rPr>
                <w:rFonts w:asciiTheme="minorHAnsi" w:hAnsiTheme="minorHAnsi" w:cstheme="minorHAnsi"/>
                <w:b/>
                <w:bCs/>
                <w:color w:val="FFFFFF" w:themeColor="background1"/>
              </w:rPr>
            </w:pPr>
            <w:r w:rsidRPr="002E702C">
              <w:rPr>
                <w:rFonts w:asciiTheme="minorHAnsi" w:hAnsiTheme="minorHAnsi" w:cstheme="minorHAnsi"/>
                <w:b/>
                <w:bCs/>
                <w:color w:val="FFFFFF" w:themeColor="background1"/>
              </w:rPr>
              <w:t>Tas</w:t>
            </w:r>
            <w:r w:rsidR="00172136">
              <w:rPr>
                <w:rFonts w:asciiTheme="minorHAnsi" w:hAnsiTheme="minorHAnsi" w:cstheme="minorHAnsi"/>
                <w:b/>
                <w:bCs/>
                <w:color w:val="FFFFFF" w:themeColor="background1"/>
              </w:rPr>
              <w:t>mania</w:t>
            </w:r>
            <w:r w:rsidRPr="002E702C">
              <w:rPr>
                <w:rFonts w:asciiTheme="minorHAnsi" w:hAnsiTheme="minorHAnsi" w:cstheme="minorHAnsi"/>
                <w:b/>
                <w:bCs/>
                <w:color w:val="FFFFFF" w:themeColor="background1"/>
              </w:rPr>
              <w:t xml:space="preserve"> SA4 region</w:t>
            </w:r>
          </w:p>
        </w:tc>
        <w:tc>
          <w:tcPr>
            <w:tcW w:w="6095" w:type="dxa"/>
            <w:shd w:val="clear" w:color="auto" w:fill="441170" w:themeFill="text2"/>
            <w:tcMar>
              <w:top w:w="0" w:type="dxa"/>
              <w:left w:w="108" w:type="dxa"/>
              <w:bottom w:w="0" w:type="dxa"/>
              <w:right w:w="108" w:type="dxa"/>
            </w:tcMar>
            <w:hideMark/>
          </w:tcPr>
          <w:p w14:paraId="6946C0D8" w14:textId="77777777" w:rsidR="000E558D" w:rsidRPr="002E702C" w:rsidRDefault="000E558D" w:rsidP="001D600D">
            <w:pPr>
              <w:spacing w:after="0" w:line="276" w:lineRule="auto"/>
              <w:rPr>
                <w:rFonts w:asciiTheme="minorHAnsi" w:hAnsiTheme="minorHAnsi" w:cstheme="minorHAnsi"/>
                <w:b/>
                <w:bCs/>
                <w:color w:val="FFFFFF" w:themeColor="background1"/>
              </w:rPr>
            </w:pPr>
            <w:r w:rsidRPr="002E702C">
              <w:rPr>
                <w:rFonts w:asciiTheme="minorHAnsi" w:hAnsiTheme="minorHAnsi" w:cstheme="minorHAnsi"/>
                <w:b/>
                <w:bCs/>
                <w:color w:val="FFFFFF" w:themeColor="background1"/>
              </w:rPr>
              <w:t xml:space="preserve">Occupations </w:t>
            </w:r>
          </w:p>
        </w:tc>
        <w:tc>
          <w:tcPr>
            <w:tcW w:w="1400" w:type="dxa"/>
            <w:shd w:val="clear" w:color="auto" w:fill="441170" w:themeFill="text2"/>
            <w:tcMar>
              <w:top w:w="0" w:type="dxa"/>
              <w:left w:w="108" w:type="dxa"/>
              <w:bottom w:w="0" w:type="dxa"/>
              <w:right w:w="108" w:type="dxa"/>
            </w:tcMar>
            <w:hideMark/>
          </w:tcPr>
          <w:p w14:paraId="5A611BF9" w14:textId="1DA3D30E" w:rsidR="000E558D" w:rsidRPr="002E702C" w:rsidRDefault="0064373F" w:rsidP="001D600D">
            <w:pPr>
              <w:spacing w:after="0" w:line="276" w:lineRule="auto"/>
              <w:rPr>
                <w:rFonts w:asciiTheme="minorHAnsi" w:hAnsiTheme="minorHAnsi" w:cstheme="minorHAnsi"/>
                <w:b/>
                <w:bCs/>
                <w:color w:val="FFFFFF" w:themeColor="background1"/>
              </w:rPr>
            </w:pPr>
            <w:r>
              <w:rPr>
                <w:rFonts w:asciiTheme="minorHAnsi" w:hAnsiTheme="minorHAnsi" w:cstheme="minorHAnsi"/>
                <w:b/>
                <w:bCs/>
                <w:color w:val="FFFFFF"/>
              </w:rPr>
              <w:t>IVI vacancy</w:t>
            </w:r>
            <w:r w:rsidR="000E558D">
              <w:rPr>
                <w:rFonts w:asciiTheme="minorHAnsi" w:hAnsiTheme="minorHAnsi" w:cstheme="minorHAnsi"/>
                <w:b/>
                <w:bCs/>
                <w:color w:val="FFFFFF"/>
              </w:rPr>
              <w:t xml:space="preserve"> </w:t>
            </w:r>
            <w:r w:rsidR="00502054">
              <w:rPr>
                <w:rFonts w:asciiTheme="minorHAnsi" w:hAnsiTheme="minorHAnsi" w:cstheme="minorHAnsi"/>
                <w:b/>
                <w:bCs/>
                <w:color w:val="FFFFFF"/>
              </w:rPr>
              <w:t>r</w:t>
            </w:r>
            <w:r w:rsidR="000E558D">
              <w:rPr>
                <w:rFonts w:asciiTheme="minorHAnsi" w:hAnsiTheme="minorHAnsi" w:cstheme="minorHAnsi"/>
                <w:b/>
                <w:bCs/>
                <w:color w:val="FFFFFF"/>
              </w:rPr>
              <w:t>atio</w:t>
            </w:r>
            <w:r w:rsidR="000E558D" w:rsidRPr="002E702C">
              <w:rPr>
                <w:rFonts w:asciiTheme="minorHAnsi" w:hAnsiTheme="minorHAnsi" w:cstheme="minorHAnsi"/>
                <w:b/>
                <w:bCs/>
                <w:color w:val="FFFFFF"/>
              </w:rPr>
              <w:t xml:space="preserve"> (%)</w:t>
            </w:r>
          </w:p>
        </w:tc>
      </w:tr>
      <w:tr w:rsidR="000E558D" w:rsidRPr="002E702C" w14:paraId="18ABC17C" w14:textId="77777777" w:rsidTr="00D52926">
        <w:tc>
          <w:tcPr>
            <w:tcW w:w="3114" w:type="dxa"/>
            <w:vMerge w:val="restart"/>
            <w:vAlign w:val="bottom"/>
          </w:tcPr>
          <w:p w14:paraId="3C27B9DB" w14:textId="77777777" w:rsidR="000E558D" w:rsidRPr="002E702C" w:rsidRDefault="000E558D" w:rsidP="001D600D">
            <w:pPr>
              <w:spacing w:after="0" w:line="276" w:lineRule="auto"/>
              <w:rPr>
                <w:rFonts w:asciiTheme="minorHAnsi" w:hAnsiTheme="minorHAnsi" w:cstheme="minorHAnsi"/>
              </w:rPr>
            </w:pPr>
            <w:r w:rsidRPr="002E702C">
              <w:rPr>
                <w:rFonts w:asciiTheme="minorHAnsi" w:hAnsiTheme="minorHAnsi" w:cstheme="minorHAnsi"/>
                <w:color w:val="000000"/>
              </w:rPr>
              <w:t>Launceston and North East</w:t>
            </w:r>
          </w:p>
          <w:p w14:paraId="5B11EDA9" w14:textId="77777777" w:rsidR="000E558D" w:rsidRPr="002E702C" w:rsidRDefault="000E558D" w:rsidP="001D600D">
            <w:pPr>
              <w:spacing w:after="0" w:line="276" w:lineRule="auto"/>
              <w:rPr>
                <w:rFonts w:asciiTheme="minorHAnsi" w:hAnsiTheme="minorHAnsi" w:cstheme="minorHAnsi"/>
              </w:rPr>
            </w:pPr>
          </w:p>
        </w:tc>
        <w:tc>
          <w:tcPr>
            <w:tcW w:w="6095" w:type="dxa"/>
            <w:tcMar>
              <w:top w:w="0" w:type="dxa"/>
              <w:left w:w="108" w:type="dxa"/>
              <w:bottom w:w="0" w:type="dxa"/>
              <w:right w:w="108" w:type="dxa"/>
            </w:tcMar>
            <w:vAlign w:val="bottom"/>
          </w:tcPr>
          <w:p w14:paraId="59D743D6" w14:textId="77777777" w:rsidR="000E558D" w:rsidRPr="002E702C" w:rsidRDefault="000E558D" w:rsidP="001D600D">
            <w:pPr>
              <w:spacing w:after="0" w:line="276" w:lineRule="auto"/>
              <w:rPr>
                <w:rFonts w:asciiTheme="minorHAnsi" w:hAnsiTheme="minorHAnsi" w:cstheme="minorHAnsi"/>
              </w:rPr>
            </w:pPr>
            <w:r w:rsidRPr="002E702C">
              <w:rPr>
                <w:rFonts w:asciiTheme="minorHAnsi" w:hAnsiTheme="minorHAnsi" w:cstheme="minorHAnsi"/>
                <w:color w:val="000000"/>
              </w:rPr>
              <w:t>Occupational Therapists</w:t>
            </w:r>
          </w:p>
        </w:tc>
        <w:tc>
          <w:tcPr>
            <w:tcW w:w="1400" w:type="dxa"/>
            <w:tcMar>
              <w:top w:w="0" w:type="dxa"/>
              <w:left w:w="108" w:type="dxa"/>
              <w:bottom w:w="0" w:type="dxa"/>
              <w:right w:w="108" w:type="dxa"/>
            </w:tcMar>
            <w:vAlign w:val="bottom"/>
          </w:tcPr>
          <w:p w14:paraId="3252419C" w14:textId="77777777" w:rsidR="000E558D" w:rsidRPr="002E702C" w:rsidRDefault="000E558D" w:rsidP="001D600D">
            <w:pPr>
              <w:spacing w:after="0" w:line="276" w:lineRule="auto"/>
              <w:rPr>
                <w:rFonts w:asciiTheme="minorHAnsi" w:hAnsiTheme="minorHAnsi" w:cstheme="minorHAnsi"/>
              </w:rPr>
            </w:pPr>
            <w:r w:rsidRPr="002E702C">
              <w:rPr>
                <w:rFonts w:asciiTheme="minorHAnsi" w:hAnsiTheme="minorHAnsi" w:cstheme="minorHAnsi"/>
                <w:color w:val="000000"/>
              </w:rPr>
              <w:t>4.6</w:t>
            </w:r>
          </w:p>
        </w:tc>
      </w:tr>
      <w:tr w:rsidR="000E558D" w:rsidRPr="002E702C" w14:paraId="457D9F2A" w14:textId="77777777" w:rsidTr="00D52926">
        <w:tc>
          <w:tcPr>
            <w:tcW w:w="3114" w:type="dxa"/>
            <w:vMerge/>
            <w:vAlign w:val="bottom"/>
          </w:tcPr>
          <w:p w14:paraId="102A7449" w14:textId="77777777" w:rsidR="000E558D" w:rsidRPr="002E702C" w:rsidRDefault="000E558D" w:rsidP="001D600D">
            <w:pPr>
              <w:spacing w:after="0" w:line="276" w:lineRule="auto"/>
              <w:rPr>
                <w:rFonts w:asciiTheme="minorHAnsi" w:hAnsiTheme="minorHAnsi" w:cstheme="minorHAnsi"/>
              </w:rPr>
            </w:pPr>
          </w:p>
        </w:tc>
        <w:tc>
          <w:tcPr>
            <w:tcW w:w="6095" w:type="dxa"/>
            <w:tcMar>
              <w:top w:w="0" w:type="dxa"/>
              <w:left w:w="108" w:type="dxa"/>
              <w:bottom w:w="0" w:type="dxa"/>
              <w:right w:w="108" w:type="dxa"/>
            </w:tcMar>
            <w:vAlign w:val="bottom"/>
          </w:tcPr>
          <w:p w14:paraId="47BBDDE0" w14:textId="77777777" w:rsidR="000E558D" w:rsidRPr="002E702C" w:rsidRDefault="000E558D" w:rsidP="001D600D">
            <w:pPr>
              <w:spacing w:after="0" w:line="276" w:lineRule="auto"/>
              <w:rPr>
                <w:rFonts w:asciiTheme="minorHAnsi" w:hAnsiTheme="minorHAnsi" w:cstheme="minorHAnsi"/>
              </w:rPr>
            </w:pPr>
            <w:r w:rsidRPr="002E702C">
              <w:rPr>
                <w:rFonts w:asciiTheme="minorHAnsi" w:hAnsiTheme="minorHAnsi" w:cstheme="minorHAnsi"/>
                <w:color w:val="000000"/>
              </w:rPr>
              <w:t>Motor Mechanics</w:t>
            </w:r>
          </w:p>
        </w:tc>
        <w:tc>
          <w:tcPr>
            <w:tcW w:w="1400" w:type="dxa"/>
            <w:tcMar>
              <w:top w:w="0" w:type="dxa"/>
              <w:left w:w="108" w:type="dxa"/>
              <w:bottom w:w="0" w:type="dxa"/>
              <w:right w:w="108" w:type="dxa"/>
            </w:tcMar>
            <w:vAlign w:val="bottom"/>
          </w:tcPr>
          <w:p w14:paraId="0D3BAD8D" w14:textId="77777777" w:rsidR="000E558D" w:rsidRPr="002E702C" w:rsidRDefault="000E558D" w:rsidP="001D600D">
            <w:pPr>
              <w:spacing w:after="0" w:line="276" w:lineRule="auto"/>
              <w:rPr>
                <w:rFonts w:asciiTheme="minorHAnsi" w:hAnsiTheme="minorHAnsi" w:cstheme="minorHAnsi"/>
              </w:rPr>
            </w:pPr>
            <w:r w:rsidRPr="002E702C">
              <w:rPr>
                <w:rFonts w:asciiTheme="minorHAnsi" w:hAnsiTheme="minorHAnsi" w:cstheme="minorHAnsi"/>
                <w:color w:val="000000"/>
              </w:rPr>
              <w:t>4.5</w:t>
            </w:r>
          </w:p>
        </w:tc>
      </w:tr>
      <w:tr w:rsidR="000E558D" w:rsidRPr="002E702C" w14:paraId="3ED1CD1F" w14:textId="77777777" w:rsidTr="00D52926">
        <w:tc>
          <w:tcPr>
            <w:tcW w:w="3114" w:type="dxa"/>
            <w:vAlign w:val="bottom"/>
          </w:tcPr>
          <w:p w14:paraId="7F4FD6C9" w14:textId="77777777" w:rsidR="000E558D" w:rsidRPr="002E702C" w:rsidRDefault="000E558D" w:rsidP="001D600D">
            <w:pPr>
              <w:spacing w:after="0" w:line="276" w:lineRule="auto"/>
              <w:rPr>
                <w:rFonts w:asciiTheme="minorHAnsi" w:hAnsiTheme="minorHAnsi" w:cstheme="minorHAnsi"/>
              </w:rPr>
            </w:pPr>
            <w:r w:rsidRPr="002E702C">
              <w:rPr>
                <w:rFonts w:asciiTheme="minorHAnsi" w:hAnsiTheme="minorHAnsi" w:cstheme="minorHAnsi"/>
                <w:color w:val="000000"/>
              </w:rPr>
              <w:t>West and North West</w:t>
            </w:r>
          </w:p>
        </w:tc>
        <w:tc>
          <w:tcPr>
            <w:tcW w:w="6095" w:type="dxa"/>
            <w:tcMar>
              <w:top w:w="0" w:type="dxa"/>
              <w:left w:w="108" w:type="dxa"/>
              <w:bottom w:w="0" w:type="dxa"/>
              <w:right w:w="108" w:type="dxa"/>
            </w:tcMar>
            <w:vAlign w:val="bottom"/>
          </w:tcPr>
          <w:p w14:paraId="34EFD6A1" w14:textId="77777777" w:rsidR="000E558D" w:rsidRPr="002E702C" w:rsidRDefault="000E558D"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General Practitioners and Resident Medical Officers</w:t>
            </w:r>
          </w:p>
        </w:tc>
        <w:tc>
          <w:tcPr>
            <w:tcW w:w="1400" w:type="dxa"/>
            <w:tcMar>
              <w:top w:w="0" w:type="dxa"/>
              <w:left w:w="108" w:type="dxa"/>
              <w:bottom w:w="0" w:type="dxa"/>
              <w:right w:w="108" w:type="dxa"/>
            </w:tcMar>
            <w:vAlign w:val="bottom"/>
          </w:tcPr>
          <w:p w14:paraId="7009B0D5" w14:textId="77777777" w:rsidR="000E558D" w:rsidRPr="002E702C" w:rsidRDefault="000E558D" w:rsidP="001D600D">
            <w:pPr>
              <w:spacing w:after="0" w:line="276" w:lineRule="auto"/>
              <w:rPr>
                <w:rFonts w:asciiTheme="minorHAnsi" w:hAnsiTheme="minorHAnsi" w:cstheme="minorHAnsi"/>
                <w:color w:val="000000"/>
              </w:rPr>
            </w:pPr>
            <w:r w:rsidRPr="002E702C">
              <w:rPr>
                <w:rFonts w:asciiTheme="minorHAnsi" w:hAnsiTheme="minorHAnsi" w:cstheme="minorHAnsi"/>
                <w:color w:val="000000"/>
              </w:rPr>
              <w:t>6.0</w:t>
            </w:r>
          </w:p>
        </w:tc>
      </w:tr>
    </w:tbl>
    <w:p w14:paraId="11B6EDEA" w14:textId="7F6B3FDE" w:rsidR="000E558D" w:rsidRPr="002E702C" w:rsidRDefault="000E558D" w:rsidP="000E558D">
      <w:pPr>
        <w:pStyle w:val="Heading5"/>
        <w:rPr>
          <w:rFonts w:asciiTheme="minorHAnsi" w:hAnsiTheme="minorHAnsi" w:cstheme="minorHAnsi"/>
          <w:b w:val="0"/>
          <w:bCs w:val="0"/>
          <w:sz w:val="16"/>
          <w:szCs w:val="16"/>
        </w:rPr>
      </w:pPr>
      <w:r w:rsidRPr="002E702C">
        <w:rPr>
          <w:rFonts w:asciiTheme="minorHAnsi" w:hAnsiTheme="minorHAnsi" w:cstheme="minorHAnsi"/>
          <w:b w:val="0"/>
          <w:bCs w:val="0"/>
          <w:sz w:val="16"/>
          <w:szCs w:val="16"/>
        </w:rPr>
        <w:t>*No occupations in the Tasmania South East SA4 region had at least 10 job vacancies per month (on average) and a vacancy rate of at least 4 per cent</w:t>
      </w:r>
      <w:r w:rsidR="003310CD">
        <w:rPr>
          <w:rFonts w:asciiTheme="minorHAnsi" w:hAnsiTheme="minorHAnsi" w:cstheme="minorHAnsi"/>
          <w:b w:val="0"/>
          <w:bCs w:val="0"/>
          <w:sz w:val="16"/>
          <w:szCs w:val="16"/>
        </w:rPr>
        <w:t xml:space="preserve"> </w:t>
      </w:r>
      <w:r w:rsidRPr="002E702C">
        <w:rPr>
          <w:rFonts w:asciiTheme="minorHAnsi" w:hAnsiTheme="minorHAnsi" w:cstheme="minorHAnsi"/>
          <w:b w:val="0"/>
          <w:bCs w:val="0"/>
          <w:sz w:val="16"/>
          <w:szCs w:val="16"/>
        </w:rPr>
        <w:t>– Registered Nurses were the closest occupation to meeting these two criteria.</w:t>
      </w:r>
    </w:p>
    <w:p w14:paraId="31D1E0B5" w14:textId="77777777" w:rsidR="000E558D" w:rsidRPr="002E702C" w:rsidRDefault="000E558D" w:rsidP="000E558D">
      <w:pPr>
        <w:rPr>
          <w:rFonts w:asciiTheme="minorHAnsi" w:hAnsiTheme="minorHAnsi" w:cstheme="minorHAnsi"/>
        </w:rPr>
      </w:pPr>
    </w:p>
    <w:p w14:paraId="5BA64A28" w14:textId="77777777" w:rsidR="000E558D" w:rsidRPr="002E702C" w:rsidRDefault="000E558D" w:rsidP="000E558D">
      <w:pPr>
        <w:rPr>
          <w:rFonts w:asciiTheme="minorHAnsi" w:hAnsiTheme="minorHAnsi" w:cstheme="minorHAnsi"/>
        </w:rPr>
      </w:pPr>
    </w:p>
    <w:p w14:paraId="1577C889" w14:textId="1D9634C6" w:rsidR="000E558D" w:rsidRPr="002E702C" w:rsidRDefault="000E558D" w:rsidP="000E558D">
      <w:pPr>
        <w:pStyle w:val="Heading5"/>
        <w:rPr>
          <w:rFonts w:asciiTheme="minorHAnsi" w:hAnsiTheme="minorHAnsi" w:cstheme="minorHAnsi"/>
        </w:rPr>
      </w:pPr>
      <w:r w:rsidRPr="002E702C">
        <w:rPr>
          <w:rFonts w:asciiTheme="minorHAnsi" w:hAnsiTheme="minorHAnsi" w:cstheme="minorHAnsi"/>
        </w:rPr>
        <w:t xml:space="preserve">Table A8: Top regional Northern Territory </w:t>
      </w:r>
      <w:r w:rsidR="0064373F">
        <w:rPr>
          <w:rFonts w:asciiTheme="minorHAnsi" w:hAnsiTheme="minorHAnsi" w:cstheme="minorHAnsi"/>
        </w:rPr>
        <w:t>IVI vacancy</w:t>
      </w:r>
      <w:r w:rsidRPr="002E702C">
        <w:rPr>
          <w:rFonts w:asciiTheme="minorHAnsi" w:hAnsiTheme="minorHAnsi" w:cstheme="minorHAnsi"/>
        </w:rPr>
        <w:t xml:space="preserve"> rat</w:t>
      </w:r>
      <w:r>
        <w:rPr>
          <w:rFonts w:asciiTheme="minorHAnsi" w:hAnsiTheme="minorHAnsi" w:cstheme="minorHAnsi"/>
        </w:rPr>
        <w:t>io</w:t>
      </w:r>
      <w:r w:rsidRPr="002E702C">
        <w:rPr>
          <w:rFonts w:asciiTheme="minorHAnsi" w:hAnsiTheme="minorHAnsi" w:cstheme="minorHAnsi"/>
        </w:rPr>
        <w:t>s (</w:t>
      </w:r>
      <w:r w:rsidR="00AA78A0">
        <w:rPr>
          <w:rFonts w:asciiTheme="minorHAnsi" w:hAnsiTheme="minorHAnsi" w:cstheme="minorHAnsi"/>
        </w:rPr>
        <w:t>IVI job</w:t>
      </w:r>
      <w:r w:rsidRPr="002E702C">
        <w:rPr>
          <w:rFonts w:asciiTheme="minorHAnsi" w:hAnsiTheme="minorHAnsi" w:cstheme="minorHAnsi"/>
        </w:rPr>
        <w:t xml:space="preserve"> ad</w:t>
      </w:r>
      <w:r w:rsidR="002A1C3A">
        <w:rPr>
          <w:rFonts w:asciiTheme="minorHAnsi" w:hAnsiTheme="minorHAnsi" w:cstheme="minorHAnsi"/>
        </w:rPr>
        <w:t>vertisement</w:t>
      </w:r>
      <w:r w:rsidRPr="002E702C">
        <w:rPr>
          <w:rFonts w:asciiTheme="minorHAnsi" w:hAnsiTheme="minorHAnsi" w:cstheme="minorHAnsi"/>
        </w:rPr>
        <w:t xml:space="preserve">s as a proportion of employment), for occupations in shortage on the 2022 SPL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6095"/>
        <w:gridCol w:w="1400"/>
      </w:tblGrid>
      <w:tr w:rsidR="000E558D" w:rsidRPr="002E702C" w14:paraId="1B2EB000" w14:textId="77777777" w:rsidTr="00D52926">
        <w:tc>
          <w:tcPr>
            <w:tcW w:w="3114" w:type="dxa"/>
            <w:shd w:val="clear" w:color="auto" w:fill="441170" w:themeFill="text2"/>
          </w:tcPr>
          <w:p w14:paraId="2F54E7BE" w14:textId="4E8DAAA4" w:rsidR="000E558D" w:rsidRPr="002E702C" w:rsidRDefault="000E558D" w:rsidP="001D600D">
            <w:pPr>
              <w:spacing w:after="0" w:line="276" w:lineRule="auto"/>
              <w:rPr>
                <w:rFonts w:asciiTheme="minorHAnsi" w:hAnsiTheme="minorHAnsi" w:cstheme="minorHAnsi"/>
                <w:b/>
                <w:bCs/>
                <w:color w:val="FFFFFF" w:themeColor="background1"/>
              </w:rPr>
            </w:pPr>
            <w:r w:rsidRPr="002E702C">
              <w:rPr>
                <w:rFonts w:asciiTheme="minorHAnsi" w:hAnsiTheme="minorHAnsi" w:cstheme="minorHAnsi"/>
                <w:b/>
                <w:bCs/>
                <w:color w:val="FFFFFF" w:themeColor="background1"/>
              </w:rPr>
              <w:t>N</w:t>
            </w:r>
            <w:r w:rsidR="00172136">
              <w:rPr>
                <w:rFonts w:asciiTheme="minorHAnsi" w:hAnsiTheme="minorHAnsi" w:cstheme="minorHAnsi"/>
                <w:b/>
                <w:bCs/>
                <w:color w:val="FFFFFF" w:themeColor="background1"/>
              </w:rPr>
              <w:t xml:space="preserve">orthern </w:t>
            </w:r>
            <w:r w:rsidRPr="002E702C">
              <w:rPr>
                <w:rFonts w:asciiTheme="minorHAnsi" w:hAnsiTheme="minorHAnsi" w:cstheme="minorHAnsi"/>
                <w:b/>
                <w:bCs/>
                <w:color w:val="FFFFFF" w:themeColor="background1"/>
              </w:rPr>
              <w:t>T</w:t>
            </w:r>
            <w:r w:rsidR="00172136">
              <w:rPr>
                <w:rFonts w:asciiTheme="minorHAnsi" w:hAnsiTheme="minorHAnsi" w:cstheme="minorHAnsi"/>
                <w:b/>
                <w:bCs/>
                <w:color w:val="FFFFFF" w:themeColor="background1"/>
              </w:rPr>
              <w:t>erritory</w:t>
            </w:r>
            <w:r w:rsidRPr="002E702C">
              <w:rPr>
                <w:rFonts w:asciiTheme="minorHAnsi" w:hAnsiTheme="minorHAnsi" w:cstheme="minorHAnsi"/>
                <w:b/>
                <w:bCs/>
                <w:color w:val="FFFFFF" w:themeColor="background1"/>
              </w:rPr>
              <w:t xml:space="preserve"> SA4 region</w:t>
            </w:r>
          </w:p>
        </w:tc>
        <w:tc>
          <w:tcPr>
            <w:tcW w:w="6095" w:type="dxa"/>
            <w:shd w:val="clear" w:color="auto" w:fill="441170" w:themeFill="text2"/>
            <w:tcMar>
              <w:top w:w="0" w:type="dxa"/>
              <w:left w:w="108" w:type="dxa"/>
              <w:bottom w:w="0" w:type="dxa"/>
              <w:right w:w="108" w:type="dxa"/>
            </w:tcMar>
            <w:hideMark/>
          </w:tcPr>
          <w:p w14:paraId="674B31CC" w14:textId="77777777" w:rsidR="000E558D" w:rsidRPr="002E702C" w:rsidRDefault="000E558D" w:rsidP="001D600D">
            <w:pPr>
              <w:spacing w:after="0" w:line="276" w:lineRule="auto"/>
              <w:rPr>
                <w:rFonts w:asciiTheme="minorHAnsi" w:hAnsiTheme="minorHAnsi" w:cstheme="minorHAnsi"/>
                <w:b/>
                <w:bCs/>
                <w:color w:val="FFFFFF" w:themeColor="background1"/>
              </w:rPr>
            </w:pPr>
            <w:r w:rsidRPr="002E702C">
              <w:rPr>
                <w:rFonts w:asciiTheme="minorHAnsi" w:hAnsiTheme="minorHAnsi" w:cstheme="minorHAnsi"/>
                <w:b/>
                <w:bCs/>
                <w:color w:val="FFFFFF" w:themeColor="background1"/>
              </w:rPr>
              <w:t xml:space="preserve">Occupations </w:t>
            </w:r>
          </w:p>
        </w:tc>
        <w:tc>
          <w:tcPr>
            <w:tcW w:w="1400" w:type="dxa"/>
            <w:shd w:val="clear" w:color="auto" w:fill="441170" w:themeFill="text2"/>
            <w:tcMar>
              <w:top w:w="0" w:type="dxa"/>
              <w:left w:w="108" w:type="dxa"/>
              <w:bottom w:w="0" w:type="dxa"/>
              <w:right w:w="108" w:type="dxa"/>
            </w:tcMar>
            <w:hideMark/>
          </w:tcPr>
          <w:p w14:paraId="4AC24DC7" w14:textId="4AF80188" w:rsidR="000E558D" w:rsidRPr="002E702C" w:rsidRDefault="0064373F" w:rsidP="001D600D">
            <w:pPr>
              <w:spacing w:after="0" w:line="276" w:lineRule="auto"/>
              <w:rPr>
                <w:rFonts w:asciiTheme="minorHAnsi" w:hAnsiTheme="minorHAnsi" w:cstheme="minorHAnsi"/>
                <w:b/>
                <w:bCs/>
                <w:color w:val="FFFFFF" w:themeColor="background1"/>
              </w:rPr>
            </w:pPr>
            <w:r>
              <w:rPr>
                <w:rFonts w:asciiTheme="minorHAnsi" w:hAnsiTheme="minorHAnsi" w:cstheme="minorHAnsi"/>
                <w:b/>
                <w:bCs/>
                <w:color w:val="FFFFFF"/>
              </w:rPr>
              <w:t>IVI vacancy</w:t>
            </w:r>
            <w:r w:rsidR="000E558D">
              <w:rPr>
                <w:rFonts w:asciiTheme="minorHAnsi" w:hAnsiTheme="minorHAnsi" w:cstheme="minorHAnsi"/>
                <w:b/>
                <w:bCs/>
                <w:color w:val="FFFFFF"/>
              </w:rPr>
              <w:t xml:space="preserve"> </w:t>
            </w:r>
            <w:r w:rsidR="00502054">
              <w:rPr>
                <w:rFonts w:asciiTheme="minorHAnsi" w:hAnsiTheme="minorHAnsi" w:cstheme="minorHAnsi"/>
                <w:b/>
                <w:bCs/>
                <w:color w:val="FFFFFF"/>
              </w:rPr>
              <w:t>r</w:t>
            </w:r>
            <w:r w:rsidR="000E558D">
              <w:rPr>
                <w:rFonts w:asciiTheme="minorHAnsi" w:hAnsiTheme="minorHAnsi" w:cstheme="minorHAnsi"/>
                <w:b/>
                <w:bCs/>
                <w:color w:val="FFFFFF"/>
              </w:rPr>
              <w:t>atio</w:t>
            </w:r>
            <w:r w:rsidR="000E558D" w:rsidRPr="002E702C">
              <w:rPr>
                <w:rFonts w:asciiTheme="minorHAnsi" w:hAnsiTheme="minorHAnsi" w:cstheme="minorHAnsi"/>
                <w:b/>
                <w:bCs/>
                <w:color w:val="FFFFFF"/>
              </w:rPr>
              <w:t xml:space="preserve"> (%)</w:t>
            </w:r>
          </w:p>
        </w:tc>
      </w:tr>
      <w:tr w:rsidR="000E558D" w:rsidRPr="002E702C" w14:paraId="3C33CA09" w14:textId="77777777" w:rsidTr="00D52926">
        <w:tc>
          <w:tcPr>
            <w:tcW w:w="3114" w:type="dxa"/>
          </w:tcPr>
          <w:p w14:paraId="6922A845" w14:textId="77777777" w:rsidR="000E558D" w:rsidRPr="002E702C" w:rsidRDefault="000E558D" w:rsidP="001D600D">
            <w:pPr>
              <w:spacing w:after="0" w:line="276" w:lineRule="auto"/>
              <w:rPr>
                <w:rFonts w:asciiTheme="minorHAnsi" w:hAnsiTheme="minorHAnsi" w:cstheme="minorHAnsi"/>
              </w:rPr>
            </w:pPr>
            <w:r w:rsidRPr="002E702C">
              <w:rPr>
                <w:rFonts w:asciiTheme="minorHAnsi" w:hAnsiTheme="minorHAnsi" w:cstheme="minorHAnsi"/>
              </w:rPr>
              <w:t>Northern Territory - Outback</w:t>
            </w:r>
          </w:p>
        </w:tc>
        <w:tc>
          <w:tcPr>
            <w:tcW w:w="6095" w:type="dxa"/>
            <w:tcMar>
              <w:top w:w="0" w:type="dxa"/>
              <w:left w:w="108" w:type="dxa"/>
              <w:bottom w:w="0" w:type="dxa"/>
              <w:right w:w="108" w:type="dxa"/>
            </w:tcMar>
            <w:hideMark/>
          </w:tcPr>
          <w:p w14:paraId="719E48B6" w14:textId="77777777" w:rsidR="000E558D" w:rsidRPr="002E702C" w:rsidRDefault="000E558D" w:rsidP="001D600D">
            <w:pPr>
              <w:spacing w:after="0" w:line="276" w:lineRule="auto"/>
              <w:rPr>
                <w:rFonts w:asciiTheme="minorHAnsi" w:hAnsiTheme="minorHAnsi" w:cstheme="minorHAnsi"/>
              </w:rPr>
            </w:pPr>
            <w:r w:rsidRPr="002E702C">
              <w:rPr>
                <w:rFonts w:asciiTheme="minorHAnsi" w:hAnsiTheme="minorHAnsi" w:cstheme="minorHAnsi"/>
              </w:rPr>
              <w:t>Welfare, Recreation and Community Arts Workers</w:t>
            </w:r>
          </w:p>
        </w:tc>
        <w:tc>
          <w:tcPr>
            <w:tcW w:w="1400" w:type="dxa"/>
            <w:tcMar>
              <w:top w:w="0" w:type="dxa"/>
              <w:left w:w="108" w:type="dxa"/>
              <w:bottom w:w="0" w:type="dxa"/>
              <w:right w:w="108" w:type="dxa"/>
            </w:tcMar>
            <w:hideMark/>
          </w:tcPr>
          <w:p w14:paraId="605872AA" w14:textId="77777777" w:rsidR="000E558D" w:rsidRPr="002E702C" w:rsidRDefault="000E558D" w:rsidP="001D600D">
            <w:pPr>
              <w:spacing w:after="0" w:line="276" w:lineRule="auto"/>
              <w:rPr>
                <w:rFonts w:asciiTheme="minorHAnsi" w:hAnsiTheme="minorHAnsi" w:cstheme="minorHAnsi"/>
              </w:rPr>
            </w:pPr>
            <w:r w:rsidRPr="002E702C">
              <w:rPr>
                <w:rFonts w:asciiTheme="minorHAnsi" w:hAnsiTheme="minorHAnsi" w:cstheme="minorHAnsi"/>
              </w:rPr>
              <w:t>4.2</w:t>
            </w:r>
          </w:p>
        </w:tc>
      </w:tr>
    </w:tbl>
    <w:p w14:paraId="7E9B1FCF" w14:textId="77777777" w:rsidR="00DF2109" w:rsidRDefault="00DF2109" w:rsidP="00745D89">
      <w:pPr>
        <w:pStyle w:val="Heading1"/>
      </w:pPr>
    </w:p>
    <w:sectPr w:rsidR="00DF2109" w:rsidSect="008A5703">
      <w:footerReference w:type="default" r:id="rId35"/>
      <w:footerReference w:type="first" r:id="rId36"/>
      <w:pgSz w:w="11906" w:h="16838"/>
      <w:pgMar w:top="720" w:right="720" w:bottom="142" w:left="56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BD9D" w14:textId="77777777" w:rsidR="005E16D2" w:rsidRDefault="005E16D2" w:rsidP="000D6745">
      <w:r>
        <w:separator/>
      </w:r>
    </w:p>
  </w:endnote>
  <w:endnote w:type="continuationSeparator" w:id="0">
    <w:p w14:paraId="0E1D4386" w14:textId="77777777" w:rsidR="005E16D2" w:rsidRDefault="005E16D2" w:rsidP="000D6745">
      <w:r>
        <w:continuationSeparator/>
      </w:r>
    </w:p>
  </w:endnote>
  <w:endnote w:type="continuationNotice" w:id="1">
    <w:p w14:paraId="016C6413" w14:textId="77777777" w:rsidR="005E16D2" w:rsidRDefault="005E1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7738" w14:textId="7A585236" w:rsidR="004207B1" w:rsidRDefault="008445B7" w:rsidP="008445B7">
    <w:pPr>
      <w:pStyle w:val="Footer"/>
      <w:jc w:val="left"/>
    </w:pPr>
    <w:r>
      <w:rPr>
        <w:szCs w:val="18"/>
      </w:rPr>
      <w:t>Jobs and Skills Australia</w:t>
    </w:r>
    <w:r w:rsidRPr="00030D27">
      <w:rPr>
        <w:szCs w:val="18"/>
      </w:rPr>
      <w:t xml:space="preserve">: Labour Market Update, </w:t>
    </w:r>
    <w:r w:rsidR="00B7658B">
      <w:rPr>
        <w:szCs w:val="18"/>
      </w:rPr>
      <w:t>May</w:t>
    </w:r>
    <w:r>
      <w:rPr>
        <w:szCs w:val="18"/>
      </w:rPr>
      <w:t xml:space="preserve"> 2023</w:t>
    </w:r>
    <w:r>
      <w:rPr>
        <w:szCs w:val="18"/>
      </w:rPr>
      <w:tab/>
    </w:r>
    <w:r>
      <w:rPr>
        <w:szCs w:val="18"/>
      </w:rPr>
      <w:tab/>
    </w:r>
    <w:r>
      <w:rPr>
        <w:szCs w:val="18"/>
      </w:rPr>
      <w:tab/>
    </w:r>
    <w:sdt>
      <w:sdtPr>
        <w:id w:val="1460380420"/>
        <w:docPartObj>
          <w:docPartGallery w:val="Page Numbers (Bottom of Page)"/>
          <w:docPartUnique/>
        </w:docPartObj>
      </w:sdtPr>
      <w:sdtEndPr>
        <w:rPr>
          <w:noProof/>
        </w:rPr>
      </w:sdtEndPr>
      <w:sdtContent>
        <w:r w:rsidR="00DB5C30">
          <w:fldChar w:fldCharType="begin"/>
        </w:r>
        <w:r w:rsidR="00DB5C30">
          <w:instrText xml:space="preserve"> PAGE   \* MERGEFORMAT </w:instrText>
        </w:r>
        <w:r w:rsidR="00DB5C30">
          <w:fldChar w:fldCharType="separate"/>
        </w:r>
        <w:r w:rsidR="00DB5C30">
          <w:rPr>
            <w:noProof/>
          </w:rPr>
          <w:t>2</w:t>
        </w:r>
        <w:r w:rsidR="00DB5C30">
          <w:rPr>
            <w:noProof/>
          </w:rPr>
          <w:fldChar w:fldCharType="end"/>
        </w:r>
      </w:sdtContent>
    </w:sdt>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D20E" w14:textId="77777777" w:rsidR="000023D9" w:rsidRDefault="000023D9" w:rsidP="000023D9">
    <w:pPr>
      <w:pStyle w:val="Footer"/>
      <w:ind w:left="426"/>
      <w:jc w:val="left"/>
      <w:rPr>
        <w:szCs w:val="18"/>
      </w:rPr>
    </w:pPr>
  </w:p>
  <w:p w14:paraId="209D9BD0" w14:textId="5A48620D" w:rsidR="00800C1F" w:rsidRPr="000023D9" w:rsidRDefault="000023D9" w:rsidP="000023D9">
    <w:pPr>
      <w:pStyle w:val="Footer"/>
      <w:ind w:left="426"/>
      <w:jc w:val="left"/>
      <w:rPr>
        <w:szCs w:val="18"/>
      </w:rPr>
    </w:pPr>
    <w:r>
      <w:rPr>
        <w:rFonts w:cs="Arial"/>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4513" w14:textId="77777777" w:rsidR="005E16D2" w:rsidRDefault="005E16D2" w:rsidP="000D6745">
      <w:r>
        <w:separator/>
      </w:r>
    </w:p>
  </w:footnote>
  <w:footnote w:type="continuationSeparator" w:id="0">
    <w:p w14:paraId="23ACB1AD" w14:textId="77777777" w:rsidR="005E16D2" w:rsidRDefault="005E16D2" w:rsidP="000D6745">
      <w:r>
        <w:continuationSeparator/>
      </w:r>
    </w:p>
  </w:footnote>
  <w:footnote w:type="continuationNotice" w:id="1">
    <w:p w14:paraId="48FC4316" w14:textId="77777777" w:rsidR="005E16D2" w:rsidRDefault="005E16D2">
      <w:pPr>
        <w:spacing w:after="0" w:line="240" w:lineRule="auto"/>
      </w:pPr>
    </w:p>
  </w:footnote>
  <w:footnote w:id="2">
    <w:p w14:paraId="63E7FFF6" w14:textId="77777777" w:rsidR="00E338F0" w:rsidRDefault="00E338F0" w:rsidP="00E338F0">
      <w:pPr>
        <w:pStyle w:val="FootnoteText"/>
        <w:rPr>
          <w:rFonts w:cs="Arial"/>
          <w:sz w:val="16"/>
          <w:szCs w:val="16"/>
        </w:rPr>
      </w:pPr>
      <w:r w:rsidRPr="00BB36CB">
        <w:rPr>
          <w:rStyle w:val="FootnoteReference"/>
          <w:rFonts w:cs="Arial"/>
          <w:sz w:val="18"/>
          <w:szCs w:val="18"/>
        </w:rPr>
        <w:footnoteRef/>
      </w:r>
      <w:r w:rsidRPr="00BB36CB">
        <w:rPr>
          <w:rFonts w:cs="Arial"/>
          <w:sz w:val="18"/>
          <w:szCs w:val="18"/>
        </w:rPr>
        <w:t xml:space="preserve"> </w:t>
      </w:r>
      <w:r w:rsidRPr="00736E13">
        <w:rPr>
          <w:rFonts w:cs="Arial"/>
          <w:sz w:val="16"/>
          <w:szCs w:val="16"/>
        </w:rPr>
        <w:t>Persons who are unemployed for 52 weeks or more.</w:t>
      </w:r>
    </w:p>
    <w:p w14:paraId="56536FA2" w14:textId="77777777" w:rsidR="00E338F0" w:rsidRPr="00BB36CB" w:rsidRDefault="00E338F0" w:rsidP="00E338F0">
      <w:pPr>
        <w:pStyle w:val="FootnoteText"/>
        <w:rPr>
          <w:rFonts w:cs="Arial"/>
          <w:sz w:val="18"/>
          <w:szCs w:val="18"/>
        </w:rPr>
      </w:pPr>
    </w:p>
  </w:footnote>
  <w:footnote w:id="3">
    <w:p w14:paraId="2DFA9D70" w14:textId="655EED8A" w:rsidR="00C9365F" w:rsidRDefault="00C9365F" w:rsidP="00892F80">
      <w:pPr>
        <w:pStyle w:val="FootnoteText"/>
        <w:rPr>
          <w:sz w:val="16"/>
          <w:szCs w:val="16"/>
        </w:rPr>
      </w:pPr>
      <w:r>
        <w:rPr>
          <w:rStyle w:val="FootnoteReference"/>
        </w:rPr>
        <w:footnoteRef/>
      </w:r>
      <w:r>
        <w:t xml:space="preserve"> </w:t>
      </w:r>
      <w:r w:rsidR="00892F80" w:rsidRPr="00733177">
        <w:rPr>
          <w:sz w:val="16"/>
          <w:szCs w:val="16"/>
        </w:rPr>
        <w:t xml:space="preserve">SEEK, </w:t>
      </w:r>
      <w:r w:rsidR="00892F80" w:rsidRPr="00733177">
        <w:rPr>
          <w:i/>
          <w:iCs/>
          <w:sz w:val="16"/>
          <w:szCs w:val="16"/>
        </w:rPr>
        <w:t>Advertised Salary Index</w:t>
      </w:r>
      <w:r w:rsidR="00892F80" w:rsidRPr="00733177">
        <w:rPr>
          <w:sz w:val="16"/>
          <w:szCs w:val="16"/>
        </w:rPr>
        <w:t xml:space="preserve">, </w:t>
      </w:r>
      <w:r w:rsidR="001A2DE3">
        <w:rPr>
          <w:sz w:val="16"/>
          <w:szCs w:val="16"/>
        </w:rPr>
        <w:t>March</w:t>
      </w:r>
      <w:r w:rsidR="00416971">
        <w:rPr>
          <w:sz w:val="16"/>
          <w:szCs w:val="16"/>
        </w:rPr>
        <w:t xml:space="preserve"> 2023</w:t>
      </w:r>
    </w:p>
    <w:p w14:paraId="12AFBC14" w14:textId="77777777" w:rsidR="00414135" w:rsidRDefault="00414135" w:rsidP="00892F80">
      <w:pPr>
        <w:pStyle w:val="FootnoteText"/>
      </w:pPr>
    </w:p>
  </w:footnote>
  <w:footnote w:id="4">
    <w:p w14:paraId="39DE73C1" w14:textId="77777777" w:rsidR="00CC46E7" w:rsidRDefault="00CC46E7" w:rsidP="00CC46E7">
      <w:pPr>
        <w:pStyle w:val="FootnoteText"/>
        <w:rPr>
          <w:sz w:val="16"/>
          <w:szCs w:val="16"/>
        </w:rPr>
      </w:pPr>
      <w:r>
        <w:rPr>
          <w:rStyle w:val="FootnoteReference"/>
        </w:rPr>
        <w:footnoteRef/>
      </w:r>
      <w:r>
        <w:t xml:space="preserve"> </w:t>
      </w:r>
      <w:r w:rsidRPr="00733177">
        <w:rPr>
          <w:sz w:val="16"/>
          <w:szCs w:val="16"/>
        </w:rPr>
        <w:t>Skill Level 1 is commensurate with a Bachelor degree or higher qualification; Skill Level 2 is commensurate with an Advanced Diploma or Diploma; Skill Level 3 is commensurate with a Certificate IV or III (including at least 2 years’ on-the-job training); Skill Level 4 is commensurate with a Certificate II or III; Skill Level 5 is commensurate with a Certificate I or secondary education</w:t>
      </w:r>
      <w:r>
        <w:rPr>
          <w:sz w:val="16"/>
          <w:szCs w:val="16"/>
        </w:rPr>
        <w:t>.</w:t>
      </w:r>
    </w:p>
    <w:p w14:paraId="260B89F5" w14:textId="77777777" w:rsidR="00CC46E7" w:rsidRDefault="00CC46E7" w:rsidP="00CC46E7">
      <w:pPr>
        <w:pStyle w:val="FootnoteText"/>
      </w:pPr>
    </w:p>
  </w:footnote>
  <w:footnote w:id="5">
    <w:p w14:paraId="7E352BD9" w14:textId="57401BA0" w:rsidR="00B756F9" w:rsidRPr="00B756F9" w:rsidRDefault="006A7CFD" w:rsidP="006A7CFD">
      <w:pPr>
        <w:pStyle w:val="FootnoteText"/>
        <w:rPr>
          <w:rFonts w:cs="Arial"/>
          <w:sz w:val="18"/>
          <w:szCs w:val="18"/>
        </w:rPr>
      </w:pPr>
      <w:r>
        <w:rPr>
          <w:rStyle w:val="FootnoteReference"/>
        </w:rPr>
        <w:footnoteRef/>
      </w:r>
      <w:r>
        <w:t xml:space="preserve"> </w:t>
      </w:r>
      <w:r w:rsidRPr="007D0376">
        <w:rPr>
          <w:rFonts w:cs="Arial"/>
          <w:sz w:val="18"/>
          <w:szCs w:val="18"/>
        </w:rPr>
        <w:t>Australian Government, Budget strategy and outlook paper no. 1: 2022-23, (Canberra: Australian Government, 2022), 151.</w:t>
      </w:r>
    </w:p>
  </w:footnote>
  <w:footnote w:id="6">
    <w:p w14:paraId="75AB3266" w14:textId="77777777" w:rsidR="00EB33D0" w:rsidRPr="00545372" w:rsidRDefault="00EB33D0" w:rsidP="00EB33D0">
      <w:pPr>
        <w:pStyle w:val="FootnoteText"/>
        <w:rPr>
          <w:rFonts w:cs="Arial"/>
          <w:sz w:val="16"/>
          <w:szCs w:val="16"/>
        </w:rPr>
      </w:pPr>
      <w:r w:rsidRPr="00545372">
        <w:rPr>
          <w:rStyle w:val="FootnoteReference"/>
          <w:rFonts w:cs="Arial"/>
          <w:sz w:val="16"/>
          <w:szCs w:val="16"/>
        </w:rPr>
        <w:footnoteRef/>
      </w:r>
      <w:r w:rsidRPr="00545372">
        <w:rPr>
          <w:rFonts w:cs="Arial"/>
          <w:sz w:val="16"/>
          <w:szCs w:val="16"/>
        </w:rPr>
        <w:t xml:space="preserve"> The Property Tribune, Childcare centre market poised for growth in 2023, 2023.</w:t>
      </w:r>
    </w:p>
  </w:footnote>
  <w:footnote w:id="7">
    <w:p w14:paraId="24936412" w14:textId="77777777" w:rsidR="006C2146" w:rsidRPr="00545372" w:rsidRDefault="006C2146" w:rsidP="006C2146">
      <w:pPr>
        <w:pStyle w:val="FootnoteText"/>
        <w:rPr>
          <w:rFonts w:cs="Arial"/>
          <w:sz w:val="16"/>
          <w:szCs w:val="16"/>
        </w:rPr>
      </w:pPr>
      <w:r w:rsidRPr="00545372">
        <w:rPr>
          <w:rStyle w:val="FootnoteReference"/>
          <w:sz w:val="16"/>
          <w:szCs w:val="16"/>
        </w:rPr>
        <w:footnoteRef/>
      </w:r>
      <w:r w:rsidRPr="00545372">
        <w:rPr>
          <w:sz w:val="16"/>
          <w:szCs w:val="16"/>
        </w:rPr>
        <w:t xml:space="preserve"> </w:t>
      </w:r>
      <w:r w:rsidRPr="00545372">
        <w:rPr>
          <w:rFonts w:cs="Arial"/>
          <w:sz w:val="16"/>
          <w:szCs w:val="16"/>
        </w:rPr>
        <w:t xml:space="preserve">RBA, </w:t>
      </w:r>
      <w:r w:rsidRPr="00545372">
        <w:rPr>
          <w:rFonts w:cs="Arial"/>
          <w:i/>
          <w:iCs/>
          <w:sz w:val="16"/>
          <w:szCs w:val="16"/>
        </w:rPr>
        <w:t>Statement on Monetary Policy</w:t>
      </w:r>
      <w:r w:rsidRPr="00545372">
        <w:rPr>
          <w:rFonts w:cs="Arial"/>
          <w:sz w:val="16"/>
          <w:szCs w:val="16"/>
        </w:rPr>
        <w:t>, February 2023.</w:t>
      </w:r>
    </w:p>
  </w:footnote>
  <w:footnote w:id="8">
    <w:p w14:paraId="289E019F" w14:textId="77777777" w:rsidR="007F1CBC" w:rsidRPr="00545372" w:rsidRDefault="007F1CBC" w:rsidP="007F1CBC">
      <w:pPr>
        <w:pStyle w:val="FootnoteText"/>
        <w:rPr>
          <w:rFonts w:cs="Arial"/>
          <w:sz w:val="16"/>
          <w:szCs w:val="16"/>
        </w:rPr>
      </w:pPr>
      <w:r w:rsidRPr="00545372">
        <w:rPr>
          <w:rStyle w:val="FootnoteReference"/>
          <w:rFonts w:cs="Arial"/>
          <w:sz w:val="16"/>
          <w:szCs w:val="16"/>
        </w:rPr>
        <w:footnoteRef/>
      </w:r>
      <w:r w:rsidRPr="00545372">
        <w:rPr>
          <w:rFonts w:cs="Arial"/>
          <w:sz w:val="16"/>
          <w:szCs w:val="16"/>
        </w:rPr>
        <w:t xml:space="preserve"> RBA, </w:t>
      </w:r>
      <w:r w:rsidRPr="00545372">
        <w:rPr>
          <w:rFonts w:cs="Arial"/>
          <w:i/>
          <w:iCs/>
          <w:sz w:val="16"/>
          <w:szCs w:val="16"/>
        </w:rPr>
        <w:t>Statement on Monetary Policy</w:t>
      </w:r>
      <w:r w:rsidRPr="00545372">
        <w:rPr>
          <w:rFonts w:cs="Arial"/>
          <w:sz w:val="16"/>
          <w:szCs w:val="16"/>
        </w:rPr>
        <w:t>, February 2023.</w:t>
      </w:r>
    </w:p>
  </w:footnote>
  <w:footnote w:id="9">
    <w:p w14:paraId="63D19A13" w14:textId="77777777" w:rsidR="00B35172" w:rsidRPr="00545372" w:rsidRDefault="00B35172" w:rsidP="00B35172">
      <w:pPr>
        <w:pStyle w:val="FootnoteText"/>
        <w:rPr>
          <w:rFonts w:cs="Arial"/>
          <w:sz w:val="16"/>
          <w:szCs w:val="16"/>
        </w:rPr>
      </w:pPr>
      <w:r w:rsidRPr="00545372">
        <w:rPr>
          <w:rStyle w:val="FootnoteReference"/>
          <w:rFonts w:cs="Arial"/>
          <w:sz w:val="16"/>
          <w:szCs w:val="16"/>
        </w:rPr>
        <w:footnoteRef/>
      </w:r>
      <w:r w:rsidRPr="00545372">
        <w:rPr>
          <w:rFonts w:cs="Arial"/>
          <w:sz w:val="16"/>
          <w:szCs w:val="16"/>
        </w:rPr>
        <w:t xml:space="preserve"> ABS, Australian National Accounts: National Income, Expenditure and Product, December 2022.</w:t>
      </w:r>
    </w:p>
  </w:footnote>
  <w:footnote w:id="10">
    <w:p w14:paraId="02A3F470" w14:textId="6660A291" w:rsidR="00B527A2" w:rsidRDefault="00B527A2" w:rsidP="00B527A2">
      <w:pPr>
        <w:pStyle w:val="FootnoteText"/>
        <w:rPr>
          <w:rFonts w:cs="Arial"/>
          <w:sz w:val="16"/>
          <w:szCs w:val="16"/>
        </w:rPr>
      </w:pPr>
      <w:r w:rsidRPr="00545372">
        <w:rPr>
          <w:rStyle w:val="FootnoteReference"/>
          <w:rFonts w:cs="Arial"/>
          <w:sz w:val="16"/>
          <w:szCs w:val="16"/>
        </w:rPr>
        <w:footnoteRef/>
      </w:r>
      <w:r w:rsidRPr="00545372">
        <w:rPr>
          <w:rFonts w:cs="Arial"/>
          <w:sz w:val="16"/>
          <w:szCs w:val="16"/>
        </w:rPr>
        <w:t xml:space="preserve"> The Property Tribune, Childcare centre market poised for growth in 2023, 2023</w:t>
      </w:r>
      <w:r w:rsidR="00086A7E">
        <w:rPr>
          <w:rFonts w:cs="Arial"/>
          <w:sz w:val="16"/>
          <w:szCs w:val="16"/>
        </w:rPr>
        <w:t>.</w:t>
      </w:r>
    </w:p>
    <w:p w14:paraId="3D32A6FB" w14:textId="77777777" w:rsidR="00545372" w:rsidRPr="007D0376" w:rsidRDefault="00545372" w:rsidP="00B527A2">
      <w:pPr>
        <w:pStyle w:val="FootnoteText"/>
        <w:rPr>
          <w:rFonts w:cs="Arial"/>
          <w:sz w:val="18"/>
          <w:szCs w:val="18"/>
        </w:rPr>
      </w:pPr>
    </w:p>
  </w:footnote>
  <w:footnote w:id="11">
    <w:p w14:paraId="02871BE1" w14:textId="7AECB831" w:rsidR="00D86B6F" w:rsidRDefault="00D86B6F" w:rsidP="00D86B6F">
      <w:pPr>
        <w:pStyle w:val="FootnoteText"/>
        <w:rPr>
          <w:sz w:val="16"/>
          <w:szCs w:val="16"/>
        </w:rPr>
      </w:pPr>
      <w:r w:rsidRPr="00CE1F76">
        <w:rPr>
          <w:rStyle w:val="FootnoteReference"/>
          <w:sz w:val="16"/>
          <w:szCs w:val="16"/>
        </w:rPr>
        <w:footnoteRef/>
      </w:r>
      <w:r w:rsidRPr="00CE1F76">
        <w:rPr>
          <w:sz w:val="16"/>
          <w:szCs w:val="16"/>
        </w:rPr>
        <w:t xml:space="preserve"> ABS, </w:t>
      </w:r>
      <w:r w:rsidRPr="00CE1F76">
        <w:rPr>
          <w:i/>
          <w:iCs/>
          <w:sz w:val="16"/>
          <w:szCs w:val="16"/>
        </w:rPr>
        <w:t>Job Vacancies, Australia,</w:t>
      </w:r>
      <w:r w:rsidRPr="00CE1F76">
        <w:rPr>
          <w:sz w:val="16"/>
          <w:szCs w:val="16"/>
        </w:rPr>
        <w:t xml:space="preserve"> </w:t>
      </w:r>
      <w:r w:rsidR="007A4F32">
        <w:rPr>
          <w:sz w:val="16"/>
          <w:szCs w:val="16"/>
        </w:rPr>
        <w:t>February 2023</w:t>
      </w:r>
      <w:r w:rsidRPr="00CE1F76">
        <w:rPr>
          <w:sz w:val="16"/>
          <w:szCs w:val="16"/>
        </w:rPr>
        <w:t xml:space="preserve">, </w:t>
      </w:r>
      <w:r w:rsidRPr="008821EF">
        <w:rPr>
          <w:i/>
          <w:iCs/>
          <w:sz w:val="16"/>
          <w:szCs w:val="16"/>
        </w:rPr>
        <w:t>seasonally adjusted</w:t>
      </w:r>
      <w:r w:rsidRPr="00CE1F76">
        <w:rPr>
          <w:sz w:val="16"/>
          <w:szCs w:val="16"/>
        </w:rPr>
        <w:t xml:space="preserve"> data.</w:t>
      </w:r>
    </w:p>
    <w:p w14:paraId="01E9C7BF" w14:textId="77777777" w:rsidR="00414135" w:rsidRPr="00CE1F76" w:rsidRDefault="00414135" w:rsidP="00D86B6F">
      <w:pPr>
        <w:pStyle w:val="FootnoteText"/>
        <w:rPr>
          <w:sz w:val="16"/>
          <w:szCs w:val="16"/>
        </w:rPr>
      </w:pPr>
    </w:p>
  </w:footnote>
  <w:footnote w:id="12">
    <w:p w14:paraId="29C71C23" w14:textId="5CF6FE32" w:rsidR="00414135" w:rsidRPr="0048025D" w:rsidRDefault="00096F80" w:rsidP="00096F80">
      <w:pPr>
        <w:pStyle w:val="FootnoteText"/>
        <w:rPr>
          <w:sz w:val="16"/>
          <w:szCs w:val="16"/>
        </w:rPr>
      </w:pPr>
      <w:r>
        <w:rPr>
          <w:rStyle w:val="FootnoteReference"/>
        </w:rPr>
        <w:footnoteRef/>
      </w:r>
      <w:r>
        <w:t xml:space="preserve"> </w:t>
      </w:r>
      <w:r w:rsidRPr="00733177">
        <w:rPr>
          <w:sz w:val="16"/>
          <w:szCs w:val="16"/>
        </w:rPr>
        <w:t>The survey primarily covers ANZSCO Skill Level 1-3 occupations.</w:t>
      </w:r>
    </w:p>
  </w:footnote>
  <w:footnote w:id="13">
    <w:p w14:paraId="32BC89D3" w14:textId="24499062" w:rsidR="0048025D" w:rsidRDefault="0048025D">
      <w:pPr>
        <w:pStyle w:val="FootnoteText"/>
      </w:pPr>
      <w:r>
        <w:rPr>
          <w:rStyle w:val="FootnoteReference"/>
        </w:rPr>
        <w:footnoteRef/>
      </w:r>
      <w:r>
        <w:t xml:space="preserve"> </w:t>
      </w:r>
      <w:r w:rsidRPr="0048025D">
        <w:rPr>
          <w:sz w:val="16"/>
          <w:szCs w:val="16"/>
        </w:rPr>
        <w:t>SEEK</w:t>
      </w:r>
      <w:r w:rsidR="0014013D">
        <w:rPr>
          <w:sz w:val="16"/>
          <w:szCs w:val="16"/>
        </w:rPr>
        <w:t>,</w:t>
      </w:r>
      <w:r w:rsidRPr="0048025D">
        <w:rPr>
          <w:sz w:val="16"/>
          <w:szCs w:val="16"/>
        </w:rPr>
        <w:t xml:space="preserve"> </w:t>
      </w:r>
      <w:r w:rsidRPr="0014013D">
        <w:rPr>
          <w:i/>
          <w:iCs/>
          <w:sz w:val="16"/>
          <w:szCs w:val="16"/>
        </w:rPr>
        <w:t xml:space="preserve">Employment Report, </w:t>
      </w:r>
      <w:r w:rsidRPr="006D5419">
        <w:rPr>
          <w:sz w:val="16"/>
          <w:szCs w:val="16"/>
        </w:rPr>
        <w:t>March 2023</w:t>
      </w:r>
      <w:r w:rsidR="0014013D" w:rsidRPr="006D5419">
        <w:rPr>
          <w:sz w:val="16"/>
          <w:szCs w:val="16"/>
        </w:rPr>
        <w:t>,</w:t>
      </w:r>
      <w:r w:rsidR="0014013D" w:rsidRPr="0014013D">
        <w:rPr>
          <w:sz w:val="16"/>
          <w:szCs w:val="16"/>
        </w:rPr>
        <w:t xml:space="preserve"> </w:t>
      </w:r>
      <w:r w:rsidR="0014013D" w:rsidRPr="008512D0">
        <w:rPr>
          <w:i/>
          <w:iCs/>
          <w:sz w:val="16"/>
          <w:szCs w:val="16"/>
        </w:rPr>
        <w:t>seasonally adjusted</w:t>
      </w:r>
      <w:r w:rsidR="0014013D" w:rsidRPr="0014013D">
        <w:rPr>
          <w:sz w:val="16"/>
          <w:szCs w:val="16"/>
        </w:rPr>
        <w:t xml:space="preserve"> data</w:t>
      </w:r>
      <w:r w:rsidR="00086A7E">
        <w:rPr>
          <w:sz w:val="16"/>
          <w:szCs w:val="16"/>
        </w:rPr>
        <w:t>.</w:t>
      </w:r>
      <w:r w:rsidR="006D5419">
        <w:rPr>
          <w:sz w:val="16"/>
          <w:szCs w:val="16"/>
        </w:rPr>
        <w:t xml:space="preserve"> </w:t>
      </w:r>
    </w:p>
  </w:footnote>
  <w:footnote w:id="14">
    <w:p w14:paraId="0724AF74" w14:textId="77777777" w:rsidR="003D1AE6" w:rsidRPr="00E70D43" w:rsidRDefault="003D1AE6" w:rsidP="003D1AE6">
      <w:pPr>
        <w:pStyle w:val="FootnoteText"/>
        <w:rPr>
          <w:rFonts w:cs="Arial"/>
          <w:color w:val="4F5CD6"/>
          <w:sz w:val="16"/>
          <w:szCs w:val="16"/>
        </w:rPr>
      </w:pPr>
      <w:r w:rsidRPr="00E70D43">
        <w:rPr>
          <w:rStyle w:val="FootnoteReference"/>
          <w:rFonts w:cs="Arial"/>
          <w:sz w:val="16"/>
          <w:szCs w:val="16"/>
        </w:rPr>
        <w:footnoteRef/>
      </w:r>
      <w:r w:rsidRPr="00E70D43">
        <w:rPr>
          <w:rFonts w:cs="Arial"/>
          <w:sz w:val="16"/>
          <w:szCs w:val="16"/>
        </w:rPr>
        <w:t xml:space="preserve"> </w:t>
      </w:r>
      <w:hyperlink r:id="rId1" w:history="1">
        <w:r w:rsidRPr="00E70D43">
          <w:rPr>
            <w:rStyle w:val="Hyperlink"/>
            <w:rFonts w:cs="Arial"/>
            <w:color w:val="4F5CD6"/>
            <w:sz w:val="16"/>
            <w:szCs w:val="16"/>
          </w:rPr>
          <w:t>https://www.imf.org/en/Publications/WEO/Issues/2023/04/11/world-economic-outlook-april-2023</w:t>
        </w:r>
      </w:hyperlink>
    </w:p>
  </w:footnote>
  <w:footnote w:id="15">
    <w:p w14:paraId="256B9F8D" w14:textId="77777777" w:rsidR="003D1AE6" w:rsidRPr="00E70D43" w:rsidRDefault="003D1AE6" w:rsidP="003D1AE6">
      <w:pPr>
        <w:pStyle w:val="FootnoteText"/>
        <w:rPr>
          <w:sz w:val="16"/>
          <w:szCs w:val="16"/>
        </w:rPr>
      </w:pPr>
      <w:r w:rsidRPr="00E70D43">
        <w:rPr>
          <w:rStyle w:val="FootnoteReference"/>
          <w:sz w:val="16"/>
          <w:szCs w:val="16"/>
        </w:rPr>
        <w:footnoteRef/>
      </w:r>
      <w:r w:rsidRPr="00E70D43">
        <w:rPr>
          <w:sz w:val="16"/>
          <w:szCs w:val="16"/>
        </w:rPr>
        <w:t xml:space="preserve"> </w:t>
      </w:r>
      <w:hyperlink r:id="rId2" w:history="1">
        <w:r w:rsidRPr="00E70D43">
          <w:rPr>
            <w:rStyle w:val="Hyperlink"/>
            <w:color w:val="4F5CD6"/>
            <w:sz w:val="16"/>
            <w:szCs w:val="16"/>
          </w:rPr>
          <w:t>Measures to tackle labour shortages: Lessons for future policy | (europa.eu)</w:t>
        </w:r>
      </w:hyperlink>
    </w:p>
  </w:footnote>
  <w:footnote w:id="16">
    <w:p w14:paraId="2CD4B6B8" w14:textId="77777777" w:rsidR="003D1AE6" w:rsidRDefault="003D1AE6" w:rsidP="003D1AE6">
      <w:pPr>
        <w:pStyle w:val="FootnoteText"/>
      </w:pPr>
      <w:r w:rsidRPr="00E70D43">
        <w:rPr>
          <w:rStyle w:val="FootnoteReference"/>
          <w:sz w:val="16"/>
          <w:szCs w:val="16"/>
        </w:rPr>
        <w:footnoteRef/>
      </w:r>
      <w:r w:rsidRPr="00E70D43">
        <w:rPr>
          <w:sz w:val="16"/>
          <w:szCs w:val="16"/>
        </w:rPr>
        <w:t xml:space="preserve"> </w:t>
      </w:r>
      <w:hyperlink r:id="rId3" w:history="1">
        <w:r w:rsidRPr="00E70D43">
          <w:rPr>
            <w:rStyle w:val="Hyperlink"/>
            <w:color w:val="4F5CD6"/>
            <w:sz w:val="16"/>
            <w:szCs w:val="16"/>
          </w:rPr>
          <w:t>Why skills first hiring could solve the talent shortage | World Economic Forum (weforum.org)</w:t>
        </w:r>
      </w:hyperlink>
    </w:p>
  </w:footnote>
  <w:footnote w:id="17">
    <w:p w14:paraId="65F50F42" w14:textId="3534D52C" w:rsidR="00045E2F" w:rsidRPr="00892BFC" w:rsidRDefault="00045E2F" w:rsidP="00045E2F">
      <w:pPr>
        <w:pStyle w:val="FootnoteText"/>
        <w:rPr>
          <w:sz w:val="16"/>
          <w:szCs w:val="16"/>
        </w:rPr>
      </w:pPr>
      <w:r>
        <w:rPr>
          <w:rStyle w:val="FootnoteReference"/>
        </w:rPr>
        <w:footnoteRef/>
      </w:r>
      <w:r w:rsidR="00DD1CFE">
        <w:rPr>
          <w:sz w:val="16"/>
          <w:szCs w:val="16"/>
        </w:rPr>
        <w:t xml:space="preserve"> </w:t>
      </w:r>
      <w:r w:rsidRPr="00706DDC">
        <w:rPr>
          <w:sz w:val="16"/>
          <w:szCs w:val="16"/>
        </w:rPr>
        <w:t xml:space="preserve">Richardson S, </w:t>
      </w:r>
      <w:r w:rsidRPr="00706DDC">
        <w:rPr>
          <w:i/>
          <w:iCs/>
          <w:sz w:val="16"/>
          <w:szCs w:val="16"/>
        </w:rPr>
        <w:t>What is a skills shortage?,</w:t>
      </w:r>
      <w:r w:rsidRPr="00706DDC">
        <w:rPr>
          <w:sz w:val="16"/>
          <w:szCs w:val="16"/>
        </w:rPr>
        <w:t xml:space="preserve"> </w:t>
      </w:r>
      <w:r w:rsidRPr="00496627">
        <w:rPr>
          <w:sz w:val="16"/>
          <w:szCs w:val="16"/>
        </w:rPr>
        <w:t>National Centre for Vocational Education Research</w:t>
      </w:r>
      <w:r>
        <w:rPr>
          <w:sz w:val="16"/>
          <w:szCs w:val="16"/>
        </w:rPr>
        <w:t xml:space="preserve"> paper, </w:t>
      </w:r>
      <w:r w:rsidRPr="00706DDC">
        <w:rPr>
          <w:sz w:val="16"/>
          <w:szCs w:val="16"/>
        </w:rPr>
        <w:t>2007</w:t>
      </w:r>
      <w:r w:rsidR="00086A7E">
        <w:rPr>
          <w:sz w:val="16"/>
          <w:szCs w:val="16"/>
        </w:rPr>
        <w:t>.</w:t>
      </w:r>
    </w:p>
  </w:footnote>
  <w:footnote w:id="18">
    <w:p w14:paraId="262AD863" w14:textId="46E2BD18" w:rsidR="009E1520" w:rsidRPr="009E1520" w:rsidRDefault="00892BFC">
      <w:pPr>
        <w:pStyle w:val="FootnoteText"/>
        <w:rPr>
          <w:sz w:val="16"/>
          <w:szCs w:val="16"/>
        </w:rPr>
      </w:pPr>
      <w:r w:rsidRPr="00892BFC">
        <w:rPr>
          <w:rStyle w:val="FootnoteReference"/>
          <w:sz w:val="16"/>
          <w:szCs w:val="16"/>
        </w:rPr>
        <w:footnoteRef/>
      </w:r>
      <w:r w:rsidRPr="00892BFC">
        <w:rPr>
          <w:sz w:val="16"/>
          <w:szCs w:val="16"/>
        </w:rPr>
        <w:t xml:space="preserve"> </w:t>
      </w:r>
      <w:r w:rsidR="00DD1CFE">
        <w:rPr>
          <w:sz w:val="16"/>
          <w:szCs w:val="16"/>
        </w:rPr>
        <w:t xml:space="preserve"> </w:t>
      </w:r>
      <w:r w:rsidRPr="00892BFC">
        <w:rPr>
          <w:sz w:val="16"/>
          <w:szCs w:val="16"/>
        </w:rPr>
        <w:t xml:space="preserve">This was originally described as a Quality </w:t>
      </w:r>
      <w:r w:rsidR="00DA78F2">
        <w:rPr>
          <w:sz w:val="16"/>
          <w:szCs w:val="16"/>
        </w:rPr>
        <w:t>g</w:t>
      </w:r>
      <w:r w:rsidRPr="00892BFC">
        <w:rPr>
          <w:sz w:val="16"/>
          <w:szCs w:val="16"/>
        </w:rPr>
        <w:t xml:space="preserve">ap in </w:t>
      </w:r>
      <w:r w:rsidR="00D41039">
        <w:rPr>
          <w:sz w:val="16"/>
          <w:szCs w:val="16"/>
        </w:rPr>
        <w:t>the 2007 analysis</w:t>
      </w:r>
      <w:r w:rsidR="00086A7E">
        <w:rPr>
          <w:sz w:val="16"/>
          <w:szCs w:val="16"/>
        </w:rPr>
        <w:t>.</w:t>
      </w:r>
    </w:p>
  </w:footnote>
  <w:footnote w:id="19">
    <w:p w14:paraId="0EC281B2" w14:textId="037D1FD5" w:rsidR="00E72264" w:rsidRDefault="00E72264">
      <w:pPr>
        <w:pStyle w:val="FootnoteText"/>
        <w:rPr>
          <w:sz w:val="16"/>
          <w:szCs w:val="16"/>
        </w:rPr>
      </w:pPr>
      <w:r>
        <w:rPr>
          <w:rStyle w:val="FootnoteReference"/>
        </w:rPr>
        <w:footnoteRef/>
      </w:r>
      <w:r>
        <w:t xml:space="preserve"> </w:t>
      </w:r>
      <w:r w:rsidRPr="00892BFC">
        <w:rPr>
          <w:sz w:val="16"/>
          <w:szCs w:val="16"/>
        </w:rPr>
        <w:t xml:space="preserve">This was originally described as a Quality </w:t>
      </w:r>
      <w:r>
        <w:rPr>
          <w:sz w:val="16"/>
          <w:szCs w:val="16"/>
        </w:rPr>
        <w:t>g</w:t>
      </w:r>
      <w:r w:rsidRPr="00892BFC">
        <w:rPr>
          <w:sz w:val="16"/>
          <w:szCs w:val="16"/>
        </w:rPr>
        <w:t xml:space="preserve">ap in </w:t>
      </w:r>
      <w:r>
        <w:rPr>
          <w:sz w:val="16"/>
          <w:szCs w:val="16"/>
        </w:rPr>
        <w:t>the 2007 analysis</w:t>
      </w:r>
      <w:r w:rsidR="00086A7E">
        <w:rPr>
          <w:sz w:val="16"/>
          <w:szCs w:val="16"/>
        </w:rPr>
        <w:t>.</w:t>
      </w:r>
      <w:r>
        <w:rPr>
          <w:sz w:val="16"/>
          <w:szCs w:val="16"/>
        </w:rPr>
        <w:t xml:space="preserve"> </w:t>
      </w:r>
    </w:p>
    <w:p w14:paraId="5FF0848A" w14:textId="77777777" w:rsidR="00F503A1" w:rsidRDefault="00F503A1">
      <w:pPr>
        <w:pStyle w:val="FootnoteText"/>
      </w:pPr>
    </w:p>
  </w:footnote>
  <w:footnote w:id="20">
    <w:p w14:paraId="5106B818" w14:textId="77777777" w:rsidR="00854554" w:rsidRDefault="00854554" w:rsidP="00854554">
      <w:pPr>
        <w:pStyle w:val="FootnoteText"/>
      </w:pPr>
      <w:r>
        <w:rPr>
          <w:rStyle w:val="FootnoteReference"/>
        </w:rPr>
        <w:footnoteRef/>
      </w:r>
      <w:r>
        <w:t xml:space="preserve"> </w:t>
      </w:r>
      <w:r w:rsidRPr="00736E13">
        <w:rPr>
          <w:sz w:val="16"/>
          <w:szCs w:val="16"/>
        </w:rPr>
        <w:t>The regional skills pressure indicator relies upon the Nowcast of Employment by Region and Occupation (NERO). NERO has been used to develop and publish monthly estimates of current employment levels for 355 occupations across 88 regions, with more than 31,000 observations for any one month. Prior to the release of NERO, detailed data of employment by occupation and region were only readily available every five years from the ABS Census of Population and Housing.</w:t>
      </w:r>
      <w:r w:rsidRPr="00C53A6F">
        <w:t xml:space="preserve"> </w:t>
      </w:r>
    </w:p>
  </w:footnote>
  <w:footnote w:id="21">
    <w:p w14:paraId="7E28BAE6" w14:textId="77777777" w:rsidR="007A3D25" w:rsidRPr="001A73D7" w:rsidRDefault="007A3D25" w:rsidP="007A3D25">
      <w:pPr>
        <w:pStyle w:val="FootnoteText"/>
        <w:rPr>
          <w:sz w:val="16"/>
          <w:szCs w:val="16"/>
        </w:rPr>
      </w:pPr>
      <w:r w:rsidRPr="001A73D7">
        <w:rPr>
          <w:rStyle w:val="FootnoteReference"/>
          <w:sz w:val="16"/>
          <w:szCs w:val="16"/>
        </w:rPr>
        <w:footnoteRef/>
      </w:r>
      <w:r w:rsidRPr="001A73D7">
        <w:rPr>
          <w:sz w:val="16"/>
          <w:szCs w:val="16"/>
        </w:rPr>
        <w:t xml:space="preserve"> The working age participation rate was used in an attempt to account, to some extent, for the impact that the age profile of a given region has on its participation rate.</w:t>
      </w:r>
      <w:r>
        <w:rPr>
          <w:sz w:val="16"/>
          <w:szCs w:val="16"/>
        </w:rPr>
        <w:t xml:space="preserve"> Older age cohorts typically have lower rates of labour force participation, so regions with older populations are more likely to have lower participation rates by virtue of the age distribution of the population.</w:t>
      </w:r>
    </w:p>
  </w:footnote>
  <w:footnote w:id="22">
    <w:p w14:paraId="7B97034F" w14:textId="77777777" w:rsidR="007A3D25" w:rsidRPr="001A73D7" w:rsidRDefault="007A3D25" w:rsidP="007A3D25">
      <w:pPr>
        <w:pStyle w:val="FootnoteText"/>
        <w:rPr>
          <w:sz w:val="16"/>
          <w:szCs w:val="16"/>
        </w:rPr>
      </w:pPr>
      <w:r w:rsidRPr="001A73D7">
        <w:rPr>
          <w:rStyle w:val="FootnoteReference"/>
          <w:sz w:val="16"/>
          <w:szCs w:val="16"/>
        </w:rPr>
        <w:footnoteRef/>
      </w:r>
      <w:r w:rsidRPr="001A73D7">
        <w:rPr>
          <w:sz w:val="16"/>
          <w:szCs w:val="16"/>
        </w:rPr>
        <w:t xml:space="preserve"> In the ABS’ GCCSA structure, each state and the Northern Territory comprises a ‘capital city’ and a ‘rest of state’ area. The ACT is not split in this way and is labelled as capital city.</w:t>
      </w:r>
    </w:p>
  </w:footnote>
  <w:footnote w:id="23">
    <w:p w14:paraId="6B66F458" w14:textId="77777777" w:rsidR="007A3D25" w:rsidRPr="001A73D7" w:rsidRDefault="007A3D25" w:rsidP="007A3D25">
      <w:pPr>
        <w:pStyle w:val="FootnoteText"/>
        <w:rPr>
          <w:sz w:val="16"/>
          <w:szCs w:val="16"/>
        </w:rPr>
      </w:pPr>
      <w:r w:rsidRPr="001A73D7">
        <w:rPr>
          <w:rStyle w:val="FootnoteReference"/>
          <w:sz w:val="16"/>
          <w:szCs w:val="16"/>
        </w:rPr>
        <w:footnoteRef/>
      </w:r>
      <w:r w:rsidRPr="001A73D7">
        <w:rPr>
          <w:sz w:val="16"/>
          <w:szCs w:val="16"/>
        </w:rPr>
        <w:t xml:space="preserve"> JSA analysis found that the coefficient of determination (R</w:t>
      </w:r>
      <w:r w:rsidRPr="001A73D7">
        <w:rPr>
          <w:sz w:val="16"/>
          <w:szCs w:val="16"/>
          <w:vertAlign w:val="superscript"/>
        </w:rPr>
        <w:t>2</w:t>
      </w:r>
      <w:r w:rsidRPr="001A73D7">
        <w:rPr>
          <w:sz w:val="16"/>
          <w:szCs w:val="16"/>
        </w:rPr>
        <w:t xml:space="preserve"> or “R-squared”) averaged 0.50 over the 5 years between February 2018 and February 2023, with a range of 0.24 to 0.78, suggesting that differences in the vacancy rate only </w:t>
      </w:r>
      <w:r w:rsidRPr="001A73D7">
        <w:rPr>
          <w:i/>
          <w:iCs/>
          <w:sz w:val="16"/>
          <w:szCs w:val="16"/>
        </w:rPr>
        <w:t xml:space="preserve">partially </w:t>
      </w:r>
      <w:r w:rsidRPr="001A73D7">
        <w:rPr>
          <w:sz w:val="16"/>
          <w:szCs w:val="16"/>
        </w:rPr>
        <w:t>explain differences in the participation rate, and the degree to which they do varies substantially over time, as labour market circumstances change.</w:t>
      </w:r>
    </w:p>
  </w:footnote>
  <w:footnote w:id="24">
    <w:p w14:paraId="0CEAC6D1" w14:textId="77777777" w:rsidR="00FE41A2" w:rsidRDefault="00FE41A2" w:rsidP="00FE41A2">
      <w:pPr>
        <w:pStyle w:val="FootnoteText"/>
      </w:pPr>
      <w:r w:rsidRPr="00C008C2">
        <w:rPr>
          <w:rStyle w:val="FootnoteReference"/>
          <w:sz w:val="16"/>
          <w:szCs w:val="16"/>
        </w:rPr>
        <w:footnoteRef/>
      </w:r>
      <w:r w:rsidRPr="00C008C2">
        <w:rPr>
          <w:sz w:val="16"/>
          <w:szCs w:val="16"/>
        </w:rPr>
        <w:t xml:space="preserve"> Grobler L, Marais BJ, Mabunda SA, Marindi PN, Reuter H, Volmink J. Interventions for increasing the proportion of health professionals practising in rural and other underserved areas. </w:t>
      </w:r>
      <w:r w:rsidRPr="00C008C2">
        <w:rPr>
          <w:i/>
          <w:iCs/>
          <w:sz w:val="16"/>
          <w:szCs w:val="16"/>
        </w:rPr>
        <w:t>Cochrane Database of Systematic Reviews</w:t>
      </w:r>
      <w:r w:rsidRPr="00C008C2">
        <w:rPr>
          <w:sz w:val="16"/>
          <w:szCs w:val="16"/>
        </w:rPr>
        <w:t xml:space="preserve"> 2009, Issue 1. Art. No.: CD005314.</w:t>
      </w:r>
    </w:p>
  </w:footnote>
  <w:footnote w:id="25">
    <w:p w14:paraId="06398708" w14:textId="58C656EB" w:rsidR="00352559" w:rsidRDefault="00352559">
      <w:pPr>
        <w:pStyle w:val="FootnoteText"/>
      </w:pPr>
      <w:r>
        <w:rPr>
          <w:rStyle w:val="FootnoteReference"/>
        </w:rPr>
        <w:footnoteRef/>
      </w:r>
      <w:r>
        <w:t xml:space="preserve"> </w:t>
      </w:r>
      <w:r w:rsidR="00642E09" w:rsidRPr="00642E09">
        <w:rPr>
          <w:sz w:val="16"/>
          <w:szCs w:val="16"/>
        </w:rPr>
        <w:t>Primary Health Network Cooperative</w:t>
      </w:r>
      <w:r w:rsidR="007D3066" w:rsidRPr="00642E09">
        <w:rPr>
          <w:sz w:val="16"/>
          <w:szCs w:val="16"/>
        </w:rPr>
        <w:t xml:space="preserve">, </w:t>
      </w:r>
      <w:r w:rsidR="007D3066" w:rsidRPr="00642E09">
        <w:rPr>
          <w:i/>
          <w:iCs/>
          <w:sz w:val="16"/>
          <w:szCs w:val="16"/>
        </w:rPr>
        <w:t>Provision of general practitioner and related primary health services to outer metropolitan, rural, and regional Australians</w:t>
      </w:r>
      <w:r w:rsidR="00642E09" w:rsidRPr="00642E09">
        <w:rPr>
          <w:sz w:val="16"/>
          <w:szCs w:val="16"/>
        </w:rPr>
        <w:t xml:space="preserve">, Community Affairs References Committee, submission </w:t>
      </w:r>
      <w:r w:rsidR="00642E09">
        <w:rPr>
          <w:sz w:val="16"/>
          <w:szCs w:val="16"/>
        </w:rPr>
        <w:t>46</w:t>
      </w:r>
      <w:r w:rsidR="00086A7E">
        <w:rPr>
          <w:sz w:val="16"/>
          <w:szCs w:val="16"/>
        </w:rPr>
        <w:t>.</w:t>
      </w:r>
    </w:p>
  </w:footnote>
  <w:footnote w:id="26">
    <w:p w14:paraId="7E13A382" w14:textId="4C01591A" w:rsidR="00642E09" w:rsidRDefault="00642E09">
      <w:pPr>
        <w:pStyle w:val="FootnoteText"/>
      </w:pPr>
      <w:r>
        <w:rPr>
          <w:rStyle w:val="FootnoteReference"/>
        </w:rPr>
        <w:footnoteRef/>
      </w:r>
      <w:r>
        <w:t xml:space="preserve"> </w:t>
      </w:r>
      <w:r w:rsidR="00834118" w:rsidRPr="00834118">
        <w:rPr>
          <w:sz w:val="16"/>
          <w:szCs w:val="16"/>
        </w:rPr>
        <w:t>Rural Workforce Agency Network</w:t>
      </w:r>
      <w:r w:rsidRPr="00642E09">
        <w:rPr>
          <w:sz w:val="16"/>
          <w:szCs w:val="16"/>
        </w:rPr>
        <w:t xml:space="preserve">, </w:t>
      </w:r>
      <w:r w:rsidR="00410A4D">
        <w:rPr>
          <w:sz w:val="16"/>
          <w:szCs w:val="16"/>
        </w:rPr>
        <w:t xml:space="preserve">ibid, </w:t>
      </w:r>
      <w:r w:rsidRPr="00642E09">
        <w:rPr>
          <w:sz w:val="16"/>
          <w:szCs w:val="16"/>
        </w:rPr>
        <w:t xml:space="preserve">submission </w:t>
      </w:r>
      <w:r w:rsidR="00834118">
        <w:rPr>
          <w:sz w:val="16"/>
          <w:szCs w:val="16"/>
        </w:rPr>
        <w:t>50</w:t>
      </w:r>
      <w:r w:rsidR="00086A7E">
        <w:rPr>
          <w:sz w:val="16"/>
          <w:szCs w:val="16"/>
        </w:rPr>
        <w:t>.</w:t>
      </w:r>
    </w:p>
  </w:footnote>
  <w:footnote w:id="27">
    <w:p w14:paraId="4B387962" w14:textId="6AC40B37" w:rsidR="00642E09" w:rsidRDefault="00642E09">
      <w:pPr>
        <w:pStyle w:val="FootnoteText"/>
      </w:pPr>
      <w:r>
        <w:rPr>
          <w:rStyle w:val="FootnoteReference"/>
        </w:rPr>
        <w:footnoteRef/>
      </w:r>
      <w:r>
        <w:t xml:space="preserve"> </w:t>
      </w:r>
      <w:r w:rsidR="00834118" w:rsidRPr="00834118">
        <w:rPr>
          <w:sz w:val="16"/>
          <w:szCs w:val="16"/>
        </w:rPr>
        <w:t>Regional Australia Institute</w:t>
      </w:r>
      <w:r w:rsidRPr="00642E09">
        <w:rPr>
          <w:sz w:val="16"/>
          <w:szCs w:val="16"/>
        </w:rPr>
        <w:t xml:space="preserve">, </w:t>
      </w:r>
      <w:r w:rsidR="00410A4D" w:rsidRPr="00410A4D">
        <w:rPr>
          <w:sz w:val="16"/>
          <w:szCs w:val="16"/>
        </w:rPr>
        <w:t>ibid,</w:t>
      </w:r>
      <w:r w:rsidRPr="00642E09">
        <w:rPr>
          <w:sz w:val="16"/>
          <w:szCs w:val="16"/>
        </w:rPr>
        <w:t xml:space="preserve"> submission </w:t>
      </w:r>
      <w:r w:rsidR="00834118">
        <w:rPr>
          <w:sz w:val="16"/>
          <w:szCs w:val="16"/>
        </w:rPr>
        <w:t>71</w:t>
      </w:r>
      <w:r w:rsidR="00086A7E">
        <w:rPr>
          <w:sz w:val="16"/>
          <w:szCs w:val="16"/>
        </w:rPr>
        <w:t>.</w:t>
      </w:r>
    </w:p>
  </w:footnote>
  <w:footnote w:id="28">
    <w:p w14:paraId="27189941" w14:textId="7DEF35D6" w:rsidR="00642E09" w:rsidRDefault="00642E09">
      <w:pPr>
        <w:pStyle w:val="FootnoteText"/>
      </w:pPr>
      <w:r>
        <w:rPr>
          <w:rStyle w:val="FootnoteReference"/>
        </w:rPr>
        <w:footnoteRef/>
      </w:r>
      <w:r>
        <w:t xml:space="preserve"> </w:t>
      </w:r>
      <w:r w:rsidR="000948BA" w:rsidRPr="000948BA">
        <w:rPr>
          <w:sz w:val="16"/>
          <w:szCs w:val="16"/>
        </w:rPr>
        <w:t>Rural and Remote Medical Services</w:t>
      </w:r>
      <w:r w:rsidRPr="00642E09">
        <w:rPr>
          <w:sz w:val="16"/>
          <w:szCs w:val="16"/>
        </w:rPr>
        <w:t xml:space="preserve">, </w:t>
      </w:r>
      <w:r w:rsidR="00410A4D">
        <w:rPr>
          <w:sz w:val="16"/>
          <w:szCs w:val="16"/>
        </w:rPr>
        <w:t>ibid</w:t>
      </w:r>
      <w:r w:rsidRPr="00642E09">
        <w:rPr>
          <w:sz w:val="16"/>
          <w:szCs w:val="16"/>
        </w:rPr>
        <w:t xml:space="preserve">, submission </w:t>
      </w:r>
      <w:r>
        <w:rPr>
          <w:sz w:val="16"/>
          <w:szCs w:val="16"/>
        </w:rPr>
        <w:t>118</w:t>
      </w:r>
      <w:r w:rsidR="00086A7E">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4F6"/>
    <w:multiLevelType w:val="hybridMultilevel"/>
    <w:tmpl w:val="E99A4E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4471B6"/>
    <w:multiLevelType w:val="multilevel"/>
    <w:tmpl w:val="F692C438"/>
    <w:lvl w:ilvl="0">
      <w:start w:val="1"/>
      <w:numFmt w:val="none"/>
      <w:pStyle w:val="Source"/>
      <w:suff w:val="space"/>
      <w:lvlText w:val="Source:"/>
      <w:lvlJc w:val="left"/>
      <w:pPr>
        <w:ind w:left="510" w:hanging="51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ind w:left="579" w:hanging="360"/>
      </w:pPr>
      <w:rPr>
        <w:rFonts w:hint="default"/>
      </w:rPr>
    </w:lvl>
    <w:lvl w:ilvl="2">
      <w:start w:val="1"/>
      <w:numFmt w:val="none"/>
      <w:lvlText w:val=""/>
      <w:lvlJc w:val="left"/>
      <w:pPr>
        <w:ind w:left="939" w:hanging="360"/>
      </w:pPr>
      <w:rPr>
        <w:rFonts w:hint="default"/>
      </w:rPr>
    </w:lvl>
    <w:lvl w:ilvl="3">
      <w:start w:val="1"/>
      <w:numFmt w:val="none"/>
      <w:lvlText w:val=""/>
      <w:lvlJc w:val="left"/>
      <w:pPr>
        <w:ind w:left="1299" w:hanging="360"/>
      </w:pPr>
      <w:rPr>
        <w:rFonts w:hint="default"/>
      </w:rPr>
    </w:lvl>
    <w:lvl w:ilvl="4">
      <w:start w:val="1"/>
      <w:numFmt w:val="none"/>
      <w:lvlText w:val=""/>
      <w:lvlJc w:val="left"/>
      <w:pPr>
        <w:ind w:left="1659" w:hanging="360"/>
      </w:pPr>
      <w:rPr>
        <w:rFonts w:hint="default"/>
      </w:rPr>
    </w:lvl>
    <w:lvl w:ilvl="5">
      <w:start w:val="1"/>
      <w:numFmt w:val="none"/>
      <w:lvlText w:val=""/>
      <w:lvlJc w:val="left"/>
      <w:pPr>
        <w:ind w:left="2019" w:hanging="360"/>
      </w:pPr>
      <w:rPr>
        <w:rFonts w:hint="default"/>
      </w:rPr>
    </w:lvl>
    <w:lvl w:ilvl="6">
      <w:start w:val="1"/>
      <w:numFmt w:val="none"/>
      <w:lvlText w:val=""/>
      <w:lvlJc w:val="left"/>
      <w:pPr>
        <w:ind w:left="2379" w:hanging="360"/>
      </w:pPr>
      <w:rPr>
        <w:rFonts w:hint="default"/>
      </w:rPr>
    </w:lvl>
    <w:lvl w:ilvl="7">
      <w:start w:val="1"/>
      <w:numFmt w:val="none"/>
      <w:lvlText w:val=""/>
      <w:lvlJc w:val="left"/>
      <w:pPr>
        <w:ind w:left="2739" w:hanging="360"/>
      </w:pPr>
      <w:rPr>
        <w:rFonts w:hint="default"/>
      </w:rPr>
    </w:lvl>
    <w:lvl w:ilvl="8">
      <w:start w:val="1"/>
      <w:numFmt w:val="none"/>
      <w:lvlText w:val=""/>
      <w:lvlJc w:val="left"/>
      <w:pPr>
        <w:ind w:left="3099" w:hanging="360"/>
      </w:pPr>
      <w:rPr>
        <w:rFonts w:hint="default"/>
      </w:rPr>
    </w:lvl>
  </w:abstractNum>
  <w:abstractNum w:abstractNumId="2" w15:restartNumberingAfterBreak="0">
    <w:nsid w:val="12517257"/>
    <w:multiLevelType w:val="hybridMultilevel"/>
    <w:tmpl w:val="CE485552"/>
    <w:lvl w:ilvl="0" w:tplc="0C090001">
      <w:start w:val="1"/>
      <w:numFmt w:val="bullet"/>
      <w:lvlText w:val=""/>
      <w:lvlJc w:val="left"/>
      <w:pPr>
        <w:ind w:left="720" w:hanging="360"/>
      </w:pPr>
      <w:rPr>
        <w:rFonts w:ascii="Symbol" w:hAnsi="Symbol" w:hint="default"/>
      </w:rPr>
    </w:lvl>
    <w:lvl w:ilvl="1" w:tplc="9F9A3DF2">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50DA4"/>
    <w:multiLevelType w:val="hybridMultilevel"/>
    <w:tmpl w:val="12DCC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95EB3"/>
    <w:multiLevelType w:val="hybridMultilevel"/>
    <w:tmpl w:val="632E44F2"/>
    <w:lvl w:ilvl="0" w:tplc="B122E5A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85F53"/>
    <w:multiLevelType w:val="multilevel"/>
    <w:tmpl w:val="3DD44284"/>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6" w15:restartNumberingAfterBreak="0">
    <w:nsid w:val="20127871"/>
    <w:multiLevelType w:val="hybridMultilevel"/>
    <w:tmpl w:val="98B28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B2EFA"/>
    <w:multiLevelType w:val="hybridMultilevel"/>
    <w:tmpl w:val="BF3AC9C8"/>
    <w:lvl w:ilvl="0" w:tplc="B122E5A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C66BC4"/>
    <w:multiLevelType w:val="hybridMultilevel"/>
    <w:tmpl w:val="1E6C5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18268D"/>
    <w:multiLevelType w:val="hybridMultilevel"/>
    <w:tmpl w:val="CF6CD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3747EA"/>
    <w:multiLevelType w:val="hybridMultilevel"/>
    <w:tmpl w:val="2660B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D6137"/>
    <w:multiLevelType w:val="hybridMultilevel"/>
    <w:tmpl w:val="8F4A9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5F0607"/>
    <w:multiLevelType w:val="hybridMultilevel"/>
    <w:tmpl w:val="3A44BC60"/>
    <w:lvl w:ilvl="0" w:tplc="B122E5A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D46861"/>
    <w:multiLevelType w:val="hybridMultilevel"/>
    <w:tmpl w:val="878A4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FB35FA"/>
    <w:multiLevelType w:val="multilevel"/>
    <w:tmpl w:val="3B521254"/>
    <w:styleLink w:val="ListBullets"/>
    <w:lvl w:ilvl="0">
      <w:start w:val="1"/>
      <w:numFmt w:val="bullet"/>
      <w:lvlText w:val=""/>
      <w:lvlJc w:val="left"/>
      <w:pPr>
        <w:tabs>
          <w:tab w:val="num" w:pos="357"/>
        </w:tabs>
        <w:ind w:left="357" w:hanging="357"/>
      </w:pPr>
      <w:rPr>
        <w:rFonts w:ascii="Wingdings" w:hAnsi="Wingdings" w:hint="default"/>
        <w:color w:val="6929C4" w:themeColor="accent1"/>
      </w:rPr>
    </w:lvl>
    <w:lvl w:ilvl="1">
      <w:start w:val="1"/>
      <w:numFmt w:val="bullet"/>
      <w:lvlText w:val="o"/>
      <w:lvlJc w:val="left"/>
      <w:pPr>
        <w:tabs>
          <w:tab w:val="num" w:pos="714"/>
        </w:tabs>
        <w:ind w:left="714" w:hanging="357"/>
      </w:pPr>
      <w:rPr>
        <w:rFonts w:ascii="Courier New" w:hAnsi="Courier New" w:hint="default"/>
        <w:color w:val="6929C4" w:themeColor="accent1"/>
      </w:rPr>
    </w:lvl>
    <w:lvl w:ilvl="2">
      <w:start w:val="1"/>
      <w:numFmt w:val="bullet"/>
      <w:lvlText w:val="–"/>
      <w:lvlJc w:val="left"/>
      <w:pPr>
        <w:tabs>
          <w:tab w:val="num" w:pos="1072"/>
        </w:tabs>
        <w:ind w:left="1071" w:hanging="357"/>
      </w:pPr>
      <w:rPr>
        <w:rFonts w:ascii="Arial" w:hAnsi="Arial" w:hint="default"/>
        <w:color w:val="6929C4" w:themeColor="accent1"/>
      </w:rPr>
    </w:lvl>
    <w:lvl w:ilvl="3">
      <w:start w:val="1"/>
      <w:numFmt w:val="none"/>
      <w:lvlText w:val=""/>
      <w:lvlJc w:val="left"/>
      <w:pPr>
        <w:tabs>
          <w:tab w:val="num" w:pos="1355"/>
        </w:tabs>
        <w:ind w:left="1428" w:hanging="357"/>
      </w:pPr>
      <w:rPr>
        <w:rFonts w:hint="default"/>
      </w:rPr>
    </w:lvl>
    <w:lvl w:ilvl="4">
      <w:start w:val="1"/>
      <w:numFmt w:val="none"/>
      <w:lvlText w:val=""/>
      <w:lvlJc w:val="left"/>
      <w:pPr>
        <w:tabs>
          <w:tab w:val="num" w:pos="1712"/>
        </w:tabs>
        <w:ind w:left="1785" w:hanging="357"/>
      </w:pPr>
      <w:rPr>
        <w:rFonts w:hint="default"/>
      </w:rPr>
    </w:lvl>
    <w:lvl w:ilvl="5">
      <w:start w:val="1"/>
      <w:numFmt w:val="none"/>
      <w:lvlText w:val=""/>
      <w:lvlJc w:val="left"/>
      <w:pPr>
        <w:tabs>
          <w:tab w:val="num" w:pos="2069"/>
        </w:tabs>
        <w:ind w:left="2142" w:hanging="357"/>
      </w:pPr>
      <w:rPr>
        <w:rFonts w:hint="default"/>
      </w:rPr>
    </w:lvl>
    <w:lvl w:ilvl="6">
      <w:start w:val="1"/>
      <w:numFmt w:val="none"/>
      <w:lvlText w:val=""/>
      <w:lvlJc w:val="left"/>
      <w:pPr>
        <w:tabs>
          <w:tab w:val="num" w:pos="2426"/>
        </w:tabs>
        <w:ind w:left="2499" w:hanging="357"/>
      </w:pPr>
      <w:rPr>
        <w:rFonts w:hint="default"/>
      </w:rPr>
    </w:lvl>
    <w:lvl w:ilvl="7">
      <w:start w:val="1"/>
      <w:numFmt w:val="none"/>
      <w:lvlText w:val=""/>
      <w:lvlJc w:val="left"/>
      <w:pPr>
        <w:tabs>
          <w:tab w:val="num" w:pos="2783"/>
        </w:tabs>
        <w:ind w:left="2856" w:hanging="357"/>
      </w:pPr>
      <w:rPr>
        <w:rFonts w:hint="default"/>
      </w:rPr>
    </w:lvl>
    <w:lvl w:ilvl="8">
      <w:start w:val="1"/>
      <w:numFmt w:val="none"/>
      <w:lvlText w:val=""/>
      <w:lvlJc w:val="left"/>
      <w:pPr>
        <w:tabs>
          <w:tab w:val="num" w:pos="3140"/>
        </w:tabs>
        <w:ind w:left="3213" w:hanging="357"/>
      </w:pPr>
      <w:rPr>
        <w:rFonts w:hint="default"/>
      </w:rPr>
    </w:lvl>
  </w:abstractNum>
  <w:abstractNum w:abstractNumId="16" w15:restartNumberingAfterBreak="0">
    <w:nsid w:val="3BB55DC0"/>
    <w:multiLevelType w:val="hybridMultilevel"/>
    <w:tmpl w:val="A51EF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571EA9"/>
    <w:multiLevelType w:val="hybridMultilevel"/>
    <w:tmpl w:val="E1062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3538F8"/>
    <w:multiLevelType w:val="hybridMultilevel"/>
    <w:tmpl w:val="78DCF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C86C80"/>
    <w:multiLevelType w:val="hybridMultilevel"/>
    <w:tmpl w:val="8CDC3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3C16AF"/>
    <w:multiLevelType w:val="hybridMultilevel"/>
    <w:tmpl w:val="ECBEE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91240A"/>
    <w:multiLevelType w:val="hybridMultilevel"/>
    <w:tmpl w:val="ABAA0362"/>
    <w:lvl w:ilvl="0" w:tplc="B122E5A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566C1B"/>
    <w:multiLevelType w:val="hybridMultilevel"/>
    <w:tmpl w:val="3990B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716657"/>
    <w:multiLevelType w:val="hybridMultilevel"/>
    <w:tmpl w:val="C7F24A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71A2066"/>
    <w:multiLevelType w:val="hybridMultilevel"/>
    <w:tmpl w:val="43685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8F7E2C"/>
    <w:multiLevelType w:val="hybridMultilevel"/>
    <w:tmpl w:val="6DE205A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13544517">
    <w:abstractNumId w:val="5"/>
  </w:num>
  <w:num w:numId="2" w16cid:durableId="797338571">
    <w:abstractNumId w:val="8"/>
  </w:num>
  <w:num w:numId="3" w16cid:durableId="35006965">
    <w:abstractNumId w:val="1"/>
  </w:num>
  <w:num w:numId="4" w16cid:durableId="298074716">
    <w:abstractNumId w:val="15"/>
  </w:num>
  <w:num w:numId="5" w16cid:durableId="539054546">
    <w:abstractNumId w:val="2"/>
  </w:num>
  <w:num w:numId="6" w16cid:durableId="1799103866">
    <w:abstractNumId w:val="14"/>
  </w:num>
  <w:num w:numId="7" w16cid:durableId="1399089609">
    <w:abstractNumId w:val="3"/>
  </w:num>
  <w:num w:numId="8" w16cid:durableId="1252160182">
    <w:abstractNumId w:val="25"/>
  </w:num>
  <w:num w:numId="9" w16cid:durableId="844056660">
    <w:abstractNumId w:val="9"/>
  </w:num>
  <w:num w:numId="10" w16cid:durableId="2109229371">
    <w:abstractNumId w:val="22"/>
  </w:num>
  <w:num w:numId="11" w16cid:durableId="2052915831">
    <w:abstractNumId w:val="23"/>
  </w:num>
  <w:num w:numId="12" w16cid:durableId="985665198">
    <w:abstractNumId w:val="20"/>
  </w:num>
  <w:num w:numId="13" w16cid:durableId="1946494735">
    <w:abstractNumId w:val="19"/>
  </w:num>
  <w:num w:numId="14" w16cid:durableId="1259018937">
    <w:abstractNumId w:val="13"/>
  </w:num>
  <w:num w:numId="15" w16cid:durableId="2076080171">
    <w:abstractNumId w:val="21"/>
  </w:num>
  <w:num w:numId="16" w16cid:durableId="1351763389">
    <w:abstractNumId w:val="7"/>
  </w:num>
  <w:num w:numId="17" w16cid:durableId="1912302209">
    <w:abstractNumId w:val="4"/>
  </w:num>
  <w:num w:numId="18" w16cid:durableId="2046052738">
    <w:abstractNumId w:val="16"/>
  </w:num>
  <w:num w:numId="19" w16cid:durableId="72121530">
    <w:abstractNumId w:val="12"/>
  </w:num>
  <w:num w:numId="20" w16cid:durableId="740178001">
    <w:abstractNumId w:val="17"/>
  </w:num>
  <w:num w:numId="21" w16cid:durableId="2055885886">
    <w:abstractNumId w:val="6"/>
  </w:num>
  <w:num w:numId="22" w16cid:durableId="316881026">
    <w:abstractNumId w:val="10"/>
  </w:num>
  <w:num w:numId="23" w16cid:durableId="1277759954">
    <w:abstractNumId w:val="0"/>
  </w:num>
  <w:num w:numId="24" w16cid:durableId="480200202">
    <w:abstractNumId w:val="18"/>
  </w:num>
  <w:num w:numId="25" w16cid:durableId="137841273">
    <w:abstractNumId w:val="26"/>
  </w:num>
  <w:num w:numId="26" w16cid:durableId="1087532335">
    <w:abstractNumId w:val="24"/>
  </w:num>
  <w:num w:numId="27" w16cid:durableId="3049427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11F3"/>
    <w:rsid w:val="000023D9"/>
    <w:rsid w:val="00002D6A"/>
    <w:rsid w:val="00003525"/>
    <w:rsid w:val="00003EA3"/>
    <w:rsid w:val="0000598F"/>
    <w:rsid w:val="00005BFE"/>
    <w:rsid w:val="000060D9"/>
    <w:rsid w:val="0000641D"/>
    <w:rsid w:val="000079CE"/>
    <w:rsid w:val="00007CD2"/>
    <w:rsid w:val="00012C31"/>
    <w:rsid w:val="00015747"/>
    <w:rsid w:val="00015D32"/>
    <w:rsid w:val="00017D20"/>
    <w:rsid w:val="0002211C"/>
    <w:rsid w:val="000222BE"/>
    <w:rsid w:val="00022E38"/>
    <w:rsid w:val="00023D8D"/>
    <w:rsid w:val="00025236"/>
    <w:rsid w:val="0002637F"/>
    <w:rsid w:val="000264AE"/>
    <w:rsid w:val="0002753E"/>
    <w:rsid w:val="000275B1"/>
    <w:rsid w:val="000302E1"/>
    <w:rsid w:val="00030AE6"/>
    <w:rsid w:val="00030D27"/>
    <w:rsid w:val="00030FDA"/>
    <w:rsid w:val="00031B8B"/>
    <w:rsid w:val="00032406"/>
    <w:rsid w:val="00033D7E"/>
    <w:rsid w:val="0003523A"/>
    <w:rsid w:val="00035BF7"/>
    <w:rsid w:val="00035DF2"/>
    <w:rsid w:val="00036130"/>
    <w:rsid w:val="00036292"/>
    <w:rsid w:val="0003634C"/>
    <w:rsid w:val="0003689D"/>
    <w:rsid w:val="00037749"/>
    <w:rsid w:val="00037B1D"/>
    <w:rsid w:val="00037CAB"/>
    <w:rsid w:val="00037EB9"/>
    <w:rsid w:val="000400E4"/>
    <w:rsid w:val="000404CE"/>
    <w:rsid w:val="000421F0"/>
    <w:rsid w:val="00042611"/>
    <w:rsid w:val="00042625"/>
    <w:rsid w:val="00042649"/>
    <w:rsid w:val="0004272C"/>
    <w:rsid w:val="00044F3A"/>
    <w:rsid w:val="00045368"/>
    <w:rsid w:val="000454EC"/>
    <w:rsid w:val="00045E2F"/>
    <w:rsid w:val="00046C91"/>
    <w:rsid w:val="000505BF"/>
    <w:rsid w:val="00051EAD"/>
    <w:rsid w:val="00054C42"/>
    <w:rsid w:val="0006027B"/>
    <w:rsid w:val="00063685"/>
    <w:rsid w:val="00063EF8"/>
    <w:rsid w:val="000646B5"/>
    <w:rsid w:val="000658DB"/>
    <w:rsid w:val="00066F82"/>
    <w:rsid w:val="0006706E"/>
    <w:rsid w:val="00067813"/>
    <w:rsid w:val="000701D2"/>
    <w:rsid w:val="00071D94"/>
    <w:rsid w:val="00074035"/>
    <w:rsid w:val="00074FC8"/>
    <w:rsid w:val="00076584"/>
    <w:rsid w:val="0008175D"/>
    <w:rsid w:val="00081871"/>
    <w:rsid w:val="0008228C"/>
    <w:rsid w:val="00082B99"/>
    <w:rsid w:val="00082E8D"/>
    <w:rsid w:val="00082EE2"/>
    <w:rsid w:val="00084892"/>
    <w:rsid w:val="0008650D"/>
    <w:rsid w:val="00086A7E"/>
    <w:rsid w:val="00086E60"/>
    <w:rsid w:val="00087CA9"/>
    <w:rsid w:val="00090003"/>
    <w:rsid w:val="00090561"/>
    <w:rsid w:val="00092EF0"/>
    <w:rsid w:val="00094445"/>
    <w:rsid w:val="000948BA"/>
    <w:rsid w:val="00094E4E"/>
    <w:rsid w:val="00095089"/>
    <w:rsid w:val="00095E11"/>
    <w:rsid w:val="00096927"/>
    <w:rsid w:val="00096F80"/>
    <w:rsid w:val="000A1273"/>
    <w:rsid w:val="000A145A"/>
    <w:rsid w:val="000A2A27"/>
    <w:rsid w:val="000A2BA6"/>
    <w:rsid w:val="000A4D7D"/>
    <w:rsid w:val="000A551B"/>
    <w:rsid w:val="000A5B9A"/>
    <w:rsid w:val="000A7DD2"/>
    <w:rsid w:val="000A7F1E"/>
    <w:rsid w:val="000B0FFE"/>
    <w:rsid w:val="000B1120"/>
    <w:rsid w:val="000B13AF"/>
    <w:rsid w:val="000B283B"/>
    <w:rsid w:val="000B456B"/>
    <w:rsid w:val="000B5646"/>
    <w:rsid w:val="000B6324"/>
    <w:rsid w:val="000B733F"/>
    <w:rsid w:val="000C0044"/>
    <w:rsid w:val="000C0905"/>
    <w:rsid w:val="000C0F31"/>
    <w:rsid w:val="000C1080"/>
    <w:rsid w:val="000C16C8"/>
    <w:rsid w:val="000C3A94"/>
    <w:rsid w:val="000C4AA1"/>
    <w:rsid w:val="000C7854"/>
    <w:rsid w:val="000D2950"/>
    <w:rsid w:val="000D2BDD"/>
    <w:rsid w:val="000D326F"/>
    <w:rsid w:val="000D3C83"/>
    <w:rsid w:val="000D42B8"/>
    <w:rsid w:val="000D439C"/>
    <w:rsid w:val="000D4CE4"/>
    <w:rsid w:val="000D59A5"/>
    <w:rsid w:val="000D5FB3"/>
    <w:rsid w:val="000D6745"/>
    <w:rsid w:val="000D7704"/>
    <w:rsid w:val="000E039D"/>
    <w:rsid w:val="000E18F1"/>
    <w:rsid w:val="000E1DCA"/>
    <w:rsid w:val="000E38BA"/>
    <w:rsid w:val="000E4203"/>
    <w:rsid w:val="000E53CB"/>
    <w:rsid w:val="000E558D"/>
    <w:rsid w:val="000E5599"/>
    <w:rsid w:val="000E6A18"/>
    <w:rsid w:val="000E7042"/>
    <w:rsid w:val="000F1B63"/>
    <w:rsid w:val="000F4FD5"/>
    <w:rsid w:val="000F5336"/>
    <w:rsid w:val="000F5C21"/>
    <w:rsid w:val="000F64D2"/>
    <w:rsid w:val="000F6DCC"/>
    <w:rsid w:val="00100E9A"/>
    <w:rsid w:val="0010235F"/>
    <w:rsid w:val="001024B6"/>
    <w:rsid w:val="001024FB"/>
    <w:rsid w:val="001035E6"/>
    <w:rsid w:val="00104F95"/>
    <w:rsid w:val="00105A73"/>
    <w:rsid w:val="00105E7D"/>
    <w:rsid w:val="0010651B"/>
    <w:rsid w:val="00106C4A"/>
    <w:rsid w:val="00106FAB"/>
    <w:rsid w:val="00107291"/>
    <w:rsid w:val="00107D24"/>
    <w:rsid w:val="001114E3"/>
    <w:rsid w:val="001144F4"/>
    <w:rsid w:val="00114537"/>
    <w:rsid w:val="0011615E"/>
    <w:rsid w:val="001162DB"/>
    <w:rsid w:val="00120BEC"/>
    <w:rsid w:val="00120FF4"/>
    <w:rsid w:val="0012332F"/>
    <w:rsid w:val="00123B29"/>
    <w:rsid w:val="00125C36"/>
    <w:rsid w:val="00126048"/>
    <w:rsid w:val="0012615F"/>
    <w:rsid w:val="00126475"/>
    <w:rsid w:val="00127327"/>
    <w:rsid w:val="0012739C"/>
    <w:rsid w:val="001278FC"/>
    <w:rsid w:val="00127C77"/>
    <w:rsid w:val="00130A13"/>
    <w:rsid w:val="00132160"/>
    <w:rsid w:val="00133741"/>
    <w:rsid w:val="001339DE"/>
    <w:rsid w:val="001346C3"/>
    <w:rsid w:val="00135035"/>
    <w:rsid w:val="00136EC9"/>
    <w:rsid w:val="00137304"/>
    <w:rsid w:val="0014013D"/>
    <w:rsid w:val="00140885"/>
    <w:rsid w:val="00141749"/>
    <w:rsid w:val="001417C5"/>
    <w:rsid w:val="00141E7A"/>
    <w:rsid w:val="001425C4"/>
    <w:rsid w:val="00143208"/>
    <w:rsid w:val="00143860"/>
    <w:rsid w:val="001443A3"/>
    <w:rsid w:val="00144B8C"/>
    <w:rsid w:val="00145DD3"/>
    <w:rsid w:val="00146EA3"/>
    <w:rsid w:val="00147876"/>
    <w:rsid w:val="001517C4"/>
    <w:rsid w:val="0015187A"/>
    <w:rsid w:val="0015373E"/>
    <w:rsid w:val="00153E19"/>
    <w:rsid w:val="00155189"/>
    <w:rsid w:val="00155310"/>
    <w:rsid w:val="0015531F"/>
    <w:rsid w:val="00155FC4"/>
    <w:rsid w:val="00157CD7"/>
    <w:rsid w:val="00160BDC"/>
    <w:rsid w:val="00160E2C"/>
    <w:rsid w:val="00161C82"/>
    <w:rsid w:val="00162488"/>
    <w:rsid w:val="00162B5C"/>
    <w:rsid w:val="00163A69"/>
    <w:rsid w:val="001654FB"/>
    <w:rsid w:val="0016670F"/>
    <w:rsid w:val="00166A15"/>
    <w:rsid w:val="00167E98"/>
    <w:rsid w:val="00170F5F"/>
    <w:rsid w:val="00171774"/>
    <w:rsid w:val="00172136"/>
    <w:rsid w:val="0017271A"/>
    <w:rsid w:val="00174C44"/>
    <w:rsid w:val="00174E7C"/>
    <w:rsid w:val="00175CA1"/>
    <w:rsid w:val="00176DC7"/>
    <w:rsid w:val="00176DD9"/>
    <w:rsid w:val="00176E5B"/>
    <w:rsid w:val="00176F30"/>
    <w:rsid w:val="00177723"/>
    <w:rsid w:val="0017799A"/>
    <w:rsid w:val="00180611"/>
    <w:rsid w:val="00181974"/>
    <w:rsid w:val="00185CCD"/>
    <w:rsid w:val="0018615F"/>
    <w:rsid w:val="00186E57"/>
    <w:rsid w:val="00187E6F"/>
    <w:rsid w:val="00190009"/>
    <w:rsid w:val="0019169D"/>
    <w:rsid w:val="0019284D"/>
    <w:rsid w:val="00193379"/>
    <w:rsid w:val="00194719"/>
    <w:rsid w:val="001947B1"/>
    <w:rsid w:val="00194FC7"/>
    <w:rsid w:val="00196938"/>
    <w:rsid w:val="00196A11"/>
    <w:rsid w:val="00197895"/>
    <w:rsid w:val="00197D97"/>
    <w:rsid w:val="001A2B0D"/>
    <w:rsid w:val="001A2DE3"/>
    <w:rsid w:val="001A4014"/>
    <w:rsid w:val="001A56AA"/>
    <w:rsid w:val="001A5CEC"/>
    <w:rsid w:val="001A6C2B"/>
    <w:rsid w:val="001B085C"/>
    <w:rsid w:val="001B09CF"/>
    <w:rsid w:val="001B0D1F"/>
    <w:rsid w:val="001B207F"/>
    <w:rsid w:val="001B242E"/>
    <w:rsid w:val="001B2FDC"/>
    <w:rsid w:val="001B3726"/>
    <w:rsid w:val="001B6067"/>
    <w:rsid w:val="001C0084"/>
    <w:rsid w:val="001C0636"/>
    <w:rsid w:val="001C0CB2"/>
    <w:rsid w:val="001C0D18"/>
    <w:rsid w:val="001C23AA"/>
    <w:rsid w:val="001C2DAD"/>
    <w:rsid w:val="001C3B0B"/>
    <w:rsid w:val="001C5BC0"/>
    <w:rsid w:val="001C5CC4"/>
    <w:rsid w:val="001C5F13"/>
    <w:rsid w:val="001C77BB"/>
    <w:rsid w:val="001D3E53"/>
    <w:rsid w:val="001D5309"/>
    <w:rsid w:val="001D55A0"/>
    <w:rsid w:val="001D583C"/>
    <w:rsid w:val="001D6687"/>
    <w:rsid w:val="001D70B8"/>
    <w:rsid w:val="001D7713"/>
    <w:rsid w:val="001E0FC1"/>
    <w:rsid w:val="001E1D2A"/>
    <w:rsid w:val="001E1F06"/>
    <w:rsid w:val="001E2652"/>
    <w:rsid w:val="001E3572"/>
    <w:rsid w:val="001E3FEB"/>
    <w:rsid w:val="001E42FE"/>
    <w:rsid w:val="001E4423"/>
    <w:rsid w:val="001E5B4E"/>
    <w:rsid w:val="001E60E2"/>
    <w:rsid w:val="001E6C14"/>
    <w:rsid w:val="001F1F14"/>
    <w:rsid w:val="001F241E"/>
    <w:rsid w:val="001F2DFC"/>
    <w:rsid w:val="001F4937"/>
    <w:rsid w:val="001F4F0D"/>
    <w:rsid w:val="001F5605"/>
    <w:rsid w:val="001F58CF"/>
    <w:rsid w:val="001F59D3"/>
    <w:rsid w:val="001F5EFA"/>
    <w:rsid w:val="001F67E4"/>
    <w:rsid w:val="00200E9F"/>
    <w:rsid w:val="00201AA5"/>
    <w:rsid w:val="0020327E"/>
    <w:rsid w:val="00203460"/>
    <w:rsid w:val="00204FC1"/>
    <w:rsid w:val="00205183"/>
    <w:rsid w:val="00205471"/>
    <w:rsid w:val="00206249"/>
    <w:rsid w:val="00207C90"/>
    <w:rsid w:val="00212060"/>
    <w:rsid w:val="0021228E"/>
    <w:rsid w:val="002146DD"/>
    <w:rsid w:val="00214CED"/>
    <w:rsid w:val="00214DDD"/>
    <w:rsid w:val="0021626E"/>
    <w:rsid w:val="002163CB"/>
    <w:rsid w:val="00216D45"/>
    <w:rsid w:val="00217DC6"/>
    <w:rsid w:val="00222CBE"/>
    <w:rsid w:val="00223870"/>
    <w:rsid w:val="00224962"/>
    <w:rsid w:val="00226ABF"/>
    <w:rsid w:val="00226F84"/>
    <w:rsid w:val="00227A93"/>
    <w:rsid w:val="00227B50"/>
    <w:rsid w:val="00230251"/>
    <w:rsid w:val="002329CF"/>
    <w:rsid w:val="002333E8"/>
    <w:rsid w:val="00233874"/>
    <w:rsid w:val="002345C4"/>
    <w:rsid w:val="00234AD1"/>
    <w:rsid w:val="00235A3B"/>
    <w:rsid w:val="0023614F"/>
    <w:rsid w:val="002362F6"/>
    <w:rsid w:val="00237083"/>
    <w:rsid w:val="002372AA"/>
    <w:rsid w:val="00240A40"/>
    <w:rsid w:val="00241F6D"/>
    <w:rsid w:val="00242BD9"/>
    <w:rsid w:val="00243127"/>
    <w:rsid w:val="0024392D"/>
    <w:rsid w:val="0024416E"/>
    <w:rsid w:val="00244319"/>
    <w:rsid w:val="002456A5"/>
    <w:rsid w:val="002460A5"/>
    <w:rsid w:val="00246ACC"/>
    <w:rsid w:val="00246CC6"/>
    <w:rsid w:val="00246CE1"/>
    <w:rsid w:val="00247715"/>
    <w:rsid w:val="002503B4"/>
    <w:rsid w:val="00250FB5"/>
    <w:rsid w:val="00251B28"/>
    <w:rsid w:val="00253643"/>
    <w:rsid w:val="0025365C"/>
    <w:rsid w:val="002542D1"/>
    <w:rsid w:val="00254A3B"/>
    <w:rsid w:val="00254E1B"/>
    <w:rsid w:val="00255877"/>
    <w:rsid w:val="00256234"/>
    <w:rsid w:val="002566A3"/>
    <w:rsid w:val="00256DEF"/>
    <w:rsid w:val="00260E3D"/>
    <w:rsid w:val="00261570"/>
    <w:rsid w:val="002618DF"/>
    <w:rsid w:val="00261D00"/>
    <w:rsid w:val="00262CEB"/>
    <w:rsid w:val="002633D9"/>
    <w:rsid w:val="00263A67"/>
    <w:rsid w:val="00263F44"/>
    <w:rsid w:val="002642EA"/>
    <w:rsid w:val="00264C88"/>
    <w:rsid w:val="00265EF1"/>
    <w:rsid w:val="002669C9"/>
    <w:rsid w:val="002672E3"/>
    <w:rsid w:val="00267865"/>
    <w:rsid w:val="00267F5E"/>
    <w:rsid w:val="0027010F"/>
    <w:rsid w:val="00271A29"/>
    <w:rsid w:val="00273BDE"/>
    <w:rsid w:val="00273BFC"/>
    <w:rsid w:val="002740AE"/>
    <w:rsid w:val="00274228"/>
    <w:rsid w:val="00274F04"/>
    <w:rsid w:val="0027678D"/>
    <w:rsid w:val="002778B1"/>
    <w:rsid w:val="002778B7"/>
    <w:rsid w:val="00280AC6"/>
    <w:rsid w:val="002819BE"/>
    <w:rsid w:val="002824C3"/>
    <w:rsid w:val="00282608"/>
    <w:rsid w:val="002837F3"/>
    <w:rsid w:val="00285B0F"/>
    <w:rsid w:val="00286330"/>
    <w:rsid w:val="00292E71"/>
    <w:rsid w:val="002950ED"/>
    <w:rsid w:val="0029549F"/>
    <w:rsid w:val="00295D7B"/>
    <w:rsid w:val="002968F9"/>
    <w:rsid w:val="002970F5"/>
    <w:rsid w:val="00297EBD"/>
    <w:rsid w:val="002A06C2"/>
    <w:rsid w:val="002A0C48"/>
    <w:rsid w:val="002A1607"/>
    <w:rsid w:val="002A1657"/>
    <w:rsid w:val="002A1C3A"/>
    <w:rsid w:val="002A27DB"/>
    <w:rsid w:val="002A2913"/>
    <w:rsid w:val="002A374D"/>
    <w:rsid w:val="002A4B17"/>
    <w:rsid w:val="002A4EBA"/>
    <w:rsid w:val="002A780F"/>
    <w:rsid w:val="002B0361"/>
    <w:rsid w:val="002B06F1"/>
    <w:rsid w:val="002B1A76"/>
    <w:rsid w:val="002B290B"/>
    <w:rsid w:val="002B2BBE"/>
    <w:rsid w:val="002B4F5D"/>
    <w:rsid w:val="002B6EEC"/>
    <w:rsid w:val="002B71BA"/>
    <w:rsid w:val="002C188C"/>
    <w:rsid w:val="002C1971"/>
    <w:rsid w:val="002C1FAE"/>
    <w:rsid w:val="002C2344"/>
    <w:rsid w:val="002C2B11"/>
    <w:rsid w:val="002C30E8"/>
    <w:rsid w:val="002C3BBC"/>
    <w:rsid w:val="002C4F87"/>
    <w:rsid w:val="002C5753"/>
    <w:rsid w:val="002C6D13"/>
    <w:rsid w:val="002D038E"/>
    <w:rsid w:val="002D1D47"/>
    <w:rsid w:val="002D21BE"/>
    <w:rsid w:val="002D4D83"/>
    <w:rsid w:val="002D4E66"/>
    <w:rsid w:val="002D4FFB"/>
    <w:rsid w:val="002D55C0"/>
    <w:rsid w:val="002D610B"/>
    <w:rsid w:val="002D6C10"/>
    <w:rsid w:val="002E1442"/>
    <w:rsid w:val="002E151A"/>
    <w:rsid w:val="002E18B4"/>
    <w:rsid w:val="002E2D86"/>
    <w:rsid w:val="002E52BD"/>
    <w:rsid w:val="002E6529"/>
    <w:rsid w:val="002E6890"/>
    <w:rsid w:val="002E6CDF"/>
    <w:rsid w:val="002E6E2F"/>
    <w:rsid w:val="002E7FB9"/>
    <w:rsid w:val="002F3EB5"/>
    <w:rsid w:val="002F546E"/>
    <w:rsid w:val="002F5690"/>
    <w:rsid w:val="002F65B6"/>
    <w:rsid w:val="002F7D58"/>
    <w:rsid w:val="00302124"/>
    <w:rsid w:val="00302981"/>
    <w:rsid w:val="0030483C"/>
    <w:rsid w:val="00305F6B"/>
    <w:rsid w:val="003060CC"/>
    <w:rsid w:val="00307FA2"/>
    <w:rsid w:val="00310BEE"/>
    <w:rsid w:val="00310CA1"/>
    <w:rsid w:val="00310DD8"/>
    <w:rsid w:val="00311095"/>
    <w:rsid w:val="0031315A"/>
    <w:rsid w:val="00313B1C"/>
    <w:rsid w:val="00313B29"/>
    <w:rsid w:val="00314E27"/>
    <w:rsid w:val="003153A9"/>
    <w:rsid w:val="00315611"/>
    <w:rsid w:val="003165B0"/>
    <w:rsid w:val="00320F2A"/>
    <w:rsid w:val="003212E0"/>
    <w:rsid w:val="00321B16"/>
    <w:rsid w:val="0032317E"/>
    <w:rsid w:val="003241FF"/>
    <w:rsid w:val="003259FD"/>
    <w:rsid w:val="00325DAB"/>
    <w:rsid w:val="00325E85"/>
    <w:rsid w:val="0032626E"/>
    <w:rsid w:val="00327AB4"/>
    <w:rsid w:val="003310CD"/>
    <w:rsid w:val="00333481"/>
    <w:rsid w:val="00333EAD"/>
    <w:rsid w:val="00334F69"/>
    <w:rsid w:val="003351BB"/>
    <w:rsid w:val="00335723"/>
    <w:rsid w:val="00336DDA"/>
    <w:rsid w:val="003406AB"/>
    <w:rsid w:val="00341138"/>
    <w:rsid w:val="003416BA"/>
    <w:rsid w:val="00341B22"/>
    <w:rsid w:val="00342CB9"/>
    <w:rsid w:val="0034320C"/>
    <w:rsid w:val="003454FE"/>
    <w:rsid w:val="00346BC1"/>
    <w:rsid w:val="0034789F"/>
    <w:rsid w:val="00347CF1"/>
    <w:rsid w:val="0035131B"/>
    <w:rsid w:val="00352559"/>
    <w:rsid w:val="00352B94"/>
    <w:rsid w:val="00354004"/>
    <w:rsid w:val="00354671"/>
    <w:rsid w:val="00356CA1"/>
    <w:rsid w:val="003572FA"/>
    <w:rsid w:val="00360316"/>
    <w:rsid w:val="003623B4"/>
    <w:rsid w:val="00362FC0"/>
    <w:rsid w:val="00363B61"/>
    <w:rsid w:val="00365E11"/>
    <w:rsid w:val="00366923"/>
    <w:rsid w:val="00367293"/>
    <w:rsid w:val="003672C6"/>
    <w:rsid w:val="003708C1"/>
    <w:rsid w:val="00371606"/>
    <w:rsid w:val="00371831"/>
    <w:rsid w:val="003719D0"/>
    <w:rsid w:val="00371E5E"/>
    <w:rsid w:val="00373FF3"/>
    <w:rsid w:val="00374862"/>
    <w:rsid w:val="00374D26"/>
    <w:rsid w:val="00375365"/>
    <w:rsid w:val="003757AE"/>
    <w:rsid w:val="0037641F"/>
    <w:rsid w:val="00376470"/>
    <w:rsid w:val="00376C50"/>
    <w:rsid w:val="00380C65"/>
    <w:rsid w:val="00380C6F"/>
    <w:rsid w:val="00381A6A"/>
    <w:rsid w:val="0038201A"/>
    <w:rsid w:val="00383689"/>
    <w:rsid w:val="003900DF"/>
    <w:rsid w:val="0039115D"/>
    <w:rsid w:val="00391251"/>
    <w:rsid w:val="0039129F"/>
    <w:rsid w:val="00392AED"/>
    <w:rsid w:val="003938DC"/>
    <w:rsid w:val="00393C87"/>
    <w:rsid w:val="00396F6B"/>
    <w:rsid w:val="00397749"/>
    <w:rsid w:val="003A0307"/>
    <w:rsid w:val="003A0F02"/>
    <w:rsid w:val="003A0F7E"/>
    <w:rsid w:val="003A2337"/>
    <w:rsid w:val="003A2A3C"/>
    <w:rsid w:val="003A418D"/>
    <w:rsid w:val="003A4B02"/>
    <w:rsid w:val="003A5852"/>
    <w:rsid w:val="003A70E1"/>
    <w:rsid w:val="003A75F1"/>
    <w:rsid w:val="003B38CF"/>
    <w:rsid w:val="003B474F"/>
    <w:rsid w:val="003B6643"/>
    <w:rsid w:val="003B74E1"/>
    <w:rsid w:val="003B7928"/>
    <w:rsid w:val="003C0071"/>
    <w:rsid w:val="003C1524"/>
    <w:rsid w:val="003C378C"/>
    <w:rsid w:val="003C3D67"/>
    <w:rsid w:val="003C454B"/>
    <w:rsid w:val="003C470F"/>
    <w:rsid w:val="003C660E"/>
    <w:rsid w:val="003C716E"/>
    <w:rsid w:val="003C76AD"/>
    <w:rsid w:val="003D06C2"/>
    <w:rsid w:val="003D0CC4"/>
    <w:rsid w:val="003D1561"/>
    <w:rsid w:val="003D1AE6"/>
    <w:rsid w:val="003D1BB4"/>
    <w:rsid w:val="003D2ECF"/>
    <w:rsid w:val="003D3689"/>
    <w:rsid w:val="003D4648"/>
    <w:rsid w:val="003D5239"/>
    <w:rsid w:val="003D7BD5"/>
    <w:rsid w:val="003E1899"/>
    <w:rsid w:val="003E1C87"/>
    <w:rsid w:val="003E2158"/>
    <w:rsid w:val="003E23BA"/>
    <w:rsid w:val="003E2891"/>
    <w:rsid w:val="003E3395"/>
    <w:rsid w:val="003E3C17"/>
    <w:rsid w:val="003E3C99"/>
    <w:rsid w:val="003E4679"/>
    <w:rsid w:val="003E5043"/>
    <w:rsid w:val="003E5F84"/>
    <w:rsid w:val="003E6680"/>
    <w:rsid w:val="003E669A"/>
    <w:rsid w:val="003E6BDB"/>
    <w:rsid w:val="003E6DF6"/>
    <w:rsid w:val="003E70DD"/>
    <w:rsid w:val="003F18D8"/>
    <w:rsid w:val="003F20BE"/>
    <w:rsid w:val="003F222A"/>
    <w:rsid w:val="003F4419"/>
    <w:rsid w:val="004019DF"/>
    <w:rsid w:val="0040299C"/>
    <w:rsid w:val="00402E17"/>
    <w:rsid w:val="00403898"/>
    <w:rsid w:val="00403FC8"/>
    <w:rsid w:val="004047B0"/>
    <w:rsid w:val="00404D09"/>
    <w:rsid w:val="00405185"/>
    <w:rsid w:val="00405CED"/>
    <w:rsid w:val="00406426"/>
    <w:rsid w:val="0041032F"/>
    <w:rsid w:val="00410A4D"/>
    <w:rsid w:val="00414135"/>
    <w:rsid w:val="00414A4A"/>
    <w:rsid w:val="00415AB1"/>
    <w:rsid w:val="00415E10"/>
    <w:rsid w:val="0041679C"/>
    <w:rsid w:val="004168B0"/>
    <w:rsid w:val="00416971"/>
    <w:rsid w:val="00420649"/>
    <w:rsid w:val="004207B1"/>
    <w:rsid w:val="00421235"/>
    <w:rsid w:val="004229C9"/>
    <w:rsid w:val="00422AD4"/>
    <w:rsid w:val="0042355E"/>
    <w:rsid w:val="00423ED4"/>
    <w:rsid w:val="00423F80"/>
    <w:rsid w:val="00424FA4"/>
    <w:rsid w:val="0042567C"/>
    <w:rsid w:val="00425A54"/>
    <w:rsid w:val="00425E88"/>
    <w:rsid w:val="0042606B"/>
    <w:rsid w:val="00426619"/>
    <w:rsid w:val="00430EBA"/>
    <w:rsid w:val="004310E0"/>
    <w:rsid w:val="00431BFC"/>
    <w:rsid w:val="00432D6D"/>
    <w:rsid w:val="00434048"/>
    <w:rsid w:val="0043696E"/>
    <w:rsid w:val="00440C82"/>
    <w:rsid w:val="00442A25"/>
    <w:rsid w:val="00443AC6"/>
    <w:rsid w:val="00443D01"/>
    <w:rsid w:val="004440ED"/>
    <w:rsid w:val="00446141"/>
    <w:rsid w:val="00446345"/>
    <w:rsid w:val="00446C45"/>
    <w:rsid w:val="00450BCB"/>
    <w:rsid w:val="004528ED"/>
    <w:rsid w:val="00452BD3"/>
    <w:rsid w:val="004533C9"/>
    <w:rsid w:val="004547E6"/>
    <w:rsid w:val="0045727A"/>
    <w:rsid w:val="0045780B"/>
    <w:rsid w:val="004604B3"/>
    <w:rsid w:val="004604DF"/>
    <w:rsid w:val="0046067A"/>
    <w:rsid w:val="00460BF2"/>
    <w:rsid w:val="00460D84"/>
    <w:rsid w:val="00465736"/>
    <w:rsid w:val="00465EC8"/>
    <w:rsid w:val="00466216"/>
    <w:rsid w:val="00466B3C"/>
    <w:rsid w:val="004676AF"/>
    <w:rsid w:val="00470A56"/>
    <w:rsid w:val="0047121B"/>
    <w:rsid w:val="00473250"/>
    <w:rsid w:val="00473D71"/>
    <w:rsid w:val="004740C5"/>
    <w:rsid w:val="00475238"/>
    <w:rsid w:val="004760CB"/>
    <w:rsid w:val="00477227"/>
    <w:rsid w:val="004773D3"/>
    <w:rsid w:val="004776CA"/>
    <w:rsid w:val="00477DE2"/>
    <w:rsid w:val="0048025D"/>
    <w:rsid w:val="00481F75"/>
    <w:rsid w:val="00483355"/>
    <w:rsid w:val="00485113"/>
    <w:rsid w:val="004855D9"/>
    <w:rsid w:val="004871A7"/>
    <w:rsid w:val="00487629"/>
    <w:rsid w:val="004910B4"/>
    <w:rsid w:val="004929A4"/>
    <w:rsid w:val="004931A7"/>
    <w:rsid w:val="004956AE"/>
    <w:rsid w:val="004963E8"/>
    <w:rsid w:val="004965D4"/>
    <w:rsid w:val="00496627"/>
    <w:rsid w:val="004979E5"/>
    <w:rsid w:val="00497ED4"/>
    <w:rsid w:val="00497F69"/>
    <w:rsid w:val="004A061F"/>
    <w:rsid w:val="004A1640"/>
    <w:rsid w:val="004A2AA3"/>
    <w:rsid w:val="004A48B4"/>
    <w:rsid w:val="004A4FF0"/>
    <w:rsid w:val="004A52EB"/>
    <w:rsid w:val="004A5FA6"/>
    <w:rsid w:val="004A6542"/>
    <w:rsid w:val="004A6A3C"/>
    <w:rsid w:val="004A7057"/>
    <w:rsid w:val="004B0181"/>
    <w:rsid w:val="004B2E96"/>
    <w:rsid w:val="004B34CC"/>
    <w:rsid w:val="004B3F5D"/>
    <w:rsid w:val="004B4BF7"/>
    <w:rsid w:val="004B5E03"/>
    <w:rsid w:val="004B7A8E"/>
    <w:rsid w:val="004C0253"/>
    <w:rsid w:val="004C1E99"/>
    <w:rsid w:val="004C2695"/>
    <w:rsid w:val="004C4D98"/>
    <w:rsid w:val="004C5CCE"/>
    <w:rsid w:val="004C6898"/>
    <w:rsid w:val="004C705B"/>
    <w:rsid w:val="004C77A0"/>
    <w:rsid w:val="004C7B62"/>
    <w:rsid w:val="004D1617"/>
    <w:rsid w:val="004D22A5"/>
    <w:rsid w:val="004D3224"/>
    <w:rsid w:val="004D3A08"/>
    <w:rsid w:val="004D45DD"/>
    <w:rsid w:val="004D4B64"/>
    <w:rsid w:val="004D52A9"/>
    <w:rsid w:val="004D6E96"/>
    <w:rsid w:val="004E0C3D"/>
    <w:rsid w:val="004E181D"/>
    <w:rsid w:val="004E1FD3"/>
    <w:rsid w:val="004E2616"/>
    <w:rsid w:val="004E2AB4"/>
    <w:rsid w:val="004E2EBE"/>
    <w:rsid w:val="004E30AD"/>
    <w:rsid w:val="004E316D"/>
    <w:rsid w:val="004E3756"/>
    <w:rsid w:val="004E46BA"/>
    <w:rsid w:val="004E589F"/>
    <w:rsid w:val="004E5AE5"/>
    <w:rsid w:val="004E5E7B"/>
    <w:rsid w:val="004E64B7"/>
    <w:rsid w:val="004E6EF0"/>
    <w:rsid w:val="004E6F8D"/>
    <w:rsid w:val="004E781C"/>
    <w:rsid w:val="004E7BA9"/>
    <w:rsid w:val="004F00E5"/>
    <w:rsid w:val="004F0A91"/>
    <w:rsid w:val="004F0B51"/>
    <w:rsid w:val="004F0B5E"/>
    <w:rsid w:val="004F110D"/>
    <w:rsid w:val="004F2AE6"/>
    <w:rsid w:val="004F3148"/>
    <w:rsid w:val="004F47A3"/>
    <w:rsid w:val="004F4ABA"/>
    <w:rsid w:val="005011F2"/>
    <w:rsid w:val="00502054"/>
    <w:rsid w:val="005036D4"/>
    <w:rsid w:val="005066C9"/>
    <w:rsid w:val="005108D5"/>
    <w:rsid w:val="005109B7"/>
    <w:rsid w:val="00510B1C"/>
    <w:rsid w:val="00511194"/>
    <w:rsid w:val="0051305D"/>
    <w:rsid w:val="005133EA"/>
    <w:rsid w:val="005134B1"/>
    <w:rsid w:val="00513C8F"/>
    <w:rsid w:val="00513D5B"/>
    <w:rsid w:val="005142EA"/>
    <w:rsid w:val="00515CC0"/>
    <w:rsid w:val="005161BE"/>
    <w:rsid w:val="00516667"/>
    <w:rsid w:val="0051683F"/>
    <w:rsid w:val="00517E4D"/>
    <w:rsid w:val="005212E5"/>
    <w:rsid w:val="00522465"/>
    <w:rsid w:val="005234FF"/>
    <w:rsid w:val="005244FA"/>
    <w:rsid w:val="005264BD"/>
    <w:rsid w:val="0052654E"/>
    <w:rsid w:val="00526CF1"/>
    <w:rsid w:val="00526E08"/>
    <w:rsid w:val="005272A0"/>
    <w:rsid w:val="0052784C"/>
    <w:rsid w:val="005309B8"/>
    <w:rsid w:val="00530F5F"/>
    <w:rsid w:val="005323B6"/>
    <w:rsid w:val="0053311C"/>
    <w:rsid w:val="00533151"/>
    <w:rsid w:val="00533C81"/>
    <w:rsid w:val="00534132"/>
    <w:rsid w:val="0053434E"/>
    <w:rsid w:val="005346BA"/>
    <w:rsid w:val="005360A3"/>
    <w:rsid w:val="005406CC"/>
    <w:rsid w:val="005416A0"/>
    <w:rsid w:val="00542F73"/>
    <w:rsid w:val="00543458"/>
    <w:rsid w:val="005435CD"/>
    <w:rsid w:val="00543D06"/>
    <w:rsid w:val="00544D2B"/>
    <w:rsid w:val="00545372"/>
    <w:rsid w:val="00547185"/>
    <w:rsid w:val="00547A28"/>
    <w:rsid w:val="0055011D"/>
    <w:rsid w:val="00550A92"/>
    <w:rsid w:val="005514F3"/>
    <w:rsid w:val="00551601"/>
    <w:rsid w:val="00551E25"/>
    <w:rsid w:val="00551FD4"/>
    <w:rsid w:val="005540B6"/>
    <w:rsid w:val="00555675"/>
    <w:rsid w:val="00555916"/>
    <w:rsid w:val="005563A5"/>
    <w:rsid w:val="00556435"/>
    <w:rsid w:val="00561A5D"/>
    <w:rsid w:val="0056271E"/>
    <w:rsid w:val="0056379B"/>
    <w:rsid w:val="005639BB"/>
    <w:rsid w:val="005664CE"/>
    <w:rsid w:val="0056771F"/>
    <w:rsid w:val="0057143D"/>
    <w:rsid w:val="00572133"/>
    <w:rsid w:val="00572741"/>
    <w:rsid w:val="0057351E"/>
    <w:rsid w:val="00574039"/>
    <w:rsid w:val="00574099"/>
    <w:rsid w:val="00575028"/>
    <w:rsid w:val="00577729"/>
    <w:rsid w:val="0058217B"/>
    <w:rsid w:val="005822F3"/>
    <w:rsid w:val="00582368"/>
    <w:rsid w:val="005827B7"/>
    <w:rsid w:val="00582EDE"/>
    <w:rsid w:val="005846C1"/>
    <w:rsid w:val="00587260"/>
    <w:rsid w:val="00590E40"/>
    <w:rsid w:val="00590E9B"/>
    <w:rsid w:val="005915A7"/>
    <w:rsid w:val="0059188E"/>
    <w:rsid w:val="00592B8B"/>
    <w:rsid w:val="00593504"/>
    <w:rsid w:val="005935A7"/>
    <w:rsid w:val="0059425E"/>
    <w:rsid w:val="00594390"/>
    <w:rsid w:val="00595B58"/>
    <w:rsid w:val="0059639A"/>
    <w:rsid w:val="00596480"/>
    <w:rsid w:val="00596762"/>
    <w:rsid w:val="00596B0F"/>
    <w:rsid w:val="00596F46"/>
    <w:rsid w:val="00597EF7"/>
    <w:rsid w:val="005A0917"/>
    <w:rsid w:val="005A1A66"/>
    <w:rsid w:val="005A2862"/>
    <w:rsid w:val="005A4810"/>
    <w:rsid w:val="005A6F3A"/>
    <w:rsid w:val="005A7B5C"/>
    <w:rsid w:val="005A7B96"/>
    <w:rsid w:val="005B2318"/>
    <w:rsid w:val="005B2E3D"/>
    <w:rsid w:val="005B3819"/>
    <w:rsid w:val="005B5287"/>
    <w:rsid w:val="005B5443"/>
    <w:rsid w:val="005B60AC"/>
    <w:rsid w:val="005B7A57"/>
    <w:rsid w:val="005B7B79"/>
    <w:rsid w:val="005C0F16"/>
    <w:rsid w:val="005C167A"/>
    <w:rsid w:val="005C2022"/>
    <w:rsid w:val="005C3C96"/>
    <w:rsid w:val="005C4585"/>
    <w:rsid w:val="005C59DD"/>
    <w:rsid w:val="005C5A64"/>
    <w:rsid w:val="005C6471"/>
    <w:rsid w:val="005C6C2E"/>
    <w:rsid w:val="005D06F7"/>
    <w:rsid w:val="005D2083"/>
    <w:rsid w:val="005D467D"/>
    <w:rsid w:val="005D4C13"/>
    <w:rsid w:val="005D4F2F"/>
    <w:rsid w:val="005D72C7"/>
    <w:rsid w:val="005E0A1F"/>
    <w:rsid w:val="005E15C6"/>
    <w:rsid w:val="005E16D2"/>
    <w:rsid w:val="005E1ECE"/>
    <w:rsid w:val="005E2962"/>
    <w:rsid w:val="005E3E41"/>
    <w:rsid w:val="005E447D"/>
    <w:rsid w:val="005E4EB0"/>
    <w:rsid w:val="005E5A61"/>
    <w:rsid w:val="005E68E0"/>
    <w:rsid w:val="005E6F09"/>
    <w:rsid w:val="005F0C27"/>
    <w:rsid w:val="005F0F35"/>
    <w:rsid w:val="005F13AF"/>
    <w:rsid w:val="005F1915"/>
    <w:rsid w:val="005F1E8D"/>
    <w:rsid w:val="005F21CB"/>
    <w:rsid w:val="005F2A88"/>
    <w:rsid w:val="005F2B44"/>
    <w:rsid w:val="005F3125"/>
    <w:rsid w:val="005F56D4"/>
    <w:rsid w:val="005F669D"/>
    <w:rsid w:val="005F6CB3"/>
    <w:rsid w:val="005F75C4"/>
    <w:rsid w:val="00600417"/>
    <w:rsid w:val="00601020"/>
    <w:rsid w:val="006029D6"/>
    <w:rsid w:val="006038F1"/>
    <w:rsid w:val="0060419B"/>
    <w:rsid w:val="006059E9"/>
    <w:rsid w:val="00606350"/>
    <w:rsid w:val="006066C4"/>
    <w:rsid w:val="006071A0"/>
    <w:rsid w:val="006100A2"/>
    <w:rsid w:val="0061085B"/>
    <w:rsid w:val="00611517"/>
    <w:rsid w:val="006121E5"/>
    <w:rsid w:val="0061247B"/>
    <w:rsid w:val="00612653"/>
    <w:rsid w:val="0061340D"/>
    <w:rsid w:val="00613440"/>
    <w:rsid w:val="00615246"/>
    <w:rsid w:val="006170EB"/>
    <w:rsid w:val="00617740"/>
    <w:rsid w:val="00617A0F"/>
    <w:rsid w:val="00620457"/>
    <w:rsid w:val="00620F20"/>
    <w:rsid w:val="0062153B"/>
    <w:rsid w:val="00621A09"/>
    <w:rsid w:val="00621F0A"/>
    <w:rsid w:val="0062257F"/>
    <w:rsid w:val="0062307B"/>
    <w:rsid w:val="006230A8"/>
    <w:rsid w:val="00623E60"/>
    <w:rsid w:val="006257AA"/>
    <w:rsid w:val="00630C92"/>
    <w:rsid w:val="00631C53"/>
    <w:rsid w:val="00631CDE"/>
    <w:rsid w:val="00632CE7"/>
    <w:rsid w:val="00633514"/>
    <w:rsid w:val="00635071"/>
    <w:rsid w:val="006353A2"/>
    <w:rsid w:val="00635A11"/>
    <w:rsid w:val="006372D9"/>
    <w:rsid w:val="00637E54"/>
    <w:rsid w:val="00640013"/>
    <w:rsid w:val="0064002D"/>
    <w:rsid w:val="0064094D"/>
    <w:rsid w:val="006417B4"/>
    <w:rsid w:val="00641C81"/>
    <w:rsid w:val="0064239D"/>
    <w:rsid w:val="00642E09"/>
    <w:rsid w:val="0064373F"/>
    <w:rsid w:val="006437A1"/>
    <w:rsid w:val="00644353"/>
    <w:rsid w:val="0064562E"/>
    <w:rsid w:val="006479B8"/>
    <w:rsid w:val="0065147B"/>
    <w:rsid w:val="0065160E"/>
    <w:rsid w:val="00652026"/>
    <w:rsid w:val="0065599A"/>
    <w:rsid w:val="0065662F"/>
    <w:rsid w:val="006606E0"/>
    <w:rsid w:val="0066117B"/>
    <w:rsid w:val="006612B3"/>
    <w:rsid w:val="00661387"/>
    <w:rsid w:val="006614BF"/>
    <w:rsid w:val="00662527"/>
    <w:rsid w:val="006630A6"/>
    <w:rsid w:val="0066318A"/>
    <w:rsid w:val="00663599"/>
    <w:rsid w:val="00665616"/>
    <w:rsid w:val="006670A4"/>
    <w:rsid w:val="00667EB3"/>
    <w:rsid w:val="0067096F"/>
    <w:rsid w:val="006709A1"/>
    <w:rsid w:val="006735B3"/>
    <w:rsid w:val="006735D5"/>
    <w:rsid w:val="00673B92"/>
    <w:rsid w:val="0067485D"/>
    <w:rsid w:val="00674C76"/>
    <w:rsid w:val="00676021"/>
    <w:rsid w:val="00677034"/>
    <w:rsid w:val="006809FA"/>
    <w:rsid w:val="006809FE"/>
    <w:rsid w:val="00680CEA"/>
    <w:rsid w:val="006813C4"/>
    <w:rsid w:val="00682D33"/>
    <w:rsid w:val="00682E3D"/>
    <w:rsid w:val="0068480C"/>
    <w:rsid w:val="00686A2C"/>
    <w:rsid w:val="00690E2E"/>
    <w:rsid w:val="0069122D"/>
    <w:rsid w:val="00693048"/>
    <w:rsid w:val="00693295"/>
    <w:rsid w:val="006934E1"/>
    <w:rsid w:val="00693E00"/>
    <w:rsid w:val="006940F2"/>
    <w:rsid w:val="00694DD7"/>
    <w:rsid w:val="006969EF"/>
    <w:rsid w:val="006A07A0"/>
    <w:rsid w:val="006A15CF"/>
    <w:rsid w:val="006A229D"/>
    <w:rsid w:val="006A2916"/>
    <w:rsid w:val="006A294C"/>
    <w:rsid w:val="006A2BAB"/>
    <w:rsid w:val="006A3C9B"/>
    <w:rsid w:val="006A3D3B"/>
    <w:rsid w:val="006A44DE"/>
    <w:rsid w:val="006A4C81"/>
    <w:rsid w:val="006A6706"/>
    <w:rsid w:val="006A7CFD"/>
    <w:rsid w:val="006B0445"/>
    <w:rsid w:val="006B0850"/>
    <w:rsid w:val="006B09A0"/>
    <w:rsid w:val="006B0AA4"/>
    <w:rsid w:val="006B1952"/>
    <w:rsid w:val="006B19FE"/>
    <w:rsid w:val="006B2CCE"/>
    <w:rsid w:val="006B499E"/>
    <w:rsid w:val="006B62B7"/>
    <w:rsid w:val="006B6379"/>
    <w:rsid w:val="006B6F8F"/>
    <w:rsid w:val="006C0523"/>
    <w:rsid w:val="006C1F8E"/>
    <w:rsid w:val="006C2146"/>
    <w:rsid w:val="006C33B7"/>
    <w:rsid w:val="006C5255"/>
    <w:rsid w:val="006D02E8"/>
    <w:rsid w:val="006D137A"/>
    <w:rsid w:val="006D2953"/>
    <w:rsid w:val="006D3281"/>
    <w:rsid w:val="006D41A2"/>
    <w:rsid w:val="006D5419"/>
    <w:rsid w:val="006D56CF"/>
    <w:rsid w:val="006D6573"/>
    <w:rsid w:val="006D6AC4"/>
    <w:rsid w:val="006D7963"/>
    <w:rsid w:val="006E1136"/>
    <w:rsid w:val="006E16BB"/>
    <w:rsid w:val="006E2313"/>
    <w:rsid w:val="006E30DF"/>
    <w:rsid w:val="006E3522"/>
    <w:rsid w:val="006E3C96"/>
    <w:rsid w:val="006E603C"/>
    <w:rsid w:val="006E6A81"/>
    <w:rsid w:val="006E6A91"/>
    <w:rsid w:val="006E6CB2"/>
    <w:rsid w:val="006E720A"/>
    <w:rsid w:val="006E7FA5"/>
    <w:rsid w:val="006F35A3"/>
    <w:rsid w:val="006F3BDF"/>
    <w:rsid w:val="006F461C"/>
    <w:rsid w:val="006F49E5"/>
    <w:rsid w:val="006F5728"/>
    <w:rsid w:val="006F7520"/>
    <w:rsid w:val="006F7B5B"/>
    <w:rsid w:val="0070258F"/>
    <w:rsid w:val="00702B36"/>
    <w:rsid w:val="00703260"/>
    <w:rsid w:val="007037AF"/>
    <w:rsid w:val="00705240"/>
    <w:rsid w:val="0070594B"/>
    <w:rsid w:val="00706DDC"/>
    <w:rsid w:val="00710BC1"/>
    <w:rsid w:val="00711E23"/>
    <w:rsid w:val="007121B9"/>
    <w:rsid w:val="0071262B"/>
    <w:rsid w:val="007138F6"/>
    <w:rsid w:val="00715190"/>
    <w:rsid w:val="007152D7"/>
    <w:rsid w:val="007160CA"/>
    <w:rsid w:val="007177A7"/>
    <w:rsid w:val="0072010D"/>
    <w:rsid w:val="00720138"/>
    <w:rsid w:val="0072100F"/>
    <w:rsid w:val="007210B6"/>
    <w:rsid w:val="00721383"/>
    <w:rsid w:val="007238AF"/>
    <w:rsid w:val="00724C36"/>
    <w:rsid w:val="0072616C"/>
    <w:rsid w:val="0072638E"/>
    <w:rsid w:val="00731178"/>
    <w:rsid w:val="0073218C"/>
    <w:rsid w:val="00733177"/>
    <w:rsid w:val="0073513A"/>
    <w:rsid w:val="007353EE"/>
    <w:rsid w:val="00735B16"/>
    <w:rsid w:val="00736E13"/>
    <w:rsid w:val="007371B3"/>
    <w:rsid w:val="00737555"/>
    <w:rsid w:val="00737930"/>
    <w:rsid w:val="00737A4A"/>
    <w:rsid w:val="00740B8A"/>
    <w:rsid w:val="007420FB"/>
    <w:rsid w:val="007422F1"/>
    <w:rsid w:val="00744511"/>
    <w:rsid w:val="00744D86"/>
    <w:rsid w:val="00745D89"/>
    <w:rsid w:val="0074663F"/>
    <w:rsid w:val="007471EF"/>
    <w:rsid w:val="0074738B"/>
    <w:rsid w:val="0075220C"/>
    <w:rsid w:val="0075341F"/>
    <w:rsid w:val="00753B29"/>
    <w:rsid w:val="00754AB9"/>
    <w:rsid w:val="007554AF"/>
    <w:rsid w:val="00757EBE"/>
    <w:rsid w:val="00760399"/>
    <w:rsid w:val="00763182"/>
    <w:rsid w:val="00763CAC"/>
    <w:rsid w:val="00764F5C"/>
    <w:rsid w:val="00765770"/>
    <w:rsid w:val="00765CF0"/>
    <w:rsid w:val="007660EE"/>
    <w:rsid w:val="007665CB"/>
    <w:rsid w:val="0076672A"/>
    <w:rsid w:val="007674E9"/>
    <w:rsid w:val="00767C3A"/>
    <w:rsid w:val="00770224"/>
    <w:rsid w:val="00772148"/>
    <w:rsid w:val="007721D1"/>
    <w:rsid w:val="00774039"/>
    <w:rsid w:val="00774D29"/>
    <w:rsid w:val="0077596A"/>
    <w:rsid w:val="007760EC"/>
    <w:rsid w:val="0077673A"/>
    <w:rsid w:val="00777BAA"/>
    <w:rsid w:val="00777BDA"/>
    <w:rsid w:val="00781F25"/>
    <w:rsid w:val="0078204D"/>
    <w:rsid w:val="00782490"/>
    <w:rsid w:val="007824F8"/>
    <w:rsid w:val="007825E2"/>
    <w:rsid w:val="007836EB"/>
    <w:rsid w:val="007836F5"/>
    <w:rsid w:val="00790078"/>
    <w:rsid w:val="00790E61"/>
    <w:rsid w:val="00792290"/>
    <w:rsid w:val="007926B6"/>
    <w:rsid w:val="00795328"/>
    <w:rsid w:val="0079556E"/>
    <w:rsid w:val="007971C4"/>
    <w:rsid w:val="007A1154"/>
    <w:rsid w:val="007A124D"/>
    <w:rsid w:val="007A145A"/>
    <w:rsid w:val="007A172E"/>
    <w:rsid w:val="007A1E1D"/>
    <w:rsid w:val="007A29D7"/>
    <w:rsid w:val="007A2FCB"/>
    <w:rsid w:val="007A3D25"/>
    <w:rsid w:val="007A3F61"/>
    <w:rsid w:val="007A4539"/>
    <w:rsid w:val="007A4F32"/>
    <w:rsid w:val="007A4FF4"/>
    <w:rsid w:val="007A6FFF"/>
    <w:rsid w:val="007A73F0"/>
    <w:rsid w:val="007A7595"/>
    <w:rsid w:val="007B00FC"/>
    <w:rsid w:val="007B100A"/>
    <w:rsid w:val="007B1575"/>
    <w:rsid w:val="007B2AD6"/>
    <w:rsid w:val="007B2DB3"/>
    <w:rsid w:val="007B3F76"/>
    <w:rsid w:val="007B48A3"/>
    <w:rsid w:val="007B498F"/>
    <w:rsid w:val="007B7ADD"/>
    <w:rsid w:val="007B7FA3"/>
    <w:rsid w:val="007C06AC"/>
    <w:rsid w:val="007C0A83"/>
    <w:rsid w:val="007C140F"/>
    <w:rsid w:val="007C19A6"/>
    <w:rsid w:val="007C1DC1"/>
    <w:rsid w:val="007C24AE"/>
    <w:rsid w:val="007C4847"/>
    <w:rsid w:val="007C4EF0"/>
    <w:rsid w:val="007C597B"/>
    <w:rsid w:val="007C7AEA"/>
    <w:rsid w:val="007C7B93"/>
    <w:rsid w:val="007D03B0"/>
    <w:rsid w:val="007D0EBE"/>
    <w:rsid w:val="007D2B62"/>
    <w:rsid w:val="007D3066"/>
    <w:rsid w:val="007D4D0D"/>
    <w:rsid w:val="007D5165"/>
    <w:rsid w:val="007D649E"/>
    <w:rsid w:val="007D6FCB"/>
    <w:rsid w:val="007D74A9"/>
    <w:rsid w:val="007D7573"/>
    <w:rsid w:val="007D7757"/>
    <w:rsid w:val="007D799D"/>
    <w:rsid w:val="007D7F4D"/>
    <w:rsid w:val="007E0CB2"/>
    <w:rsid w:val="007E1BFC"/>
    <w:rsid w:val="007E2759"/>
    <w:rsid w:val="007E2CA8"/>
    <w:rsid w:val="007E3E13"/>
    <w:rsid w:val="007E3EE7"/>
    <w:rsid w:val="007E4287"/>
    <w:rsid w:val="007E4B5E"/>
    <w:rsid w:val="007E7291"/>
    <w:rsid w:val="007E7DF9"/>
    <w:rsid w:val="007F0F73"/>
    <w:rsid w:val="007F135A"/>
    <w:rsid w:val="007F1B9A"/>
    <w:rsid w:val="007F1CBC"/>
    <w:rsid w:val="007F2530"/>
    <w:rsid w:val="007F26BA"/>
    <w:rsid w:val="007F3B0C"/>
    <w:rsid w:val="007F3E84"/>
    <w:rsid w:val="007F4472"/>
    <w:rsid w:val="007F4E60"/>
    <w:rsid w:val="007F5190"/>
    <w:rsid w:val="007F660E"/>
    <w:rsid w:val="007F6CFB"/>
    <w:rsid w:val="007F7DBD"/>
    <w:rsid w:val="0080041B"/>
    <w:rsid w:val="00800C1F"/>
    <w:rsid w:val="00802F0D"/>
    <w:rsid w:val="00807286"/>
    <w:rsid w:val="008072F0"/>
    <w:rsid w:val="00810844"/>
    <w:rsid w:val="00810EE7"/>
    <w:rsid w:val="008111C9"/>
    <w:rsid w:val="0081136A"/>
    <w:rsid w:val="00811B37"/>
    <w:rsid w:val="008132C2"/>
    <w:rsid w:val="0081642C"/>
    <w:rsid w:val="008167CD"/>
    <w:rsid w:val="00817124"/>
    <w:rsid w:val="00821466"/>
    <w:rsid w:val="00821CC1"/>
    <w:rsid w:val="008237A7"/>
    <w:rsid w:val="00824F0D"/>
    <w:rsid w:val="00825180"/>
    <w:rsid w:val="0082592C"/>
    <w:rsid w:val="00825A93"/>
    <w:rsid w:val="008270DD"/>
    <w:rsid w:val="00827884"/>
    <w:rsid w:val="00830385"/>
    <w:rsid w:val="00834118"/>
    <w:rsid w:val="00834ECC"/>
    <w:rsid w:val="008351CD"/>
    <w:rsid w:val="0083585D"/>
    <w:rsid w:val="008363D3"/>
    <w:rsid w:val="0083656F"/>
    <w:rsid w:val="00836963"/>
    <w:rsid w:val="00840C54"/>
    <w:rsid w:val="00840DAA"/>
    <w:rsid w:val="00840F49"/>
    <w:rsid w:val="00841B53"/>
    <w:rsid w:val="00841C4F"/>
    <w:rsid w:val="0084457F"/>
    <w:rsid w:val="008445B7"/>
    <w:rsid w:val="00844F9C"/>
    <w:rsid w:val="00846C80"/>
    <w:rsid w:val="00847996"/>
    <w:rsid w:val="00847EBB"/>
    <w:rsid w:val="0085075F"/>
    <w:rsid w:val="008512D0"/>
    <w:rsid w:val="00852DFC"/>
    <w:rsid w:val="00852FA5"/>
    <w:rsid w:val="008531F9"/>
    <w:rsid w:val="00853399"/>
    <w:rsid w:val="00854554"/>
    <w:rsid w:val="0085464F"/>
    <w:rsid w:val="00855100"/>
    <w:rsid w:val="00857207"/>
    <w:rsid w:val="008574E2"/>
    <w:rsid w:val="00857878"/>
    <w:rsid w:val="00857E1B"/>
    <w:rsid w:val="00860DC1"/>
    <w:rsid w:val="00860E95"/>
    <w:rsid w:val="00861FD5"/>
    <w:rsid w:val="00862619"/>
    <w:rsid w:val="008634C2"/>
    <w:rsid w:val="00865E4F"/>
    <w:rsid w:val="00866663"/>
    <w:rsid w:val="00867405"/>
    <w:rsid w:val="008677D8"/>
    <w:rsid w:val="00867ADE"/>
    <w:rsid w:val="00867B28"/>
    <w:rsid w:val="0087083B"/>
    <w:rsid w:val="00870E53"/>
    <w:rsid w:val="00871396"/>
    <w:rsid w:val="00871B71"/>
    <w:rsid w:val="00873BB7"/>
    <w:rsid w:val="00873BBD"/>
    <w:rsid w:val="00873BE7"/>
    <w:rsid w:val="00873C8A"/>
    <w:rsid w:val="00875160"/>
    <w:rsid w:val="00875A94"/>
    <w:rsid w:val="00876AA0"/>
    <w:rsid w:val="0087706C"/>
    <w:rsid w:val="00880A9F"/>
    <w:rsid w:val="008811B8"/>
    <w:rsid w:val="00881B5B"/>
    <w:rsid w:val="008821EF"/>
    <w:rsid w:val="0088230D"/>
    <w:rsid w:val="00882BE9"/>
    <w:rsid w:val="008901F1"/>
    <w:rsid w:val="00892ACC"/>
    <w:rsid w:val="00892BFC"/>
    <w:rsid w:val="00892F80"/>
    <w:rsid w:val="008930FA"/>
    <w:rsid w:val="00895329"/>
    <w:rsid w:val="0089579E"/>
    <w:rsid w:val="008958E7"/>
    <w:rsid w:val="008958EB"/>
    <w:rsid w:val="00896EDC"/>
    <w:rsid w:val="00897D02"/>
    <w:rsid w:val="008A09B6"/>
    <w:rsid w:val="008A17F5"/>
    <w:rsid w:val="008A1903"/>
    <w:rsid w:val="008A1B37"/>
    <w:rsid w:val="008A1BCA"/>
    <w:rsid w:val="008A3124"/>
    <w:rsid w:val="008A3AAA"/>
    <w:rsid w:val="008A5703"/>
    <w:rsid w:val="008A5F28"/>
    <w:rsid w:val="008A6964"/>
    <w:rsid w:val="008A6982"/>
    <w:rsid w:val="008B2B86"/>
    <w:rsid w:val="008B2D49"/>
    <w:rsid w:val="008B2DFF"/>
    <w:rsid w:val="008B3E79"/>
    <w:rsid w:val="008B4470"/>
    <w:rsid w:val="008B4EF5"/>
    <w:rsid w:val="008C05DA"/>
    <w:rsid w:val="008C21E1"/>
    <w:rsid w:val="008C619C"/>
    <w:rsid w:val="008C6CC4"/>
    <w:rsid w:val="008D0C7E"/>
    <w:rsid w:val="008D1292"/>
    <w:rsid w:val="008D1505"/>
    <w:rsid w:val="008D256D"/>
    <w:rsid w:val="008D26FA"/>
    <w:rsid w:val="008D2F7F"/>
    <w:rsid w:val="008D31A2"/>
    <w:rsid w:val="008D3B4C"/>
    <w:rsid w:val="008D4E01"/>
    <w:rsid w:val="008D5756"/>
    <w:rsid w:val="008D6039"/>
    <w:rsid w:val="008D6B32"/>
    <w:rsid w:val="008D76F6"/>
    <w:rsid w:val="008E06A0"/>
    <w:rsid w:val="008E12E3"/>
    <w:rsid w:val="008E3EA0"/>
    <w:rsid w:val="008E5CAF"/>
    <w:rsid w:val="008F02E0"/>
    <w:rsid w:val="008F1B75"/>
    <w:rsid w:val="008F3408"/>
    <w:rsid w:val="008F4325"/>
    <w:rsid w:val="008F537B"/>
    <w:rsid w:val="008F5D00"/>
    <w:rsid w:val="008F6C21"/>
    <w:rsid w:val="009003E4"/>
    <w:rsid w:val="009004DB"/>
    <w:rsid w:val="00902125"/>
    <w:rsid w:val="00902582"/>
    <w:rsid w:val="009036C0"/>
    <w:rsid w:val="00903FC1"/>
    <w:rsid w:val="009043E5"/>
    <w:rsid w:val="00904870"/>
    <w:rsid w:val="009062AE"/>
    <w:rsid w:val="009074F3"/>
    <w:rsid w:val="009100F9"/>
    <w:rsid w:val="0091327A"/>
    <w:rsid w:val="00915FD8"/>
    <w:rsid w:val="00916691"/>
    <w:rsid w:val="00916C0E"/>
    <w:rsid w:val="00916D98"/>
    <w:rsid w:val="009172B5"/>
    <w:rsid w:val="0091789A"/>
    <w:rsid w:val="0092083F"/>
    <w:rsid w:val="00927403"/>
    <w:rsid w:val="00933746"/>
    <w:rsid w:val="00933BB0"/>
    <w:rsid w:val="00934F96"/>
    <w:rsid w:val="009360D3"/>
    <w:rsid w:val="009377E5"/>
    <w:rsid w:val="00937D04"/>
    <w:rsid w:val="00937DEA"/>
    <w:rsid w:val="00937ED8"/>
    <w:rsid w:val="00941CC4"/>
    <w:rsid w:val="00941E98"/>
    <w:rsid w:val="00945D16"/>
    <w:rsid w:val="00945F84"/>
    <w:rsid w:val="00945F89"/>
    <w:rsid w:val="00947922"/>
    <w:rsid w:val="00950B7A"/>
    <w:rsid w:val="009513D6"/>
    <w:rsid w:val="00951700"/>
    <w:rsid w:val="009518ED"/>
    <w:rsid w:val="00954021"/>
    <w:rsid w:val="0095407E"/>
    <w:rsid w:val="00954D83"/>
    <w:rsid w:val="00955CD4"/>
    <w:rsid w:val="00956032"/>
    <w:rsid w:val="009563D6"/>
    <w:rsid w:val="00957198"/>
    <w:rsid w:val="0095752E"/>
    <w:rsid w:val="00960E8F"/>
    <w:rsid w:val="00961222"/>
    <w:rsid w:val="00961B62"/>
    <w:rsid w:val="009623A9"/>
    <w:rsid w:val="00962EBF"/>
    <w:rsid w:val="00963F49"/>
    <w:rsid w:val="009654E6"/>
    <w:rsid w:val="00966508"/>
    <w:rsid w:val="00970F25"/>
    <w:rsid w:val="00971D4E"/>
    <w:rsid w:val="0097313B"/>
    <w:rsid w:val="0097383C"/>
    <w:rsid w:val="00973B54"/>
    <w:rsid w:val="00975143"/>
    <w:rsid w:val="00977C0D"/>
    <w:rsid w:val="00980C25"/>
    <w:rsid w:val="009820A6"/>
    <w:rsid w:val="00982AF9"/>
    <w:rsid w:val="00982B0E"/>
    <w:rsid w:val="00982D85"/>
    <w:rsid w:val="00983B32"/>
    <w:rsid w:val="00983DAA"/>
    <w:rsid w:val="00984DF1"/>
    <w:rsid w:val="00985D86"/>
    <w:rsid w:val="00985FCF"/>
    <w:rsid w:val="00990403"/>
    <w:rsid w:val="00990795"/>
    <w:rsid w:val="00990941"/>
    <w:rsid w:val="0099095C"/>
    <w:rsid w:val="00991414"/>
    <w:rsid w:val="009937CD"/>
    <w:rsid w:val="00993D35"/>
    <w:rsid w:val="0099559A"/>
    <w:rsid w:val="009A0E76"/>
    <w:rsid w:val="009A2B3A"/>
    <w:rsid w:val="009A301B"/>
    <w:rsid w:val="009A31A5"/>
    <w:rsid w:val="009A34DF"/>
    <w:rsid w:val="009A42E9"/>
    <w:rsid w:val="009A430C"/>
    <w:rsid w:val="009A5575"/>
    <w:rsid w:val="009A5BC4"/>
    <w:rsid w:val="009A63D3"/>
    <w:rsid w:val="009A63DF"/>
    <w:rsid w:val="009A682D"/>
    <w:rsid w:val="009A7437"/>
    <w:rsid w:val="009B19B7"/>
    <w:rsid w:val="009B1CC2"/>
    <w:rsid w:val="009B27C0"/>
    <w:rsid w:val="009B311C"/>
    <w:rsid w:val="009B3349"/>
    <w:rsid w:val="009B5B87"/>
    <w:rsid w:val="009B6C5A"/>
    <w:rsid w:val="009C23F9"/>
    <w:rsid w:val="009C34D6"/>
    <w:rsid w:val="009C3CB0"/>
    <w:rsid w:val="009C527D"/>
    <w:rsid w:val="009C58EA"/>
    <w:rsid w:val="009C5C0C"/>
    <w:rsid w:val="009C63D8"/>
    <w:rsid w:val="009C645F"/>
    <w:rsid w:val="009C77D2"/>
    <w:rsid w:val="009C7F5A"/>
    <w:rsid w:val="009D1522"/>
    <w:rsid w:val="009D15BE"/>
    <w:rsid w:val="009D25EA"/>
    <w:rsid w:val="009D3BDD"/>
    <w:rsid w:val="009D5A36"/>
    <w:rsid w:val="009D699D"/>
    <w:rsid w:val="009D6FDB"/>
    <w:rsid w:val="009D788C"/>
    <w:rsid w:val="009D7AF5"/>
    <w:rsid w:val="009D7C2D"/>
    <w:rsid w:val="009E030D"/>
    <w:rsid w:val="009E1034"/>
    <w:rsid w:val="009E1520"/>
    <w:rsid w:val="009E2B40"/>
    <w:rsid w:val="009E30F4"/>
    <w:rsid w:val="009E3336"/>
    <w:rsid w:val="009E4963"/>
    <w:rsid w:val="009E58D1"/>
    <w:rsid w:val="009E65BD"/>
    <w:rsid w:val="009E66BB"/>
    <w:rsid w:val="009F0181"/>
    <w:rsid w:val="009F1BE9"/>
    <w:rsid w:val="009F2E38"/>
    <w:rsid w:val="009F3381"/>
    <w:rsid w:val="009F497F"/>
    <w:rsid w:val="009F518B"/>
    <w:rsid w:val="009F7A5A"/>
    <w:rsid w:val="00A0069C"/>
    <w:rsid w:val="00A01EAF"/>
    <w:rsid w:val="00A02CB8"/>
    <w:rsid w:val="00A02FFB"/>
    <w:rsid w:val="00A039C9"/>
    <w:rsid w:val="00A039CE"/>
    <w:rsid w:val="00A05BED"/>
    <w:rsid w:val="00A07072"/>
    <w:rsid w:val="00A07609"/>
    <w:rsid w:val="00A102A3"/>
    <w:rsid w:val="00A11E14"/>
    <w:rsid w:val="00A124CE"/>
    <w:rsid w:val="00A13691"/>
    <w:rsid w:val="00A14024"/>
    <w:rsid w:val="00A1422E"/>
    <w:rsid w:val="00A15CA5"/>
    <w:rsid w:val="00A16B44"/>
    <w:rsid w:val="00A17E63"/>
    <w:rsid w:val="00A2048E"/>
    <w:rsid w:val="00A20608"/>
    <w:rsid w:val="00A20B2F"/>
    <w:rsid w:val="00A2194E"/>
    <w:rsid w:val="00A21A81"/>
    <w:rsid w:val="00A22725"/>
    <w:rsid w:val="00A22F38"/>
    <w:rsid w:val="00A24615"/>
    <w:rsid w:val="00A24B30"/>
    <w:rsid w:val="00A3043E"/>
    <w:rsid w:val="00A30710"/>
    <w:rsid w:val="00A31F51"/>
    <w:rsid w:val="00A32108"/>
    <w:rsid w:val="00A3295B"/>
    <w:rsid w:val="00A32D90"/>
    <w:rsid w:val="00A35840"/>
    <w:rsid w:val="00A37D3E"/>
    <w:rsid w:val="00A401E6"/>
    <w:rsid w:val="00A405CF"/>
    <w:rsid w:val="00A410DA"/>
    <w:rsid w:val="00A41B5A"/>
    <w:rsid w:val="00A4261D"/>
    <w:rsid w:val="00A429B4"/>
    <w:rsid w:val="00A42F95"/>
    <w:rsid w:val="00A43021"/>
    <w:rsid w:val="00A4461A"/>
    <w:rsid w:val="00A44651"/>
    <w:rsid w:val="00A459DE"/>
    <w:rsid w:val="00A46366"/>
    <w:rsid w:val="00A527CC"/>
    <w:rsid w:val="00A5508E"/>
    <w:rsid w:val="00A55B15"/>
    <w:rsid w:val="00A55F30"/>
    <w:rsid w:val="00A56022"/>
    <w:rsid w:val="00A565B9"/>
    <w:rsid w:val="00A602EC"/>
    <w:rsid w:val="00A62216"/>
    <w:rsid w:val="00A64361"/>
    <w:rsid w:val="00A660AE"/>
    <w:rsid w:val="00A66A9E"/>
    <w:rsid w:val="00A67284"/>
    <w:rsid w:val="00A67A13"/>
    <w:rsid w:val="00A70A4D"/>
    <w:rsid w:val="00A70C37"/>
    <w:rsid w:val="00A70DCF"/>
    <w:rsid w:val="00A722F0"/>
    <w:rsid w:val="00A725F6"/>
    <w:rsid w:val="00A72FA1"/>
    <w:rsid w:val="00A73E54"/>
    <w:rsid w:val="00A80E09"/>
    <w:rsid w:val="00A8151E"/>
    <w:rsid w:val="00A821DB"/>
    <w:rsid w:val="00A82533"/>
    <w:rsid w:val="00A825EC"/>
    <w:rsid w:val="00A82B75"/>
    <w:rsid w:val="00A83E62"/>
    <w:rsid w:val="00A86B55"/>
    <w:rsid w:val="00A874D6"/>
    <w:rsid w:val="00A90126"/>
    <w:rsid w:val="00A9012A"/>
    <w:rsid w:val="00A903AE"/>
    <w:rsid w:val="00A90708"/>
    <w:rsid w:val="00A90F86"/>
    <w:rsid w:val="00A91773"/>
    <w:rsid w:val="00A944E5"/>
    <w:rsid w:val="00A94BA9"/>
    <w:rsid w:val="00A966D3"/>
    <w:rsid w:val="00AA0BFC"/>
    <w:rsid w:val="00AA36EC"/>
    <w:rsid w:val="00AA3D7C"/>
    <w:rsid w:val="00AA78A0"/>
    <w:rsid w:val="00AB0606"/>
    <w:rsid w:val="00AB09B2"/>
    <w:rsid w:val="00AB0D65"/>
    <w:rsid w:val="00AB17A1"/>
    <w:rsid w:val="00AB2A22"/>
    <w:rsid w:val="00AB30E4"/>
    <w:rsid w:val="00AB3481"/>
    <w:rsid w:val="00AB37B3"/>
    <w:rsid w:val="00AB423E"/>
    <w:rsid w:val="00AB5A70"/>
    <w:rsid w:val="00AB6093"/>
    <w:rsid w:val="00AC08D2"/>
    <w:rsid w:val="00AC1489"/>
    <w:rsid w:val="00AC1B6F"/>
    <w:rsid w:val="00AC1BEE"/>
    <w:rsid w:val="00AC1D37"/>
    <w:rsid w:val="00AC2975"/>
    <w:rsid w:val="00AC41F9"/>
    <w:rsid w:val="00AC4BDA"/>
    <w:rsid w:val="00AC557F"/>
    <w:rsid w:val="00AC5D0B"/>
    <w:rsid w:val="00AC5E0B"/>
    <w:rsid w:val="00AC6D73"/>
    <w:rsid w:val="00AD0499"/>
    <w:rsid w:val="00AD0A7F"/>
    <w:rsid w:val="00AD0C81"/>
    <w:rsid w:val="00AD0F11"/>
    <w:rsid w:val="00AD2049"/>
    <w:rsid w:val="00AD2541"/>
    <w:rsid w:val="00AD278D"/>
    <w:rsid w:val="00AD316D"/>
    <w:rsid w:val="00AD3DE8"/>
    <w:rsid w:val="00AD4DDD"/>
    <w:rsid w:val="00AD5048"/>
    <w:rsid w:val="00AD590C"/>
    <w:rsid w:val="00AD67CB"/>
    <w:rsid w:val="00AE14C0"/>
    <w:rsid w:val="00AE1EED"/>
    <w:rsid w:val="00AE3BFD"/>
    <w:rsid w:val="00AE3C2A"/>
    <w:rsid w:val="00AE4853"/>
    <w:rsid w:val="00AE6B04"/>
    <w:rsid w:val="00AE6D4E"/>
    <w:rsid w:val="00AF0783"/>
    <w:rsid w:val="00AF2694"/>
    <w:rsid w:val="00AF2930"/>
    <w:rsid w:val="00AF2C3B"/>
    <w:rsid w:val="00AF2D2F"/>
    <w:rsid w:val="00AF3CF9"/>
    <w:rsid w:val="00AF400E"/>
    <w:rsid w:val="00AF4339"/>
    <w:rsid w:val="00AF4EDD"/>
    <w:rsid w:val="00AF523E"/>
    <w:rsid w:val="00AF583D"/>
    <w:rsid w:val="00AF5EEE"/>
    <w:rsid w:val="00AF6D60"/>
    <w:rsid w:val="00AF76FA"/>
    <w:rsid w:val="00B01152"/>
    <w:rsid w:val="00B01239"/>
    <w:rsid w:val="00B02838"/>
    <w:rsid w:val="00B03853"/>
    <w:rsid w:val="00B0456C"/>
    <w:rsid w:val="00B047B7"/>
    <w:rsid w:val="00B04E3B"/>
    <w:rsid w:val="00B059E1"/>
    <w:rsid w:val="00B06806"/>
    <w:rsid w:val="00B06F4C"/>
    <w:rsid w:val="00B070F9"/>
    <w:rsid w:val="00B074A3"/>
    <w:rsid w:val="00B11931"/>
    <w:rsid w:val="00B12498"/>
    <w:rsid w:val="00B132A3"/>
    <w:rsid w:val="00B13653"/>
    <w:rsid w:val="00B15807"/>
    <w:rsid w:val="00B159C5"/>
    <w:rsid w:val="00B15A7B"/>
    <w:rsid w:val="00B16F67"/>
    <w:rsid w:val="00B17DED"/>
    <w:rsid w:val="00B20BFC"/>
    <w:rsid w:val="00B2276B"/>
    <w:rsid w:val="00B23159"/>
    <w:rsid w:val="00B243A0"/>
    <w:rsid w:val="00B2462E"/>
    <w:rsid w:val="00B24D73"/>
    <w:rsid w:val="00B259EE"/>
    <w:rsid w:val="00B26AC2"/>
    <w:rsid w:val="00B26D68"/>
    <w:rsid w:val="00B275AC"/>
    <w:rsid w:val="00B27734"/>
    <w:rsid w:val="00B27C41"/>
    <w:rsid w:val="00B27D10"/>
    <w:rsid w:val="00B30285"/>
    <w:rsid w:val="00B31BBD"/>
    <w:rsid w:val="00B31ED3"/>
    <w:rsid w:val="00B32311"/>
    <w:rsid w:val="00B324B5"/>
    <w:rsid w:val="00B33240"/>
    <w:rsid w:val="00B3340D"/>
    <w:rsid w:val="00B336BC"/>
    <w:rsid w:val="00B33763"/>
    <w:rsid w:val="00B3411B"/>
    <w:rsid w:val="00B34861"/>
    <w:rsid w:val="00B34BAB"/>
    <w:rsid w:val="00B35172"/>
    <w:rsid w:val="00B35BBD"/>
    <w:rsid w:val="00B375CF"/>
    <w:rsid w:val="00B37667"/>
    <w:rsid w:val="00B407AE"/>
    <w:rsid w:val="00B44BFF"/>
    <w:rsid w:val="00B450AE"/>
    <w:rsid w:val="00B46230"/>
    <w:rsid w:val="00B46422"/>
    <w:rsid w:val="00B474BC"/>
    <w:rsid w:val="00B50A05"/>
    <w:rsid w:val="00B52278"/>
    <w:rsid w:val="00B527A2"/>
    <w:rsid w:val="00B532DB"/>
    <w:rsid w:val="00B53807"/>
    <w:rsid w:val="00B53ABD"/>
    <w:rsid w:val="00B545CC"/>
    <w:rsid w:val="00B54794"/>
    <w:rsid w:val="00B56161"/>
    <w:rsid w:val="00B56B49"/>
    <w:rsid w:val="00B57C8D"/>
    <w:rsid w:val="00B61990"/>
    <w:rsid w:val="00B622D1"/>
    <w:rsid w:val="00B6231C"/>
    <w:rsid w:val="00B63649"/>
    <w:rsid w:val="00B63671"/>
    <w:rsid w:val="00B64D04"/>
    <w:rsid w:val="00B64FF5"/>
    <w:rsid w:val="00B65607"/>
    <w:rsid w:val="00B656BD"/>
    <w:rsid w:val="00B65B16"/>
    <w:rsid w:val="00B665B1"/>
    <w:rsid w:val="00B700E9"/>
    <w:rsid w:val="00B702F2"/>
    <w:rsid w:val="00B704E0"/>
    <w:rsid w:val="00B70783"/>
    <w:rsid w:val="00B71095"/>
    <w:rsid w:val="00B727E8"/>
    <w:rsid w:val="00B728B5"/>
    <w:rsid w:val="00B72A6C"/>
    <w:rsid w:val="00B72B74"/>
    <w:rsid w:val="00B72BD8"/>
    <w:rsid w:val="00B73500"/>
    <w:rsid w:val="00B756F9"/>
    <w:rsid w:val="00B7658B"/>
    <w:rsid w:val="00B76F7D"/>
    <w:rsid w:val="00B76F96"/>
    <w:rsid w:val="00B77094"/>
    <w:rsid w:val="00B8278A"/>
    <w:rsid w:val="00B84245"/>
    <w:rsid w:val="00B846C7"/>
    <w:rsid w:val="00B848F5"/>
    <w:rsid w:val="00B849EC"/>
    <w:rsid w:val="00B87313"/>
    <w:rsid w:val="00B87C29"/>
    <w:rsid w:val="00B90F97"/>
    <w:rsid w:val="00B91FC8"/>
    <w:rsid w:val="00B92B7E"/>
    <w:rsid w:val="00B92C27"/>
    <w:rsid w:val="00B9327E"/>
    <w:rsid w:val="00B9373D"/>
    <w:rsid w:val="00B94111"/>
    <w:rsid w:val="00B9415F"/>
    <w:rsid w:val="00B95FED"/>
    <w:rsid w:val="00B96F3C"/>
    <w:rsid w:val="00B9758A"/>
    <w:rsid w:val="00BA0148"/>
    <w:rsid w:val="00BA18F6"/>
    <w:rsid w:val="00BA3297"/>
    <w:rsid w:val="00BA34A8"/>
    <w:rsid w:val="00BA356A"/>
    <w:rsid w:val="00BA35A1"/>
    <w:rsid w:val="00BA3856"/>
    <w:rsid w:val="00BB2231"/>
    <w:rsid w:val="00BB26BD"/>
    <w:rsid w:val="00BB3429"/>
    <w:rsid w:val="00BB36CB"/>
    <w:rsid w:val="00BB36D3"/>
    <w:rsid w:val="00BB3DEB"/>
    <w:rsid w:val="00BB5F3C"/>
    <w:rsid w:val="00BB6A3F"/>
    <w:rsid w:val="00BC0FF3"/>
    <w:rsid w:val="00BC283C"/>
    <w:rsid w:val="00BC2BBD"/>
    <w:rsid w:val="00BC2DD3"/>
    <w:rsid w:val="00BC2FA2"/>
    <w:rsid w:val="00BC327B"/>
    <w:rsid w:val="00BC5CD6"/>
    <w:rsid w:val="00BC62D6"/>
    <w:rsid w:val="00BD027B"/>
    <w:rsid w:val="00BD02AC"/>
    <w:rsid w:val="00BD215B"/>
    <w:rsid w:val="00BD2B63"/>
    <w:rsid w:val="00BD2DE9"/>
    <w:rsid w:val="00BD6B4D"/>
    <w:rsid w:val="00BD6F6E"/>
    <w:rsid w:val="00BD7315"/>
    <w:rsid w:val="00BD7763"/>
    <w:rsid w:val="00BD7D3D"/>
    <w:rsid w:val="00BE02F9"/>
    <w:rsid w:val="00BE0FFD"/>
    <w:rsid w:val="00BE151C"/>
    <w:rsid w:val="00BE1FE4"/>
    <w:rsid w:val="00BE2722"/>
    <w:rsid w:val="00BE3252"/>
    <w:rsid w:val="00BE4587"/>
    <w:rsid w:val="00BE45AC"/>
    <w:rsid w:val="00BE5400"/>
    <w:rsid w:val="00BE68F3"/>
    <w:rsid w:val="00BF22F1"/>
    <w:rsid w:val="00BF44F5"/>
    <w:rsid w:val="00BF4F66"/>
    <w:rsid w:val="00BF52A1"/>
    <w:rsid w:val="00BF5331"/>
    <w:rsid w:val="00BF559B"/>
    <w:rsid w:val="00BF6547"/>
    <w:rsid w:val="00BF6656"/>
    <w:rsid w:val="00C00AC5"/>
    <w:rsid w:val="00C024DD"/>
    <w:rsid w:val="00C02FBD"/>
    <w:rsid w:val="00C04070"/>
    <w:rsid w:val="00C046E0"/>
    <w:rsid w:val="00C04A0A"/>
    <w:rsid w:val="00C05CB4"/>
    <w:rsid w:val="00C06D5E"/>
    <w:rsid w:val="00C10B9B"/>
    <w:rsid w:val="00C10E6E"/>
    <w:rsid w:val="00C12F1C"/>
    <w:rsid w:val="00C13A49"/>
    <w:rsid w:val="00C14F98"/>
    <w:rsid w:val="00C15328"/>
    <w:rsid w:val="00C1608B"/>
    <w:rsid w:val="00C16A3D"/>
    <w:rsid w:val="00C20A77"/>
    <w:rsid w:val="00C20AAA"/>
    <w:rsid w:val="00C21BAF"/>
    <w:rsid w:val="00C221F2"/>
    <w:rsid w:val="00C234B4"/>
    <w:rsid w:val="00C2354C"/>
    <w:rsid w:val="00C23FE5"/>
    <w:rsid w:val="00C24966"/>
    <w:rsid w:val="00C24D28"/>
    <w:rsid w:val="00C269EE"/>
    <w:rsid w:val="00C2702E"/>
    <w:rsid w:val="00C27FFB"/>
    <w:rsid w:val="00C30732"/>
    <w:rsid w:val="00C30EA5"/>
    <w:rsid w:val="00C3191F"/>
    <w:rsid w:val="00C3277B"/>
    <w:rsid w:val="00C33BE9"/>
    <w:rsid w:val="00C343E6"/>
    <w:rsid w:val="00C34B49"/>
    <w:rsid w:val="00C3516F"/>
    <w:rsid w:val="00C36D05"/>
    <w:rsid w:val="00C40ADC"/>
    <w:rsid w:val="00C40E20"/>
    <w:rsid w:val="00C440BC"/>
    <w:rsid w:val="00C44875"/>
    <w:rsid w:val="00C44BBE"/>
    <w:rsid w:val="00C46A2A"/>
    <w:rsid w:val="00C47C30"/>
    <w:rsid w:val="00C5218A"/>
    <w:rsid w:val="00C52302"/>
    <w:rsid w:val="00C52877"/>
    <w:rsid w:val="00C53680"/>
    <w:rsid w:val="00C53A6F"/>
    <w:rsid w:val="00C54134"/>
    <w:rsid w:val="00C54BC9"/>
    <w:rsid w:val="00C557F2"/>
    <w:rsid w:val="00C55BB7"/>
    <w:rsid w:val="00C56B20"/>
    <w:rsid w:val="00C56F5B"/>
    <w:rsid w:val="00C57060"/>
    <w:rsid w:val="00C5726F"/>
    <w:rsid w:val="00C57346"/>
    <w:rsid w:val="00C57F4B"/>
    <w:rsid w:val="00C60308"/>
    <w:rsid w:val="00C615EB"/>
    <w:rsid w:val="00C61E8D"/>
    <w:rsid w:val="00C634C2"/>
    <w:rsid w:val="00C63CCC"/>
    <w:rsid w:val="00C64BBA"/>
    <w:rsid w:val="00C659DB"/>
    <w:rsid w:val="00C6690E"/>
    <w:rsid w:val="00C70022"/>
    <w:rsid w:val="00C7117E"/>
    <w:rsid w:val="00C7151C"/>
    <w:rsid w:val="00C7375C"/>
    <w:rsid w:val="00C73794"/>
    <w:rsid w:val="00C73B81"/>
    <w:rsid w:val="00C74A41"/>
    <w:rsid w:val="00C75547"/>
    <w:rsid w:val="00C76D7F"/>
    <w:rsid w:val="00C77465"/>
    <w:rsid w:val="00C77724"/>
    <w:rsid w:val="00C77E14"/>
    <w:rsid w:val="00C8023B"/>
    <w:rsid w:val="00C822A3"/>
    <w:rsid w:val="00C83737"/>
    <w:rsid w:val="00C83912"/>
    <w:rsid w:val="00C84B60"/>
    <w:rsid w:val="00C84B7A"/>
    <w:rsid w:val="00C867B8"/>
    <w:rsid w:val="00C870D5"/>
    <w:rsid w:val="00C87AED"/>
    <w:rsid w:val="00C87F39"/>
    <w:rsid w:val="00C9093C"/>
    <w:rsid w:val="00C91220"/>
    <w:rsid w:val="00C91F4E"/>
    <w:rsid w:val="00C92107"/>
    <w:rsid w:val="00C9365F"/>
    <w:rsid w:val="00C9390F"/>
    <w:rsid w:val="00C93A03"/>
    <w:rsid w:val="00C94861"/>
    <w:rsid w:val="00C94886"/>
    <w:rsid w:val="00C95025"/>
    <w:rsid w:val="00C958C6"/>
    <w:rsid w:val="00C95F57"/>
    <w:rsid w:val="00C96668"/>
    <w:rsid w:val="00C96DA3"/>
    <w:rsid w:val="00C96E16"/>
    <w:rsid w:val="00C97A0C"/>
    <w:rsid w:val="00C97F83"/>
    <w:rsid w:val="00CA0B5A"/>
    <w:rsid w:val="00CA0BCA"/>
    <w:rsid w:val="00CA5FB2"/>
    <w:rsid w:val="00CB0208"/>
    <w:rsid w:val="00CB0BE2"/>
    <w:rsid w:val="00CB11BA"/>
    <w:rsid w:val="00CB1719"/>
    <w:rsid w:val="00CB1E82"/>
    <w:rsid w:val="00CB21C4"/>
    <w:rsid w:val="00CB28C1"/>
    <w:rsid w:val="00CB2F01"/>
    <w:rsid w:val="00CB6AB0"/>
    <w:rsid w:val="00CB79C2"/>
    <w:rsid w:val="00CB7EA1"/>
    <w:rsid w:val="00CB7FF1"/>
    <w:rsid w:val="00CC10F6"/>
    <w:rsid w:val="00CC1AD0"/>
    <w:rsid w:val="00CC30FB"/>
    <w:rsid w:val="00CC340B"/>
    <w:rsid w:val="00CC3957"/>
    <w:rsid w:val="00CC3A73"/>
    <w:rsid w:val="00CC46E7"/>
    <w:rsid w:val="00CC4C7F"/>
    <w:rsid w:val="00CC56C0"/>
    <w:rsid w:val="00CC5795"/>
    <w:rsid w:val="00CC6082"/>
    <w:rsid w:val="00CC66FC"/>
    <w:rsid w:val="00CC6790"/>
    <w:rsid w:val="00CC77FE"/>
    <w:rsid w:val="00CD0493"/>
    <w:rsid w:val="00CD1483"/>
    <w:rsid w:val="00CD39DE"/>
    <w:rsid w:val="00CD4071"/>
    <w:rsid w:val="00CD49DE"/>
    <w:rsid w:val="00CD4FC4"/>
    <w:rsid w:val="00CD6639"/>
    <w:rsid w:val="00CD6B6D"/>
    <w:rsid w:val="00CD6E89"/>
    <w:rsid w:val="00CE1816"/>
    <w:rsid w:val="00CE1F76"/>
    <w:rsid w:val="00CE3459"/>
    <w:rsid w:val="00CE59C2"/>
    <w:rsid w:val="00CE71A4"/>
    <w:rsid w:val="00CE7248"/>
    <w:rsid w:val="00CF0C2B"/>
    <w:rsid w:val="00CF4332"/>
    <w:rsid w:val="00CF4A4F"/>
    <w:rsid w:val="00CF4CA6"/>
    <w:rsid w:val="00CF565D"/>
    <w:rsid w:val="00CF5D82"/>
    <w:rsid w:val="00CF617A"/>
    <w:rsid w:val="00CF6FDF"/>
    <w:rsid w:val="00CF77C6"/>
    <w:rsid w:val="00D0085B"/>
    <w:rsid w:val="00D009AD"/>
    <w:rsid w:val="00D01D51"/>
    <w:rsid w:val="00D020BD"/>
    <w:rsid w:val="00D03812"/>
    <w:rsid w:val="00D03B26"/>
    <w:rsid w:val="00D03DEE"/>
    <w:rsid w:val="00D04623"/>
    <w:rsid w:val="00D05054"/>
    <w:rsid w:val="00D05DFE"/>
    <w:rsid w:val="00D05E03"/>
    <w:rsid w:val="00D06532"/>
    <w:rsid w:val="00D06717"/>
    <w:rsid w:val="00D06A62"/>
    <w:rsid w:val="00D10DD1"/>
    <w:rsid w:val="00D11664"/>
    <w:rsid w:val="00D125F6"/>
    <w:rsid w:val="00D12B7A"/>
    <w:rsid w:val="00D13DB2"/>
    <w:rsid w:val="00D1590A"/>
    <w:rsid w:val="00D177D4"/>
    <w:rsid w:val="00D20975"/>
    <w:rsid w:val="00D228AC"/>
    <w:rsid w:val="00D23B1B"/>
    <w:rsid w:val="00D24CCB"/>
    <w:rsid w:val="00D2611B"/>
    <w:rsid w:val="00D26FB9"/>
    <w:rsid w:val="00D27CE7"/>
    <w:rsid w:val="00D30096"/>
    <w:rsid w:val="00D31218"/>
    <w:rsid w:val="00D33650"/>
    <w:rsid w:val="00D34FB1"/>
    <w:rsid w:val="00D35E5D"/>
    <w:rsid w:val="00D37D74"/>
    <w:rsid w:val="00D40652"/>
    <w:rsid w:val="00D41039"/>
    <w:rsid w:val="00D415CF"/>
    <w:rsid w:val="00D42A7F"/>
    <w:rsid w:val="00D4302A"/>
    <w:rsid w:val="00D44DDA"/>
    <w:rsid w:val="00D44E5C"/>
    <w:rsid w:val="00D45A6D"/>
    <w:rsid w:val="00D505BB"/>
    <w:rsid w:val="00D507E8"/>
    <w:rsid w:val="00D52926"/>
    <w:rsid w:val="00D54537"/>
    <w:rsid w:val="00D56072"/>
    <w:rsid w:val="00D56725"/>
    <w:rsid w:val="00D60242"/>
    <w:rsid w:val="00D60B3D"/>
    <w:rsid w:val="00D62B67"/>
    <w:rsid w:val="00D6386D"/>
    <w:rsid w:val="00D658D0"/>
    <w:rsid w:val="00D661D7"/>
    <w:rsid w:val="00D66A73"/>
    <w:rsid w:val="00D677A9"/>
    <w:rsid w:val="00D67E1F"/>
    <w:rsid w:val="00D703F8"/>
    <w:rsid w:val="00D70B18"/>
    <w:rsid w:val="00D72834"/>
    <w:rsid w:val="00D750A1"/>
    <w:rsid w:val="00D7586C"/>
    <w:rsid w:val="00D75ACE"/>
    <w:rsid w:val="00D81EED"/>
    <w:rsid w:val="00D8271C"/>
    <w:rsid w:val="00D82891"/>
    <w:rsid w:val="00D829F6"/>
    <w:rsid w:val="00D82FB9"/>
    <w:rsid w:val="00D838C7"/>
    <w:rsid w:val="00D85572"/>
    <w:rsid w:val="00D86547"/>
    <w:rsid w:val="00D86B6F"/>
    <w:rsid w:val="00D87083"/>
    <w:rsid w:val="00D87955"/>
    <w:rsid w:val="00D87AB6"/>
    <w:rsid w:val="00D90498"/>
    <w:rsid w:val="00D90BF4"/>
    <w:rsid w:val="00D910DA"/>
    <w:rsid w:val="00D91414"/>
    <w:rsid w:val="00D91570"/>
    <w:rsid w:val="00D91A2D"/>
    <w:rsid w:val="00D91C0E"/>
    <w:rsid w:val="00D92118"/>
    <w:rsid w:val="00D943D4"/>
    <w:rsid w:val="00D94852"/>
    <w:rsid w:val="00D951C4"/>
    <w:rsid w:val="00D951DF"/>
    <w:rsid w:val="00D96C15"/>
    <w:rsid w:val="00D96C78"/>
    <w:rsid w:val="00D96E31"/>
    <w:rsid w:val="00D9717E"/>
    <w:rsid w:val="00D97BEB"/>
    <w:rsid w:val="00DA12FF"/>
    <w:rsid w:val="00DA16B4"/>
    <w:rsid w:val="00DA1BA0"/>
    <w:rsid w:val="00DA4926"/>
    <w:rsid w:val="00DA56D6"/>
    <w:rsid w:val="00DA6771"/>
    <w:rsid w:val="00DA70C1"/>
    <w:rsid w:val="00DA732B"/>
    <w:rsid w:val="00DA78F2"/>
    <w:rsid w:val="00DB2F2A"/>
    <w:rsid w:val="00DB320D"/>
    <w:rsid w:val="00DB3B1A"/>
    <w:rsid w:val="00DB53C4"/>
    <w:rsid w:val="00DB5A30"/>
    <w:rsid w:val="00DB5A86"/>
    <w:rsid w:val="00DB5BE4"/>
    <w:rsid w:val="00DB5C30"/>
    <w:rsid w:val="00DC2577"/>
    <w:rsid w:val="00DC321B"/>
    <w:rsid w:val="00DC352B"/>
    <w:rsid w:val="00DC3DA6"/>
    <w:rsid w:val="00DC4160"/>
    <w:rsid w:val="00DC4FA7"/>
    <w:rsid w:val="00DC5269"/>
    <w:rsid w:val="00DC6800"/>
    <w:rsid w:val="00DC69D9"/>
    <w:rsid w:val="00DC6E36"/>
    <w:rsid w:val="00DC7990"/>
    <w:rsid w:val="00DD1634"/>
    <w:rsid w:val="00DD1809"/>
    <w:rsid w:val="00DD1CFE"/>
    <w:rsid w:val="00DD236A"/>
    <w:rsid w:val="00DD32CF"/>
    <w:rsid w:val="00DD4307"/>
    <w:rsid w:val="00DD4A34"/>
    <w:rsid w:val="00DD7960"/>
    <w:rsid w:val="00DE02AC"/>
    <w:rsid w:val="00DE15FD"/>
    <w:rsid w:val="00DE16D4"/>
    <w:rsid w:val="00DE251A"/>
    <w:rsid w:val="00DE42A2"/>
    <w:rsid w:val="00DE4605"/>
    <w:rsid w:val="00DE598E"/>
    <w:rsid w:val="00DE61E5"/>
    <w:rsid w:val="00DE7650"/>
    <w:rsid w:val="00DF1B61"/>
    <w:rsid w:val="00DF2109"/>
    <w:rsid w:val="00DF254B"/>
    <w:rsid w:val="00DF2766"/>
    <w:rsid w:val="00DF3A94"/>
    <w:rsid w:val="00DF3E42"/>
    <w:rsid w:val="00DF49FC"/>
    <w:rsid w:val="00DF570A"/>
    <w:rsid w:val="00DF65DE"/>
    <w:rsid w:val="00DF7327"/>
    <w:rsid w:val="00DF73BA"/>
    <w:rsid w:val="00E00A91"/>
    <w:rsid w:val="00E018FE"/>
    <w:rsid w:val="00E01FE3"/>
    <w:rsid w:val="00E02212"/>
    <w:rsid w:val="00E02346"/>
    <w:rsid w:val="00E03E11"/>
    <w:rsid w:val="00E0407B"/>
    <w:rsid w:val="00E0483E"/>
    <w:rsid w:val="00E0672B"/>
    <w:rsid w:val="00E077C8"/>
    <w:rsid w:val="00E1128C"/>
    <w:rsid w:val="00E148F7"/>
    <w:rsid w:val="00E16401"/>
    <w:rsid w:val="00E1682C"/>
    <w:rsid w:val="00E205BC"/>
    <w:rsid w:val="00E20645"/>
    <w:rsid w:val="00E20E8B"/>
    <w:rsid w:val="00E21599"/>
    <w:rsid w:val="00E21A5F"/>
    <w:rsid w:val="00E21C12"/>
    <w:rsid w:val="00E2460A"/>
    <w:rsid w:val="00E24CC3"/>
    <w:rsid w:val="00E25153"/>
    <w:rsid w:val="00E255B8"/>
    <w:rsid w:val="00E25835"/>
    <w:rsid w:val="00E2688B"/>
    <w:rsid w:val="00E27B90"/>
    <w:rsid w:val="00E30645"/>
    <w:rsid w:val="00E30CF2"/>
    <w:rsid w:val="00E31F38"/>
    <w:rsid w:val="00E3240D"/>
    <w:rsid w:val="00E32512"/>
    <w:rsid w:val="00E3354D"/>
    <w:rsid w:val="00E338F0"/>
    <w:rsid w:val="00E34029"/>
    <w:rsid w:val="00E36E47"/>
    <w:rsid w:val="00E40C32"/>
    <w:rsid w:val="00E40F6C"/>
    <w:rsid w:val="00E4112C"/>
    <w:rsid w:val="00E42A73"/>
    <w:rsid w:val="00E42BEF"/>
    <w:rsid w:val="00E42CBE"/>
    <w:rsid w:val="00E43709"/>
    <w:rsid w:val="00E46011"/>
    <w:rsid w:val="00E46661"/>
    <w:rsid w:val="00E46F2F"/>
    <w:rsid w:val="00E4708A"/>
    <w:rsid w:val="00E512C3"/>
    <w:rsid w:val="00E52A09"/>
    <w:rsid w:val="00E53289"/>
    <w:rsid w:val="00E5364A"/>
    <w:rsid w:val="00E53A38"/>
    <w:rsid w:val="00E54631"/>
    <w:rsid w:val="00E5513F"/>
    <w:rsid w:val="00E570C0"/>
    <w:rsid w:val="00E57E44"/>
    <w:rsid w:val="00E61856"/>
    <w:rsid w:val="00E6186A"/>
    <w:rsid w:val="00E62171"/>
    <w:rsid w:val="00E6287B"/>
    <w:rsid w:val="00E62E0C"/>
    <w:rsid w:val="00E63021"/>
    <w:rsid w:val="00E64D60"/>
    <w:rsid w:val="00E66F53"/>
    <w:rsid w:val="00E67EE8"/>
    <w:rsid w:val="00E67F66"/>
    <w:rsid w:val="00E70BCF"/>
    <w:rsid w:val="00E70C84"/>
    <w:rsid w:val="00E70D43"/>
    <w:rsid w:val="00E72264"/>
    <w:rsid w:val="00E729F8"/>
    <w:rsid w:val="00E73772"/>
    <w:rsid w:val="00E75092"/>
    <w:rsid w:val="00E752DA"/>
    <w:rsid w:val="00E75B34"/>
    <w:rsid w:val="00E80980"/>
    <w:rsid w:val="00E82011"/>
    <w:rsid w:val="00E82EEB"/>
    <w:rsid w:val="00E8392F"/>
    <w:rsid w:val="00E83DD2"/>
    <w:rsid w:val="00E85606"/>
    <w:rsid w:val="00E86709"/>
    <w:rsid w:val="00E8708C"/>
    <w:rsid w:val="00E87590"/>
    <w:rsid w:val="00E87FEB"/>
    <w:rsid w:val="00E9037F"/>
    <w:rsid w:val="00E905B9"/>
    <w:rsid w:val="00E92ED5"/>
    <w:rsid w:val="00E94BB6"/>
    <w:rsid w:val="00E95A5C"/>
    <w:rsid w:val="00E962E1"/>
    <w:rsid w:val="00E96799"/>
    <w:rsid w:val="00E97286"/>
    <w:rsid w:val="00EA035A"/>
    <w:rsid w:val="00EA1485"/>
    <w:rsid w:val="00EA3451"/>
    <w:rsid w:val="00EA3958"/>
    <w:rsid w:val="00EA3C4F"/>
    <w:rsid w:val="00EA4E7D"/>
    <w:rsid w:val="00EA5D48"/>
    <w:rsid w:val="00EA618D"/>
    <w:rsid w:val="00EA6990"/>
    <w:rsid w:val="00EA707B"/>
    <w:rsid w:val="00EB09B2"/>
    <w:rsid w:val="00EB2FE2"/>
    <w:rsid w:val="00EB33D0"/>
    <w:rsid w:val="00EB33D9"/>
    <w:rsid w:val="00EB40FC"/>
    <w:rsid w:val="00EB45ED"/>
    <w:rsid w:val="00EB467B"/>
    <w:rsid w:val="00EB4BD3"/>
    <w:rsid w:val="00EB5859"/>
    <w:rsid w:val="00EB5F39"/>
    <w:rsid w:val="00EB6E9A"/>
    <w:rsid w:val="00EC0508"/>
    <w:rsid w:val="00EC0C60"/>
    <w:rsid w:val="00EC2FE1"/>
    <w:rsid w:val="00EC39BD"/>
    <w:rsid w:val="00EC478B"/>
    <w:rsid w:val="00EC5572"/>
    <w:rsid w:val="00EC68C0"/>
    <w:rsid w:val="00EC6933"/>
    <w:rsid w:val="00EC73CF"/>
    <w:rsid w:val="00EC7804"/>
    <w:rsid w:val="00EC7AA8"/>
    <w:rsid w:val="00ED14C3"/>
    <w:rsid w:val="00ED1DDA"/>
    <w:rsid w:val="00ED2051"/>
    <w:rsid w:val="00ED2297"/>
    <w:rsid w:val="00ED2699"/>
    <w:rsid w:val="00ED3354"/>
    <w:rsid w:val="00ED38B3"/>
    <w:rsid w:val="00ED538C"/>
    <w:rsid w:val="00ED7359"/>
    <w:rsid w:val="00ED7C62"/>
    <w:rsid w:val="00ED7FE0"/>
    <w:rsid w:val="00EE0C45"/>
    <w:rsid w:val="00EE0DDA"/>
    <w:rsid w:val="00EE2932"/>
    <w:rsid w:val="00EE297D"/>
    <w:rsid w:val="00EE429D"/>
    <w:rsid w:val="00EE58C3"/>
    <w:rsid w:val="00EE6CB1"/>
    <w:rsid w:val="00EF1019"/>
    <w:rsid w:val="00EF195B"/>
    <w:rsid w:val="00EF1A7B"/>
    <w:rsid w:val="00EF1F6A"/>
    <w:rsid w:val="00EF44E2"/>
    <w:rsid w:val="00EF6DC2"/>
    <w:rsid w:val="00EF6F12"/>
    <w:rsid w:val="00EF6F98"/>
    <w:rsid w:val="00EF7047"/>
    <w:rsid w:val="00EF7CDA"/>
    <w:rsid w:val="00EF7D95"/>
    <w:rsid w:val="00F000F2"/>
    <w:rsid w:val="00F01823"/>
    <w:rsid w:val="00F024F1"/>
    <w:rsid w:val="00F02850"/>
    <w:rsid w:val="00F0298F"/>
    <w:rsid w:val="00F04935"/>
    <w:rsid w:val="00F051C7"/>
    <w:rsid w:val="00F05614"/>
    <w:rsid w:val="00F05E47"/>
    <w:rsid w:val="00F06BC4"/>
    <w:rsid w:val="00F072D5"/>
    <w:rsid w:val="00F11884"/>
    <w:rsid w:val="00F11DE4"/>
    <w:rsid w:val="00F11F38"/>
    <w:rsid w:val="00F121E3"/>
    <w:rsid w:val="00F14440"/>
    <w:rsid w:val="00F154E4"/>
    <w:rsid w:val="00F158CF"/>
    <w:rsid w:val="00F15D86"/>
    <w:rsid w:val="00F16CC0"/>
    <w:rsid w:val="00F17375"/>
    <w:rsid w:val="00F17C4F"/>
    <w:rsid w:val="00F20C1A"/>
    <w:rsid w:val="00F21066"/>
    <w:rsid w:val="00F225AB"/>
    <w:rsid w:val="00F22AD9"/>
    <w:rsid w:val="00F2332D"/>
    <w:rsid w:val="00F23FE2"/>
    <w:rsid w:val="00F24F36"/>
    <w:rsid w:val="00F2586E"/>
    <w:rsid w:val="00F27B3A"/>
    <w:rsid w:val="00F31BE0"/>
    <w:rsid w:val="00F32D7A"/>
    <w:rsid w:val="00F33C85"/>
    <w:rsid w:val="00F33CCB"/>
    <w:rsid w:val="00F34CB3"/>
    <w:rsid w:val="00F35613"/>
    <w:rsid w:val="00F37669"/>
    <w:rsid w:val="00F402A3"/>
    <w:rsid w:val="00F404BC"/>
    <w:rsid w:val="00F40DA7"/>
    <w:rsid w:val="00F41B8E"/>
    <w:rsid w:val="00F43668"/>
    <w:rsid w:val="00F4374D"/>
    <w:rsid w:val="00F43C5B"/>
    <w:rsid w:val="00F4435B"/>
    <w:rsid w:val="00F45D06"/>
    <w:rsid w:val="00F46A96"/>
    <w:rsid w:val="00F46E4A"/>
    <w:rsid w:val="00F503A1"/>
    <w:rsid w:val="00F509BC"/>
    <w:rsid w:val="00F511B2"/>
    <w:rsid w:val="00F53310"/>
    <w:rsid w:val="00F53695"/>
    <w:rsid w:val="00F53D6D"/>
    <w:rsid w:val="00F547C6"/>
    <w:rsid w:val="00F547CD"/>
    <w:rsid w:val="00F55B44"/>
    <w:rsid w:val="00F57462"/>
    <w:rsid w:val="00F604E7"/>
    <w:rsid w:val="00F6130A"/>
    <w:rsid w:val="00F6268A"/>
    <w:rsid w:val="00F627D7"/>
    <w:rsid w:val="00F635F3"/>
    <w:rsid w:val="00F63A24"/>
    <w:rsid w:val="00F6484B"/>
    <w:rsid w:val="00F64996"/>
    <w:rsid w:val="00F65239"/>
    <w:rsid w:val="00F65B2B"/>
    <w:rsid w:val="00F70426"/>
    <w:rsid w:val="00F70CFF"/>
    <w:rsid w:val="00F72771"/>
    <w:rsid w:val="00F73393"/>
    <w:rsid w:val="00F739A7"/>
    <w:rsid w:val="00F73B1C"/>
    <w:rsid w:val="00F742BB"/>
    <w:rsid w:val="00F75130"/>
    <w:rsid w:val="00F771D3"/>
    <w:rsid w:val="00F772C8"/>
    <w:rsid w:val="00F77710"/>
    <w:rsid w:val="00F77E9C"/>
    <w:rsid w:val="00F77FCB"/>
    <w:rsid w:val="00F810E7"/>
    <w:rsid w:val="00F81156"/>
    <w:rsid w:val="00F81157"/>
    <w:rsid w:val="00F8195B"/>
    <w:rsid w:val="00F8407E"/>
    <w:rsid w:val="00F84AD2"/>
    <w:rsid w:val="00F84D4F"/>
    <w:rsid w:val="00F85C7E"/>
    <w:rsid w:val="00F85FDA"/>
    <w:rsid w:val="00F918C3"/>
    <w:rsid w:val="00F93A20"/>
    <w:rsid w:val="00F96C7F"/>
    <w:rsid w:val="00F96F61"/>
    <w:rsid w:val="00F972C2"/>
    <w:rsid w:val="00F972E2"/>
    <w:rsid w:val="00FA120C"/>
    <w:rsid w:val="00FA1A9D"/>
    <w:rsid w:val="00FA3222"/>
    <w:rsid w:val="00FA4F58"/>
    <w:rsid w:val="00FA5537"/>
    <w:rsid w:val="00FA5663"/>
    <w:rsid w:val="00FA67DF"/>
    <w:rsid w:val="00FB02C9"/>
    <w:rsid w:val="00FB0409"/>
    <w:rsid w:val="00FB1A05"/>
    <w:rsid w:val="00FB1F0C"/>
    <w:rsid w:val="00FB2D3D"/>
    <w:rsid w:val="00FB58DB"/>
    <w:rsid w:val="00FB7CA4"/>
    <w:rsid w:val="00FC0FD7"/>
    <w:rsid w:val="00FC3031"/>
    <w:rsid w:val="00FC3663"/>
    <w:rsid w:val="00FC3DDB"/>
    <w:rsid w:val="00FC4DF5"/>
    <w:rsid w:val="00FC6112"/>
    <w:rsid w:val="00FC71FC"/>
    <w:rsid w:val="00FC7433"/>
    <w:rsid w:val="00FC7635"/>
    <w:rsid w:val="00FC7843"/>
    <w:rsid w:val="00FC7AF6"/>
    <w:rsid w:val="00FC7C88"/>
    <w:rsid w:val="00FD04FF"/>
    <w:rsid w:val="00FD193C"/>
    <w:rsid w:val="00FD1C4A"/>
    <w:rsid w:val="00FD1FBC"/>
    <w:rsid w:val="00FE008E"/>
    <w:rsid w:val="00FE05D8"/>
    <w:rsid w:val="00FE0C82"/>
    <w:rsid w:val="00FE3365"/>
    <w:rsid w:val="00FE41A2"/>
    <w:rsid w:val="00FF2129"/>
    <w:rsid w:val="00FF2D4E"/>
    <w:rsid w:val="00FF3746"/>
    <w:rsid w:val="00FF45C7"/>
    <w:rsid w:val="00FF7793"/>
    <w:rsid w:val="00FF7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9DCB7ECF-1F1F-4AAB-9AE7-ECC56967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45"/>
    <w:rPr>
      <w:rFonts w:ascii="Arial" w:hAnsi="Arial"/>
      <w:color w:val="000000" w:themeColor="text1"/>
    </w:rPr>
  </w:style>
  <w:style w:type="paragraph" w:styleId="Heading1">
    <w:name w:val="heading 1"/>
    <w:basedOn w:val="Normal"/>
    <w:next w:val="Normal"/>
    <w:link w:val="Heading1Char"/>
    <w:uiPriority w:val="9"/>
    <w:qFormat/>
    <w:rsid w:val="006B62B7"/>
    <w:pPr>
      <w:keepNext/>
      <w:keepLines/>
      <w:spacing w:after="240"/>
      <w:outlineLvl w:val="0"/>
    </w:pPr>
    <w:rPr>
      <w:rFonts w:eastAsiaTheme="majorEastAsia" w:cstheme="majorBidi"/>
      <w:b/>
      <w:color w:val="441170" w:themeColor="text2"/>
      <w:sz w:val="32"/>
      <w:szCs w:val="32"/>
    </w:rPr>
  </w:style>
  <w:style w:type="paragraph" w:styleId="Heading2">
    <w:name w:val="heading 2"/>
    <w:basedOn w:val="Normal"/>
    <w:next w:val="Normal"/>
    <w:link w:val="Heading2Char"/>
    <w:uiPriority w:val="9"/>
    <w:unhideWhenUsed/>
    <w:qFormat/>
    <w:rsid w:val="00951700"/>
    <w:pPr>
      <w:keepNext/>
      <w:keepLines/>
      <w:spacing w:before="240" w:after="240" w:line="400" w:lineRule="exact"/>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127C77"/>
    <w:pPr>
      <w:keepNext/>
      <w:keepLines/>
      <w:spacing w:before="120" w:after="280"/>
      <w:outlineLvl w:val="2"/>
    </w:pPr>
    <w:rPr>
      <w:rFonts w:eastAsiaTheme="majorEastAsia" w:cstheme="majorBidi"/>
      <w:b/>
      <w:color w:val="441170" w:themeColor="text2"/>
      <w:sz w:val="24"/>
      <w:szCs w:val="24"/>
    </w:rPr>
  </w:style>
  <w:style w:type="paragraph" w:styleId="Heading4">
    <w:name w:val="heading 4"/>
    <w:basedOn w:val="Normal"/>
    <w:next w:val="Normal"/>
    <w:link w:val="Heading4Char"/>
    <w:uiPriority w:val="9"/>
    <w:unhideWhenUsed/>
    <w:qFormat/>
    <w:rsid w:val="00EA618D"/>
    <w:pPr>
      <w:outlineLvl w:val="3"/>
    </w:pPr>
    <w:rPr>
      <w:rFonts w:cs="Arial"/>
      <w:bCs/>
      <w:color w:val="005D5D" w:themeColor="accent2"/>
    </w:rPr>
  </w:style>
  <w:style w:type="paragraph" w:styleId="Heading5">
    <w:name w:val="heading 5"/>
    <w:basedOn w:val="Normal"/>
    <w:next w:val="Normal"/>
    <w:link w:val="Heading5Char"/>
    <w:uiPriority w:val="9"/>
    <w:unhideWhenUsed/>
    <w:qFormat/>
    <w:rsid w:val="0006027B"/>
    <w:pPr>
      <w:spacing w:before="120"/>
      <w:outlineLvl w:val="4"/>
    </w:pPr>
    <w:rPr>
      <w:rFonts w:cs="Arial"/>
      <w:b/>
      <w:bCs/>
    </w:rPr>
  </w:style>
  <w:style w:type="paragraph" w:styleId="Heading6">
    <w:name w:val="heading 6"/>
    <w:basedOn w:val="Normal"/>
    <w:next w:val="Normal"/>
    <w:link w:val="Heading6Char"/>
    <w:uiPriority w:val="9"/>
    <w:unhideWhenUsed/>
    <w:qFormat/>
    <w:rsid w:val="00207C90"/>
    <w:pPr>
      <w:keepNext/>
      <w:keepLines/>
      <w:spacing w:before="280" w:after="240"/>
      <w:outlineLvl w:val="5"/>
    </w:pPr>
    <w:rPr>
      <w:rFonts w:asciiTheme="majorHAnsi" w:eastAsiaTheme="majorEastAsia" w:hAnsiTheme="majorHAnsi" w:cstheme="majorBidi"/>
      <w:color w:val="341461" w:themeColor="accent1" w:themeShade="7F"/>
      <w:sz w:val="20"/>
    </w:rPr>
  </w:style>
  <w:style w:type="paragraph" w:styleId="Heading7">
    <w:name w:val="heading 7"/>
    <w:basedOn w:val="Normal"/>
    <w:next w:val="Normal"/>
    <w:link w:val="Heading7Char"/>
    <w:uiPriority w:val="9"/>
    <w:unhideWhenUsed/>
    <w:rsid w:val="00BA18F6"/>
    <w:pPr>
      <w:keepNext/>
      <w:keepLines/>
      <w:spacing w:before="40" w:after="0"/>
      <w:outlineLvl w:val="6"/>
    </w:pPr>
    <w:rPr>
      <w:rFonts w:asciiTheme="majorHAnsi" w:eastAsiaTheme="majorEastAsia" w:hAnsiTheme="majorHAnsi" w:cstheme="majorBidi"/>
      <w:i/>
      <w:iCs/>
      <w:color w:val="34146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andTablelabel">
    <w:name w:val="Chart and Table label"/>
    <w:basedOn w:val="Normal"/>
    <w:qFormat/>
    <w:rsid w:val="000404CE"/>
    <w:rPr>
      <w:b/>
      <w:sz w:val="20"/>
      <w:lang w:val="en-US"/>
    </w:rPr>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C40E20"/>
    <w:pPr>
      <w:tabs>
        <w:tab w:val="left"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C40E20"/>
    <w:rPr>
      <w:rFonts w:ascii="Arial" w:hAnsi="Arial"/>
      <w:color w:val="000000" w:themeColor="text1"/>
      <w:sz w:val="18"/>
    </w:rPr>
  </w:style>
  <w:style w:type="paragraph" w:styleId="Title">
    <w:name w:val="Title"/>
    <w:basedOn w:val="Normal"/>
    <w:next w:val="Normal"/>
    <w:link w:val="TitleChar"/>
    <w:uiPriority w:val="10"/>
    <w:qFormat/>
    <w:rsid w:val="00A55F30"/>
    <w:pPr>
      <w:spacing w:before="840" w:after="0" w:line="276" w:lineRule="auto"/>
    </w:pPr>
    <w:rPr>
      <w:rFonts w:eastAsiaTheme="majorEastAsia" w:cstheme="majorBidi"/>
      <w:b/>
      <w:color w:val="441170" w:themeColor="text2"/>
      <w:spacing w:val="-10"/>
      <w:kern w:val="28"/>
      <w:sz w:val="60"/>
      <w:szCs w:val="56"/>
    </w:rPr>
  </w:style>
  <w:style w:type="character" w:customStyle="1" w:styleId="TitleChar">
    <w:name w:val="Title Char"/>
    <w:basedOn w:val="DefaultParagraphFont"/>
    <w:link w:val="Title"/>
    <w:uiPriority w:val="10"/>
    <w:rsid w:val="00A55F30"/>
    <w:rPr>
      <w:rFonts w:ascii="Arial" w:eastAsiaTheme="majorEastAsia" w:hAnsi="Arial" w:cstheme="majorBidi"/>
      <w:b/>
      <w:color w:val="441170" w:themeColor="text2"/>
      <w:spacing w:val="-10"/>
      <w:kern w:val="28"/>
      <w:sz w:val="60"/>
      <w:szCs w:val="56"/>
    </w:rPr>
  </w:style>
  <w:style w:type="character" w:customStyle="1" w:styleId="Heading1Char">
    <w:name w:val="Heading 1 Char"/>
    <w:basedOn w:val="DefaultParagraphFont"/>
    <w:link w:val="Heading1"/>
    <w:uiPriority w:val="9"/>
    <w:rsid w:val="006B62B7"/>
    <w:rPr>
      <w:rFonts w:ascii="Arial" w:eastAsiaTheme="majorEastAsia" w:hAnsi="Arial" w:cstheme="majorBidi"/>
      <w:b/>
      <w:color w:val="441170" w:themeColor="text2"/>
      <w:sz w:val="32"/>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link w:val="NoSpacingChar"/>
    <w:uiPriority w:val="1"/>
    <w:qFormat/>
    <w:rsid w:val="00A62216"/>
    <w:pPr>
      <w:spacing w:after="0" w:line="240" w:lineRule="auto"/>
    </w:pPr>
  </w:style>
  <w:style w:type="paragraph" w:customStyle="1" w:styleId="Bodycopy">
    <w:name w:val="Body copy"/>
    <w:basedOn w:val="Normal"/>
    <w:link w:val="BodycopyChar"/>
    <w:qFormat/>
    <w:rsid w:val="0003689D"/>
    <w:pPr>
      <w:spacing w:before="120" w:after="280"/>
    </w:p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BE68F3"/>
    <w:pPr>
      <w:numPr>
        <w:numId w:val="1"/>
      </w:numPr>
      <w:spacing w:line="240" w:lineRule="atLeast"/>
    </w:pPr>
    <w:rPr>
      <w:rFonts w:eastAsia="SimSun" w:cs="Times New Roman"/>
      <w:spacing w:val="-1"/>
      <w:szCs w:val="20"/>
      <w:lang w:val="en-GB" w:eastAsia="en-GB"/>
    </w:rPr>
  </w:style>
  <w:style w:type="paragraph" w:customStyle="1" w:styleId="Tableheader">
    <w:name w:val="Table header"/>
    <w:basedOn w:val="Normal"/>
    <w:qFormat/>
    <w:rsid w:val="006066C4"/>
    <w:pPr>
      <w:spacing w:before="120" w:after="120" w:line="240" w:lineRule="auto"/>
    </w:pPr>
    <w:rPr>
      <w:b/>
      <w:color w:val="FFFFFF" w:themeColor="background1"/>
      <w:lang w:val="en-US"/>
    </w:rPr>
  </w:style>
  <w:style w:type="paragraph" w:customStyle="1" w:styleId="Tablebodycopy">
    <w:name w:val="Table body copy"/>
    <w:basedOn w:val="Normal"/>
    <w:qFormat/>
    <w:rsid w:val="009A5BC4"/>
    <w:pPr>
      <w:spacing w:before="120" w:after="120" w:line="240" w:lineRule="auto"/>
    </w:pPr>
    <w:rPr>
      <w:lang w:val="en-US"/>
    </w:rPr>
  </w:style>
  <w:style w:type="character" w:customStyle="1" w:styleId="Heading2Char">
    <w:name w:val="Heading 2 Char"/>
    <w:basedOn w:val="DefaultParagraphFont"/>
    <w:link w:val="Heading2"/>
    <w:uiPriority w:val="9"/>
    <w:rsid w:val="00951700"/>
    <w:rPr>
      <w:rFonts w:ascii="Arial" w:eastAsiaTheme="majorEastAsia" w:hAnsi="Arial" w:cstheme="majorBidi"/>
      <w:color w:val="000000" w:themeColor="text1"/>
      <w:sz w:val="28"/>
      <w:szCs w:val="26"/>
    </w:rPr>
  </w:style>
  <w:style w:type="paragraph" w:styleId="TOC1">
    <w:name w:val="toc 1"/>
    <w:basedOn w:val="Normal"/>
    <w:next w:val="Normal"/>
    <w:autoRedefine/>
    <w:uiPriority w:val="39"/>
    <w:unhideWhenUsed/>
    <w:rsid w:val="00A3043E"/>
    <w:pPr>
      <w:spacing w:after="100"/>
    </w:pPr>
    <w:rPr>
      <w:b/>
      <w:color w:val="441170" w:themeColor="text2"/>
    </w:rPr>
  </w:style>
  <w:style w:type="character" w:customStyle="1" w:styleId="Heading3Char">
    <w:name w:val="Heading 3 Char"/>
    <w:basedOn w:val="DefaultParagraphFont"/>
    <w:link w:val="Heading3"/>
    <w:uiPriority w:val="9"/>
    <w:rsid w:val="00127C77"/>
    <w:rPr>
      <w:rFonts w:ascii="Arial" w:eastAsiaTheme="majorEastAsia" w:hAnsi="Arial" w:cstheme="majorBidi"/>
      <w:b/>
      <w:color w:val="441170" w:themeColor="text2"/>
      <w:sz w:val="24"/>
      <w:szCs w:val="24"/>
    </w:rPr>
  </w:style>
  <w:style w:type="paragraph" w:styleId="TOC2">
    <w:name w:val="toc 2"/>
    <w:basedOn w:val="Normal"/>
    <w:next w:val="Normal"/>
    <w:autoRedefine/>
    <w:uiPriority w:val="39"/>
    <w:unhideWhenUsed/>
    <w:rsid w:val="00782490"/>
    <w:pPr>
      <w:spacing w:after="100"/>
      <w:ind w:left="220"/>
    </w:pPr>
  </w:style>
  <w:style w:type="paragraph" w:styleId="TOC4">
    <w:name w:val="toc 4"/>
    <w:basedOn w:val="Normal"/>
    <w:next w:val="Normal"/>
    <w:autoRedefine/>
    <w:uiPriority w:val="39"/>
    <w:unhideWhenUsed/>
    <w:rsid w:val="007B2AD6"/>
    <w:pPr>
      <w:tabs>
        <w:tab w:val="right" w:leader="dot" w:pos="9016"/>
      </w:tabs>
      <w:spacing w:after="100"/>
      <w:ind w:left="220"/>
    </w:pPr>
  </w:style>
  <w:style w:type="paragraph" w:styleId="TOC3">
    <w:name w:val="toc 3"/>
    <w:basedOn w:val="Normal"/>
    <w:next w:val="Normal"/>
    <w:autoRedefine/>
    <w:uiPriority w:val="39"/>
    <w:unhideWhenUsed/>
    <w:rsid w:val="0072010D"/>
    <w:pPr>
      <w:tabs>
        <w:tab w:val="right" w:leader="dot" w:pos="10490"/>
      </w:tabs>
      <w:spacing w:after="100"/>
      <w:ind w:left="220"/>
    </w:pPr>
  </w:style>
  <w:style w:type="paragraph" w:styleId="TOC5">
    <w:name w:val="toc 5"/>
    <w:basedOn w:val="Normal"/>
    <w:next w:val="Normal"/>
    <w:autoRedefine/>
    <w:uiPriority w:val="39"/>
    <w:unhideWhenUsed/>
    <w:rsid w:val="007B2AD6"/>
    <w:pPr>
      <w:tabs>
        <w:tab w:val="right" w:leader="dot" w:pos="9016"/>
      </w:tabs>
      <w:spacing w:after="100"/>
      <w:ind w:left="220"/>
    </w:pPr>
  </w:style>
  <w:style w:type="character" w:styleId="Hyperlink">
    <w:name w:val="Hyperlink"/>
    <w:basedOn w:val="DefaultParagraphFont"/>
    <w:uiPriority w:val="99"/>
    <w:unhideWhenUsed/>
    <w:rsid w:val="00782490"/>
    <w:rPr>
      <w:color w:val="215E9E" w:themeColor="hyperlink"/>
      <w:u w:val="single"/>
    </w:rPr>
  </w:style>
  <w:style w:type="paragraph" w:customStyle="1" w:styleId="Dateoncover">
    <w:name w:val="Date on cover"/>
    <w:basedOn w:val="Normal"/>
    <w:rsid w:val="00BA18F6"/>
    <w:rPr>
      <w:rFonts w:cs="Arial"/>
      <w:b/>
      <w:bCs/>
      <w:sz w:val="28"/>
      <w:szCs w:val="28"/>
    </w:rPr>
  </w:style>
  <w:style w:type="paragraph" w:styleId="ListBullet2">
    <w:name w:val="List Bullet 2"/>
    <w:basedOn w:val="Normal"/>
    <w:qFormat/>
    <w:rsid w:val="00BE68F3"/>
    <w:pPr>
      <w:numPr>
        <w:ilvl w:val="1"/>
        <w:numId w:val="1"/>
      </w:numPr>
      <w:spacing w:line="240" w:lineRule="atLeast"/>
    </w:pPr>
    <w:rPr>
      <w:rFonts w:eastAsia="SimSun" w:cs="Times New Roman"/>
      <w:spacing w:val="-1"/>
      <w:szCs w:val="20"/>
      <w:lang w:val="en-GB" w:eastAsia="en-GB"/>
    </w:rPr>
  </w:style>
  <w:style w:type="paragraph" w:styleId="ListBullet3">
    <w:name w:val="List Bullet 3"/>
    <w:basedOn w:val="Normal"/>
    <w:qFormat/>
    <w:rsid w:val="00BE68F3"/>
    <w:pPr>
      <w:numPr>
        <w:ilvl w:val="2"/>
        <w:numId w:val="1"/>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EA618D"/>
    <w:rPr>
      <w:rFonts w:ascii="Arial" w:hAnsi="Arial" w:cs="Arial"/>
      <w:bCs/>
      <w:color w:val="005D5D" w:themeColor="accent2"/>
    </w:rPr>
  </w:style>
  <w:style w:type="character" w:customStyle="1" w:styleId="Heading5Char">
    <w:name w:val="Heading 5 Char"/>
    <w:basedOn w:val="DefaultParagraphFont"/>
    <w:link w:val="Heading5"/>
    <w:uiPriority w:val="9"/>
    <w:rsid w:val="0006027B"/>
    <w:rPr>
      <w:rFonts w:ascii="Arial" w:hAnsi="Arial" w:cs="Arial"/>
      <w:b/>
      <w:bCs/>
      <w:color w:val="000000" w:themeColor="text1"/>
    </w:rPr>
  </w:style>
  <w:style w:type="character" w:customStyle="1" w:styleId="Heading6Char">
    <w:name w:val="Heading 6 Char"/>
    <w:basedOn w:val="DefaultParagraphFont"/>
    <w:link w:val="Heading6"/>
    <w:uiPriority w:val="9"/>
    <w:rsid w:val="00207C90"/>
    <w:rPr>
      <w:rFonts w:asciiTheme="majorHAnsi" w:eastAsiaTheme="majorEastAsia" w:hAnsiTheme="majorHAnsi" w:cstheme="majorBidi"/>
      <w:color w:val="341461" w:themeColor="accent1" w:themeShade="7F"/>
      <w:sz w:val="20"/>
    </w:rPr>
  </w:style>
  <w:style w:type="character" w:customStyle="1" w:styleId="Heading7Char">
    <w:name w:val="Heading 7 Char"/>
    <w:basedOn w:val="DefaultParagraphFont"/>
    <w:link w:val="Heading7"/>
    <w:uiPriority w:val="9"/>
    <w:rsid w:val="00BA18F6"/>
    <w:rPr>
      <w:rFonts w:asciiTheme="majorHAnsi" w:eastAsiaTheme="majorEastAsia" w:hAnsiTheme="majorHAnsi" w:cstheme="majorBidi"/>
      <w:i/>
      <w:iCs/>
      <w:color w:val="341461" w:themeColor="accent1" w:themeShade="7F"/>
    </w:rPr>
  </w:style>
  <w:style w:type="paragraph" w:customStyle="1" w:styleId="Title-Subtitle">
    <w:name w:val="Title - Subtitle"/>
    <w:basedOn w:val="Bodycopy"/>
    <w:qFormat/>
    <w:rsid w:val="00A55F30"/>
    <w:pPr>
      <w:spacing w:after="400"/>
    </w:pPr>
    <w:rPr>
      <w:b/>
      <w:sz w:val="36"/>
      <w:szCs w:val="40"/>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Quote">
    <w:name w:val="Quote"/>
    <w:basedOn w:val="Normal"/>
    <w:next w:val="Normal"/>
    <w:link w:val="QuoteChar"/>
    <w:uiPriority w:val="29"/>
    <w:qFormat/>
    <w:rsid w:val="00960E8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60E8F"/>
    <w:rPr>
      <w:rFonts w:ascii="Arial" w:hAnsi="Arial"/>
      <w:i/>
      <w:iCs/>
      <w:color w:val="404040" w:themeColor="text1" w:themeTint="BF"/>
    </w:rPr>
  </w:style>
  <w:style w:type="character" w:styleId="Strong">
    <w:name w:val="Strong"/>
    <w:basedOn w:val="DefaultParagraphFont"/>
    <w:uiPriority w:val="22"/>
    <w:qFormat/>
    <w:rsid w:val="00637E54"/>
    <w:rPr>
      <w:b/>
      <w:bCs/>
    </w:rPr>
  </w:style>
  <w:style w:type="character" w:styleId="Emphasis">
    <w:name w:val="Emphasis"/>
    <w:basedOn w:val="DefaultParagraphFont"/>
    <w:qFormat/>
    <w:rsid w:val="00C56B20"/>
    <w:rPr>
      <w:i/>
      <w:iCs/>
    </w:rPr>
  </w:style>
  <w:style w:type="paragraph" w:customStyle="1" w:styleId="Hyperlinks">
    <w:name w:val="Hyperlinks"/>
    <w:basedOn w:val="Bodycopy"/>
    <w:link w:val="HyperlinksChar"/>
    <w:qFormat/>
    <w:rsid w:val="00352B94"/>
    <w:rPr>
      <w:color w:val="6929C4" w:themeColor="accent1"/>
      <w:u w:val="single"/>
    </w:rPr>
  </w:style>
  <w:style w:type="character" w:customStyle="1" w:styleId="BodycopyChar">
    <w:name w:val="Body copy Char"/>
    <w:basedOn w:val="DefaultParagraphFont"/>
    <w:link w:val="Bodycopy"/>
    <w:rsid w:val="00AC557F"/>
    <w:rPr>
      <w:rFonts w:ascii="Arial" w:hAnsi="Arial"/>
      <w:color w:val="000000" w:themeColor="text1"/>
    </w:rPr>
  </w:style>
  <w:style w:type="character" w:customStyle="1" w:styleId="HyperlinksChar">
    <w:name w:val="Hyperlinks Char"/>
    <w:basedOn w:val="BodycopyChar"/>
    <w:link w:val="Hyperlinks"/>
    <w:rsid w:val="00352B94"/>
    <w:rPr>
      <w:rFonts w:ascii="Arial" w:hAnsi="Arial"/>
      <w:color w:val="6929C4" w:themeColor="accent1"/>
      <w:u w:val="single"/>
    </w:rPr>
  </w:style>
  <w:style w:type="paragraph" w:styleId="FootnoteText">
    <w:name w:val="footnote text"/>
    <w:basedOn w:val="Normal"/>
    <w:link w:val="FootnoteTextChar"/>
    <w:uiPriority w:val="99"/>
    <w:unhideWhenUsed/>
    <w:rsid w:val="00C24966"/>
    <w:pPr>
      <w:spacing w:after="0" w:line="240" w:lineRule="auto"/>
    </w:pPr>
    <w:rPr>
      <w:sz w:val="20"/>
      <w:szCs w:val="20"/>
    </w:rPr>
  </w:style>
  <w:style w:type="character" w:customStyle="1" w:styleId="FootnoteTextChar">
    <w:name w:val="Footnote Text Char"/>
    <w:basedOn w:val="DefaultParagraphFont"/>
    <w:link w:val="FootnoteText"/>
    <w:uiPriority w:val="99"/>
    <w:rsid w:val="00C24966"/>
    <w:rPr>
      <w:rFonts w:ascii="Arial" w:hAnsi="Arial"/>
      <w:color w:val="000000" w:themeColor="text1"/>
      <w:sz w:val="20"/>
      <w:szCs w:val="20"/>
    </w:rPr>
  </w:style>
  <w:style w:type="character" w:styleId="FootnoteReference">
    <w:name w:val="footnote reference"/>
    <w:basedOn w:val="DefaultParagraphFont"/>
    <w:uiPriority w:val="99"/>
    <w:unhideWhenUsed/>
    <w:rsid w:val="00C24966"/>
    <w:rPr>
      <w:vertAlign w:val="superscript"/>
    </w:rPr>
  </w:style>
  <w:style w:type="paragraph" w:customStyle="1" w:styleId="Source">
    <w:name w:val="Source"/>
    <w:basedOn w:val="Normal"/>
    <w:next w:val="BodyText"/>
    <w:qFormat/>
    <w:rsid w:val="007C19A6"/>
    <w:pPr>
      <w:numPr>
        <w:numId w:val="3"/>
      </w:numPr>
      <w:tabs>
        <w:tab w:val="left" w:pos="709"/>
      </w:tabs>
      <w:spacing w:before="80" w:after="100" w:afterAutospacing="1" w:line="160" w:lineRule="atLeast"/>
    </w:pPr>
    <w:rPr>
      <w:rFonts w:asciiTheme="minorHAnsi" w:eastAsia="Times New Roman" w:hAnsiTheme="minorHAnsi" w:cstheme="minorHAnsi"/>
      <w:i/>
      <w:spacing w:val="2"/>
      <w:sz w:val="16"/>
      <w:szCs w:val="14"/>
      <w:lang w:eastAsia="en-AU"/>
    </w:rPr>
  </w:style>
  <w:style w:type="paragraph" w:styleId="BodyText">
    <w:name w:val="Body Text"/>
    <w:basedOn w:val="Normal"/>
    <w:link w:val="BodyTextChar"/>
    <w:qFormat/>
    <w:rsid w:val="007C19A6"/>
    <w:pPr>
      <w:spacing w:before="220" w:after="220" w:line="240" w:lineRule="atLeast"/>
    </w:pPr>
    <w:rPr>
      <w:rFonts w:asciiTheme="minorHAnsi" w:eastAsia="SimSun" w:hAnsiTheme="minorHAnsi" w:cs="Times New Roman"/>
      <w:color w:val="262626"/>
      <w:spacing w:val="-1"/>
      <w:sz w:val="20"/>
      <w:szCs w:val="20"/>
      <w:lang w:eastAsia="en-GB"/>
    </w:rPr>
  </w:style>
  <w:style w:type="character" w:customStyle="1" w:styleId="BodyTextChar">
    <w:name w:val="Body Text Char"/>
    <w:basedOn w:val="DefaultParagraphFont"/>
    <w:link w:val="BodyText"/>
    <w:rsid w:val="007C19A6"/>
    <w:rPr>
      <w:rFonts w:eastAsia="SimSun" w:cs="Times New Roman"/>
      <w:color w:val="262626"/>
      <w:spacing w:val="-1"/>
      <w:sz w:val="20"/>
      <w:szCs w:val="20"/>
      <w:lang w:eastAsia="en-GB"/>
    </w:rPr>
  </w:style>
  <w:style w:type="numbering" w:customStyle="1" w:styleId="ListBullets">
    <w:name w:val="ListBullets"/>
    <w:uiPriority w:val="99"/>
    <w:rsid w:val="007C19A6"/>
    <w:pPr>
      <w:numPr>
        <w:numId w:val="4"/>
      </w:numPr>
    </w:pPr>
  </w:style>
  <w:style w:type="table" w:styleId="GridTable4-Accent1">
    <w:name w:val="Grid Table 4 Accent 1"/>
    <w:basedOn w:val="TableNormal"/>
    <w:uiPriority w:val="49"/>
    <w:rsid w:val="007C19A6"/>
    <w:pPr>
      <w:spacing w:after="0" w:line="240" w:lineRule="auto"/>
    </w:pPr>
    <w:tblPr>
      <w:tblStyleRowBandSize w:val="1"/>
      <w:tblStyleColBandSize w:val="1"/>
      <w:tblBorders>
        <w:top w:val="single" w:sz="4" w:space="0" w:color="A377E2" w:themeColor="accent1" w:themeTint="99"/>
        <w:left w:val="single" w:sz="4" w:space="0" w:color="A377E2" w:themeColor="accent1" w:themeTint="99"/>
        <w:bottom w:val="single" w:sz="4" w:space="0" w:color="A377E2" w:themeColor="accent1" w:themeTint="99"/>
        <w:right w:val="single" w:sz="4" w:space="0" w:color="A377E2" w:themeColor="accent1" w:themeTint="99"/>
        <w:insideH w:val="single" w:sz="4" w:space="0" w:color="A377E2" w:themeColor="accent1" w:themeTint="99"/>
        <w:insideV w:val="single" w:sz="4" w:space="0" w:color="A377E2" w:themeColor="accent1" w:themeTint="99"/>
      </w:tblBorders>
    </w:tblPr>
    <w:tblStylePr w:type="firstRow">
      <w:rPr>
        <w:b/>
        <w:bCs/>
        <w:color w:val="FFFFFF" w:themeColor="background1"/>
      </w:rPr>
      <w:tblPr/>
      <w:tcPr>
        <w:tcBorders>
          <w:top w:val="single" w:sz="4" w:space="0" w:color="6929C4" w:themeColor="accent1"/>
          <w:left w:val="single" w:sz="4" w:space="0" w:color="6929C4" w:themeColor="accent1"/>
          <w:bottom w:val="single" w:sz="4" w:space="0" w:color="6929C4" w:themeColor="accent1"/>
          <w:right w:val="single" w:sz="4" w:space="0" w:color="6929C4" w:themeColor="accent1"/>
          <w:insideH w:val="nil"/>
          <w:insideV w:val="nil"/>
        </w:tcBorders>
        <w:shd w:val="clear" w:color="auto" w:fill="6929C4" w:themeFill="accent1"/>
      </w:tcPr>
    </w:tblStylePr>
    <w:tblStylePr w:type="lastRow">
      <w:rPr>
        <w:b/>
        <w:bCs/>
      </w:rPr>
      <w:tblPr/>
      <w:tcPr>
        <w:tcBorders>
          <w:top w:val="double" w:sz="4" w:space="0" w:color="6929C4" w:themeColor="accent1"/>
        </w:tcBorders>
      </w:tcPr>
    </w:tblStylePr>
    <w:tblStylePr w:type="firstCol">
      <w:rPr>
        <w:b/>
        <w:bCs/>
      </w:rPr>
    </w:tblStylePr>
    <w:tblStylePr w:type="lastCol">
      <w:rPr>
        <w:b/>
        <w:bCs/>
      </w:rPr>
    </w:tblStylePr>
    <w:tblStylePr w:type="band1Vert">
      <w:tblPr/>
      <w:tcPr>
        <w:shd w:val="clear" w:color="auto" w:fill="E0D1F5" w:themeFill="accent1" w:themeFillTint="33"/>
      </w:tcPr>
    </w:tblStylePr>
    <w:tblStylePr w:type="band1Horz">
      <w:tblPr/>
      <w:tcPr>
        <w:shd w:val="clear" w:color="auto" w:fill="E0D1F5" w:themeFill="accent1" w:themeFillTint="33"/>
      </w:tcPr>
    </w:tblStylePr>
  </w:style>
  <w:style w:type="paragraph" w:customStyle="1" w:styleId="ExecSummHeading3">
    <w:name w:val="ExecSumm Heading 3"/>
    <w:basedOn w:val="Normal"/>
    <w:next w:val="BodyText"/>
    <w:qFormat/>
    <w:rsid w:val="00DC7990"/>
    <w:pPr>
      <w:spacing w:before="290" w:after="180" w:line="260" w:lineRule="atLeast"/>
    </w:pPr>
    <w:rPr>
      <w:rFonts w:asciiTheme="majorHAnsi" w:eastAsia="SimSun" w:hAnsiTheme="majorHAnsi" w:cs="Times New Roman"/>
      <w:b/>
      <w:color w:val="6929C4" w:themeColor="accent1"/>
      <w:spacing w:val="-2"/>
      <w:szCs w:val="20"/>
      <w:lang w:eastAsia="en-GB"/>
    </w:rPr>
  </w:style>
  <w:style w:type="paragraph" w:customStyle="1" w:styleId="HeadingAppendix3">
    <w:name w:val="Heading Appendix 3"/>
    <w:basedOn w:val="Normal"/>
    <w:next w:val="BodyText"/>
    <w:qFormat/>
    <w:rsid w:val="00DC7990"/>
    <w:pPr>
      <w:spacing w:before="290" w:after="180" w:line="260" w:lineRule="atLeast"/>
    </w:pPr>
    <w:rPr>
      <w:rFonts w:asciiTheme="majorHAnsi" w:eastAsia="SimSun" w:hAnsiTheme="majorHAnsi" w:cs="Times New Roman"/>
      <w:b/>
      <w:color w:val="6929C4" w:themeColor="accent1"/>
      <w:spacing w:val="-2"/>
      <w:szCs w:val="20"/>
      <w:lang w:eastAsia="en-GB"/>
    </w:rPr>
  </w:style>
  <w:style w:type="character" w:customStyle="1" w:styleId="NoSpacingChar">
    <w:name w:val="No Spacing Char"/>
    <w:link w:val="NoSpacing"/>
    <w:uiPriority w:val="1"/>
    <w:rsid w:val="00DC7990"/>
  </w:style>
  <w:style w:type="paragraph" w:customStyle="1" w:styleId="tablefootnote">
    <w:name w:val="table footnote"/>
    <w:basedOn w:val="Normal"/>
    <w:qFormat/>
    <w:rsid w:val="00DC7990"/>
    <w:pPr>
      <w:spacing w:after="0" w:line="240" w:lineRule="auto"/>
      <w:contextualSpacing/>
    </w:pPr>
    <w:rPr>
      <w:rFonts w:asciiTheme="minorHAnsi" w:eastAsiaTheme="minorEastAsia" w:hAnsiTheme="minorHAnsi" w:cstheme="minorHAnsi"/>
      <w:color w:val="auto"/>
      <w:sz w:val="16"/>
      <w:szCs w:val="16"/>
    </w:rPr>
  </w:style>
  <w:style w:type="paragraph" w:styleId="EndnoteText">
    <w:name w:val="endnote text"/>
    <w:basedOn w:val="Normal"/>
    <w:link w:val="EndnoteTextChar"/>
    <w:uiPriority w:val="99"/>
    <w:semiHidden/>
    <w:unhideWhenUsed/>
    <w:rsid w:val="00DB5C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5C30"/>
    <w:rPr>
      <w:rFonts w:ascii="Arial" w:hAnsi="Arial"/>
      <w:color w:val="000000" w:themeColor="text1"/>
      <w:sz w:val="20"/>
      <w:szCs w:val="20"/>
    </w:rPr>
  </w:style>
  <w:style w:type="character" w:styleId="EndnoteReference">
    <w:name w:val="endnote reference"/>
    <w:basedOn w:val="DefaultParagraphFont"/>
    <w:uiPriority w:val="99"/>
    <w:semiHidden/>
    <w:unhideWhenUsed/>
    <w:rsid w:val="00DB5C30"/>
    <w:rPr>
      <w:vertAlign w:val="superscript"/>
    </w:rPr>
  </w:style>
  <w:style w:type="paragraph" w:styleId="Revision">
    <w:name w:val="Revision"/>
    <w:hidden/>
    <w:uiPriority w:val="99"/>
    <w:semiHidden/>
    <w:rsid w:val="0004272C"/>
    <w:pPr>
      <w:spacing w:after="0" w:line="240" w:lineRule="auto"/>
    </w:pPr>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1897">
      <w:bodyDiv w:val="1"/>
      <w:marLeft w:val="0"/>
      <w:marRight w:val="0"/>
      <w:marTop w:val="0"/>
      <w:marBottom w:val="0"/>
      <w:divBdr>
        <w:top w:val="none" w:sz="0" w:space="0" w:color="auto"/>
        <w:left w:val="none" w:sz="0" w:space="0" w:color="auto"/>
        <w:bottom w:val="none" w:sz="0" w:space="0" w:color="auto"/>
        <w:right w:val="none" w:sz="0" w:space="0" w:color="auto"/>
      </w:divBdr>
    </w:div>
    <w:div w:id="1597471236">
      <w:bodyDiv w:val="1"/>
      <w:marLeft w:val="0"/>
      <w:marRight w:val="0"/>
      <w:marTop w:val="0"/>
      <w:marBottom w:val="0"/>
      <w:divBdr>
        <w:top w:val="none" w:sz="0" w:space="0" w:color="auto"/>
        <w:left w:val="none" w:sz="0" w:space="0" w:color="auto"/>
        <w:bottom w:val="none" w:sz="0" w:space="0" w:color="auto"/>
        <w:right w:val="none" w:sz="0" w:space="0" w:color="auto"/>
      </w:divBdr>
    </w:div>
    <w:div w:id="200651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chart" Target="charts/chart4.xml"/><Relationship Id="rId26" Type="http://schemas.openxmlformats.org/officeDocument/2006/relationships/chart" Target="charts/chart10.xml"/><Relationship Id="rId21" Type="http://schemas.openxmlformats.org/officeDocument/2006/relationships/chart" Target="charts/chart7.xml"/><Relationship Id="rId34" Type="http://schemas.openxmlformats.org/officeDocument/2006/relationships/chart" Target="charts/chart18.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4.png"/><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6.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32" Type="http://schemas.openxmlformats.org/officeDocument/2006/relationships/chart" Target="charts/chart1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image" Target="media/image5.emf"/><Relationship Id="rId28" Type="http://schemas.openxmlformats.org/officeDocument/2006/relationships/chart" Target="charts/chart12.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chart" Target="charts/chart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weforum.org/agenda/2023/04/growth-summit-2023-why-skills-first-hiring-is-the-solution-to-the-global-talent-shortage/" TargetMode="External"/><Relationship Id="rId2" Type="http://schemas.openxmlformats.org/officeDocument/2006/relationships/hyperlink" Target="https://www.eurofound.europa.eu/publications/report/2023/measures-to-tackle-labour-shortages-lessons-for-future-policy" TargetMode="External"/><Relationship Id="rId1" Type="http://schemas.openxmlformats.org/officeDocument/2006/relationships/hyperlink" Target="https://www.imf.org/en/Publications/WEO/Issues/2023/04/11/world-economic-outlook-april-202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CCESS.application.enet\SPECIAL$\LFS%20Lockup\ABS%20Labour%20Force%20Results%20-%20template%20for%20CHARTS.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ACCESS.application.enet\SPECIAL$\NSC%20-%20LMAAS\Regional%20work%20-%20general\Regional%20vacancies%20and%20participation%20-%20April%202023\Joel's%20workings.xlsx" TargetMode="External"/><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oleObject" Target="file:///\\ACCESS.application.enet\SPECIAL$\NSC%20-%20LMAAS\Regional%20work%20-%20general\Regional%20vacancies%20and%20participation%20-%20April%202023\Joel's%20workings.xlsx"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file:///\\EMP.application.enet\51009703\LMM%20Branch\ERSA\3.%20REOS%20Survey%20Output\2.%20Monthly\Recruitment%20Insights%20Reports\2.%20Charts%20and%20Calculations\RIR%20Chart%20data.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EMP.application.enet\51009703\LMM%20Branch\ERSA\6.%20Briefings%20and%20Requests\2023\Presentations\3.%20May%20-%20CICA%20&amp;%20Rehabilitation%20Counselling%20Ass\Mat%20data%20working.xlsx"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file:///\\EMP.application.enet\51009703\LMM%20Branch\ERSA\6.%20Briefings%20and%20Requests\2023\Data%20requests\27.%20May%20-%20Labour%20Market%20Update%20May%202023\Graph%20data.xlsx" TargetMode="External"/><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3.xml"/><Relationship Id="rId1" Type="http://schemas.microsoft.com/office/2011/relationships/chartStyle" Target="style13.xml"/></Relationships>
</file>

<file path=word/charts/_rels/chart16.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4.xml"/><Relationship Id="rId1" Type="http://schemas.microsoft.com/office/2011/relationships/chartStyle" Target="style14.xml"/></Relationships>
</file>

<file path=word/charts/_rels/chart17.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5.xml"/><Relationship Id="rId1" Type="http://schemas.microsoft.com/office/2011/relationships/chartStyle" Target="style15.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RR2932\AppData\Local\Microsoft\Windows\INetCache\Content.Outlook\F43AN2OV\SERA%20data%20-%20Jan%202022%20to%20Mar%202023%20-%20reasons%20for%20unsuitablity.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1" Type="http://schemas.openxmlformats.org/officeDocument/2006/relationships/oleObject" Target="file:///\\ACCESS.application.enet\SPECIAL$\LFS%20Lockup\ABS%20Labour%20Force%20Results%20-%20template%20for%20CHARTS.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ACCESS.application.enet\SPECIAL$\NSC%20-%20LMAAS\LTU\LTU%20brief\LTU%20table%20and%20chart%20-%20JSA%20template.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1009703\LMM%20Branch\ERSA\3.%20REOS%20Survey%20Output\2.%20Monthly\Recruitment%20Insights%20Reports\2.%20Charts%20and%20Calculations\RIR%20Chart%20data.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EMP.application.enet\51009703\LMM%20Branch\ERSA\3.%20REOS%20Survey%20Output\2.%20Monthly\Recruitment%20Insights%20Reports\2.%20Charts%20and%20Calculations\RIR%20Chart%20data.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https://sharedservicescentre-my.sharepoint.com/personal/alexander_vilagosh_jobsandskills_gov_au/Documents/Desktop/March%202023/Book3.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https://sharedservicescentre-my.sharepoint.com/personal/alexander_vilagosh_jobsandskills_gov_au/Documents/Desktop/March%202023/Book3.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EMP.application.enet\51009703\LMM%20Branch\ERSA\6.%20Briefings%20and%20Requests\2023\Data%20requests\27.%20May%20-%20Labour%20Market%20Update%20May%202023\Graph%20data.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ACCESS.application.enet\SPECIAL$\NSC%20-%20LMAAS\Regional%20work%20-%20general\Regional%20vacancies%20and%20participation%20-%20April%202023\Joel's%20working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234367762853168E-2"/>
          <c:y val="4.6593730239165639E-2"/>
          <c:w val="0.8747355257063455"/>
          <c:h val="0.76036450889183405"/>
        </c:manualLayout>
      </c:layout>
      <c:lineChart>
        <c:grouping val="standard"/>
        <c:varyColors val="0"/>
        <c:ser>
          <c:idx val="0"/>
          <c:order val="0"/>
          <c:tx>
            <c:strRef>
              <c:f>'PR chart'!$B$2</c:f>
              <c:strCache>
                <c:ptCount val="1"/>
                <c:pt idx="0">
                  <c:v>Male</c:v>
                </c:pt>
              </c:strCache>
            </c:strRef>
          </c:tx>
          <c:marker>
            <c:symbol val="none"/>
          </c:marker>
          <c:cat>
            <c:numRef>
              <c:f>'PR chart'!$A$3:$A$243</c:f>
              <c:numCache>
                <c:formatCode>mmm\-yy</c:formatCode>
                <c:ptCount val="241"/>
                <c:pt idx="0">
                  <c:v>37681</c:v>
                </c:pt>
                <c:pt idx="1">
                  <c:v>37712</c:v>
                </c:pt>
                <c:pt idx="2">
                  <c:v>37742</c:v>
                </c:pt>
                <c:pt idx="3">
                  <c:v>37773</c:v>
                </c:pt>
                <c:pt idx="4">
                  <c:v>37803</c:v>
                </c:pt>
                <c:pt idx="5">
                  <c:v>37834</c:v>
                </c:pt>
                <c:pt idx="6">
                  <c:v>37865</c:v>
                </c:pt>
                <c:pt idx="7">
                  <c:v>37895</c:v>
                </c:pt>
                <c:pt idx="8">
                  <c:v>37926</c:v>
                </c:pt>
                <c:pt idx="9">
                  <c:v>37956</c:v>
                </c:pt>
                <c:pt idx="10">
                  <c:v>37987</c:v>
                </c:pt>
                <c:pt idx="11">
                  <c:v>38018</c:v>
                </c:pt>
                <c:pt idx="12">
                  <c:v>38047</c:v>
                </c:pt>
                <c:pt idx="13">
                  <c:v>38078</c:v>
                </c:pt>
                <c:pt idx="14">
                  <c:v>38108</c:v>
                </c:pt>
                <c:pt idx="15">
                  <c:v>38139</c:v>
                </c:pt>
                <c:pt idx="16">
                  <c:v>38169</c:v>
                </c:pt>
                <c:pt idx="17">
                  <c:v>38200</c:v>
                </c:pt>
                <c:pt idx="18">
                  <c:v>38231</c:v>
                </c:pt>
                <c:pt idx="19">
                  <c:v>38261</c:v>
                </c:pt>
                <c:pt idx="20">
                  <c:v>38292</c:v>
                </c:pt>
                <c:pt idx="21">
                  <c:v>38322</c:v>
                </c:pt>
                <c:pt idx="22">
                  <c:v>38353</c:v>
                </c:pt>
                <c:pt idx="23">
                  <c:v>38384</c:v>
                </c:pt>
                <c:pt idx="24">
                  <c:v>38412</c:v>
                </c:pt>
                <c:pt idx="25">
                  <c:v>38443</c:v>
                </c:pt>
                <c:pt idx="26">
                  <c:v>38473</c:v>
                </c:pt>
                <c:pt idx="27">
                  <c:v>38504</c:v>
                </c:pt>
                <c:pt idx="28">
                  <c:v>38534</c:v>
                </c:pt>
                <c:pt idx="29">
                  <c:v>38565</c:v>
                </c:pt>
                <c:pt idx="30">
                  <c:v>38596</c:v>
                </c:pt>
                <c:pt idx="31">
                  <c:v>38626</c:v>
                </c:pt>
                <c:pt idx="32">
                  <c:v>38657</c:v>
                </c:pt>
                <c:pt idx="33">
                  <c:v>38687</c:v>
                </c:pt>
                <c:pt idx="34">
                  <c:v>38718</c:v>
                </c:pt>
                <c:pt idx="35">
                  <c:v>38749</c:v>
                </c:pt>
                <c:pt idx="36">
                  <c:v>38777</c:v>
                </c:pt>
                <c:pt idx="37">
                  <c:v>38808</c:v>
                </c:pt>
                <c:pt idx="38">
                  <c:v>38838</c:v>
                </c:pt>
                <c:pt idx="39">
                  <c:v>38869</c:v>
                </c:pt>
                <c:pt idx="40">
                  <c:v>38899</c:v>
                </c:pt>
                <c:pt idx="41">
                  <c:v>38930</c:v>
                </c:pt>
                <c:pt idx="42">
                  <c:v>38961</c:v>
                </c:pt>
                <c:pt idx="43">
                  <c:v>38991</c:v>
                </c:pt>
                <c:pt idx="44">
                  <c:v>39022</c:v>
                </c:pt>
                <c:pt idx="45">
                  <c:v>39052</c:v>
                </c:pt>
                <c:pt idx="46">
                  <c:v>39083</c:v>
                </c:pt>
                <c:pt idx="47">
                  <c:v>39114</c:v>
                </c:pt>
                <c:pt idx="48">
                  <c:v>39142</c:v>
                </c:pt>
                <c:pt idx="49">
                  <c:v>39173</c:v>
                </c:pt>
                <c:pt idx="50">
                  <c:v>39203</c:v>
                </c:pt>
                <c:pt idx="51">
                  <c:v>39234</c:v>
                </c:pt>
                <c:pt idx="52">
                  <c:v>39264</c:v>
                </c:pt>
                <c:pt idx="53">
                  <c:v>39295</c:v>
                </c:pt>
                <c:pt idx="54">
                  <c:v>39326</c:v>
                </c:pt>
                <c:pt idx="55">
                  <c:v>39356</c:v>
                </c:pt>
                <c:pt idx="56">
                  <c:v>39387</c:v>
                </c:pt>
                <c:pt idx="57">
                  <c:v>39417</c:v>
                </c:pt>
                <c:pt idx="58">
                  <c:v>39448</c:v>
                </c:pt>
                <c:pt idx="59">
                  <c:v>39479</c:v>
                </c:pt>
                <c:pt idx="60">
                  <c:v>39508</c:v>
                </c:pt>
                <c:pt idx="61">
                  <c:v>39539</c:v>
                </c:pt>
                <c:pt idx="62">
                  <c:v>39569</c:v>
                </c:pt>
                <c:pt idx="63">
                  <c:v>39600</c:v>
                </c:pt>
                <c:pt idx="64">
                  <c:v>39630</c:v>
                </c:pt>
                <c:pt idx="65">
                  <c:v>39661</c:v>
                </c:pt>
                <c:pt idx="66">
                  <c:v>39692</c:v>
                </c:pt>
                <c:pt idx="67">
                  <c:v>39722</c:v>
                </c:pt>
                <c:pt idx="68">
                  <c:v>39753</c:v>
                </c:pt>
                <c:pt idx="69">
                  <c:v>39783</c:v>
                </c:pt>
                <c:pt idx="70">
                  <c:v>39814</c:v>
                </c:pt>
                <c:pt idx="71">
                  <c:v>39845</c:v>
                </c:pt>
                <c:pt idx="72">
                  <c:v>39873</c:v>
                </c:pt>
                <c:pt idx="73">
                  <c:v>39904</c:v>
                </c:pt>
                <c:pt idx="74">
                  <c:v>39934</c:v>
                </c:pt>
                <c:pt idx="75">
                  <c:v>39965</c:v>
                </c:pt>
                <c:pt idx="76">
                  <c:v>39995</c:v>
                </c:pt>
                <c:pt idx="77">
                  <c:v>40026</c:v>
                </c:pt>
                <c:pt idx="78">
                  <c:v>40057</c:v>
                </c:pt>
                <c:pt idx="79">
                  <c:v>40087</c:v>
                </c:pt>
                <c:pt idx="80">
                  <c:v>40118</c:v>
                </c:pt>
                <c:pt idx="81">
                  <c:v>40148</c:v>
                </c:pt>
                <c:pt idx="82">
                  <c:v>40179</c:v>
                </c:pt>
                <c:pt idx="83">
                  <c:v>40210</c:v>
                </c:pt>
                <c:pt idx="84">
                  <c:v>40238</c:v>
                </c:pt>
                <c:pt idx="85">
                  <c:v>40269</c:v>
                </c:pt>
                <c:pt idx="86">
                  <c:v>40299</c:v>
                </c:pt>
                <c:pt idx="87">
                  <c:v>40330</c:v>
                </c:pt>
                <c:pt idx="88">
                  <c:v>40360</c:v>
                </c:pt>
                <c:pt idx="89">
                  <c:v>40391</c:v>
                </c:pt>
                <c:pt idx="90">
                  <c:v>40422</c:v>
                </c:pt>
                <c:pt idx="91">
                  <c:v>40452</c:v>
                </c:pt>
                <c:pt idx="92">
                  <c:v>40483</c:v>
                </c:pt>
                <c:pt idx="93">
                  <c:v>40513</c:v>
                </c:pt>
                <c:pt idx="94">
                  <c:v>40544</c:v>
                </c:pt>
                <c:pt idx="95">
                  <c:v>40575</c:v>
                </c:pt>
                <c:pt idx="96">
                  <c:v>40603</c:v>
                </c:pt>
                <c:pt idx="97">
                  <c:v>40634</c:v>
                </c:pt>
                <c:pt idx="98">
                  <c:v>40664</c:v>
                </c:pt>
                <c:pt idx="99">
                  <c:v>40695</c:v>
                </c:pt>
                <c:pt idx="100">
                  <c:v>40725</c:v>
                </c:pt>
                <c:pt idx="101">
                  <c:v>40756</c:v>
                </c:pt>
                <c:pt idx="102">
                  <c:v>40787</c:v>
                </c:pt>
                <c:pt idx="103">
                  <c:v>40817</c:v>
                </c:pt>
                <c:pt idx="104">
                  <c:v>40848</c:v>
                </c:pt>
                <c:pt idx="105">
                  <c:v>40878</c:v>
                </c:pt>
                <c:pt idx="106">
                  <c:v>40909</c:v>
                </c:pt>
                <c:pt idx="107">
                  <c:v>40940</c:v>
                </c:pt>
                <c:pt idx="108">
                  <c:v>40969</c:v>
                </c:pt>
                <c:pt idx="109">
                  <c:v>41000</c:v>
                </c:pt>
                <c:pt idx="110">
                  <c:v>41030</c:v>
                </c:pt>
                <c:pt idx="111">
                  <c:v>41061</c:v>
                </c:pt>
                <c:pt idx="112">
                  <c:v>41091</c:v>
                </c:pt>
                <c:pt idx="113">
                  <c:v>41122</c:v>
                </c:pt>
                <c:pt idx="114">
                  <c:v>41153</c:v>
                </c:pt>
                <c:pt idx="115">
                  <c:v>41183</c:v>
                </c:pt>
                <c:pt idx="116">
                  <c:v>41214</c:v>
                </c:pt>
                <c:pt idx="117">
                  <c:v>41244</c:v>
                </c:pt>
                <c:pt idx="118">
                  <c:v>41275</c:v>
                </c:pt>
                <c:pt idx="119">
                  <c:v>41306</c:v>
                </c:pt>
                <c:pt idx="120">
                  <c:v>41334</c:v>
                </c:pt>
                <c:pt idx="121">
                  <c:v>41365</c:v>
                </c:pt>
                <c:pt idx="122">
                  <c:v>41395</c:v>
                </c:pt>
                <c:pt idx="123">
                  <c:v>41426</c:v>
                </c:pt>
                <c:pt idx="124">
                  <c:v>41456</c:v>
                </c:pt>
                <c:pt idx="125">
                  <c:v>41487</c:v>
                </c:pt>
                <c:pt idx="126">
                  <c:v>41518</c:v>
                </c:pt>
                <c:pt idx="127">
                  <c:v>41548</c:v>
                </c:pt>
                <c:pt idx="128">
                  <c:v>41579</c:v>
                </c:pt>
                <c:pt idx="129">
                  <c:v>41609</c:v>
                </c:pt>
                <c:pt idx="130">
                  <c:v>41640</c:v>
                </c:pt>
                <c:pt idx="131">
                  <c:v>41671</c:v>
                </c:pt>
                <c:pt idx="132">
                  <c:v>41699</c:v>
                </c:pt>
                <c:pt idx="133">
                  <c:v>41730</c:v>
                </c:pt>
                <c:pt idx="134">
                  <c:v>41760</c:v>
                </c:pt>
                <c:pt idx="135">
                  <c:v>41791</c:v>
                </c:pt>
                <c:pt idx="136">
                  <c:v>41821</c:v>
                </c:pt>
                <c:pt idx="137">
                  <c:v>41852</c:v>
                </c:pt>
                <c:pt idx="138">
                  <c:v>41883</c:v>
                </c:pt>
                <c:pt idx="139">
                  <c:v>41913</c:v>
                </c:pt>
                <c:pt idx="140">
                  <c:v>41944</c:v>
                </c:pt>
                <c:pt idx="141">
                  <c:v>41974</c:v>
                </c:pt>
                <c:pt idx="142">
                  <c:v>42005</c:v>
                </c:pt>
                <c:pt idx="143">
                  <c:v>42036</c:v>
                </c:pt>
                <c:pt idx="144">
                  <c:v>42064</c:v>
                </c:pt>
                <c:pt idx="145">
                  <c:v>42095</c:v>
                </c:pt>
                <c:pt idx="146">
                  <c:v>42125</c:v>
                </c:pt>
                <c:pt idx="147">
                  <c:v>42156</c:v>
                </c:pt>
                <c:pt idx="148">
                  <c:v>42186</c:v>
                </c:pt>
                <c:pt idx="149">
                  <c:v>42217</c:v>
                </c:pt>
                <c:pt idx="150">
                  <c:v>42248</c:v>
                </c:pt>
                <c:pt idx="151">
                  <c:v>42278</c:v>
                </c:pt>
                <c:pt idx="152">
                  <c:v>42309</c:v>
                </c:pt>
                <c:pt idx="153">
                  <c:v>42339</c:v>
                </c:pt>
                <c:pt idx="154">
                  <c:v>42370</c:v>
                </c:pt>
                <c:pt idx="155">
                  <c:v>42401</c:v>
                </c:pt>
                <c:pt idx="156">
                  <c:v>42430</c:v>
                </c:pt>
                <c:pt idx="157">
                  <c:v>42461</c:v>
                </c:pt>
                <c:pt idx="158">
                  <c:v>42491</c:v>
                </c:pt>
                <c:pt idx="159">
                  <c:v>42522</c:v>
                </c:pt>
                <c:pt idx="160">
                  <c:v>42552</c:v>
                </c:pt>
                <c:pt idx="161">
                  <c:v>42583</c:v>
                </c:pt>
                <c:pt idx="162">
                  <c:v>42614</c:v>
                </c:pt>
                <c:pt idx="163">
                  <c:v>42644</c:v>
                </c:pt>
                <c:pt idx="164">
                  <c:v>42675</c:v>
                </c:pt>
                <c:pt idx="165">
                  <c:v>42705</c:v>
                </c:pt>
                <c:pt idx="166">
                  <c:v>42736</c:v>
                </c:pt>
                <c:pt idx="167">
                  <c:v>42767</c:v>
                </c:pt>
                <c:pt idx="168">
                  <c:v>42795</c:v>
                </c:pt>
                <c:pt idx="169">
                  <c:v>42826</c:v>
                </c:pt>
                <c:pt idx="170">
                  <c:v>42856</c:v>
                </c:pt>
                <c:pt idx="171">
                  <c:v>42887</c:v>
                </c:pt>
                <c:pt idx="172">
                  <c:v>42917</c:v>
                </c:pt>
                <c:pt idx="173">
                  <c:v>42948</c:v>
                </c:pt>
                <c:pt idx="174">
                  <c:v>42979</c:v>
                </c:pt>
                <c:pt idx="175">
                  <c:v>43009</c:v>
                </c:pt>
                <c:pt idx="176">
                  <c:v>43040</c:v>
                </c:pt>
                <c:pt idx="177">
                  <c:v>43070</c:v>
                </c:pt>
                <c:pt idx="178">
                  <c:v>43101</c:v>
                </c:pt>
                <c:pt idx="179">
                  <c:v>43132</c:v>
                </c:pt>
                <c:pt idx="180">
                  <c:v>43160</c:v>
                </c:pt>
                <c:pt idx="181">
                  <c:v>43191</c:v>
                </c:pt>
                <c:pt idx="182">
                  <c:v>43221</c:v>
                </c:pt>
                <c:pt idx="183">
                  <c:v>43252</c:v>
                </c:pt>
                <c:pt idx="184">
                  <c:v>43282</c:v>
                </c:pt>
                <c:pt idx="185">
                  <c:v>43313</c:v>
                </c:pt>
                <c:pt idx="186">
                  <c:v>43344</c:v>
                </c:pt>
                <c:pt idx="187">
                  <c:v>43374</c:v>
                </c:pt>
                <c:pt idx="188">
                  <c:v>43405</c:v>
                </c:pt>
                <c:pt idx="189">
                  <c:v>43435</c:v>
                </c:pt>
                <c:pt idx="190">
                  <c:v>43466</c:v>
                </c:pt>
                <c:pt idx="191">
                  <c:v>43497</c:v>
                </c:pt>
                <c:pt idx="192">
                  <c:v>43525</c:v>
                </c:pt>
                <c:pt idx="193">
                  <c:v>43556</c:v>
                </c:pt>
                <c:pt idx="194">
                  <c:v>43586</c:v>
                </c:pt>
                <c:pt idx="195">
                  <c:v>43617</c:v>
                </c:pt>
                <c:pt idx="196">
                  <c:v>43647</c:v>
                </c:pt>
                <c:pt idx="197">
                  <c:v>43678</c:v>
                </c:pt>
                <c:pt idx="198">
                  <c:v>43709</c:v>
                </c:pt>
                <c:pt idx="199">
                  <c:v>43739</c:v>
                </c:pt>
                <c:pt idx="200">
                  <c:v>43770</c:v>
                </c:pt>
                <c:pt idx="201">
                  <c:v>43800</c:v>
                </c:pt>
                <c:pt idx="202">
                  <c:v>43831</c:v>
                </c:pt>
                <c:pt idx="203">
                  <c:v>43862</c:v>
                </c:pt>
                <c:pt idx="204">
                  <c:v>43891</c:v>
                </c:pt>
                <c:pt idx="205">
                  <c:v>43922</c:v>
                </c:pt>
                <c:pt idx="206">
                  <c:v>43952</c:v>
                </c:pt>
                <c:pt idx="207">
                  <c:v>43983</c:v>
                </c:pt>
                <c:pt idx="208">
                  <c:v>44013</c:v>
                </c:pt>
                <c:pt idx="209">
                  <c:v>44044</c:v>
                </c:pt>
                <c:pt idx="210">
                  <c:v>44075</c:v>
                </c:pt>
                <c:pt idx="211">
                  <c:v>44105</c:v>
                </c:pt>
                <c:pt idx="212">
                  <c:v>44136</c:v>
                </c:pt>
                <c:pt idx="213">
                  <c:v>44166</c:v>
                </c:pt>
                <c:pt idx="214">
                  <c:v>44197</c:v>
                </c:pt>
                <c:pt idx="215">
                  <c:v>44228</c:v>
                </c:pt>
                <c:pt idx="216">
                  <c:v>44256</c:v>
                </c:pt>
                <c:pt idx="217">
                  <c:v>44287</c:v>
                </c:pt>
                <c:pt idx="218">
                  <c:v>44317</c:v>
                </c:pt>
                <c:pt idx="219">
                  <c:v>44348</c:v>
                </c:pt>
                <c:pt idx="220">
                  <c:v>44378</c:v>
                </c:pt>
                <c:pt idx="221">
                  <c:v>44409</c:v>
                </c:pt>
                <c:pt idx="222">
                  <c:v>44440</c:v>
                </c:pt>
                <c:pt idx="223">
                  <c:v>44470</c:v>
                </c:pt>
                <c:pt idx="224">
                  <c:v>44501</c:v>
                </c:pt>
                <c:pt idx="225">
                  <c:v>44531</c:v>
                </c:pt>
                <c:pt idx="226">
                  <c:v>44562</c:v>
                </c:pt>
                <c:pt idx="227">
                  <c:v>44593</c:v>
                </c:pt>
                <c:pt idx="228">
                  <c:v>44621</c:v>
                </c:pt>
                <c:pt idx="229">
                  <c:v>44652</c:v>
                </c:pt>
                <c:pt idx="230">
                  <c:v>44682</c:v>
                </c:pt>
                <c:pt idx="231">
                  <c:v>44713</c:v>
                </c:pt>
                <c:pt idx="232">
                  <c:v>44743</c:v>
                </c:pt>
                <c:pt idx="233">
                  <c:v>44774</c:v>
                </c:pt>
                <c:pt idx="234">
                  <c:v>44805</c:v>
                </c:pt>
                <c:pt idx="235">
                  <c:v>44835</c:v>
                </c:pt>
                <c:pt idx="236">
                  <c:v>44866</c:v>
                </c:pt>
                <c:pt idx="237">
                  <c:v>44896</c:v>
                </c:pt>
                <c:pt idx="238">
                  <c:v>44927</c:v>
                </c:pt>
                <c:pt idx="239">
                  <c:v>44958</c:v>
                </c:pt>
                <c:pt idx="240">
                  <c:v>44986</c:v>
                </c:pt>
              </c:numCache>
            </c:numRef>
          </c:cat>
          <c:val>
            <c:numRef>
              <c:f>'PR chart'!$B$3:$B$243</c:f>
              <c:numCache>
                <c:formatCode>0.0</c:formatCode>
                <c:ptCount val="241"/>
                <c:pt idx="0">
                  <c:v>71.661849700000005</c:v>
                </c:pt>
                <c:pt idx="1">
                  <c:v>71.4234443</c:v>
                </c:pt>
                <c:pt idx="2">
                  <c:v>71.391283999999999</c:v>
                </c:pt>
                <c:pt idx="3">
                  <c:v>71.260902000000002</c:v>
                </c:pt>
                <c:pt idx="4">
                  <c:v>71.207906500000007</c:v>
                </c:pt>
                <c:pt idx="5">
                  <c:v>71.344793300000006</c:v>
                </c:pt>
                <c:pt idx="6">
                  <c:v>71.314737600000001</c:v>
                </c:pt>
                <c:pt idx="7">
                  <c:v>71.575389200000004</c:v>
                </c:pt>
                <c:pt idx="8">
                  <c:v>71.315741200000005</c:v>
                </c:pt>
                <c:pt idx="9">
                  <c:v>71.6439345</c:v>
                </c:pt>
                <c:pt idx="10">
                  <c:v>71.551544699999994</c:v>
                </c:pt>
                <c:pt idx="11">
                  <c:v>71.545798899999994</c:v>
                </c:pt>
                <c:pt idx="12">
                  <c:v>71.387729199999995</c:v>
                </c:pt>
                <c:pt idx="13">
                  <c:v>71.489136799999997</c:v>
                </c:pt>
                <c:pt idx="14">
                  <c:v>71.433609099999998</c:v>
                </c:pt>
                <c:pt idx="15">
                  <c:v>71.555829000000003</c:v>
                </c:pt>
                <c:pt idx="16">
                  <c:v>71.421377500000006</c:v>
                </c:pt>
                <c:pt idx="17">
                  <c:v>71.1484272</c:v>
                </c:pt>
                <c:pt idx="18">
                  <c:v>71.551299799999995</c:v>
                </c:pt>
                <c:pt idx="19">
                  <c:v>71.460917600000002</c:v>
                </c:pt>
                <c:pt idx="20">
                  <c:v>71.715281000000004</c:v>
                </c:pt>
                <c:pt idx="21">
                  <c:v>71.532094000000001</c:v>
                </c:pt>
                <c:pt idx="22">
                  <c:v>71.776638800000001</c:v>
                </c:pt>
                <c:pt idx="23">
                  <c:v>71.774362999999994</c:v>
                </c:pt>
                <c:pt idx="24">
                  <c:v>71.938593499999996</c:v>
                </c:pt>
                <c:pt idx="25">
                  <c:v>72.277191500000001</c:v>
                </c:pt>
                <c:pt idx="26">
                  <c:v>72.016945899999996</c:v>
                </c:pt>
                <c:pt idx="27">
                  <c:v>72.148434300000005</c:v>
                </c:pt>
                <c:pt idx="28">
                  <c:v>72.035642899999999</c:v>
                </c:pt>
                <c:pt idx="29">
                  <c:v>72.3805093</c:v>
                </c:pt>
                <c:pt idx="30">
                  <c:v>72.1978984</c:v>
                </c:pt>
                <c:pt idx="31">
                  <c:v>72.0206084</c:v>
                </c:pt>
                <c:pt idx="32">
                  <c:v>72.021063999999996</c:v>
                </c:pt>
                <c:pt idx="33">
                  <c:v>72.080636699999999</c:v>
                </c:pt>
                <c:pt idx="34">
                  <c:v>71.940857899999997</c:v>
                </c:pt>
                <c:pt idx="35">
                  <c:v>72.172826099999995</c:v>
                </c:pt>
                <c:pt idx="36">
                  <c:v>72.175484100000006</c:v>
                </c:pt>
                <c:pt idx="37">
                  <c:v>72.091361599999999</c:v>
                </c:pt>
                <c:pt idx="38">
                  <c:v>71.932563099999996</c:v>
                </c:pt>
                <c:pt idx="39">
                  <c:v>72.183807599999994</c:v>
                </c:pt>
                <c:pt idx="40">
                  <c:v>72.367537400000003</c:v>
                </c:pt>
                <c:pt idx="41">
                  <c:v>72.367369699999998</c:v>
                </c:pt>
                <c:pt idx="42">
                  <c:v>72.528677400000007</c:v>
                </c:pt>
                <c:pt idx="43">
                  <c:v>72.106536899999995</c:v>
                </c:pt>
                <c:pt idx="44">
                  <c:v>72.221823400000005</c:v>
                </c:pt>
                <c:pt idx="45">
                  <c:v>72.455843599999994</c:v>
                </c:pt>
                <c:pt idx="46">
                  <c:v>72.2852563</c:v>
                </c:pt>
                <c:pt idx="47">
                  <c:v>72.329516999999996</c:v>
                </c:pt>
                <c:pt idx="48">
                  <c:v>72.373437899999999</c:v>
                </c:pt>
                <c:pt idx="49">
                  <c:v>72.407847000000004</c:v>
                </c:pt>
                <c:pt idx="50">
                  <c:v>72.404476700000004</c:v>
                </c:pt>
                <c:pt idx="51">
                  <c:v>72.623058200000003</c:v>
                </c:pt>
                <c:pt idx="52">
                  <c:v>72.470496199999999</c:v>
                </c:pt>
                <c:pt idx="53">
                  <c:v>72.650312400000004</c:v>
                </c:pt>
                <c:pt idx="54">
                  <c:v>72.5224142</c:v>
                </c:pt>
                <c:pt idx="55">
                  <c:v>72.312471400000007</c:v>
                </c:pt>
                <c:pt idx="56">
                  <c:v>72.8073804</c:v>
                </c:pt>
                <c:pt idx="57">
                  <c:v>72.771028900000005</c:v>
                </c:pt>
                <c:pt idx="58">
                  <c:v>72.650759600000001</c:v>
                </c:pt>
                <c:pt idx="59">
                  <c:v>72.570347699999999</c:v>
                </c:pt>
                <c:pt idx="60">
                  <c:v>72.634233100000003</c:v>
                </c:pt>
                <c:pt idx="61">
                  <c:v>72.706508299999996</c:v>
                </c:pt>
                <c:pt idx="62">
                  <c:v>72.504539399999999</c:v>
                </c:pt>
                <c:pt idx="63">
                  <c:v>72.829899100000006</c:v>
                </c:pt>
                <c:pt idx="64">
                  <c:v>72.512117599999996</c:v>
                </c:pt>
                <c:pt idx="65">
                  <c:v>72.567898900000003</c:v>
                </c:pt>
                <c:pt idx="66">
                  <c:v>72.680367599999997</c:v>
                </c:pt>
                <c:pt idx="67">
                  <c:v>72.512688499999996</c:v>
                </c:pt>
                <c:pt idx="68">
                  <c:v>72.359136599999999</c:v>
                </c:pt>
                <c:pt idx="69">
                  <c:v>72.477015600000001</c:v>
                </c:pt>
                <c:pt idx="70">
                  <c:v>72.414702599999998</c:v>
                </c:pt>
                <c:pt idx="71">
                  <c:v>72.424097000000003</c:v>
                </c:pt>
                <c:pt idx="72">
                  <c:v>72.409949299999994</c:v>
                </c:pt>
                <c:pt idx="73">
                  <c:v>72.382724899999999</c:v>
                </c:pt>
                <c:pt idx="74">
                  <c:v>72.375564100000005</c:v>
                </c:pt>
                <c:pt idx="75">
                  <c:v>72.211212399999994</c:v>
                </c:pt>
                <c:pt idx="76">
                  <c:v>72.286777799999996</c:v>
                </c:pt>
                <c:pt idx="77">
                  <c:v>72.222234900000004</c:v>
                </c:pt>
                <c:pt idx="78">
                  <c:v>72.212349599999996</c:v>
                </c:pt>
                <c:pt idx="79">
                  <c:v>72.086464100000001</c:v>
                </c:pt>
                <c:pt idx="80">
                  <c:v>72.108137499999998</c:v>
                </c:pt>
                <c:pt idx="81">
                  <c:v>72.309130300000007</c:v>
                </c:pt>
                <c:pt idx="82">
                  <c:v>72.392026099999995</c:v>
                </c:pt>
                <c:pt idx="83">
                  <c:v>72.303235700000002</c:v>
                </c:pt>
                <c:pt idx="84">
                  <c:v>72.197287399999993</c:v>
                </c:pt>
                <c:pt idx="85">
                  <c:v>72.300741200000004</c:v>
                </c:pt>
                <c:pt idx="86">
                  <c:v>71.965186399999993</c:v>
                </c:pt>
                <c:pt idx="87">
                  <c:v>72.146605699999995</c:v>
                </c:pt>
                <c:pt idx="88">
                  <c:v>72.224738500000001</c:v>
                </c:pt>
                <c:pt idx="89">
                  <c:v>72.249878300000006</c:v>
                </c:pt>
                <c:pt idx="90">
                  <c:v>72.477965600000005</c:v>
                </c:pt>
                <c:pt idx="91">
                  <c:v>72.579861800000003</c:v>
                </c:pt>
                <c:pt idx="92">
                  <c:v>72.666275299999995</c:v>
                </c:pt>
                <c:pt idx="93">
                  <c:v>72.552121700000001</c:v>
                </c:pt>
                <c:pt idx="94">
                  <c:v>72.822268300000005</c:v>
                </c:pt>
                <c:pt idx="95">
                  <c:v>72.525585699999993</c:v>
                </c:pt>
                <c:pt idx="96">
                  <c:v>72.348641000000001</c:v>
                </c:pt>
                <c:pt idx="97">
                  <c:v>72.155392699999993</c:v>
                </c:pt>
                <c:pt idx="98">
                  <c:v>71.969850800000003</c:v>
                </c:pt>
                <c:pt idx="99">
                  <c:v>71.888135800000001</c:v>
                </c:pt>
                <c:pt idx="100">
                  <c:v>71.966680299999993</c:v>
                </c:pt>
                <c:pt idx="101">
                  <c:v>72.168182700000003</c:v>
                </c:pt>
                <c:pt idx="102">
                  <c:v>72.145481000000004</c:v>
                </c:pt>
                <c:pt idx="103">
                  <c:v>72.080403399999994</c:v>
                </c:pt>
                <c:pt idx="104">
                  <c:v>72.043423300000001</c:v>
                </c:pt>
                <c:pt idx="105">
                  <c:v>71.816051200000004</c:v>
                </c:pt>
                <c:pt idx="106">
                  <c:v>72.172303900000003</c:v>
                </c:pt>
                <c:pt idx="107">
                  <c:v>71.794982700000006</c:v>
                </c:pt>
                <c:pt idx="108">
                  <c:v>71.764747400000005</c:v>
                </c:pt>
                <c:pt idx="109">
                  <c:v>71.680986300000001</c:v>
                </c:pt>
                <c:pt idx="110">
                  <c:v>71.761714999999995</c:v>
                </c:pt>
                <c:pt idx="111">
                  <c:v>71.584753399999997</c:v>
                </c:pt>
                <c:pt idx="112">
                  <c:v>71.500383499999998</c:v>
                </c:pt>
                <c:pt idx="113">
                  <c:v>71.602528800000002</c:v>
                </c:pt>
                <c:pt idx="114">
                  <c:v>71.819874900000002</c:v>
                </c:pt>
                <c:pt idx="115">
                  <c:v>71.757980500000002</c:v>
                </c:pt>
                <c:pt idx="116">
                  <c:v>71.483081100000007</c:v>
                </c:pt>
                <c:pt idx="117">
                  <c:v>71.717955000000003</c:v>
                </c:pt>
                <c:pt idx="118">
                  <c:v>71.960467899999998</c:v>
                </c:pt>
                <c:pt idx="119">
                  <c:v>71.676173899999995</c:v>
                </c:pt>
                <c:pt idx="120">
                  <c:v>71.526638599999998</c:v>
                </c:pt>
                <c:pt idx="121">
                  <c:v>71.476386700000006</c:v>
                </c:pt>
                <c:pt idx="122">
                  <c:v>71.553466</c:v>
                </c:pt>
                <c:pt idx="123">
                  <c:v>71.606780700000002</c:v>
                </c:pt>
                <c:pt idx="124">
                  <c:v>71.268343099999996</c:v>
                </c:pt>
                <c:pt idx="125">
                  <c:v>71.341515799999996</c:v>
                </c:pt>
                <c:pt idx="126">
                  <c:v>71.206006799999997</c:v>
                </c:pt>
                <c:pt idx="127">
                  <c:v>71.213000100000002</c:v>
                </c:pt>
                <c:pt idx="128">
                  <c:v>71.042520100000004</c:v>
                </c:pt>
                <c:pt idx="129">
                  <c:v>70.897042200000001</c:v>
                </c:pt>
                <c:pt idx="130">
                  <c:v>70.839999899999995</c:v>
                </c:pt>
                <c:pt idx="131">
                  <c:v>70.709534199999993</c:v>
                </c:pt>
                <c:pt idx="132">
                  <c:v>70.919376099999994</c:v>
                </c:pt>
                <c:pt idx="133">
                  <c:v>71.004847799999993</c:v>
                </c:pt>
                <c:pt idx="134">
                  <c:v>70.676686500000002</c:v>
                </c:pt>
                <c:pt idx="135">
                  <c:v>70.8756506</c:v>
                </c:pt>
                <c:pt idx="136">
                  <c:v>71.020654100000002</c:v>
                </c:pt>
                <c:pt idx="137">
                  <c:v>70.901819200000006</c:v>
                </c:pt>
                <c:pt idx="138">
                  <c:v>70.742295799999994</c:v>
                </c:pt>
                <c:pt idx="139">
                  <c:v>70.855658899999995</c:v>
                </c:pt>
                <c:pt idx="140">
                  <c:v>71.080215600000002</c:v>
                </c:pt>
                <c:pt idx="141">
                  <c:v>70.844547000000006</c:v>
                </c:pt>
                <c:pt idx="142">
                  <c:v>71.092544000000004</c:v>
                </c:pt>
                <c:pt idx="143">
                  <c:v>71.191278400000002</c:v>
                </c:pt>
                <c:pt idx="144">
                  <c:v>71.269743000000005</c:v>
                </c:pt>
                <c:pt idx="145">
                  <c:v>71.063419499999995</c:v>
                </c:pt>
                <c:pt idx="146">
                  <c:v>71.016739200000004</c:v>
                </c:pt>
                <c:pt idx="147">
                  <c:v>70.862945400000001</c:v>
                </c:pt>
                <c:pt idx="148">
                  <c:v>71.060164099999994</c:v>
                </c:pt>
                <c:pt idx="149">
                  <c:v>70.956722999999997</c:v>
                </c:pt>
                <c:pt idx="150">
                  <c:v>70.955745699999994</c:v>
                </c:pt>
                <c:pt idx="151">
                  <c:v>71.124012300000004</c:v>
                </c:pt>
                <c:pt idx="152">
                  <c:v>70.946072200000003</c:v>
                </c:pt>
                <c:pt idx="153">
                  <c:v>70.916660100000001</c:v>
                </c:pt>
                <c:pt idx="154">
                  <c:v>71.312282699999997</c:v>
                </c:pt>
                <c:pt idx="155">
                  <c:v>70.734778800000001</c:v>
                </c:pt>
                <c:pt idx="156">
                  <c:v>70.7524248</c:v>
                </c:pt>
                <c:pt idx="157">
                  <c:v>70.516196399999998</c:v>
                </c:pt>
                <c:pt idx="158">
                  <c:v>70.614373200000003</c:v>
                </c:pt>
                <c:pt idx="159">
                  <c:v>70.391676500000003</c:v>
                </c:pt>
                <c:pt idx="160">
                  <c:v>70.617421300000004</c:v>
                </c:pt>
                <c:pt idx="161">
                  <c:v>70.460454799999994</c:v>
                </c:pt>
                <c:pt idx="162">
                  <c:v>70.096054100000003</c:v>
                </c:pt>
                <c:pt idx="163">
                  <c:v>70.293926900000002</c:v>
                </c:pt>
                <c:pt idx="164">
                  <c:v>70.357577599999999</c:v>
                </c:pt>
                <c:pt idx="165">
                  <c:v>70.5401107</c:v>
                </c:pt>
                <c:pt idx="166">
                  <c:v>70.223946400000003</c:v>
                </c:pt>
                <c:pt idx="167">
                  <c:v>70.391904800000006</c:v>
                </c:pt>
                <c:pt idx="168">
                  <c:v>70.456507900000005</c:v>
                </c:pt>
                <c:pt idx="169">
                  <c:v>70.637249499999996</c:v>
                </c:pt>
                <c:pt idx="170">
                  <c:v>70.575962799999999</c:v>
                </c:pt>
                <c:pt idx="171">
                  <c:v>70.591500199999999</c:v>
                </c:pt>
                <c:pt idx="172">
                  <c:v>70.825796400000002</c:v>
                </c:pt>
                <c:pt idx="173">
                  <c:v>70.821167099999997</c:v>
                </c:pt>
                <c:pt idx="174">
                  <c:v>70.795466599999997</c:v>
                </c:pt>
                <c:pt idx="175">
                  <c:v>70.669750100000002</c:v>
                </c:pt>
                <c:pt idx="176">
                  <c:v>70.975919599999997</c:v>
                </c:pt>
                <c:pt idx="177">
                  <c:v>71.136528600000005</c:v>
                </c:pt>
                <c:pt idx="178">
                  <c:v>71.252896000000007</c:v>
                </c:pt>
                <c:pt idx="179">
                  <c:v>71.008032299999996</c:v>
                </c:pt>
                <c:pt idx="180">
                  <c:v>70.787621999999999</c:v>
                </c:pt>
                <c:pt idx="181">
                  <c:v>70.9229141</c:v>
                </c:pt>
                <c:pt idx="182">
                  <c:v>70.7042529</c:v>
                </c:pt>
                <c:pt idx="183">
                  <c:v>71.021962200000004</c:v>
                </c:pt>
                <c:pt idx="184">
                  <c:v>71.011350300000004</c:v>
                </c:pt>
                <c:pt idx="185">
                  <c:v>71.128335000000007</c:v>
                </c:pt>
                <c:pt idx="186">
                  <c:v>70.816527199999996</c:v>
                </c:pt>
                <c:pt idx="187">
                  <c:v>70.913418800000002</c:v>
                </c:pt>
                <c:pt idx="188">
                  <c:v>71.1102755</c:v>
                </c:pt>
                <c:pt idx="189">
                  <c:v>71.007832899999997</c:v>
                </c:pt>
                <c:pt idx="190">
                  <c:v>71.004463200000004</c:v>
                </c:pt>
                <c:pt idx="191">
                  <c:v>70.756566000000007</c:v>
                </c:pt>
                <c:pt idx="192">
                  <c:v>70.917810299999999</c:v>
                </c:pt>
                <c:pt idx="193">
                  <c:v>70.961039099999994</c:v>
                </c:pt>
                <c:pt idx="194">
                  <c:v>71.481363400000006</c:v>
                </c:pt>
                <c:pt idx="195">
                  <c:v>71.402429400000003</c:v>
                </c:pt>
                <c:pt idx="196">
                  <c:v>71.375285000000005</c:v>
                </c:pt>
                <c:pt idx="197">
                  <c:v>71.400891900000005</c:v>
                </c:pt>
                <c:pt idx="198">
                  <c:v>71.245462200000006</c:v>
                </c:pt>
                <c:pt idx="199">
                  <c:v>70.994666699999996</c:v>
                </c:pt>
                <c:pt idx="200">
                  <c:v>71.009021300000001</c:v>
                </c:pt>
                <c:pt idx="201">
                  <c:v>70.9104964</c:v>
                </c:pt>
                <c:pt idx="202">
                  <c:v>70.778916899999999</c:v>
                </c:pt>
                <c:pt idx="203">
                  <c:v>70.7845485</c:v>
                </c:pt>
                <c:pt idx="204">
                  <c:v>70.662047200000003</c:v>
                </c:pt>
                <c:pt idx="205">
                  <c:v>68.830868699999996</c:v>
                </c:pt>
                <c:pt idx="206">
                  <c:v>67.906458599999993</c:v>
                </c:pt>
                <c:pt idx="207">
                  <c:v>69.202580999999995</c:v>
                </c:pt>
                <c:pt idx="208">
                  <c:v>69.756233600000002</c:v>
                </c:pt>
                <c:pt idx="209">
                  <c:v>69.992928800000001</c:v>
                </c:pt>
                <c:pt idx="210">
                  <c:v>69.809369399999994</c:v>
                </c:pt>
                <c:pt idx="211">
                  <c:v>70.850184799999994</c:v>
                </c:pt>
                <c:pt idx="212">
                  <c:v>71.052183400000004</c:v>
                </c:pt>
                <c:pt idx="213">
                  <c:v>71.002234099999995</c:v>
                </c:pt>
                <c:pt idx="214">
                  <c:v>71.1500573</c:v>
                </c:pt>
                <c:pt idx="215">
                  <c:v>70.975253499999994</c:v>
                </c:pt>
                <c:pt idx="216">
                  <c:v>70.868806699999993</c:v>
                </c:pt>
                <c:pt idx="217">
                  <c:v>70.815193800000003</c:v>
                </c:pt>
                <c:pt idx="218">
                  <c:v>70.862877900000001</c:v>
                </c:pt>
                <c:pt idx="219">
                  <c:v>71.116106400000007</c:v>
                </c:pt>
                <c:pt idx="220">
                  <c:v>70.868030899999994</c:v>
                </c:pt>
                <c:pt idx="221">
                  <c:v>70.144033800000003</c:v>
                </c:pt>
                <c:pt idx="222">
                  <c:v>69.392660699999993</c:v>
                </c:pt>
                <c:pt idx="223">
                  <c:v>69.724216499999997</c:v>
                </c:pt>
                <c:pt idx="224">
                  <c:v>70.829778899999994</c:v>
                </c:pt>
                <c:pt idx="225">
                  <c:v>70.934784399999998</c:v>
                </c:pt>
                <c:pt idx="226">
                  <c:v>70.554744299999996</c:v>
                </c:pt>
                <c:pt idx="227">
                  <c:v>70.827071200000006</c:v>
                </c:pt>
                <c:pt idx="228">
                  <c:v>70.815890300000007</c:v>
                </c:pt>
                <c:pt idx="229">
                  <c:v>70.859617999999998</c:v>
                </c:pt>
                <c:pt idx="230">
                  <c:v>71.272854600000002</c:v>
                </c:pt>
                <c:pt idx="231">
                  <c:v>71.302639900000003</c:v>
                </c:pt>
                <c:pt idx="232">
                  <c:v>71.008418899999995</c:v>
                </c:pt>
                <c:pt idx="233">
                  <c:v>71.168079199999994</c:v>
                </c:pt>
                <c:pt idx="234">
                  <c:v>71.171779099999995</c:v>
                </c:pt>
                <c:pt idx="235">
                  <c:v>71.115988700000003</c:v>
                </c:pt>
                <c:pt idx="236">
                  <c:v>71.383616200000006</c:v>
                </c:pt>
                <c:pt idx="237">
                  <c:v>71.1728399</c:v>
                </c:pt>
                <c:pt idx="238">
                  <c:v>71.148647600000004</c:v>
                </c:pt>
                <c:pt idx="239">
                  <c:v>71.274716100000006</c:v>
                </c:pt>
                <c:pt idx="240">
                  <c:v>71.077641999999997</c:v>
                </c:pt>
              </c:numCache>
            </c:numRef>
          </c:val>
          <c:smooth val="0"/>
          <c:extLst>
            <c:ext xmlns:c16="http://schemas.microsoft.com/office/drawing/2014/chart" uri="{C3380CC4-5D6E-409C-BE32-E72D297353CC}">
              <c16:uniqueId val="{00000000-531D-4AD3-AE4C-1A9994CFA42F}"/>
            </c:ext>
          </c:extLst>
        </c:ser>
        <c:ser>
          <c:idx val="1"/>
          <c:order val="1"/>
          <c:tx>
            <c:strRef>
              <c:f>'PR chart'!$C$2</c:f>
              <c:strCache>
                <c:ptCount val="1"/>
                <c:pt idx="0">
                  <c:v>Female</c:v>
                </c:pt>
              </c:strCache>
            </c:strRef>
          </c:tx>
          <c:marker>
            <c:symbol val="none"/>
          </c:marker>
          <c:cat>
            <c:numRef>
              <c:f>'PR chart'!$A$3:$A$243</c:f>
              <c:numCache>
                <c:formatCode>mmm\-yy</c:formatCode>
                <c:ptCount val="241"/>
                <c:pt idx="0">
                  <c:v>37681</c:v>
                </c:pt>
                <c:pt idx="1">
                  <c:v>37712</c:v>
                </c:pt>
                <c:pt idx="2">
                  <c:v>37742</c:v>
                </c:pt>
                <c:pt idx="3">
                  <c:v>37773</c:v>
                </c:pt>
                <c:pt idx="4">
                  <c:v>37803</c:v>
                </c:pt>
                <c:pt idx="5">
                  <c:v>37834</c:v>
                </c:pt>
                <c:pt idx="6">
                  <c:v>37865</c:v>
                </c:pt>
                <c:pt idx="7">
                  <c:v>37895</c:v>
                </c:pt>
                <c:pt idx="8">
                  <c:v>37926</c:v>
                </c:pt>
                <c:pt idx="9">
                  <c:v>37956</c:v>
                </c:pt>
                <c:pt idx="10">
                  <c:v>37987</c:v>
                </c:pt>
                <c:pt idx="11">
                  <c:v>38018</c:v>
                </c:pt>
                <c:pt idx="12">
                  <c:v>38047</c:v>
                </c:pt>
                <c:pt idx="13">
                  <c:v>38078</c:v>
                </c:pt>
                <c:pt idx="14">
                  <c:v>38108</c:v>
                </c:pt>
                <c:pt idx="15">
                  <c:v>38139</c:v>
                </c:pt>
                <c:pt idx="16">
                  <c:v>38169</c:v>
                </c:pt>
                <c:pt idx="17">
                  <c:v>38200</c:v>
                </c:pt>
                <c:pt idx="18">
                  <c:v>38231</c:v>
                </c:pt>
                <c:pt idx="19">
                  <c:v>38261</c:v>
                </c:pt>
                <c:pt idx="20">
                  <c:v>38292</c:v>
                </c:pt>
                <c:pt idx="21">
                  <c:v>38322</c:v>
                </c:pt>
                <c:pt idx="22">
                  <c:v>38353</c:v>
                </c:pt>
                <c:pt idx="23">
                  <c:v>38384</c:v>
                </c:pt>
                <c:pt idx="24">
                  <c:v>38412</c:v>
                </c:pt>
                <c:pt idx="25">
                  <c:v>38443</c:v>
                </c:pt>
                <c:pt idx="26">
                  <c:v>38473</c:v>
                </c:pt>
                <c:pt idx="27">
                  <c:v>38504</c:v>
                </c:pt>
                <c:pt idx="28">
                  <c:v>38534</c:v>
                </c:pt>
                <c:pt idx="29">
                  <c:v>38565</c:v>
                </c:pt>
                <c:pt idx="30">
                  <c:v>38596</c:v>
                </c:pt>
                <c:pt idx="31">
                  <c:v>38626</c:v>
                </c:pt>
                <c:pt idx="32">
                  <c:v>38657</c:v>
                </c:pt>
                <c:pt idx="33">
                  <c:v>38687</c:v>
                </c:pt>
                <c:pt idx="34">
                  <c:v>38718</c:v>
                </c:pt>
                <c:pt idx="35">
                  <c:v>38749</c:v>
                </c:pt>
                <c:pt idx="36">
                  <c:v>38777</c:v>
                </c:pt>
                <c:pt idx="37">
                  <c:v>38808</c:v>
                </c:pt>
                <c:pt idx="38">
                  <c:v>38838</c:v>
                </c:pt>
                <c:pt idx="39">
                  <c:v>38869</c:v>
                </c:pt>
                <c:pt idx="40">
                  <c:v>38899</c:v>
                </c:pt>
                <c:pt idx="41">
                  <c:v>38930</c:v>
                </c:pt>
                <c:pt idx="42">
                  <c:v>38961</c:v>
                </c:pt>
                <c:pt idx="43">
                  <c:v>38991</c:v>
                </c:pt>
                <c:pt idx="44">
                  <c:v>39022</c:v>
                </c:pt>
                <c:pt idx="45">
                  <c:v>39052</c:v>
                </c:pt>
                <c:pt idx="46">
                  <c:v>39083</c:v>
                </c:pt>
                <c:pt idx="47">
                  <c:v>39114</c:v>
                </c:pt>
                <c:pt idx="48">
                  <c:v>39142</c:v>
                </c:pt>
                <c:pt idx="49">
                  <c:v>39173</c:v>
                </c:pt>
                <c:pt idx="50">
                  <c:v>39203</c:v>
                </c:pt>
                <c:pt idx="51">
                  <c:v>39234</c:v>
                </c:pt>
                <c:pt idx="52">
                  <c:v>39264</c:v>
                </c:pt>
                <c:pt idx="53">
                  <c:v>39295</c:v>
                </c:pt>
                <c:pt idx="54">
                  <c:v>39326</c:v>
                </c:pt>
                <c:pt idx="55">
                  <c:v>39356</c:v>
                </c:pt>
                <c:pt idx="56">
                  <c:v>39387</c:v>
                </c:pt>
                <c:pt idx="57">
                  <c:v>39417</c:v>
                </c:pt>
                <c:pt idx="58">
                  <c:v>39448</c:v>
                </c:pt>
                <c:pt idx="59">
                  <c:v>39479</c:v>
                </c:pt>
                <c:pt idx="60">
                  <c:v>39508</c:v>
                </c:pt>
                <c:pt idx="61">
                  <c:v>39539</c:v>
                </c:pt>
                <c:pt idx="62">
                  <c:v>39569</c:v>
                </c:pt>
                <c:pt idx="63">
                  <c:v>39600</c:v>
                </c:pt>
                <c:pt idx="64">
                  <c:v>39630</c:v>
                </c:pt>
                <c:pt idx="65">
                  <c:v>39661</c:v>
                </c:pt>
                <c:pt idx="66">
                  <c:v>39692</c:v>
                </c:pt>
                <c:pt idx="67">
                  <c:v>39722</c:v>
                </c:pt>
                <c:pt idx="68">
                  <c:v>39753</c:v>
                </c:pt>
                <c:pt idx="69">
                  <c:v>39783</c:v>
                </c:pt>
                <c:pt idx="70">
                  <c:v>39814</c:v>
                </c:pt>
                <c:pt idx="71">
                  <c:v>39845</c:v>
                </c:pt>
                <c:pt idx="72">
                  <c:v>39873</c:v>
                </c:pt>
                <c:pt idx="73">
                  <c:v>39904</c:v>
                </c:pt>
                <c:pt idx="74">
                  <c:v>39934</c:v>
                </c:pt>
                <c:pt idx="75">
                  <c:v>39965</c:v>
                </c:pt>
                <c:pt idx="76">
                  <c:v>39995</c:v>
                </c:pt>
                <c:pt idx="77">
                  <c:v>40026</c:v>
                </c:pt>
                <c:pt idx="78">
                  <c:v>40057</c:v>
                </c:pt>
                <c:pt idx="79">
                  <c:v>40087</c:v>
                </c:pt>
                <c:pt idx="80">
                  <c:v>40118</c:v>
                </c:pt>
                <c:pt idx="81">
                  <c:v>40148</c:v>
                </c:pt>
                <c:pt idx="82">
                  <c:v>40179</c:v>
                </c:pt>
                <c:pt idx="83">
                  <c:v>40210</c:v>
                </c:pt>
                <c:pt idx="84">
                  <c:v>40238</c:v>
                </c:pt>
                <c:pt idx="85">
                  <c:v>40269</c:v>
                </c:pt>
                <c:pt idx="86">
                  <c:v>40299</c:v>
                </c:pt>
                <c:pt idx="87">
                  <c:v>40330</c:v>
                </c:pt>
                <c:pt idx="88">
                  <c:v>40360</c:v>
                </c:pt>
                <c:pt idx="89">
                  <c:v>40391</c:v>
                </c:pt>
                <c:pt idx="90">
                  <c:v>40422</c:v>
                </c:pt>
                <c:pt idx="91">
                  <c:v>40452</c:v>
                </c:pt>
                <c:pt idx="92">
                  <c:v>40483</c:v>
                </c:pt>
                <c:pt idx="93">
                  <c:v>40513</c:v>
                </c:pt>
                <c:pt idx="94">
                  <c:v>40544</c:v>
                </c:pt>
                <c:pt idx="95">
                  <c:v>40575</c:v>
                </c:pt>
                <c:pt idx="96">
                  <c:v>40603</c:v>
                </c:pt>
                <c:pt idx="97">
                  <c:v>40634</c:v>
                </c:pt>
                <c:pt idx="98">
                  <c:v>40664</c:v>
                </c:pt>
                <c:pt idx="99">
                  <c:v>40695</c:v>
                </c:pt>
                <c:pt idx="100">
                  <c:v>40725</c:v>
                </c:pt>
                <c:pt idx="101">
                  <c:v>40756</c:v>
                </c:pt>
                <c:pt idx="102">
                  <c:v>40787</c:v>
                </c:pt>
                <c:pt idx="103">
                  <c:v>40817</c:v>
                </c:pt>
                <c:pt idx="104">
                  <c:v>40848</c:v>
                </c:pt>
                <c:pt idx="105">
                  <c:v>40878</c:v>
                </c:pt>
                <c:pt idx="106">
                  <c:v>40909</c:v>
                </c:pt>
                <c:pt idx="107">
                  <c:v>40940</c:v>
                </c:pt>
                <c:pt idx="108">
                  <c:v>40969</c:v>
                </c:pt>
                <c:pt idx="109">
                  <c:v>41000</c:v>
                </c:pt>
                <c:pt idx="110">
                  <c:v>41030</c:v>
                </c:pt>
                <c:pt idx="111">
                  <c:v>41061</c:v>
                </c:pt>
                <c:pt idx="112">
                  <c:v>41091</c:v>
                </c:pt>
                <c:pt idx="113">
                  <c:v>41122</c:v>
                </c:pt>
                <c:pt idx="114">
                  <c:v>41153</c:v>
                </c:pt>
                <c:pt idx="115">
                  <c:v>41183</c:v>
                </c:pt>
                <c:pt idx="116">
                  <c:v>41214</c:v>
                </c:pt>
                <c:pt idx="117">
                  <c:v>41244</c:v>
                </c:pt>
                <c:pt idx="118">
                  <c:v>41275</c:v>
                </c:pt>
                <c:pt idx="119">
                  <c:v>41306</c:v>
                </c:pt>
                <c:pt idx="120">
                  <c:v>41334</c:v>
                </c:pt>
                <c:pt idx="121">
                  <c:v>41365</c:v>
                </c:pt>
                <c:pt idx="122">
                  <c:v>41395</c:v>
                </c:pt>
                <c:pt idx="123">
                  <c:v>41426</c:v>
                </c:pt>
                <c:pt idx="124">
                  <c:v>41456</c:v>
                </c:pt>
                <c:pt idx="125">
                  <c:v>41487</c:v>
                </c:pt>
                <c:pt idx="126">
                  <c:v>41518</c:v>
                </c:pt>
                <c:pt idx="127">
                  <c:v>41548</c:v>
                </c:pt>
                <c:pt idx="128">
                  <c:v>41579</c:v>
                </c:pt>
                <c:pt idx="129">
                  <c:v>41609</c:v>
                </c:pt>
                <c:pt idx="130">
                  <c:v>41640</c:v>
                </c:pt>
                <c:pt idx="131">
                  <c:v>41671</c:v>
                </c:pt>
                <c:pt idx="132">
                  <c:v>41699</c:v>
                </c:pt>
                <c:pt idx="133">
                  <c:v>41730</c:v>
                </c:pt>
                <c:pt idx="134">
                  <c:v>41760</c:v>
                </c:pt>
                <c:pt idx="135">
                  <c:v>41791</c:v>
                </c:pt>
                <c:pt idx="136">
                  <c:v>41821</c:v>
                </c:pt>
                <c:pt idx="137">
                  <c:v>41852</c:v>
                </c:pt>
                <c:pt idx="138">
                  <c:v>41883</c:v>
                </c:pt>
                <c:pt idx="139">
                  <c:v>41913</c:v>
                </c:pt>
                <c:pt idx="140">
                  <c:v>41944</c:v>
                </c:pt>
                <c:pt idx="141">
                  <c:v>41974</c:v>
                </c:pt>
                <c:pt idx="142">
                  <c:v>42005</c:v>
                </c:pt>
                <c:pt idx="143">
                  <c:v>42036</c:v>
                </c:pt>
                <c:pt idx="144">
                  <c:v>42064</c:v>
                </c:pt>
                <c:pt idx="145">
                  <c:v>42095</c:v>
                </c:pt>
                <c:pt idx="146">
                  <c:v>42125</c:v>
                </c:pt>
                <c:pt idx="147">
                  <c:v>42156</c:v>
                </c:pt>
                <c:pt idx="148">
                  <c:v>42186</c:v>
                </c:pt>
                <c:pt idx="149">
                  <c:v>42217</c:v>
                </c:pt>
                <c:pt idx="150">
                  <c:v>42248</c:v>
                </c:pt>
                <c:pt idx="151">
                  <c:v>42278</c:v>
                </c:pt>
                <c:pt idx="152">
                  <c:v>42309</c:v>
                </c:pt>
                <c:pt idx="153">
                  <c:v>42339</c:v>
                </c:pt>
                <c:pt idx="154">
                  <c:v>42370</c:v>
                </c:pt>
                <c:pt idx="155">
                  <c:v>42401</c:v>
                </c:pt>
                <c:pt idx="156">
                  <c:v>42430</c:v>
                </c:pt>
                <c:pt idx="157">
                  <c:v>42461</c:v>
                </c:pt>
                <c:pt idx="158">
                  <c:v>42491</c:v>
                </c:pt>
                <c:pt idx="159">
                  <c:v>42522</c:v>
                </c:pt>
                <c:pt idx="160">
                  <c:v>42552</c:v>
                </c:pt>
                <c:pt idx="161">
                  <c:v>42583</c:v>
                </c:pt>
                <c:pt idx="162">
                  <c:v>42614</c:v>
                </c:pt>
                <c:pt idx="163">
                  <c:v>42644</c:v>
                </c:pt>
                <c:pt idx="164">
                  <c:v>42675</c:v>
                </c:pt>
                <c:pt idx="165">
                  <c:v>42705</c:v>
                </c:pt>
                <c:pt idx="166">
                  <c:v>42736</c:v>
                </c:pt>
                <c:pt idx="167">
                  <c:v>42767</c:v>
                </c:pt>
                <c:pt idx="168">
                  <c:v>42795</c:v>
                </c:pt>
                <c:pt idx="169">
                  <c:v>42826</c:v>
                </c:pt>
                <c:pt idx="170">
                  <c:v>42856</c:v>
                </c:pt>
                <c:pt idx="171">
                  <c:v>42887</c:v>
                </c:pt>
                <c:pt idx="172">
                  <c:v>42917</c:v>
                </c:pt>
                <c:pt idx="173">
                  <c:v>42948</c:v>
                </c:pt>
                <c:pt idx="174">
                  <c:v>42979</c:v>
                </c:pt>
                <c:pt idx="175">
                  <c:v>43009</c:v>
                </c:pt>
                <c:pt idx="176">
                  <c:v>43040</c:v>
                </c:pt>
                <c:pt idx="177">
                  <c:v>43070</c:v>
                </c:pt>
                <c:pt idx="178">
                  <c:v>43101</c:v>
                </c:pt>
                <c:pt idx="179">
                  <c:v>43132</c:v>
                </c:pt>
                <c:pt idx="180">
                  <c:v>43160</c:v>
                </c:pt>
                <c:pt idx="181">
                  <c:v>43191</c:v>
                </c:pt>
                <c:pt idx="182">
                  <c:v>43221</c:v>
                </c:pt>
                <c:pt idx="183">
                  <c:v>43252</c:v>
                </c:pt>
                <c:pt idx="184">
                  <c:v>43282</c:v>
                </c:pt>
                <c:pt idx="185">
                  <c:v>43313</c:v>
                </c:pt>
                <c:pt idx="186">
                  <c:v>43344</c:v>
                </c:pt>
                <c:pt idx="187">
                  <c:v>43374</c:v>
                </c:pt>
                <c:pt idx="188">
                  <c:v>43405</c:v>
                </c:pt>
                <c:pt idx="189">
                  <c:v>43435</c:v>
                </c:pt>
                <c:pt idx="190">
                  <c:v>43466</c:v>
                </c:pt>
                <c:pt idx="191">
                  <c:v>43497</c:v>
                </c:pt>
                <c:pt idx="192">
                  <c:v>43525</c:v>
                </c:pt>
                <c:pt idx="193">
                  <c:v>43556</c:v>
                </c:pt>
                <c:pt idx="194">
                  <c:v>43586</c:v>
                </c:pt>
                <c:pt idx="195">
                  <c:v>43617</c:v>
                </c:pt>
                <c:pt idx="196">
                  <c:v>43647</c:v>
                </c:pt>
                <c:pt idx="197">
                  <c:v>43678</c:v>
                </c:pt>
                <c:pt idx="198">
                  <c:v>43709</c:v>
                </c:pt>
                <c:pt idx="199">
                  <c:v>43739</c:v>
                </c:pt>
                <c:pt idx="200">
                  <c:v>43770</c:v>
                </c:pt>
                <c:pt idx="201">
                  <c:v>43800</c:v>
                </c:pt>
                <c:pt idx="202">
                  <c:v>43831</c:v>
                </c:pt>
                <c:pt idx="203">
                  <c:v>43862</c:v>
                </c:pt>
                <c:pt idx="204">
                  <c:v>43891</c:v>
                </c:pt>
                <c:pt idx="205">
                  <c:v>43922</c:v>
                </c:pt>
                <c:pt idx="206">
                  <c:v>43952</c:v>
                </c:pt>
                <c:pt idx="207">
                  <c:v>43983</c:v>
                </c:pt>
                <c:pt idx="208">
                  <c:v>44013</c:v>
                </c:pt>
                <c:pt idx="209">
                  <c:v>44044</c:v>
                </c:pt>
                <c:pt idx="210">
                  <c:v>44075</c:v>
                </c:pt>
                <c:pt idx="211">
                  <c:v>44105</c:v>
                </c:pt>
                <c:pt idx="212">
                  <c:v>44136</c:v>
                </c:pt>
                <c:pt idx="213">
                  <c:v>44166</c:v>
                </c:pt>
                <c:pt idx="214">
                  <c:v>44197</c:v>
                </c:pt>
                <c:pt idx="215">
                  <c:v>44228</c:v>
                </c:pt>
                <c:pt idx="216">
                  <c:v>44256</c:v>
                </c:pt>
                <c:pt idx="217">
                  <c:v>44287</c:v>
                </c:pt>
                <c:pt idx="218">
                  <c:v>44317</c:v>
                </c:pt>
                <c:pt idx="219">
                  <c:v>44348</c:v>
                </c:pt>
                <c:pt idx="220">
                  <c:v>44378</c:v>
                </c:pt>
                <c:pt idx="221">
                  <c:v>44409</c:v>
                </c:pt>
                <c:pt idx="222">
                  <c:v>44440</c:v>
                </c:pt>
                <c:pt idx="223">
                  <c:v>44470</c:v>
                </c:pt>
                <c:pt idx="224">
                  <c:v>44501</c:v>
                </c:pt>
                <c:pt idx="225">
                  <c:v>44531</c:v>
                </c:pt>
                <c:pt idx="226">
                  <c:v>44562</c:v>
                </c:pt>
                <c:pt idx="227">
                  <c:v>44593</c:v>
                </c:pt>
                <c:pt idx="228">
                  <c:v>44621</c:v>
                </c:pt>
                <c:pt idx="229">
                  <c:v>44652</c:v>
                </c:pt>
                <c:pt idx="230">
                  <c:v>44682</c:v>
                </c:pt>
                <c:pt idx="231">
                  <c:v>44713</c:v>
                </c:pt>
                <c:pt idx="232">
                  <c:v>44743</c:v>
                </c:pt>
                <c:pt idx="233">
                  <c:v>44774</c:v>
                </c:pt>
                <c:pt idx="234">
                  <c:v>44805</c:v>
                </c:pt>
                <c:pt idx="235">
                  <c:v>44835</c:v>
                </c:pt>
                <c:pt idx="236">
                  <c:v>44866</c:v>
                </c:pt>
                <c:pt idx="237">
                  <c:v>44896</c:v>
                </c:pt>
                <c:pt idx="238">
                  <c:v>44927</c:v>
                </c:pt>
                <c:pt idx="239">
                  <c:v>44958</c:v>
                </c:pt>
                <c:pt idx="240">
                  <c:v>44986</c:v>
                </c:pt>
              </c:numCache>
            </c:numRef>
          </c:cat>
          <c:val>
            <c:numRef>
              <c:f>'PR chart'!$C$3:$C$243</c:f>
              <c:numCache>
                <c:formatCode>0.0</c:formatCode>
                <c:ptCount val="241"/>
                <c:pt idx="0">
                  <c:v>55.995012500000001</c:v>
                </c:pt>
                <c:pt idx="1">
                  <c:v>55.950620899999997</c:v>
                </c:pt>
                <c:pt idx="2">
                  <c:v>56.1552334</c:v>
                </c:pt>
                <c:pt idx="3">
                  <c:v>55.830975700000003</c:v>
                </c:pt>
                <c:pt idx="4">
                  <c:v>55.736673699999997</c:v>
                </c:pt>
                <c:pt idx="5">
                  <c:v>55.812323599999999</c:v>
                </c:pt>
                <c:pt idx="6">
                  <c:v>55.7631023</c:v>
                </c:pt>
                <c:pt idx="7">
                  <c:v>55.691752200000003</c:v>
                </c:pt>
                <c:pt idx="8">
                  <c:v>55.596367299999997</c:v>
                </c:pt>
                <c:pt idx="9">
                  <c:v>55.5792188</c:v>
                </c:pt>
                <c:pt idx="10">
                  <c:v>55.312902600000001</c:v>
                </c:pt>
                <c:pt idx="11">
                  <c:v>55.352570499999999</c:v>
                </c:pt>
                <c:pt idx="12">
                  <c:v>55.499638099999999</c:v>
                </c:pt>
                <c:pt idx="13">
                  <c:v>55.520530800000003</c:v>
                </c:pt>
                <c:pt idx="14">
                  <c:v>55.455556100000003</c:v>
                </c:pt>
                <c:pt idx="15">
                  <c:v>55.461227000000001</c:v>
                </c:pt>
                <c:pt idx="16">
                  <c:v>55.681114999999998</c:v>
                </c:pt>
                <c:pt idx="17">
                  <c:v>55.713460300000001</c:v>
                </c:pt>
                <c:pt idx="18">
                  <c:v>55.726868600000003</c:v>
                </c:pt>
                <c:pt idx="19">
                  <c:v>56.040311099999997</c:v>
                </c:pt>
                <c:pt idx="20">
                  <c:v>56.186958799999999</c:v>
                </c:pt>
                <c:pt idx="21">
                  <c:v>56.212626399999998</c:v>
                </c:pt>
                <c:pt idx="22">
                  <c:v>56.455767799999997</c:v>
                </c:pt>
                <c:pt idx="23">
                  <c:v>56.663938700000003</c:v>
                </c:pt>
                <c:pt idx="24">
                  <c:v>56.9368932</c:v>
                </c:pt>
                <c:pt idx="25">
                  <c:v>56.9352254</c:v>
                </c:pt>
                <c:pt idx="26">
                  <c:v>56.828965199999999</c:v>
                </c:pt>
                <c:pt idx="27">
                  <c:v>56.973887400000002</c:v>
                </c:pt>
                <c:pt idx="28">
                  <c:v>57.144644999999997</c:v>
                </c:pt>
                <c:pt idx="29">
                  <c:v>57.110567099999997</c:v>
                </c:pt>
                <c:pt idx="30">
                  <c:v>57.059097199999997</c:v>
                </c:pt>
                <c:pt idx="31">
                  <c:v>57.138625300000001</c:v>
                </c:pt>
                <c:pt idx="32">
                  <c:v>56.999775800000002</c:v>
                </c:pt>
                <c:pt idx="33">
                  <c:v>57.138611900000001</c:v>
                </c:pt>
                <c:pt idx="34">
                  <c:v>57.178029100000003</c:v>
                </c:pt>
                <c:pt idx="35">
                  <c:v>57.117103</c:v>
                </c:pt>
                <c:pt idx="36">
                  <c:v>57.106803800000002</c:v>
                </c:pt>
                <c:pt idx="37">
                  <c:v>57.289447600000003</c:v>
                </c:pt>
                <c:pt idx="38">
                  <c:v>57.4465158</c:v>
                </c:pt>
                <c:pt idx="39">
                  <c:v>57.5950998</c:v>
                </c:pt>
                <c:pt idx="40">
                  <c:v>57.663693799999997</c:v>
                </c:pt>
                <c:pt idx="41">
                  <c:v>57.755394199999998</c:v>
                </c:pt>
                <c:pt idx="42">
                  <c:v>57.891133099999998</c:v>
                </c:pt>
                <c:pt idx="43">
                  <c:v>57.478058099999998</c:v>
                </c:pt>
                <c:pt idx="44">
                  <c:v>57.660589399999999</c:v>
                </c:pt>
                <c:pt idx="45">
                  <c:v>57.963587699999998</c:v>
                </c:pt>
                <c:pt idx="46">
                  <c:v>57.797164500000001</c:v>
                </c:pt>
                <c:pt idx="47">
                  <c:v>57.9688084</c:v>
                </c:pt>
                <c:pt idx="48">
                  <c:v>57.788578800000003</c:v>
                </c:pt>
                <c:pt idx="49">
                  <c:v>57.8289331</c:v>
                </c:pt>
                <c:pt idx="50">
                  <c:v>57.918605800000002</c:v>
                </c:pt>
                <c:pt idx="51">
                  <c:v>57.871914400000001</c:v>
                </c:pt>
                <c:pt idx="52">
                  <c:v>57.998581299999998</c:v>
                </c:pt>
                <c:pt idx="53">
                  <c:v>58.139405799999999</c:v>
                </c:pt>
                <c:pt idx="54">
                  <c:v>58.309308199999997</c:v>
                </c:pt>
                <c:pt idx="55">
                  <c:v>58.3294347</c:v>
                </c:pt>
                <c:pt idx="56">
                  <c:v>58.475740299999998</c:v>
                </c:pt>
                <c:pt idx="57">
                  <c:v>58.394047299999997</c:v>
                </c:pt>
                <c:pt idx="58">
                  <c:v>58.457125699999999</c:v>
                </c:pt>
                <c:pt idx="59">
                  <c:v>58.362934500000001</c:v>
                </c:pt>
                <c:pt idx="60">
                  <c:v>58.362517199999999</c:v>
                </c:pt>
                <c:pt idx="61">
                  <c:v>58.817315800000003</c:v>
                </c:pt>
                <c:pt idx="62">
                  <c:v>58.4506272</c:v>
                </c:pt>
                <c:pt idx="63">
                  <c:v>58.520036300000001</c:v>
                </c:pt>
                <c:pt idx="64">
                  <c:v>58.801971899999998</c:v>
                </c:pt>
                <c:pt idx="65">
                  <c:v>58.683681499999999</c:v>
                </c:pt>
                <c:pt idx="66">
                  <c:v>58.510573600000001</c:v>
                </c:pt>
                <c:pt idx="67">
                  <c:v>58.545953500000003</c:v>
                </c:pt>
                <c:pt idx="68">
                  <c:v>58.613818899999998</c:v>
                </c:pt>
                <c:pt idx="69">
                  <c:v>58.504970900000004</c:v>
                </c:pt>
                <c:pt idx="70">
                  <c:v>58.777664299999998</c:v>
                </c:pt>
                <c:pt idx="71">
                  <c:v>59.186798400000001</c:v>
                </c:pt>
                <c:pt idx="72">
                  <c:v>59.079983499999997</c:v>
                </c:pt>
                <c:pt idx="73">
                  <c:v>58.930815699999997</c:v>
                </c:pt>
                <c:pt idx="74">
                  <c:v>58.902005299999999</c:v>
                </c:pt>
                <c:pt idx="75">
                  <c:v>58.728852600000003</c:v>
                </c:pt>
                <c:pt idx="76">
                  <c:v>58.717377900000002</c:v>
                </c:pt>
                <c:pt idx="77">
                  <c:v>58.515128799999999</c:v>
                </c:pt>
                <c:pt idx="78">
                  <c:v>58.4967665</c:v>
                </c:pt>
                <c:pt idx="79">
                  <c:v>58.5234837</c:v>
                </c:pt>
                <c:pt idx="80">
                  <c:v>58.6066182</c:v>
                </c:pt>
                <c:pt idx="81">
                  <c:v>58.590237700000003</c:v>
                </c:pt>
                <c:pt idx="82">
                  <c:v>58.576920700000002</c:v>
                </c:pt>
                <c:pt idx="83">
                  <c:v>58.295187900000002</c:v>
                </c:pt>
                <c:pt idx="84">
                  <c:v>58.418911600000001</c:v>
                </c:pt>
                <c:pt idx="85">
                  <c:v>58.417955200000002</c:v>
                </c:pt>
                <c:pt idx="86">
                  <c:v>58.258336100000001</c:v>
                </c:pt>
                <c:pt idx="87">
                  <c:v>58.454081100000003</c:v>
                </c:pt>
                <c:pt idx="88">
                  <c:v>58.728932999999998</c:v>
                </c:pt>
                <c:pt idx="89">
                  <c:v>58.700358899999998</c:v>
                </c:pt>
                <c:pt idx="90">
                  <c:v>58.672053599999998</c:v>
                </c:pt>
                <c:pt idx="91">
                  <c:v>58.929612900000002</c:v>
                </c:pt>
                <c:pt idx="92">
                  <c:v>59.128810299999998</c:v>
                </c:pt>
                <c:pt idx="93">
                  <c:v>58.840809800000002</c:v>
                </c:pt>
                <c:pt idx="94">
                  <c:v>58.918547099999998</c:v>
                </c:pt>
                <c:pt idx="95">
                  <c:v>58.676320599999997</c:v>
                </c:pt>
                <c:pt idx="96">
                  <c:v>59.045311900000002</c:v>
                </c:pt>
                <c:pt idx="97">
                  <c:v>58.740879</c:v>
                </c:pt>
                <c:pt idx="98">
                  <c:v>58.737404699999999</c:v>
                </c:pt>
                <c:pt idx="99">
                  <c:v>58.909050399999998</c:v>
                </c:pt>
                <c:pt idx="100">
                  <c:v>58.961740200000001</c:v>
                </c:pt>
                <c:pt idx="101">
                  <c:v>58.960177299999998</c:v>
                </c:pt>
                <c:pt idx="102">
                  <c:v>59.082408800000003</c:v>
                </c:pt>
                <c:pt idx="103">
                  <c:v>58.932907499999999</c:v>
                </c:pt>
                <c:pt idx="104">
                  <c:v>58.863181900000001</c:v>
                </c:pt>
                <c:pt idx="105">
                  <c:v>58.595838800000003</c:v>
                </c:pt>
                <c:pt idx="106">
                  <c:v>58.673682100000001</c:v>
                </c:pt>
                <c:pt idx="107">
                  <c:v>58.604447399999998</c:v>
                </c:pt>
                <c:pt idx="108">
                  <c:v>59.0973495</c:v>
                </c:pt>
                <c:pt idx="109">
                  <c:v>58.607680799999997</c:v>
                </c:pt>
                <c:pt idx="110">
                  <c:v>59.1188486</c:v>
                </c:pt>
                <c:pt idx="111">
                  <c:v>58.775582900000003</c:v>
                </c:pt>
                <c:pt idx="112">
                  <c:v>58.798009999999998</c:v>
                </c:pt>
                <c:pt idx="113">
                  <c:v>58.620586600000003</c:v>
                </c:pt>
                <c:pt idx="114">
                  <c:v>59.020060200000003</c:v>
                </c:pt>
                <c:pt idx="115">
                  <c:v>58.798406300000003</c:v>
                </c:pt>
                <c:pt idx="116">
                  <c:v>58.607426099999998</c:v>
                </c:pt>
                <c:pt idx="117">
                  <c:v>58.556187000000001</c:v>
                </c:pt>
                <c:pt idx="118">
                  <c:v>58.8332628</c:v>
                </c:pt>
                <c:pt idx="119">
                  <c:v>58.922501500000003</c:v>
                </c:pt>
                <c:pt idx="120">
                  <c:v>58.815731700000001</c:v>
                </c:pt>
                <c:pt idx="121">
                  <c:v>58.984458199999999</c:v>
                </c:pt>
                <c:pt idx="122">
                  <c:v>58.686886299999998</c:v>
                </c:pt>
                <c:pt idx="123">
                  <c:v>58.734417100000002</c:v>
                </c:pt>
                <c:pt idx="124">
                  <c:v>58.650531800000003</c:v>
                </c:pt>
                <c:pt idx="125">
                  <c:v>58.726947899999999</c:v>
                </c:pt>
                <c:pt idx="126">
                  <c:v>58.688343400000001</c:v>
                </c:pt>
                <c:pt idx="127">
                  <c:v>58.657244599999999</c:v>
                </c:pt>
                <c:pt idx="128">
                  <c:v>58.413869099999999</c:v>
                </c:pt>
                <c:pt idx="129">
                  <c:v>58.210369999999998</c:v>
                </c:pt>
                <c:pt idx="130">
                  <c:v>58.496199300000001</c:v>
                </c:pt>
                <c:pt idx="131">
                  <c:v>58.596035800000003</c:v>
                </c:pt>
                <c:pt idx="132">
                  <c:v>58.7580849</c:v>
                </c:pt>
                <c:pt idx="133">
                  <c:v>58.517227900000002</c:v>
                </c:pt>
                <c:pt idx="134">
                  <c:v>58.633661199999999</c:v>
                </c:pt>
                <c:pt idx="135">
                  <c:v>58.664520500000002</c:v>
                </c:pt>
                <c:pt idx="136">
                  <c:v>58.7299395</c:v>
                </c:pt>
                <c:pt idx="137">
                  <c:v>58.613151100000003</c:v>
                </c:pt>
                <c:pt idx="138">
                  <c:v>58.780017399999998</c:v>
                </c:pt>
                <c:pt idx="139">
                  <c:v>58.658221500000003</c:v>
                </c:pt>
                <c:pt idx="140">
                  <c:v>58.214750600000002</c:v>
                </c:pt>
                <c:pt idx="141">
                  <c:v>58.614184899999998</c:v>
                </c:pt>
                <c:pt idx="142">
                  <c:v>58.608639199999999</c:v>
                </c:pt>
                <c:pt idx="143">
                  <c:v>58.770946500000001</c:v>
                </c:pt>
                <c:pt idx="144">
                  <c:v>58.651321099999997</c:v>
                </c:pt>
                <c:pt idx="145">
                  <c:v>58.718504000000003</c:v>
                </c:pt>
                <c:pt idx="146">
                  <c:v>58.873389600000003</c:v>
                </c:pt>
                <c:pt idx="147">
                  <c:v>58.949546900000001</c:v>
                </c:pt>
                <c:pt idx="148">
                  <c:v>59.329217700000001</c:v>
                </c:pt>
                <c:pt idx="149">
                  <c:v>59.128220200000001</c:v>
                </c:pt>
                <c:pt idx="150">
                  <c:v>59.2311683</c:v>
                </c:pt>
                <c:pt idx="151">
                  <c:v>59.421810700000002</c:v>
                </c:pt>
                <c:pt idx="152">
                  <c:v>59.723297000000002</c:v>
                </c:pt>
                <c:pt idx="153">
                  <c:v>59.535707700000003</c:v>
                </c:pt>
                <c:pt idx="154">
                  <c:v>59.380968000000003</c:v>
                </c:pt>
                <c:pt idx="155">
                  <c:v>59.420192</c:v>
                </c:pt>
                <c:pt idx="156">
                  <c:v>59.310662200000003</c:v>
                </c:pt>
                <c:pt idx="157">
                  <c:v>59.450290299999999</c:v>
                </c:pt>
                <c:pt idx="158">
                  <c:v>59.281584799999997</c:v>
                </c:pt>
                <c:pt idx="159">
                  <c:v>59.569837499999998</c:v>
                </c:pt>
                <c:pt idx="160">
                  <c:v>59.494679099999999</c:v>
                </c:pt>
                <c:pt idx="161">
                  <c:v>59.0899827</c:v>
                </c:pt>
                <c:pt idx="162">
                  <c:v>59.124290000000002</c:v>
                </c:pt>
                <c:pt idx="163">
                  <c:v>59.030845499999998</c:v>
                </c:pt>
                <c:pt idx="164">
                  <c:v>59.306562399999997</c:v>
                </c:pt>
                <c:pt idx="165">
                  <c:v>59.2689083</c:v>
                </c:pt>
                <c:pt idx="166">
                  <c:v>59.366577300000003</c:v>
                </c:pt>
                <c:pt idx="167">
                  <c:v>59.166623199999997</c:v>
                </c:pt>
                <c:pt idx="168">
                  <c:v>59.535854800000003</c:v>
                </c:pt>
                <c:pt idx="169">
                  <c:v>59.4512109</c:v>
                </c:pt>
                <c:pt idx="170">
                  <c:v>59.508374000000003</c:v>
                </c:pt>
                <c:pt idx="171">
                  <c:v>59.819604900000002</c:v>
                </c:pt>
                <c:pt idx="172">
                  <c:v>59.706643</c:v>
                </c:pt>
                <c:pt idx="173">
                  <c:v>60.008655900000001</c:v>
                </c:pt>
                <c:pt idx="174">
                  <c:v>60.126966199999998</c:v>
                </c:pt>
                <c:pt idx="175">
                  <c:v>60.107304599999999</c:v>
                </c:pt>
                <c:pt idx="176">
                  <c:v>60.292948299999999</c:v>
                </c:pt>
                <c:pt idx="177">
                  <c:v>60.633684500000001</c:v>
                </c:pt>
                <c:pt idx="178">
                  <c:v>60.556771099999999</c:v>
                </c:pt>
                <c:pt idx="179">
                  <c:v>60.507726400000003</c:v>
                </c:pt>
                <c:pt idx="180">
                  <c:v>60.549100699999997</c:v>
                </c:pt>
                <c:pt idx="181">
                  <c:v>60.498682899999999</c:v>
                </c:pt>
                <c:pt idx="182">
                  <c:v>60.298813299999999</c:v>
                </c:pt>
                <c:pt idx="183">
                  <c:v>60.561129299999997</c:v>
                </c:pt>
                <c:pt idx="184">
                  <c:v>60.241651599999997</c:v>
                </c:pt>
                <c:pt idx="185">
                  <c:v>60.395515199999998</c:v>
                </c:pt>
                <c:pt idx="186">
                  <c:v>60.337916300000003</c:v>
                </c:pt>
                <c:pt idx="187">
                  <c:v>60.384362000000003</c:v>
                </c:pt>
                <c:pt idx="188">
                  <c:v>60.4978391</c:v>
                </c:pt>
                <c:pt idx="189">
                  <c:v>60.500054300000002</c:v>
                </c:pt>
                <c:pt idx="190">
                  <c:v>60.673339599999998</c:v>
                </c:pt>
                <c:pt idx="191">
                  <c:v>60.4927694</c:v>
                </c:pt>
                <c:pt idx="192">
                  <c:v>60.579357199999997</c:v>
                </c:pt>
                <c:pt idx="193">
                  <c:v>61.0182912</c:v>
                </c:pt>
                <c:pt idx="194">
                  <c:v>60.645859199999997</c:v>
                </c:pt>
                <c:pt idx="195">
                  <c:v>60.8474626</c:v>
                </c:pt>
                <c:pt idx="196">
                  <c:v>60.902338200000003</c:v>
                </c:pt>
                <c:pt idx="197">
                  <c:v>61.158965199999997</c:v>
                </c:pt>
                <c:pt idx="198">
                  <c:v>61.270054999999999</c:v>
                </c:pt>
                <c:pt idx="199">
                  <c:v>61.141328299999998</c:v>
                </c:pt>
                <c:pt idx="200">
                  <c:v>61.096640399999998</c:v>
                </c:pt>
                <c:pt idx="201">
                  <c:v>61.126378899999999</c:v>
                </c:pt>
                <c:pt idx="202">
                  <c:v>61.515081799999997</c:v>
                </c:pt>
                <c:pt idx="203">
                  <c:v>61.093060700000002</c:v>
                </c:pt>
                <c:pt idx="204">
                  <c:v>61.097012200000002</c:v>
                </c:pt>
                <c:pt idx="205">
                  <c:v>58.469899400000003</c:v>
                </c:pt>
                <c:pt idx="206">
                  <c:v>57.369377299999996</c:v>
                </c:pt>
                <c:pt idx="207">
                  <c:v>59.073605999999998</c:v>
                </c:pt>
                <c:pt idx="208">
                  <c:v>59.7473004</c:v>
                </c:pt>
                <c:pt idx="209">
                  <c:v>60.165265300000002</c:v>
                </c:pt>
                <c:pt idx="210">
                  <c:v>60.159569400000002</c:v>
                </c:pt>
                <c:pt idx="211">
                  <c:v>60.830028800000001</c:v>
                </c:pt>
                <c:pt idx="212">
                  <c:v>61.238026300000001</c:v>
                </c:pt>
                <c:pt idx="213">
                  <c:v>61.340741999999999</c:v>
                </c:pt>
                <c:pt idx="214">
                  <c:v>61.138792700000003</c:v>
                </c:pt>
                <c:pt idx="215">
                  <c:v>61.249791199999997</c:v>
                </c:pt>
                <c:pt idx="216">
                  <c:v>61.685680900000001</c:v>
                </c:pt>
                <c:pt idx="217">
                  <c:v>61.261327899999998</c:v>
                </c:pt>
                <c:pt idx="218">
                  <c:v>61.579914100000003</c:v>
                </c:pt>
                <c:pt idx="219">
                  <c:v>61.465354300000001</c:v>
                </c:pt>
                <c:pt idx="220">
                  <c:v>61.290307800000001</c:v>
                </c:pt>
                <c:pt idx="221">
                  <c:v>60.4919139</c:v>
                </c:pt>
                <c:pt idx="222">
                  <c:v>60.080834400000001</c:v>
                </c:pt>
                <c:pt idx="223">
                  <c:v>60.006258899999999</c:v>
                </c:pt>
                <c:pt idx="224">
                  <c:v>61.6188942</c:v>
                </c:pt>
                <c:pt idx="225">
                  <c:v>61.627997399999998</c:v>
                </c:pt>
                <c:pt idx="226">
                  <c:v>62.130820399999998</c:v>
                </c:pt>
                <c:pt idx="227">
                  <c:v>62.296342500000002</c:v>
                </c:pt>
                <c:pt idx="228">
                  <c:v>62.105477899999997</c:v>
                </c:pt>
                <c:pt idx="229">
                  <c:v>62.195947599999997</c:v>
                </c:pt>
                <c:pt idx="230">
                  <c:v>62.241225100000001</c:v>
                </c:pt>
                <c:pt idx="231">
                  <c:v>62.448730900000001</c:v>
                </c:pt>
                <c:pt idx="232">
                  <c:v>62.159123000000001</c:v>
                </c:pt>
                <c:pt idx="233">
                  <c:v>62.341940600000001</c:v>
                </c:pt>
                <c:pt idx="234">
                  <c:v>62.296869600000001</c:v>
                </c:pt>
                <c:pt idx="235">
                  <c:v>62.3067305</c:v>
                </c:pt>
                <c:pt idx="236">
                  <c:v>62.429304000000002</c:v>
                </c:pt>
                <c:pt idx="237">
                  <c:v>62.320973100000003</c:v>
                </c:pt>
                <c:pt idx="238">
                  <c:v>62.154493000000002</c:v>
                </c:pt>
                <c:pt idx="239">
                  <c:v>62.178546799999999</c:v>
                </c:pt>
                <c:pt idx="240">
                  <c:v>62.548293999999999</c:v>
                </c:pt>
              </c:numCache>
            </c:numRef>
          </c:val>
          <c:smooth val="0"/>
          <c:extLst>
            <c:ext xmlns:c16="http://schemas.microsoft.com/office/drawing/2014/chart" uri="{C3380CC4-5D6E-409C-BE32-E72D297353CC}">
              <c16:uniqueId val="{00000001-531D-4AD3-AE4C-1A9994CFA42F}"/>
            </c:ext>
          </c:extLst>
        </c:ser>
        <c:ser>
          <c:idx val="2"/>
          <c:order val="2"/>
          <c:tx>
            <c:strRef>
              <c:f>'PR chart'!$D$2</c:f>
              <c:strCache>
                <c:ptCount val="1"/>
                <c:pt idx="0">
                  <c:v>Total</c:v>
                </c:pt>
              </c:strCache>
            </c:strRef>
          </c:tx>
          <c:spPr>
            <a:ln>
              <a:prstDash val="sysDash"/>
            </a:ln>
          </c:spPr>
          <c:marker>
            <c:symbol val="none"/>
          </c:marker>
          <c:cat>
            <c:numRef>
              <c:f>'PR chart'!$A$3:$A$243</c:f>
              <c:numCache>
                <c:formatCode>mmm\-yy</c:formatCode>
                <c:ptCount val="241"/>
                <c:pt idx="0">
                  <c:v>37681</c:v>
                </c:pt>
                <c:pt idx="1">
                  <c:v>37712</c:v>
                </c:pt>
                <c:pt idx="2">
                  <c:v>37742</c:v>
                </c:pt>
                <c:pt idx="3">
                  <c:v>37773</c:v>
                </c:pt>
                <c:pt idx="4">
                  <c:v>37803</c:v>
                </c:pt>
                <c:pt idx="5">
                  <c:v>37834</c:v>
                </c:pt>
                <c:pt idx="6">
                  <c:v>37865</c:v>
                </c:pt>
                <c:pt idx="7">
                  <c:v>37895</c:v>
                </c:pt>
                <c:pt idx="8">
                  <c:v>37926</c:v>
                </c:pt>
                <c:pt idx="9">
                  <c:v>37956</c:v>
                </c:pt>
                <c:pt idx="10">
                  <c:v>37987</c:v>
                </c:pt>
                <c:pt idx="11">
                  <c:v>38018</c:v>
                </c:pt>
                <c:pt idx="12">
                  <c:v>38047</c:v>
                </c:pt>
                <c:pt idx="13">
                  <c:v>38078</c:v>
                </c:pt>
                <c:pt idx="14">
                  <c:v>38108</c:v>
                </c:pt>
                <c:pt idx="15">
                  <c:v>38139</c:v>
                </c:pt>
                <c:pt idx="16">
                  <c:v>38169</c:v>
                </c:pt>
                <c:pt idx="17">
                  <c:v>38200</c:v>
                </c:pt>
                <c:pt idx="18">
                  <c:v>38231</c:v>
                </c:pt>
                <c:pt idx="19">
                  <c:v>38261</c:v>
                </c:pt>
                <c:pt idx="20">
                  <c:v>38292</c:v>
                </c:pt>
                <c:pt idx="21">
                  <c:v>38322</c:v>
                </c:pt>
                <c:pt idx="22">
                  <c:v>38353</c:v>
                </c:pt>
                <c:pt idx="23">
                  <c:v>38384</c:v>
                </c:pt>
                <c:pt idx="24">
                  <c:v>38412</c:v>
                </c:pt>
                <c:pt idx="25">
                  <c:v>38443</c:v>
                </c:pt>
                <c:pt idx="26">
                  <c:v>38473</c:v>
                </c:pt>
                <c:pt idx="27">
                  <c:v>38504</c:v>
                </c:pt>
                <c:pt idx="28">
                  <c:v>38534</c:v>
                </c:pt>
                <c:pt idx="29">
                  <c:v>38565</c:v>
                </c:pt>
                <c:pt idx="30">
                  <c:v>38596</c:v>
                </c:pt>
                <c:pt idx="31">
                  <c:v>38626</c:v>
                </c:pt>
                <c:pt idx="32">
                  <c:v>38657</c:v>
                </c:pt>
                <c:pt idx="33">
                  <c:v>38687</c:v>
                </c:pt>
                <c:pt idx="34">
                  <c:v>38718</c:v>
                </c:pt>
                <c:pt idx="35">
                  <c:v>38749</c:v>
                </c:pt>
                <c:pt idx="36">
                  <c:v>38777</c:v>
                </c:pt>
                <c:pt idx="37">
                  <c:v>38808</c:v>
                </c:pt>
                <c:pt idx="38">
                  <c:v>38838</c:v>
                </c:pt>
                <c:pt idx="39">
                  <c:v>38869</c:v>
                </c:pt>
                <c:pt idx="40">
                  <c:v>38899</c:v>
                </c:pt>
                <c:pt idx="41">
                  <c:v>38930</c:v>
                </c:pt>
                <c:pt idx="42">
                  <c:v>38961</c:v>
                </c:pt>
                <c:pt idx="43">
                  <c:v>38991</c:v>
                </c:pt>
                <c:pt idx="44">
                  <c:v>39022</c:v>
                </c:pt>
                <c:pt idx="45">
                  <c:v>39052</c:v>
                </c:pt>
                <c:pt idx="46">
                  <c:v>39083</c:v>
                </c:pt>
                <c:pt idx="47">
                  <c:v>39114</c:v>
                </c:pt>
                <c:pt idx="48">
                  <c:v>39142</c:v>
                </c:pt>
                <c:pt idx="49">
                  <c:v>39173</c:v>
                </c:pt>
                <c:pt idx="50">
                  <c:v>39203</c:v>
                </c:pt>
                <c:pt idx="51">
                  <c:v>39234</c:v>
                </c:pt>
                <c:pt idx="52">
                  <c:v>39264</c:v>
                </c:pt>
                <c:pt idx="53">
                  <c:v>39295</c:v>
                </c:pt>
                <c:pt idx="54">
                  <c:v>39326</c:v>
                </c:pt>
                <c:pt idx="55">
                  <c:v>39356</c:v>
                </c:pt>
                <c:pt idx="56">
                  <c:v>39387</c:v>
                </c:pt>
                <c:pt idx="57">
                  <c:v>39417</c:v>
                </c:pt>
                <c:pt idx="58">
                  <c:v>39448</c:v>
                </c:pt>
                <c:pt idx="59">
                  <c:v>39479</c:v>
                </c:pt>
                <c:pt idx="60">
                  <c:v>39508</c:v>
                </c:pt>
                <c:pt idx="61">
                  <c:v>39539</c:v>
                </c:pt>
                <c:pt idx="62">
                  <c:v>39569</c:v>
                </c:pt>
                <c:pt idx="63">
                  <c:v>39600</c:v>
                </c:pt>
                <c:pt idx="64">
                  <c:v>39630</c:v>
                </c:pt>
                <c:pt idx="65">
                  <c:v>39661</c:v>
                </c:pt>
                <c:pt idx="66">
                  <c:v>39692</c:v>
                </c:pt>
                <c:pt idx="67">
                  <c:v>39722</c:v>
                </c:pt>
                <c:pt idx="68">
                  <c:v>39753</c:v>
                </c:pt>
                <c:pt idx="69">
                  <c:v>39783</c:v>
                </c:pt>
                <c:pt idx="70">
                  <c:v>39814</c:v>
                </c:pt>
                <c:pt idx="71">
                  <c:v>39845</c:v>
                </c:pt>
                <c:pt idx="72">
                  <c:v>39873</c:v>
                </c:pt>
                <c:pt idx="73">
                  <c:v>39904</c:v>
                </c:pt>
                <c:pt idx="74">
                  <c:v>39934</c:v>
                </c:pt>
                <c:pt idx="75">
                  <c:v>39965</c:v>
                </c:pt>
                <c:pt idx="76">
                  <c:v>39995</c:v>
                </c:pt>
                <c:pt idx="77">
                  <c:v>40026</c:v>
                </c:pt>
                <c:pt idx="78">
                  <c:v>40057</c:v>
                </c:pt>
                <c:pt idx="79">
                  <c:v>40087</c:v>
                </c:pt>
                <c:pt idx="80">
                  <c:v>40118</c:v>
                </c:pt>
                <c:pt idx="81">
                  <c:v>40148</c:v>
                </c:pt>
                <c:pt idx="82">
                  <c:v>40179</c:v>
                </c:pt>
                <c:pt idx="83">
                  <c:v>40210</c:v>
                </c:pt>
                <c:pt idx="84">
                  <c:v>40238</c:v>
                </c:pt>
                <c:pt idx="85">
                  <c:v>40269</c:v>
                </c:pt>
                <c:pt idx="86">
                  <c:v>40299</c:v>
                </c:pt>
                <c:pt idx="87">
                  <c:v>40330</c:v>
                </c:pt>
                <c:pt idx="88">
                  <c:v>40360</c:v>
                </c:pt>
                <c:pt idx="89">
                  <c:v>40391</c:v>
                </c:pt>
                <c:pt idx="90">
                  <c:v>40422</c:v>
                </c:pt>
                <c:pt idx="91">
                  <c:v>40452</c:v>
                </c:pt>
                <c:pt idx="92">
                  <c:v>40483</c:v>
                </c:pt>
                <c:pt idx="93">
                  <c:v>40513</c:v>
                </c:pt>
                <c:pt idx="94">
                  <c:v>40544</c:v>
                </c:pt>
                <c:pt idx="95">
                  <c:v>40575</c:v>
                </c:pt>
                <c:pt idx="96">
                  <c:v>40603</c:v>
                </c:pt>
                <c:pt idx="97">
                  <c:v>40634</c:v>
                </c:pt>
                <c:pt idx="98">
                  <c:v>40664</c:v>
                </c:pt>
                <c:pt idx="99">
                  <c:v>40695</c:v>
                </c:pt>
                <c:pt idx="100">
                  <c:v>40725</c:v>
                </c:pt>
                <c:pt idx="101">
                  <c:v>40756</c:v>
                </c:pt>
                <c:pt idx="102">
                  <c:v>40787</c:v>
                </c:pt>
                <c:pt idx="103">
                  <c:v>40817</c:v>
                </c:pt>
                <c:pt idx="104">
                  <c:v>40848</c:v>
                </c:pt>
                <c:pt idx="105">
                  <c:v>40878</c:v>
                </c:pt>
                <c:pt idx="106">
                  <c:v>40909</c:v>
                </c:pt>
                <c:pt idx="107">
                  <c:v>40940</c:v>
                </c:pt>
                <c:pt idx="108">
                  <c:v>40969</c:v>
                </c:pt>
                <c:pt idx="109">
                  <c:v>41000</c:v>
                </c:pt>
                <c:pt idx="110">
                  <c:v>41030</c:v>
                </c:pt>
                <c:pt idx="111">
                  <c:v>41061</c:v>
                </c:pt>
                <c:pt idx="112">
                  <c:v>41091</c:v>
                </c:pt>
                <c:pt idx="113">
                  <c:v>41122</c:v>
                </c:pt>
                <c:pt idx="114">
                  <c:v>41153</c:v>
                </c:pt>
                <c:pt idx="115">
                  <c:v>41183</c:v>
                </c:pt>
                <c:pt idx="116">
                  <c:v>41214</c:v>
                </c:pt>
                <c:pt idx="117">
                  <c:v>41244</c:v>
                </c:pt>
                <c:pt idx="118">
                  <c:v>41275</c:v>
                </c:pt>
                <c:pt idx="119">
                  <c:v>41306</c:v>
                </c:pt>
                <c:pt idx="120">
                  <c:v>41334</c:v>
                </c:pt>
                <c:pt idx="121">
                  <c:v>41365</c:v>
                </c:pt>
                <c:pt idx="122">
                  <c:v>41395</c:v>
                </c:pt>
                <c:pt idx="123">
                  <c:v>41426</c:v>
                </c:pt>
                <c:pt idx="124">
                  <c:v>41456</c:v>
                </c:pt>
                <c:pt idx="125">
                  <c:v>41487</c:v>
                </c:pt>
                <c:pt idx="126">
                  <c:v>41518</c:v>
                </c:pt>
                <c:pt idx="127">
                  <c:v>41548</c:v>
                </c:pt>
                <c:pt idx="128">
                  <c:v>41579</c:v>
                </c:pt>
                <c:pt idx="129">
                  <c:v>41609</c:v>
                </c:pt>
                <c:pt idx="130">
                  <c:v>41640</c:v>
                </c:pt>
                <c:pt idx="131">
                  <c:v>41671</c:v>
                </c:pt>
                <c:pt idx="132">
                  <c:v>41699</c:v>
                </c:pt>
                <c:pt idx="133">
                  <c:v>41730</c:v>
                </c:pt>
                <c:pt idx="134">
                  <c:v>41760</c:v>
                </c:pt>
                <c:pt idx="135">
                  <c:v>41791</c:v>
                </c:pt>
                <c:pt idx="136">
                  <c:v>41821</c:v>
                </c:pt>
                <c:pt idx="137">
                  <c:v>41852</c:v>
                </c:pt>
                <c:pt idx="138">
                  <c:v>41883</c:v>
                </c:pt>
                <c:pt idx="139">
                  <c:v>41913</c:v>
                </c:pt>
                <c:pt idx="140">
                  <c:v>41944</c:v>
                </c:pt>
                <c:pt idx="141">
                  <c:v>41974</c:v>
                </c:pt>
                <c:pt idx="142">
                  <c:v>42005</c:v>
                </c:pt>
                <c:pt idx="143">
                  <c:v>42036</c:v>
                </c:pt>
                <c:pt idx="144">
                  <c:v>42064</c:v>
                </c:pt>
                <c:pt idx="145">
                  <c:v>42095</c:v>
                </c:pt>
                <c:pt idx="146">
                  <c:v>42125</c:v>
                </c:pt>
                <c:pt idx="147">
                  <c:v>42156</c:v>
                </c:pt>
                <c:pt idx="148">
                  <c:v>42186</c:v>
                </c:pt>
                <c:pt idx="149">
                  <c:v>42217</c:v>
                </c:pt>
                <c:pt idx="150">
                  <c:v>42248</c:v>
                </c:pt>
                <c:pt idx="151">
                  <c:v>42278</c:v>
                </c:pt>
                <c:pt idx="152">
                  <c:v>42309</c:v>
                </c:pt>
                <c:pt idx="153">
                  <c:v>42339</c:v>
                </c:pt>
                <c:pt idx="154">
                  <c:v>42370</c:v>
                </c:pt>
                <c:pt idx="155">
                  <c:v>42401</c:v>
                </c:pt>
                <c:pt idx="156">
                  <c:v>42430</c:v>
                </c:pt>
                <c:pt idx="157">
                  <c:v>42461</c:v>
                </c:pt>
                <c:pt idx="158">
                  <c:v>42491</c:v>
                </c:pt>
                <c:pt idx="159">
                  <c:v>42522</c:v>
                </c:pt>
                <c:pt idx="160">
                  <c:v>42552</c:v>
                </c:pt>
                <c:pt idx="161">
                  <c:v>42583</c:v>
                </c:pt>
                <c:pt idx="162">
                  <c:v>42614</c:v>
                </c:pt>
                <c:pt idx="163">
                  <c:v>42644</c:v>
                </c:pt>
                <c:pt idx="164">
                  <c:v>42675</c:v>
                </c:pt>
                <c:pt idx="165">
                  <c:v>42705</c:v>
                </c:pt>
                <c:pt idx="166">
                  <c:v>42736</c:v>
                </c:pt>
                <c:pt idx="167">
                  <c:v>42767</c:v>
                </c:pt>
                <c:pt idx="168">
                  <c:v>42795</c:v>
                </c:pt>
                <c:pt idx="169">
                  <c:v>42826</c:v>
                </c:pt>
                <c:pt idx="170">
                  <c:v>42856</c:v>
                </c:pt>
                <c:pt idx="171">
                  <c:v>42887</c:v>
                </c:pt>
                <c:pt idx="172">
                  <c:v>42917</c:v>
                </c:pt>
                <c:pt idx="173">
                  <c:v>42948</c:v>
                </c:pt>
                <c:pt idx="174">
                  <c:v>42979</c:v>
                </c:pt>
                <c:pt idx="175">
                  <c:v>43009</c:v>
                </c:pt>
                <c:pt idx="176">
                  <c:v>43040</c:v>
                </c:pt>
                <c:pt idx="177">
                  <c:v>43070</c:v>
                </c:pt>
                <c:pt idx="178">
                  <c:v>43101</c:v>
                </c:pt>
                <c:pt idx="179">
                  <c:v>43132</c:v>
                </c:pt>
                <c:pt idx="180">
                  <c:v>43160</c:v>
                </c:pt>
                <c:pt idx="181">
                  <c:v>43191</c:v>
                </c:pt>
                <c:pt idx="182">
                  <c:v>43221</c:v>
                </c:pt>
                <c:pt idx="183">
                  <c:v>43252</c:v>
                </c:pt>
                <c:pt idx="184">
                  <c:v>43282</c:v>
                </c:pt>
                <c:pt idx="185">
                  <c:v>43313</c:v>
                </c:pt>
                <c:pt idx="186">
                  <c:v>43344</c:v>
                </c:pt>
                <c:pt idx="187">
                  <c:v>43374</c:v>
                </c:pt>
                <c:pt idx="188">
                  <c:v>43405</c:v>
                </c:pt>
                <c:pt idx="189">
                  <c:v>43435</c:v>
                </c:pt>
                <c:pt idx="190">
                  <c:v>43466</c:v>
                </c:pt>
                <c:pt idx="191">
                  <c:v>43497</c:v>
                </c:pt>
                <c:pt idx="192">
                  <c:v>43525</c:v>
                </c:pt>
                <c:pt idx="193">
                  <c:v>43556</c:v>
                </c:pt>
                <c:pt idx="194">
                  <c:v>43586</c:v>
                </c:pt>
                <c:pt idx="195">
                  <c:v>43617</c:v>
                </c:pt>
                <c:pt idx="196">
                  <c:v>43647</c:v>
                </c:pt>
                <c:pt idx="197">
                  <c:v>43678</c:v>
                </c:pt>
                <c:pt idx="198">
                  <c:v>43709</c:v>
                </c:pt>
                <c:pt idx="199">
                  <c:v>43739</c:v>
                </c:pt>
                <c:pt idx="200">
                  <c:v>43770</c:v>
                </c:pt>
                <c:pt idx="201">
                  <c:v>43800</c:v>
                </c:pt>
                <c:pt idx="202">
                  <c:v>43831</c:v>
                </c:pt>
                <c:pt idx="203">
                  <c:v>43862</c:v>
                </c:pt>
                <c:pt idx="204">
                  <c:v>43891</c:v>
                </c:pt>
                <c:pt idx="205">
                  <c:v>43922</c:v>
                </c:pt>
                <c:pt idx="206">
                  <c:v>43952</c:v>
                </c:pt>
                <c:pt idx="207">
                  <c:v>43983</c:v>
                </c:pt>
                <c:pt idx="208">
                  <c:v>44013</c:v>
                </c:pt>
                <c:pt idx="209">
                  <c:v>44044</c:v>
                </c:pt>
                <c:pt idx="210">
                  <c:v>44075</c:v>
                </c:pt>
                <c:pt idx="211">
                  <c:v>44105</c:v>
                </c:pt>
                <c:pt idx="212">
                  <c:v>44136</c:v>
                </c:pt>
                <c:pt idx="213">
                  <c:v>44166</c:v>
                </c:pt>
                <c:pt idx="214">
                  <c:v>44197</c:v>
                </c:pt>
                <c:pt idx="215">
                  <c:v>44228</c:v>
                </c:pt>
                <c:pt idx="216">
                  <c:v>44256</c:v>
                </c:pt>
                <c:pt idx="217">
                  <c:v>44287</c:v>
                </c:pt>
                <c:pt idx="218">
                  <c:v>44317</c:v>
                </c:pt>
                <c:pt idx="219">
                  <c:v>44348</c:v>
                </c:pt>
                <c:pt idx="220">
                  <c:v>44378</c:v>
                </c:pt>
                <c:pt idx="221">
                  <c:v>44409</c:v>
                </c:pt>
                <c:pt idx="222">
                  <c:v>44440</c:v>
                </c:pt>
                <c:pt idx="223">
                  <c:v>44470</c:v>
                </c:pt>
                <c:pt idx="224">
                  <c:v>44501</c:v>
                </c:pt>
                <c:pt idx="225">
                  <c:v>44531</c:v>
                </c:pt>
                <c:pt idx="226">
                  <c:v>44562</c:v>
                </c:pt>
                <c:pt idx="227">
                  <c:v>44593</c:v>
                </c:pt>
                <c:pt idx="228">
                  <c:v>44621</c:v>
                </c:pt>
                <c:pt idx="229">
                  <c:v>44652</c:v>
                </c:pt>
                <c:pt idx="230">
                  <c:v>44682</c:v>
                </c:pt>
                <c:pt idx="231">
                  <c:v>44713</c:v>
                </c:pt>
                <c:pt idx="232">
                  <c:v>44743</c:v>
                </c:pt>
                <c:pt idx="233">
                  <c:v>44774</c:v>
                </c:pt>
                <c:pt idx="234">
                  <c:v>44805</c:v>
                </c:pt>
                <c:pt idx="235">
                  <c:v>44835</c:v>
                </c:pt>
                <c:pt idx="236">
                  <c:v>44866</c:v>
                </c:pt>
                <c:pt idx="237">
                  <c:v>44896</c:v>
                </c:pt>
                <c:pt idx="238">
                  <c:v>44927</c:v>
                </c:pt>
                <c:pt idx="239">
                  <c:v>44958</c:v>
                </c:pt>
                <c:pt idx="240">
                  <c:v>44986</c:v>
                </c:pt>
              </c:numCache>
            </c:numRef>
          </c:cat>
          <c:val>
            <c:numRef>
              <c:f>'PR chart'!$D$3:$D$243</c:f>
              <c:numCache>
                <c:formatCode>0.0</c:formatCode>
                <c:ptCount val="241"/>
                <c:pt idx="0">
                  <c:v>63.685753499999997</c:v>
                </c:pt>
                <c:pt idx="1">
                  <c:v>63.546134299999999</c:v>
                </c:pt>
                <c:pt idx="2">
                  <c:v>63.634502900000001</c:v>
                </c:pt>
                <c:pt idx="3">
                  <c:v>63.405430799999998</c:v>
                </c:pt>
                <c:pt idx="4">
                  <c:v>63.331984499999997</c:v>
                </c:pt>
                <c:pt idx="5">
                  <c:v>63.438260900000003</c:v>
                </c:pt>
                <c:pt idx="6">
                  <c:v>63.399022600000002</c:v>
                </c:pt>
                <c:pt idx="7">
                  <c:v>63.490803900000003</c:v>
                </c:pt>
                <c:pt idx="8">
                  <c:v>63.3148895</c:v>
                </c:pt>
                <c:pt idx="9">
                  <c:v>63.4674184</c:v>
                </c:pt>
                <c:pt idx="10">
                  <c:v>63.287078399999999</c:v>
                </c:pt>
                <c:pt idx="11">
                  <c:v>63.304989900000002</c:v>
                </c:pt>
                <c:pt idx="12">
                  <c:v>63.3027564</c:v>
                </c:pt>
                <c:pt idx="13">
                  <c:v>63.363243799999999</c:v>
                </c:pt>
                <c:pt idx="14">
                  <c:v>63.302936500000001</c:v>
                </c:pt>
                <c:pt idx="15">
                  <c:v>63.3659003</c:v>
                </c:pt>
                <c:pt idx="16">
                  <c:v>63.412206300000001</c:v>
                </c:pt>
                <c:pt idx="17">
                  <c:v>63.295031799999997</c:v>
                </c:pt>
                <c:pt idx="18">
                  <c:v>63.5001958</c:v>
                </c:pt>
                <c:pt idx="19">
                  <c:v>63.615138600000002</c:v>
                </c:pt>
                <c:pt idx="20">
                  <c:v>63.814541400000003</c:v>
                </c:pt>
                <c:pt idx="21">
                  <c:v>63.737487600000001</c:v>
                </c:pt>
                <c:pt idx="22">
                  <c:v>63.981779699999997</c:v>
                </c:pt>
                <c:pt idx="23">
                  <c:v>64.087010300000003</c:v>
                </c:pt>
                <c:pt idx="24">
                  <c:v>64.307002400000002</c:v>
                </c:pt>
                <c:pt idx="25">
                  <c:v>64.472706000000002</c:v>
                </c:pt>
                <c:pt idx="26">
                  <c:v>64.290984699999996</c:v>
                </c:pt>
                <c:pt idx="27">
                  <c:v>64.429513400000005</c:v>
                </c:pt>
                <c:pt idx="28">
                  <c:v>64.461418499999994</c:v>
                </c:pt>
                <c:pt idx="29">
                  <c:v>64.614008699999999</c:v>
                </c:pt>
                <c:pt idx="30">
                  <c:v>64.4985784</c:v>
                </c:pt>
                <c:pt idx="31">
                  <c:v>64.452055400000006</c:v>
                </c:pt>
                <c:pt idx="32">
                  <c:v>64.381814300000002</c:v>
                </c:pt>
                <c:pt idx="33">
                  <c:v>64.4818511</c:v>
                </c:pt>
                <c:pt idx="34">
                  <c:v>64.434046800000004</c:v>
                </c:pt>
                <c:pt idx="35">
                  <c:v>64.5179294</c:v>
                </c:pt>
                <c:pt idx="36">
                  <c:v>64.514857199999994</c:v>
                </c:pt>
                <c:pt idx="37">
                  <c:v>64.566448399999999</c:v>
                </c:pt>
                <c:pt idx="38">
                  <c:v>64.568293699999998</c:v>
                </c:pt>
                <c:pt idx="39">
                  <c:v>64.767432999999997</c:v>
                </c:pt>
                <c:pt idx="40">
                  <c:v>64.893159199999999</c:v>
                </c:pt>
                <c:pt idx="41">
                  <c:v>64.940226300000006</c:v>
                </c:pt>
                <c:pt idx="42">
                  <c:v>65.089058100000003</c:v>
                </c:pt>
                <c:pt idx="43">
                  <c:v>64.671642300000002</c:v>
                </c:pt>
                <c:pt idx="44">
                  <c:v>64.8212118</c:v>
                </c:pt>
                <c:pt idx="45">
                  <c:v>65.090413499999997</c:v>
                </c:pt>
                <c:pt idx="46">
                  <c:v>64.922815400000005</c:v>
                </c:pt>
                <c:pt idx="47">
                  <c:v>65.032649300000003</c:v>
                </c:pt>
                <c:pt idx="48">
                  <c:v>64.963548900000006</c:v>
                </c:pt>
                <c:pt idx="49">
                  <c:v>65.001786699999997</c:v>
                </c:pt>
                <c:pt idx="50">
                  <c:v>65.046479700000006</c:v>
                </c:pt>
                <c:pt idx="51">
                  <c:v>65.131130600000006</c:v>
                </c:pt>
                <c:pt idx="52">
                  <c:v>65.120715500000003</c:v>
                </c:pt>
                <c:pt idx="53">
                  <c:v>65.281070900000003</c:v>
                </c:pt>
                <c:pt idx="54">
                  <c:v>65.304731799999999</c:v>
                </c:pt>
                <c:pt idx="55">
                  <c:v>65.211974900000001</c:v>
                </c:pt>
                <c:pt idx="56">
                  <c:v>65.530258799999999</c:v>
                </c:pt>
                <c:pt idx="57">
                  <c:v>65.471238299999996</c:v>
                </c:pt>
                <c:pt idx="58">
                  <c:v>65.445013099999997</c:v>
                </c:pt>
                <c:pt idx="59">
                  <c:v>65.358576400000004</c:v>
                </c:pt>
                <c:pt idx="60">
                  <c:v>65.390765299999998</c:v>
                </c:pt>
                <c:pt idx="61">
                  <c:v>65.658108499999997</c:v>
                </c:pt>
                <c:pt idx="62">
                  <c:v>65.373461899999995</c:v>
                </c:pt>
                <c:pt idx="63">
                  <c:v>65.569885099999993</c:v>
                </c:pt>
                <c:pt idx="64">
                  <c:v>65.557283499999997</c:v>
                </c:pt>
                <c:pt idx="65">
                  <c:v>65.525658800000002</c:v>
                </c:pt>
                <c:pt idx="66">
                  <c:v>65.494215600000004</c:v>
                </c:pt>
                <c:pt idx="67">
                  <c:v>65.429993499999995</c:v>
                </c:pt>
                <c:pt idx="68">
                  <c:v>65.389177399999994</c:v>
                </c:pt>
                <c:pt idx="69">
                  <c:v>65.392564399999998</c:v>
                </c:pt>
                <c:pt idx="70">
                  <c:v>65.500598600000004</c:v>
                </c:pt>
                <c:pt idx="71">
                  <c:v>65.713143599999995</c:v>
                </c:pt>
                <c:pt idx="72">
                  <c:v>65.6524845</c:v>
                </c:pt>
                <c:pt idx="73">
                  <c:v>65.5636473</c:v>
                </c:pt>
                <c:pt idx="74">
                  <c:v>65.545705299999995</c:v>
                </c:pt>
                <c:pt idx="75">
                  <c:v>65.377097199999994</c:v>
                </c:pt>
                <c:pt idx="76">
                  <c:v>65.408527500000005</c:v>
                </c:pt>
                <c:pt idx="77">
                  <c:v>65.274169200000003</c:v>
                </c:pt>
                <c:pt idx="78">
                  <c:v>65.259967900000007</c:v>
                </c:pt>
                <c:pt idx="79">
                  <c:v>65.210973999999993</c:v>
                </c:pt>
                <c:pt idx="80">
                  <c:v>65.263384900000005</c:v>
                </c:pt>
                <c:pt idx="81">
                  <c:v>65.353714999999994</c:v>
                </c:pt>
                <c:pt idx="82">
                  <c:v>65.387780800000002</c:v>
                </c:pt>
                <c:pt idx="83">
                  <c:v>65.201124399999998</c:v>
                </c:pt>
                <c:pt idx="84">
                  <c:v>65.211574799999994</c:v>
                </c:pt>
                <c:pt idx="85">
                  <c:v>65.262116199999994</c:v>
                </c:pt>
                <c:pt idx="86">
                  <c:v>65.015796899999998</c:v>
                </c:pt>
                <c:pt idx="87">
                  <c:v>65.204505299999994</c:v>
                </c:pt>
                <c:pt idx="88">
                  <c:v>65.382071100000005</c:v>
                </c:pt>
                <c:pt idx="89">
                  <c:v>65.3797189</c:v>
                </c:pt>
                <c:pt idx="90">
                  <c:v>65.477501099999998</c:v>
                </c:pt>
                <c:pt idx="91">
                  <c:v>65.6579883</c:v>
                </c:pt>
                <c:pt idx="92">
                  <c:v>65.801258000000004</c:v>
                </c:pt>
                <c:pt idx="93">
                  <c:v>65.598607000000001</c:v>
                </c:pt>
                <c:pt idx="94">
                  <c:v>65.770857199999995</c:v>
                </c:pt>
                <c:pt idx="95">
                  <c:v>65.501467099999999</c:v>
                </c:pt>
                <c:pt idx="96">
                  <c:v>65.601110800000001</c:v>
                </c:pt>
                <c:pt idx="97">
                  <c:v>65.351797300000001</c:v>
                </c:pt>
                <c:pt idx="98">
                  <c:v>65.258926400000007</c:v>
                </c:pt>
                <c:pt idx="99">
                  <c:v>65.306024800000003</c:v>
                </c:pt>
                <c:pt idx="100">
                  <c:v>65.370273699999998</c:v>
                </c:pt>
                <c:pt idx="101">
                  <c:v>65.467818800000003</c:v>
                </c:pt>
                <c:pt idx="102">
                  <c:v>65.517684599999995</c:v>
                </c:pt>
                <c:pt idx="103">
                  <c:v>65.410154700000007</c:v>
                </c:pt>
                <c:pt idx="104">
                  <c:v>65.356928499999995</c:v>
                </c:pt>
                <c:pt idx="105">
                  <c:v>65.1096565</c:v>
                </c:pt>
                <c:pt idx="106">
                  <c:v>65.324796800000001</c:v>
                </c:pt>
                <c:pt idx="107">
                  <c:v>65.103868599999998</c:v>
                </c:pt>
                <c:pt idx="108">
                  <c:v>65.339117200000004</c:v>
                </c:pt>
                <c:pt idx="109">
                  <c:v>65.0498233</c:v>
                </c:pt>
                <c:pt idx="110">
                  <c:v>65.349245300000007</c:v>
                </c:pt>
                <c:pt idx="111">
                  <c:v>65.088285200000001</c:v>
                </c:pt>
                <c:pt idx="112">
                  <c:v>65.058214500000005</c:v>
                </c:pt>
                <c:pt idx="113">
                  <c:v>65.018715499999999</c:v>
                </c:pt>
                <c:pt idx="114">
                  <c:v>65.328561300000004</c:v>
                </c:pt>
                <c:pt idx="115">
                  <c:v>65.185371399999994</c:v>
                </c:pt>
                <c:pt idx="116">
                  <c:v>64.952772400000001</c:v>
                </c:pt>
                <c:pt idx="117">
                  <c:v>65.042254999999997</c:v>
                </c:pt>
                <c:pt idx="118">
                  <c:v>65.301884599999994</c:v>
                </c:pt>
                <c:pt idx="119">
                  <c:v>65.206647399999994</c:v>
                </c:pt>
                <c:pt idx="120">
                  <c:v>65.078404399999997</c:v>
                </c:pt>
                <c:pt idx="121">
                  <c:v>65.139240900000004</c:v>
                </c:pt>
                <c:pt idx="122">
                  <c:v>65.026249000000007</c:v>
                </c:pt>
                <c:pt idx="123">
                  <c:v>65.076630300000005</c:v>
                </c:pt>
                <c:pt idx="124">
                  <c:v>64.866524499999997</c:v>
                </c:pt>
                <c:pt idx="125">
                  <c:v>64.940551299999996</c:v>
                </c:pt>
                <c:pt idx="126">
                  <c:v>64.853424899999993</c:v>
                </c:pt>
                <c:pt idx="127">
                  <c:v>64.839571199999995</c:v>
                </c:pt>
                <c:pt idx="128">
                  <c:v>64.630546499999994</c:v>
                </c:pt>
                <c:pt idx="129">
                  <c:v>64.454083299999994</c:v>
                </c:pt>
                <c:pt idx="130">
                  <c:v>64.571425599999998</c:v>
                </c:pt>
                <c:pt idx="131">
                  <c:v>64.558157399999999</c:v>
                </c:pt>
                <c:pt idx="132">
                  <c:v>64.743973100000005</c:v>
                </c:pt>
                <c:pt idx="133">
                  <c:v>64.6633329</c:v>
                </c:pt>
                <c:pt idx="134">
                  <c:v>64.560572699999994</c:v>
                </c:pt>
                <c:pt idx="135">
                  <c:v>64.673770000000005</c:v>
                </c:pt>
                <c:pt idx="136">
                  <c:v>64.777788700000002</c:v>
                </c:pt>
                <c:pt idx="137">
                  <c:v>64.659411399999996</c:v>
                </c:pt>
                <c:pt idx="138">
                  <c:v>64.665140100000002</c:v>
                </c:pt>
                <c:pt idx="139">
                  <c:v>64.658483200000006</c:v>
                </c:pt>
                <c:pt idx="140">
                  <c:v>64.543050199999996</c:v>
                </c:pt>
                <c:pt idx="141">
                  <c:v>64.629533800000004</c:v>
                </c:pt>
                <c:pt idx="142">
                  <c:v>64.748304899999994</c:v>
                </c:pt>
                <c:pt idx="143">
                  <c:v>64.878954300000004</c:v>
                </c:pt>
                <c:pt idx="144">
                  <c:v>64.856351799999999</c:v>
                </c:pt>
                <c:pt idx="145">
                  <c:v>64.788567200000003</c:v>
                </c:pt>
                <c:pt idx="146">
                  <c:v>64.843862599999994</c:v>
                </c:pt>
                <c:pt idx="147">
                  <c:v>64.806507499999995</c:v>
                </c:pt>
                <c:pt idx="148">
                  <c:v>65.095878600000006</c:v>
                </c:pt>
                <c:pt idx="149">
                  <c:v>64.942236100000002</c:v>
                </c:pt>
                <c:pt idx="150">
                  <c:v>64.993497899999994</c:v>
                </c:pt>
                <c:pt idx="151">
                  <c:v>65.172389300000006</c:v>
                </c:pt>
                <c:pt idx="152">
                  <c:v>65.237535199999996</c:v>
                </c:pt>
                <c:pt idx="153">
                  <c:v>65.1269372</c:v>
                </c:pt>
                <c:pt idx="154">
                  <c:v>65.242329100000006</c:v>
                </c:pt>
                <c:pt idx="155">
                  <c:v>64.978370400000003</c:v>
                </c:pt>
                <c:pt idx="156">
                  <c:v>64.931078999999997</c:v>
                </c:pt>
                <c:pt idx="157">
                  <c:v>64.885638</c:v>
                </c:pt>
                <c:pt idx="158">
                  <c:v>64.847584499999996</c:v>
                </c:pt>
                <c:pt idx="159">
                  <c:v>64.884459399999997</c:v>
                </c:pt>
                <c:pt idx="160">
                  <c:v>64.956854300000003</c:v>
                </c:pt>
                <c:pt idx="161">
                  <c:v>64.673520699999997</c:v>
                </c:pt>
                <c:pt idx="162">
                  <c:v>64.511747</c:v>
                </c:pt>
                <c:pt idx="163">
                  <c:v>64.561224100000004</c:v>
                </c:pt>
                <c:pt idx="164">
                  <c:v>64.732691500000001</c:v>
                </c:pt>
                <c:pt idx="165">
                  <c:v>64.803029300000006</c:v>
                </c:pt>
                <c:pt idx="166">
                  <c:v>64.697766700000003</c:v>
                </c:pt>
                <c:pt idx="167">
                  <c:v>64.678735399999994</c:v>
                </c:pt>
                <c:pt idx="168">
                  <c:v>64.898642800000005</c:v>
                </c:pt>
                <c:pt idx="169">
                  <c:v>64.944613700000005</c:v>
                </c:pt>
                <c:pt idx="170">
                  <c:v>64.943899200000004</c:v>
                </c:pt>
                <c:pt idx="171">
                  <c:v>65.110186799999994</c:v>
                </c:pt>
                <c:pt idx="172">
                  <c:v>65.167567000000005</c:v>
                </c:pt>
                <c:pt idx="173">
                  <c:v>65.318786000000003</c:v>
                </c:pt>
                <c:pt idx="174">
                  <c:v>65.366167000000004</c:v>
                </c:pt>
                <c:pt idx="175">
                  <c:v>65.294343400000002</c:v>
                </c:pt>
                <c:pt idx="176">
                  <c:v>65.539095900000007</c:v>
                </c:pt>
                <c:pt idx="177">
                  <c:v>65.791295300000002</c:v>
                </c:pt>
                <c:pt idx="178">
                  <c:v>65.809670400000002</c:v>
                </c:pt>
                <c:pt idx="179">
                  <c:v>65.664825800000003</c:v>
                </c:pt>
                <c:pt idx="180">
                  <c:v>65.577985200000001</c:v>
                </c:pt>
                <c:pt idx="181">
                  <c:v>65.619119900000001</c:v>
                </c:pt>
                <c:pt idx="182">
                  <c:v>65.410339500000006</c:v>
                </c:pt>
                <c:pt idx="183">
                  <c:v>65.7002016</c:v>
                </c:pt>
                <c:pt idx="184">
                  <c:v>65.532576800000001</c:v>
                </c:pt>
                <c:pt idx="185">
                  <c:v>65.668442600000006</c:v>
                </c:pt>
                <c:pt idx="186">
                  <c:v>65.4860702</c:v>
                </c:pt>
                <c:pt idx="187">
                  <c:v>65.557238299999995</c:v>
                </c:pt>
                <c:pt idx="188">
                  <c:v>65.711611399999995</c:v>
                </c:pt>
                <c:pt idx="189">
                  <c:v>65.662346200000002</c:v>
                </c:pt>
                <c:pt idx="190">
                  <c:v>65.749211799999998</c:v>
                </c:pt>
                <c:pt idx="191">
                  <c:v>65.535940199999999</c:v>
                </c:pt>
                <c:pt idx="192">
                  <c:v>65.659578499999995</c:v>
                </c:pt>
                <c:pt idx="193">
                  <c:v>65.904101999999995</c:v>
                </c:pt>
                <c:pt idx="194">
                  <c:v>65.970406699999998</c:v>
                </c:pt>
                <c:pt idx="195">
                  <c:v>66.034193099999996</c:v>
                </c:pt>
                <c:pt idx="196">
                  <c:v>66.048556599999998</c:v>
                </c:pt>
                <c:pt idx="197">
                  <c:v>66.191469100000006</c:v>
                </c:pt>
                <c:pt idx="198">
                  <c:v>66.171408200000002</c:v>
                </c:pt>
                <c:pt idx="199">
                  <c:v>65.982402100000002</c:v>
                </c:pt>
                <c:pt idx="200">
                  <c:v>65.9664267</c:v>
                </c:pt>
                <c:pt idx="201">
                  <c:v>65.932860099999999</c:v>
                </c:pt>
                <c:pt idx="202">
                  <c:v>66.065758200000005</c:v>
                </c:pt>
                <c:pt idx="203">
                  <c:v>65.853597899999997</c:v>
                </c:pt>
                <c:pt idx="204">
                  <c:v>65.795219000000003</c:v>
                </c:pt>
                <c:pt idx="205">
                  <c:v>63.559142600000001</c:v>
                </c:pt>
                <c:pt idx="206">
                  <c:v>62.5452054</c:v>
                </c:pt>
                <c:pt idx="207">
                  <c:v>64.049059099999994</c:v>
                </c:pt>
                <c:pt idx="208">
                  <c:v>64.663788299999993</c:v>
                </c:pt>
                <c:pt idx="209">
                  <c:v>64.992721000000003</c:v>
                </c:pt>
                <c:pt idx="210">
                  <c:v>64.899659999999997</c:v>
                </c:pt>
                <c:pt idx="211">
                  <c:v>65.751995100000002</c:v>
                </c:pt>
                <c:pt idx="212">
                  <c:v>66.0587704</c:v>
                </c:pt>
                <c:pt idx="213">
                  <c:v>66.086454000000003</c:v>
                </c:pt>
                <c:pt idx="214">
                  <c:v>66.056546499999996</c:v>
                </c:pt>
                <c:pt idx="215">
                  <c:v>66.027362800000006</c:v>
                </c:pt>
                <c:pt idx="216">
                  <c:v>66.197044899999995</c:v>
                </c:pt>
                <c:pt idx="217">
                  <c:v>65.955054899999993</c:v>
                </c:pt>
                <c:pt idx="218">
                  <c:v>66.140781099999998</c:v>
                </c:pt>
                <c:pt idx="219">
                  <c:v>66.207151800000005</c:v>
                </c:pt>
                <c:pt idx="220">
                  <c:v>65.996225499999994</c:v>
                </c:pt>
                <c:pt idx="221">
                  <c:v>65.234385399999994</c:v>
                </c:pt>
                <c:pt idx="222">
                  <c:v>64.656104999999997</c:v>
                </c:pt>
                <c:pt idx="223">
                  <c:v>64.781306700000002</c:v>
                </c:pt>
                <c:pt idx="224">
                  <c:v>66.1450064</c:v>
                </c:pt>
                <c:pt idx="225">
                  <c:v>66.201456399999998</c:v>
                </c:pt>
                <c:pt idx="226">
                  <c:v>66.2704612</c:v>
                </c:pt>
                <c:pt idx="227">
                  <c:v>66.488502199999999</c:v>
                </c:pt>
                <c:pt idx="228">
                  <c:v>66.385965999999996</c:v>
                </c:pt>
                <c:pt idx="229">
                  <c:v>66.453609599999993</c:v>
                </c:pt>
                <c:pt idx="230">
                  <c:v>66.679869100000005</c:v>
                </c:pt>
                <c:pt idx="231">
                  <c:v>66.800179400000005</c:v>
                </c:pt>
                <c:pt idx="232">
                  <c:v>66.508328000000006</c:v>
                </c:pt>
                <c:pt idx="233">
                  <c:v>66.679778400000004</c:v>
                </c:pt>
                <c:pt idx="234">
                  <c:v>66.658703299999999</c:v>
                </c:pt>
                <c:pt idx="235">
                  <c:v>66.6366795</c:v>
                </c:pt>
                <c:pt idx="236">
                  <c:v>66.830945400000004</c:v>
                </c:pt>
                <c:pt idx="237">
                  <c:v>66.672632399999998</c:v>
                </c:pt>
                <c:pt idx="238">
                  <c:v>66.576095800000004</c:v>
                </c:pt>
                <c:pt idx="239">
                  <c:v>66.650294400000007</c:v>
                </c:pt>
                <c:pt idx="240">
                  <c:v>66.741381700000005</c:v>
                </c:pt>
              </c:numCache>
            </c:numRef>
          </c:val>
          <c:smooth val="0"/>
          <c:extLst>
            <c:ext xmlns:c16="http://schemas.microsoft.com/office/drawing/2014/chart" uri="{C3380CC4-5D6E-409C-BE32-E72D297353CC}">
              <c16:uniqueId val="{00000002-531D-4AD3-AE4C-1A9994CFA42F}"/>
            </c:ext>
          </c:extLst>
        </c:ser>
        <c:dLbls>
          <c:showLegendKey val="0"/>
          <c:showVal val="0"/>
          <c:showCatName val="0"/>
          <c:showSerName val="0"/>
          <c:showPercent val="0"/>
          <c:showBubbleSize val="0"/>
        </c:dLbls>
        <c:smooth val="0"/>
        <c:axId val="266318592"/>
        <c:axId val="266320128"/>
      </c:lineChart>
      <c:dateAx>
        <c:axId val="266318592"/>
        <c:scaling>
          <c:orientation val="minMax"/>
        </c:scaling>
        <c:delete val="0"/>
        <c:axPos val="b"/>
        <c:numFmt formatCode="mmm\-yy" sourceLinked="0"/>
        <c:majorTickMark val="out"/>
        <c:minorTickMark val="none"/>
        <c:tickLblPos val="nextTo"/>
        <c:txPr>
          <a:bodyPr rot="-5400000" vert="horz"/>
          <a:lstStyle/>
          <a:p>
            <a:pPr>
              <a:defRPr/>
            </a:pPr>
            <a:endParaRPr lang="en-US"/>
          </a:p>
        </c:txPr>
        <c:crossAx val="266320128"/>
        <c:crosses val="autoZero"/>
        <c:auto val="1"/>
        <c:lblOffset val="100"/>
        <c:baseTimeUnit val="months"/>
        <c:majorUnit val="1"/>
        <c:majorTimeUnit val="years"/>
      </c:dateAx>
      <c:valAx>
        <c:axId val="266320128"/>
        <c:scaling>
          <c:orientation val="minMax"/>
          <c:min val="50"/>
        </c:scaling>
        <c:delete val="0"/>
        <c:axPos val="l"/>
        <c:title>
          <c:tx>
            <c:rich>
              <a:bodyPr/>
              <a:lstStyle/>
              <a:p>
                <a:pPr>
                  <a:defRPr/>
                </a:pPr>
                <a:r>
                  <a:rPr lang="en-AU"/>
                  <a:t> (%)</a:t>
                </a:r>
              </a:p>
            </c:rich>
          </c:tx>
          <c:overlay val="0"/>
        </c:title>
        <c:numFmt formatCode="0" sourceLinked="0"/>
        <c:majorTickMark val="out"/>
        <c:minorTickMark val="none"/>
        <c:tickLblPos val="nextTo"/>
        <c:txPr>
          <a:bodyPr rot="0" vert="horz"/>
          <a:lstStyle/>
          <a:p>
            <a:pPr>
              <a:defRPr/>
            </a:pPr>
            <a:endParaRPr lang="en-US"/>
          </a:p>
        </c:txPr>
        <c:crossAx val="266318592"/>
        <c:crosses val="autoZero"/>
        <c:crossBetween val="between"/>
      </c:valAx>
    </c:plotArea>
    <c:legend>
      <c:legendPos val="r"/>
      <c:layout>
        <c:manualLayout>
          <c:xMode val="edge"/>
          <c:yMode val="edge"/>
          <c:x val="0.29511783871843605"/>
          <c:y val="0.67707532900842016"/>
          <c:w val="0.39218449899644897"/>
          <c:h val="7.0073023050336539E-2"/>
        </c:manualLayout>
      </c:layout>
      <c:overlay val="1"/>
      <c:spPr>
        <a:solidFill>
          <a:sysClr val="window" lastClr="FFFFFF"/>
        </a:solidFill>
        <a:ln>
          <a:solidFill>
            <a:schemeClr val="bg1">
              <a:lumMod val="65000"/>
            </a:schemeClr>
          </a:solidFill>
        </a:ln>
      </c:spPr>
    </c:legend>
    <c:plotVisOnly val="1"/>
    <c:dispBlanksAs val="gap"/>
    <c:showDLblsOverMax val="0"/>
  </c:chart>
  <c:spPr>
    <a:ln>
      <a:noFill/>
    </a:ln>
  </c:spPr>
  <c:txPr>
    <a:bodyPr/>
    <a:lstStyle/>
    <a:p>
      <a:pPr>
        <a:defRPr sz="1000" b="0" i="0" u="none" strike="noStrike" baseline="0">
          <a:solidFill>
            <a:srgbClr val="000000"/>
          </a:solidFill>
          <a:latin typeface="Arial" panose="020B0604020202020204" pitchFamily="34" charset="0"/>
          <a:ea typeface="Calibri"/>
          <a:cs typeface="Arial" panose="020B0604020202020204"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211713356419752E-2"/>
          <c:y val="4.9364947941846003E-2"/>
          <c:w val="0.70082906868663131"/>
          <c:h val="0.76151123311420932"/>
        </c:manualLayout>
      </c:layout>
      <c:scatterChart>
        <c:scatterStyle val="lineMarker"/>
        <c:varyColors val="0"/>
        <c:ser>
          <c:idx val="0"/>
          <c:order val="0"/>
          <c:tx>
            <c:strRef>
              <c:f>'Charts for report'!$D$22</c:f>
              <c:strCache>
                <c:ptCount val="1"/>
                <c:pt idx="0">
                  <c:v>Feb-18</c:v>
                </c:pt>
              </c:strCache>
            </c:strRef>
          </c:tx>
          <c:spPr>
            <a:ln w="19050" cap="rnd">
              <a:noFill/>
              <a:round/>
            </a:ln>
            <a:effectLst/>
          </c:spPr>
          <c:marker>
            <c:symbol val="circle"/>
            <c:size val="5"/>
            <c:spPr>
              <a:solidFill>
                <a:schemeClr val="accent3"/>
              </a:solidFill>
              <a:ln w="9525">
                <a:solidFill>
                  <a:schemeClr val="accent3"/>
                </a:solidFill>
              </a:ln>
              <a:effectLst/>
            </c:spPr>
          </c:marker>
          <c:xVal>
            <c:numRef>
              <c:f>'Charts for report'!$C$23:$C$37</c:f>
              <c:numCache>
                <c:formatCode>0.0%</c:formatCode>
                <c:ptCount val="15"/>
                <c:pt idx="0">
                  <c:v>2.0674140196119208E-2</c:v>
                </c:pt>
                <c:pt idx="1">
                  <c:v>8.1833827842522321E-3</c:v>
                </c:pt>
                <c:pt idx="2">
                  <c:v>1.5951823208753824E-2</c:v>
                </c:pt>
                <c:pt idx="3">
                  <c:v>7.3083928280936079E-3</c:v>
                </c:pt>
                <c:pt idx="4">
                  <c:v>1.6813620356859214E-2</c:v>
                </c:pt>
                <c:pt idx="5">
                  <c:v>9.5435813864297864E-3</c:v>
                </c:pt>
                <c:pt idx="6">
                  <c:v>1.0252404215221684E-2</c:v>
                </c:pt>
                <c:pt idx="7">
                  <c:v>4.9383141567408001E-3</c:v>
                </c:pt>
                <c:pt idx="8">
                  <c:v>1.0988005457969373E-2</c:v>
                </c:pt>
                <c:pt idx="9">
                  <c:v>1.1003148321557899E-2</c:v>
                </c:pt>
                <c:pt idx="10">
                  <c:v>6.8987071813481288E-3</c:v>
                </c:pt>
                <c:pt idx="11">
                  <c:v>4.863343470890436E-3</c:v>
                </c:pt>
                <c:pt idx="12">
                  <c:v>1.8417609893338887E-2</c:v>
                </c:pt>
                <c:pt idx="13">
                  <c:v>5.3144164638050054E-3</c:v>
                </c:pt>
                <c:pt idx="14">
                  <c:v>2.1362759477878232E-2</c:v>
                </c:pt>
              </c:numCache>
            </c:numRef>
          </c:xVal>
          <c:yVal>
            <c:numRef>
              <c:f>'Charts for report'!$D$23:$D$37</c:f>
              <c:numCache>
                <c:formatCode>0.0%</c:formatCode>
                <c:ptCount val="15"/>
                <c:pt idx="0">
                  <c:v>0.77361651977265478</c:v>
                </c:pt>
                <c:pt idx="1">
                  <c:v>0.76429701847714571</c:v>
                </c:pt>
                <c:pt idx="2">
                  <c:v>0.78187209525171752</c:v>
                </c:pt>
                <c:pt idx="3">
                  <c:v>0.77452792442168394</c:v>
                </c:pt>
                <c:pt idx="4">
                  <c:v>0.794901686300586</c:v>
                </c:pt>
                <c:pt idx="5">
                  <c:v>0.77526562983848357</c:v>
                </c:pt>
                <c:pt idx="6">
                  <c:v>0.76720910898520311</c:v>
                </c:pt>
                <c:pt idx="7">
                  <c:v>0.76812570295024651</c:v>
                </c:pt>
                <c:pt idx="8">
                  <c:v>0.78946924162863696</c:v>
                </c:pt>
                <c:pt idx="9">
                  <c:v>0.81260523060829026</c:v>
                </c:pt>
                <c:pt idx="10">
                  <c:v>0.78344162063669986</c:v>
                </c:pt>
                <c:pt idx="11">
                  <c:v>0.75215429135370526</c:v>
                </c:pt>
                <c:pt idx="12">
                  <c:v>0.83720196389023072</c:v>
                </c:pt>
                <c:pt idx="13">
                  <c:v>0.76996006079857104</c:v>
                </c:pt>
                <c:pt idx="14">
                  <c:v>0.82267222357407777</c:v>
                </c:pt>
              </c:numCache>
            </c:numRef>
          </c:yVal>
          <c:smooth val="0"/>
          <c:extLst>
            <c:ext xmlns:c16="http://schemas.microsoft.com/office/drawing/2014/chart" uri="{C3380CC4-5D6E-409C-BE32-E72D297353CC}">
              <c16:uniqueId val="{00000000-B25D-42AF-8C8C-3F8BE88D7F54}"/>
            </c:ext>
          </c:extLst>
        </c:ser>
        <c:ser>
          <c:idx val="1"/>
          <c:order val="1"/>
          <c:tx>
            <c:strRef>
              <c:f>'Charts for report'!$F$22</c:f>
              <c:strCache>
                <c:ptCount val="1"/>
                <c:pt idx="0">
                  <c:v>Feb-22</c:v>
                </c:pt>
              </c:strCache>
            </c:strRef>
          </c:tx>
          <c:spPr>
            <a:ln w="25400" cap="rnd">
              <a:noFill/>
              <a:round/>
            </a:ln>
            <a:effectLst/>
          </c:spPr>
          <c:marker>
            <c:symbol val="circle"/>
            <c:size val="5"/>
            <c:spPr>
              <a:solidFill>
                <a:schemeClr val="accent2"/>
              </a:solidFill>
              <a:ln w="9525">
                <a:solidFill>
                  <a:schemeClr val="accent2"/>
                </a:solidFill>
              </a:ln>
              <a:effectLst/>
            </c:spPr>
          </c:marker>
          <c:xVal>
            <c:numRef>
              <c:f>'Charts for report'!$E$23:$E$37</c:f>
              <c:numCache>
                <c:formatCode>0.0%</c:formatCode>
                <c:ptCount val="15"/>
                <c:pt idx="0">
                  <c:v>2.2937917438200357E-2</c:v>
                </c:pt>
                <c:pt idx="1">
                  <c:v>1.4275869851063102E-2</c:v>
                </c:pt>
                <c:pt idx="2">
                  <c:v>2.0842975276294879E-2</c:v>
                </c:pt>
                <c:pt idx="3">
                  <c:v>1.4094055136615902E-2</c:v>
                </c:pt>
                <c:pt idx="4">
                  <c:v>2.2074072093960222E-2</c:v>
                </c:pt>
                <c:pt idx="5">
                  <c:v>1.3964369611227863E-2</c:v>
                </c:pt>
                <c:pt idx="6">
                  <c:v>1.5932962499545029E-2</c:v>
                </c:pt>
                <c:pt idx="7">
                  <c:v>9.43557267511572E-3</c:v>
                </c:pt>
                <c:pt idx="8">
                  <c:v>1.8867495650028009E-2</c:v>
                </c:pt>
                <c:pt idx="9">
                  <c:v>1.9627189578121887E-2</c:v>
                </c:pt>
                <c:pt idx="10">
                  <c:v>1.2447817131397129E-2</c:v>
                </c:pt>
                <c:pt idx="11">
                  <c:v>1.0187599085057834E-2</c:v>
                </c:pt>
                <c:pt idx="12">
                  <c:v>2.6956684626806216E-2</c:v>
                </c:pt>
                <c:pt idx="13">
                  <c:v>1.0329337107452475E-2</c:v>
                </c:pt>
                <c:pt idx="14">
                  <c:v>2.6287235865085679E-2</c:v>
                </c:pt>
              </c:numCache>
            </c:numRef>
          </c:xVal>
          <c:yVal>
            <c:numRef>
              <c:f>'Charts for report'!$F$23:$F$37</c:f>
              <c:numCache>
                <c:formatCode>0.0%</c:formatCode>
                <c:ptCount val="15"/>
                <c:pt idx="0">
                  <c:v>0.7707332824976747</c:v>
                </c:pt>
                <c:pt idx="1">
                  <c:v>0.78383123628149254</c:v>
                </c:pt>
                <c:pt idx="2">
                  <c:v>0.7915015447683188</c:v>
                </c:pt>
                <c:pt idx="3">
                  <c:v>0.79450273880571864</c:v>
                </c:pt>
                <c:pt idx="4">
                  <c:v>0.80083948811586625</c:v>
                </c:pt>
                <c:pt idx="5">
                  <c:v>0.79803763969432517</c:v>
                </c:pt>
                <c:pt idx="6">
                  <c:v>0.79346084254877591</c:v>
                </c:pt>
                <c:pt idx="7">
                  <c:v>0.77501021852634211</c:v>
                </c:pt>
                <c:pt idx="8">
                  <c:v>0.82275656813408993</c:v>
                </c:pt>
                <c:pt idx="9">
                  <c:v>0.81336213522486223</c:v>
                </c:pt>
                <c:pt idx="10">
                  <c:v>0.79787325649031382</c:v>
                </c:pt>
                <c:pt idx="11">
                  <c:v>0.76250572600491529</c:v>
                </c:pt>
                <c:pt idx="12">
                  <c:v>0.81291374479376588</c:v>
                </c:pt>
                <c:pt idx="13">
                  <c:v>0.75041414384488758</c:v>
                </c:pt>
                <c:pt idx="14">
                  <c:v>0.81595903437561068</c:v>
                </c:pt>
              </c:numCache>
            </c:numRef>
          </c:yVal>
          <c:smooth val="0"/>
          <c:extLst>
            <c:ext xmlns:c16="http://schemas.microsoft.com/office/drawing/2014/chart" uri="{C3380CC4-5D6E-409C-BE32-E72D297353CC}">
              <c16:uniqueId val="{00000001-B25D-42AF-8C8C-3F8BE88D7F54}"/>
            </c:ext>
          </c:extLst>
        </c:ser>
        <c:ser>
          <c:idx val="2"/>
          <c:order val="2"/>
          <c:tx>
            <c:strRef>
              <c:f>'Charts for report'!$H$22</c:f>
              <c:strCache>
                <c:ptCount val="1"/>
                <c:pt idx="0">
                  <c:v>Feb-23</c:v>
                </c:pt>
              </c:strCache>
            </c:strRef>
          </c:tx>
          <c:spPr>
            <a:ln w="25400" cap="rnd">
              <a:noFill/>
              <a:round/>
            </a:ln>
            <a:effectLst/>
          </c:spPr>
          <c:marker>
            <c:symbol val="circle"/>
            <c:size val="5"/>
            <c:spPr>
              <a:solidFill>
                <a:schemeClr val="accent1"/>
              </a:solidFill>
              <a:ln w="9525">
                <a:solidFill>
                  <a:schemeClr val="accent1"/>
                </a:solidFill>
              </a:ln>
              <a:effectLst/>
            </c:spPr>
          </c:marker>
          <c:xVal>
            <c:numRef>
              <c:f>'Charts for report'!$G$23:$G$37</c:f>
              <c:numCache>
                <c:formatCode>0.0%</c:formatCode>
                <c:ptCount val="15"/>
                <c:pt idx="0">
                  <c:v>2.1816457639752242E-2</c:v>
                </c:pt>
                <c:pt idx="1">
                  <c:v>1.502899004927224E-2</c:v>
                </c:pt>
                <c:pt idx="2">
                  <c:v>2.1052189345042108E-2</c:v>
                </c:pt>
                <c:pt idx="3">
                  <c:v>1.5482443483019808E-2</c:v>
                </c:pt>
                <c:pt idx="4">
                  <c:v>2.4619701119599886E-2</c:v>
                </c:pt>
                <c:pt idx="5">
                  <c:v>1.5998630902958909E-2</c:v>
                </c:pt>
                <c:pt idx="6">
                  <c:v>1.6494424238778106E-2</c:v>
                </c:pt>
                <c:pt idx="7">
                  <c:v>1.1061342615932777E-2</c:v>
                </c:pt>
                <c:pt idx="8">
                  <c:v>1.9841971499519818E-2</c:v>
                </c:pt>
                <c:pt idx="9">
                  <c:v>1.9392285579698691E-2</c:v>
                </c:pt>
                <c:pt idx="10">
                  <c:v>1.3881679942675796E-2</c:v>
                </c:pt>
                <c:pt idx="11">
                  <c:v>1.125363010912799E-2</c:v>
                </c:pt>
                <c:pt idx="12">
                  <c:v>2.7732592982212017E-2</c:v>
                </c:pt>
                <c:pt idx="13">
                  <c:v>1.0581621933308633E-2</c:v>
                </c:pt>
                <c:pt idx="14">
                  <c:v>2.7435753534257385E-2</c:v>
                </c:pt>
              </c:numCache>
            </c:numRef>
          </c:xVal>
          <c:yVal>
            <c:numRef>
              <c:f>'Charts for report'!$H$23:$H$37</c:f>
              <c:numCache>
                <c:formatCode>0.0%</c:formatCode>
                <c:ptCount val="15"/>
                <c:pt idx="0">
                  <c:v>0.80348105003278059</c:v>
                </c:pt>
                <c:pt idx="1">
                  <c:v>0.80314481836850582</c:v>
                </c:pt>
                <c:pt idx="2">
                  <c:v>0.80343637047928795</c:v>
                </c:pt>
                <c:pt idx="3">
                  <c:v>0.78626183432888641</c:v>
                </c:pt>
                <c:pt idx="4">
                  <c:v>0.80661775350860054</c:v>
                </c:pt>
                <c:pt idx="5">
                  <c:v>0.79299107122844537</c:v>
                </c:pt>
                <c:pt idx="6">
                  <c:v>0.80425019812936305</c:v>
                </c:pt>
                <c:pt idx="7">
                  <c:v>0.7623454844108819</c:v>
                </c:pt>
                <c:pt idx="8">
                  <c:v>0.8162857248869636</c:v>
                </c:pt>
                <c:pt idx="9">
                  <c:v>0.82668525187707143</c:v>
                </c:pt>
                <c:pt idx="10">
                  <c:v>0.79642571195977729</c:v>
                </c:pt>
                <c:pt idx="11">
                  <c:v>0.77997528360855706</c:v>
                </c:pt>
                <c:pt idx="12">
                  <c:v>0.8462738084164162</c:v>
                </c:pt>
                <c:pt idx="13">
                  <c:v>0.76932724729295177</c:v>
                </c:pt>
                <c:pt idx="14">
                  <c:v>0.84744657945408908</c:v>
                </c:pt>
              </c:numCache>
            </c:numRef>
          </c:yVal>
          <c:smooth val="0"/>
          <c:extLst>
            <c:ext xmlns:c16="http://schemas.microsoft.com/office/drawing/2014/chart" uri="{C3380CC4-5D6E-409C-BE32-E72D297353CC}">
              <c16:uniqueId val="{00000002-B25D-42AF-8C8C-3F8BE88D7F54}"/>
            </c:ext>
          </c:extLst>
        </c:ser>
        <c:dLbls>
          <c:showLegendKey val="0"/>
          <c:showVal val="0"/>
          <c:showCatName val="0"/>
          <c:showSerName val="0"/>
          <c:showPercent val="0"/>
          <c:showBubbleSize val="0"/>
        </c:dLbls>
        <c:axId val="1717541328"/>
        <c:axId val="403642704"/>
      </c:scatterChart>
      <c:valAx>
        <c:axId val="1717541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IVI vacancy ratio</a:t>
                </a:r>
              </a:p>
            </c:rich>
          </c:tx>
          <c:layout>
            <c:manualLayout>
              <c:xMode val="edge"/>
              <c:yMode val="edge"/>
              <c:x val="0.20412753697511013"/>
              <c:y val="0.9059044930604563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642704"/>
        <c:crosses val="autoZero"/>
        <c:crossBetween val="midCat"/>
        <c:majorUnit val="1.0000000000000002E-2"/>
      </c:valAx>
      <c:valAx>
        <c:axId val="40364270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Participation</a:t>
                </a:r>
                <a:r>
                  <a:rPr lang="en-AU" baseline="0"/>
                  <a:t> rate (15-64 years)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541328"/>
        <c:crosses val="max"/>
        <c:crossBetween val="midCat"/>
      </c:valAx>
      <c:spPr>
        <a:noFill/>
        <a:ln>
          <a:noFill/>
        </a:ln>
        <a:effectLst/>
      </c:spPr>
    </c:plotArea>
    <c:legend>
      <c:legendPos val="r"/>
      <c:layout>
        <c:manualLayout>
          <c:xMode val="edge"/>
          <c:yMode val="edge"/>
          <c:x val="0"/>
          <c:y val="6.5088899879046393E-4"/>
          <c:w val="0.68394427290889859"/>
          <c:h val="0.103071996028725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0488845144357"/>
          <c:y val="5.1341890315052506E-2"/>
          <c:w val="0.73348944663167104"/>
          <c:h val="0.7737222870478413"/>
        </c:manualLayout>
      </c:layout>
      <c:scatterChart>
        <c:scatterStyle val="lineMarker"/>
        <c:varyColors val="0"/>
        <c:ser>
          <c:idx val="0"/>
          <c:order val="0"/>
          <c:tx>
            <c:strRef>
              <c:f>'SA4 charts'!$D$3</c:f>
              <c:strCache>
                <c:ptCount val="1"/>
                <c:pt idx="0">
                  <c:v>15-64 participation rate</c:v>
                </c:pt>
              </c:strCache>
            </c:strRef>
          </c:tx>
          <c:spPr>
            <a:ln w="19050" cap="rnd">
              <a:noFill/>
              <a:round/>
            </a:ln>
            <a:effectLst/>
          </c:spPr>
          <c:marker>
            <c:symbol val="circle"/>
            <c:size val="5"/>
            <c:spPr>
              <a:solidFill>
                <a:schemeClr val="accent1"/>
              </a:solidFill>
              <a:ln w="9525">
                <a:solidFill>
                  <a:schemeClr val="accent1"/>
                </a:solidFill>
              </a:ln>
              <a:effectLst/>
            </c:spPr>
          </c:marker>
          <c:dPt>
            <c:idx val="0"/>
            <c:marker>
              <c:symbol val="circle"/>
              <c:size val="5"/>
              <c:spPr>
                <a:solidFill>
                  <a:schemeClr val="accent1"/>
                </a:solidFill>
                <a:ln w="9525">
                  <a:solidFill>
                    <a:schemeClr val="accent1"/>
                  </a:solidFill>
                </a:ln>
                <a:effectLst/>
              </c:spPr>
            </c:marker>
            <c:bubble3D val="0"/>
            <c:extLst>
              <c:ext xmlns:c16="http://schemas.microsoft.com/office/drawing/2014/chart" uri="{C3380CC4-5D6E-409C-BE32-E72D297353CC}">
                <c16:uniqueId val="{00000000-8E1D-4FF9-BBF2-370FA7385102}"/>
              </c:ext>
            </c:extLst>
          </c:dPt>
          <c:dPt>
            <c:idx val="1"/>
            <c:marker>
              <c:symbol val="circle"/>
              <c:size val="5"/>
              <c:spPr>
                <a:solidFill>
                  <a:schemeClr val="accent1"/>
                </a:solidFill>
                <a:ln w="9525">
                  <a:solidFill>
                    <a:schemeClr val="accent1"/>
                  </a:solidFill>
                </a:ln>
                <a:effectLst/>
              </c:spPr>
            </c:marker>
            <c:bubble3D val="0"/>
            <c:extLst>
              <c:ext xmlns:c16="http://schemas.microsoft.com/office/drawing/2014/chart" uri="{C3380CC4-5D6E-409C-BE32-E72D297353CC}">
                <c16:uniqueId val="{00000001-8E1D-4FF9-BBF2-370FA7385102}"/>
              </c:ext>
            </c:extLst>
          </c:dPt>
          <c:dPt>
            <c:idx val="2"/>
            <c:marker>
              <c:symbol val="circle"/>
              <c:size val="5"/>
              <c:spPr>
                <a:solidFill>
                  <a:schemeClr val="accent1"/>
                </a:solidFill>
                <a:ln w="9525">
                  <a:solidFill>
                    <a:schemeClr val="accent1"/>
                  </a:solidFill>
                </a:ln>
                <a:effectLst/>
              </c:spPr>
            </c:marker>
            <c:bubble3D val="0"/>
            <c:extLst>
              <c:ext xmlns:c16="http://schemas.microsoft.com/office/drawing/2014/chart" uri="{C3380CC4-5D6E-409C-BE32-E72D297353CC}">
                <c16:uniqueId val="{00000002-8E1D-4FF9-BBF2-370FA7385102}"/>
              </c:ext>
            </c:extLst>
          </c:dPt>
          <c:dPt>
            <c:idx val="3"/>
            <c:marker>
              <c:symbol val="circle"/>
              <c:size val="5"/>
              <c:spPr>
                <a:solidFill>
                  <a:schemeClr val="accent1"/>
                </a:solidFill>
                <a:ln w="9525">
                  <a:solidFill>
                    <a:schemeClr val="accent1"/>
                  </a:solidFill>
                </a:ln>
                <a:effectLst/>
              </c:spPr>
            </c:marker>
            <c:bubble3D val="0"/>
            <c:spPr>
              <a:ln w="19050" cap="rnd">
                <a:noFill/>
                <a:round/>
              </a:ln>
              <a:effectLst/>
            </c:spPr>
            <c:extLst>
              <c:ext xmlns:c16="http://schemas.microsoft.com/office/drawing/2014/chart" uri="{C3380CC4-5D6E-409C-BE32-E72D297353CC}">
                <c16:uniqueId val="{00000004-8E1D-4FF9-BBF2-370FA7385102}"/>
              </c:ext>
            </c:extLst>
          </c:dPt>
          <c:dPt>
            <c:idx val="7"/>
            <c:marker>
              <c:symbol val="circle"/>
              <c:size val="5"/>
              <c:spPr>
                <a:solidFill>
                  <a:srgbClr val="C00000"/>
                </a:solidFill>
                <a:ln w="9525">
                  <a:solidFill>
                    <a:srgbClr val="C00000"/>
                  </a:solidFill>
                </a:ln>
                <a:effectLst/>
              </c:spPr>
            </c:marker>
            <c:bubble3D val="0"/>
            <c:extLst>
              <c:ext xmlns:c16="http://schemas.microsoft.com/office/drawing/2014/chart" uri="{C3380CC4-5D6E-409C-BE32-E72D297353CC}">
                <c16:uniqueId val="{00000005-8E1D-4FF9-BBF2-370FA7385102}"/>
              </c:ext>
            </c:extLst>
          </c:dPt>
          <c:dPt>
            <c:idx val="19"/>
            <c:marker>
              <c:symbol val="circle"/>
              <c:size val="5"/>
              <c:spPr>
                <a:solidFill>
                  <a:schemeClr val="accent1"/>
                </a:solidFill>
                <a:ln w="9525">
                  <a:solidFill>
                    <a:schemeClr val="accent1"/>
                  </a:solidFill>
                </a:ln>
                <a:effectLst/>
              </c:spPr>
            </c:marker>
            <c:bubble3D val="0"/>
            <c:extLst>
              <c:ext xmlns:c16="http://schemas.microsoft.com/office/drawing/2014/chart" uri="{C3380CC4-5D6E-409C-BE32-E72D297353CC}">
                <c16:uniqueId val="{00000006-8E1D-4FF9-BBF2-370FA7385102}"/>
              </c:ext>
            </c:extLst>
          </c:dPt>
          <c:dPt>
            <c:idx val="49"/>
            <c:marker>
              <c:symbol val="circle"/>
              <c:size val="5"/>
              <c:spPr>
                <a:solidFill>
                  <a:schemeClr val="accent1"/>
                </a:solidFill>
                <a:ln w="9525">
                  <a:solidFill>
                    <a:schemeClr val="accent1"/>
                  </a:solidFill>
                </a:ln>
                <a:effectLst/>
              </c:spPr>
            </c:marker>
            <c:bubble3D val="0"/>
            <c:extLst>
              <c:ext xmlns:c16="http://schemas.microsoft.com/office/drawing/2014/chart" uri="{C3380CC4-5D6E-409C-BE32-E72D297353CC}">
                <c16:uniqueId val="{00000007-8E1D-4FF9-BBF2-370FA7385102}"/>
              </c:ext>
            </c:extLst>
          </c:dPt>
          <c:dPt>
            <c:idx val="52"/>
            <c:marker>
              <c:symbol val="circle"/>
              <c:size val="5"/>
              <c:spPr>
                <a:solidFill>
                  <a:schemeClr val="accent1"/>
                </a:solidFill>
                <a:ln w="9525">
                  <a:solidFill>
                    <a:schemeClr val="accent1"/>
                  </a:solidFill>
                </a:ln>
                <a:effectLst/>
              </c:spPr>
            </c:marker>
            <c:bubble3D val="0"/>
            <c:extLst>
              <c:ext xmlns:c16="http://schemas.microsoft.com/office/drawing/2014/chart" uri="{C3380CC4-5D6E-409C-BE32-E72D297353CC}">
                <c16:uniqueId val="{00000008-8E1D-4FF9-BBF2-370FA7385102}"/>
              </c:ext>
            </c:extLst>
          </c:dPt>
          <c:dPt>
            <c:idx val="59"/>
            <c:marker>
              <c:symbol val="circle"/>
              <c:size val="5"/>
              <c:spPr>
                <a:solidFill>
                  <a:schemeClr val="accent1"/>
                </a:solidFill>
                <a:ln w="9525">
                  <a:solidFill>
                    <a:schemeClr val="accent1"/>
                  </a:solidFill>
                </a:ln>
                <a:effectLst/>
              </c:spPr>
            </c:marker>
            <c:bubble3D val="0"/>
            <c:extLst>
              <c:ext xmlns:c16="http://schemas.microsoft.com/office/drawing/2014/chart" uri="{C3380CC4-5D6E-409C-BE32-E72D297353CC}">
                <c16:uniqueId val="{00000009-8E1D-4FF9-BBF2-370FA7385102}"/>
              </c:ext>
            </c:extLst>
          </c:dPt>
          <c:dPt>
            <c:idx val="63"/>
            <c:marker>
              <c:symbol val="circle"/>
              <c:size val="5"/>
              <c:spPr>
                <a:solidFill>
                  <a:srgbClr val="C00000"/>
                </a:solidFill>
                <a:ln w="9525">
                  <a:solidFill>
                    <a:srgbClr val="C00000"/>
                  </a:solidFill>
                </a:ln>
                <a:effectLst/>
              </c:spPr>
            </c:marker>
            <c:bubble3D val="0"/>
            <c:extLst>
              <c:ext xmlns:c16="http://schemas.microsoft.com/office/drawing/2014/chart" uri="{C3380CC4-5D6E-409C-BE32-E72D297353CC}">
                <c16:uniqueId val="{0000000A-8E1D-4FF9-BBF2-370FA7385102}"/>
              </c:ext>
            </c:extLst>
          </c:dPt>
          <c:dPt>
            <c:idx val="72"/>
            <c:marker>
              <c:symbol val="circle"/>
              <c:size val="5"/>
              <c:spPr>
                <a:solidFill>
                  <a:srgbClr val="C00000"/>
                </a:solidFill>
                <a:ln w="9525">
                  <a:solidFill>
                    <a:srgbClr val="C00000"/>
                  </a:solidFill>
                </a:ln>
                <a:effectLst/>
              </c:spPr>
            </c:marker>
            <c:bubble3D val="0"/>
            <c:extLst>
              <c:ext xmlns:c16="http://schemas.microsoft.com/office/drawing/2014/chart" uri="{C3380CC4-5D6E-409C-BE32-E72D297353CC}">
                <c16:uniqueId val="{0000000B-8E1D-4FF9-BBF2-370FA7385102}"/>
              </c:ext>
            </c:extLst>
          </c:dPt>
          <c:dPt>
            <c:idx val="83"/>
            <c:marker>
              <c:symbol val="circle"/>
              <c:size val="5"/>
              <c:spPr>
                <a:solidFill>
                  <a:schemeClr val="accent1"/>
                </a:solidFill>
                <a:ln w="9525">
                  <a:solidFill>
                    <a:schemeClr val="accent1"/>
                  </a:solidFill>
                </a:ln>
                <a:effectLst/>
              </c:spPr>
            </c:marker>
            <c:bubble3D val="0"/>
            <c:extLst>
              <c:ext xmlns:c16="http://schemas.microsoft.com/office/drawing/2014/chart" uri="{C3380CC4-5D6E-409C-BE32-E72D297353CC}">
                <c16:uniqueId val="{0000000C-8E1D-4FF9-BBF2-370FA7385102}"/>
              </c:ext>
            </c:extLst>
          </c:dPt>
          <c:dPt>
            <c:idx val="85"/>
            <c:marker>
              <c:symbol val="circle"/>
              <c:size val="5"/>
              <c:spPr>
                <a:solidFill>
                  <a:schemeClr val="accent1"/>
                </a:solidFill>
                <a:ln w="9525">
                  <a:solidFill>
                    <a:schemeClr val="accent1"/>
                  </a:solidFill>
                </a:ln>
                <a:effectLst/>
              </c:spPr>
            </c:marker>
            <c:bubble3D val="0"/>
            <c:extLst>
              <c:ext xmlns:c16="http://schemas.microsoft.com/office/drawing/2014/chart" uri="{C3380CC4-5D6E-409C-BE32-E72D297353CC}">
                <c16:uniqueId val="{0000000D-8E1D-4FF9-BBF2-370FA7385102}"/>
              </c:ext>
            </c:extLst>
          </c:dPt>
          <c:dPt>
            <c:idx val="86"/>
            <c:marker>
              <c:symbol val="circle"/>
              <c:size val="5"/>
              <c:spPr>
                <a:solidFill>
                  <a:schemeClr val="accent1"/>
                </a:solidFill>
                <a:ln w="9525">
                  <a:solidFill>
                    <a:schemeClr val="accent1"/>
                  </a:solidFill>
                </a:ln>
                <a:effectLst/>
              </c:spPr>
            </c:marker>
            <c:bubble3D val="0"/>
            <c:extLst>
              <c:ext xmlns:c16="http://schemas.microsoft.com/office/drawing/2014/chart" uri="{C3380CC4-5D6E-409C-BE32-E72D297353CC}">
                <c16:uniqueId val="{0000000E-8E1D-4FF9-BBF2-370FA7385102}"/>
              </c:ext>
            </c:extLst>
          </c:dPt>
          <c:dLbls>
            <c:dLbl>
              <c:idx val="7"/>
              <c:layout>
                <c:manualLayout>
                  <c:x val="6.9444444444444441E-3"/>
                  <c:y val="9.3348891481912794E-3"/>
                </c:manualLayout>
              </c:layout>
              <c:tx>
                <c:rich>
                  <a:bodyPr/>
                  <a:lstStyle/>
                  <a:p>
                    <a:r>
                      <a:rPr lang="en-US"/>
                      <a:t>Mandurah</a:t>
                    </a:r>
                    <a:r>
                      <a:rPr lang="en-US" baseline="0"/>
                      <a:t> (WA)</a:t>
                    </a:r>
                    <a:endParaRPr lang="en-US"/>
                  </a:p>
                </c:rich>
              </c:tx>
              <c:showLegendKey val="0"/>
              <c:showVal val="1"/>
              <c:showCatName val="0"/>
              <c:showSerName val="0"/>
              <c:showPercent val="0"/>
              <c:showBubbleSize val="0"/>
              <c:extLst>
                <c:ext xmlns:c15="http://schemas.microsoft.com/office/drawing/2012/chart" uri="{CE6537A1-D6FC-4f65-9D91-7224C49458BB}">
                  <c15:layout>
                    <c:manualLayout>
                      <c:w val="0.2304688867016623"/>
                      <c:h val="0.11654609101516919"/>
                    </c:manualLayout>
                  </c15:layout>
                  <c15:showDataLabelsRange val="0"/>
                </c:ext>
                <c:ext xmlns:c16="http://schemas.microsoft.com/office/drawing/2014/chart" uri="{C3380CC4-5D6E-409C-BE32-E72D297353CC}">
                  <c16:uniqueId val="{00000005-8E1D-4FF9-BBF2-370FA7385102}"/>
                </c:ext>
              </c:extLst>
            </c:dLbl>
            <c:dLbl>
              <c:idx val="19"/>
              <c:delete val="1"/>
              <c:extLst>
                <c:ext xmlns:c15="http://schemas.microsoft.com/office/drawing/2012/chart" uri="{CE6537A1-D6FC-4f65-9D91-7224C49458BB}">
                  <c15:layout>
                    <c:manualLayout>
                      <c:w val="0.20279500218722657"/>
                      <c:h val="0.11654609101516919"/>
                    </c:manualLayout>
                  </c15:layout>
                </c:ext>
                <c:ext xmlns:c16="http://schemas.microsoft.com/office/drawing/2014/chart" uri="{C3380CC4-5D6E-409C-BE32-E72D297353CC}">
                  <c16:uniqueId val="{00000006-8E1D-4FF9-BBF2-370FA7385102}"/>
                </c:ext>
              </c:extLst>
            </c:dLbl>
            <c:dLbl>
              <c:idx val="49"/>
              <c:delete val="1"/>
              <c:extLst>
                <c:ext xmlns:c15="http://schemas.microsoft.com/office/drawing/2012/chart" uri="{CE6537A1-D6FC-4f65-9D91-7224C49458BB}">
                  <c15:layout>
                    <c:manualLayout>
                      <c:w val="0.28937499999999999"/>
                      <c:h val="0.11654609101516919"/>
                    </c:manualLayout>
                  </c15:layout>
                </c:ext>
                <c:ext xmlns:c16="http://schemas.microsoft.com/office/drawing/2014/chart" uri="{C3380CC4-5D6E-409C-BE32-E72D297353CC}">
                  <c16:uniqueId val="{00000007-8E1D-4FF9-BBF2-370FA7385102}"/>
                </c:ext>
              </c:extLst>
            </c:dLbl>
            <c:dLbl>
              <c:idx val="59"/>
              <c:delete val="1"/>
              <c:extLst>
                <c:ext xmlns:c15="http://schemas.microsoft.com/office/drawing/2012/chart" uri="{CE6537A1-D6FC-4f65-9D91-7224C49458BB}">
                  <c15:layout>
                    <c:manualLayout>
                      <c:w val="0.22791666666666666"/>
                      <c:h val="0.11654609101516919"/>
                    </c:manualLayout>
                  </c15:layout>
                </c:ext>
                <c:ext xmlns:c16="http://schemas.microsoft.com/office/drawing/2014/chart" uri="{C3380CC4-5D6E-409C-BE32-E72D297353CC}">
                  <c16:uniqueId val="{00000009-8E1D-4FF9-BBF2-370FA7385102}"/>
                </c:ext>
              </c:extLst>
            </c:dLbl>
            <c:dLbl>
              <c:idx val="63"/>
              <c:layout>
                <c:manualLayout>
                  <c:x val="-0.11458333333333333"/>
                  <c:y val="5.6009334889148193E-2"/>
                </c:manualLayout>
              </c:layout>
              <c:tx>
                <c:rich>
                  <a:bodyPr/>
                  <a:lstStyle/>
                  <a:p>
                    <a:r>
                      <a:rPr lang="en-US"/>
                      <a:t>Wide</a:t>
                    </a:r>
                    <a:r>
                      <a:rPr lang="en-US" baseline="0"/>
                      <a:t> Bay (QLD)</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8E1D-4FF9-BBF2-370FA7385102}"/>
                </c:ext>
              </c:extLst>
            </c:dLbl>
            <c:dLbl>
              <c:idx val="72"/>
              <c:layout>
                <c:manualLayout>
                  <c:x val="2.430582895888014E-2"/>
                  <c:y val="-8.401400233372229E-2"/>
                </c:manualLayout>
              </c:layout>
              <c:tx>
                <c:rich>
                  <a:bodyPr rot="0" spcFirstLastPara="1" vertOverflow="ellipsis" vert="horz" wrap="square" lIns="38100" tIns="19050" rIns="38100" bIns="19050" anchor="ctr" anchorCtr="0">
                    <a:spAutoFit/>
                  </a:bodyPr>
                  <a:lstStyle/>
                  <a:p>
                    <a:pPr algn="ctr">
                      <a:defRPr sz="900" b="0" i="0" u="none" strike="noStrike" kern="1200" baseline="0">
                        <a:solidFill>
                          <a:schemeClr val="tx1">
                            <a:lumMod val="75000"/>
                            <a:lumOff val="25000"/>
                          </a:schemeClr>
                        </a:solidFill>
                        <a:latin typeface="+mn-lt"/>
                        <a:ea typeface="+mn-ea"/>
                        <a:cs typeface="+mn-cs"/>
                      </a:defRPr>
                    </a:pPr>
                    <a:r>
                      <a:rPr lang="en-US"/>
                      <a:t>Mid North Coast (NSW)</a:t>
                    </a:r>
                  </a:p>
                </c:rich>
              </c:tx>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8692722003499562"/>
                      <c:h val="0.11654609101516919"/>
                    </c:manualLayout>
                  </c15:layout>
                  <c15:showDataLabelsRange val="0"/>
                </c:ext>
                <c:ext xmlns:c16="http://schemas.microsoft.com/office/drawing/2014/chart" uri="{C3380CC4-5D6E-409C-BE32-E72D297353CC}">
                  <c16:uniqueId val="{0000000B-8E1D-4FF9-BBF2-370FA73851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'SA4 charts'!$C$4:$C$90</c:f>
              <c:numCache>
                <c:formatCode>0.0%</c:formatCode>
                <c:ptCount val="87"/>
                <c:pt idx="0">
                  <c:v>1.1961593234121274E-2</c:v>
                </c:pt>
                <c:pt idx="1">
                  <c:v>1.2904184285669792E-2</c:v>
                </c:pt>
                <c:pt idx="2">
                  <c:v>1.0537846680506974E-2</c:v>
                </c:pt>
                <c:pt idx="3">
                  <c:v>1.4911840912760743E-2</c:v>
                </c:pt>
                <c:pt idx="4">
                  <c:v>1.7928212353862643E-2</c:v>
                </c:pt>
                <c:pt idx="5">
                  <c:v>1.7127702305186503E-2</c:v>
                </c:pt>
                <c:pt idx="6">
                  <c:v>1.1916363335401109E-2</c:v>
                </c:pt>
                <c:pt idx="7" formatCode="0.00%">
                  <c:v>1.7868659976652525E-2</c:v>
                </c:pt>
                <c:pt idx="8">
                  <c:v>1.5183382643057358E-2</c:v>
                </c:pt>
                <c:pt idx="9">
                  <c:v>1.5704166122925196E-2</c:v>
                </c:pt>
                <c:pt idx="10">
                  <c:v>1.7410447805934606E-2</c:v>
                </c:pt>
                <c:pt idx="11">
                  <c:v>1.3485759089328111E-2</c:v>
                </c:pt>
                <c:pt idx="12">
                  <c:v>2.0476083697568252E-2</c:v>
                </c:pt>
                <c:pt idx="13">
                  <c:v>1.2684956077256034E-2</c:v>
                </c:pt>
                <c:pt idx="14">
                  <c:v>1.3520347294694569E-2</c:v>
                </c:pt>
                <c:pt idx="15">
                  <c:v>1.3838073380158565E-2</c:v>
                </c:pt>
                <c:pt idx="16">
                  <c:v>8.2260533260947899E-2</c:v>
                </c:pt>
                <c:pt idx="17">
                  <c:v>1.8758796986825012E-2</c:v>
                </c:pt>
                <c:pt idx="18">
                  <c:v>1.424837299919984E-2</c:v>
                </c:pt>
                <c:pt idx="19">
                  <c:v>1.7304521174405015E-2</c:v>
                </c:pt>
                <c:pt idx="20">
                  <c:v>2.7336160428385426E-2</c:v>
                </c:pt>
                <c:pt idx="21">
                  <c:v>1.6950344584774089E-2</c:v>
                </c:pt>
                <c:pt idx="22">
                  <c:v>1.3504452710348162E-2</c:v>
                </c:pt>
                <c:pt idx="23">
                  <c:v>7.0390479579673605E-3</c:v>
                </c:pt>
                <c:pt idx="24">
                  <c:v>2.4730242744778339E-2</c:v>
                </c:pt>
                <c:pt idx="25">
                  <c:v>2.5252366482627239E-2</c:v>
                </c:pt>
                <c:pt idx="26">
                  <c:v>1.621444655462698E-2</c:v>
                </c:pt>
                <c:pt idx="27">
                  <c:v>1.4713801208726415E-2</c:v>
                </c:pt>
                <c:pt idx="28">
                  <c:v>1.6619329704188671E-2</c:v>
                </c:pt>
                <c:pt idx="29">
                  <c:v>1.2369889826634051E-2</c:v>
                </c:pt>
                <c:pt idx="30">
                  <c:v>1.4503034439179399E-2</c:v>
                </c:pt>
                <c:pt idx="31">
                  <c:v>1.3452193188030426E-2</c:v>
                </c:pt>
                <c:pt idx="32">
                  <c:v>2.067740057305795E-2</c:v>
                </c:pt>
                <c:pt idx="33">
                  <c:v>5.0780375715590464E-2</c:v>
                </c:pt>
                <c:pt idx="34">
                  <c:v>2.0020126325664706E-2</c:v>
                </c:pt>
                <c:pt idx="35">
                  <c:v>1.8068019515908633E-2</c:v>
                </c:pt>
                <c:pt idx="36">
                  <c:v>1.3252641781759488E-2</c:v>
                </c:pt>
                <c:pt idx="37">
                  <c:v>1.7359018479526863E-2</c:v>
                </c:pt>
                <c:pt idx="38">
                  <c:v>1.6803488839353495E-2</c:v>
                </c:pt>
                <c:pt idx="39">
                  <c:v>1.8617336214587582E-2</c:v>
                </c:pt>
                <c:pt idx="40">
                  <c:v>1.2606955161575747E-2</c:v>
                </c:pt>
                <c:pt idx="41">
                  <c:v>1.6245964049452267E-2</c:v>
                </c:pt>
                <c:pt idx="42">
                  <c:v>1.3137616420513315E-2</c:v>
                </c:pt>
                <c:pt idx="43">
                  <c:v>1.4315406167272525E-2</c:v>
                </c:pt>
                <c:pt idx="44">
                  <c:v>1.6908266161378267E-2</c:v>
                </c:pt>
                <c:pt idx="45">
                  <c:v>2.17784383641586E-2</c:v>
                </c:pt>
                <c:pt idx="46">
                  <c:v>3.2821096021327011E-2</c:v>
                </c:pt>
                <c:pt idx="47">
                  <c:v>2.7035247321667396E-2</c:v>
                </c:pt>
                <c:pt idx="48">
                  <c:v>2.0116073511573102E-2</c:v>
                </c:pt>
                <c:pt idx="49">
                  <c:v>5.5429752746168195E-2</c:v>
                </c:pt>
                <c:pt idx="50">
                  <c:v>2.3055087124621437E-2</c:v>
                </c:pt>
                <c:pt idx="51">
                  <c:v>1.1587222906211597E-2</c:v>
                </c:pt>
                <c:pt idx="52">
                  <c:v>1.3076819338849219E-2</c:v>
                </c:pt>
                <c:pt idx="53">
                  <c:v>1.3872603280959267E-2</c:v>
                </c:pt>
                <c:pt idx="54">
                  <c:v>1.1914063206336071E-2</c:v>
                </c:pt>
                <c:pt idx="55">
                  <c:v>1.086596334985894E-2</c:v>
                </c:pt>
                <c:pt idx="56">
                  <c:v>1.3780085520558691E-2</c:v>
                </c:pt>
                <c:pt idx="57">
                  <c:v>1.8945174081929951E-2</c:v>
                </c:pt>
                <c:pt idx="58">
                  <c:v>1.439430369627262E-2</c:v>
                </c:pt>
                <c:pt idx="59">
                  <c:v>3.4091651705050026E-2</c:v>
                </c:pt>
                <c:pt idx="60">
                  <c:v>1.4620415520188253E-2</c:v>
                </c:pt>
                <c:pt idx="61">
                  <c:v>1.0731979845513214E-2</c:v>
                </c:pt>
                <c:pt idx="62">
                  <c:v>2.4352574477117025E-2</c:v>
                </c:pt>
                <c:pt idx="63">
                  <c:v>1.3468462507597985E-2</c:v>
                </c:pt>
                <c:pt idx="64">
                  <c:v>2.5807386084458907E-2</c:v>
                </c:pt>
                <c:pt idx="65">
                  <c:v>1.1889600522064147E-2</c:v>
                </c:pt>
                <c:pt idx="66">
                  <c:v>1.1139500508529684E-2</c:v>
                </c:pt>
                <c:pt idx="67">
                  <c:v>1.9871658625990132E-2</c:v>
                </c:pt>
                <c:pt idx="68">
                  <c:v>1.2595633280096103E-2</c:v>
                </c:pt>
                <c:pt idx="69">
                  <c:v>1.5063683653901526E-2</c:v>
                </c:pt>
                <c:pt idx="70">
                  <c:v>8.4784739304863636E-3</c:v>
                </c:pt>
                <c:pt idx="71">
                  <c:v>9.2344764966601593E-3</c:v>
                </c:pt>
                <c:pt idx="72" formatCode="0.00%">
                  <c:v>1.7687592682452857E-2</c:v>
                </c:pt>
                <c:pt idx="73">
                  <c:v>5.7886219236653581E-2</c:v>
                </c:pt>
                <c:pt idx="74">
                  <c:v>1.5595736030539089E-2</c:v>
                </c:pt>
                <c:pt idx="75">
                  <c:v>1.353911030418942E-2</c:v>
                </c:pt>
                <c:pt idx="76">
                  <c:v>1.7891076902627711E-2</c:v>
                </c:pt>
                <c:pt idx="77">
                  <c:v>1.6928424474455396E-2</c:v>
                </c:pt>
                <c:pt idx="78">
                  <c:v>2.8570310979342615E-2</c:v>
                </c:pt>
                <c:pt idx="79">
                  <c:v>1.9243380744607106E-2</c:v>
                </c:pt>
                <c:pt idx="80">
                  <c:v>1.3881679942675796E-2</c:v>
                </c:pt>
                <c:pt idx="81">
                  <c:v>1.1453399879296871E-2</c:v>
                </c:pt>
                <c:pt idx="82">
                  <c:v>7.986371480115384E-3</c:v>
                </c:pt>
                <c:pt idx="83">
                  <c:v>1.2197672106003921E-2</c:v>
                </c:pt>
                <c:pt idx="84">
                  <c:v>2.7732592982212017E-2</c:v>
                </c:pt>
                <c:pt idx="85">
                  <c:v>1.0581621933308633E-2</c:v>
                </c:pt>
                <c:pt idx="86">
                  <c:v>2.7435753534257385E-2</c:v>
                </c:pt>
              </c:numCache>
            </c:numRef>
          </c:xVal>
          <c:yVal>
            <c:numRef>
              <c:f>'SA4 charts'!$D$4:$D$90</c:f>
              <c:numCache>
                <c:formatCode>0.0%</c:formatCode>
                <c:ptCount val="87"/>
                <c:pt idx="0">
                  <c:v>0.79135434337372734</c:v>
                </c:pt>
                <c:pt idx="1">
                  <c:v>0.77219272209327749</c:v>
                </c:pt>
                <c:pt idx="2">
                  <c:v>0.83839560033518434</c:v>
                </c:pt>
                <c:pt idx="3">
                  <c:v>0.7792236230449936</c:v>
                </c:pt>
                <c:pt idx="4">
                  <c:v>0.80562594699827172</c:v>
                </c:pt>
                <c:pt idx="5">
                  <c:v>0.81368945373847468</c:v>
                </c:pt>
                <c:pt idx="6">
                  <c:v>0.81603670686847951</c:v>
                </c:pt>
                <c:pt idx="7" formatCode="0.00%">
                  <c:v>0.69769862583964004</c:v>
                </c:pt>
                <c:pt idx="8">
                  <c:v>0.81122305665781425</c:v>
                </c:pt>
                <c:pt idx="9">
                  <c:v>0.8073030238211274</c:v>
                </c:pt>
                <c:pt idx="10">
                  <c:v>0.83566632552675557</c:v>
                </c:pt>
                <c:pt idx="11">
                  <c:v>0.81708706044865897</c:v>
                </c:pt>
                <c:pt idx="12">
                  <c:v>0.77803328207516254</c:v>
                </c:pt>
                <c:pt idx="13">
                  <c:v>0.76444882851486373</c:v>
                </c:pt>
                <c:pt idx="14">
                  <c:v>0.8331753744332826</c:v>
                </c:pt>
                <c:pt idx="15">
                  <c:v>0.81649718362467127</c:v>
                </c:pt>
                <c:pt idx="16">
                  <c:v>0.83139530981743304</c:v>
                </c:pt>
                <c:pt idx="17">
                  <c:v>0.83599579908944255</c:v>
                </c:pt>
                <c:pt idx="18">
                  <c:v>0.7870924380838038</c:v>
                </c:pt>
                <c:pt idx="19">
                  <c:v>0.86237222301546423</c:v>
                </c:pt>
                <c:pt idx="20">
                  <c:v>0.82428231160691201</c:v>
                </c:pt>
                <c:pt idx="21">
                  <c:v>0.85425230422820253</c:v>
                </c:pt>
                <c:pt idx="22">
                  <c:v>0.80807493511958572</c:v>
                </c:pt>
                <c:pt idx="23">
                  <c:v>0.79276516762525606</c:v>
                </c:pt>
                <c:pt idx="24">
                  <c:v>0.77552204758331722</c:v>
                </c:pt>
                <c:pt idx="25">
                  <c:v>0.82886852415626289</c:v>
                </c:pt>
                <c:pt idx="26">
                  <c:v>0.70328491636497792</c:v>
                </c:pt>
                <c:pt idx="27">
                  <c:v>0.83620648846135925</c:v>
                </c:pt>
                <c:pt idx="28">
                  <c:v>0.74960637565649169</c:v>
                </c:pt>
                <c:pt idx="29">
                  <c:v>0.83374691605723905</c:v>
                </c:pt>
                <c:pt idx="30">
                  <c:v>0.77839758780641499</c:v>
                </c:pt>
                <c:pt idx="31">
                  <c:v>0.79191896805519879</c:v>
                </c:pt>
                <c:pt idx="32">
                  <c:v>0.75197229168567115</c:v>
                </c:pt>
                <c:pt idx="33">
                  <c:v>0.82463787011418155</c:v>
                </c:pt>
                <c:pt idx="34">
                  <c:v>0.80948119061782497</c:v>
                </c:pt>
                <c:pt idx="35">
                  <c:v>0.81914371318300927</c:v>
                </c:pt>
                <c:pt idx="36">
                  <c:v>0.81921039042807542</c:v>
                </c:pt>
                <c:pt idx="37">
                  <c:v>0.75032965717202882</c:v>
                </c:pt>
                <c:pt idx="38">
                  <c:v>0.83927136377329314</c:v>
                </c:pt>
                <c:pt idx="39">
                  <c:v>0.77611144772852514</c:v>
                </c:pt>
                <c:pt idx="40">
                  <c:v>0.79255924985706538</c:v>
                </c:pt>
                <c:pt idx="41">
                  <c:v>0.82853819533188156</c:v>
                </c:pt>
                <c:pt idx="42">
                  <c:v>0.8178443611634495</c:v>
                </c:pt>
                <c:pt idx="43">
                  <c:v>0.8007081259744343</c:v>
                </c:pt>
                <c:pt idx="44">
                  <c:v>0.80872311525251661</c:v>
                </c:pt>
                <c:pt idx="45">
                  <c:v>0.84333714107352697</c:v>
                </c:pt>
                <c:pt idx="46">
                  <c:v>0.82752494237211482</c:v>
                </c:pt>
                <c:pt idx="47">
                  <c:v>0.7998721219035354</c:v>
                </c:pt>
                <c:pt idx="48">
                  <c:v>0.82884815812936186</c:v>
                </c:pt>
                <c:pt idx="49">
                  <c:v>0.86488678547889786</c:v>
                </c:pt>
                <c:pt idx="50">
                  <c:v>0.82110431521582961</c:v>
                </c:pt>
                <c:pt idx="51">
                  <c:v>0.76715657803179704</c:v>
                </c:pt>
                <c:pt idx="52">
                  <c:v>0.85256280127349282</c:v>
                </c:pt>
                <c:pt idx="53">
                  <c:v>0.82149135335835</c:v>
                </c:pt>
                <c:pt idx="54">
                  <c:v>0.74770340488276377</c:v>
                </c:pt>
                <c:pt idx="55">
                  <c:v>0.76777210863498158</c:v>
                </c:pt>
                <c:pt idx="56">
                  <c:v>0.80947133814930372</c:v>
                </c:pt>
                <c:pt idx="57">
                  <c:v>0.78101650180222548</c:v>
                </c:pt>
                <c:pt idx="58">
                  <c:v>0.84359812466334871</c:v>
                </c:pt>
                <c:pt idx="59">
                  <c:v>0.67174220158816045</c:v>
                </c:pt>
                <c:pt idx="60">
                  <c:v>0.806501599520692</c:v>
                </c:pt>
                <c:pt idx="61">
                  <c:v>0.76556290936293203</c:v>
                </c:pt>
                <c:pt idx="62">
                  <c:v>0.79466217494799862</c:v>
                </c:pt>
                <c:pt idx="63">
                  <c:v>0.68842863833044243</c:v>
                </c:pt>
                <c:pt idx="64">
                  <c:v>0.82500170847772503</c:v>
                </c:pt>
                <c:pt idx="65">
                  <c:v>0.78230242459409471</c:v>
                </c:pt>
                <c:pt idx="66">
                  <c:v>0.81478815186862485</c:v>
                </c:pt>
                <c:pt idx="67">
                  <c:v>0.80329429765198745</c:v>
                </c:pt>
                <c:pt idx="68">
                  <c:v>0.74220212039239719</c:v>
                </c:pt>
                <c:pt idx="69">
                  <c:v>0.76844115128961321</c:v>
                </c:pt>
                <c:pt idx="70">
                  <c:v>0.77119552359572963</c:v>
                </c:pt>
                <c:pt idx="71">
                  <c:v>0.83175979588019888</c:v>
                </c:pt>
                <c:pt idx="72" formatCode="0.00%">
                  <c:v>0.69809377174136278</c:v>
                </c:pt>
                <c:pt idx="73">
                  <c:v>0.81533843883488666</c:v>
                </c:pt>
                <c:pt idx="74">
                  <c:v>0.8273072787568746</c:v>
                </c:pt>
                <c:pt idx="75">
                  <c:v>0.83228409630866795</c:v>
                </c:pt>
                <c:pt idx="76">
                  <c:v>0.80554699464768009</c:v>
                </c:pt>
                <c:pt idx="77">
                  <c:v>0.82493567528479406</c:v>
                </c:pt>
                <c:pt idx="78">
                  <c:v>0.83000825904782372</c:v>
                </c:pt>
                <c:pt idx="79">
                  <c:v>0.81306786158829913</c:v>
                </c:pt>
                <c:pt idx="80">
                  <c:v>0.79642571195977729</c:v>
                </c:pt>
                <c:pt idx="81">
                  <c:v>0.79476407782546377</c:v>
                </c:pt>
                <c:pt idx="82">
                  <c:v>0.74151364990779955</c:v>
                </c:pt>
                <c:pt idx="83">
                  <c:v>0.77400229459862235</c:v>
                </c:pt>
                <c:pt idx="84">
                  <c:v>0.8462738084164162</c:v>
                </c:pt>
                <c:pt idx="85">
                  <c:v>0.76932724729295177</c:v>
                </c:pt>
                <c:pt idx="86">
                  <c:v>0.84744657945408908</c:v>
                </c:pt>
              </c:numCache>
            </c:numRef>
          </c:yVal>
          <c:smooth val="0"/>
          <c:extLst>
            <c:ext xmlns:c16="http://schemas.microsoft.com/office/drawing/2014/chart" uri="{C3380CC4-5D6E-409C-BE32-E72D297353CC}">
              <c16:uniqueId val="{0000000F-8E1D-4FF9-BBF2-370FA7385102}"/>
            </c:ext>
          </c:extLst>
        </c:ser>
        <c:dLbls>
          <c:showLegendKey val="0"/>
          <c:showVal val="0"/>
          <c:showCatName val="0"/>
          <c:showSerName val="0"/>
          <c:showPercent val="0"/>
          <c:showBubbleSize val="0"/>
        </c:dLbls>
        <c:axId val="1156787280"/>
        <c:axId val="1688839168"/>
      </c:scatterChart>
      <c:valAx>
        <c:axId val="1156787280"/>
        <c:scaling>
          <c:orientation val="minMax"/>
          <c:max val="0.1"/>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IVI vacancy</a:t>
                </a:r>
                <a:r>
                  <a:rPr lang="en-AU" baseline="0"/>
                  <a:t> ratio</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839168"/>
        <c:crosses val="autoZero"/>
        <c:crossBetween val="midCat"/>
      </c:valAx>
      <c:valAx>
        <c:axId val="1688839168"/>
        <c:scaling>
          <c:orientation val="minMax"/>
          <c:max val="0.9"/>
          <c:min val="0.65000000000000013"/>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Participation</a:t>
                </a:r>
                <a:r>
                  <a:rPr lang="en-AU" baseline="0"/>
                  <a:t> rate (15-64 years)</a:t>
                </a:r>
                <a:endParaRPr lang="en-AU"/>
              </a:p>
            </c:rich>
          </c:tx>
          <c:layout>
            <c:manualLayout>
              <c:xMode val="edge"/>
              <c:yMode val="edge"/>
              <c:x val="2.7777777777777776E-2"/>
              <c:y val="0.1038506417736289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67872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092642895620581E-2"/>
          <c:y val="6.002119300304852E-2"/>
          <c:w val="0.87776715683465334"/>
          <c:h val="0.8125709043651097"/>
        </c:manualLayout>
      </c:layout>
      <c:lineChart>
        <c:grouping val="standard"/>
        <c:varyColors val="0"/>
        <c:ser>
          <c:idx val="1"/>
          <c:order val="0"/>
          <c:tx>
            <c:strRef>
              <c:f>'Chart 3 - Difficulty rate'!$B$2</c:f>
              <c:strCache>
                <c:ptCount val="1"/>
                <c:pt idx="0">
                  <c:v>Capital Cities</c:v>
                </c:pt>
              </c:strCache>
            </c:strRef>
          </c:tx>
          <c:spPr>
            <a:ln w="25400" cap="rnd">
              <a:solidFill>
                <a:schemeClr val="bg2"/>
              </a:solidFill>
              <a:round/>
            </a:ln>
            <a:effectLst/>
          </c:spPr>
          <c:marker>
            <c:symbol val="none"/>
          </c:marker>
          <c:dPt>
            <c:idx val="6"/>
            <c:marker>
              <c:symbol val="none"/>
            </c:marker>
            <c:bubble3D val="0"/>
            <c:spPr>
              <a:ln w="25400" cap="rnd">
                <a:solidFill>
                  <a:schemeClr val="bg2"/>
                </a:solidFill>
                <a:prstDash val="sysDot"/>
                <a:round/>
              </a:ln>
              <a:effectLst/>
            </c:spPr>
            <c:extLst>
              <c:ext xmlns:c16="http://schemas.microsoft.com/office/drawing/2014/chart" uri="{C3380CC4-5D6E-409C-BE32-E72D297353CC}">
                <c16:uniqueId val="{00000001-E8F4-4FC7-9BF8-23F5C544F8EF}"/>
              </c:ext>
            </c:extLst>
          </c:dPt>
          <c:dPt>
            <c:idx val="18"/>
            <c:marker>
              <c:symbol val="none"/>
            </c:marker>
            <c:bubble3D val="0"/>
            <c:spPr>
              <a:ln w="25400" cap="rnd">
                <a:solidFill>
                  <a:schemeClr val="bg2"/>
                </a:solidFill>
                <a:prstDash val="sysDot"/>
                <a:round/>
              </a:ln>
              <a:effectLst/>
            </c:spPr>
            <c:extLst>
              <c:ext xmlns:c16="http://schemas.microsoft.com/office/drawing/2014/chart" uri="{C3380CC4-5D6E-409C-BE32-E72D297353CC}">
                <c16:uniqueId val="{00000003-E8F4-4FC7-9BF8-23F5C544F8EF}"/>
              </c:ext>
            </c:extLst>
          </c:dPt>
          <c:dPt>
            <c:idx val="30"/>
            <c:marker>
              <c:symbol val="none"/>
            </c:marker>
            <c:bubble3D val="0"/>
            <c:spPr>
              <a:ln w="25400" cap="rnd">
                <a:solidFill>
                  <a:schemeClr val="bg2"/>
                </a:solidFill>
                <a:prstDash val="sysDot"/>
                <a:round/>
                <a:tailEnd type="none"/>
              </a:ln>
              <a:effectLst/>
            </c:spPr>
            <c:extLst>
              <c:ext xmlns:c16="http://schemas.microsoft.com/office/drawing/2014/chart" uri="{C3380CC4-5D6E-409C-BE32-E72D297353CC}">
                <c16:uniqueId val="{00000005-E8F4-4FC7-9BF8-23F5C544F8EF}"/>
              </c:ext>
            </c:extLst>
          </c:dPt>
          <c:cat>
            <c:numRef>
              <c:f>'Chart 3 - Difficulty rate'!$A$3:$A$34</c:f>
              <c:numCache>
                <c:formatCode>mmm\-yy</c:formatCode>
                <c:ptCount val="32"/>
                <c:pt idx="0">
                  <c:v>44074</c:v>
                </c:pt>
                <c:pt idx="1">
                  <c:v>44104</c:v>
                </c:pt>
                <c:pt idx="2">
                  <c:v>44135</c:v>
                </c:pt>
                <c:pt idx="3">
                  <c:v>44165</c:v>
                </c:pt>
                <c:pt idx="4">
                  <c:v>44196</c:v>
                </c:pt>
                <c:pt idx="5">
                  <c:v>44227</c:v>
                </c:pt>
                <c:pt idx="6">
                  <c:v>44255</c:v>
                </c:pt>
                <c:pt idx="7">
                  <c:v>44286</c:v>
                </c:pt>
                <c:pt idx="8">
                  <c:v>44316</c:v>
                </c:pt>
                <c:pt idx="9">
                  <c:v>44347</c:v>
                </c:pt>
                <c:pt idx="10">
                  <c:v>44377</c:v>
                </c:pt>
                <c:pt idx="11">
                  <c:v>44408</c:v>
                </c:pt>
                <c:pt idx="12">
                  <c:v>44439</c:v>
                </c:pt>
                <c:pt idx="13">
                  <c:v>44469</c:v>
                </c:pt>
                <c:pt idx="14">
                  <c:v>44500</c:v>
                </c:pt>
                <c:pt idx="15">
                  <c:v>44530</c:v>
                </c:pt>
                <c:pt idx="16">
                  <c:v>44561</c:v>
                </c:pt>
                <c:pt idx="17">
                  <c:v>44592</c:v>
                </c:pt>
                <c:pt idx="18">
                  <c:v>44620</c:v>
                </c:pt>
                <c:pt idx="19">
                  <c:v>44651</c:v>
                </c:pt>
                <c:pt idx="20">
                  <c:v>44681</c:v>
                </c:pt>
                <c:pt idx="21">
                  <c:v>44712</c:v>
                </c:pt>
                <c:pt idx="22">
                  <c:v>44742</c:v>
                </c:pt>
                <c:pt idx="23">
                  <c:v>44773</c:v>
                </c:pt>
                <c:pt idx="24">
                  <c:v>44804</c:v>
                </c:pt>
                <c:pt idx="25">
                  <c:v>44834</c:v>
                </c:pt>
                <c:pt idx="26">
                  <c:v>44865</c:v>
                </c:pt>
                <c:pt idx="27">
                  <c:v>44895</c:v>
                </c:pt>
                <c:pt idx="28">
                  <c:v>44926</c:v>
                </c:pt>
                <c:pt idx="29">
                  <c:v>44957</c:v>
                </c:pt>
                <c:pt idx="30">
                  <c:v>44985</c:v>
                </c:pt>
                <c:pt idx="31">
                  <c:v>45016</c:v>
                </c:pt>
              </c:numCache>
            </c:numRef>
          </c:cat>
          <c:val>
            <c:numRef>
              <c:f>'Chart 3 - Difficulty rate'!$B$3:$B$34</c:f>
              <c:numCache>
                <c:formatCode>#0%;\(#0%\)</c:formatCode>
                <c:ptCount val="32"/>
                <c:pt idx="0">
                  <c:v>0.47</c:v>
                </c:pt>
                <c:pt idx="1">
                  <c:v>0.41</c:v>
                </c:pt>
                <c:pt idx="2">
                  <c:v>0.41</c:v>
                </c:pt>
                <c:pt idx="3">
                  <c:v>0.34</c:v>
                </c:pt>
                <c:pt idx="4">
                  <c:v>0.37</c:v>
                </c:pt>
                <c:pt idx="5">
                  <c:v>#N/A</c:v>
                </c:pt>
                <c:pt idx="6">
                  <c:v>0.35</c:v>
                </c:pt>
                <c:pt idx="7">
                  <c:v>0.41</c:v>
                </c:pt>
                <c:pt idx="8">
                  <c:v>0.49</c:v>
                </c:pt>
                <c:pt idx="9">
                  <c:v>0.46</c:v>
                </c:pt>
                <c:pt idx="10">
                  <c:v>0.49</c:v>
                </c:pt>
                <c:pt idx="11">
                  <c:v>0.48</c:v>
                </c:pt>
                <c:pt idx="12">
                  <c:v>0.51</c:v>
                </c:pt>
                <c:pt idx="13">
                  <c:v>0.54</c:v>
                </c:pt>
                <c:pt idx="14">
                  <c:v>0.5</c:v>
                </c:pt>
                <c:pt idx="15">
                  <c:v>0.6</c:v>
                </c:pt>
                <c:pt idx="16">
                  <c:v>0.55000000000000004</c:v>
                </c:pt>
                <c:pt idx="17">
                  <c:v>#N/A</c:v>
                </c:pt>
                <c:pt idx="18">
                  <c:v>0.62</c:v>
                </c:pt>
                <c:pt idx="19">
                  <c:v>0.64</c:v>
                </c:pt>
                <c:pt idx="20">
                  <c:v>0.65</c:v>
                </c:pt>
                <c:pt idx="21">
                  <c:v>0.67</c:v>
                </c:pt>
                <c:pt idx="22">
                  <c:v>0.66</c:v>
                </c:pt>
                <c:pt idx="23">
                  <c:v>0.74</c:v>
                </c:pt>
                <c:pt idx="24">
                  <c:v>0.75</c:v>
                </c:pt>
                <c:pt idx="25">
                  <c:v>0.66</c:v>
                </c:pt>
                <c:pt idx="26">
                  <c:v>0.67</c:v>
                </c:pt>
                <c:pt idx="27">
                  <c:v>0.69</c:v>
                </c:pt>
                <c:pt idx="28">
                  <c:v>0.63</c:v>
                </c:pt>
                <c:pt idx="29">
                  <c:v>#N/A</c:v>
                </c:pt>
                <c:pt idx="30">
                  <c:v>0.59</c:v>
                </c:pt>
                <c:pt idx="31">
                  <c:v>0.65</c:v>
                </c:pt>
              </c:numCache>
            </c:numRef>
          </c:val>
          <c:smooth val="0"/>
          <c:extLst>
            <c:ext xmlns:c16="http://schemas.microsoft.com/office/drawing/2014/chart" uri="{C3380CC4-5D6E-409C-BE32-E72D297353CC}">
              <c16:uniqueId val="{00000006-E8F4-4FC7-9BF8-23F5C544F8EF}"/>
            </c:ext>
          </c:extLst>
        </c:ser>
        <c:ser>
          <c:idx val="2"/>
          <c:order val="1"/>
          <c:tx>
            <c:strRef>
              <c:f>'Chart 3 - Difficulty rate'!$C$2</c:f>
              <c:strCache>
                <c:ptCount val="1"/>
                <c:pt idx="0">
                  <c:v>Rest of State areas</c:v>
                </c:pt>
              </c:strCache>
            </c:strRef>
          </c:tx>
          <c:spPr>
            <a:ln w="25400" cap="rnd">
              <a:solidFill>
                <a:schemeClr val="accent1"/>
              </a:solidFill>
              <a:round/>
            </a:ln>
            <a:effectLst/>
          </c:spPr>
          <c:marker>
            <c:symbol val="none"/>
          </c:marker>
          <c:dPt>
            <c:idx val="6"/>
            <c:marker>
              <c:symbol val="none"/>
            </c:marker>
            <c:bubble3D val="0"/>
            <c:spPr>
              <a:ln w="25400" cap="rnd">
                <a:solidFill>
                  <a:schemeClr val="accent1"/>
                </a:solidFill>
                <a:prstDash val="sysDot"/>
                <a:round/>
              </a:ln>
              <a:effectLst/>
            </c:spPr>
            <c:extLst>
              <c:ext xmlns:c16="http://schemas.microsoft.com/office/drawing/2014/chart" uri="{C3380CC4-5D6E-409C-BE32-E72D297353CC}">
                <c16:uniqueId val="{00000008-E8F4-4FC7-9BF8-23F5C544F8EF}"/>
              </c:ext>
            </c:extLst>
          </c:dPt>
          <c:dPt>
            <c:idx val="18"/>
            <c:marker>
              <c:symbol val="none"/>
            </c:marker>
            <c:bubble3D val="0"/>
            <c:spPr>
              <a:ln w="25400" cap="rnd">
                <a:solidFill>
                  <a:schemeClr val="accent1"/>
                </a:solidFill>
                <a:prstDash val="sysDot"/>
                <a:round/>
              </a:ln>
              <a:effectLst/>
            </c:spPr>
            <c:extLst>
              <c:ext xmlns:c16="http://schemas.microsoft.com/office/drawing/2014/chart" uri="{C3380CC4-5D6E-409C-BE32-E72D297353CC}">
                <c16:uniqueId val="{0000000A-E8F4-4FC7-9BF8-23F5C544F8EF}"/>
              </c:ext>
            </c:extLst>
          </c:dPt>
          <c:dPt>
            <c:idx val="30"/>
            <c:marker>
              <c:symbol val="none"/>
            </c:marker>
            <c:bubble3D val="0"/>
            <c:spPr>
              <a:ln w="25400" cap="rnd">
                <a:solidFill>
                  <a:schemeClr val="accent1"/>
                </a:solidFill>
                <a:prstDash val="sysDot"/>
                <a:round/>
                <a:tailEnd type="none"/>
              </a:ln>
              <a:effectLst/>
            </c:spPr>
            <c:extLst>
              <c:ext xmlns:c16="http://schemas.microsoft.com/office/drawing/2014/chart" uri="{C3380CC4-5D6E-409C-BE32-E72D297353CC}">
                <c16:uniqueId val="{0000000C-E8F4-4FC7-9BF8-23F5C544F8EF}"/>
              </c:ext>
            </c:extLst>
          </c:dPt>
          <c:cat>
            <c:numRef>
              <c:f>'Chart 3 - Difficulty rate'!$A$3:$A$34</c:f>
              <c:numCache>
                <c:formatCode>mmm\-yy</c:formatCode>
                <c:ptCount val="32"/>
                <c:pt idx="0">
                  <c:v>44074</c:v>
                </c:pt>
                <c:pt idx="1">
                  <c:v>44104</c:v>
                </c:pt>
                <c:pt idx="2">
                  <c:v>44135</c:v>
                </c:pt>
                <c:pt idx="3">
                  <c:v>44165</c:v>
                </c:pt>
                <c:pt idx="4">
                  <c:v>44196</c:v>
                </c:pt>
                <c:pt idx="5">
                  <c:v>44227</c:v>
                </c:pt>
                <c:pt idx="6">
                  <c:v>44255</c:v>
                </c:pt>
                <c:pt idx="7">
                  <c:v>44286</c:v>
                </c:pt>
                <c:pt idx="8">
                  <c:v>44316</c:v>
                </c:pt>
                <c:pt idx="9">
                  <c:v>44347</c:v>
                </c:pt>
                <c:pt idx="10">
                  <c:v>44377</c:v>
                </c:pt>
                <c:pt idx="11">
                  <c:v>44408</c:v>
                </c:pt>
                <c:pt idx="12">
                  <c:v>44439</c:v>
                </c:pt>
                <c:pt idx="13">
                  <c:v>44469</c:v>
                </c:pt>
                <c:pt idx="14">
                  <c:v>44500</c:v>
                </c:pt>
                <c:pt idx="15">
                  <c:v>44530</c:v>
                </c:pt>
                <c:pt idx="16">
                  <c:v>44561</c:v>
                </c:pt>
                <c:pt idx="17">
                  <c:v>44592</c:v>
                </c:pt>
                <c:pt idx="18">
                  <c:v>44620</c:v>
                </c:pt>
                <c:pt idx="19">
                  <c:v>44651</c:v>
                </c:pt>
                <c:pt idx="20">
                  <c:v>44681</c:v>
                </c:pt>
                <c:pt idx="21">
                  <c:v>44712</c:v>
                </c:pt>
                <c:pt idx="22">
                  <c:v>44742</c:v>
                </c:pt>
                <c:pt idx="23">
                  <c:v>44773</c:v>
                </c:pt>
                <c:pt idx="24">
                  <c:v>44804</c:v>
                </c:pt>
                <c:pt idx="25">
                  <c:v>44834</c:v>
                </c:pt>
                <c:pt idx="26">
                  <c:v>44865</c:v>
                </c:pt>
                <c:pt idx="27">
                  <c:v>44895</c:v>
                </c:pt>
                <c:pt idx="28">
                  <c:v>44926</c:v>
                </c:pt>
                <c:pt idx="29">
                  <c:v>44957</c:v>
                </c:pt>
                <c:pt idx="30">
                  <c:v>44985</c:v>
                </c:pt>
                <c:pt idx="31">
                  <c:v>45016</c:v>
                </c:pt>
              </c:numCache>
            </c:numRef>
          </c:cat>
          <c:val>
            <c:numRef>
              <c:f>'Chart 3 - Difficulty rate'!$C$3:$C$34</c:f>
              <c:numCache>
                <c:formatCode>#0%;\(#0%\)</c:formatCode>
                <c:ptCount val="32"/>
                <c:pt idx="0">
                  <c:v>0.52</c:v>
                </c:pt>
                <c:pt idx="1">
                  <c:v>0.44</c:v>
                </c:pt>
                <c:pt idx="2">
                  <c:v>0.5</c:v>
                </c:pt>
                <c:pt idx="3">
                  <c:v>0.48</c:v>
                </c:pt>
                <c:pt idx="4">
                  <c:v>0.46</c:v>
                </c:pt>
                <c:pt idx="5">
                  <c:v>#N/A</c:v>
                </c:pt>
                <c:pt idx="6">
                  <c:v>0.39</c:v>
                </c:pt>
                <c:pt idx="7">
                  <c:v>0.53</c:v>
                </c:pt>
                <c:pt idx="8">
                  <c:v>0.64</c:v>
                </c:pt>
                <c:pt idx="9">
                  <c:v>0.56999999999999995</c:v>
                </c:pt>
                <c:pt idx="10">
                  <c:v>0.56999999999999995</c:v>
                </c:pt>
                <c:pt idx="11">
                  <c:v>0.61</c:v>
                </c:pt>
                <c:pt idx="12">
                  <c:v>0.55000000000000004</c:v>
                </c:pt>
                <c:pt idx="13">
                  <c:v>0.5</c:v>
                </c:pt>
                <c:pt idx="14">
                  <c:v>0.62</c:v>
                </c:pt>
                <c:pt idx="15">
                  <c:v>0.67</c:v>
                </c:pt>
                <c:pt idx="16">
                  <c:v>0.6</c:v>
                </c:pt>
                <c:pt idx="17">
                  <c:v>#N/A</c:v>
                </c:pt>
                <c:pt idx="18">
                  <c:v>0.66</c:v>
                </c:pt>
                <c:pt idx="19">
                  <c:v>0.63</c:v>
                </c:pt>
                <c:pt idx="20">
                  <c:v>0.62</c:v>
                </c:pt>
                <c:pt idx="21">
                  <c:v>0.71</c:v>
                </c:pt>
                <c:pt idx="22">
                  <c:v>0.67</c:v>
                </c:pt>
                <c:pt idx="23">
                  <c:v>0.77</c:v>
                </c:pt>
                <c:pt idx="24">
                  <c:v>0.71</c:v>
                </c:pt>
                <c:pt idx="25">
                  <c:v>0.68</c:v>
                </c:pt>
                <c:pt idx="26">
                  <c:v>0.75</c:v>
                </c:pt>
                <c:pt idx="27">
                  <c:v>0.7</c:v>
                </c:pt>
                <c:pt idx="28">
                  <c:v>0.68</c:v>
                </c:pt>
                <c:pt idx="29">
                  <c:v>#N/A</c:v>
                </c:pt>
                <c:pt idx="30">
                  <c:v>0.64</c:v>
                </c:pt>
                <c:pt idx="31">
                  <c:v>0.64</c:v>
                </c:pt>
              </c:numCache>
            </c:numRef>
          </c:val>
          <c:smooth val="0"/>
          <c:extLst>
            <c:ext xmlns:c16="http://schemas.microsoft.com/office/drawing/2014/chart" uri="{C3380CC4-5D6E-409C-BE32-E72D297353CC}">
              <c16:uniqueId val="{0000000D-E8F4-4FC7-9BF8-23F5C544F8EF}"/>
            </c:ext>
          </c:extLst>
        </c:ser>
        <c:ser>
          <c:idx val="0"/>
          <c:order val="2"/>
          <c:tx>
            <c:strRef>
              <c:f>'Chart 3 - Difficulty rate'!$D$2</c:f>
              <c:strCache>
                <c:ptCount val="1"/>
                <c:pt idx="0">
                  <c:v>Australia</c:v>
                </c:pt>
              </c:strCache>
            </c:strRef>
          </c:tx>
          <c:spPr>
            <a:ln w="25400" cap="rnd">
              <a:solidFill>
                <a:schemeClr val="tx1"/>
              </a:solidFill>
              <a:round/>
            </a:ln>
            <a:effectLst/>
          </c:spPr>
          <c:marker>
            <c:symbol val="none"/>
          </c:marker>
          <c:cat>
            <c:numRef>
              <c:f>'Chart 3 - Difficulty rate'!$A$3:$A$34</c:f>
              <c:numCache>
                <c:formatCode>mmm\-yy</c:formatCode>
                <c:ptCount val="32"/>
                <c:pt idx="0">
                  <c:v>44074</c:v>
                </c:pt>
                <c:pt idx="1">
                  <c:v>44104</c:v>
                </c:pt>
                <c:pt idx="2">
                  <c:v>44135</c:v>
                </c:pt>
                <c:pt idx="3">
                  <c:v>44165</c:v>
                </c:pt>
                <c:pt idx="4">
                  <c:v>44196</c:v>
                </c:pt>
                <c:pt idx="5">
                  <c:v>44227</c:v>
                </c:pt>
                <c:pt idx="6">
                  <c:v>44255</c:v>
                </c:pt>
                <c:pt idx="7">
                  <c:v>44286</c:v>
                </c:pt>
                <c:pt idx="8">
                  <c:v>44316</c:v>
                </c:pt>
                <c:pt idx="9">
                  <c:v>44347</c:v>
                </c:pt>
                <c:pt idx="10">
                  <c:v>44377</c:v>
                </c:pt>
                <c:pt idx="11">
                  <c:v>44408</c:v>
                </c:pt>
                <c:pt idx="12">
                  <c:v>44439</c:v>
                </c:pt>
                <c:pt idx="13">
                  <c:v>44469</c:v>
                </c:pt>
                <c:pt idx="14">
                  <c:v>44500</c:v>
                </c:pt>
                <c:pt idx="15">
                  <c:v>44530</c:v>
                </c:pt>
                <c:pt idx="16">
                  <c:v>44561</c:v>
                </c:pt>
                <c:pt idx="17">
                  <c:v>44592</c:v>
                </c:pt>
                <c:pt idx="18">
                  <c:v>44620</c:v>
                </c:pt>
                <c:pt idx="19">
                  <c:v>44651</c:v>
                </c:pt>
                <c:pt idx="20">
                  <c:v>44681</c:v>
                </c:pt>
                <c:pt idx="21">
                  <c:v>44712</c:v>
                </c:pt>
                <c:pt idx="22">
                  <c:v>44742</c:v>
                </c:pt>
                <c:pt idx="23">
                  <c:v>44773</c:v>
                </c:pt>
                <c:pt idx="24">
                  <c:v>44804</c:v>
                </c:pt>
                <c:pt idx="25">
                  <c:v>44834</c:v>
                </c:pt>
                <c:pt idx="26">
                  <c:v>44865</c:v>
                </c:pt>
                <c:pt idx="27">
                  <c:v>44895</c:v>
                </c:pt>
                <c:pt idx="28">
                  <c:v>44926</c:v>
                </c:pt>
                <c:pt idx="29">
                  <c:v>44957</c:v>
                </c:pt>
                <c:pt idx="30">
                  <c:v>44985</c:v>
                </c:pt>
                <c:pt idx="31">
                  <c:v>45016</c:v>
                </c:pt>
              </c:numCache>
            </c:numRef>
          </c:cat>
          <c:val>
            <c:numRef>
              <c:f>'Chart 3 - Difficulty rate'!$D$3:$D$34</c:f>
              <c:numCache>
                <c:formatCode>#0%;\(#0%\)</c:formatCode>
                <c:ptCount val="32"/>
                <c:pt idx="0">
                  <c:v>0.49</c:v>
                </c:pt>
                <c:pt idx="1">
                  <c:v>0.42</c:v>
                </c:pt>
                <c:pt idx="2">
                  <c:v>0.44</c:v>
                </c:pt>
                <c:pt idx="3">
                  <c:v>0.4</c:v>
                </c:pt>
                <c:pt idx="4">
                  <c:v>0.41</c:v>
                </c:pt>
                <c:pt idx="5">
                  <c:v>0.39</c:v>
                </c:pt>
                <c:pt idx="6">
                  <c:v>0.37</c:v>
                </c:pt>
                <c:pt idx="7">
                  <c:v>0.46</c:v>
                </c:pt>
                <c:pt idx="8">
                  <c:v>0.54</c:v>
                </c:pt>
                <c:pt idx="9">
                  <c:v>0.51</c:v>
                </c:pt>
                <c:pt idx="10">
                  <c:v>0.52</c:v>
                </c:pt>
                <c:pt idx="11">
                  <c:v>0.53</c:v>
                </c:pt>
                <c:pt idx="12">
                  <c:v>0.52</c:v>
                </c:pt>
                <c:pt idx="13">
                  <c:v>0.52</c:v>
                </c:pt>
                <c:pt idx="14">
                  <c:v>0.54</c:v>
                </c:pt>
                <c:pt idx="15">
                  <c:v>0.63</c:v>
                </c:pt>
                <c:pt idx="16">
                  <c:v>0.56999999999999995</c:v>
                </c:pt>
                <c:pt idx="17">
                  <c:v>0.68</c:v>
                </c:pt>
                <c:pt idx="18">
                  <c:v>0.64</c:v>
                </c:pt>
                <c:pt idx="19">
                  <c:v>0.64</c:v>
                </c:pt>
                <c:pt idx="20">
                  <c:v>0.64</c:v>
                </c:pt>
                <c:pt idx="21">
                  <c:v>0.68</c:v>
                </c:pt>
                <c:pt idx="22">
                  <c:v>0.67</c:v>
                </c:pt>
                <c:pt idx="23">
                  <c:v>0.75</c:v>
                </c:pt>
                <c:pt idx="24">
                  <c:v>0.74</c:v>
                </c:pt>
                <c:pt idx="25">
                  <c:v>0.67</c:v>
                </c:pt>
                <c:pt idx="26">
                  <c:v>0.7</c:v>
                </c:pt>
                <c:pt idx="27">
                  <c:v>0.69</c:v>
                </c:pt>
                <c:pt idx="28">
                  <c:v>0.65</c:v>
                </c:pt>
                <c:pt idx="29">
                  <c:v>0.56000000000000005</c:v>
                </c:pt>
                <c:pt idx="30">
                  <c:v>0.61</c:v>
                </c:pt>
                <c:pt idx="31">
                  <c:v>0.64</c:v>
                </c:pt>
              </c:numCache>
            </c:numRef>
          </c:val>
          <c:smooth val="0"/>
          <c:extLst>
            <c:ext xmlns:c16="http://schemas.microsoft.com/office/drawing/2014/chart" uri="{C3380CC4-5D6E-409C-BE32-E72D297353CC}">
              <c16:uniqueId val="{0000000E-E8F4-4FC7-9BF8-23F5C544F8EF}"/>
            </c:ext>
          </c:extLst>
        </c:ser>
        <c:dLbls>
          <c:showLegendKey val="0"/>
          <c:showVal val="0"/>
          <c:showCatName val="0"/>
          <c:showSerName val="0"/>
          <c:showPercent val="0"/>
          <c:showBubbleSize val="0"/>
        </c:dLbls>
        <c:smooth val="0"/>
        <c:axId val="1236164432"/>
        <c:axId val="1236168592"/>
      </c:lineChart>
      <c:dateAx>
        <c:axId val="1236164432"/>
        <c:scaling>
          <c:orientation val="minMax"/>
          <c:min val="44075"/>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36168592"/>
        <c:crosses val="autoZero"/>
        <c:auto val="0"/>
        <c:lblOffset val="100"/>
        <c:baseTimeUnit val="months"/>
        <c:majorUnit val="3"/>
        <c:majorTimeUnit val="months"/>
      </c:dateAx>
      <c:valAx>
        <c:axId val="1236168592"/>
        <c:scaling>
          <c:orientation val="minMax"/>
          <c:min val="0.2"/>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36164432"/>
        <c:crosses val="autoZero"/>
        <c:crossBetween val="between"/>
        <c:majorUnit val="0.1"/>
      </c:valAx>
      <c:spPr>
        <a:noFill/>
        <a:ln>
          <a:noFill/>
        </a:ln>
        <a:effectLst/>
      </c:spPr>
    </c:plotArea>
    <c:legend>
      <c:legendPos val="r"/>
      <c:layout>
        <c:manualLayout>
          <c:xMode val="edge"/>
          <c:yMode val="edge"/>
          <c:x val="0.65628442732867998"/>
          <c:y val="0.43621329942452847"/>
          <c:w val="0.28856750984729529"/>
          <c:h val="0.3207332779054792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69671078349248"/>
          <c:y val="4.5977011494252873E-2"/>
          <c:w val="0.86501352224588945"/>
          <c:h val="0.82774582644254113"/>
        </c:manualLayout>
      </c:layout>
      <c:lineChart>
        <c:grouping val="standard"/>
        <c:varyColors val="0"/>
        <c:ser>
          <c:idx val="0"/>
          <c:order val="0"/>
          <c:tx>
            <c:strRef>
              <c:f>'Recruitment difficulty'!$C$3</c:f>
              <c:strCache>
                <c:ptCount val="1"/>
                <c:pt idx="0">
                  <c:v>Rest of State areas</c:v>
                </c:pt>
              </c:strCache>
            </c:strRef>
          </c:tx>
          <c:spPr>
            <a:ln w="28575" cap="rnd">
              <a:solidFill>
                <a:srgbClr val="D2DE5A"/>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0E27-42E6-A8E5-C594DD0D2849}"/>
                </c:ext>
              </c:extLst>
            </c:dLbl>
            <c:dLbl>
              <c:idx val="1"/>
              <c:delete val="1"/>
              <c:extLst>
                <c:ext xmlns:c15="http://schemas.microsoft.com/office/drawing/2012/chart" uri="{CE6537A1-D6FC-4f65-9D91-7224C49458BB}"/>
                <c:ext xmlns:c16="http://schemas.microsoft.com/office/drawing/2014/chart" uri="{C3380CC4-5D6E-409C-BE32-E72D297353CC}">
                  <c16:uniqueId val="{00000001-0E27-42E6-A8E5-C594DD0D2849}"/>
                </c:ext>
              </c:extLst>
            </c:dLbl>
            <c:dLbl>
              <c:idx val="2"/>
              <c:delete val="1"/>
              <c:extLst>
                <c:ext xmlns:c15="http://schemas.microsoft.com/office/drawing/2012/chart" uri="{CE6537A1-D6FC-4f65-9D91-7224C49458BB}"/>
                <c:ext xmlns:c16="http://schemas.microsoft.com/office/drawing/2014/chart" uri="{C3380CC4-5D6E-409C-BE32-E72D297353CC}">
                  <c16:uniqueId val="{00000002-0E27-42E6-A8E5-C594DD0D2849}"/>
                </c:ext>
              </c:extLst>
            </c:dLbl>
            <c:dLbl>
              <c:idx val="3"/>
              <c:delete val="1"/>
              <c:extLst>
                <c:ext xmlns:c15="http://schemas.microsoft.com/office/drawing/2012/chart" uri="{CE6537A1-D6FC-4f65-9D91-7224C49458BB}"/>
                <c:ext xmlns:c16="http://schemas.microsoft.com/office/drawing/2014/chart" uri="{C3380CC4-5D6E-409C-BE32-E72D297353CC}">
                  <c16:uniqueId val="{00000003-0E27-42E6-A8E5-C594DD0D2849}"/>
                </c:ext>
              </c:extLst>
            </c:dLbl>
            <c:dLbl>
              <c:idx val="4"/>
              <c:delete val="1"/>
              <c:extLst>
                <c:ext xmlns:c15="http://schemas.microsoft.com/office/drawing/2012/chart" uri="{CE6537A1-D6FC-4f65-9D91-7224C49458BB}"/>
                <c:ext xmlns:c16="http://schemas.microsoft.com/office/drawing/2014/chart" uri="{C3380CC4-5D6E-409C-BE32-E72D297353CC}">
                  <c16:uniqueId val="{00000004-0E27-42E6-A8E5-C594DD0D2849}"/>
                </c:ext>
              </c:extLst>
            </c:dLbl>
            <c:dLbl>
              <c:idx val="5"/>
              <c:delete val="1"/>
              <c:extLst>
                <c:ext xmlns:c15="http://schemas.microsoft.com/office/drawing/2012/chart" uri="{CE6537A1-D6FC-4f65-9D91-7224C49458BB}"/>
                <c:ext xmlns:c16="http://schemas.microsoft.com/office/drawing/2014/chart" uri="{C3380CC4-5D6E-409C-BE32-E72D297353CC}">
                  <c16:uniqueId val="{00000005-0E27-42E6-A8E5-C594DD0D2849}"/>
                </c:ext>
              </c:extLst>
            </c:dLbl>
            <c:dLbl>
              <c:idx val="6"/>
              <c:delete val="1"/>
              <c:extLst>
                <c:ext xmlns:c15="http://schemas.microsoft.com/office/drawing/2012/chart" uri="{CE6537A1-D6FC-4f65-9D91-7224C49458BB}"/>
                <c:ext xmlns:c16="http://schemas.microsoft.com/office/drawing/2014/chart" uri="{C3380CC4-5D6E-409C-BE32-E72D297353CC}">
                  <c16:uniqueId val="{00000006-0E27-42E6-A8E5-C594DD0D2849}"/>
                </c:ext>
              </c:extLst>
            </c:dLbl>
            <c:dLbl>
              <c:idx val="7"/>
              <c:layout>
                <c:manualLayout>
                  <c:x val="-2.5519948594639557E-2"/>
                  <c:y val="-7.5094923107907594E-2"/>
                </c:manualLayout>
              </c:layout>
              <c:showLegendKey val="0"/>
              <c:showVal val="1"/>
              <c:showCatName val="0"/>
              <c:showSerName val="0"/>
              <c:showPercent val="0"/>
              <c:showBubbleSize val="0"/>
              <c:extLst>
                <c:ext xmlns:c15="http://schemas.microsoft.com/office/drawing/2012/chart" uri="{CE6537A1-D6FC-4f65-9D91-7224C49458BB}">
                  <c15:layout>
                    <c:manualLayout>
                      <c:w val="6.7274691556509197E-2"/>
                      <c:h val="7.1911391455155446E-2"/>
                    </c:manualLayout>
                  </c15:layout>
                </c:ext>
                <c:ext xmlns:c16="http://schemas.microsoft.com/office/drawing/2014/chart" uri="{C3380CC4-5D6E-409C-BE32-E72D297353CC}">
                  <c16:uniqueId val="{00000007-0E27-42E6-A8E5-C594DD0D2849}"/>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'Recruitment difficulty'!$B$4:$B$11</c:f>
              <c:strCache>
                <c:ptCount val="8"/>
                <c:pt idx="0">
                  <c:v>2016</c:v>
                </c:pt>
                <c:pt idx="1">
                  <c:v>2017</c:v>
                </c:pt>
                <c:pt idx="2">
                  <c:v>2018</c:v>
                </c:pt>
                <c:pt idx="3">
                  <c:v>2019</c:v>
                </c:pt>
                <c:pt idx="4">
                  <c:v>2020*</c:v>
                </c:pt>
                <c:pt idx="5">
                  <c:v>2021</c:v>
                </c:pt>
                <c:pt idx="6">
                  <c:v>2022</c:v>
                </c:pt>
                <c:pt idx="7">
                  <c:v>2023 to date^</c:v>
                </c:pt>
              </c:strCache>
            </c:strRef>
          </c:cat>
          <c:val>
            <c:numRef>
              <c:f>'Recruitment difficulty'!$C$4:$C$11</c:f>
              <c:numCache>
                <c:formatCode>0%</c:formatCode>
                <c:ptCount val="8"/>
                <c:pt idx="0">
                  <c:v>0.28999999999999998</c:v>
                </c:pt>
                <c:pt idx="1">
                  <c:v>0.34</c:v>
                </c:pt>
                <c:pt idx="2">
                  <c:v>0.41</c:v>
                </c:pt>
                <c:pt idx="3">
                  <c:v>0.37</c:v>
                </c:pt>
                <c:pt idx="4">
                  <c:v>0.48</c:v>
                </c:pt>
                <c:pt idx="5">
                  <c:v>0.56000000000000005</c:v>
                </c:pt>
                <c:pt idx="6">
                  <c:v>0.69376969980879455</c:v>
                </c:pt>
                <c:pt idx="7">
                  <c:v>0.61753776499308621</c:v>
                </c:pt>
              </c:numCache>
            </c:numRef>
          </c:val>
          <c:smooth val="0"/>
          <c:extLst>
            <c:ext xmlns:c16="http://schemas.microsoft.com/office/drawing/2014/chart" uri="{C3380CC4-5D6E-409C-BE32-E72D297353CC}">
              <c16:uniqueId val="{00000008-0E27-42E6-A8E5-C594DD0D2849}"/>
            </c:ext>
          </c:extLst>
        </c:ser>
        <c:ser>
          <c:idx val="1"/>
          <c:order val="1"/>
          <c:tx>
            <c:strRef>
              <c:f>'Recruitment difficulty'!$D$3</c:f>
              <c:strCache>
                <c:ptCount val="1"/>
                <c:pt idx="0">
                  <c:v>Capital Cities</c:v>
                </c:pt>
              </c:strCache>
            </c:strRef>
          </c:tx>
          <c:spPr>
            <a:ln w="28575" cap="rnd">
              <a:solidFill>
                <a:srgbClr val="4900B6"/>
              </a:solidFill>
              <a:round/>
            </a:ln>
            <a:effectLst/>
          </c:spPr>
          <c:marker>
            <c:symbol val="none"/>
          </c:marker>
          <c:dLbls>
            <c:dLbl>
              <c:idx val="7"/>
              <c:layout>
                <c:manualLayout>
                  <c:x val="-2.8386578209571651E-2"/>
                  <c:y val="7.54831876130275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E27-42E6-A8E5-C594DD0D2849}"/>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'Recruitment difficulty'!$B$4:$B$11</c:f>
              <c:strCache>
                <c:ptCount val="8"/>
                <c:pt idx="0">
                  <c:v>2016</c:v>
                </c:pt>
                <c:pt idx="1">
                  <c:v>2017</c:v>
                </c:pt>
                <c:pt idx="2">
                  <c:v>2018</c:v>
                </c:pt>
                <c:pt idx="3">
                  <c:v>2019</c:v>
                </c:pt>
                <c:pt idx="4">
                  <c:v>2020*</c:v>
                </c:pt>
                <c:pt idx="5">
                  <c:v>2021</c:v>
                </c:pt>
                <c:pt idx="6">
                  <c:v>2022</c:v>
                </c:pt>
                <c:pt idx="7">
                  <c:v>2023 to date^</c:v>
                </c:pt>
              </c:strCache>
            </c:strRef>
          </c:cat>
          <c:val>
            <c:numRef>
              <c:f>'Recruitment difficulty'!$D$4:$D$11</c:f>
              <c:numCache>
                <c:formatCode>0%</c:formatCode>
                <c:ptCount val="8"/>
                <c:pt idx="0">
                  <c:v>0.41</c:v>
                </c:pt>
                <c:pt idx="1">
                  <c:v>0.4</c:v>
                </c:pt>
                <c:pt idx="2">
                  <c:v>0.47</c:v>
                </c:pt>
                <c:pt idx="3">
                  <c:v>0.45</c:v>
                </c:pt>
                <c:pt idx="4">
                  <c:v>0.39</c:v>
                </c:pt>
                <c:pt idx="5">
                  <c:v>0.49</c:v>
                </c:pt>
                <c:pt idx="6">
                  <c:v>0.67711409651595988</c:v>
                </c:pt>
                <c:pt idx="7">
                  <c:v>0.61480759585028844</c:v>
                </c:pt>
              </c:numCache>
            </c:numRef>
          </c:val>
          <c:smooth val="0"/>
          <c:extLst>
            <c:ext xmlns:c16="http://schemas.microsoft.com/office/drawing/2014/chart" uri="{C3380CC4-5D6E-409C-BE32-E72D297353CC}">
              <c16:uniqueId val="{0000000A-0E27-42E6-A8E5-C594DD0D2849}"/>
            </c:ext>
          </c:extLst>
        </c:ser>
        <c:dLbls>
          <c:showLegendKey val="0"/>
          <c:showVal val="0"/>
          <c:showCatName val="0"/>
          <c:showSerName val="0"/>
          <c:showPercent val="0"/>
          <c:showBubbleSize val="0"/>
        </c:dLbls>
        <c:smooth val="0"/>
        <c:axId val="1996137520"/>
        <c:axId val="1158378128"/>
      </c:lineChart>
      <c:catAx>
        <c:axId val="199613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58378128"/>
        <c:crosses val="autoZero"/>
        <c:auto val="1"/>
        <c:lblAlgn val="ctr"/>
        <c:lblOffset val="100"/>
        <c:noMultiLvlLbl val="0"/>
      </c:catAx>
      <c:valAx>
        <c:axId val="11583781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Proportion of recruiting employers</a:t>
                </a:r>
              </a:p>
            </c:rich>
          </c:tx>
          <c:layout>
            <c:manualLayout>
              <c:xMode val="edge"/>
              <c:yMode val="edge"/>
              <c:x val="1.1066722226840619E-2"/>
              <c:y val="0.1085521115330575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996137520"/>
        <c:crosses val="autoZero"/>
        <c:crossBetween val="between"/>
      </c:valAx>
      <c:spPr>
        <a:noFill/>
        <a:ln>
          <a:noFill/>
        </a:ln>
        <a:effectLst/>
      </c:spPr>
    </c:plotArea>
    <c:legend>
      <c:legendPos val="b"/>
      <c:layout>
        <c:manualLayout>
          <c:xMode val="edge"/>
          <c:yMode val="edge"/>
          <c:x val="0.55530161854768156"/>
          <c:y val="0.6024300087489064"/>
          <c:w val="0.3199520997375328"/>
          <c:h val="0.15682925051035285"/>
        </c:manualLayout>
      </c:layout>
      <c:overlay val="1"/>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7645689025714"/>
          <c:y val="4.4381682469235427E-2"/>
          <c:w val="0.86203820961548927"/>
          <c:h val="0.71987279580772601"/>
        </c:manualLayout>
      </c:layout>
      <c:scatterChart>
        <c:scatterStyle val="lineMarker"/>
        <c:varyColors val="0"/>
        <c:ser>
          <c:idx val="1"/>
          <c:order val="0"/>
          <c:tx>
            <c:strRef>
              <c:f>'Figure 16 Scatter Plot DiffxRec'!$H$4</c:f>
              <c:strCache>
                <c:ptCount val="1"/>
                <c:pt idx="0">
                  <c:v>Rest of State areas</c:v>
                </c:pt>
              </c:strCache>
            </c:strRef>
          </c:tx>
          <c:spPr>
            <a:ln w="19050" cap="rnd">
              <a:noFill/>
              <a:round/>
            </a:ln>
            <a:effectLst/>
          </c:spPr>
          <c:marker>
            <c:symbol val="circle"/>
            <c:size val="7"/>
            <c:spPr>
              <a:solidFill>
                <a:schemeClr val="bg2"/>
              </a:solidFill>
              <a:ln w="9525">
                <a:solidFill>
                  <a:schemeClr val="bg2">
                    <a:lumMod val="50000"/>
                  </a:schemeClr>
                </a:solidFill>
              </a:ln>
              <a:effectLst/>
            </c:spPr>
          </c:marker>
          <c:dLbls>
            <c:dLbl>
              <c:idx val="0"/>
              <c:tx>
                <c:rich>
                  <a:bodyPr/>
                  <a:lstStyle/>
                  <a:p>
                    <a:fld id="{DB0CB8B7-C80E-4D33-AF0A-9830DF07588E}"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76F8-438D-A6AA-A2367A63FC0B}"/>
                </c:ext>
              </c:extLst>
            </c:dLbl>
            <c:dLbl>
              <c:idx val="1"/>
              <c:layout>
                <c:manualLayout>
                  <c:x val="-6.6334980158702692E-2"/>
                  <c:y val="-4.8411505419928516E-2"/>
                </c:manualLayout>
              </c:layout>
              <c:tx>
                <c:rich>
                  <a:bodyPr/>
                  <a:lstStyle/>
                  <a:p>
                    <a:fld id="{6053AA87-2B14-4784-8DFB-4585F79E8AA8}"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76F8-438D-A6AA-A2367A63FC0B}"/>
                </c:ext>
              </c:extLst>
            </c:dLbl>
            <c:dLbl>
              <c:idx val="2"/>
              <c:layout>
                <c:manualLayout>
                  <c:x val="1.1057571102045137E-3"/>
                  <c:y val="-7.0600270901127485E-2"/>
                </c:manualLayout>
              </c:layout>
              <c:tx>
                <c:rich>
                  <a:bodyPr/>
                  <a:lstStyle/>
                  <a:p>
                    <a:fld id="{FD13A1DE-26FE-4089-9A13-B3AE5DA5597B}"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layout>
                    <c:manualLayout>
                      <c:w val="0.11562187041661849"/>
                      <c:h val="0.12500270011677209"/>
                    </c:manualLayout>
                  </c15:layout>
                  <c15:dlblFieldTable/>
                  <c15:showDataLabelsRange val="1"/>
                </c:ext>
                <c:ext xmlns:c16="http://schemas.microsoft.com/office/drawing/2014/chart" uri="{C3380CC4-5D6E-409C-BE32-E72D297353CC}">
                  <c16:uniqueId val="{00000002-76F8-438D-A6AA-A2367A63FC0B}"/>
                </c:ext>
              </c:extLst>
            </c:dLbl>
            <c:dLbl>
              <c:idx val="3"/>
              <c:layout>
                <c:manualLayout>
                  <c:x val="-5.5279150132252146E-2"/>
                  <c:y val="4.8411505419928516E-2"/>
                </c:manualLayout>
              </c:layout>
              <c:tx>
                <c:rich>
                  <a:bodyPr/>
                  <a:lstStyle/>
                  <a:p>
                    <a:fld id="{E18C0A63-B9FF-442F-8877-467663C7B942}"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76F8-438D-A6AA-A2367A63FC0B}"/>
                </c:ext>
              </c:extLst>
            </c:dLbl>
            <c:dLbl>
              <c:idx val="4"/>
              <c:layout>
                <c:manualLayout>
                  <c:x val="-8.6235474206313278E-2"/>
                  <c:y val="-3.6308629064946384E-2"/>
                </c:manualLayout>
              </c:layout>
              <c:tx>
                <c:rich>
                  <a:bodyPr/>
                  <a:lstStyle/>
                  <a:p>
                    <a:fld id="{BE899FCC-E109-4EFF-90D3-45E79C798EFA}"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76F8-438D-A6AA-A2367A63FC0B}"/>
                </c:ext>
              </c:extLst>
            </c:dLbl>
            <c:dLbl>
              <c:idx val="5"/>
              <c:layout>
                <c:manualLayout>
                  <c:x val="0"/>
                  <c:y val="-5.2445797538255887E-2"/>
                </c:manualLayout>
              </c:layout>
              <c:tx>
                <c:rich>
                  <a:bodyPr/>
                  <a:lstStyle/>
                  <a:p>
                    <a:fld id="{39EBE261-41F5-4061-97EE-3D29ECA3DBF1}"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76F8-438D-A6AA-A2367A63FC0B}"/>
                </c:ext>
              </c:extLst>
            </c:dLbl>
            <c:dLbl>
              <c:idx val="6"/>
              <c:layout>
                <c:manualLayout>
                  <c:x val="-6.6334980158702525E-2"/>
                  <c:y val="-4.4377213301601139E-2"/>
                </c:manualLayout>
              </c:layout>
              <c:tx>
                <c:rich>
                  <a:bodyPr/>
                  <a:lstStyle/>
                  <a:p>
                    <a:fld id="{7C7BEE54-8E8B-466C-B67F-34A5B2D6C8DF}"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76F8-438D-A6AA-A2367A63FC0B}"/>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'Figure 16 Scatter Plot DiffxRec'!$F$13:$F$19</c:f>
              <c:numCache>
                <c:formatCode>0%</c:formatCode>
                <c:ptCount val="7"/>
                <c:pt idx="0">
                  <c:v>0.68438835337697856</c:v>
                </c:pt>
                <c:pt idx="1">
                  <c:v>0.793127084044006</c:v>
                </c:pt>
                <c:pt idx="2">
                  <c:v>0.65853974585881392</c:v>
                </c:pt>
                <c:pt idx="3">
                  <c:v>0.64324683029762653</c:v>
                </c:pt>
                <c:pt idx="4">
                  <c:v>0.63664371578895085</c:v>
                </c:pt>
                <c:pt idx="5">
                  <c:v>0.74108490113131964</c:v>
                </c:pt>
                <c:pt idx="6">
                  <c:v>0.7217590263859931</c:v>
                </c:pt>
              </c:numCache>
            </c:numRef>
          </c:xVal>
          <c:yVal>
            <c:numRef>
              <c:f>'Figure 16 Scatter Plot DiffxRec'!$H$13:$H$19</c:f>
              <c:numCache>
                <c:formatCode>0%</c:formatCode>
                <c:ptCount val="7"/>
                <c:pt idx="0">
                  <c:v>0.58455991910378469</c:v>
                </c:pt>
                <c:pt idx="1">
                  <c:v>0.69944743750396821</c:v>
                </c:pt>
                <c:pt idx="2">
                  <c:v>0.5941159802887398</c:v>
                </c:pt>
                <c:pt idx="3">
                  <c:v>0.53235157975317704</c:v>
                </c:pt>
                <c:pt idx="4">
                  <c:v>0.54998624145730157</c:v>
                </c:pt>
                <c:pt idx="5">
                  <c:v>0.56719938581671725</c:v>
                </c:pt>
                <c:pt idx="6">
                  <c:v>0.62297172718206439</c:v>
                </c:pt>
              </c:numCache>
            </c:numRef>
          </c:yVal>
          <c:smooth val="0"/>
          <c:extLst>
            <c:ext xmlns:c15="http://schemas.microsoft.com/office/drawing/2012/chart" uri="{02D57815-91ED-43cb-92C2-25804820EDAC}">
              <c15:datalabelsRange>
                <c15:f>'Figure 16 Scatter Plot DiffxRec'!$E$13:$E$19</c15:f>
                <c15:dlblRangeCache>
                  <c:ptCount val="7"/>
                  <c:pt idx="0">
                    <c:v>Rest of NSW</c:v>
                  </c:pt>
                  <c:pt idx="1">
                    <c:v>Rest of NT</c:v>
                  </c:pt>
                  <c:pt idx="2">
                    <c:v>Rest of Queensland</c:v>
                  </c:pt>
                  <c:pt idx="3">
                    <c:v>Rest of SA</c:v>
                  </c:pt>
                  <c:pt idx="4">
                    <c:v>Rest of Tasmania</c:v>
                  </c:pt>
                  <c:pt idx="5">
                    <c:v>Rest of Victoria</c:v>
                  </c:pt>
                  <c:pt idx="6">
                    <c:v>Rest of WA</c:v>
                  </c:pt>
                </c15:dlblRangeCache>
              </c15:datalabelsRange>
            </c:ext>
            <c:ext xmlns:c16="http://schemas.microsoft.com/office/drawing/2014/chart" uri="{C3380CC4-5D6E-409C-BE32-E72D297353CC}">
              <c16:uniqueId val="{00000007-76F8-438D-A6AA-A2367A63FC0B}"/>
            </c:ext>
          </c:extLst>
        </c:ser>
        <c:ser>
          <c:idx val="0"/>
          <c:order val="1"/>
          <c:tx>
            <c:strRef>
              <c:f>'Figure 16 Scatter Plot DiffxRec'!$G$4</c:f>
              <c:strCache>
                <c:ptCount val="1"/>
                <c:pt idx="0">
                  <c:v>Capital Cities</c:v>
                </c:pt>
              </c:strCache>
            </c:strRef>
          </c:tx>
          <c:spPr>
            <a:ln w="19050" cap="rnd">
              <a:noFill/>
              <a:round/>
            </a:ln>
            <a:effectLst/>
          </c:spPr>
          <c:marker>
            <c:symbol val="circle"/>
            <c:size val="7"/>
            <c:spPr>
              <a:solidFill>
                <a:schemeClr val="accent1"/>
              </a:solidFill>
              <a:ln w="9525">
                <a:solidFill>
                  <a:schemeClr val="accent1">
                    <a:lumMod val="50000"/>
                  </a:schemeClr>
                </a:solidFill>
              </a:ln>
              <a:effectLst/>
            </c:spPr>
          </c:marker>
          <c:dLbls>
            <c:dLbl>
              <c:idx val="0"/>
              <c:layout>
                <c:manualLayout>
                  <c:x val="-5.5279150132252104E-2"/>
                  <c:y val="-7.6651550248220152E-2"/>
                </c:manualLayout>
              </c:layout>
              <c:tx>
                <c:rich>
                  <a:bodyPr/>
                  <a:lstStyle/>
                  <a:p>
                    <a:fld id="{9255DFD8-BEB5-4FC5-A5F6-69D879579CFA}"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76F8-438D-A6AA-A2367A63FC0B}"/>
                </c:ext>
              </c:extLst>
            </c:dLbl>
            <c:dLbl>
              <c:idx val="1"/>
              <c:layout>
                <c:manualLayout>
                  <c:x val="-9.0657806216893441E-2"/>
                  <c:y val="3.630862906494646E-2"/>
                </c:manualLayout>
              </c:layout>
              <c:tx>
                <c:rich>
                  <a:bodyPr/>
                  <a:lstStyle/>
                  <a:p>
                    <a:fld id="{D4177DDE-017B-42EB-B611-93732876F62F}"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76F8-438D-A6AA-A2367A63FC0B}"/>
                </c:ext>
              </c:extLst>
            </c:dLbl>
            <c:dLbl>
              <c:idx val="2"/>
              <c:layout>
                <c:manualLayout>
                  <c:x val="-0.11276946626979428"/>
                  <c:y val="-4.8411505419928516E-2"/>
                </c:manualLayout>
              </c:layout>
              <c:tx>
                <c:rich>
                  <a:bodyPr/>
                  <a:lstStyle/>
                  <a:p>
                    <a:fld id="{853E128E-5ABA-4A81-B099-73E7145F2986}"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76F8-438D-A6AA-A2367A63FC0B}"/>
                </c:ext>
              </c:extLst>
            </c:dLbl>
            <c:dLbl>
              <c:idx val="3"/>
              <c:layout>
                <c:manualLayout>
                  <c:x val="-8.4024308201023273E-2"/>
                  <c:y val="-5.6480089656583264E-2"/>
                </c:manualLayout>
              </c:layout>
              <c:tx>
                <c:rich>
                  <a:bodyPr/>
                  <a:lstStyle/>
                  <a:p>
                    <a:fld id="{C0ABFBE1-B6A4-4351-B500-D66E8EFA3AE9}"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76F8-438D-A6AA-A2367A63FC0B}"/>
                </c:ext>
              </c:extLst>
            </c:dLbl>
            <c:dLbl>
              <c:idx val="4"/>
              <c:layout>
                <c:manualLayout>
                  <c:x val="-7.9601976190443041E-2"/>
                  <c:y val="-5.648008965658334E-2"/>
                </c:manualLayout>
              </c:layout>
              <c:tx>
                <c:rich>
                  <a:bodyPr/>
                  <a:lstStyle/>
                  <a:p>
                    <a:fld id="{8A52433C-E37B-4C83-B64C-7640D5F1991E}"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76F8-438D-A6AA-A2367A63FC0B}"/>
                </c:ext>
              </c:extLst>
            </c:dLbl>
            <c:dLbl>
              <c:idx val="5"/>
              <c:layout>
                <c:manualLayout>
                  <c:x val="-3.9800988095221514E-2"/>
                  <c:y val="2.8240044828291632E-2"/>
                </c:manualLayout>
              </c:layout>
              <c:tx>
                <c:rich>
                  <a:bodyPr/>
                  <a:lstStyle/>
                  <a:p>
                    <a:fld id="{BE5F2F67-BD6C-4ED3-9067-F25AC02074D9}"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76F8-438D-A6AA-A2367A63FC0B}"/>
                </c:ext>
              </c:extLst>
            </c:dLbl>
            <c:dLbl>
              <c:idx val="6"/>
              <c:layout>
                <c:manualLayout>
                  <c:x val="-7.7390810185152939E-2"/>
                  <c:y val="4.841150541992844E-2"/>
                </c:manualLayout>
              </c:layout>
              <c:tx>
                <c:rich>
                  <a:bodyPr/>
                  <a:lstStyle/>
                  <a:p>
                    <a:fld id="{DDEA996B-1D02-4C65-8187-8F7811FC77FB}"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76F8-438D-A6AA-A2367A63FC0B}"/>
                </c:ext>
              </c:extLst>
            </c:dLbl>
            <c:dLbl>
              <c:idx val="7"/>
              <c:layout>
                <c:manualLayout>
                  <c:x val="-7.9601976190443111E-2"/>
                  <c:y val="4.4377213301601139E-2"/>
                </c:manualLayout>
              </c:layout>
              <c:tx>
                <c:rich>
                  <a:bodyPr/>
                  <a:lstStyle/>
                  <a:p>
                    <a:fld id="{96772DD8-047D-49BE-8D58-B7793737AA86}" type="CELLRANGE">
                      <a:rPr lang="en-US"/>
                      <a:pPr/>
                      <a:t>[CELLRANGE]</a:t>
                    </a:fld>
                    <a:endParaRPr lang="en-AU"/>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76F8-438D-A6AA-A2367A63FC0B}"/>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'Figure 16 Scatter Plot DiffxRec'!$F$5:$F$12</c:f>
              <c:numCache>
                <c:formatCode>0%</c:formatCode>
                <c:ptCount val="8"/>
                <c:pt idx="0">
                  <c:v>0.6566607537657051</c:v>
                </c:pt>
                <c:pt idx="1">
                  <c:v>0.60316024761272868</c:v>
                </c:pt>
                <c:pt idx="2">
                  <c:v>0.6319521718880734</c:v>
                </c:pt>
                <c:pt idx="3">
                  <c:v>0.68123369895909702</c:v>
                </c:pt>
                <c:pt idx="4">
                  <c:v>0.57239761221849672</c:v>
                </c:pt>
                <c:pt idx="5">
                  <c:v>0.68961998907440436</c:v>
                </c:pt>
                <c:pt idx="6">
                  <c:v>0.71884645287013615</c:v>
                </c:pt>
                <c:pt idx="7">
                  <c:v>0.6721186806933469</c:v>
                </c:pt>
              </c:numCache>
            </c:numRef>
          </c:xVal>
          <c:yVal>
            <c:numRef>
              <c:f>'Figure 16 Scatter Plot DiffxRec'!$G$5:$G$12</c:f>
              <c:numCache>
                <c:formatCode>0%</c:formatCode>
                <c:ptCount val="8"/>
                <c:pt idx="0">
                  <c:v>0.59876736221824234</c:v>
                </c:pt>
                <c:pt idx="1">
                  <c:v>0.50618398479646598</c:v>
                </c:pt>
                <c:pt idx="2">
                  <c:v>0.5822470072862882</c:v>
                </c:pt>
                <c:pt idx="3">
                  <c:v>0.67872041316064213</c:v>
                </c:pt>
                <c:pt idx="4">
                  <c:v>0.5424224029004957</c:v>
                </c:pt>
                <c:pt idx="5">
                  <c:v>0.56678500712442315</c:v>
                </c:pt>
                <c:pt idx="6">
                  <c:v>0.53721793227276449</c:v>
                </c:pt>
                <c:pt idx="7">
                  <c:v>0.55357380130309441</c:v>
                </c:pt>
              </c:numCache>
            </c:numRef>
          </c:yVal>
          <c:smooth val="0"/>
          <c:extLst>
            <c:ext xmlns:c15="http://schemas.microsoft.com/office/drawing/2012/chart" uri="{02D57815-91ED-43cb-92C2-25804820EDAC}">
              <c15:datalabelsRange>
                <c15:f>'Figure 16 Scatter Plot DiffxRec'!$E$5:$E$12</c15:f>
                <c15:dlblRangeCache>
                  <c:ptCount val="8"/>
                  <c:pt idx="0">
                    <c:v>ACT</c:v>
                  </c:pt>
                  <c:pt idx="1">
                    <c:v>Greater Adelaide</c:v>
                  </c:pt>
                  <c:pt idx="2">
                    <c:v>Greater Brisbane</c:v>
                  </c:pt>
                  <c:pt idx="3">
                    <c:v>Greater Darwin</c:v>
                  </c:pt>
                  <c:pt idx="4">
                    <c:v>Greater Hobart</c:v>
                  </c:pt>
                  <c:pt idx="5">
                    <c:v>Greater Melbourne</c:v>
                  </c:pt>
                  <c:pt idx="6">
                    <c:v>Greater Perth</c:v>
                  </c:pt>
                  <c:pt idx="7">
                    <c:v>Greater Sydney</c:v>
                  </c:pt>
                </c15:dlblRangeCache>
              </c15:datalabelsRange>
            </c:ext>
            <c:ext xmlns:c16="http://schemas.microsoft.com/office/drawing/2014/chart" uri="{C3380CC4-5D6E-409C-BE32-E72D297353CC}">
              <c16:uniqueId val="{00000010-76F8-438D-A6AA-A2367A63FC0B}"/>
            </c:ext>
          </c:extLst>
        </c:ser>
        <c:dLbls>
          <c:showLegendKey val="0"/>
          <c:showVal val="0"/>
          <c:showCatName val="0"/>
          <c:showSerName val="0"/>
          <c:showPercent val="0"/>
          <c:showBubbleSize val="0"/>
        </c:dLbls>
        <c:axId val="962913024"/>
        <c:axId val="1602144272"/>
      </c:scatterChart>
      <c:valAx>
        <c:axId val="962913024"/>
        <c:scaling>
          <c:orientation val="minMax"/>
          <c:min val="0.55000000000000004"/>
        </c:scaling>
        <c:delete val="0"/>
        <c:axPos val="b"/>
        <c:majorGridlines>
          <c:spPr>
            <a:ln w="9525" cap="flat" cmpd="sng" algn="ctr">
              <a:solidFill>
                <a:schemeClr val="bg1">
                  <a:lumMod val="95000"/>
                  <a:alpha val="37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Rate of recruitment difficulty</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02144272"/>
        <c:crosses val="autoZero"/>
        <c:crossBetween val="midCat"/>
      </c:valAx>
      <c:valAx>
        <c:axId val="1602144272"/>
        <c:scaling>
          <c:orientation val="minMax"/>
          <c:min val="0.45"/>
        </c:scaling>
        <c:delete val="0"/>
        <c:axPos val="l"/>
        <c:majorGridlines>
          <c:spPr>
            <a:ln w="9525" cap="flat" cmpd="sng" algn="ctr">
              <a:solidFill>
                <a:schemeClr val="bg1">
                  <a:lumMod val="95000"/>
                  <a:alpha val="36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Recruitment rate</a:t>
                </a:r>
              </a:p>
            </c:rich>
          </c:tx>
          <c:layout>
            <c:manualLayout>
              <c:xMode val="edge"/>
              <c:yMode val="edge"/>
              <c:x val="1.5260013863252257E-2"/>
              <c:y val="0.2431115467032225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6291302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ysClr val="windowText" lastClr="000000"/>
                </a:solidFill>
                <a:latin typeface="+mn-lt"/>
                <a:ea typeface="+mn-ea"/>
                <a:cs typeface="+mn-cs"/>
              </a:defRPr>
            </a:pPr>
            <a:r>
              <a:rPr lang="en-AU"/>
              <a:t>Fill rate</a:t>
            </a:r>
          </a:p>
        </c:rich>
      </c:tx>
      <c:overlay val="0"/>
      <c:spPr>
        <a:noFill/>
        <a:ln>
          <a:noFill/>
        </a:ln>
        <a:effectLst/>
      </c:spPr>
      <c:txPr>
        <a:bodyPr rot="0" spcFirstLastPara="1" vertOverflow="ellipsis" vert="horz" wrap="square" anchor="ctr" anchorCtr="1"/>
        <a:lstStyle/>
        <a:p>
          <a:pPr>
            <a:defRPr sz="96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642132003197759"/>
          <c:y val="0.15920617420066152"/>
          <c:w val="0.77999480051425052"/>
          <c:h val="0.6663427931486513"/>
        </c:manualLayout>
      </c:layout>
      <c:lineChart>
        <c:grouping val="standard"/>
        <c:varyColors val="0"/>
        <c:ser>
          <c:idx val="0"/>
          <c:order val="0"/>
          <c:tx>
            <c:strRef>
              <c:f>Sheet2!$B$31</c:f>
              <c:strCache>
                <c:ptCount val="1"/>
                <c:pt idx="0">
                  <c:v>Metro</c:v>
                </c:pt>
              </c:strCache>
            </c:strRef>
          </c:tx>
          <c:spPr>
            <a:ln w="28575" cap="rnd">
              <a:solidFill>
                <a:schemeClr val="accent1"/>
              </a:solidFill>
              <a:round/>
            </a:ln>
            <a:effectLst/>
          </c:spPr>
          <c:marker>
            <c:symbol val="none"/>
          </c:marker>
          <c:cat>
            <c:numRef>
              <c:f>Sheet2!$A$32:$A$40</c:f>
              <c:numCache>
                <c:formatCode>mmm\-yy</c:formatCode>
                <c:ptCount val="9"/>
                <c:pt idx="0">
                  <c:v>44256</c:v>
                </c:pt>
                <c:pt idx="1">
                  <c:v>44348</c:v>
                </c:pt>
                <c:pt idx="2">
                  <c:v>44440</c:v>
                </c:pt>
                <c:pt idx="3">
                  <c:v>44531</c:v>
                </c:pt>
                <c:pt idx="4">
                  <c:v>44621</c:v>
                </c:pt>
                <c:pt idx="5">
                  <c:v>44713</c:v>
                </c:pt>
                <c:pt idx="6">
                  <c:v>44805</c:v>
                </c:pt>
                <c:pt idx="7">
                  <c:v>44896</c:v>
                </c:pt>
                <c:pt idx="8">
                  <c:v>44986</c:v>
                </c:pt>
              </c:numCache>
            </c:numRef>
          </c:cat>
          <c:val>
            <c:numRef>
              <c:f>Sheet2!$B$32:$B$40</c:f>
              <c:numCache>
                <c:formatCode>0%</c:formatCode>
                <c:ptCount val="9"/>
                <c:pt idx="0">
                  <c:v>0.57357357357357353</c:v>
                </c:pt>
                <c:pt idx="1">
                  <c:v>0.56512261580381473</c:v>
                </c:pt>
                <c:pt idx="2">
                  <c:v>0.65663366336633666</c:v>
                </c:pt>
                <c:pt idx="3">
                  <c:v>0.56579372777238923</c:v>
                </c:pt>
                <c:pt idx="4">
                  <c:v>0.5760958344677376</c:v>
                </c:pt>
                <c:pt idx="5">
                  <c:v>0.55791139240506327</c:v>
                </c:pt>
                <c:pt idx="6">
                  <c:v>0.58286095365121704</c:v>
                </c:pt>
                <c:pt idx="7">
                  <c:v>0.61069006781013158</c:v>
                </c:pt>
                <c:pt idx="8">
                  <c:v>0.62977099236641221</c:v>
                </c:pt>
              </c:numCache>
            </c:numRef>
          </c:val>
          <c:smooth val="0"/>
          <c:extLst>
            <c:ext xmlns:c16="http://schemas.microsoft.com/office/drawing/2014/chart" uri="{C3380CC4-5D6E-409C-BE32-E72D297353CC}">
              <c16:uniqueId val="{00000000-DC20-4AAE-A4AD-7B7BCA1614A3}"/>
            </c:ext>
          </c:extLst>
        </c:ser>
        <c:ser>
          <c:idx val="1"/>
          <c:order val="1"/>
          <c:tx>
            <c:strRef>
              <c:f>Sheet2!$C$31</c:f>
              <c:strCache>
                <c:ptCount val="1"/>
                <c:pt idx="0">
                  <c:v>Regional</c:v>
                </c:pt>
              </c:strCache>
            </c:strRef>
          </c:tx>
          <c:spPr>
            <a:ln w="28575" cap="rnd">
              <a:solidFill>
                <a:schemeClr val="accent2"/>
              </a:solidFill>
              <a:round/>
            </a:ln>
            <a:effectLst/>
          </c:spPr>
          <c:marker>
            <c:symbol val="none"/>
          </c:marker>
          <c:cat>
            <c:numRef>
              <c:f>Sheet2!$A$32:$A$40</c:f>
              <c:numCache>
                <c:formatCode>mmm\-yy</c:formatCode>
                <c:ptCount val="9"/>
                <c:pt idx="0">
                  <c:v>44256</c:v>
                </c:pt>
                <c:pt idx="1">
                  <c:v>44348</c:v>
                </c:pt>
                <c:pt idx="2">
                  <c:v>44440</c:v>
                </c:pt>
                <c:pt idx="3">
                  <c:v>44531</c:v>
                </c:pt>
                <c:pt idx="4">
                  <c:v>44621</c:v>
                </c:pt>
                <c:pt idx="5">
                  <c:v>44713</c:v>
                </c:pt>
                <c:pt idx="6">
                  <c:v>44805</c:v>
                </c:pt>
                <c:pt idx="7">
                  <c:v>44896</c:v>
                </c:pt>
                <c:pt idx="8">
                  <c:v>44986</c:v>
                </c:pt>
              </c:numCache>
            </c:numRef>
          </c:cat>
          <c:val>
            <c:numRef>
              <c:f>Sheet2!$C$32:$C$40</c:f>
              <c:numCache>
                <c:formatCode>0%</c:formatCode>
                <c:ptCount val="9"/>
                <c:pt idx="0">
                  <c:v>0.49682337992376113</c:v>
                </c:pt>
                <c:pt idx="1">
                  <c:v>0.54936305732484081</c:v>
                </c:pt>
                <c:pt idx="2">
                  <c:v>0.61843317972350231</c:v>
                </c:pt>
                <c:pt idx="3">
                  <c:v>0.58001693480101613</c:v>
                </c:pt>
                <c:pt idx="4">
                  <c:v>0.52143845089903185</c:v>
                </c:pt>
                <c:pt idx="5">
                  <c:v>0.53754080522306857</c:v>
                </c:pt>
                <c:pt idx="6">
                  <c:v>0.53846153846153844</c:v>
                </c:pt>
                <c:pt idx="7">
                  <c:v>0.54567116759332801</c:v>
                </c:pt>
                <c:pt idx="8">
                  <c:v>0.61889250814332253</c:v>
                </c:pt>
              </c:numCache>
            </c:numRef>
          </c:val>
          <c:smooth val="0"/>
          <c:extLst>
            <c:ext xmlns:c16="http://schemas.microsoft.com/office/drawing/2014/chart" uri="{C3380CC4-5D6E-409C-BE32-E72D297353CC}">
              <c16:uniqueId val="{00000001-DC20-4AAE-A4AD-7B7BCA1614A3}"/>
            </c:ext>
          </c:extLst>
        </c:ser>
        <c:dLbls>
          <c:showLegendKey val="0"/>
          <c:showVal val="0"/>
          <c:showCatName val="0"/>
          <c:showSerName val="0"/>
          <c:showPercent val="0"/>
          <c:showBubbleSize val="0"/>
        </c:dLbls>
        <c:smooth val="0"/>
        <c:axId val="14308687"/>
        <c:axId val="1209382864"/>
      </c:lineChart>
      <c:catAx>
        <c:axId val="1430868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209382864"/>
        <c:crosses val="autoZero"/>
        <c:auto val="0"/>
        <c:lblAlgn val="ctr"/>
        <c:lblOffset val="100"/>
        <c:noMultiLvlLbl val="0"/>
      </c:catAx>
      <c:valAx>
        <c:axId val="1209382864"/>
        <c:scaling>
          <c:orientation val="minMax"/>
          <c:min val="0.4"/>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4308687"/>
        <c:crosses val="autoZero"/>
        <c:crossBetween val="between"/>
        <c:majorUnit val="0.1"/>
      </c:valAx>
      <c:spPr>
        <a:noFill/>
        <a:ln>
          <a:noFill/>
        </a:ln>
        <a:effectLst/>
      </c:spPr>
    </c:plotArea>
    <c:legend>
      <c:legendPos val="r"/>
      <c:layout>
        <c:manualLayout>
          <c:xMode val="edge"/>
          <c:yMode val="edge"/>
          <c:x val="0.47036756090698967"/>
          <c:y val="0.1261496323433661"/>
          <c:w val="0.32731047696378512"/>
          <c:h val="0.1640182656330031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ysClr val="windowText" lastClr="000000"/>
                </a:solidFill>
                <a:latin typeface="+mn-lt"/>
                <a:ea typeface="+mn-ea"/>
                <a:cs typeface="+mn-cs"/>
              </a:defRPr>
            </a:pPr>
            <a:r>
              <a:rPr lang="en-AU"/>
              <a:t>Applicant numbers</a:t>
            </a:r>
          </a:p>
        </c:rich>
      </c:tx>
      <c:overlay val="0"/>
      <c:spPr>
        <a:noFill/>
        <a:ln>
          <a:noFill/>
        </a:ln>
        <a:effectLst/>
      </c:spPr>
      <c:txPr>
        <a:bodyPr rot="0" spcFirstLastPara="1" vertOverflow="ellipsis" vert="horz" wrap="square" anchor="ctr" anchorCtr="1"/>
        <a:lstStyle/>
        <a:p>
          <a:pPr>
            <a:defRPr sz="96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448105884059671"/>
          <c:y val="0.15920617420066152"/>
          <c:w val="0.72431970427034476"/>
          <c:h val="0.66019776193907409"/>
        </c:manualLayout>
      </c:layout>
      <c:lineChart>
        <c:grouping val="standard"/>
        <c:varyColors val="0"/>
        <c:ser>
          <c:idx val="0"/>
          <c:order val="0"/>
          <c:tx>
            <c:strRef>
              <c:f>Sheet2!$B$46</c:f>
              <c:strCache>
                <c:ptCount val="1"/>
                <c:pt idx="0">
                  <c:v>Metro - applicants per vacancy</c:v>
                </c:pt>
              </c:strCache>
            </c:strRef>
          </c:tx>
          <c:spPr>
            <a:ln w="28575" cap="rnd">
              <a:solidFill>
                <a:schemeClr val="accent1"/>
              </a:solidFill>
              <a:round/>
            </a:ln>
            <a:effectLst/>
          </c:spPr>
          <c:marker>
            <c:symbol val="none"/>
          </c:marker>
          <c:cat>
            <c:numRef>
              <c:f>Sheet2!$A$47:$A$55</c:f>
              <c:numCache>
                <c:formatCode>mmm\-yy</c:formatCode>
                <c:ptCount val="9"/>
                <c:pt idx="0">
                  <c:v>44256</c:v>
                </c:pt>
                <c:pt idx="1">
                  <c:v>44348</c:v>
                </c:pt>
                <c:pt idx="2">
                  <c:v>44440</c:v>
                </c:pt>
                <c:pt idx="3">
                  <c:v>44531</c:v>
                </c:pt>
                <c:pt idx="4">
                  <c:v>44621</c:v>
                </c:pt>
                <c:pt idx="5">
                  <c:v>44713</c:v>
                </c:pt>
                <c:pt idx="6">
                  <c:v>44805</c:v>
                </c:pt>
                <c:pt idx="7">
                  <c:v>44896</c:v>
                </c:pt>
                <c:pt idx="8">
                  <c:v>44986</c:v>
                </c:pt>
              </c:numCache>
            </c:numRef>
          </c:cat>
          <c:val>
            <c:numRef>
              <c:f>Sheet2!$B$47:$B$55</c:f>
              <c:numCache>
                <c:formatCode>0.0</c:formatCode>
                <c:ptCount val="9"/>
                <c:pt idx="0">
                  <c:v>13.01951951951952</c:v>
                </c:pt>
                <c:pt idx="1">
                  <c:v>13.613896457765668</c:v>
                </c:pt>
                <c:pt idx="2">
                  <c:v>14.671287128712871</c:v>
                </c:pt>
                <c:pt idx="3">
                  <c:v>12.220982864532816</c:v>
                </c:pt>
                <c:pt idx="4">
                  <c:v>11.010890280424722</c:v>
                </c:pt>
                <c:pt idx="5">
                  <c:v>12.742405063291139</c:v>
                </c:pt>
                <c:pt idx="6">
                  <c:v>13.522007335778593</c:v>
                </c:pt>
                <c:pt idx="7">
                  <c:v>16.690466693258877</c:v>
                </c:pt>
                <c:pt idx="8">
                  <c:v>15.79528105482304</c:v>
                </c:pt>
              </c:numCache>
            </c:numRef>
          </c:val>
          <c:smooth val="0"/>
          <c:extLst>
            <c:ext xmlns:c16="http://schemas.microsoft.com/office/drawing/2014/chart" uri="{C3380CC4-5D6E-409C-BE32-E72D297353CC}">
              <c16:uniqueId val="{00000000-D63A-4BA8-AD1C-E43A4DAC3DE9}"/>
            </c:ext>
          </c:extLst>
        </c:ser>
        <c:ser>
          <c:idx val="2"/>
          <c:order val="1"/>
          <c:tx>
            <c:strRef>
              <c:f>Sheet2!$D$46</c:f>
              <c:strCache>
                <c:ptCount val="1"/>
                <c:pt idx="0">
                  <c:v>Regional - applicants per vacancy</c:v>
                </c:pt>
              </c:strCache>
            </c:strRef>
          </c:tx>
          <c:spPr>
            <a:ln w="28575" cap="rnd">
              <a:solidFill>
                <a:schemeClr val="accent2"/>
              </a:solidFill>
              <a:round/>
            </a:ln>
            <a:effectLst/>
          </c:spPr>
          <c:marker>
            <c:symbol val="none"/>
          </c:marker>
          <c:cat>
            <c:numRef>
              <c:f>Sheet2!$A$47:$A$55</c:f>
              <c:numCache>
                <c:formatCode>mmm\-yy</c:formatCode>
                <c:ptCount val="9"/>
                <c:pt idx="0">
                  <c:v>44256</c:v>
                </c:pt>
                <c:pt idx="1">
                  <c:v>44348</c:v>
                </c:pt>
                <c:pt idx="2">
                  <c:v>44440</c:v>
                </c:pt>
                <c:pt idx="3">
                  <c:v>44531</c:v>
                </c:pt>
                <c:pt idx="4">
                  <c:v>44621</c:v>
                </c:pt>
                <c:pt idx="5">
                  <c:v>44713</c:v>
                </c:pt>
                <c:pt idx="6">
                  <c:v>44805</c:v>
                </c:pt>
                <c:pt idx="7">
                  <c:v>44896</c:v>
                </c:pt>
                <c:pt idx="8">
                  <c:v>44986</c:v>
                </c:pt>
              </c:numCache>
            </c:numRef>
          </c:cat>
          <c:val>
            <c:numRef>
              <c:f>Sheet2!$D$47:$D$55</c:f>
              <c:numCache>
                <c:formatCode>0.0</c:formatCode>
                <c:ptCount val="9"/>
                <c:pt idx="0">
                  <c:v>9.3157560355781452</c:v>
                </c:pt>
                <c:pt idx="1">
                  <c:v>10.264331210191083</c:v>
                </c:pt>
                <c:pt idx="2">
                  <c:v>10.069124423963133</c:v>
                </c:pt>
                <c:pt idx="3">
                  <c:v>9.9356477561388648</c:v>
                </c:pt>
                <c:pt idx="4">
                  <c:v>7.6659751037344401</c:v>
                </c:pt>
                <c:pt idx="5">
                  <c:v>9.1142546245919469</c:v>
                </c:pt>
                <c:pt idx="6">
                  <c:v>8.1877584780810579</c:v>
                </c:pt>
                <c:pt idx="7">
                  <c:v>9.2581413820492457</c:v>
                </c:pt>
                <c:pt idx="8">
                  <c:v>10.18485342019544</c:v>
                </c:pt>
              </c:numCache>
            </c:numRef>
          </c:val>
          <c:smooth val="0"/>
          <c:extLst>
            <c:ext xmlns:c16="http://schemas.microsoft.com/office/drawing/2014/chart" uri="{C3380CC4-5D6E-409C-BE32-E72D297353CC}">
              <c16:uniqueId val="{00000001-D63A-4BA8-AD1C-E43A4DAC3DE9}"/>
            </c:ext>
          </c:extLst>
        </c:ser>
        <c:dLbls>
          <c:showLegendKey val="0"/>
          <c:showVal val="0"/>
          <c:showCatName val="0"/>
          <c:showSerName val="0"/>
          <c:showPercent val="0"/>
          <c:showBubbleSize val="0"/>
        </c:dLbls>
        <c:smooth val="0"/>
        <c:axId val="1213041024"/>
        <c:axId val="1738034592"/>
      </c:lineChart>
      <c:catAx>
        <c:axId val="121304102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738034592"/>
        <c:crosses val="autoZero"/>
        <c:auto val="0"/>
        <c:lblAlgn val="ctr"/>
        <c:lblOffset val="100"/>
        <c:noMultiLvlLbl val="0"/>
      </c:catAx>
      <c:valAx>
        <c:axId val="173803459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213041024"/>
        <c:crosses val="autoZero"/>
        <c:crossBetween val="between"/>
        <c:majorUnit val="4"/>
      </c:valAx>
      <c:spPr>
        <a:noFill/>
        <a:ln>
          <a:noFill/>
        </a:ln>
        <a:effectLst/>
      </c:spPr>
    </c:plotArea>
    <c:legend>
      <c:legendPos val="r"/>
      <c:layout>
        <c:manualLayout>
          <c:xMode val="edge"/>
          <c:yMode val="edge"/>
          <c:x val="0.13412750136219401"/>
          <c:y val="0.62661972931443111"/>
          <c:w val="0.79645651484880542"/>
          <c:h val="0.17252037955013066"/>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90107567722864"/>
          <c:y val="5.1825677267373381E-2"/>
          <c:w val="0.80582414211210607"/>
          <c:h val="0.77069382228281536"/>
        </c:manualLayout>
      </c:layout>
      <c:barChart>
        <c:barDir val="col"/>
        <c:grouping val="clustered"/>
        <c:varyColors val="0"/>
        <c:ser>
          <c:idx val="0"/>
          <c:order val="0"/>
          <c:tx>
            <c:strRef>
              <c:f>Sheet3!$E$34</c:f>
              <c:strCache>
                <c:ptCount val="1"/>
                <c:pt idx="0">
                  <c:v>Metro</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Sheet3!$D$35:$D$38</c:f>
              <c:strCache>
                <c:ptCount val="4"/>
                <c:pt idx="0">
                  <c:v>All occupations</c:v>
                </c:pt>
                <c:pt idx="1">
                  <c:v>Professionals</c:v>
                </c:pt>
                <c:pt idx="2">
                  <c:v>Technician and Trades Workers</c:v>
                </c:pt>
                <c:pt idx="3">
                  <c:v>Community and Personal Service Workers</c:v>
                </c:pt>
              </c:strCache>
            </c:strRef>
          </c:cat>
          <c:val>
            <c:numRef>
              <c:f>Sheet3!$E$35:$E$38</c:f>
              <c:numCache>
                <c:formatCode>General</c:formatCode>
                <c:ptCount val="4"/>
                <c:pt idx="0">
                  <c:v>3</c:v>
                </c:pt>
                <c:pt idx="1">
                  <c:v>3.3</c:v>
                </c:pt>
                <c:pt idx="2">
                  <c:v>2.7</c:v>
                </c:pt>
                <c:pt idx="3">
                  <c:v>1.8</c:v>
                </c:pt>
              </c:numCache>
            </c:numRef>
          </c:val>
          <c:extLst>
            <c:ext xmlns:c16="http://schemas.microsoft.com/office/drawing/2014/chart" uri="{C3380CC4-5D6E-409C-BE32-E72D297353CC}">
              <c16:uniqueId val="{00000000-DC0C-42C3-8974-C249B3FF6E86}"/>
            </c:ext>
          </c:extLst>
        </c:ser>
        <c:ser>
          <c:idx val="1"/>
          <c:order val="1"/>
          <c:tx>
            <c:strRef>
              <c:f>Sheet3!$F$34</c:f>
              <c:strCache>
                <c:ptCount val="1"/>
                <c:pt idx="0">
                  <c:v>Regional</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Sheet3!$D$35:$D$38</c:f>
              <c:strCache>
                <c:ptCount val="4"/>
                <c:pt idx="0">
                  <c:v>All occupations</c:v>
                </c:pt>
                <c:pt idx="1">
                  <c:v>Professionals</c:v>
                </c:pt>
                <c:pt idx="2">
                  <c:v>Technician and Trades Workers</c:v>
                </c:pt>
                <c:pt idx="3">
                  <c:v>Community and Personal Service Workers</c:v>
                </c:pt>
              </c:strCache>
            </c:strRef>
          </c:cat>
          <c:val>
            <c:numRef>
              <c:f>Sheet3!$F$35:$F$38</c:f>
              <c:numCache>
                <c:formatCode>General</c:formatCode>
                <c:ptCount val="4"/>
                <c:pt idx="0">
                  <c:v>2.7</c:v>
                </c:pt>
                <c:pt idx="1">
                  <c:v>2.9</c:v>
                </c:pt>
                <c:pt idx="2">
                  <c:v>2.5</c:v>
                </c:pt>
                <c:pt idx="3">
                  <c:v>1.8</c:v>
                </c:pt>
              </c:numCache>
            </c:numRef>
          </c:val>
          <c:extLst>
            <c:ext xmlns:c16="http://schemas.microsoft.com/office/drawing/2014/chart" uri="{C3380CC4-5D6E-409C-BE32-E72D297353CC}">
              <c16:uniqueId val="{00000001-DC0C-42C3-8974-C249B3FF6E86}"/>
            </c:ext>
          </c:extLst>
        </c:ser>
        <c:dLbls>
          <c:showLegendKey val="0"/>
          <c:showVal val="0"/>
          <c:showCatName val="0"/>
          <c:showSerName val="0"/>
          <c:showPercent val="0"/>
          <c:showBubbleSize val="0"/>
        </c:dLbls>
        <c:gapWidth val="219"/>
        <c:overlap val="-27"/>
        <c:axId val="442640559"/>
        <c:axId val="379757295"/>
      </c:barChart>
      <c:catAx>
        <c:axId val="442640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79757295"/>
        <c:crosses val="autoZero"/>
        <c:auto val="1"/>
        <c:lblAlgn val="ctr"/>
        <c:lblOffset val="100"/>
        <c:noMultiLvlLbl val="0"/>
      </c:catAx>
      <c:valAx>
        <c:axId val="379757295"/>
        <c:scaling>
          <c:orientation val="minMax"/>
          <c:max val="4"/>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Average years of experience required</a:t>
                </a:r>
              </a:p>
            </c:rich>
          </c:tx>
          <c:layout>
            <c:manualLayout>
              <c:xMode val="edge"/>
              <c:yMode val="edge"/>
              <c:x val="2.2222222222222223E-2"/>
              <c:y val="5.3113881598133565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2640559"/>
        <c:crosses val="autoZero"/>
        <c:crossBetween val="between"/>
        <c:majorUnit val="1"/>
      </c:valAx>
      <c:spPr>
        <a:noFill/>
        <a:ln>
          <a:noFill/>
        </a:ln>
        <a:effectLst/>
      </c:spPr>
    </c:plotArea>
    <c:legend>
      <c:legendPos val="b"/>
      <c:layout>
        <c:manualLayout>
          <c:xMode val="edge"/>
          <c:yMode val="edge"/>
          <c:x val="0.75486888814222897"/>
          <c:y val="5.3241330699386961E-2"/>
          <c:w val="0.18290291635623471"/>
          <c:h val="0.192930636320636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Comparisons!$B$2</c:f>
              <c:strCache>
                <c:ptCount val="1"/>
                <c:pt idx="0">
                  <c:v>Metro</c:v>
                </c:pt>
              </c:strCache>
            </c:strRef>
          </c:tx>
          <c:spPr>
            <a:solidFill>
              <a:schemeClr val="accent1"/>
            </a:solidFill>
            <a:ln>
              <a:noFill/>
            </a:ln>
            <a:effectLst/>
          </c:spPr>
          <c:invertIfNegative val="0"/>
          <c:cat>
            <c:strRef>
              <c:f>Comparisons!$A$3:$A$18</c:f>
              <c:strCache>
                <c:ptCount val="16"/>
                <c:pt idx="0">
                  <c:v>22 Business, Human Resource and Marketing Professionals</c:v>
                </c:pt>
                <c:pt idx="1">
                  <c:v>23 Design, Engineering, Science and Transport Professionals</c:v>
                </c:pt>
                <c:pt idx="2">
                  <c:v>24 Education Professionals</c:v>
                </c:pt>
                <c:pt idx="3">
                  <c:v>25 Health Professionals</c:v>
                </c:pt>
                <c:pt idx="4">
                  <c:v>26 ICT Professionals</c:v>
                </c:pt>
                <c:pt idx="5">
                  <c:v>27 Legal, Social and Welfare Professionals</c:v>
                </c:pt>
                <c:pt idx="6">
                  <c:v>31 Engineering, ICT and Science Technicians</c:v>
                </c:pt>
                <c:pt idx="7">
                  <c:v>32 Automotive and Engineering Trades Workers</c:v>
                </c:pt>
                <c:pt idx="8">
                  <c:v>33 Construction Trades Workers</c:v>
                </c:pt>
                <c:pt idx="9">
                  <c:v>34 Electrotechnology and Telecommunications Trades Workers</c:v>
                </c:pt>
                <c:pt idx="10">
                  <c:v>35 Food Trades Workers</c:v>
                </c:pt>
                <c:pt idx="11">
                  <c:v>36 Skilled Animal, Agricultural and Horticultural Workers</c:v>
                </c:pt>
                <c:pt idx="12">
                  <c:v>41 Health and Welfare Support Workers</c:v>
                </c:pt>
                <c:pt idx="13">
                  <c:v>42 Carers and Aides</c:v>
                </c:pt>
                <c:pt idx="14">
                  <c:v>43 Hospitality Workers</c:v>
                </c:pt>
                <c:pt idx="15">
                  <c:v>45 Sports and Personal Service Workers</c:v>
                </c:pt>
              </c:strCache>
            </c:strRef>
          </c:cat>
          <c:val>
            <c:numRef>
              <c:f>Comparisons!$B$3:$B$18</c:f>
              <c:numCache>
                <c:formatCode>General</c:formatCode>
                <c:ptCount val="16"/>
                <c:pt idx="0">
                  <c:v>7.0000000000000009</c:v>
                </c:pt>
                <c:pt idx="1">
                  <c:v>10</c:v>
                </c:pt>
                <c:pt idx="2">
                  <c:v>6</c:v>
                </c:pt>
                <c:pt idx="3">
                  <c:v>13</c:v>
                </c:pt>
                <c:pt idx="4">
                  <c:v>12</c:v>
                </c:pt>
                <c:pt idx="5">
                  <c:v>6</c:v>
                </c:pt>
                <c:pt idx="6">
                  <c:v>13</c:v>
                </c:pt>
                <c:pt idx="7">
                  <c:v>8</c:v>
                </c:pt>
                <c:pt idx="8">
                  <c:v>5</c:v>
                </c:pt>
                <c:pt idx="9">
                  <c:v>12</c:v>
                </c:pt>
                <c:pt idx="10">
                  <c:v>8</c:v>
                </c:pt>
                <c:pt idx="11">
                  <c:v>2</c:v>
                </c:pt>
                <c:pt idx="12">
                  <c:v>7.0000000000000009</c:v>
                </c:pt>
                <c:pt idx="13">
                  <c:v>12</c:v>
                </c:pt>
                <c:pt idx="14">
                  <c:v>7.0000000000000009</c:v>
                </c:pt>
                <c:pt idx="15">
                  <c:v>7.0000000000000009</c:v>
                </c:pt>
              </c:numCache>
            </c:numRef>
          </c:val>
          <c:extLst>
            <c:ext xmlns:c16="http://schemas.microsoft.com/office/drawing/2014/chart" uri="{C3380CC4-5D6E-409C-BE32-E72D297353CC}">
              <c16:uniqueId val="{00000000-1D54-488A-ADA3-D944BE1E3E4A}"/>
            </c:ext>
          </c:extLst>
        </c:ser>
        <c:ser>
          <c:idx val="1"/>
          <c:order val="1"/>
          <c:tx>
            <c:strRef>
              <c:f>Comparisons!$C$2</c:f>
              <c:strCache>
                <c:ptCount val="1"/>
                <c:pt idx="0">
                  <c:v>Regional</c:v>
                </c:pt>
              </c:strCache>
            </c:strRef>
          </c:tx>
          <c:spPr>
            <a:solidFill>
              <a:schemeClr val="accent2"/>
            </a:solidFill>
            <a:ln>
              <a:noFill/>
            </a:ln>
            <a:effectLst/>
          </c:spPr>
          <c:invertIfNegative val="0"/>
          <c:cat>
            <c:strRef>
              <c:f>Comparisons!$A$3:$A$18</c:f>
              <c:strCache>
                <c:ptCount val="16"/>
                <c:pt idx="0">
                  <c:v>22 Business, Human Resource and Marketing Professionals</c:v>
                </c:pt>
                <c:pt idx="1">
                  <c:v>23 Design, Engineering, Science and Transport Professionals</c:v>
                </c:pt>
                <c:pt idx="2">
                  <c:v>24 Education Professionals</c:v>
                </c:pt>
                <c:pt idx="3">
                  <c:v>25 Health Professionals</c:v>
                </c:pt>
                <c:pt idx="4">
                  <c:v>26 ICT Professionals</c:v>
                </c:pt>
                <c:pt idx="5">
                  <c:v>27 Legal, Social and Welfare Professionals</c:v>
                </c:pt>
                <c:pt idx="6">
                  <c:v>31 Engineering, ICT and Science Technicians</c:v>
                </c:pt>
                <c:pt idx="7">
                  <c:v>32 Automotive and Engineering Trades Workers</c:v>
                </c:pt>
                <c:pt idx="8">
                  <c:v>33 Construction Trades Workers</c:v>
                </c:pt>
                <c:pt idx="9">
                  <c:v>34 Electrotechnology and Telecommunications Trades Workers</c:v>
                </c:pt>
                <c:pt idx="10">
                  <c:v>35 Food Trades Workers</c:v>
                </c:pt>
                <c:pt idx="11">
                  <c:v>36 Skilled Animal, Agricultural and Horticultural Workers</c:v>
                </c:pt>
                <c:pt idx="12">
                  <c:v>41 Health and Welfare Support Workers</c:v>
                </c:pt>
                <c:pt idx="13">
                  <c:v>42 Carers and Aides</c:v>
                </c:pt>
                <c:pt idx="14">
                  <c:v>43 Hospitality Workers</c:v>
                </c:pt>
                <c:pt idx="15">
                  <c:v>45 Sports and Personal Service Workers</c:v>
                </c:pt>
              </c:strCache>
            </c:strRef>
          </c:cat>
          <c:val>
            <c:numRef>
              <c:f>Comparisons!$C$3:$C$18</c:f>
              <c:numCache>
                <c:formatCode>General</c:formatCode>
                <c:ptCount val="16"/>
                <c:pt idx="0">
                  <c:v>10</c:v>
                </c:pt>
                <c:pt idx="1">
                  <c:v>14.000000000000002</c:v>
                </c:pt>
                <c:pt idx="2">
                  <c:v>14.000000000000002</c:v>
                </c:pt>
                <c:pt idx="3">
                  <c:v>16</c:v>
                </c:pt>
                <c:pt idx="4">
                  <c:v>19</c:v>
                </c:pt>
                <c:pt idx="5">
                  <c:v>12</c:v>
                </c:pt>
                <c:pt idx="6">
                  <c:v>15</c:v>
                </c:pt>
                <c:pt idx="7">
                  <c:v>9</c:v>
                </c:pt>
                <c:pt idx="8">
                  <c:v>14.000000000000002</c:v>
                </c:pt>
                <c:pt idx="9">
                  <c:v>16</c:v>
                </c:pt>
                <c:pt idx="10">
                  <c:v>13</c:v>
                </c:pt>
                <c:pt idx="11">
                  <c:v>17</c:v>
                </c:pt>
                <c:pt idx="12">
                  <c:v>11</c:v>
                </c:pt>
                <c:pt idx="13">
                  <c:v>17</c:v>
                </c:pt>
                <c:pt idx="14">
                  <c:v>19</c:v>
                </c:pt>
                <c:pt idx="15">
                  <c:v>8</c:v>
                </c:pt>
              </c:numCache>
            </c:numRef>
          </c:val>
          <c:extLst>
            <c:ext xmlns:c16="http://schemas.microsoft.com/office/drawing/2014/chart" uri="{C3380CC4-5D6E-409C-BE32-E72D297353CC}">
              <c16:uniqueId val="{00000001-1D54-488A-ADA3-D944BE1E3E4A}"/>
            </c:ext>
          </c:extLst>
        </c:ser>
        <c:dLbls>
          <c:showLegendKey val="0"/>
          <c:showVal val="0"/>
          <c:showCatName val="0"/>
          <c:showSerName val="0"/>
          <c:showPercent val="0"/>
          <c:showBubbleSize val="0"/>
        </c:dLbls>
        <c:gapWidth val="219"/>
        <c:axId val="391893007"/>
        <c:axId val="579571919"/>
      </c:barChart>
      <c:catAx>
        <c:axId val="39189300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79571919"/>
        <c:crosses val="autoZero"/>
        <c:auto val="1"/>
        <c:lblAlgn val="ctr"/>
        <c:lblOffset val="100"/>
        <c:noMultiLvlLbl val="0"/>
      </c:catAx>
      <c:valAx>
        <c:axId val="579571919"/>
        <c:scaling>
          <c:orientation val="minMax"/>
          <c:max val="20"/>
        </c:scaling>
        <c:delete val="0"/>
        <c:axPos val="t"/>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a:t>
                </a:r>
              </a:p>
            </c:rich>
          </c:tx>
          <c:layout>
            <c:manualLayout>
              <c:xMode val="edge"/>
              <c:yMode val="edge"/>
              <c:x val="0.6381225578313966"/>
              <c:y val="0.905948699290522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91893007"/>
        <c:crosses val="autoZero"/>
        <c:crossBetween val="between"/>
        <c:majorUnit val="5"/>
      </c:valAx>
      <c:spPr>
        <a:noFill/>
        <a:ln>
          <a:noFill/>
        </a:ln>
        <a:effectLst/>
      </c:spPr>
    </c:plotArea>
    <c:legend>
      <c:legendPos val="b"/>
      <c:layout>
        <c:manualLayout>
          <c:xMode val="edge"/>
          <c:yMode val="edge"/>
          <c:x val="0.75944417719489243"/>
          <c:y val="1.7829625035273352E-2"/>
          <c:w val="0.19708146610291077"/>
          <c:h val="5.802993472459566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849813831410586E-2"/>
          <c:y val="5.6435052541460237E-2"/>
          <c:w val="0.89328083989501317"/>
          <c:h val="0.73086942257217835"/>
        </c:manualLayout>
      </c:layout>
      <c:lineChart>
        <c:grouping val="standard"/>
        <c:varyColors val="0"/>
        <c:ser>
          <c:idx val="0"/>
          <c:order val="0"/>
          <c:tx>
            <c:strRef>
              <c:f>'Underemp chart'!$B$2</c:f>
              <c:strCache>
                <c:ptCount val="1"/>
                <c:pt idx="0">
                  <c:v>Male</c:v>
                </c:pt>
              </c:strCache>
            </c:strRef>
          </c:tx>
          <c:marker>
            <c:symbol val="none"/>
          </c:marker>
          <c:cat>
            <c:numRef>
              <c:f>'Underemp chart'!$A$3:$A$243</c:f>
              <c:numCache>
                <c:formatCode>mmm\-yy</c:formatCode>
                <c:ptCount val="241"/>
                <c:pt idx="0">
                  <c:v>37681</c:v>
                </c:pt>
                <c:pt idx="1">
                  <c:v>37712</c:v>
                </c:pt>
                <c:pt idx="2">
                  <c:v>37742</c:v>
                </c:pt>
                <c:pt idx="3">
                  <c:v>37773</c:v>
                </c:pt>
                <c:pt idx="4">
                  <c:v>37803</c:v>
                </c:pt>
                <c:pt idx="5">
                  <c:v>37834</c:v>
                </c:pt>
                <c:pt idx="6">
                  <c:v>37865</c:v>
                </c:pt>
                <c:pt idx="7">
                  <c:v>37895</c:v>
                </c:pt>
                <c:pt idx="8">
                  <c:v>37926</c:v>
                </c:pt>
                <c:pt idx="9">
                  <c:v>37956</c:v>
                </c:pt>
                <c:pt idx="10">
                  <c:v>37987</c:v>
                </c:pt>
                <c:pt idx="11">
                  <c:v>38018</c:v>
                </c:pt>
                <c:pt idx="12">
                  <c:v>38047</c:v>
                </c:pt>
                <c:pt idx="13">
                  <c:v>38078</c:v>
                </c:pt>
                <c:pt idx="14">
                  <c:v>38108</c:v>
                </c:pt>
                <c:pt idx="15">
                  <c:v>38139</c:v>
                </c:pt>
                <c:pt idx="16">
                  <c:v>38169</c:v>
                </c:pt>
                <c:pt idx="17">
                  <c:v>38200</c:v>
                </c:pt>
                <c:pt idx="18">
                  <c:v>38231</c:v>
                </c:pt>
                <c:pt idx="19">
                  <c:v>38261</c:v>
                </c:pt>
                <c:pt idx="20">
                  <c:v>38292</c:v>
                </c:pt>
                <c:pt idx="21">
                  <c:v>38322</c:v>
                </c:pt>
                <c:pt idx="22">
                  <c:v>38353</c:v>
                </c:pt>
                <c:pt idx="23">
                  <c:v>38384</c:v>
                </c:pt>
                <c:pt idx="24">
                  <c:v>38412</c:v>
                </c:pt>
                <c:pt idx="25">
                  <c:v>38443</c:v>
                </c:pt>
                <c:pt idx="26">
                  <c:v>38473</c:v>
                </c:pt>
                <c:pt idx="27">
                  <c:v>38504</c:v>
                </c:pt>
                <c:pt idx="28">
                  <c:v>38534</c:v>
                </c:pt>
                <c:pt idx="29">
                  <c:v>38565</c:v>
                </c:pt>
                <c:pt idx="30">
                  <c:v>38596</c:v>
                </c:pt>
                <c:pt idx="31">
                  <c:v>38626</c:v>
                </c:pt>
                <c:pt idx="32">
                  <c:v>38657</c:v>
                </c:pt>
                <c:pt idx="33">
                  <c:v>38687</c:v>
                </c:pt>
                <c:pt idx="34">
                  <c:v>38718</c:v>
                </c:pt>
                <c:pt idx="35">
                  <c:v>38749</c:v>
                </c:pt>
                <c:pt idx="36">
                  <c:v>38777</c:v>
                </c:pt>
                <c:pt idx="37">
                  <c:v>38808</c:v>
                </c:pt>
                <c:pt idx="38">
                  <c:v>38838</c:v>
                </c:pt>
                <c:pt idx="39">
                  <c:v>38869</c:v>
                </c:pt>
                <c:pt idx="40">
                  <c:v>38899</c:v>
                </c:pt>
                <c:pt idx="41">
                  <c:v>38930</c:v>
                </c:pt>
                <c:pt idx="42">
                  <c:v>38961</c:v>
                </c:pt>
                <c:pt idx="43">
                  <c:v>38991</c:v>
                </c:pt>
                <c:pt idx="44">
                  <c:v>39022</c:v>
                </c:pt>
                <c:pt idx="45">
                  <c:v>39052</c:v>
                </c:pt>
                <c:pt idx="46">
                  <c:v>39083</c:v>
                </c:pt>
                <c:pt idx="47">
                  <c:v>39114</c:v>
                </c:pt>
                <c:pt idx="48">
                  <c:v>39142</c:v>
                </c:pt>
                <c:pt idx="49">
                  <c:v>39173</c:v>
                </c:pt>
                <c:pt idx="50">
                  <c:v>39203</c:v>
                </c:pt>
                <c:pt idx="51">
                  <c:v>39234</c:v>
                </c:pt>
                <c:pt idx="52">
                  <c:v>39264</c:v>
                </c:pt>
                <c:pt idx="53">
                  <c:v>39295</c:v>
                </c:pt>
                <c:pt idx="54">
                  <c:v>39326</c:v>
                </c:pt>
                <c:pt idx="55">
                  <c:v>39356</c:v>
                </c:pt>
                <c:pt idx="56">
                  <c:v>39387</c:v>
                </c:pt>
                <c:pt idx="57">
                  <c:v>39417</c:v>
                </c:pt>
                <c:pt idx="58">
                  <c:v>39448</c:v>
                </c:pt>
                <c:pt idx="59">
                  <c:v>39479</c:v>
                </c:pt>
                <c:pt idx="60">
                  <c:v>39508</c:v>
                </c:pt>
                <c:pt idx="61">
                  <c:v>39539</c:v>
                </c:pt>
                <c:pt idx="62">
                  <c:v>39569</c:v>
                </c:pt>
                <c:pt idx="63">
                  <c:v>39600</c:v>
                </c:pt>
                <c:pt idx="64">
                  <c:v>39630</c:v>
                </c:pt>
                <c:pt idx="65">
                  <c:v>39661</c:v>
                </c:pt>
                <c:pt idx="66">
                  <c:v>39692</c:v>
                </c:pt>
                <c:pt idx="67">
                  <c:v>39722</c:v>
                </c:pt>
                <c:pt idx="68">
                  <c:v>39753</c:v>
                </c:pt>
                <c:pt idx="69">
                  <c:v>39783</c:v>
                </c:pt>
                <c:pt idx="70">
                  <c:v>39814</c:v>
                </c:pt>
                <c:pt idx="71">
                  <c:v>39845</c:v>
                </c:pt>
                <c:pt idx="72">
                  <c:v>39873</c:v>
                </c:pt>
                <c:pt idx="73">
                  <c:v>39904</c:v>
                </c:pt>
                <c:pt idx="74">
                  <c:v>39934</c:v>
                </c:pt>
                <c:pt idx="75">
                  <c:v>39965</c:v>
                </c:pt>
                <c:pt idx="76">
                  <c:v>39995</c:v>
                </c:pt>
                <c:pt idx="77">
                  <c:v>40026</c:v>
                </c:pt>
                <c:pt idx="78">
                  <c:v>40057</c:v>
                </c:pt>
                <c:pt idx="79">
                  <c:v>40087</c:v>
                </c:pt>
                <c:pt idx="80">
                  <c:v>40118</c:v>
                </c:pt>
                <c:pt idx="81">
                  <c:v>40148</c:v>
                </c:pt>
                <c:pt idx="82">
                  <c:v>40179</c:v>
                </c:pt>
                <c:pt idx="83">
                  <c:v>40210</c:v>
                </c:pt>
                <c:pt idx="84">
                  <c:v>40238</c:v>
                </c:pt>
                <c:pt idx="85">
                  <c:v>40269</c:v>
                </c:pt>
                <c:pt idx="86">
                  <c:v>40299</c:v>
                </c:pt>
                <c:pt idx="87">
                  <c:v>40330</c:v>
                </c:pt>
                <c:pt idx="88">
                  <c:v>40360</c:v>
                </c:pt>
                <c:pt idx="89">
                  <c:v>40391</c:v>
                </c:pt>
                <c:pt idx="90">
                  <c:v>40422</c:v>
                </c:pt>
                <c:pt idx="91">
                  <c:v>40452</c:v>
                </c:pt>
                <c:pt idx="92">
                  <c:v>40483</c:v>
                </c:pt>
                <c:pt idx="93">
                  <c:v>40513</c:v>
                </c:pt>
                <c:pt idx="94">
                  <c:v>40544</c:v>
                </c:pt>
                <c:pt idx="95">
                  <c:v>40575</c:v>
                </c:pt>
                <c:pt idx="96">
                  <c:v>40603</c:v>
                </c:pt>
                <c:pt idx="97">
                  <c:v>40634</c:v>
                </c:pt>
                <c:pt idx="98">
                  <c:v>40664</c:v>
                </c:pt>
                <c:pt idx="99">
                  <c:v>40695</c:v>
                </c:pt>
                <c:pt idx="100">
                  <c:v>40725</c:v>
                </c:pt>
                <c:pt idx="101">
                  <c:v>40756</c:v>
                </c:pt>
                <c:pt idx="102">
                  <c:v>40787</c:v>
                </c:pt>
                <c:pt idx="103">
                  <c:v>40817</c:v>
                </c:pt>
                <c:pt idx="104">
                  <c:v>40848</c:v>
                </c:pt>
                <c:pt idx="105">
                  <c:v>40878</c:v>
                </c:pt>
                <c:pt idx="106">
                  <c:v>40909</c:v>
                </c:pt>
                <c:pt idx="107">
                  <c:v>40940</c:v>
                </c:pt>
                <c:pt idx="108">
                  <c:v>40969</c:v>
                </c:pt>
                <c:pt idx="109">
                  <c:v>41000</c:v>
                </c:pt>
                <c:pt idx="110">
                  <c:v>41030</c:v>
                </c:pt>
                <c:pt idx="111">
                  <c:v>41061</c:v>
                </c:pt>
                <c:pt idx="112">
                  <c:v>41091</c:v>
                </c:pt>
                <c:pt idx="113">
                  <c:v>41122</c:v>
                </c:pt>
                <c:pt idx="114">
                  <c:v>41153</c:v>
                </c:pt>
                <c:pt idx="115">
                  <c:v>41183</c:v>
                </c:pt>
                <c:pt idx="116">
                  <c:v>41214</c:v>
                </c:pt>
                <c:pt idx="117">
                  <c:v>41244</c:v>
                </c:pt>
                <c:pt idx="118">
                  <c:v>41275</c:v>
                </c:pt>
                <c:pt idx="119">
                  <c:v>41306</c:v>
                </c:pt>
                <c:pt idx="120">
                  <c:v>41334</c:v>
                </c:pt>
                <c:pt idx="121">
                  <c:v>41365</c:v>
                </c:pt>
                <c:pt idx="122">
                  <c:v>41395</c:v>
                </c:pt>
                <c:pt idx="123">
                  <c:v>41426</c:v>
                </c:pt>
                <c:pt idx="124">
                  <c:v>41456</c:v>
                </c:pt>
                <c:pt idx="125">
                  <c:v>41487</c:v>
                </c:pt>
                <c:pt idx="126">
                  <c:v>41518</c:v>
                </c:pt>
                <c:pt idx="127">
                  <c:v>41548</c:v>
                </c:pt>
                <c:pt idx="128">
                  <c:v>41579</c:v>
                </c:pt>
                <c:pt idx="129">
                  <c:v>41609</c:v>
                </c:pt>
                <c:pt idx="130">
                  <c:v>41640</c:v>
                </c:pt>
                <c:pt idx="131">
                  <c:v>41671</c:v>
                </c:pt>
                <c:pt idx="132">
                  <c:v>41699</c:v>
                </c:pt>
                <c:pt idx="133">
                  <c:v>41730</c:v>
                </c:pt>
                <c:pt idx="134">
                  <c:v>41760</c:v>
                </c:pt>
                <c:pt idx="135">
                  <c:v>41791</c:v>
                </c:pt>
                <c:pt idx="136">
                  <c:v>41821</c:v>
                </c:pt>
                <c:pt idx="137">
                  <c:v>41852</c:v>
                </c:pt>
                <c:pt idx="138">
                  <c:v>41883</c:v>
                </c:pt>
                <c:pt idx="139">
                  <c:v>41913</c:v>
                </c:pt>
                <c:pt idx="140">
                  <c:v>41944</c:v>
                </c:pt>
                <c:pt idx="141">
                  <c:v>41974</c:v>
                </c:pt>
                <c:pt idx="142">
                  <c:v>42005</c:v>
                </c:pt>
                <c:pt idx="143">
                  <c:v>42036</c:v>
                </c:pt>
                <c:pt idx="144">
                  <c:v>42064</c:v>
                </c:pt>
                <c:pt idx="145">
                  <c:v>42095</c:v>
                </c:pt>
                <c:pt idx="146">
                  <c:v>42125</c:v>
                </c:pt>
                <c:pt idx="147">
                  <c:v>42156</c:v>
                </c:pt>
                <c:pt idx="148">
                  <c:v>42186</c:v>
                </c:pt>
                <c:pt idx="149">
                  <c:v>42217</c:v>
                </c:pt>
                <c:pt idx="150">
                  <c:v>42248</c:v>
                </c:pt>
                <c:pt idx="151">
                  <c:v>42278</c:v>
                </c:pt>
                <c:pt idx="152">
                  <c:v>42309</c:v>
                </c:pt>
                <c:pt idx="153">
                  <c:v>42339</c:v>
                </c:pt>
                <c:pt idx="154">
                  <c:v>42370</c:v>
                </c:pt>
                <c:pt idx="155">
                  <c:v>42401</c:v>
                </c:pt>
                <c:pt idx="156">
                  <c:v>42430</c:v>
                </c:pt>
                <c:pt idx="157">
                  <c:v>42461</c:v>
                </c:pt>
                <c:pt idx="158">
                  <c:v>42491</c:v>
                </c:pt>
                <c:pt idx="159">
                  <c:v>42522</c:v>
                </c:pt>
                <c:pt idx="160">
                  <c:v>42552</c:v>
                </c:pt>
                <c:pt idx="161">
                  <c:v>42583</c:v>
                </c:pt>
                <c:pt idx="162">
                  <c:v>42614</c:v>
                </c:pt>
                <c:pt idx="163">
                  <c:v>42644</c:v>
                </c:pt>
                <c:pt idx="164">
                  <c:v>42675</c:v>
                </c:pt>
                <c:pt idx="165">
                  <c:v>42705</c:v>
                </c:pt>
                <c:pt idx="166">
                  <c:v>42736</c:v>
                </c:pt>
                <c:pt idx="167">
                  <c:v>42767</c:v>
                </c:pt>
                <c:pt idx="168">
                  <c:v>42795</c:v>
                </c:pt>
                <c:pt idx="169">
                  <c:v>42826</c:v>
                </c:pt>
                <c:pt idx="170">
                  <c:v>42856</c:v>
                </c:pt>
                <c:pt idx="171">
                  <c:v>42887</c:v>
                </c:pt>
                <c:pt idx="172">
                  <c:v>42917</c:v>
                </c:pt>
                <c:pt idx="173">
                  <c:v>42948</c:v>
                </c:pt>
                <c:pt idx="174">
                  <c:v>42979</c:v>
                </c:pt>
                <c:pt idx="175">
                  <c:v>43009</c:v>
                </c:pt>
                <c:pt idx="176">
                  <c:v>43040</c:v>
                </c:pt>
                <c:pt idx="177">
                  <c:v>43070</c:v>
                </c:pt>
                <c:pt idx="178">
                  <c:v>43101</c:v>
                </c:pt>
                <c:pt idx="179">
                  <c:v>43132</c:v>
                </c:pt>
                <c:pt idx="180">
                  <c:v>43160</c:v>
                </c:pt>
                <c:pt idx="181">
                  <c:v>43191</c:v>
                </c:pt>
                <c:pt idx="182">
                  <c:v>43221</c:v>
                </c:pt>
                <c:pt idx="183">
                  <c:v>43252</c:v>
                </c:pt>
                <c:pt idx="184">
                  <c:v>43282</c:v>
                </c:pt>
                <c:pt idx="185">
                  <c:v>43313</c:v>
                </c:pt>
                <c:pt idx="186">
                  <c:v>43344</c:v>
                </c:pt>
                <c:pt idx="187">
                  <c:v>43374</c:v>
                </c:pt>
                <c:pt idx="188">
                  <c:v>43405</c:v>
                </c:pt>
                <c:pt idx="189">
                  <c:v>43435</c:v>
                </c:pt>
                <c:pt idx="190">
                  <c:v>43466</c:v>
                </c:pt>
                <c:pt idx="191">
                  <c:v>43497</c:v>
                </c:pt>
                <c:pt idx="192">
                  <c:v>43525</c:v>
                </c:pt>
                <c:pt idx="193">
                  <c:v>43556</c:v>
                </c:pt>
                <c:pt idx="194">
                  <c:v>43586</c:v>
                </c:pt>
                <c:pt idx="195">
                  <c:v>43617</c:v>
                </c:pt>
                <c:pt idx="196">
                  <c:v>43647</c:v>
                </c:pt>
                <c:pt idx="197">
                  <c:v>43678</c:v>
                </c:pt>
                <c:pt idx="198">
                  <c:v>43709</c:v>
                </c:pt>
                <c:pt idx="199">
                  <c:v>43739</c:v>
                </c:pt>
                <c:pt idx="200">
                  <c:v>43770</c:v>
                </c:pt>
                <c:pt idx="201">
                  <c:v>43800</c:v>
                </c:pt>
                <c:pt idx="202">
                  <c:v>43831</c:v>
                </c:pt>
                <c:pt idx="203">
                  <c:v>43862</c:v>
                </c:pt>
                <c:pt idx="204">
                  <c:v>43891</c:v>
                </c:pt>
                <c:pt idx="205">
                  <c:v>43922</c:v>
                </c:pt>
                <c:pt idx="206">
                  <c:v>43952</c:v>
                </c:pt>
                <c:pt idx="207">
                  <c:v>43983</c:v>
                </c:pt>
                <c:pt idx="208">
                  <c:v>44013</c:v>
                </c:pt>
                <c:pt idx="209">
                  <c:v>44044</c:v>
                </c:pt>
                <c:pt idx="210">
                  <c:v>44075</c:v>
                </c:pt>
                <c:pt idx="211">
                  <c:v>44105</c:v>
                </c:pt>
                <c:pt idx="212">
                  <c:v>44136</c:v>
                </c:pt>
                <c:pt idx="213">
                  <c:v>44166</c:v>
                </c:pt>
                <c:pt idx="214">
                  <c:v>44197</c:v>
                </c:pt>
                <c:pt idx="215">
                  <c:v>44228</c:v>
                </c:pt>
                <c:pt idx="216">
                  <c:v>44256</c:v>
                </c:pt>
                <c:pt idx="217">
                  <c:v>44287</c:v>
                </c:pt>
                <c:pt idx="218">
                  <c:v>44317</c:v>
                </c:pt>
                <c:pt idx="219">
                  <c:v>44348</c:v>
                </c:pt>
                <c:pt idx="220">
                  <c:v>44378</c:v>
                </c:pt>
                <c:pt idx="221">
                  <c:v>44409</c:v>
                </c:pt>
                <c:pt idx="222">
                  <c:v>44440</c:v>
                </c:pt>
                <c:pt idx="223">
                  <c:v>44470</c:v>
                </c:pt>
                <c:pt idx="224">
                  <c:v>44501</c:v>
                </c:pt>
                <c:pt idx="225">
                  <c:v>44531</c:v>
                </c:pt>
                <c:pt idx="226">
                  <c:v>44562</c:v>
                </c:pt>
                <c:pt idx="227">
                  <c:v>44593</c:v>
                </c:pt>
                <c:pt idx="228">
                  <c:v>44621</c:v>
                </c:pt>
                <c:pt idx="229">
                  <c:v>44652</c:v>
                </c:pt>
                <c:pt idx="230">
                  <c:v>44682</c:v>
                </c:pt>
                <c:pt idx="231">
                  <c:v>44713</c:v>
                </c:pt>
                <c:pt idx="232">
                  <c:v>44743</c:v>
                </c:pt>
                <c:pt idx="233">
                  <c:v>44774</c:v>
                </c:pt>
                <c:pt idx="234">
                  <c:v>44805</c:v>
                </c:pt>
                <c:pt idx="235">
                  <c:v>44835</c:v>
                </c:pt>
                <c:pt idx="236">
                  <c:v>44866</c:v>
                </c:pt>
                <c:pt idx="237">
                  <c:v>44896</c:v>
                </c:pt>
                <c:pt idx="238">
                  <c:v>44927</c:v>
                </c:pt>
                <c:pt idx="239">
                  <c:v>44958</c:v>
                </c:pt>
                <c:pt idx="240">
                  <c:v>44986</c:v>
                </c:pt>
              </c:numCache>
            </c:numRef>
          </c:cat>
          <c:val>
            <c:numRef>
              <c:f>'Underemp chart'!$B$3:$B$243</c:f>
              <c:numCache>
                <c:formatCode>0.0</c:formatCode>
                <c:ptCount val="241"/>
                <c:pt idx="0">
                  <c:v>5.2097574</c:v>
                </c:pt>
                <c:pt idx="1">
                  <c:v>5.2999618999999996</c:v>
                </c:pt>
                <c:pt idx="2">
                  <c:v>5.2368892000000002</c:v>
                </c:pt>
                <c:pt idx="3">
                  <c:v>5.2520683999999997</c:v>
                </c:pt>
                <c:pt idx="4">
                  <c:v>5.1530722000000004</c:v>
                </c:pt>
                <c:pt idx="5">
                  <c:v>5.0361208</c:v>
                </c:pt>
                <c:pt idx="6">
                  <c:v>5.1172215999999997</c:v>
                </c:pt>
                <c:pt idx="7">
                  <c:v>5.2060382000000001</c:v>
                </c:pt>
                <c:pt idx="8">
                  <c:v>5.3853726000000002</c:v>
                </c:pt>
                <c:pt idx="9">
                  <c:v>5.1176358999999998</c:v>
                </c:pt>
                <c:pt idx="10">
                  <c:v>4.8807643000000001</c:v>
                </c:pt>
                <c:pt idx="11">
                  <c:v>4.8721876000000002</c:v>
                </c:pt>
                <c:pt idx="12">
                  <c:v>4.9953582000000001</c:v>
                </c:pt>
                <c:pt idx="13">
                  <c:v>4.5489639999999998</c:v>
                </c:pt>
                <c:pt idx="14">
                  <c:v>4.9623397999999996</c:v>
                </c:pt>
                <c:pt idx="15">
                  <c:v>4.9916532</c:v>
                </c:pt>
                <c:pt idx="16">
                  <c:v>4.9676600999999998</c:v>
                </c:pt>
                <c:pt idx="17">
                  <c:v>5.0478459999999998</c:v>
                </c:pt>
                <c:pt idx="18">
                  <c:v>5.2051993999999997</c:v>
                </c:pt>
                <c:pt idx="19">
                  <c:v>5.0756351000000004</c:v>
                </c:pt>
                <c:pt idx="20">
                  <c:v>5.0990243</c:v>
                </c:pt>
                <c:pt idx="21">
                  <c:v>5.1537215999999999</c:v>
                </c:pt>
                <c:pt idx="22">
                  <c:v>5.0675261999999996</c:v>
                </c:pt>
                <c:pt idx="23">
                  <c:v>5.0959032000000004</c:v>
                </c:pt>
                <c:pt idx="24">
                  <c:v>5.1153389000000002</c:v>
                </c:pt>
                <c:pt idx="25">
                  <c:v>5.1786433000000001</c:v>
                </c:pt>
                <c:pt idx="26">
                  <c:v>5.0637112000000002</c:v>
                </c:pt>
                <c:pt idx="27">
                  <c:v>5.0867244999999999</c:v>
                </c:pt>
                <c:pt idx="28">
                  <c:v>4.7622156999999996</c:v>
                </c:pt>
                <c:pt idx="29">
                  <c:v>4.7240285000000002</c:v>
                </c:pt>
                <c:pt idx="30">
                  <c:v>4.8779022000000003</c:v>
                </c:pt>
                <c:pt idx="31">
                  <c:v>4.7992657999999997</c:v>
                </c:pt>
                <c:pt idx="32">
                  <c:v>5.0727962</c:v>
                </c:pt>
                <c:pt idx="33">
                  <c:v>4.8745916999999999</c:v>
                </c:pt>
                <c:pt idx="34">
                  <c:v>4.7746991000000003</c:v>
                </c:pt>
                <c:pt idx="35">
                  <c:v>4.8144821999999996</c:v>
                </c:pt>
                <c:pt idx="36">
                  <c:v>4.6090188000000003</c:v>
                </c:pt>
                <c:pt idx="37">
                  <c:v>4.7123963</c:v>
                </c:pt>
                <c:pt idx="38">
                  <c:v>4.7349614000000004</c:v>
                </c:pt>
                <c:pt idx="39">
                  <c:v>4.9007953999999998</c:v>
                </c:pt>
                <c:pt idx="40">
                  <c:v>4.9542837999999998</c:v>
                </c:pt>
                <c:pt idx="41">
                  <c:v>5.0285435999999999</c:v>
                </c:pt>
                <c:pt idx="42">
                  <c:v>5.0902526000000003</c:v>
                </c:pt>
                <c:pt idx="43">
                  <c:v>4.7762906999999997</c:v>
                </c:pt>
                <c:pt idx="44">
                  <c:v>4.7093458999999998</c:v>
                </c:pt>
                <c:pt idx="45">
                  <c:v>4.7063968000000003</c:v>
                </c:pt>
                <c:pt idx="46">
                  <c:v>4.8187068999999996</c:v>
                </c:pt>
                <c:pt idx="47">
                  <c:v>4.9685883999999998</c:v>
                </c:pt>
                <c:pt idx="48">
                  <c:v>4.7472572</c:v>
                </c:pt>
                <c:pt idx="49">
                  <c:v>4.5429456999999998</c:v>
                </c:pt>
                <c:pt idx="50">
                  <c:v>4.5881049999999997</c:v>
                </c:pt>
                <c:pt idx="51">
                  <c:v>4.5378736000000002</c:v>
                </c:pt>
                <c:pt idx="52">
                  <c:v>4.5377307</c:v>
                </c:pt>
                <c:pt idx="53">
                  <c:v>4.6015674000000004</c:v>
                </c:pt>
                <c:pt idx="54">
                  <c:v>4.5242697999999999</c:v>
                </c:pt>
                <c:pt idx="55">
                  <c:v>4.5398149999999999</c:v>
                </c:pt>
                <c:pt idx="56">
                  <c:v>4.4646645999999999</c:v>
                </c:pt>
                <c:pt idx="57">
                  <c:v>4.5168527999999997</c:v>
                </c:pt>
                <c:pt idx="58">
                  <c:v>4.5798557000000004</c:v>
                </c:pt>
                <c:pt idx="59">
                  <c:v>4.4950729000000003</c:v>
                </c:pt>
                <c:pt idx="60">
                  <c:v>4.4458833999999996</c:v>
                </c:pt>
                <c:pt idx="61">
                  <c:v>4.4766570999999997</c:v>
                </c:pt>
                <c:pt idx="62">
                  <c:v>4.3544377000000001</c:v>
                </c:pt>
                <c:pt idx="63">
                  <c:v>4.1578476999999996</c:v>
                </c:pt>
                <c:pt idx="64">
                  <c:v>4.2466771999999997</c:v>
                </c:pt>
                <c:pt idx="65">
                  <c:v>3.9918710000000002</c:v>
                </c:pt>
                <c:pt idx="66">
                  <c:v>4.3317164999999997</c:v>
                </c:pt>
                <c:pt idx="67">
                  <c:v>4.6739243000000004</c:v>
                </c:pt>
                <c:pt idx="68">
                  <c:v>4.6502536000000001</c:v>
                </c:pt>
                <c:pt idx="69">
                  <c:v>5.051304</c:v>
                </c:pt>
                <c:pt idx="70">
                  <c:v>5.1152246000000003</c:v>
                </c:pt>
                <c:pt idx="71">
                  <c:v>5.4685204000000001</c:v>
                </c:pt>
                <c:pt idx="72">
                  <c:v>5.7642310999999999</c:v>
                </c:pt>
                <c:pt idx="73">
                  <c:v>5.9422704</c:v>
                </c:pt>
                <c:pt idx="74">
                  <c:v>6.5085892999999997</c:v>
                </c:pt>
                <c:pt idx="75">
                  <c:v>6.1416395000000001</c:v>
                </c:pt>
                <c:pt idx="76">
                  <c:v>6.0437668999999996</c:v>
                </c:pt>
                <c:pt idx="77">
                  <c:v>5.8543859999999999</c:v>
                </c:pt>
                <c:pt idx="78">
                  <c:v>5.942571</c:v>
                </c:pt>
                <c:pt idx="79">
                  <c:v>5.8706885</c:v>
                </c:pt>
                <c:pt idx="80">
                  <c:v>5.9284198000000004</c:v>
                </c:pt>
                <c:pt idx="81">
                  <c:v>5.7954412</c:v>
                </c:pt>
                <c:pt idx="82">
                  <c:v>5.8757539999999997</c:v>
                </c:pt>
                <c:pt idx="83">
                  <c:v>5.7620108999999999</c:v>
                </c:pt>
                <c:pt idx="84">
                  <c:v>5.6191620999999996</c:v>
                </c:pt>
                <c:pt idx="85">
                  <c:v>5.4470801</c:v>
                </c:pt>
                <c:pt idx="86">
                  <c:v>5.3282406</c:v>
                </c:pt>
                <c:pt idx="87">
                  <c:v>5.4349214999999997</c:v>
                </c:pt>
                <c:pt idx="88">
                  <c:v>5.5524827999999999</c:v>
                </c:pt>
                <c:pt idx="89">
                  <c:v>5.6965390999999999</c:v>
                </c:pt>
                <c:pt idx="90">
                  <c:v>5.6459197999999997</c:v>
                </c:pt>
                <c:pt idx="91">
                  <c:v>5.5422608000000002</c:v>
                </c:pt>
                <c:pt idx="92">
                  <c:v>5.5140278</c:v>
                </c:pt>
                <c:pt idx="93">
                  <c:v>5.3513105000000003</c:v>
                </c:pt>
                <c:pt idx="94">
                  <c:v>5.0938537999999998</c:v>
                </c:pt>
                <c:pt idx="95">
                  <c:v>5.0625451000000004</c:v>
                </c:pt>
                <c:pt idx="96">
                  <c:v>5.2398726</c:v>
                </c:pt>
                <c:pt idx="97">
                  <c:v>5.4136543000000001</c:v>
                </c:pt>
                <c:pt idx="98">
                  <c:v>5.5229530000000002</c:v>
                </c:pt>
                <c:pt idx="99">
                  <c:v>5.4135021999999999</c:v>
                </c:pt>
                <c:pt idx="100">
                  <c:v>5.1212657000000004</c:v>
                </c:pt>
                <c:pt idx="101">
                  <c:v>5.0278542000000002</c:v>
                </c:pt>
                <c:pt idx="102">
                  <c:v>5.0518434000000001</c:v>
                </c:pt>
                <c:pt idx="103">
                  <c:v>5.2255450999999997</c:v>
                </c:pt>
                <c:pt idx="104">
                  <c:v>5.3349301999999996</c:v>
                </c:pt>
                <c:pt idx="105">
                  <c:v>5.3885360000000002</c:v>
                </c:pt>
                <c:pt idx="106">
                  <c:v>5.5001286</c:v>
                </c:pt>
                <c:pt idx="107">
                  <c:v>5.6652472999999999</c:v>
                </c:pt>
                <c:pt idx="108">
                  <c:v>5.6223196</c:v>
                </c:pt>
                <c:pt idx="109">
                  <c:v>5.4844131999999997</c:v>
                </c:pt>
                <c:pt idx="110">
                  <c:v>5.4608780000000001</c:v>
                </c:pt>
                <c:pt idx="111">
                  <c:v>5.3558371999999999</c:v>
                </c:pt>
                <c:pt idx="112">
                  <c:v>5.2541818999999998</c:v>
                </c:pt>
                <c:pt idx="113">
                  <c:v>5.1193318000000003</c:v>
                </c:pt>
                <c:pt idx="114">
                  <c:v>5.0999603000000002</c:v>
                </c:pt>
                <c:pt idx="115">
                  <c:v>5.2096344999999999</c:v>
                </c:pt>
                <c:pt idx="116">
                  <c:v>5.2830934999999997</c:v>
                </c:pt>
                <c:pt idx="117">
                  <c:v>5.3414593999999997</c:v>
                </c:pt>
                <c:pt idx="118">
                  <c:v>5.3311146000000003</c:v>
                </c:pt>
                <c:pt idx="119">
                  <c:v>5.3497311999999999</c:v>
                </c:pt>
                <c:pt idx="120">
                  <c:v>5.5052051000000004</c:v>
                </c:pt>
                <c:pt idx="121">
                  <c:v>5.4976859999999999</c:v>
                </c:pt>
                <c:pt idx="122">
                  <c:v>5.7614706</c:v>
                </c:pt>
                <c:pt idx="123">
                  <c:v>5.8941664999999999</c:v>
                </c:pt>
                <c:pt idx="124">
                  <c:v>5.5884216999999996</c:v>
                </c:pt>
                <c:pt idx="125">
                  <c:v>5.8185009000000001</c:v>
                </c:pt>
                <c:pt idx="126">
                  <c:v>5.7238728999999999</c:v>
                </c:pt>
                <c:pt idx="127">
                  <c:v>5.8364656999999998</c:v>
                </c:pt>
                <c:pt idx="128">
                  <c:v>5.6901301000000002</c:v>
                </c:pt>
                <c:pt idx="129">
                  <c:v>5.8004331999999996</c:v>
                </c:pt>
                <c:pt idx="130">
                  <c:v>5.6990134000000001</c:v>
                </c:pt>
                <c:pt idx="131">
                  <c:v>5.7400083999999998</c:v>
                </c:pt>
                <c:pt idx="132">
                  <c:v>5.7249926999999996</c:v>
                </c:pt>
                <c:pt idx="133">
                  <c:v>5.7320964999999999</c:v>
                </c:pt>
                <c:pt idx="134">
                  <c:v>5.9137393999999999</c:v>
                </c:pt>
                <c:pt idx="135">
                  <c:v>5.9555420000000003</c:v>
                </c:pt>
                <c:pt idx="136">
                  <c:v>6.3559577999999997</c:v>
                </c:pt>
                <c:pt idx="137">
                  <c:v>6.4258616000000002</c:v>
                </c:pt>
                <c:pt idx="138">
                  <c:v>6.8982393000000002</c:v>
                </c:pt>
                <c:pt idx="139">
                  <c:v>6.2968447000000003</c:v>
                </c:pt>
                <c:pt idx="140">
                  <c:v>6.7247862999999999</c:v>
                </c:pt>
                <c:pt idx="141">
                  <c:v>6.5122847999999998</c:v>
                </c:pt>
                <c:pt idx="142">
                  <c:v>6.4814439000000004</c:v>
                </c:pt>
                <c:pt idx="143">
                  <c:v>6.4940565000000001</c:v>
                </c:pt>
                <c:pt idx="144">
                  <c:v>5.9190870999999996</c:v>
                </c:pt>
                <c:pt idx="145">
                  <c:v>6.3590236000000004</c:v>
                </c:pt>
                <c:pt idx="146">
                  <c:v>6.3659765999999998</c:v>
                </c:pt>
                <c:pt idx="147">
                  <c:v>6.4792167000000003</c:v>
                </c:pt>
                <c:pt idx="148">
                  <c:v>6.8591699000000004</c:v>
                </c:pt>
                <c:pt idx="149">
                  <c:v>6.4565470999999999</c:v>
                </c:pt>
                <c:pt idx="150">
                  <c:v>6.7475579999999997</c:v>
                </c:pt>
                <c:pt idx="151">
                  <c:v>6.7304579999999996</c:v>
                </c:pt>
                <c:pt idx="152">
                  <c:v>6.6810763</c:v>
                </c:pt>
                <c:pt idx="153">
                  <c:v>6.3147970999999998</c:v>
                </c:pt>
                <c:pt idx="154">
                  <c:v>6.5971631999999998</c:v>
                </c:pt>
                <c:pt idx="155">
                  <c:v>6.5583137999999996</c:v>
                </c:pt>
                <c:pt idx="156">
                  <c:v>6.5798740000000002</c:v>
                </c:pt>
                <c:pt idx="157">
                  <c:v>7.0859274000000001</c:v>
                </c:pt>
                <c:pt idx="158">
                  <c:v>6.6723131999999996</c:v>
                </c:pt>
                <c:pt idx="159">
                  <c:v>6.9928536000000001</c:v>
                </c:pt>
                <c:pt idx="160">
                  <c:v>7.0390515000000002</c:v>
                </c:pt>
                <c:pt idx="161">
                  <c:v>7.1569802999999999</c:v>
                </c:pt>
                <c:pt idx="162">
                  <c:v>6.9039732000000003</c:v>
                </c:pt>
                <c:pt idx="163">
                  <c:v>6.7790083000000001</c:v>
                </c:pt>
                <c:pt idx="164">
                  <c:v>6.6643853999999996</c:v>
                </c:pt>
                <c:pt idx="165">
                  <c:v>6.7689459999999997</c:v>
                </c:pt>
                <c:pt idx="166">
                  <c:v>6.8603687999999998</c:v>
                </c:pt>
                <c:pt idx="167">
                  <c:v>6.9626298000000002</c:v>
                </c:pt>
                <c:pt idx="168">
                  <c:v>6.7867220000000001</c:v>
                </c:pt>
                <c:pt idx="169">
                  <c:v>6.6935396000000003</c:v>
                </c:pt>
                <c:pt idx="170">
                  <c:v>6.7921183999999997</c:v>
                </c:pt>
                <c:pt idx="171">
                  <c:v>6.5807580999999997</c:v>
                </c:pt>
                <c:pt idx="172">
                  <c:v>6.8754774000000003</c:v>
                </c:pt>
                <c:pt idx="173">
                  <c:v>6.8697226000000002</c:v>
                </c:pt>
                <c:pt idx="174">
                  <c:v>6.7449786999999999</c:v>
                </c:pt>
                <c:pt idx="175">
                  <c:v>6.6151818999999996</c:v>
                </c:pt>
                <c:pt idx="176">
                  <c:v>6.6804826000000004</c:v>
                </c:pt>
                <c:pt idx="177">
                  <c:v>6.3971248999999997</c:v>
                </c:pt>
                <c:pt idx="178">
                  <c:v>7.0000274999999998</c:v>
                </c:pt>
                <c:pt idx="179">
                  <c:v>6.6949190999999999</c:v>
                </c:pt>
                <c:pt idx="180">
                  <c:v>6.5447939000000002</c:v>
                </c:pt>
                <c:pt idx="181">
                  <c:v>6.4303651000000004</c:v>
                </c:pt>
                <c:pt idx="182">
                  <c:v>6.4840124000000001</c:v>
                </c:pt>
                <c:pt idx="183">
                  <c:v>6.5735526000000002</c:v>
                </c:pt>
                <c:pt idx="184">
                  <c:v>6.4009223000000004</c:v>
                </c:pt>
                <c:pt idx="185">
                  <c:v>6.0849599999999997</c:v>
                </c:pt>
                <c:pt idx="186">
                  <c:v>6.3228736000000003</c:v>
                </c:pt>
                <c:pt idx="187">
                  <c:v>6.1843373000000001</c:v>
                </c:pt>
                <c:pt idx="188">
                  <c:v>6.6229342999999998</c:v>
                </c:pt>
                <c:pt idx="189">
                  <c:v>6.4172798999999996</c:v>
                </c:pt>
                <c:pt idx="190">
                  <c:v>6.1620162000000001</c:v>
                </c:pt>
                <c:pt idx="191">
                  <c:v>6.2517167999999996</c:v>
                </c:pt>
                <c:pt idx="192">
                  <c:v>6.4783451999999997</c:v>
                </c:pt>
                <c:pt idx="193">
                  <c:v>6.8891323</c:v>
                </c:pt>
                <c:pt idx="194">
                  <c:v>6.9033983000000001</c:v>
                </c:pt>
                <c:pt idx="195">
                  <c:v>6.5912888000000001</c:v>
                </c:pt>
                <c:pt idx="196">
                  <c:v>6.7433953999999998</c:v>
                </c:pt>
                <c:pt idx="197">
                  <c:v>6.9780376000000004</c:v>
                </c:pt>
                <c:pt idx="198">
                  <c:v>6.7900672999999996</c:v>
                </c:pt>
                <c:pt idx="199">
                  <c:v>6.6731720000000001</c:v>
                </c:pt>
                <c:pt idx="200">
                  <c:v>6.6360011999999999</c:v>
                </c:pt>
                <c:pt idx="201">
                  <c:v>6.5201210999999999</c:v>
                </c:pt>
                <c:pt idx="202">
                  <c:v>6.6268890000000003</c:v>
                </c:pt>
                <c:pt idx="203">
                  <c:v>6.6358763999999999</c:v>
                </c:pt>
                <c:pt idx="204">
                  <c:v>7.1419522000000004</c:v>
                </c:pt>
                <c:pt idx="205">
                  <c:v>12.580497899999999</c:v>
                </c:pt>
                <c:pt idx="206">
                  <c:v>12.260605699999999</c:v>
                </c:pt>
                <c:pt idx="207">
                  <c:v>10.7334865</c:v>
                </c:pt>
                <c:pt idx="208">
                  <c:v>10.4273107</c:v>
                </c:pt>
                <c:pt idx="209">
                  <c:v>10.561274900000001</c:v>
                </c:pt>
                <c:pt idx="210">
                  <c:v>10.638282500000001</c:v>
                </c:pt>
                <c:pt idx="211">
                  <c:v>9.0408936999999998</c:v>
                </c:pt>
                <c:pt idx="212">
                  <c:v>7.9412073000000003</c:v>
                </c:pt>
                <c:pt idx="213">
                  <c:v>6.971012</c:v>
                </c:pt>
                <c:pt idx="214">
                  <c:v>6.8717572000000002</c:v>
                </c:pt>
                <c:pt idx="215">
                  <c:v>7.2743755999999999</c:v>
                </c:pt>
                <c:pt idx="216">
                  <c:v>6.5933497000000001</c:v>
                </c:pt>
                <c:pt idx="217">
                  <c:v>6.5249417999999997</c:v>
                </c:pt>
                <c:pt idx="218">
                  <c:v>6.4925876999999996</c:v>
                </c:pt>
                <c:pt idx="219">
                  <c:v>6.8001692</c:v>
                </c:pt>
                <c:pt idx="220">
                  <c:v>7.0679220000000003</c:v>
                </c:pt>
                <c:pt idx="221">
                  <c:v>8.5004425999999995</c:v>
                </c:pt>
                <c:pt idx="222">
                  <c:v>8.4125406999999992</c:v>
                </c:pt>
                <c:pt idx="223">
                  <c:v>8.8121469000000001</c:v>
                </c:pt>
                <c:pt idx="224">
                  <c:v>6.2497043999999997</c:v>
                </c:pt>
                <c:pt idx="225">
                  <c:v>5.5151045999999999</c:v>
                </c:pt>
                <c:pt idx="226">
                  <c:v>5.4406752000000003</c:v>
                </c:pt>
                <c:pt idx="227">
                  <c:v>5.4249656999999996</c:v>
                </c:pt>
                <c:pt idx="228">
                  <c:v>5.0437925999999997</c:v>
                </c:pt>
                <c:pt idx="229">
                  <c:v>5.0017046000000001</c:v>
                </c:pt>
                <c:pt idx="230">
                  <c:v>4.8025064000000004</c:v>
                </c:pt>
                <c:pt idx="231">
                  <c:v>5.0539401000000002</c:v>
                </c:pt>
                <c:pt idx="232">
                  <c:v>4.8858993000000002</c:v>
                </c:pt>
                <c:pt idx="233">
                  <c:v>4.8782180000000004</c:v>
                </c:pt>
                <c:pt idx="234">
                  <c:v>5.0300796999999999</c:v>
                </c:pt>
                <c:pt idx="235">
                  <c:v>4.8819204000000003</c:v>
                </c:pt>
                <c:pt idx="236">
                  <c:v>4.6360096000000004</c:v>
                </c:pt>
                <c:pt idx="237">
                  <c:v>4.9466869999999998</c:v>
                </c:pt>
                <c:pt idx="238">
                  <c:v>5.1017606999999998</c:v>
                </c:pt>
                <c:pt idx="239">
                  <c:v>4.7419202</c:v>
                </c:pt>
                <c:pt idx="240">
                  <c:v>4.9018363999999996</c:v>
                </c:pt>
              </c:numCache>
            </c:numRef>
          </c:val>
          <c:smooth val="0"/>
          <c:extLst>
            <c:ext xmlns:c16="http://schemas.microsoft.com/office/drawing/2014/chart" uri="{C3380CC4-5D6E-409C-BE32-E72D297353CC}">
              <c16:uniqueId val="{00000000-930A-474B-B4F5-FE22B2385FF1}"/>
            </c:ext>
          </c:extLst>
        </c:ser>
        <c:ser>
          <c:idx val="1"/>
          <c:order val="1"/>
          <c:tx>
            <c:strRef>
              <c:f>'Underemp chart'!$C$2</c:f>
              <c:strCache>
                <c:ptCount val="1"/>
                <c:pt idx="0">
                  <c:v>Female</c:v>
                </c:pt>
              </c:strCache>
            </c:strRef>
          </c:tx>
          <c:marker>
            <c:symbol val="none"/>
          </c:marker>
          <c:cat>
            <c:numRef>
              <c:f>'Underemp chart'!$A$3:$A$243</c:f>
              <c:numCache>
                <c:formatCode>mmm\-yy</c:formatCode>
                <c:ptCount val="241"/>
                <c:pt idx="0">
                  <c:v>37681</c:v>
                </c:pt>
                <c:pt idx="1">
                  <c:v>37712</c:v>
                </c:pt>
                <c:pt idx="2">
                  <c:v>37742</c:v>
                </c:pt>
                <c:pt idx="3">
                  <c:v>37773</c:v>
                </c:pt>
                <c:pt idx="4">
                  <c:v>37803</c:v>
                </c:pt>
                <c:pt idx="5">
                  <c:v>37834</c:v>
                </c:pt>
                <c:pt idx="6">
                  <c:v>37865</c:v>
                </c:pt>
                <c:pt idx="7">
                  <c:v>37895</c:v>
                </c:pt>
                <c:pt idx="8">
                  <c:v>37926</c:v>
                </c:pt>
                <c:pt idx="9">
                  <c:v>37956</c:v>
                </c:pt>
                <c:pt idx="10">
                  <c:v>37987</c:v>
                </c:pt>
                <c:pt idx="11">
                  <c:v>38018</c:v>
                </c:pt>
                <c:pt idx="12">
                  <c:v>38047</c:v>
                </c:pt>
                <c:pt idx="13">
                  <c:v>38078</c:v>
                </c:pt>
                <c:pt idx="14">
                  <c:v>38108</c:v>
                </c:pt>
                <c:pt idx="15">
                  <c:v>38139</c:v>
                </c:pt>
                <c:pt idx="16">
                  <c:v>38169</c:v>
                </c:pt>
                <c:pt idx="17">
                  <c:v>38200</c:v>
                </c:pt>
                <c:pt idx="18">
                  <c:v>38231</c:v>
                </c:pt>
                <c:pt idx="19">
                  <c:v>38261</c:v>
                </c:pt>
                <c:pt idx="20">
                  <c:v>38292</c:v>
                </c:pt>
                <c:pt idx="21">
                  <c:v>38322</c:v>
                </c:pt>
                <c:pt idx="22">
                  <c:v>38353</c:v>
                </c:pt>
                <c:pt idx="23">
                  <c:v>38384</c:v>
                </c:pt>
                <c:pt idx="24">
                  <c:v>38412</c:v>
                </c:pt>
                <c:pt idx="25">
                  <c:v>38443</c:v>
                </c:pt>
                <c:pt idx="26">
                  <c:v>38473</c:v>
                </c:pt>
                <c:pt idx="27">
                  <c:v>38504</c:v>
                </c:pt>
                <c:pt idx="28">
                  <c:v>38534</c:v>
                </c:pt>
                <c:pt idx="29">
                  <c:v>38565</c:v>
                </c:pt>
                <c:pt idx="30">
                  <c:v>38596</c:v>
                </c:pt>
                <c:pt idx="31">
                  <c:v>38626</c:v>
                </c:pt>
                <c:pt idx="32">
                  <c:v>38657</c:v>
                </c:pt>
                <c:pt idx="33">
                  <c:v>38687</c:v>
                </c:pt>
                <c:pt idx="34">
                  <c:v>38718</c:v>
                </c:pt>
                <c:pt idx="35">
                  <c:v>38749</c:v>
                </c:pt>
                <c:pt idx="36">
                  <c:v>38777</c:v>
                </c:pt>
                <c:pt idx="37">
                  <c:v>38808</c:v>
                </c:pt>
                <c:pt idx="38">
                  <c:v>38838</c:v>
                </c:pt>
                <c:pt idx="39">
                  <c:v>38869</c:v>
                </c:pt>
                <c:pt idx="40">
                  <c:v>38899</c:v>
                </c:pt>
                <c:pt idx="41">
                  <c:v>38930</c:v>
                </c:pt>
                <c:pt idx="42">
                  <c:v>38961</c:v>
                </c:pt>
                <c:pt idx="43">
                  <c:v>38991</c:v>
                </c:pt>
                <c:pt idx="44">
                  <c:v>39022</c:v>
                </c:pt>
                <c:pt idx="45">
                  <c:v>39052</c:v>
                </c:pt>
                <c:pt idx="46">
                  <c:v>39083</c:v>
                </c:pt>
                <c:pt idx="47">
                  <c:v>39114</c:v>
                </c:pt>
                <c:pt idx="48">
                  <c:v>39142</c:v>
                </c:pt>
                <c:pt idx="49">
                  <c:v>39173</c:v>
                </c:pt>
                <c:pt idx="50">
                  <c:v>39203</c:v>
                </c:pt>
                <c:pt idx="51">
                  <c:v>39234</c:v>
                </c:pt>
                <c:pt idx="52">
                  <c:v>39264</c:v>
                </c:pt>
                <c:pt idx="53">
                  <c:v>39295</c:v>
                </c:pt>
                <c:pt idx="54">
                  <c:v>39326</c:v>
                </c:pt>
                <c:pt idx="55">
                  <c:v>39356</c:v>
                </c:pt>
                <c:pt idx="56">
                  <c:v>39387</c:v>
                </c:pt>
                <c:pt idx="57">
                  <c:v>39417</c:v>
                </c:pt>
                <c:pt idx="58">
                  <c:v>39448</c:v>
                </c:pt>
                <c:pt idx="59">
                  <c:v>39479</c:v>
                </c:pt>
                <c:pt idx="60">
                  <c:v>39508</c:v>
                </c:pt>
                <c:pt idx="61">
                  <c:v>39539</c:v>
                </c:pt>
                <c:pt idx="62">
                  <c:v>39569</c:v>
                </c:pt>
                <c:pt idx="63">
                  <c:v>39600</c:v>
                </c:pt>
                <c:pt idx="64">
                  <c:v>39630</c:v>
                </c:pt>
                <c:pt idx="65">
                  <c:v>39661</c:v>
                </c:pt>
                <c:pt idx="66">
                  <c:v>39692</c:v>
                </c:pt>
                <c:pt idx="67">
                  <c:v>39722</c:v>
                </c:pt>
                <c:pt idx="68">
                  <c:v>39753</c:v>
                </c:pt>
                <c:pt idx="69">
                  <c:v>39783</c:v>
                </c:pt>
                <c:pt idx="70">
                  <c:v>39814</c:v>
                </c:pt>
                <c:pt idx="71">
                  <c:v>39845</c:v>
                </c:pt>
                <c:pt idx="72">
                  <c:v>39873</c:v>
                </c:pt>
                <c:pt idx="73">
                  <c:v>39904</c:v>
                </c:pt>
                <c:pt idx="74">
                  <c:v>39934</c:v>
                </c:pt>
                <c:pt idx="75">
                  <c:v>39965</c:v>
                </c:pt>
                <c:pt idx="76">
                  <c:v>39995</c:v>
                </c:pt>
                <c:pt idx="77">
                  <c:v>40026</c:v>
                </c:pt>
                <c:pt idx="78">
                  <c:v>40057</c:v>
                </c:pt>
                <c:pt idx="79">
                  <c:v>40087</c:v>
                </c:pt>
                <c:pt idx="80">
                  <c:v>40118</c:v>
                </c:pt>
                <c:pt idx="81">
                  <c:v>40148</c:v>
                </c:pt>
                <c:pt idx="82">
                  <c:v>40179</c:v>
                </c:pt>
                <c:pt idx="83">
                  <c:v>40210</c:v>
                </c:pt>
                <c:pt idx="84">
                  <c:v>40238</c:v>
                </c:pt>
                <c:pt idx="85">
                  <c:v>40269</c:v>
                </c:pt>
                <c:pt idx="86">
                  <c:v>40299</c:v>
                </c:pt>
                <c:pt idx="87">
                  <c:v>40330</c:v>
                </c:pt>
                <c:pt idx="88">
                  <c:v>40360</c:v>
                </c:pt>
                <c:pt idx="89">
                  <c:v>40391</c:v>
                </c:pt>
                <c:pt idx="90">
                  <c:v>40422</c:v>
                </c:pt>
                <c:pt idx="91">
                  <c:v>40452</c:v>
                </c:pt>
                <c:pt idx="92">
                  <c:v>40483</c:v>
                </c:pt>
                <c:pt idx="93">
                  <c:v>40513</c:v>
                </c:pt>
                <c:pt idx="94">
                  <c:v>40544</c:v>
                </c:pt>
                <c:pt idx="95">
                  <c:v>40575</c:v>
                </c:pt>
                <c:pt idx="96">
                  <c:v>40603</c:v>
                </c:pt>
                <c:pt idx="97">
                  <c:v>40634</c:v>
                </c:pt>
                <c:pt idx="98">
                  <c:v>40664</c:v>
                </c:pt>
                <c:pt idx="99">
                  <c:v>40695</c:v>
                </c:pt>
                <c:pt idx="100">
                  <c:v>40725</c:v>
                </c:pt>
                <c:pt idx="101">
                  <c:v>40756</c:v>
                </c:pt>
                <c:pt idx="102">
                  <c:v>40787</c:v>
                </c:pt>
                <c:pt idx="103">
                  <c:v>40817</c:v>
                </c:pt>
                <c:pt idx="104">
                  <c:v>40848</c:v>
                </c:pt>
                <c:pt idx="105">
                  <c:v>40878</c:v>
                </c:pt>
                <c:pt idx="106">
                  <c:v>40909</c:v>
                </c:pt>
                <c:pt idx="107">
                  <c:v>40940</c:v>
                </c:pt>
                <c:pt idx="108">
                  <c:v>40969</c:v>
                </c:pt>
                <c:pt idx="109">
                  <c:v>41000</c:v>
                </c:pt>
                <c:pt idx="110">
                  <c:v>41030</c:v>
                </c:pt>
                <c:pt idx="111">
                  <c:v>41061</c:v>
                </c:pt>
                <c:pt idx="112">
                  <c:v>41091</c:v>
                </c:pt>
                <c:pt idx="113">
                  <c:v>41122</c:v>
                </c:pt>
                <c:pt idx="114">
                  <c:v>41153</c:v>
                </c:pt>
                <c:pt idx="115">
                  <c:v>41183</c:v>
                </c:pt>
                <c:pt idx="116">
                  <c:v>41214</c:v>
                </c:pt>
                <c:pt idx="117">
                  <c:v>41244</c:v>
                </c:pt>
                <c:pt idx="118">
                  <c:v>41275</c:v>
                </c:pt>
                <c:pt idx="119">
                  <c:v>41306</c:v>
                </c:pt>
                <c:pt idx="120">
                  <c:v>41334</c:v>
                </c:pt>
                <c:pt idx="121">
                  <c:v>41365</c:v>
                </c:pt>
                <c:pt idx="122">
                  <c:v>41395</c:v>
                </c:pt>
                <c:pt idx="123">
                  <c:v>41426</c:v>
                </c:pt>
                <c:pt idx="124">
                  <c:v>41456</c:v>
                </c:pt>
                <c:pt idx="125">
                  <c:v>41487</c:v>
                </c:pt>
                <c:pt idx="126">
                  <c:v>41518</c:v>
                </c:pt>
                <c:pt idx="127">
                  <c:v>41548</c:v>
                </c:pt>
                <c:pt idx="128">
                  <c:v>41579</c:v>
                </c:pt>
                <c:pt idx="129">
                  <c:v>41609</c:v>
                </c:pt>
                <c:pt idx="130">
                  <c:v>41640</c:v>
                </c:pt>
                <c:pt idx="131">
                  <c:v>41671</c:v>
                </c:pt>
                <c:pt idx="132">
                  <c:v>41699</c:v>
                </c:pt>
                <c:pt idx="133">
                  <c:v>41730</c:v>
                </c:pt>
                <c:pt idx="134">
                  <c:v>41760</c:v>
                </c:pt>
                <c:pt idx="135">
                  <c:v>41791</c:v>
                </c:pt>
                <c:pt idx="136">
                  <c:v>41821</c:v>
                </c:pt>
                <c:pt idx="137">
                  <c:v>41852</c:v>
                </c:pt>
                <c:pt idx="138">
                  <c:v>41883</c:v>
                </c:pt>
                <c:pt idx="139">
                  <c:v>41913</c:v>
                </c:pt>
                <c:pt idx="140">
                  <c:v>41944</c:v>
                </c:pt>
                <c:pt idx="141">
                  <c:v>41974</c:v>
                </c:pt>
                <c:pt idx="142">
                  <c:v>42005</c:v>
                </c:pt>
                <c:pt idx="143">
                  <c:v>42036</c:v>
                </c:pt>
                <c:pt idx="144">
                  <c:v>42064</c:v>
                </c:pt>
                <c:pt idx="145">
                  <c:v>42095</c:v>
                </c:pt>
                <c:pt idx="146">
                  <c:v>42125</c:v>
                </c:pt>
                <c:pt idx="147">
                  <c:v>42156</c:v>
                </c:pt>
                <c:pt idx="148">
                  <c:v>42186</c:v>
                </c:pt>
                <c:pt idx="149">
                  <c:v>42217</c:v>
                </c:pt>
                <c:pt idx="150">
                  <c:v>42248</c:v>
                </c:pt>
                <c:pt idx="151">
                  <c:v>42278</c:v>
                </c:pt>
                <c:pt idx="152">
                  <c:v>42309</c:v>
                </c:pt>
                <c:pt idx="153">
                  <c:v>42339</c:v>
                </c:pt>
                <c:pt idx="154">
                  <c:v>42370</c:v>
                </c:pt>
                <c:pt idx="155">
                  <c:v>42401</c:v>
                </c:pt>
                <c:pt idx="156">
                  <c:v>42430</c:v>
                </c:pt>
                <c:pt idx="157">
                  <c:v>42461</c:v>
                </c:pt>
                <c:pt idx="158">
                  <c:v>42491</c:v>
                </c:pt>
                <c:pt idx="159">
                  <c:v>42522</c:v>
                </c:pt>
                <c:pt idx="160">
                  <c:v>42552</c:v>
                </c:pt>
                <c:pt idx="161">
                  <c:v>42583</c:v>
                </c:pt>
                <c:pt idx="162">
                  <c:v>42614</c:v>
                </c:pt>
                <c:pt idx="163">
                  <c:v>42644</c:v>
                </c:pt>
                <c:pt idx="164">
                  <c:v>42675</c:v>
                </c:pt>
                <c:pt idx="165">
                  <c:v>42705</c:v>
                </c:pt>
                <c:pt idx="166">
                  <c:v>42736</c:v>
                </c:pt>
                <c:pt idx="167">
                  <c:v>42767</c:v>
                </c:pt>
                <c:pt idx="168">
                  <c:v>42795</c:v>
                </c:pt>
                <c:pt idx="169">
                  <c:v>42826</c:v>
                </c:pt>
                <c:pt idx="170">
                  <c:v>42856</c:v>
                </c:pt>
                <c:pt idx="171">
                  <c:v>42887</c:v>
                </c:pt>
                <c:pt idx="172">
                  <c:v>42917</c:v>
                </c:pt>
                <c:pt idx="173">
                  <c:v>42948</c:v>
                </c:pt>
                <c:pt idx="174">
                  <c:v>42979</c:v>
                </c:pt>
                <c:pt idx="175">
                  <c:v>43009</c:v>
                </c:pt>
                <c:pt idx="176">
                  <c:v>43040</c:v>
                </c:pt>
                <c:pt idx="177">
                  <c:v>43070</c:v>
                </c:pt>
                <c:pt idx="178">
                  <c:v>43101</c:v>
                </c:pt>
                <c:pt idx="179">
                  <c:v>43132</c:v>
                </c:pt>
                <c:pt idx="180">
                  <c:v>43160</c:v>
                </c:pt>
                <c:pt idx="181">
                  <c:v>43191</c:v>
                </c:pt>
                <c:pt idx="182">
                  <c:v>43221</c:v>
                </c:pt>
                <c:pt idx="183">
                  <c:v>43252</c:v>
                </c:pt>
                <c:pt idx="184">
                  <c:v>43282</c:v>
                </c:pt>
                <c:pt idx="185">
                  <c:v>43313</c:v>
                </c:pt>
                <c:pt idx="186">
                  <c:v>43344</c:v>
                </c:pt>
                <c:pt idx="187">
                  <c:v>43374</c:v>
                </c:pt>
                <c:pt idx="188">
                  <c:v>43405</c:v>
                </c:pt>
                <c:pt idx="189">
                  <c:v>43435</c:v>
                </c:pt>
                <c:pt idx="190">
                  <c:v>43466</c:v>
                </c:pt>
                <c:pt idx="191">
                  <c:v>43497</c:v>
                </c:pt>
                <c:pt idx="192">
                  <c:v>43525</c:v>
                </c:pt>
                <c:pt idx="193">
                  <c:v>43556</c:v>
                </c:pt>
                <c:pt idx="194">
                  <c:v>43586</c:v>
                </c:pt>
                <c:pt idx="195">
                  <c:v>43617</c:v>
                </c:pt>
                <c:pt idx="196">
                  <c:v>43647</c:v>
                </c:pt>
                <c:pt idx="197">
                  <c:v>43678</c:v>
                </c:pt>
                <c:pt idx="198">
                  <c:v>43709</c:v>
                </c:pt>
                <c:pt idx="199">
                  <c:v>43739</c:v>
                </c:pt>
                <c:pt idx="200">
                  <c:v>43770</c:v>
                </c:pt>
                <c:pt idx="201">
                  <c:v>43800</c:v>
                </c:pt>
                <c:pt idx="202">
                  <c:v>43831</c:v>
                </c:pt>
                <c:pt idx="203">
                  <c:v>43862</c:v>
                </c:pt>
                <c:pt idx="204">
                  <c:v>43891</c:v>
                </c:pt>
                <c:pt idx="205">
                  <c:v>43922</c:v>
                </c:pt>
                <c:pt idx="206">
                  <c:v>43952</c:v>
                </c:pt>
                <c:pt idx="207">
                  <c:v>43983</c:v>
                </c:pt>
                <c:pt idx="208">
                  <c:v>44013</c:v>
                </c:pt>
                <c:pt idx="209">
                  <c:v>44044</c:v>
                </c:pt>
                <c:pt idx="210">
                  <c:v>44075</c:v>
                </c:pt>
                <c:pt idx="211">
                  <c:v>44105</c:v>
                </c:pt>
                <c:pt idx="212">
                  <c:v>44136</c:v>
                </c:pt>
                <c:pt idx="213">
                  <c:v>44166</c:v>
                </c:pt>
                <c:pt idx="214">
                  <c:v>44197</c:v>
                </c:pt>
                <c:pt idx="215">
                  <c:v>44228</c:v>
                </c:pt>
                <c:pt idx="216">
                  <c:v>44256</c:v>
                </c:pt>
                <c:pt idx="217">
                  <c:v>44287</c:v>
                </c:pt>
                <c:pt idx="218">
                  <c:v>44317</c:v>
                </c:pt>
                <c:pt idx="219">
                  <c:v>44348</c:v>
                </c:pt>
                <c:pt idx="220">
                  <c:v>44378</c:v>
                </c:pt>
                <c:pt idx="221">
                  <c:v>44409</c:v>
                </c:pt>
                <c:pt idx="222">
                  <c:v>44440</c:v>
                </c:pt>
                <c:pt idx="223">
                  <c:v>44470</c:v>
                </c:pt>
                <c:pt idx="224">
                  <c:v>44501</c:v>
                </c:pt>
                <c:pt idx="225">
                  <c:v>44531</c:v>
                </c:pt>
                <c:pt idx="226">
                  <c:v>44562</c:v>
                </c:pt>
                <c:pt idx="227">
                  <c:v>44593</c:v>
                </c:pt>
                <c:pt idx="228">
                  <c:v>44621</c:v>
                </c:pt>
                <c:pt idx="229">
                  <c:v>44652</c:v>
                </c:pt>
                <c:pt idx="230">
                  <c:v>44682</c:v>
                </c:pt>
                <c:pt idx="231">
                  <c:v>44713</c:v>
                </c:pt>
                <c:pt idx="232">
                  <c:v>44743</c:v>
                </c:pt>
                <c:pt idx="233">
                  <c:v>44774</c:v>
                </c:pt>
                <c:pt idx="234">
                  <c:v>44805</c:v>
                </c:pt>
                <c:pt idx="235">
                  <c:v>44835</c:v>
                </c:pt>
                <c:pt idx="236">
                  <c:v>44866</c:v>
                </c:pt>
                <c:pt idx="237">
                  <c:v>44896</c:v>
                </c:pt>
                <c:pt idx="238">
                  <c:v>44927</c:v>
                </c:pt>
                <c:pt idx="239">
                  <c:v>44958</c:v>
                </c:pt>
                <c:pt idx="240">
                  <c:v>44986</c:v>
                </c:pt>
              </c:numCache>
            </c:numRef>
          </c:cat>
          <c:val>
            <c:numRef>
              <c:f>'Underemp chart'!$C$3:$C$243</c:f>
              <c:numCache>
                <c:formatCode>0.0</c:formatCode>
                <c:ptCount val="241"/>
                <c:pt idx="0">
                  <c:v>9.1050117999999998</c:v>
                </c:pt>
                <c:pt idx="1">
                  <c:v>9.4163618000000007</c:v>
                </c:pt>
                <c:pt idx="2">
                  <c:v>9.3835809999999995</c:v>
                </c:pt>
                <c:pt idx="3">
                  <c:v>9.4514527000000008</c:v>
                </c:pt>
                <c:pt idx="4">
                  <c:v>9.3015687000000007</c:v>
                </c:pt>
                <c:pt idx="5">
                  <c:v>9.2888628999999998</c:v>
                </c:pt>
                <c:pt idx="6">
                  <c:v>9.4933001000000008</c:v>
                </c:pt>
                <c:pt idx="7">
                  <c:v>9.5864049999999992</c:v>
                </c:pt>
                <c:pt idx="8">
                  <c:v>9.6454351999999997</c:v>
                </c:pt>
                <c:pt idx="9">
                  <c:v>9.6374635000000008</c:v>
                </c:pt>
                <c:pt idx="10">
                  <c:v>9.4894423000000003</c:v>
                </c:pt>
                <c:pt idx="11">
                  <c:v>9.4173840999999996</c:v>
                </c:pt>
                <c:pt idx="12">
                  <c:v>9.5269533000000006</c:v>
                </c:pt>
                <c:pt idx="13">
                  <c:v>9.4973375999999998</c:v>
                </c:pt>
                <c:pt idx="14">
                  <c:v>9.6295219999999997</c:v>
                </c:pt>
                <c:pt idx="15">
                  <c:v>9.6514963999999992</c:v>
                </c:pt>
                <c:pt idx="16">
                  <c:v>9.4450914000000008</c:v>
                </c:pt>
                <c:pt idx="17">
                  <c:v>9.3108693000000002</c:v>
                </c:pt>
                <c:pt idx="18">
                  <c:v>9.2462364000000008</c:v>
                </c:pt>
                <c:pt idx="19">
                  <c:v>9.1219155999999995</c:v>
                </c:pt>
                <c:pt idx="20">
                  <c:v>8.9986441999999993</c:v>
                </c:pt>
                <c:pt idx="21">
                  <c:v>9.0152318000000005</c:v>
                </c:pt>
                <c:pt idx="22">
                  <c:v>8.950666</c:v>
                </c:pt>
                <c:pt idx="23">
                  <c:v>8.9267129999999995</c:v>
                </c:pt>
                <c:pt idx="24">
                  <c:v>8.8329924999999996</c:v>
                </c:pt>
                <c:pt idx="25">
                  <c:v>8.8714478000000003</c:v>
                </c:pt>
                <c:pt idx="26">
                  <c:v>8.8458789000000007</c:v>
                </c:pt>
                <c:pt idx="27">
                  <c:v>8.8795508000000005</c:v>
                </c:pt>
                <c:pt idx="28">
                  <c:v>8.8330859999999998</c:v>
                </c:pt>
                <c:pt idx="29">
                  <c:v>8.8708541000000007</c:v>
                </c:pt>
                <c:pt idx="30">
                  <c:v>8.8561964999999994</c:v>
                </c:pt>
                <c:pt idx="31">
                  <c:v>8.9709833000000003</c:v>
                </c:pt>
                <c:pt idx="32">
                  <c:v>8.9007029000000006</c:v>
                </c:pt>
                <c:pt idx="33">
                  <c:v>8.8686615</c:v>
                </c:pt>
                <c:pt idx="34">
                  <c:v>8.9892363</c:v>
                </c:pt>
                <c:pt idx="35">
                  <c:v>8.8828727000000001</c:v>
                </c:pt>
                <c:pt idx="36">
                  <c:v>8.8740821000000008</c:v>
                </c:pt>
                <c:pt idx="37">
                  <c:v>8.7509584999999994</c:v>
                </c:pt>
                <c:pt idx="38">
                  <c:v>8.6924572999999992</c:v>
                </c:pt>
                <c:pt idx="39">
                  <c:v>8.5964480999999999</c:v>
                </c:pt>
                <c:pt idx="40">
                  <c:v>8.5911562999999997</c:v>
                </c:pt>
                <c:pt idx="41">
                  <c:v>8.5189079999999997</c:v>
                </c:pt>
                <c:pt idx="42">
                  <c:v>8.4152804999999997</c:v>
                </c:pt>
                <c:pt idx="43">
                  <c:v>8.3336194999999993</c:v>
                </c:pt>
                <c:pt idx="44">
                  <c:v>8.1217535999999999</c:v>
                </c:pt>
                <c:pt idx="45">
                  <c:v>8.1966473000000004</c:v>
                </c:pt>
                <c:pt idx="46">
                  <c:v>8.1538936999999994</c:v>
                </c:pt>
                <c:pt idx="47">
                  <c:v>8.1994793999999995</c:v>
                </c:pt>
                <c:pt idx="48">
                  <c:v>8.1886747</c:v>
                </c:pt>
                <c:pt idx="49">
                  <c:v>8.2741161000000005</c:v>
                </c:pt>
                <c:pt idx="50">
                  <c:v>8.3117485999999996</c:v>
                </c:pt>
                <c:pt idx="51">
                  <c:v>8.3281586999999995</c:v>
                </c:pt>
                <c:pt idx="52">
                  <c:v>8.3615531999999995</c:v>
                </c:pt>
                <c:pt idx="53">
                  <c:v>8.2428448999999997</c:v>
                </c:pt>
                <c:pt idx="54">
                  <c:v>8.1967642999999999</c:v>
                </c:pt>
                <c:pt idx="55">
                  <c:v>8.1009715999999994</c:v>
                </c:pt>
                <c:pt idx="56">
                  <c:v>7.9684682000000002</c:v>
                </c:pt>
                <c:pt idx="57">
                  <c:v>7.9037090000000001</c:v>
                </c:pt>
                <c:pt idx="58">
                  <c:v>7.7438757999999996</c:v>
                </c:pt>
                <c:pt idx="59">
                  <c:v>7.6117261999999997</c:v>
                </c:pt>
                <c:pt idx="60">
                  <c:v>7.7154103999999997</c:v>
                </c:pt>
                <c:pt idx="61">
                  <c:v>7.8624035000000001</c:v>
                </c:pt>
                <c:pt idx="62">
                  <c:v>7.8588298999999999</c:v>
                </c:pt>
                <c:pt idx="63">
                  <c:v>7.7910784</c:v>
                </c:pt>
                <c:pt idx="64">
                  <c:v>7.7711800000000002</c:v>
                </c:pt>
                <c:pt idx="65">
                  <c:v>7.7990297000000002</c:v>
                </c:pt>
                <c:pt idx="66">
                  <c:v>7.9090373999999999</c:v>
                </c:pt>
                <c:pt idx="67">
                  <c:v>8.1180955000000008</c:v>
                </c:pt>
                <c:pt idx="68">
                  <c:v>8.2917074999999993</c:v>
                </c:pt>
                <c:pt idx="69">
                  <c:v>8.6393234000000003</c:v>
                </c:pt>
                <c:pt idx="70">
                  <c:v>9.1266341000000004</c:v>
                </c:pt>
                <c:pt idx="71">
                  <c:v>9.3741614000000002</c:v>
                </c:pt>
                <c:pt idx="72">
                  <c:v>9.2347845999999993</c:v>
                </c:pt>
                <c:pt idx="73">
                  <c:v>9.2051753000000005</c:v>
                </c:pt>
                <c:pt idx="74">
                  <c:v>9.0155960999999998</c:v>
                </c:pt>
                <c:pt idx="75">
                  <c:v>9.1349494</c:v>
                </c:pt>
                <c:pt idx="76">
                  <c:v>9.3826832000000007</c:v>
                </c:pt>
                <c:pt idx="77">
                  <c:v>9.6069981000000002</c:v>
                </c:pt>
                <c:pt idx="78">
                  <c:v>9.5880688000000003</c:v>
                </c:pt>
                <c:pt idx="79">
                  <c:v>9.5792366999999992</c:v>
                </c:pt>
                <c:pt idx="80">
                  <c:v>9.6043654000000007</c:v>
                </c:pt>
                <c:pt idx="81">
                  <c:v>9.6354468000000004</c:v>
                </c:pt>
                <c:pt idx="82">
                  <c:v>9.5537387000000003</c:v>
                </c:pt>
                <c:pt idx="83">
                  <c:v>9.5234363000000002</c:v>
                </c:pt>
                <c:pt idx="84">
                  <c:v>9.3054553999999996</c:v>
                </c:pt>
                <c:pt idx="85">
                  <c:v>9.1064497000000006</c:v>
                </c:pt>
                <c:pt idx="86">
                  <c:v>8.9879776000000007</c:v>
                </c:pt>
                <c:pt idx="87">
                  <c:v>8.9538978999999994</c:v>
                </c:pt>
                <c:pt idx="88">
                  <c:v>8.8928404000000008</c:v>
                </c:pt>
                <c:pt idx="89">
                  <c:v>8.9763335000000009</c:v>
                </c:pt>
                <c:pt idx="90">
                  <c:v>8.9507630999999996</c:v>
                </c:pt>
                <c:pt idx="91">
                  <c:v>8.8605403999999997</c:v>
                </c:pt>
                <c:pt idx="92">
                  <c:v>8.5883056</c:v>
                </c:pt>
                <c:pt idx="93">
                  <c:v>8.8735310999999992</c:v>
                </c:pt>
                <c:pt idx="94">
                  <c:v>8.9337999000000003</c:v>
                </c:pt>
                <c:pt idx="95">
                  <c:v>9.0331679000000005</c:v>
                </c:pt>
                <c:pt idx="96">
                  <c:v>8.9840611999999993</c:v>
                </c:pt>
                <c:pt idx="97">
                  <c:v>8.9468642999999997</c:v>
                </c:pt>
                <c:pt idx="98">
                  <c:v>8.9116462999999992</c:v>
                </c:pt>
                <c:pt idx="99">
                  <c:v>8.8454048000000007</c:v>
                </c:pt>
                <c:pt idx="100">
                  <c:v>8.8153558000000007</c:v>
                </c:pt>
                <c:pt idx="101">
                  <c:v>8.8015898999999997</c:v>
                </c:pt>
                <c:pt idx="102">
                  <c:v>8.9501112000000003</c:v>
                </c:pt>
                <c:pt idx="103">
                  <c:v>8.9939576999999993</c:v>
                </c:pt>
                <c:pt idx="104">
                  <c:v>9.1268872999999999</c:v>
                </c:pt>
                <c:pt idx="105">
                  <c:v>9.2088543000000005</c:v>
                </c:pt>
                <c:pt idx="106">
                  <c:v>9.1265806000000005</c:v>
                </c:pt>
                <c:pt idx="107">
                  <c:v>9.1404391999999994</c:v>
                </c:pt>
                <c:pt idx="108">
                  <c:v>9.1364458000000006</c:v>
                </c:pt>
                <c:pt idx="109">
                  <c:v>9.4450263000000003</c:v>
                </c:pt>
                <c:pt idx="110">
                  <c:v>9.5856049999999993</c:v>
                </c:pt>
                <c:pt idx="111">
                  <c:v>9.3470794999999995</c:v>
                </c:pt>
                <c:pt idx="112">
                  <c:v>9.1961261000000007</c:v>
                </c:pt>
                <c:pt idx="113">
                  <c:v>9.0362588000000006</c:v>
                </c:pt>
                <c:pt idx="114">
                  <c:v>8.9071916000000009</c:v>
                </c:pt>
                <c:pt idx="115">
                  <c:v>9.1077911999999994</c:v>
                </c:pt>
                <c:pt idx="116">
                  <c:v>9.1282668999999999</c:v>
                </c:pt>
                <c:pt idx="117">
                  <c:v>9.0213515999999991</c:v>
                </c:pt>
                <c:pt idx="118">
                  <c:v>8.9394732000000001</c:v>
                </c:pt>
                <c:pt idx="119">
                  <c:v>9.0585850000000008</c:v>
                </c:pt>
                <c:pt idx="120">
                  <c:v>9.2630263999999993</c:v>
                </c:pt>
                <c:pt idx="121">
                  <c:v>9.2256345</c:v>
                </c:pt>
                <c:pt idx="122">
                  <c:v>9.4688102000000001</c:v>
                </c:pt>
                <c:pt idx="123">
                  <c:v>9.5001657000000002</c:v>
                </c:pt>
                <c:pt idx="124">
                  <c:v>9.4988569999999992</c:v>
                </c:pt>
                <c:pt idx="125">
                  <c:v>9.6599491999999998</c:v>
                </c:pt>
                <c:pt idx="126">
                  <c:v>9.4847514999999998</c:v>
                </c:pt>
                <c:pt idx="127">
                  <c:v>9.4968900999999999</c:v>
                </c:pt>
                <c:pt idx="128">
                  <c:v>9.5700228000000003</c:v>
                </c:pt>
                <c:pt idx="129">
                  <c:v>9.5266190000000002</c:v>
                </c:pt>
                <c:pt idx="130">
                  <c:v>9.2678548999999997</c:v>
                </c:pt>
                <c:pt idx="131">
                  <c:v>9.5905681000000005</c:v>
                </c:pt>
                <c:pt idx="132">
                  <c:v>9.6507334</c:v>
                </c:pt>
                <c:pt idx="133">
                  <c:v>9.9101642999999999</c:v>
                </c:pt>
                <c:pt idx="134">
                  <c:v>9.9237693999999994</c:v>
                </c:pt>
                <c:pt idx="135">
                  <c:v>10.2312542</c:v>
                </c:pt>
                <c:pt idx="136">
                  <c:v>10.580266399999999</c:v>
                </c:pt>
                <c:pt idx="137">
                  <c:v>10.680701600000001</c:v>
                </c:pt>
                <c:pt idx="138">
                  <c:v>11.065669099999999</c:v>
                </c:pt>
                <c:pt idx="139">
                  <c:v>10.4385295</c:v>
                </c:pt>
                <c:pt idx="140">
                  <c:v>10.925601500000001</c:v>
                </c:pt>
                <c:pt idx="141">
                  <c:v>10.6989436</c:v>
                </c:pt>
                <c:pt idx="142">
                  <c:v>10.9177217</c:v>
                </c:pt>
                <c:pt idx="143">
                  <c:v>10.917528600000001</c:v>
                </c:pt>
                <c:pt idx="144">
                  <c:v>10.7708441</c:v>
                </c:pt>
                <c:pt idx="145">
                  <c:v>10.6159476</c:v>
                </c:pt>
                <c:pt idx="146">
                  <c:v>10.735989399999999</c:v>
                </c:pt>
                <c:pt idx="147">
                  <c:v>10.591909100000001</c:v>
                </c:pt>
                <c:pt idx="148">
                  <c:v>10.698155</c:v>
                </c:pt>
                <c:pt idx="149">
                  <c:v>10.7360872</c:v>
                </c:pt>
                <c:pt idx="150">
                  <c:v>11.1421765</c:v>
                </c:pt>
                <c:pt idx="151">
                  <c:v>11.006816199999999</c:v>
                </c:pt>
                <c:pt idx="152">
                  <c:v>10.7605311</c:v>
                </c:pt>
                <c:pt idx="153">
                  <c:v>10.9085114</c:v>
                </c:pt>
                <c:pt idx="154">
                  <c:v>10.741958800000001</c:v>
                </c:pt>
                <c:pt idx="155">
                  <c:v>10.4943218</c:v>
                </c:pt>
                <c:pt idx="156">
                  <c:v>10.4589318</c:v>
                </c:pt>
                <c:pt idx="157">
                  <c:v>10.366253800000001</c:v>
                </c:pt>
                <c:pt idx="158">
                  <c:v>10.212524200000001</c:v>
                </c:pt>
                <c:pt idx="159">
                  <c:v>10.8151469</c:v>
                </c:pt>
                <c:pt idx="160">
                  <c:v>11.2816659</c:v>
                </c:pt>
                <c:pt idx="161">
                  <c:v>10.709110600000001</c:v>
                </c:pt>
                <c:pt idx="162">
                  <c:v>10.797795000000001</c:v>
                </c:pt>
                <c:pt idx="163">
                  <c:v>10.5554617</c:v>
                </c:pt>
                <c:pt idx="164">
                  <c:v>10.600635199999999</c:v>
                </c:pt>
                <c:pt idx="165">
                  <c:v>10.696539</c:v>
                </c:pt>
                <c:pt idx="166">
                  <c:v>10.965581</c:v>
                </c:pt>
                <c:pt idx="167">
                  <c:v>11.468247399999999</c:v>
                </c:pt>
                <c:pt idx="168">
                  <c:v>10.6708663</c:v>
                </c:pt>
                <c:pt idx="169">
                  <c:v>11.1065524</c:v>
                </c:pt>
                <c:pt idx="170">
                  <c:v>10.8450498</c:v>
                </c:pt>
                <c:pt idx="171">
                  <c:v>10.534152300000001</c:v>
                </c:pt>
                <c:pt idx="172">
                  <c:v>10.463132</c:v>
                </c:pt>
                <c:pt idx="173">
                  <c:v>10.600031899999999</c:v>
                </c:pt>
                <c:pt idx="174">
                  <c:v>10.5933326</c:v>
                </c:pt>
                <c:pt idx="175">
                  <c:v>10.6499159</c:v>
                </c:pt>
                <c:pt idx="176">
                  <c:v>10.5762695</c:v>
                </c:pt>
                <c:pt idx="177">
                  <c:v>10.797276099999999</c:v>
                </c:pt>
                <c:pt idx="178">
                  <c:v>10.6742492</c:v>
                </c:pt>
                <c:pt idx="179">
                  <c:v>10.6029014</c:v>
                </c:pt>
                <c:pt idx="180">
                  <c:v>10.8505571</c:v>
                </c:pt>
                <c:pt idx="181">
                  <c:v>10.770292599999999</c:v>
                </c:pt>
                <c:pt idx="182">
                  <c:v>10.668572599999999</c:v>
                </c:pt>
                <c:pt idx="183">
                  <c:v>10.867995799999999</c:v>
                </c:pt>
                <c:pt idx="184">
                  <c:v>10.859722100000001</c:v>
                </c:pt>
                <c:pt idx="185">
                  <c:v>10.6014938</c:v>
                </c:pt>
                <c:pt idx="186">
                  <c:v>10.5790211</c:v>
                </c:pt>
                <c:pt idx="187">
                  <c:v>10.6582253</c:v>
                </c:pt>
                <c:pt idx="188">
                  <c:v>10.616861200000001</c:v>
                </c:pt>
                <c:pt idx="189">
                  <c:v>10.423736399999999</c:v>
                </c:pt>
                <c:pt idx="190">
                  <c:v>10.349997200000001</c:v>
                </c:pt>
                <c:pt idx="191">
                  <c:v>10.0952529</c:v>
                </c:pt>
                <c:pt idx="192">
                  <c:v>10.2056717</c:v>
                </c:pt>
                <c:pt idx="193">
                  <c:v>10.3244291</c:v>
                </c:pt>
                <c:pt idx="194">
                  <c:v>10.5157813</c:v>
                </c:pt>
                <c:pt idx="195">
                  <c:v>10.0296626</c:v>
                </c:pt>
                <c:pt idx="196">
                  <c:v>10.3704128</c:v>
                </c:pt>
                <c:pt idx="197">
                  <c:v>10.3255424</c:v>
                </c:pt>
                <c:pt idx="198">
                  <c:v>10.0870497</c:v>
                </c:pt>
                <c:pt idx="199">
                  <c:v>10.6127798</c:v>
                </c:pt>
                <c:pt idx="200">
                  <c:v>10.1147066</c:v>
                </c:pt>
                <c:pt idx="201">
                  <c:v>10.0963274</c:v>
                </c:pt>
                <c:pt idx="202">
                  <c:v>10.7468667</c:v>
                </c:pt>
                <c:pt idx="203">
                  <c:v>10.7576239</c:v>
                </c:pt>
                <c:pt idx="204">
                  <c:v>10.539490199999999</c:v>
                </c:pt>
                <c:pt idx="205">
                  <c:v>15.0915435</c:v>
                </c:pt>
                <c:pt idx="206">
                  <c:v>14.1231613</c:v>
                </c:pt>
                <c:pt idx="207">
                  <c:v>12.6506668</c:v>
                </c:pt>
                <c:pt idx="208">
                  <c:v>12.156514700000001</c:v>
                </c:pt>
                <c:pt idx="209">
                  <c:v>12.021646</c:v>
                </c:pt>
                <c:pt idx="210">
                  <c:v>12.1623929</c:v>
                </c:pt>
                <c:pt idx="211">
                  <c:v>11.8136651</c:v>
                </c:pt>
                <c:pt idx="212">
                  <c:v>10.8158767</c:v>
                </c:pt>
                <c:pt idx="213">
                  <c:v>10.176040499999999</c:v>
                </c:pt>
                <c:pt idx="214">
                  <c:v>9.5595210999999995</c:v>
                </c:pt>
                <c:pt idx="215">
                  <c:v>9.6373637999999993</c:v>
                </c:pt>
                <c:pt idx="216">
                  <c:v>9.3092775000000003</c:v>
                </c:pt>
                <c:pt idx="217">
                  <c:v>9.3190380000000008</c:v>
                </c:pt>
                <c:pt idx="218">
                  <c:v>8.8063503999999995</c:v>
                </c:pt>
                <c:pt idx="219">
                  <c:v>9.1374738999999998</c:v>
                </c:pt>
                <c:pt idx="220">
                  <c:v>9.6574787000000004</c:v>
                </c:pt>
                <c:pt idx="221">
                  <c:v>10.098172</c:v>
                </c:pt>
                <c:pt idx="222">
                  <c:v>10.056922</c:v>
                </c:pt>
                <c:pt idx="223">
                  <c:v>10.1293518</c:v>
                </c:pt>
                <c:pt idx="224">
                  <c:v>8.8172592000000005</c:v>
                </c:pt>
                <c:pt idx="225">
                  <c:v>7.7940882</c:v>
                </c:pt>
                <c:pt idx="226">
                  <c:v>7.8446030999999996</c:v>
                </c:pt>
                <c:pt idx="227">
                  <c:v>7.8446691</c:v>
                </c:pt>
                <c:pt idx="228">
                  <c:v>7.7012535</c:v>
                </c:pt>
                <c:pt idx="229">
                  <c:v>7.4807437999999999</c:v>
                </c:pt>
                <c:pt idx="230">
                  <c:v>6.9557887000000003</c:v>
                </c:pt>
                <c:pt idx="231">
                  <c:v>7.3002048999999998</c:v>
                </c:pt>
                <c:pt idx="232">
                  <c:v>7.3524750000000001</c:v>
                </c:pt>
                <c:pt idx="233">
                  <c:v>7.1889481999999996</c:v>
                </c:pt>
                <c:pt idx="234">
                  <c:v>7.1828599999999998</c:v>
                </c:pt>
                <c:pt idx="235">
                  <c:v>7.2263501000000003</c:v>
                </c:pt>
                <c:pt idx="236">
                  <c:v>7.1907752</c:v>
                </c:pt>
                <c:pt idx="237">
                  <c:v>7.3502841999999999</c:v>
                </c:pt>
                <c:pt idx="238">
                  <c:v>7.3618699000000003</c:v>
                </c:pt>
                <c:pt idx="239">
                  <c:v>7.0580502999999997</c:v>
                </c:pt>
                <c:pt idx="240">
                  <c:v>7.6753673999999998</c:v>
                </c:pt>
              </c:numCache>
            </c:numRef>
          </c:val>
          <c:smooth val="0"/>
          <c:extLst>
            <c:ext xmlns:c16="http://schemas.microsoft.com/office/drawing/2014/chart" uri="{C3380CC4-5D6E-409C-BE32-E72D297353CC}">
              <c16:uniqueId val="{00000001-930A-474B-B4F5-FE22B2385FF1}"/>
            </c:ext>
          </c:extLst>
        </c:ser>
        <c:ser>
          <c:idx val="2"/>
          <c:order val="2"/>
          <c:tx>
            <c:strRef>
              <c:f>'Underemp chart'!$D$2</c:f>
              <c:strCache>
                <c:ptCount val="1"/>
                <c:pt idx="0">
                  <c:v>Total</c:v>
                </c:pt>
              </c:strCache>
            </c:strRef>
          </c:tx>
          <c:spPr>
            <a:ln>
              <a:prstDash val="sysDash"/>
            </a:ln>
          </c:spPr>
          <c:marker>
            <c:symbol val="none"/>
          </c:marker>
          <c:cat>
            <c:numRef>
              <c:f>'Underemp chart'!$A$3:$A$243</c:f>
              <c:numCache>
                <c:formatCode>mmm\-yy</c:formatCode>
                <c:ptCount val="241"/>
                <c:pt idx="0">
                  <c:v>37681</c:v>
                </c:pt>
                <c:pt idx="1">
                  <c:v>37712</c:v>
                </c:pt>
                <c:pt idx="2">
                  <c:v>37742</c:v>
                </c:pt>
                <c:pt idx="3">
                  <c:v>37773</c:v>
                </c:pt>
                <c:pt idx="4">
                  <c:v>37803</c:v>
                </c:pt>
                <c:pt idx="5">
                  <c:v>37834</c:v>
                </c:pt>
                <c:pt idx="6">
                  <c:v>37865</c:v>
                </c:pt>
                <c:pt idx="7">
                  <c:v>37895</c:v>
                </c:pt>
                <c:pt idx="8">
                  <c:v>37926</c:v>
                </c:pt>
                <c:pt idx="9">
                  <c:v>37956</c:v>
                </c:pt>
                <c:pt idx="10">
                  <c:v>37987</c:v>
                </c:pt>
                <c:pt idx="11">
                  <c:v>38018</c:v>
                </c:pt>
                <c:pt idx="12">
                  <c:v>38047</c:v>
                </c:pt>
                <c:pt idx="13">
                  <c:v>38078</c:v>
                </c:pt>
                <c:pt idx="14">
                  <c:v>38108</c:v>
                </c:pt>
                <c:pt idx="15">
                  <c:v>38139</c:v>
                </c:pt>
                <c:pt idx="16">
                  <c:v>38169</c:v>
                </c:pt>
                <c:pt idx="17">
                  <c:v>38200</c:v>
                </c:pt>
                <c:pt idx="18">
                  <c:v>38231</c:v>
                </c:pt>
                <c:pt idx="19">
                  <c:v>38261</c:v>
                </c:pt>
                <c:pt idx="20">
                  <c:v>38292</c:v>
                </c:pt>
                <c:pt idx="21">
                  <c:v>38322</c:v>
                </c:pt>
                <c:pt idx="22">
                  <c:v>38353</c:v>
                </c:pt>
                <c:pt idx="23">
                  <c:v>38384</c:v>
                </c:pt>
                <c:pt idx="24">
                  <c:v>38412</c:v>
                </c:pt>
                <c:pt idx="25">
                  <c:v>38443</c:v>
                </c:pt>
                <c:pt idx="26">
                  <c:v>38473</c:v>
                </c:pt>
                <c:pt idx="27">
                  <c:v>38504</c:v>
                </c:pt>
                <c:pt idx="28">
                  <c:v>38534</c:v>
                </c:pt>
                <c:pt idx="29">
                  <c:v>38565</c:v>
                </c:pt>
                <c:pt idx="30">
                  <c:v>38596</c:v>
                </c:pt>
                <c:pt idx="31">
                  <c:v>38626</c:v>
                </c:pt>
                <c:pt idx="32">
                  <c:v>38657</c:v>
                </c:pt>
                <c:pt idx="33">
                  <c:v>38687</c:v>
                </c:pt>
                <c:pt idx="34">
                  <c:v>38718</c:v>
                </c:pt>
                <c:pt idx="35">
                  <c:v>38749</c:v>
                </c:pt>
                <c:pt idx="36">
                  <c:v>38777</c:v>
                </c:pt>
                <c:pt idx="37">
                  <c:v>38808</c:v>
                </c:pt>
                <c:pt idx="38">
                  <c:v>38838</c:v>
                </c:pt>
                <c:pt idx="39">
                  <c:v>38869</c:v>
                </c:pt>
                <c:pt idx="40">
                  <c:v>38899</c:v>
                </c:pt>
                <c:pt idx="41">
                  <c:v>38930</c:v>
                </c:pt>
                <c:pt idx="42">
                  <c:v>38961</c:v>
                </c:pt>
                <c:pt idx="43">
                  <c:v>38991</c:v>
                </c:pt>
                <c:pt idx="44">
                  <c:v>39022</c:v>
                </c:pt>
                <c:pt idx="45">
                  <c:v>39052</c:v>
                </c:pt>
                <c:pt idx="46">
                  <c:v>39083</c:v>
                </c:pt>
                <c:pt idx="47">
                  <c:v>39114</c:v>
                </c:pt>
                <c:pt idx="48">
                  <c:v>39142</c:v>
                </c:pt>
                <c:pt idx="49">
                  <c:v>39173</c:v>
                </c:pt>
                <c:pt idx="50">
                  <c:v>39203</c:v>
                </c:pt>
                <c:pt idx="51">
                  <c:v>39234</c:v>
                </c:pt>
                <c:pt idx="52">
                  <c:v>39264</c:v>
                </c:pt>
                <c:pt idx="53">
                  <c:v>39295</c:v>
                </c:pt>
                <c:pt idx="54">
                  <c:v>39326</c:v>
                </c:pt>
                <c:pt idx="55">
                  <c:v>39356</c:v>
                </c:pt>
                <c:pt idx="56">
                  <c:v>39387</c:v>
                </c:pt>
                <c:pt idx="57">
                  <c:v>39417</c:v>
                </c:pt>
                <c:pt idx="58">
                  <c:v>39448</c:v>
                </c:pt>
                <c:pt idx="59">
                  <c:v>39479</c:v>
                </c:pt>
                <c:pt idx="60">
                  <c:v>39508</c:v>
                </c:pt>
                <c:pt idx="61">
                  <c:v>39539</c:v>
                </c:pt>
                <c:pt idx="62">
                  <c:v>39569</c:v>
                </c:pt>
                <c:pt idx="63">
                  <c:v>39600</c:v>
                </c:pt>
                <c:pt idx="64">
                  <c:v>39630</c:v>
                </c:pt>
                <c:pt idx="65">
                  <c:v>39661</c:v>
                </c:pt>
                <c:pt idx="66">
                  <c:v>39692</c:v>
                </c:pt>
                <c:pt idx="67">
                  <c:v>39722</c:v>
                </c:pt>
                <c:pt idx="68">
                  <c:v>39753</c:v>
                </c:pt>
                <c:pt idx="69">
                  <c:v>39783</c:v>
                </c:pt>
                <c:pt idx="70">
                  <c:v>39814</c:v>
                </c:pt>
                <c:pt idx="71">
                  <c:v>39845</c:v>
                </c:pt>
                <c:pt idx="72">
                  <c:v>39873</c:v>
                </c:pt>
                <c:pt idx="73">
                  <c:v>39904</c:v>
                </c:pt>
                <c:pt idx="74">
                  <c:v>39934</c:v>
                </c:pt>
                <c:pt idx="75">
                  <c:v>39965</c:v>
                </c:pt>
                <c:pt idx="76">
                  <c:v>39995</c:v>
                </c:pt>
                <c:pt idx="77">
                  <c:v>40026</c:v>
                </c:pt>
                <c:pt idx="78">
                  <c:v>40057</c:v>
                </c:pt>
                <c:pt idx="79">
                  <c:v>40087</c:v>
                </c:pt>
                <c:pt idx="80">
                  <c:v>40118</c:v>
                </c:pt>
                <c:pt idx="81">
                  <c:v>40148</c:v>
                </c:pt>
                <c:pt idx="82">
                  <c:v>40179</c:v>
                </c:pt>
                <c:pt idx="83">
                  <c:v>40210</c:v>
                </c:pt>
                <c:pt idx="84">
                  <c:v>40238</c:v>
                </c:pt>
                <c:pt idx="85">
                  <c:v>40269</c:v>
                </c:pt>
                <c:pt idx="86">
                  <c:v>40299</c:v>
                </c:pt>
                <c:pt idx="87">
                  <c:v>40330</c:v>
                </c:pt>
                <c:pt idx="88">
                  <c:v>40360</c:v>
                </c:pt>
                <c:pt idx="89">
                  <c:v>40391</c:v>
                </c:pt>
                <c:pt idx="90">
                  <c:v>40422</c:v>
                </c:pt>
                <c:pt idx="91">
                  <c:v>40452</c:v>
                </c:pt>
                <c:pt idx="92">
                  <c:v>40483</c:v>
                </c:pt>
                <c:pt idx="93">
                  <c:v>40513</c:v>
                </c:pt>
                <c:pt idx="94">
                  <c:v>40544</c:v>
                </c:pt>
                <c:pt idx="95">
                  <c:v>40575</c:v>
                </c:pt>
                <c:pt idx="96">
                  <c:v>40603</c:v>
                </c:pt>
                <c:pt idx="97">
                  <c:v>40634</c:v>
                </c:pt>
                <c:pt idx="98">
                  <c:v>40664</c:v>
                </c:pt>
                <c:pt idx="99">
                  <c:v>40695</c:v>
                </c:pt>
                <c:pt idx="100">
                  <c:v>40725</c:v>
                </c:pt>
                <c:pt idx="101">
                  <c:v>40756</c:v>
                </c:pt>
                <c:pt idx="102">
                  <c:v>40787</c:v>
                </c:pt>
                <c:pt idx="103">
                  <c:v>40817</c:v>
                </c:pt>
                <c:pt idx="104">
                  <c:v>40848</c:v>
                </c:pt>
                <c:pt idx="105">
                  <c:v>40878</c:v>
                </c:pt>
                <c:pt idx="106">
                  <c:v>40909</c:v>
                </c:pt>
                <c:pt idx="107">
                  <c:v>40940</c:v>
                </c:pt>
                <c:pt idx="108">
                  <c:v>40969</c:v>
                </c:pt>
                <c:pt idx="109">
                  <c:v>41000</c:v>
                </c:pt>
                <c:pt idx="110">
                  <c:v>41030</c:v>
                </c:pt>
                <c:pt idx="111">
                  <c:v>41061</c:v>
                </c:pt>
                <c:pt idx="112">
                  <c:v>41091</c:v>
                </c:pt>
                <c:pt idx="113">
                  <c:v>41122</c:v>
                </c:pt>
                <c:pt idx="114">
                  <c:v>41153</c:v>
                </c:pt>
                <c:pt idx="115">
                  <c:v>41183</c:v>
                </c:pt>
                <c:pt idx="116">
                  <c:v>41214</c:v>
                </c:pt>
                <c:pt idx="117">
                  <c:v>41244</c:v>
                </c:pt>
                <c:pt idx="118">
                  <c:v>41275</c:v>
                </c:pt>
                <c:pt idx="119">
                  <c:v>41306</c:v>
                </c:pt>
                <c:pt idx="120">
                  <c:v>41334</c:v>
                </c:pt>
                <c:pt idx="121">
                  <c:v>41365</c:v>
                </c:pt>
                <c:pt idx="122">
                  <c:v>41395</c:v>
                </c:pt>
                <c:pt idx="123">
                  <c:v>41426</c:v>
                </c:pt>
                <c:pt idx="124">
                  <c:v>41456</c:v>
                </c:pt>
                <c:pt idx="125">
                  <c:v>41487</c:v>
                </c:pt>
                <c:pt idx="126">
                  <c:v>41518</c:v>
                </c:pt>
                <c:pt idx="127">
                  <c:v>41548</c:v>
                </c:pt>
                <c:pt idx="128">
                  <c:v>41579</c:v>
                </c:pt>
                <c:pt idx="129">
                  <c:v>41609</c:v>
                </c:pt>
                <c:pt idx="130">
                  <c:v>41640</c:v>
                </c:pt>
                <c:pt idx="131">
                  <c:v>41671</c:v>
                </c:pt>
                <c:pt idx="132">
                  <c:v>41699</c:v>
                </c:pt>
                <c:pt idx="133">
                  <c:v>41730</c:v>
                </c:pt>
                <c:pt idx="134">
                  <c:v>41760</c:v>
                </c:pt>
                <c:pt idx="135">
                  <c:v>41791</c:v>
                </c:pt>
                <c:pt idx="136">
                  <c:v>41821</c:v>
                </c:pt>
                <c:pt idx="137">
                  <c:v>41852</c:v>
                </c:pt>
                <c:pt idx="138">
                  <c:v>41883</c:v>
                </c:pt>
                <c:pt idx="139">
                  <c:v>41913</c:v>
                </c:pt>
                <c:pt idx="140">
                  <c:v>41944</c:v>
                </c:pt>
                <c:pt idx="141">
                  <c:v>41974</c:v>
                </c:pt>
                <c:pt idx="142">
                  <c:v>42005</c:v>
                </c:pt>
                <c:pt idx="143">
                  <c:v>42036</c:v>
                </c:pt>
                <c:pt idx="144">
                  <c:v>42064</c:v>
                </c:pt>
                <c:pt idx="145">
                  <c:v>42095</c:v>
                </c:pt>
                <c:pt idx="146">
                  <c:v>42125</c:v>
                </c:pt>
                <c:pt idx="147">
                  <c:v>42156</c:v>
                </c:pt>
                <c:pt idx="148">
                  <c:v>42186</c:v>
                </c:pt>
                <c:pt idx="149">
                  <c:v>42217</c:v>
                </c:pt>
                <c:pt idx="150">
                  <c:v>42248</c:v>
                </c:pt>
                <c:pt idx="151">
                  <c:v>42278</c:v>
                </c:pt>
                <c:pt idx="152">
                  <c:v>42309</c:v>
                </c:pt>
                <c:pt idx="153">
                  <c:v>42339</c:v>
                </c:pt>
                <c:pt idx="154">
                  <c:v>42370</c:v>
                </c:pt>
                <c:pt idx="155">
                  <c:v>42401</c:v>
                </c:pt>
                <c:pt idx="156">
                  <c:v>42430</c:v>
                </c:pt>
                <c:pt idx="157">
                  <c:v>42461</c:v>
                </c:pt>
                <c:pt idx="158">
                  <c:v>42491</c:v>
                </c:pt>
                <c:pt idx="159">
                  <c:v>42522</c:v>
                </c:pt>
                <c:pt idx="160">
                  <c:v>42552</c:v>
                </c:pt>
                <c:pt idx="161">
                  <c:v>42583</c:v>
                </c:pt>
                <c:pt idx="162">
                  <c:v>42614</c:v>
                </c:pt>
                <c:pt idx="163">
                  <c:v>42644</c:v>
                </c:pt>
                <c:pt idx="164">
                  <c:v>42675</c:v>
                </c:pt>
                <c:pt idx="165">
                  <c:v>42705</c:v>
                </c:pt>
                <c:pt idx="166">
                  <c:v>42736</c:v>
                </c:pt>
                <c:pt idx="167">
                  <c:v>42767</c:v>
                </c:pt>
                <c:pt idx="168">
                  <c:v>42795</c:v>
                </c:pt>
                <c:pt idx="169">
                  <c:v>42826</c:v>
                </c:pt>
                <c:pt idx="170">
                  <c:v>42856</c:v>
                </c:pt>
                <c:pt idx="171">
                  <c:v>42887</c:v>
                </c:pt>
                <c:pt idx="172">
                  <c:v>42917</c:v>
                </c:pt>
                <c:pt idx="173">
                  <c:v>42948</c:v>
                </c:pt>
                <c:pt idx="174">
                  <c:v>42979</c:v>
                </c:pt>
                <c:pt idx="175">
                  <c:v>43009</c:v>
                </c:pt>
                <c:pt idx="176">
                  <c:v>43040</c:v>
                </c:pt>
                <c:pt idx="177">
                  <c:v>43070</c:v>
                </c:pt>
                <c:pt idx="178">
                  <c:v>43101</c:v>
                </c:pt>
                <c:pt idx="179">
                  <c:v>43132</c:v>
                </c:pt>
                <c:pt idx="180">
                  <c:v>43160</c:v>
                </c:pt>
                <c:pt idx="181">
                  <c:v>43191</c:v>
                </c:pt>
                <c:pt idx="182">
                  <c:v>43221</c:v>
                </c:pt>
                <c:pt idx="183">
                  <c:v>43252</c:v>
                </c:pt>
                <c:pt idx="184">
                  <c:v>43282</c:v>
                </c:pt>
                <c:pt idx="185">
                  <c:v>43313</c:v>
                </c:pt>
                <c:pt idx="186">
                  <c:v>43344</c:v>
                </c:pt>
                <c:pt idx="187">
                  <c:v>43374</c:v>
                </c:pt>
                <c:pt idx="188">
                  <c:v>43405</c:v>
                </c:pt>
                <c:pt idx="189">
                  <c:v>43435</c:v>
                </c:pt>
                <c:pt idx="190">
                  <c:v>43466</c:v>
                </c:pt>
                <c:pt idx="191">
                  <c:v>43497</c:v>
                </c:pt>
                <c:pt idx="192">
                  <c:v>43525</c:v>
                </c:pt>
                <c:pt idx="193">
                  <c:v>43556</c:v>
                </c:pt>
                <c:pt idx="194">
                  <c:v>43586</c:v>
                </c:pt>
                <c:pt idx="195">
                  <c:v>43617</c:v>
                </c:pt>
                <c:pt idx="196">
                  <c:v>43647</c:v>
                </c:pt>
                <c:pt idx="197">
                  <c:v>43678</c:v>
                </c:pt>
                <c:pt idx="198">
                  <c:v>43709</c:v>
                </c:pt>
                <c:pt idx="199">
                  <c:v>43739</c:v>
                </c:pt>
                <c:pt idx="200">
                  <c:v>43770</c:v>
                </c:pt>
                <c:pt idx="201">
                  <c:v>43800</c:v>
                </c:pt>
                <c:pt idx="202">
                  <c:v>43831</c:v>
                </c:pt>
                <c:pt idx="203">
                  <c:v>43862</c:v>
                </c:pt>
                <c:pt idx="204">
                  <c:v>43891</c:v>
                </c:pt>
                <c:pt idx="205">
                  <c:v>43922</c:v>
                </c:pt>
                <c:pt idx="206">
                  <c:v>43952</c:v>
                </c:pt>
                <c:pt idx="207">
                  <c:v>43983</c:v>
                </c:pt>
                <c:pt idx="208">
                  <c:v>44013</c:v>
                </c:pt>
                <c:pt idx="209">
                  <c:v>44044</c:v>
                </c:pt>
                <c:pt idx="210">
                  <c:v>44075</c:v>
                </c:pt>
                <c:pt idx="211">
                  <c:v>44105</c:v>
                </c:pt>
                <c:pt idx="212">
                  <c:v>44136</c:v>
                </c:pt>
                <c:pt idx="213">
                  <c:v>44166</c:v>
                </c:pt>
                <c:pt idx="214">
                  <c:v>44197</c:v>
                </c:pt>
                <c:pt idx="215">
                  <c:v>44228</c:v>
                </c:pt>
                <c:pt idx="216">
                  <c:v>44256</c:v>
                </c:pt>
                <c:pt idx="217">
                  <c:v>44287</c:v>
                </c:pt>
                <c:pt idx="218">
                  <c:v>44317</c:v>
                </c:pt>
                <c:pt idx="219">
                  <c:v>44348</c:v>
                </c:pt>
                <c:pt idx="220">
                  <c:v>44378</c:v>
                </c:pt>
                <c:pt idx="221">
                  <c:v>44409</c:v>
                </c:pt>
                <c:pt idx="222">
                  <c:v>44440</c:v>
                </c:pt>
                <c:pt idx="223">
                  <c:v>44470</c:v>
                </c:pt>
                <c:pt idx="224">
                  <c:v>44501</c:v>
                </c:pt>
                <c:pt idx="225">
                  <c:v>44531</c:v>
                </c:pt>
                <c:pt idx="226">
                  <c:v>44562</c:v>
                </c:pt>
                <c:pt idx="227">
                  <c:v>44593</c:v>
                </c:pt>
                <c:pt idx="228">
                  <c:v>44621</c:v>
                </c:pt>
                <c:pt idx="229">
                  <c:v>44652</c:v>
                </c:pt>
                <c:pt idx="230">
                  <c:v>44682</c:v>
                </c:pt>
                <c:pt idx="231">
                  <c:v>44713</c:v>
                </c:pt>
                <c:pt idx="232">
                  <c:v>44743</c:v>
                </c:pt>
                <c:pt idx="233">
                  <c:v>44774</c:v>
                </c:pt>
                <c:pt idx="234">
                  <c:v>44805</c:v>
                </c:pt>
                <c:pt idx="235">
                  <c:v>44835</c:v>
                </c:pt>
                <c:pt idx="236">
                  <c:v>44866</c:v>
                </c:pt>
                <c:pt idx="237">
                  <c:v>44896</c:v>
                </c:pt>
                <c:pt idx="238">
                  <c:v>44927</c:v>
                </c:pt>
                <c:pt idx="239">
                  <c:v>44958</c:v>
                </c:pt>
                <c:pt idx="240">
                  <c:v>44986</c:v>
                </c:pt>
              </c:numCache>
            </c:numRef>
          </c:cat>
          <c:val>
            <c:numRef>
              <c:f>'Underemp chart'!$D$3:$D$243</c:f>
              <c:numCache>
                <c:formatCode>0.0</c:formatCode>
                <c:ptCount val="241"/>
                <c:pt idx="0">
                  <c:v>6.9533776999999999</c:v>
                </c:pt>
                <c:pt idx="1">
                  <c:v>7.1451545000000003</c:v>
                </c:pt>
                <c:pt idx="2">
                  <c:v>7.0998704000000004</c:v>
                </c:pt>
                <c:pt idx="3">
                  <c:v>7.1346021999999998</c:v>
                </c:pt>
                <c:pt idx="4">
                  <c:v>7.0116689000000001</c:v>
                </c:pt>
                <c:pt idx="5">
                  <c:v>6.9406753999999999</c:v>
                </c:pt>
                <c:pt idx="6">
                  <c:v>7.0763530000000001</c:v>
                </c:pt>
                <c:pt idx="7">
                  <c:v>7.1617205999999998</c:v>
                </c:pt>
                <c:pt idx="8">
                  <c:v>7.2893312999999997</c:v>
                </c:pt>
                <c:pt idx="9">
                  <c:v>7.1321890000000003</c:v>
                </c:pt>
                <c:pt idx="10">
                  <c:v>6.9307596</c:v>
                </c:pt>
                <c:pt idx="11">
                  <c:v>6.8946893999999999</c:v>
                </c:pt>
                <c:pt idx="12">
                  <c:v>7.017099</c:v>
                </c:pt>
                <c:pt idx="13">
                  <c:v>6.7553565999999998</c:v>
                </c:pt>
                <c:pt idx="14">
                  <c:v>7.0428917999999996</c:v>
                </c:pt>
                <c:pt idx="15">
                  <c:v>7.0670687000000001</c:v>
                </c:pt>
                <c:pt idx="16">
                  <c:v>6.9681648000000003</c:v>
                </c:pt>
                <c:pt idx="17">
                  <c:v>6.9570835999999998</c:v>
                </c:pt>
                <c:pt idx="18">
                  <c:v>7.0095035000000001</c:v>
                </c:pt>
                <c:pt idx="19">
                  <c:v>6.8891898999999999</c:v>
                </c:pt>
                <c:pt idx="20">
                  <c:v>6.8459779000000003</c:v>
                </c:pt>
                <c:pt idx="21">
                  <c:v>6.8865144000000003</c:v>
                </c:pt>
                <c:pt idx="22">
                  <c:v>6.8107768999999996</c:v>
                </c:pt>
                <c:pt idx="23">
                  <c:v>6.8190707000000002</c:v>
                </c:pt>
                <c:pt idx="24">
                  <c:v>6.7898152999999999</c:v>
                </c:pt>
                <c:pt idx="25">
                  <c:v>6.8375605000000004</c:v>
                </c:pt>
                <c:pt idx="26">
                  <c:v>6.7643532999999998</c:v>
                </c:pt>
                <c:pt idx="27">
                  <c:v>6.7927865000000001</c:v>
                </c:pt>
                <c:pt idx="28">
                  <c:v>6.5978126000000001</c:v>
                </c:pt>
                <c:pt idx="29">
                  <c:v>6.5882329999999998</c:v>
                </c:pt>
                <c:pt idx="30">
                  <c:v>6.6678177999999999</c:v>
                </c:pt>
                <c:pt idx="31">
                  <c:v>6.6801408999999996</c:v>
                </c:pt>
                <c:pt idx="32">
                  <c:v>6.7963101999999997</c:v>
                </c:pt>
                <c:pt idx="33">
                  <c:v>6.6744677000000001</c:v>
                </c:pt>
                <c:pt idx="34">
                  <c:v>6.6764321999999998</c:v>
                </c:pt>
                <c:pt idx="35">
                  <c:v>6.6457256999999998</c:v>
                </c:pt>
                <c:pt idx="36">
                  <c:v>6.5283180999999999</c:v>
                </c:pt>
                <c:pt idx="37">
                  <c:v>6.5341015999999996</c:v>
                </c:pt>
                <c:pt idx="38">
                  <c:v>6.5249268000000002</c:v>
                </c:pt>
                <c:pt idx="39">
                  <c:v>6.5714813999999997</c:v>
                </c:pt>
                <c:pt idx="40">
                  <c:v>6.5970502</c:v>
                </c:pt>
                <c:pt idx="41">
                  <c:v>6.6063815999999997</c:v>
                </c:pt>
                <c:pt idx="42">
                  <c:v>6.5933317000000002</c:v>
                </c:pt>
                <c:pt idx="43">
                  <c:v>6.3831870000000004</c:v>
                </c:pt>
                <c:pt idx="44">
                  <c:v>6.2520841999999996</c:v>
                </c:pt>
                <c:pt idx="45">
                  <c:v>6.2860325000000001</c:v>
                </c:pt>
                <c:pt idx="46">
                  <c:v>6.3275357999999997</c:v>
                </c:pt>
                <c:pt idx="47">
                  <c:v>6.4319303999999997</c:v>
                </c:pt>
                <c:pt idx="48">
                  <c:v>6.3025748000000004</c:v>
                </c:pt>
                <c:pt idx="49">
                  <c:v>6.2292154000000002</c:v>
                </c:pt>
                <c:pt idx="50">
                  <c:v>6.2722419</c:v>
                </c:pt>
                <c:pt idx="51">
                  <c:v>6.2483575</c:v>
                </c:pt>
                <c:pt idx="52">
                  <c:v>6.2673253000000004</c:v>
                </c:pt>
                <c:pt idx="53">
                  <c:v>6.2484602000000002</c:v>
                </c:pt>
                <c:pt idx="54">
                  <c:v>6.1894574000000002</c:v>
                </c:pt>
                <c:pt idx="55">
                  <c:v>6.1572941999999999</c:v>
                </c:pt>
                <c:pt idx="56">
                  <c:v>6.0522508999999998</c:v>
                </c:pt>
                <c:pt idx="57">
                  <c:v>6.0506130000000002</c:v>
                </c:pt>
                <c:pt idx="58">
                  <c:v>6.0146363999999997</c:v>
                </c:pt>
                <c:pt idx="59">
                  <c:v>5.9077729999999997</c:v>
                </c:pt>
                <c:pt idx="60">
                  <c:v>5.9269441</c:v>
                </c:pt>
                <c:pt idx="61">
                  <c:v>6.0158206999999999</c:v>
                </c:pt>
                <c:pt idx="62">
                  <c:v>5.9442956999999996</c:v>
                </c:pt>
                <c:pt idx="63">
                  <c:v>5.8029583999999996</c:v>
                </c:pt>
                <c:pt idx="64">
                  <c:v>5.8503417000000004</c:v>
                </c:pt>
                <c:pt idx="65">
                  <c:v>5.7212746000000001</c:v>
                </c:pt>
                <c:pt idx="66">
                  <c:v>5.9524894000000002</c:v>
                </c:pt>
                <c:pt idx="67">
                  <c:v>6.2367422000000001</c:v>
                </c:pt>
                <c:pt idx="68">
                  <c:v>6.3054304999999999</c:v>
                </c:pt>
                <c:pt idx="69">
                  <c:v>6.6789705000000001</c:v>
                </c:pt>
                <c:pt idx="70">
                  <c:v>6.9402961999999997</c:v>
                </c:pt>
                <c:pt idx="71">
                  <c:v>7.2519245999999997</c:v>
                </c:pt>
                <c:pt idx="72">
                  <c:v>7.3474563000000002</c:v>
                </c:pt>
                <c:pt idx="73">
                  <c:v>7.4289776999999999</c:v>
                </c:pt>
                <c:pt idx="74">
                  <c:v>7.6506014999999996</c:v>
                </c:pt>
                <c:pt idx="75">
                  <c:v>7.5046334999999997</c:v>
                </c:pt>
                <c:pt idx="76">
                  <c:v>7.5631075000000001</c:v>
                </c:pt>
                <c:pt idx="77">
                  <c:v>7.5595990000000004</c:v>
                </c:pt>
                <c:pt idx="78">
                  <c:v>7.5989556</c:v>
                </c:pt>
                <c:pt idx="79">
                  <c:v>7.5578704999999999</c:v>
                </c:pt>
                <c:pt idx="80">
                  <c:v>7.6019025999999998</c:v>
                </c:pt>
                <c:pt idx="81">
                  <c:v>7.5408246999999999</c:v>
                </c:pt>
                <c:pt idx="82">
                  <c:v>7.5462559999999996</c:v>
                </c:pt>
                <c:pt idx="83">
                  <c:v>7.4670718999999997</c:v>
                </c:pt>
                <c:pt idx="84">
                  <c:v>7.2934545999999996</c:v>
                </c:pt>
                <c:pt idx="85">
                  <c:v>7.1078241000000002</c:v>
                </c:pt>
                <c:pt idx="86">
                  <c:v>6.9908799000000004</c:v>
                </c:pt>
                <c:pt idx="87">
                  <c:v>7.0343356999999997</c:v>
                </c:pt>
                <c:pt idx="88">
                  <c:v>7.0737762999999996</c:v>
                </c:pt>
                <c:pt idx="89">
                  <c:v>7.1896335000000002</c:v>
                </c:pt>
                <c:pt idx="90">
                  <c:v>7.1475112999999997</c:v>
                </c:pt>
                <c:pt idx="91">
                  <c:v>7.0524871999999998</c:v>
                </c:pt>
                <c:pt idx="92">
                  <c:v>6.9149446000000001</c:v>
                </c:pt>
                <c:pt idx="93">
                  <c:v>6.9535444999999996</c:v>
                </c:pt>
                <c:pt idx="94">
                  <c:v>6.8384247</c:v>
                </c:pt>
                <c:pt idx="95">
                  <c:v>6.8665412000000003</c:v>
                </c:pt>
                <c:pt idx="96">
                  <c:v>6.9491652999999998</c:v>
                </c:pt>
                <c:pt idx="97">
                  <c:v>7.0243589999999996</c:v>
                </c:pt>
                <c:pt idx="98">
                  <c:v>7.0698068999999997</c:v>
                </c:pt>
                <c:pt idx="99">
                  <c:v>6.9834487000000003</c:v>
                </c:pt>
                <c:pt idx="100">
                  <c:v>6.8113039999999998</c:v>
                </c:pt>
                <c:pt idx="101">
                  <c:v>6.7519584999999998</c:v>
                </c:pt>
                <c:pt idx="102">
                  <c:v>6.8354339</c:v>
                </c:pt>
                <c:pt idx="103">
                  <c:v>6.9480881999999999</c:v>
                </c:pt>
                <c:pt idx="104">
                  <c:v>7.0674996999999999</c:v>
                </c:pt>
                <c:pt idx="105">
                  <c:v>7.1326368999999996</c:v>
                </c:pt>
                <c:pt idx="106">
                  <c:v>7.1524337999999998</c:v>
                </c:pt>
                <c:pt idx="107">
                  <c:v>7.2521072000000002</c:v>
                </c:pt>
                <c:pt idx="108">
                  <c:v>7.2345993999999996</c:v>
                </c:pt>
                <c:pt idx="109">
                  <c:v>7.2943987999999997</c:v>
                </c:pt>
                <c:pt idx="110">
                  <c:v>7.3534847000000001</c:v>
                </c:pt>
                <c:pt idx="111">
                  <c:v>7.1837628000000002</c:v>
                </c:pt>
                <c:pt idx="112">
                  <c:v>7.0610156999999996</c:v>
                </c:pt>
                <c:pt idx="113">
                  <c:v>6.9103298000000004</c:v>
                </c:pt>
                <c:pt idx="114">
                  <c:v>6.8443147</c:v>
                </c:pt>
                <c:pt idx="115">
                  <c:v>6.9929237000000004</c:v>
                </c:pt>
                <c:pt idx="116">
                  <c:v>7.0427799000000002</c:v>
                </c:pt>
                <c:pt idx="117">
                  <c:v>7.0217906000000001</c:v>
                </c:pt>
                <c:pt idx="118">
                  <c:v>6.9800987000000001</c:v>
                </c:pt>
                <c:pt idx="119">
                  <c:v>7.0497990000000001</c:v>
                </c:pt>
                <c:pt idx="120">
                  <c:v>7.2280929</c:v>
                </c:pt>
                <c:pt idx="121">
                  <c:v>7.2101797999999997</c:v>
                </c:pt>
                <c:pt idx="122">
                  <c:v>7.4588529000000001</c:v>
                </c:pt>
                <c:pt idx="123">
                  <c:v>7.5452085000000002</c:v>
                </c:pt>
                <c:pt idx="124">
                  <c:v>7.3823115000000001</c:v>
                </c:pt>
                <c:pt idx="125">
                  <c:v>7.5812458999999999</c:v>
                </c:pt>
                <c:pt idx="126">
                  <c:v>7.4510436000000002</c:v>
                </c:pt>
                <c:pt idx="127">
                  <c:v>7.5173711000000001</c:v>
                </c:pt>
                <c:pt idx="128">
                  <c:v>7.4705918000000002</c:v>
                </c:pt>
                <c:pt idx="129">
                  <c:v>7.5094725999999996</c:v>
                </c:pt>
                <c:pt idx="130">
                  <c:v>7.3408669</c:v>
                </c:pt>
                <c:pt idx="131">
                  <c:v>7.5147851000000001</c:v>
                </c:pt>
                <c:pt idx="132">
                  <c:v>7.5341465999999997</c:v>
                </c:pt>
                <c:pt idx="133">
                  <c:v>7.6521550999999999</c:v>
                </c:pt>
                <c:pt idx="134">
                  <c:v>7.7632943000000001</c:v>
                </c:pt>
                <c:pt idx="135">
                  <c:v>7.9253475</c:v>
                </c:pt>
                <c:pt idx="136">
                  <c:v>8.3012996000000001</c:v>
                </c:pt>
                <c:pt idx="137">
                  <c:v>8.3851297000000002</c:v>
                </c:pt>
                <c:pt idx="138">
                  <c:v>8.8227229999999999</c:v>
                </c:pt>
                <c:pt idx="139">
                  <c:v>8.2058433999999991</c:v>
                </c:pt>
                <c:pt idx="140">
                  <c:v>8.6500096000000006</c:v>
                </c:pt>
                <c:pt idx="141">
                  <c:v>8.4417725000000008</c:v>
                </c:pt>
                <c:pt idx="142">
                  <c:v>8.5221528000000006</c:v>
                </c:pt>
                <c:pt idx="143">
                  <c:v>8.5305274000000004</c:v>
                </c:pt>
                <c:pt idx="144">
                  <c:v>8.1490980999999998</c:v>
                </c:pt>
                <c:pt idx="145">
                  <c:v>8.3200701000000006</c:v>
                </c:pt>
                <c:pt idx="146">
                  <c:v>8.3828654999999994</c:v>
                </c:pt>
                <c:pt idx="147">
                  <c:v>8.3810379000000008</c:v>
                </c:pt>
                <c:pt idx="148">
                  <c:v>8.6380920000000003</c:v>
                </c:pt>
                <c:pt idx="149">
                  <c:v>8.4377706999999997</c:v>
                </c:pt>
                <c:pt idx="150">
                  <c:v>8.7841985999999999</c:v>
                </c:pt>
                <c:pt idx="151">
                  <c:v>8.7134645000000006</c:v>
                </c:pt>
                <c:pt idx="152">
                  <c:v>8.5807234000000001</c:v>
                </c:pt>
                <c:pt idx="153">
                  <c:v>8.4510862000000007</c:v>
                </c:pt>
                <c:pt idx="154">
                  <c:v>8.5163533000000005</c:v>
                </c:pt>
                <c:pt idx="155">
                  <c:v>8.3895067000000001</c:v>
                </c:pt>
                <c:pt idx="156">
                  <c:v>8.3826297000000007</c:v>
                </c:pt>
                <c:pt idx="157">
                  <c:v>8.6152070999999992</c:v>
                </c:pt>
                <c:pt idx="158">
                  <c:v>8.3191568999999994</c:v>
                </c:pt>
                <c:pt idx="159">
                  <c:v>8.7786866999999997</c:v>
                </c:pt>
                <c:pt idx="160">
                  <c:v>9.0166346999999991</c:v>
                </c:pt>
                <c:pt idx="161">
                  <c:v>8.8087377999999994</c:v>
                </c:pt>
                <c:pt idx="162">
                  <c:v>8.7203085999999992</c:v>
                </c:pt>
                <c:pt idx="163">
                  <c:v>8.5365012</c:v>
                </c:pt>
                <c:pt idx="164">
                  <c:v>8.4999654000000007</c:v>
                </c:pt>
                <c:pt idx="165">
                  <c:v>8.5973781999999996</c:v>
                </c:pt>
                <c:pt idx="166">
                  <c:v>8.7776628999999993</c:v>
                </c:pt>
                <c:pt idx="167">
                  <c:v>9.0603592000000006</c:v>
                </c:pt>
                <c:pt idx="168">
                  <c:v>8.6001391999999992</c:v>
                </c:pt>
                <c:pt idx="169">
                  <c:v>8.7493821000000001</c:v>
                </c:pt>
                <c:pt idx="170">
                  <c:v>8.6819518000000002</c:v>
                </c:pt>
                <c:pt idx="171">
                  <c:v>8.4289933000000001</c:v>
                </c:pt>
                <c:pt idx="172">
                  <c:v>8.5481487000000005</c:v>
                </c:pt>
                <c:pt idx="173">
                  <c:v>8.6137156000000008</c:v>
                </c:pt>
                <c:pt idx="174">
                  <c:v>8.5464681000000002</c:v>
                </c:pt>
                <c:pt idx="175">
                  <c:v>8.5054067</c:v>
                </c:pt>
                <c:pt idx="176">
                  <c:v>8.5044389999999996</c:v>
                </c:pt>
                <c:pt idx="177">
                  <c:v>8.4609498999999992</c:v>
                </c:pt>
                <c:pt idx="178">
                  <c:v>8.7205811000000004</c:v>
                </c:pt>
                <c:pt idx="179">
                  <c:v>8.5273628000000006</c:v>
                </c:pt>
                <c:pt idx="180">
                  <c:v>8.5676731999999998</c:v>
                </c:pt>
                <c:pt idx="181">
                  <c:v>8.4661909000000009</c:v>
                </c:pt>
                <c:pt idx="182">
                  <c:v>8.4465979000000004</c:v>
                </c:pt>
                <c:pt idx="183">
                  <c:v>8.5873843999999995</c:v>
                </c:pt>
                <c:pt idx="184">
                  <c:v>8.4860726999999994</c:v>
                </c:pt>
                <c:pt idx="185">
                  <c:v>8.1980766999999997</c:v>
                </c:pt>
                <c:pt idx="186">
                  <c:v>8.3177628000000006</c:v>
                </c:pt>
                <c:pt idx="187">
                  <c:v>8.2806432999999995</c:v>
                </c:pt>
                <c:pt idx="188">
                  <c:v>8.4934832</c:v>
                </c:pt>
                <c:pt idx="189">
                  <c:v>8.2951958000000001</c:v>
                </c:pt>
                <c:pt idx="190">
                  <c:v>8.1279006999999996</c:v>
                </c:pt>
                <c:pt idx="191">
                  <c:v>8.0562688999999992</c:v>
                </c:pt>
                <c:pt idx="192">
                  <c:v>8.2274191999999999</c:v>
                </c:pt>
                <c:pt idx="193">
                  <c:v>8.5068137000000004</c:v>
                </c:pt>
                <c:pt idx="194">
                  <c:v>8.5923750000000005</c:v>
                </c:pt>
                <c:pt idx="195">
                  <c:v>8.2026816999999994</c:v>
                </c:pt>
                <c:pt idx="196">
                  <c:v>8.4444253000000007</c:v>
                </c:pt>
                <c:pt idx="197">
                  <c:v>8.5512496000000002</c:v>
                </c:pt>
                <c:pt idx="198">
                  <c:v>8.3428795999999998</c:v>
                </c:pt>
                <c:pt idx="199">
                  <c:v>8.5301652000000008</c:v>
                </c:pt>
                <c:pt idx="200">
                  <c:v>8.2750357000000001</c:v>
                </c:pt>
                <c:pt idx="201">
                  <c:v>8.2068715000000001</c:v>
                </c:pt>
                <c:pt idx="202">
                  <c:v>8.5786259999999999</c:v>
                </c:pt>
                <c:pt idx="203">
                  <c:v>8.5813886000000004</c:v>
                </c:pt>
                <c:pt idx="204">
                  <c:v>8.7472270999999999</c:v>
                </c:pt>
                <c:pt idx="205">
                  <c:v>13.755832099999999</c:v>
                </c:pt>
                <c:pt idx="206">
                  <c:v>13.129849</c:v>
                </c:pt>
                <c:pt idx="207">
                  <c:v>11.633154599999999</c:v>
                </c:pt>
                <c:pt idx="208">
                  <c:v>11.240219700000001</c:v>
                </c:pt>
                <c:pt idx="209">
                  <c:v>11.2491065</c:v>
                </c:pt>
                <c:pt idx="210">
                  <c:v>11.357096</c:v>
                </c:pt>
                <c:pt idx="211">
                  <c:v>10.3460564</c:v>
                </c:pt>
                <c:pt idx="212">
                  <c:v>9.2970930000000003</c:v>
                </c:pt>
                <c:pt idx="213">
                  <c:v>8.4846315000000008</c:v>
                </c:pt>
                <c:pt idx="214">
                  <c:v>8.1374270000000006</c:v>
                </c:pt>
                <c:pt idx="215">
                  <c:v>8.3895738000000009</c:v>
                </c:pt>
                <c:pt idx="216">
                  <c:v>7.8808701000000001</c:v>
                </c:pt>
                <c:pt idx="217">
                  <c:v>7.8451706000000003</c:v>
                </c:pt>
                <c:pt idx="218">
                  <c:v>7.5884016000000001</c:v>
                </c:pt>
                <c:pt idx="219">
                  <c:v>7.9039140000000003</c:v>
                </c:pt>
                <c:pt idx="220">
                  <c:v>8.2912017999999996</c:v>
                </c:pt>
                <c:pt idx="221">
                  <c:v>9.2540613</c:v>
                </c:pt>
                <c:pt idx="222">
                  <c:v>9.1897835000000008</c:v>
                </c:pt>
                <c:pt idx="223">
                  <c:v>9.4327413</c:v>
                </c:pt>
                <c:pt idx="224">
                  <c:v>7.4662369000000002</c:v>
                </c:pt>
                <c:pt idx="225">
                  <c:v>6.5940972999999996</c:v>
                </c:pt>
                <c:pt idx="226">
                  <c:v>6.5869065000000004</c:v>
                </c:pt>
                <c:pt idx="227">
                  <c:v>6.5779902000000003</c:v>
                </c:pt>
                <c:pt idx="228">
                  <c:v>6.3081740000000002</c:v>
                </c:pt>
                <c:pt idx="229">
                  <c:v>6.1816728000000003</c:v>
                </c:pt>
                <c:pt idx="230">
                  <c:v>5.8246533999999999</c:v>
                </c:pt>
                <c:pt idx="231">
                  <c:v>6.1218184999999998</c:v>
                </c:pt>
                <c:pt idx="232">
                  <c:v>6.0581915000000004</c:v>
                </c:pt>
                <c:pt idx="233">
                  <c:v>5.9768356999999996</c:v>
                </c:pt>
                <c:pt idx="234">
                  <c:v>6.0531790000000001</c:v>
                </c:pt>
                <c:pt idx="235">
                  <c:v>5.9965498999999998</c:v>
                </c:pt>
                <c:pt idx="236">
                  <c:v>5.8493871999999998</c:v>
                </c:pt>
                <c:pt idx="237">
                  <c:v>6.0888970999999996</c:v>
                </c:pt>
                <c:pt idx="238">
                  <c:v>6.1744697000000004</c:v>
                </c:pt>
                <c:pt idx="239">
                  <c:v>5.8404208999999998</c:v>
                </c:pt>
                <c:pt idx="240">
                  <c:v>6.2232927</c:v>
                </c:pt>
              </c:numCache>
            </c:numRef>
          </c:val>
          <c:smooth val="0"/>
          <c:extLst>
            <c:ext xmlns:c16="http://schemas.microsoft.com/office/drawing/2014/chart" uri="{C3380CC4-5D6E-409C-BE32-E72D297353CC}">
              <c16:uniqueId val="{00000002-930A-474B-B4F5-FE22B2385FF1}"/>
            </c:ext>
          </c:extLst>
        </c:ser>
        <c:dLbls>
          <c:showLegendKey val="0"/>
          <c:showVal val="0"/>
          <c:showCatName val="0"/>
          <c:showSerName val="0"/>
          <c:showPercent val="0"/>
          <c:showBubbleSize val="0"/>
        </c:dLbls>
        <c:smooth val="0"/>
        <c:axId val="267376128"/>
        <c:axId val="267377664"/>
      </c:lineChart>
      <c:dateAx>
        <c:axId val="267376128"/>
        <c:scaling>
          <c:orientation val="minMax"/>
        </c:scaling>
        <c:delete val="0"/>
        <c:axPos val="b"/>
        <c:numFmt formatCode="mmm\-yy" sourceLinked="0"/>
        <c:majorTickMark val="out"/>
        <c:minorTickMark val="none"/>
        <c:tickLblPos val="nextTo"/>
        <c:txPr>
          <a:bodyPr rot="-5400000" vert="horz"/>
          <a:lstStyle/>
          <a:p>
            <a:pPr>
              <a:defRPr/>
            </a:pPr>
            <a:endParaRPr lang="en-US"/>
          </a:p>
        </c:txPr>
        <c:crossAx val="267377664"/>
        <c:crosses val="autoZero"/>
        <c:auto val="1"/>
        <c:lblOffset val="100"/>
        <c:baseTimeUnit val="months"/>
        <c:majorUnit val="1"/>
        <c:majorTimeUnit val="years"/>
      </c:dateAx>
      <c:valAx>
        <c:axId val="267377664"/>
        <c:scaling>
          <c:orientation val="minMax"/>
          <c:max val="16"/>
          <c:min val="2"/>
        </c:scaling>
        <c:delete val="0"/>
        <c:axPos val="l"/>
        <c:title>
          <c:tx>
            <c:rich>
              <a:bodyPr/>
              <a:lstStyle/>
              <a:p>
                <a:pPr>
                  <a:defRPr/>
                </a:pPr>
                <a:r>
                  <a:rPr lang="en-US"/>
                  <a:t>(%)</a:t>
                </a:r>
              </a:p>
            </c:rich>
          </c:tx>
          <c:overlay val="0"/>
        </c:title>
        <c:numFmt formatCode="0" sourceLinked="0"/>
        <c:majorTickMark val="out"/>
        <c:minorTickMark val="none"/>
        <c:tickLblPos val="nextTo"/>
        <c:txPr>
          <a:bodyPr rot="0" vert="horz"/>
          <a:lstStyle/>
          <a:p>
            <a:pPr>
              <a:defRPr/>
            </a:pPr>
            <a:endParaRPr lang="en-US"/>
          </a:p>
        </c:txPr>
        <c:crossAx val="267376128"/>
        <c:crosses val="autoZero"/>
        <c:crossBetween val="between"/>
      </c:valAx>
    </c:plotArea>
    <c:legend>
      <c:legendPos val="r"/>
      <c:layout>
        <c:manualLayout>
          <c:xMode val="edge"/>
          <c:yMode val="edge"/>
          <c:x val="0.1363926165990024"/>
          <c:y val="9.4107611548556444E-2"/>
          <c:w val="0.37008170412576585"/>
          <c:h val="0.11029600466608339"/>
        </c:manualLayout>
      </c:layout>
      <c:overlay val="1"/>
      <c:spPr>
        <a:solidFill>
          <a:sysClr val="window" lastClr="FFFFFF"/>
        </a:solidFill>
        <a:ln>
          <a:solidFill>
            <a:schemeClr val="bg1">
              <a:lumMod val="65000"/>
            </a:schemeClr>
          </a:solidFill>
        </a:ln>
      </c:spPr>
    </c:legend>
    <c:plotVisOnly val="1"/>
    <c:dispBlanksAs val="gap"/>
    <c:showDLblsOverMax val="0"/>
  </c:chart>
  <c:spPr>
    <a:ln>
      <a:noFill/>
    </a:ln>
  </c:spPr>
  <c:txPr>
    <a:bodyPr/>
    <a:lstStyle/>
    <a:p>
      <a:pPr>
        <a:defRPr sz="1000" b="0" i="0" u="none" strike="noStrike" baseline="0">
          <a:solidFill>
            <a:srgbClr val="000000"/>
          </a:solidFill>
          <a:latin typeface="Arial" panose="020B0604020202020204" pitchFamily="34" charset="0"/>
          <a:ea typeface="Calibri"/>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Chart!$H$1</c:f>
              <c:strCache>
                <c:ptCount val="1"/>
                <c:pt idx="0">
                  <c:v>Annual employment growth (%) (RHS)</c:v>
                </c:pt>
              </c:strCache>
            </c:strRef>
          </c:tx>
          <c:spPr>
            <a:solidFill>
              <a:schemeClr val="accent3"/>
            </a:solidFill>
            <a:ln>
              <a:noFill/>
            </a:ln>
            <a:effectLst/>
          </c:spPr>
          <c:invertIfNegative val="0"/>
          <c:cat>
            <c:numRef>
              <c:f>Chart!$E$3:$E$243</c:f>
              <c:numCache>
                <c:formatCode>mmm\-yyyy</c:formatCode>
                <c:ptCount val="241"/>
                <c:pt idx="0">
                  <c:v>37681</c:v>
                </c:pt>
                <c:pt idx="1">
                  <c:v>37712</c:v>
                </c:pt>
                <c:pt idx="2">
                  <c:v>37742</c:v>
                </c:pt>
                <c:pt idx="3">
                  <c:v>37773</c:v>
                </c:pt>
                <c:pt idx="4">
                  <c:v>37803</c:v>
                </c:pt>
                <c:pt idx="5">
                  <c:v>37834</c:v>
                </c:pt>
                <c:pt idx="6">
                  <c:v>37865</c:v>
                </c:pt>
                <c:pt idx="7">
                  <c:v>37895</c:v>
                </c:pt>
                <c:pt idx="8">
                  <c:v>37926</c:v>
                </c:pt>
                <c:pt idx="9">
                  <c:v>37956</c:v>
                </c:pt>
                <c:pt idx="10">
                  <c:v>37987</c:v>
                </c:pt>
                <c:pt idx="11">
                  <c:v>38018</c:v>
                </c:pt>
                <c:pt idx="12">
                  <c:v>38047</c:v>
                </c:pt>
                <c:pt idx="13">
                  <c:v>38078</c:v>
                </c:pt>
                <c:pt idx="14">
                  <c:v>38108</c:v>
                </c:pt>
                <c:pt idx="15">
                  <c:v>38139</c:v>
                </c:pt>
                <c:pt idx="16">
                  <c:v>38169</c:v>
                </c:pt>
                <c:pt idx="17">
                  <c:v>38200</c:v>
                </c:pt>
                <c:pt idx="18">
                  <c:v>38231</c:v>
                </c:pt>
                <c:pt idx="19">
                  <c:v>38261</c:v>
                </c:pt>
                <c:pt idx="20">
                  <c:v>38292</c:v>
                </c:pt>
                <c:pt idx="21">
                  <c:v>38322</c:v>
                </c:pt>
                <c:pt idx="22">
                  <c:v>38353</c:v>
                </c:pt>
                <c:pt idx="23">
                  <c:v>38384</c:v>
                </c:pt>
                <c:pt idx="24">
                  <c:v>38412</c:v>
                </c:pt>
                <c:pt idx="25">
                  <c:v>38443</c:v>
                </c:pt>
                <c:pt idx="26">
                  <c:v>38473</c:v>
                </c:pt>
                <c:pt idx="27">
                  <c:v>38504</c:v>
                </c:pt>
                <c:pt idx="28">
                  <c:v>38534</c:v>
                </c:pt>
                <c:pt idx="29">
                  <c:v>38565</c:v>
                </c:pt>
                <c:pt idx="30">
                  <c:v>38596</c:v>
                </c:pt>
                <c:pt idx="31">
                  <c:v>38626</c:v>
                </c:pt>
                <c:pt idx="32">
                  <c:v>38657</c:v>
                </c:pt>
                <c:pt idx="33">
                  <c:v>38687</c:v>
                </c:pt>
                <c:pt idx="34">
                  <c:v>38718</c:v>
                </c:pt>
                <c:pt idx="35">
                  <c:v>38749</c:v>
                </c:pt>
                <c:pt idx="36">
                  <c:v>38777</c:v>
                </c:pt>
                <c:pt idx="37">
                  <c:v>38808</c:v>
                </c:pt>
                <c:pt idx="38">
                  <c:v>38838</c:v>
                </c:pt>
                <c:pt idx="39">
                  <c:v>38869</c:v>
                </c:pt>
                <c:pt idx="40">
                  <c:v>38899</c:v>
                </c:pt>
                <c:pt idx="41">
                  <c:v>38930</c:v>
                </c:pt>
                <c:pt idx="42">
                  <c:v>38961</c:v>
                </c:pt>
                <c:pt idx="43">
                  <c:v>38991</c:v>
                </c:pt>
                <c:pt idx="44">
                  <c:v>39022</c:v>
                </c:pt>
                <c:pt idx="45">
                  <c:v>39052</c:v>
                </c:pt>
                <c:pt idx="46">
                  <c:v>39083</c:v>
                </c:pt>
                <c:pt idx="47">
                  <c:v>39114</c:v>
                </c:pt>
                <c:pt idx="48">
                  <c:v>39142</c:v>
                </c:pt>
                <c:pt idx="49">
                  <c:v>39173</c:v>
                </c:pt>
                <c:pt idx="50">
                  <c:v>39203</c:v>
                </c:pt>
                <c:pt idx="51">
                  <c:v>39234</c:v>
                </c:pt>
                <c:pt idx="52">
                  <c:v>39264</c:v>
                </c:pt>
                <c:pt idx="53">
                  <c:v>39295</c:v>
                </c:pt>
                <c:pt idx="54">
                  <c:v>39326</c:v>
                </c:pt>
                <c:pt idx="55">
                  <c:v>39356</c:v>
                </c:pt>
                <c:pt idx="56">
                  <c:v>39387</c:v>
                </c:pt>
                <c:pt idx="57">
                  <c:v>39417</c:v>
                </c:pt>
                <c:pt idx="58">
                  <c:v>39448</c:v>
                </c:pt>
                <c:pt idx="59">
                  <c:v>39479</c:v>
                </c:pt>
                <c:pt idx="60">
                  <c:v>39508</c:v>
                </c:pt>
                <c:pt idx="61">
                  <c:v>39539</c:v>
                </c:pt>
                <c:pt idx="62">
                  <c:v>39569</c:v>
                </c:pt>
                <c:pt idx="63">
                  <c:v>39600</c:v>
                </c:pt>
                <c:pt idx="64">
                  <c:v>39630</c:v>
                </c:pt>
                <c:pt idx="65">
                  <c:v>39661</c:v>
                </c:pt>
                <c:pt idx="66">
                  <c:v>39692</c:v>
                </c:pt>
                <c:pt idx="67">
                  <c:v>39722</c:v>
                </c:pt>
                <c:pt idx="68">
                  <c:v>39753</c:v>
                </c:pt>
                <c:pt idx="69">
                  <c:v>39783</c:v>
                </c:pt>
                <c:pt idx="70">
                  <c:v>39814</c:v>
                </c:pt>
                <c:pt idx="71">
                  <c:v>39845</c:v>
                </c:pt>
                <c:pt idx="72">
                  <c:v>39873</c:v>
                </c:pt>
                <c:pt idx="73">
                  <c:v>39904</c:v>
                </c:pt>
                <c:pt idx="74">
                  <c:v>39934</c:v>
                </c:pt>
                <c:pt idx="75">
                  <c:v>39965</c:v>
                </c:pt>
                <c:pt idx="76">
                  <c:v>39995</c:v>
                </c:pt>
                <c:pt idx="77">
                  <c:v>40026</c:v>
                </c:pt>
                <c:pt idx="78">
                  <c:v>40057</c:v>
                </c:pt>
                <c:pt idx="79">
                  <c:v>40087</c:v>
                </c:pt>
                <c:pt idx="80">
                  <c:v>40118</c:v>
                </c:pt>
                <c:pt idx="81">
                  <c:v>40148</c:v>
                </c:pt>
                <c:pt idx="82">
                  <c:v>40179</c:v>
                </c:pt>
                <c:pt idx="83">
                  <c:v>40210</c:v>
                </c:pt>
                <c:pt idx="84">
                  <c:v>40238</c:v>
                </c:pt>
                <c:pt idx="85">
                  <c:v>40269</c:v>
                </c:pt>
                <c:pt idx="86">
                  <c:v>40299</c:v>
                </c:pt>
                <c:pt idx="87">
                  <c:v>40330</c:v>
                </c:pt>
                <c:pt idx="88">
                  <c:v>40360</c:v>
                </c:pt>
                <c:pt idx="89">
                  <c:v>40391</c:v>
                </c:pt>
                <c:pt idx="90">
                  <c:v>40422</c:v>
                </c:pt>
                <c:pt idx="91">
                  <c:v>40452</c:v>
                </c:pt>
                <c:pt idx="92">
                  <c:v>40483</c:v>
                </c:pt>
                <c:pt idx="93">
                  <c:v>40513</c:v>
                </c:pt>
                <c:pt idx="94">
                  <c:v>40544</c:v>
                </c:pt>
                <c:pt idx="95">
                  <c:v>40575</c:v>
                </c:pt>
                <c:pt idx="96">
                  <c:v>40603</c:v>
                </c:pt>
                <c:pt idx="97">
                  <c:v>40634</c:v>
                </c:pt>
                <c:pt idx="98">
                  <c:v>40664</c:v>
                </c:pt>
                <c:pt idx="99">
                  <c:v>40695</c:v>
                </c:pt>
                <c:pt idx="100">
                  <c:v>40725</c:v>
                </c:pt>
                <c:pt idx="101">
                  <c:v>40756</c:v>
                </c:pt>
                <c:pt idx="102">
                  <c:v>40787</c:v>
                </c:pt>
                <c:pt idx="103">
                  <c:v>40817</c:v>
                </c:pt>
                <c:pt idx="104">
                  <c:v>40848</c:v>
                </c:pt>
                <c:pt idx="105">
                  <c:v>40878</c:v>
                </c:pt>
                <c:pt idx="106">
                  <c:v>40909</c:v>
                </c:pt>
                <c:pt idx="107">
                  <c:v>40940</c:v>
                </c:pt>
                <c:pt idx="108">
                  <c:v>40969</c:v>
                </c:pt>
                <c:pt idx="109">
                  <c:v>41000</c:v>
                </c:pt>
                <c:pt idx="110">
                  <c:v>41030</c:v>
                </c:pt>
                <c:pt idx="111">
                  <c:v>41061</c:v>
                </c:pt>
                <c:pt idx="112">
                  <c:v>41091</c:v>
                </c:pt>
                <c:pt idx="113">
                  <c:v>41122</c:v>
                </c:pt>
                <c:pt idx="114">
                  <c:v>41153</c:v>
                </c:pt>
                <c:pt idx="115">
                  <c:v>41183</c:v>
                </c:pt>
                <c:pt idx="116">
                  <c:v>41214</c:v>
                </c:pt>
                <c:pt idx="117">
                  <c:v>41244</c:v>
                </c:pt>
                <c:pt idx="118">
                  <c:v>41275</c:v>
                </c:pt>
                <c:pt idx="119">
                  <c:v>41306</c:v>
                </c:pt>
                <c:pt idx="120">
                  <c:v>41334</c:v>
                </c:pt>
                <c:pt idx="121">
                  <c:v>41365</c:v>
                </c:pt>
                <c:pt idx="122">
                  <c:v>41395</c:v>
                </c:pt>
                <c:pt idx="123">
                  <c:v>41426</c:v>
                </c:pt>
                <c:pt idx="124">
                  <c:v>41456</c:v>
                </c:pt>
                <c:pt idx="125">
                  <c:v>41487</c:v>
                </c:pt>
                <c:pt idx="126">
                  <c:v>41518</c:v>
                </c:pt>
                <c:pt idx="127">
                  <c:v>41548</c:v>
                </c:pt>
                <c:pt idx="128">
                  <c:v>41579</c:v>
                </c:pt>
                <c:pt idx="129">
                  <c:v>41609</c:v>
                </c:pt>
                <c:pt idx="130">
                  <c:v>41640</c:v>
                </c:pt>
                <c:pt idx="131">
                  <c:v>41671</c:v>
                </c:pt>
                <c:pt idx="132">
                  <c:v>41699</c:v>
                </c:pt>
                <c:pt idx="133">
                  <c:v>41730</c:v>
                </c:pt>
                <c:pt idx="134">
                  <c:v>41760</c:v>
                </c:pt>
                <c:pt idx="135">
                  <c:v>41791</c:v>
                </c:pt>
                <c:pt idx="136">
                  <c:v>41821</c:v>
                </c:pt>
                <c:pt idx="137">
                  <c:v>41852</c:v>
                </c:pt>
                <c:pt idx="138">
                  <c:v>41883</c:v>
                </c:pt>
                <c:pt idx="139">
                  <c:v>41913</c:v>
                </c:pt>
                <c:pt idx="140">
                  <c:v>41944</c:v>
                </c:pt>
                <c:pt idx="141">
                  <c:v>41974</c:v>
                </c:pt>
                <c:pt idx="142">
                  <c:v>42005</c:v>
                </c:pt>
                <c:pt idx="143">
                  <c:v>42036</c:v>
                </c:pt>
                <c:pt idx="144">
                  <c:v>42064</c:v>
                </c:pt>
                <c:pt idx="145">
                  <c:v>42095</c:v>
                </c:pt>
                <c:pt idx="146">
                  <c:v>42125</c:v>
                </c:pt>
                <c:pt idx="147">
                  <c:v>42156</c:v>
                </c:pt>
                <c:pt idx="148">
                  <c:v>42186</c:v>
                </c:pt>
                <c:pt idx="149">
                  <c:v>42217</c:v>
                </c:pt>
                <c:pt idx="150">
                  <c:v>42248</c:v>
                </c:pt>
                <c:pt idx="151">
                  <c:v>42278</c:v>
                </c:pt>
                <c:pt idx="152">
                  <c:v>42309</c:v>
                </c:pt>
                <c:pt idx="153">
                  <c:v>42339</c:v>
                </c:pt>
                <c:pt idx="154">
                  <c:v>42370</c:v>
                </c:pt>
                <c:pt idx="155">
                  <c:v>42401</c:v>
                </c:pt>
                <c:pt idx="156">
                  <c:v>42430</c:v>
                </c:pt>
                <c:pt idx="157">
                  <c:v>42461</c:v>
                </c:pt>
                <c:pt idx="158">
                  <c:v>42491</c:v>
                </c:pt>
                <c:pt idx="159">
                  <c:v>42522</c:v>
                </c:pt>
                <c:pt idx="160">
                  <c:v>42552</c:v>
                </c:pt>
                <c:pt idx="161">
                  <c:v>42583</c:v>
                </c:pt>
                <c:pt idx="162">
                  <c:v>42614</c:v>
                </c:pt>
                <c:pt idx="163">
                  <c:v>42644</c:v>
                </c:pt>
                <c:pt idx="164">
                  <c:v>42675</c:v>
                </c:pt>
                <c:pt idx="165">
                  <c:v>42705</c:v>
                </c:pt>
                <c:pt idx="166">
                  <c:v>42736</c:v>
                </c:pt>
                <c:pt idx="167">
                  <c:v>42767</c:v>
                </c:pt>
                <c:pt idx="168">
                  <c:v>42795</c:v>
                </c:pt>
                <c:pt idx="169">
                  <c:v>42826</c:v>
                </c:pt>
                <c:pt idx="170">
                  <c:v>42856</c:v>
                </c:pt>
                <c:pt idx="171">
                  <c:v>42887</c:v>
                </c:pt>
                <c:pt idx="172">
                  <c:v>42917</c:v>
                </c:pt>
                <c:pt idx="173">
                  <c:v>42948</c:v>
                </c:pt>
                <c:pt idx="174">
                  <c:v>42979</c:v>
                </c:pt>
                <c:pt idx="175">
                  <c:v>43009</c:v>
                </c:pt>
                <c:pt idx="176">
                  <c:v>43040</c:v>
                </c:pt>
                <c:pt idx="177">
                  <c:v>43070</c:v>
                </c:pt>
                <c:pt idx="178">
                  <c:v>43101</c:v>
                </c:pt>
                <c:pt idx="179">
                  <c:v>43132</c:v>
                </c:pt>
                <c:pt idx="180">
                  <c:v>43160</c:v>
                </c:pt>
                <c:pt idx="181">
                  <c:v>43191</c:v>
                </c:pt>
                <c:pt idx="182">
                  <c:v>43221</c:v>
                </c:pt>
                <c:pt idx="183">
                  <c:v>43252</c:v>
                </c:pt>
                <c:pt idx="184">
                  <c:v>43282</c:v>
                </c:pt>
                <c:pt idx="185">
                  <c:v>43313</c:v>
                </c:pt>
                <c:pt idx="186">
                  <c:v>43344</c:v>
                </c:pt>
                <c:pt idx="187">
                  <c:v>43374</c:v>
                </c:pt>
                <c:pt idx="188">
                  <c:v>43405</c:v>
                </c:pt>
                <c:pt idx="189">
                  <c:v>43435</c:v>
                </c:pt>
                <c:pt idx="190">
                  <c:v>43466</c:v>
                </c:pt>
                <c:pt idx="191">
                  <c:v>43497</c:v>
                </c:pt>
                <c:pt idx="192">
                  <c:v>43525</c:v>
                </c:pt>
                <c:pt idx="193">
                  <c:v>43556</c:v>
                </c:pt>
                <c:pt idx="194">
                  <c:v>43586</c:v>
                </c:pt>
                <c:pt idx="195">
                  <c:v>43617</c:v>
                </c:pt>
                <c:pt idx="196">
                  <c:v>43647</c:v>
                </c:pt>
                <c:pt idx="197">
                  <c:v>43678</c:v>
                </c:pt>
                <c:pt idx="198">
                  <c:v>43709</c:v>
                </c:pt>
                <c:pt idx="199">
                  <c:v>43739</c:v>
                </c:pt>
                <c:pt idx="200">
                  <c:v>43770</c:v>
                </c:pt>
                <c:pt idx="201">
                  <c:v>43800</c:v>
                </c:pt>
                <c:pt idx="202">
                  <c:v>43831</c:v>
                </c:pt>
                <c:pt idx="203">
                  <c:v>43862</c:v>
                </c:pt>
                <c:pt idx="204">
                  <c:v>43891</c:v>
                </c:pt>
                <c:pt idx="205">
                  <c:v>43922</c:v>
                </c:pt>
                <c:pt idx="206">
                  <c:v>43952</c:v>
                </c:pt>
                <c:pt idx="207">
                  <c:v>43983</c:v>
                </c:pt>
                <c:pt idx="208">
                  <c:v>44013</c:v>
                </c:pt>
                <c:pt idx="209">
                  <c:v>44044</c:v>
                </c:pt>
                <c:pt idx="210">
                  <c:v>44075</c:v>
                </c:pt>
                <c:pt idx="211">
                  <c:v>44105</c:v>
                </c:pt>
                <c:pt idx="212">
                  <c:v>44136</c:v>
                </c:pt>
                <c:pt idx="213">
                  <c:v>44166</c:v>
                </c:pt>
                <c:pt idx="214">
                  <c:v>44197</c:v>
                </c:pt>
                <c:pt idx="215">
                  <c:v>44228</c:v>
                </c:pt>
                <c:pt idx="216">
                  <c:v>44256</c:v>
                </c:pt>
                <c:pt idx="217">
                  <c:v>44287</c:v>
                </c:pt>
                <c:pt idx="218">
                  <c:v>44317</c:v>
                </c:pt>
                <c:pt idx="219">
                  <c:v>44348</c:v>
                </c:pt>
                <c:pt idx="220">
                  <c:v>44378</c:v>
                </c:pt>
                <c:pt idx="221">
                  <c:v>44409</c:v>
                </c:pt>
                <c:pt idx="222">
                  <c:v>44440</c:v>
                </c:pt>
                <c:pt idx="223">
                  <c:v>44470</c:v>
                </c:pt>
                <c:pt idx="224">
                  <c:v>44501</c:v>
                </c:pt>
                <c:pt idx="225">
                  <c:v>44531</c:v>
                </c:pt>
                <c:pt idx="226">
                  <c:v>44562</c:v>
                </c:pt>
                <c:pt idx="227">
                  <c:v>44593</c:v>
                </c:pt>
                <c:pt idx="228">
                  <c:v>44621</c:v>
                </c:pt>
                <c:pt idx="229">
                  <c:v>44652</c:v>
                </c:pt>
                <c:pt idx="230">
                  <c:v>44682</c:v>
                </c:pt>
                <c:pt idx="231">
                  <c:v>44713</c:v>
                </c:pt>
                <c:pt idx="232">
                  <c:v>44743</c:v>
                </c:pt>
                <c:pt idx="233">
                  <c:v>44774</c:v>
                </c:pt>
                <c:pt idx="234">
                  <c:v>44805</c:v>
                </c:pt>
                <c:pt idx="235">
                  <c:v>44835</c:v>
                </c:pt>
                <c:pt idx="236">
                  <c:v>44866</c:v>
                </c:pt>
                <c:pt idx="237">
                  <c:v>44896</c:v>
                </c:pt>
                <c:pt idx="238">
                  <c:v>44927</c:v>
                </c:pt>
                <c:pt idx="239">
                  <c:v>44958</c:v>
                </c:pt>
                <c:pt idx="240">
                  <c:v>44986</c:v>
                </c:pt>
              </c:numCache>
            </c:numRef>
          </c:cat>
          <c:val>
            <c:numRef>
              <c:f>Chart!$H$3:$H$243</c:f>
              <c:numCache>
                <c:formatCode>0.0</c:formatCode>
                <c:ptCount val="241"/>
                <c:pt idx="0">
                  <c:v>2.4903687491425646</c:v>
                </c:pt>
                <c:pt idx="1">
                  <c:v>2.6134270334121004</c:v>
                </c:pt>
                <c:pt idx="2">
                  <c:v>2.6313358516689962</c:v>
                </c:pt>
                <c:pt idx="3">
                  <c:v>2.0850568696693914</c:v>
                </c:pt>
                <c:pt idx="4">
                  <c:v>1.9211857440344382</c:v>
                </c:pt>
                <c:pt idx="5">
                  <c:v>1.9080599406959542</c:v>
                </c:pt>
                <c:pt idx="6">
                  <c:v>1.9800058033783641</c:v>
                </c:pt>
                <c:pt idx="7">
                  <c:v>2.1371741141036216</c:v>
                </c:pt>
                <c:pt idx="8">
                  <c:v>1.5553586996335649</c:v>
                </c:pt>
                <c:pt idx="9">
                  <c:v>1.4200774325872099</c:v>
                </c:pt>
                <c:pt idx="10">
                  <c:v>0.86709986674496053</c:v>
                </c:pt>
                <c:pt idx="11">
                  <c:v>0.63200956881839054</c:v>
                </c:pt>
                <c:pt idx="12">
                  <c:v>1.4861004359567864</c:v>
                </c:pt>
                <c:pt idx="13">
                  <c:v>1.6120284216102343</c:v>
                </c:pt>
                <c:pt idx="14">
                  <c:v>1.5906264546252591</c:v>
                </c:pt>
                <c:pt idx="15">
                  <c:v>1.8979794597447728</c:v>
                </c:pt>
                <c:pt idx="16">
                  <c:v>2.0841985443177644</c:v>
                </c:pt>
                <c:pt idx="17">
                  <c:v>1.4334822600237893</c:v>
                </c:pt>
                <c:pt idx="18">
                  <c:v>1.945517658718765</c:v>
                </c:pt>
                <c:pt idx="19">
                  <c:v>2.2638089728189801</c:v>
                </c:pt>
                <c:pt idx="20">
                  <c:v>2.7001125320291957</c:v>
                </c:pt>
                <c:pt idx="21">
                  <c:v>2.456934575894457</c:v>
                </c:pt>
                <c:pt idx="22">
                  <c:v>2.9963129281335519</c:v>
                </c:pt>
                <c:pt idx="23">
                  <c:v>3.2700844761994095</c:v>
                </c:pt>
                <c:pt idx="24">
                  <c:v>3.340392735620608</c:v>
                </c:pt>
                <c:pt idx="25">
                  <c:v>3.6426943747651075</c:v>
                </c:pt>
                <c:pt idx="26">
                  <c:v>3.3013040819108781</c:v>
                </c:pt>
                <c:pt idx="27">
                  <c:v>3.7363970343363104</c:v>
                </c:pt>
                <c:pt idx="28">
                  <c:v>3.7978634089041576</c:v>
                </c:pt>
                <c:pt idx="29">
                  <c:v>4.2911283138802947</c:v>
                </c:pt>
                <c:pt idx="30">
                  <c:v>3.5121627458358269</c:v>
                </c:pt>
                <c:pt idx="31">
                  <c:v>2.9775483467833039</c:v>
                </c:pt>
                <c:pt idx="32">
                  <c:v>2.6813163579554344</c:v>
                </c:pt>
                <c:pt idx="33">
                  <c:v>2.7329575769154038</c:v>
                </c:pt>
                <c:pt idx="34">
                  <c:v>2.1789759318163666</c:v>
                </c:pt>
                <c:pt idx="35">
                  <c:v>2.2273957642902911</c:v>
                </c:pt>
                <c:pt idx="36">
                  <c:v>2.2199696280832661</c:v>
                </c:pt>
                <c:pt idx="37">
                  <c:v>1.8910343093382489</c:v>
                </c:pt>
                <c:pt idx="38">
                  <c:v>2.3394514948018816</c:v>
                </c:pt>
                <c:pt idx="39">
                  <c:v>2.2644663442347523</c:v>
                </c:pt>
                <c:pt idx="40">
                  <c:v>2.6324108378065678</c:v>
                </c:pt>
                <c:pt idx="41">
                  <c:v>2.3621513429169032</c:v>
                </c:pt>
                <c:pt idx="42">
                  <c:v>2.9728339199157929</c:v>
                </c:pt>
                <c:pt idx="43">
                  <c:v>2.6458944666941884</c:v>
                </c:pt>
                <c:pt idx="44">
                  <c:v>2.882301939955016</c:v>
                </c:pt>
                <c:pt idx="45">
                  <c:v>3.2628485986233295</c:v>
                </c:pt>
                <c:pt idx="46">
                  <c:v>3.226108186535348</c:v>
                </c:pt>
                <c:pt idx="47">
                  <c:v>3.1518739658402364</c:v>
                </c:pt>
                <c:pt idx="48">
                  <c:v>3.0162531176543208</c:v>
                </c:pt>
                <c:pt idx="49">
                  <c:v>3.2327097499629991</c:v>
                </c:pt>
                <c:pt idx="50">
                  <c:v>3.3020301341419129</c:v>
                </c:pt>
                <c:pt idx="51">
                  <c:v>3.1164350944308259</c:v>
                </c:pt>
                <c:pt idx="52">
                  <c:v>2.8115697877274535</c:v>
                </c:pt>
                <c:pt idx="53">
                  <c:v>2.9992822183403804</c:v>
                </c:pt>
                <c:pt idx="54">
                  <c:v>2.8421554677725185</c:v>
                </c:pt>
                <c:pt idx="55">
                  <c:v>3.0251084702764786</c:v>
                </c:pt>
                <c:pt idx="56">
                  <c:v>3.2440181982190093</c:v>
                </c:pt>
                <c:pt idx="57">
                  <c:v>2.9161177375112168</c:v>
                </c:pt>
                <c:pt idx="58">
                  <c:v>3.244681558136322</c:v>
                </c:pt>
                <c:pt idx="59">
                  <c:v>3.3068839698440886</c:v>
                </c:pt>
                <c:pt idx="60">
                  <c:v>3.220171955887245</c:v>
                </c:pt>
                <c:pt idx="61">
                  <c:v>3.3019103226753734</c:v>
                </c:pt>
                <c:pt idx="62">
                  <c:v>2.6771046036613071</c:v>
                </c:pt>
                <c:pt idx="63">
                  <c:v>2.9652804790202736</c:v>
                </c:pt>
                <c:pt idx="64">
                  <c:v>2.914607778246975</c:v>
                </c:pt>
                <c:pt idx="65">
                  <c:v>2.9490194440669644</c:v>
                </c:pt>
                <c:pt idx="66">
                  <c:v>2.5129080481406412</c:v>
                </c:pt>
                <c:pt idx="67">
                  <c:v>2.6978951101253434</c:v>
                </c:pt>
                <c:pt idx="68">
                  <c:v>2.0780799095770917</c:v>
                </c:pt>
                <c:pt idx="69">
                  <c:v>1.9541289275636888</c:v>
                </c:pt>
                <c:pt idx="70">
                  <c:v>1.6929651504298402</c:v>
                </c:pt>
                <c:pt idx="71">
                  <c:v>1.4596807506165943</c:v>
                </c:pt>
                <c:pt idx="72">
                  <c:v>0.94487239242892362</c:v>
                </c:pt>
                <c:pt idx="73">
                  <c:v>0.80171117487393173</c:v>
                </c:pt>
                <c:pt idx="74">
                  <c:v>0.86656588397618106</c:v>
                </c:pt>
                <c:pt idx="75">
                  <c:v>0.20273609902435491</c:v>
                </c:pt>
                <c:pt idx="76">
                  <c:v>0.4466177196783187</c:v>
                </c:pt>
                <c:pt idx="77">
                  <c:v>-3.5497193613784277E-2</c:v>
                </c:pt>
                <c:pt idx="78">
                  <c:v>0.30121612969793937</c:v>
                </c:pt>
                <c:pt idx="79">
                  <c:v>0.30895894381935307</c:v>
                </c:pt>
                <c:pt idx="80">
                  <c:v>0.64675986504160965</c:v>
                </c:pt>
                <c:pt idx="81">
                  <c:v>0.9093908362313039</c:v>
                </c:pt>
                <c:pt idx="82">
                  <c:v>1.3476731920487623</c:v>
                </c:pt>
                <c:pt idx="83">
                  <c:v>1.0693424624711945</c:v>
                </c:pt>
                <c:pt idx="84">
                  <c:v>1.438220511675131</c:v>
                </c:pt>
                <c:pt idx="85">
                  <c:v>1.3245622305377676</c:v>
                </c:pt>
                <c:pt idx="86">
                  <c:v>1.542710167750956</c:v>
                </c:pt>
                <c:pt idx="87">
                  <c:v>2.2100284458420707</c:v>
                </c:pt>
                <c:pt idx="88">
                  <c:v>2.0355315017863784</c:v>
                </c:pt>
                <c:pt idx="89">
                  <c:v>2.5173670675335309</c:v>
                </c:pt>
                <c:pt idx="90">
                  <c:v>2.5669397912955376</c:v>
                </c:pt>
                <c:pt idx="91">
                  <c:v>2.6266067980336936</c:v>
                </c:pt>
                <c:pt idx="92">
                  <c:v>2.8786352063406282</c:v>
                </c:pt>
                <c:pt idx="93">
                  <c:v>2.5884534657194549</c:v>
                </c:pt>
                <c:pt idx="94">
                  <c:v>2.4107149888077122</c:v>
                </c:pt>
                <c:pt idx="95">
                  <c:v>2.3380196891271776</c:v>
                </c:pt>
                <c:pt idx="96">
                  <c:v>2.6492443609008198</c:v>
                </c:pt>
                <c:pt idx="97">
                  <c:v>2.2368281198357485</c:v>
                </c:pt>
                <c:pt idx="98">
                  <c:v>2.1390425250816056</c:v>
                </c:pt>
                <c:pt idx="99">
                  <c:v>1.9388082355249217</c:v>
                </c:pt>
                <c:pt idx="100">
                  <c:v>1.7311671919621228</c:v>
                </c:pt>
                <c:pt idx="101">
                  <c:v>1.4277143294780481</c:v>
                </c:pt>
                <c:pt idx="102">
                  <c:v>1.4346923482719824</c:v>
                </c:pt>
                <c:pt idx="103">
                  <c:v>1.3057387677353984</c:v>
                </c:pt>
                <c:pt idx="104">
                  <c:v>0.8041154994184313</c:v>
                </c:pt>
                <c:pt idx="105">
                  <c:v>0.55651585114461888</c:v>
                </c:pt>
                <c:pt idx="106">
                  <c:v>0.94427088733622377</c:v>
                </c:pt>
                <c:pt idx="107">
                  <c:v>0.8513088728541901</c:v>
                </c:pt>
                <c:pt idx="108">
                  <c:v>1.0516857660553367</c:v>
                </c:pt>
                <c:pt idx="109">
                  <c:v>1.2446485768272124</c:v>
                </c:pt>
                <c:pt idx="110">
                  <c:v>1.7142611221551967</c:v>
                </c:pt>
                <c:pt idx="111">
                  <c:v>1.1914927974756195</c:v>
                </c:pt>
                <c:pt idx="112">
                  <c:v>1.2404519673455403</c:v>
                </c:pt>
                <c:pt idx="113">
                  <c:v>1.2665828375752402</c:v>
                </c:pt>
                <c:pt idx="114">
                  <c:v>1.2857227935872371</c:v>
                </c:pt>
                <c:pt idx="115">
                  <c:v>1.2616707542365775</c:v>
                </c:pt>
                <c:pt idx="116">
                  <c:v>1.1789555221409049</c:v>
                </c:pt>
                <c:pt idx="117">
                  <c:v>1.4644956190819423</c:v>
                </c:pt>
                <c:pt idx="118">
                  <c:v>1.4109393353890172</c:v>
                </c:pt>
                <c:pt idx="119">
                  <c:v>1.7389984443390301</c:v>
                </c:pt>
                <c:pt idx="120">
                  <c:v>0.89338042078253421</c:v>
                </c:pt>
                <c:pt idx="121">
                  <c:v>1.2806775231939573</c:v>
                </c:pt>
                <c:pt idx="122">
                  <c:v>0.8257911102676041</c:v>
                </c:pt>
                <c:pt idx="123">
                  <c:v>1.1655631006699287</c:v>
                </c:pt>
                <c:pt idx="124">
                  <c:v>0.95907708339426445</c:v>
                </c:pt>
                <c:pt idx="125">
                  <c:v>0.87347649806467587</c:v>
                </c:pt>
                <c:pt idx="126">
                  <c:v>0.74713153301937507</c:v>
                </c:pt>
                <c:pt idx="127">
                  <c:v>0.70001124799860859</c:v>
                </c:pt>
                <c:pt idx="128">
                  <c:v>0.56355802400648636</c:v>
                </c:pt>
                <c:pt idx="129">
                  <c:v>0.19217152779716873</c:v>
                </c:pt>
                <c:pt idx="130">
                  <c:v>-0.11005282049631718</c:v>
                </c:pt>
                <c:pt idx="131">
                  <c:v>8.763943543843293E-2</c:v>
                </c:pt>
                <c:pt idx="132">
                  <c:v>0.84609722033309809</c:v>
                </c:pt>
                <c:pt idx="133">
                  <c:v>0.61397043716919775</c:v>
                </c:pt>
                <c:pt idx="134">
                  <c:v>0.48401962842192903</c:v>
                </c:pt>
                <c:pt idx="135">
                  <c:v>0.51449460710249773</c:v>
                </c:pt>
                <c:pt idx="136">
                  <c:v>0.77482707806595208</c:v>
                </c:pt>
                <c:pt idx="137">
                  <c:v>0.7794706017894264</c:v>
                </c:pt>
                <c:pt idx="138">
                  <c:v>0.62848071125182625</c:v>
                </c:pt>
                <c:pt idx="139">
                  <c:v>0.63145427208303839</c:v>
                </c:pt>
                <c:pt idx="140">
                  <c:v>0.82280017940815853</c:v>
                </c:pt>
                <c:pt idx="141">
                  <c:v>1.5660084630904785</c:v>
                </c:pt>
                <c:pt idx="142">
                  <c:v>1.3393855251479712</c:v>
                </c:pt>
                <c:pt idx="143">
                  <c:v>1.7034565677549827</c:v>
                </c:pt>
                <c:pt idx="144">
                  <c:v>1.3967850764808478</c:v>
                </c:pt>
                <c:pt idx="145">
                  <c:v>1.3349067160254202</c:v>
                </c:pt>
                <c:pt idx="146">
                  <c:v>1.9163937616942122</c:v>
                </c:pt>
                <c:pt idx="147">
                  <c:v>1.7311367572259639</c:v>
                </c:pt>
                <c:pt idx="148">
                  <c:v>1.8625538433886095</c:v>
                </c:pt>
                <c:pt idx="149">
                  <c:v>1.9264164940424464</c:v>
                </c:pt>
                <c:pt idx="150">
                  <c:v>2.0551527052186889</c:v>
                </c:pt>
                <c:pt idx="151">
                  <c:v>2.763843279233138</c:v>
                </c:pt>
                <c:pt idx="152">
                  <c:v>3.0521093580198877</c:v>
                </c:pt>
                <c:pt idx="153">
                  <c:v>2.6529727055551806</c:v>
                </c:pt>
                <c:pt idx="154">
                  <c:v>2.6058211409498533</c:v>
                </c:pt>
                <c:pt idx="155">
                  <c:v>2.1554459338596486</c:v>
                </c:pt>
                <c:pt idx="156">
                  <c:v>2.1232574657149139</c:v>
                </c:pt>
                <c:pt idx="157">
                  <c:v>2.1886339161017259</c:v>
                </c:pt>
                <c:pt idx="158">
                  <c:v>1.7761139792075011</c:v>
                </c:pt>
                <c:pt idx="159">
                  <c:v>2.0183323373592104</c:v>
                </c:pt>
                <c:pt idx="160">
                  <c:v>1.9973282358069191</c:v>
                </c:pt>
                <c:pt idx="161">
                  <c:v>1.7089481729574263</c:v>
                </c:pt>
                <c:pt idx="162">
                  <c:v>1.4430377449390319</c:v>
                </c:pt>
                <c:pt idx="163">
                  <c:v>1.0609853007302736</c:v>
                </c:pt>
                <c:pt idx="164">
                  <c:v>0.97953859813031829</c:v>
                </c:pt>
                <c:pt idx="165">
                  <c:v>1.0801370824006367</c:v>
                </c:pt>
                <c:pt idx="166">
                  <c:v>1.2128155378848369</c:v>
                </c:pt>
                <c:pt idx="167">
                  <c:v>1.0786617389665951</c:v>
                </c:pt>
                <c:pt idx="168">
                  <c:v>1.4671622290809083</c:v>
                </c:pt>
                <c:pt idx="169">
                  <c:v>1.8596001203727075</c:v>
                </c:pt>
                <c:pt idx="170">
                  <c:v>2.0793040820877424</c:v>
                </c:pt>
                <c:pt idx="171">
                  <c:v>2.1960553511656502</c:v>
                </c:pt>
                <c:pt idx="172">
                  <c:v>2.1633385886791849</c:v>
                </c:pt>
                <c:pt idx="173">
                  <c:v>2.8301395605711011</c:v>
                </c:pt>
                <c:pt idx="174">
                  <c:v>3.2625273004928532</c:v>
                </c:pt>
                <c:pt idx="175">
                  <c:v>3.0658386620678821</c:v>
                </c:pt>
                <c:pt idx="176">
                  <c:v>3.292468983717725</c:v>
                </c:pt>
                <c:pt idx="177">
                  <c:v>3.4242619634445881</c:v>
                </c:pt>
                <c:pt idx="178">
                  <c:v>3.5696866216497218</c:v>
                </c:pt>
                <c:pt idx="179">
                  <c:v>3.4792906489906574</c:v>
                </c:pt>
                <c:pt idx="180">
                  <c:v>3.0484194116737253</c:v>
                </c:pt>
                <c:pt idx="181">
                  <c:v>2.7571902613159978</c:v>
                </c:pt>
                <c:pt idx="182">
                  <c:v>2.5090275643269102</c:v>
                </c:pt>
                <c:pt idx="183">
                  <c:v>2.8347819035395627</c:v>
                </c:pt>
                <c:pt idx="184">
                  <c:v>2.5274172444888854</c:v>
                </c:pt>
                <c:pt idx="185">
                  <c:v>2.4454504751303028</c:v>
                </c:pt>
                <c:pt idx="186">
                  <c:v>2.3041096299981523</c:v>
                </c:pt>
                <c:pt idx="187">
                  <c:v>2.4713304805619729</c:v>
                </c:pt>
                <c:pt idx="188">
                  <c:v>2.2887422589212014</c:v>
                </c:pt>
                <c:pt idx="189">
                  <c:v>2.1331399486697982</c:v>
                </c:pt>
                <c:pt idx="190">
                  <c:v>2.0910570662871484</c:v>
                </c:pt>
                <c:pt idx="191">
                  <c:v>2.1286816904334827</c:v>
                </c:pt>
                <c:pt idx="192">
                  <c:v>2.2669644348203741</c:v>
                </c:pt>
                <c:pt idx="193">
                  <c:v>2.4469496524649887</c:v>
                </c:pt>
                <c:pt idx="194">
                  <c:v>2.7097689546026085</c:v>
                </c:pt>
                <c:pt idx="195">
                  <c:v>2.2128341793701831</c:v>
                </c:pt>
                <c:pt idx="196">
                  <c:v>2.4378247224329264</c:v>
                </c:pt>
                <c:pt idx="197">
                  <c:v>2.4375323899575383</c:v>
                </c:pt>
                <c:pt idx="198">
                  <c:v>2.4810964916206015</c:v>
                </c:pt>
                <c:pt idx="199">
                  <c:v>1.9683831864930446</c:v>
                </c:pt>
                <c:pt idx="200">
                  <c:v>1.9697566338123844</c:v>
                </c:pt>
                <c:pt idx="201">
                  <c:v>2.017288668348348</c:v>
                </c:pt>
                <c:pt idx="202">
                  <c:v>1.8845811903713265</c:v>
                </c:pt>
                <c:pt idx="203">
                  <c:v>1.9833929842913847</c:v>
                </c:pt>
                <c:pt idx="204">
                  <c:v>1.6703325572609469</c:v>
                </c:pt>
                <c:pt idx="205">
                  <c:v>-3.2198414511453382</c:v>
                </c:pt>
                <c:pt idx="206">
                  <c:v>-5.6348230861535171</c:v>
                </c:pt>
                <c:pt idx="207">
                  <c:v>-3.9066140704479757</c:v>
                </c:pt>
                <c:pt idx="208">
                  <c:v>-3.2494525139495281</c:v>
                </c:pt>
                <c:pt idx="209">
                  <c:v>-2.4016842729975503</c:v>
                </c:pt>
                <c:pt idx="210">
                  <c:v>-2.8385287472810345</c:v>
                </c:pt>
                <c:pt idx="211">
                  <c:v>-1.3392903330743822</c:v>
                </c:pt>
                <c:pt idx="212">
                  <c:v>-0.96756708241485556</c:v>
                </c:pt>
                <c:pt idx="213">
                  <c:v>-0.82452559985665663</c:v>
                </c:pt>
                <c:pt idx="214">
                  <c:v>-0.71943448350651085</c:v>
                </c:pt>
                <c:pt idx="215">
                  <c:v>-0.20274686554568661</c:v>
                </c:pt>
                <c:pt idx="216">
                  <c:v>0.34312664662702541</c:v>
                </c:pt>
                <c:pt idx="217">
                  <c:v>4.9462827515334071</c:v>
                </c:pt>
                <c:pt idx="218">
                  <c:v>8.1687844336153113</c:v>
                </c:pt>
                <c:pt idx="219">
                  <c:v>6.3208463364070724</c:v>
                </c:pt>
                <c:pt idx="220">
                  <c:v>5.4365748135982903</c:v>
                </c:pt>
                <c:pt idx="221">
                  <c:v>3.1071883652044483</c:v>
                </c:pt>
                <c:pt idx="222">
                  <c:v>2.3825828311150876</c:v>
                </c:pt>
                <c:pt idx="223">
                  <c:v>0.77497304330682637</c:v>
                </c:pt>
                <c:pt idx="224">
                  <c:v>3.0640795933666265</c:v>
                </c:pt>
                <c:pt idx="225">
                  <c:v>3.3874089145329735</c:v>
                </c:pt>
                <c:pt idx="226">
                  <c:v>3.4568029171487291</c:v>
                </c:pt>
                <c:pt idx="227">
                  <c:v>3.5953853510703064</c:v>
                </c:pt>
                <c:pt idx="228">
                  <c:v>3.2363196169530624</c:v>
                </c:pt>
                <c:pt idx="229">
                  <c:v>3.6574364309306371</c:v>
                </c:pt>
                <c:pt idx="230">
                  <c:v>3.3892793848297109</c:v>
                </c:pt>
                <c:pt idx="231">
                  <c:v>3.8423236879693268</c:v>
                </c:pt>
                <c:pt idx="232">
                  <c:v>3.729678275017684</c:v>
                </c:pt>
                <c:pt idx="233">
                  <c:v>5.1729660931859671</c:v>
                </c:pt>
                <c:pt idx="234">
                  <c:v>6.3069093120642457</c:v>
                </c:pt>
                <c:pt idx="235">
                  <c:v>6.9728963686046157</c:v>
                </c:pt>
                <c:pt idx="236">
                  <c:v>4.406121442860063</c:v>
                </c:pt>
                <c:pt idx="237">
                  <c:v>3.6358788844158871</c:v>
                </c:pt>
                <c:pt idx="238">
                  <c:v>3.2293505069575859</c:v>
                </c:pt>
                <c:pt idx="239">
                  <c:v>2.9973810406707204</c:v>
                </c:pt>
                <c:pt idx="240">
                  <c:v>3.2549894049826937</c:v>
                </c:pt>
              </c:numCache>
            </c:numRef>
          </c:val>
          <c:extLst>
            <c:ext xmlns:c16="http://schemas.microsoft.com/office/drawing/2014/chart" uri="{C3380CC4-5D6E-409C-BE32-E72D297353CC}">
              <c16:uniqueId val="{00000000-95DF-44A7-BF0B-E2DD308F48D6}"/>
            </c:ext>
          </c:extLst>
        </c:ser>
        <c:dLbls>
          <c:showLegendKey val="0"/>
          <c:showVal val="0"/>
          <c:showCatName val="0"/>
          <c:showSerName val="0"/>
          <c:showPercent val="0"/>
          <c:showBubbleSize val="0"/>
        </c:dLbls>
        <c:gapWidth val="150"/>
        <c:axId val="1726388784"/>
        <c:axId val="1726375888"/>
      </c:barChart>
      <c:lineChart>
        <c:grouping val="standard"/>
        <c:varyColors val="0"/>
        <c:ser>
          <c:idx val="0"/>
          <c:order val="0"/>
          <c:tx>
            <c:strRef>
              <c:f>Chart!$F$1</c:f>
              <c:strCache>
                <c:ptCount val="1"/>
                <c:pt idx="0">
                  <c:v>LTU ('000) (LHS)</c:v>
                </c:pt>
              </c:strCache>
            </c:strRef>
          </c:tx>
          <c:spPr>
            <a:ln w="28575" cap="rnd">
              <a:solidFill>
                <a:schemeClr val="accent1"/>
              </a:solidFill>
              <a:round/>
            </a:ln>
            <a:effectLst/>
          </c:spPr>
          <c:marker>
            <c:symbol val="none"/>
          </c:marker>
          <c:cat>
            <c:numRef>
              <c:f>Chart!$E$3:$E$243</c:f>
              <c:numCache>
                <c:formatCode>mmm\-yyyy</c:formatCode>
                <c:ptCount val="241"/>
                <c:pt idx="0">
                  <c:v>37681</c:v>
                </c:pt>
                <c:pt idx="1">
                  <c:v>37712</c:v>
                </c:pt>
                <c:pt idx="2">
                  <c:v>37742</c:v>
                </c:pt>
                <c:pt idx="3">
                  <c:v>37773</c:v>
                </c:pt>
                <c:pt idx="4">
                  <c:v>37803</c:v>
                </c:pt>
                <c:pt idx="5">
                  <c:v>37834</c:v>
                </c:pt>
                <c:pt idx="6">
                  <c:v>37865</c:v>
                </c:pt>
                <c:pt idx="7">
                  <c:v>37895</c:v>
                </c:pt>
                <c:pt idx="8">
                  <c:v>37926</c:v>
                </c:pt>
                <c:pt idx="9">
                  <c:v>37956</c:v>
                </c:pt>
                <c:pt idx="10">
                  <c:v>37987</c:v>
                </c:pt>
                <c:pt idx="11">
                  <c:v>38018</c:v>
                </c:pt>
                <c:pt idx="12">
                  <c:v>38047</c:v>
                </c:pt>
                <c:pt idx="13">
                  <c:v>38078</c:v>
                </c:pt>
                <c:pt idx="14">
                  <c:v>38108</c:v>
                </c:pt>
                <c:pt idx="15">
                  <c:v>38139</c:v>
                </c:pt>
                <c:pt idx="16">
                  <c:v>38169</c:v>
                </c:pt>
                <c:pt idx="17">
                  <c:v>38200</c:v>
                </c:pt>
                <c:pt idx="18">
                  <c:v>38231</c:v>
                </c:pt>
                <c:pt idx="19">
                  <c:v>38261</c:v>
                </c:pt>
                <c:pt idx="20">
                  <c:v>38292</c:v>
                </c:pt>
                <c:pt idx="21">
                  <c:v>38322</c:v>
                </c:pt>
                <c:pt idx="22">
                  <c:v>38353</c:v>
                </c:pt>
                <c:pt idx="23">
                  <c:v>38384</c:v>
                </c:pt>
                <c:pt idx="24">
                  <c:v>38412</c:v>
                </c:pt>
                <c:pt idx="25">
                  <c:v>38443</c:v>
                </c:pt>
                <c:pt idx="26">
                  <c:v>38473</c:v>
                </c:pt>
                <c:pt idx="27">
                  <c:v>38504</c:v>
                </c:pt>
                <c:pt idx="28">
                  <c:v>38534</c:v>
                </c:pt>
                <c:pt idx="29">
                  <c:v>38565</c:v>
                </c:pt>
                <c:pt idx="30">
                  <c:v>38596</c:v>
                </c:pt>
                <c:pt idx="31">
                  <c:v>38626</c:v>
                </c:pt>
                <c:pt idx="32">
                  <c:v>38657</c:v>
                </c:pt>
                <c:pt idx="33">
                  <c:v>38687</c:v>
                </c:pt>
                <c:pt idx="34">
                  <c:v>38718</c:v>
                </c:pt>
                <c:pt idx="35">
                  <c:v>38749</c:v>
                </c:pt>
                <c:pt idx="36">
                  <c:v>38777</c:v>
                </c:pt>
                <c:pt idx="37">
                  <c:v>38808</c:v>
                </c:pt>
                <c:pt idx="38">
                  <c:v>38838</c:v>
                </c:pt>
                <c:pt idx="39">
                  <c:v>38869</c:v>
                </c:pt>
                <c:pt idx="40">
                  <c:v>38899</c:v>
                </c:pt>
                <c:pt idx="41">
                  <c:v>38930</c:v>
                </c:pt>
                <c:pt idx="42">
                  <c:v>38961</c:v>
                </c:pt>
                <c:pt idx="43">
                  <c:v>38991</c:v>
                </c:pt>
                <c:pt idx="44">
                  <c:v>39022</c:v>
                </c:pt>
                <c:pt idx="45">
                  <c:v>39052</c:v>
                </c:pt>
                <c:pt idx="46">
                  <c:v>39083</c:v>
                </c:pt>
                <c:pt idx="47">
                  <c:v>39114</c:v>
                </c:pt>
                <c:pt idx="48">
                  <c:v>39142</c:v>
                </c:pt>
                <c:pt idx="49">
                  <c:v>39173</c:v>
                </c:pt>
                <c:pt idx="50">
                  <c:v>39203</c:v>
                </c:pt>
                <c:pt idx="51">
                  <c:v>39234</c:v>
                </c:pt>
                <c:pt idx="52">
                  <c:v>39264</c:v>
                </c:pt>
                <c:pt idx="53">
                  <c:v>39295</c:v>
                </c:pt>
                <c:pt idx="54">
                  <c:v>39326</c:v>
                </c:pt>
                <c:pt idx="55">
                  <c:v>39356</c:v>
                </c:pt>
                <c:pt idx="56">
                  <c:v>39387</c:v>
                </c:pt>
                <c:pt idx="57">
                  <c:v>39417</c:v>
                </c:pt>
                <c:pt idx="58">
                  <c:v>39448</c:v>
                </c:pt>
                <c:pt idx="59">
                  <c:v>39479</c:v>
                </c:pt>
                <c:pt idx="60">
                  <c:v>39508</c:v>
                </c:pt>
                <c:pt idx="61">
                  <c:v>39539</c:v>
                </c:pt>
                <c:pt idx="62">
                  <c:v>39569</c:v>
                </c:pt>
                <c:pt idx="63">
                  <c:v>39600</c:v>
                </c:pt>
                <c:pt idx="64">
                  <c:v>39630</c:v>
                </c:pt>
                <c:pt idx="65">
                  <c:v>39661</c:v>
                </c:pt>
                <c:pt idx="66">
                  <c:v>39692</c:v>
                </c:pt>
                <c:pt idx="67">
                  <c:v>39722</c:v>
                </c:pt>
                <c:pt idx="68">
                  <c:v>39753</c:v>
                </c:pt>
                <c:pt idx="69">
                  <c:v>39783</c:v>
                </c:pt>
                <c:pt idx="70">
                  <c:v>39814</c:v>
                </c:pt>
                <c:pt idx="71">
                  <c:v>39845</c:v>
                </c:pt>
                <c:pt idx="72">
                  <c:v>39873</c:v>
                </c:pt>
                <c:pt idx="73">
                  <c:v>39904</c:v>
                </c:pt>
                <c:pt idx="74">
                  <c:v>39934</c:v>
                </c:pt>
                <c:pt idx="75">
                  <c:v>39965</c:v>
                </c:pt>
                <c:pt idx="76">
                  <c:v>39995</c:v>
                </c:pt>
                <c:pt idx="77">
                  <c:v>40026</c:v>
                </c:pt>
                <c:pt idx="78">
                  <c:v>40057</c:v>
                </c:pt>
                <c:pt idx="79">
                  <c:v>40087</c:v>
                </c:pt>
                <c:pt idx="80">
                  <c:v>40118</c:v>
                </c:pt>
                <c:pt idx="81">
                  <c:v>40148</c:v>
                </c:pt>
                <c:pt idx="82">
                  <c:v>40179</c:v>
                </c:pt>
                <c:pt idx="83">
                  <c:v>40210</c:v>
                </c:pt>
                <c:pt idx="84">
                  <c:v>40238</c:v>
                </c:pt>
                <c:pt idx="85">
                  <c:v>40269</c:v>
                </c:pt>
                <c:pt idx="86">
                  <c:v>40299</c:v>
                </c:pt>
                <c:pt idx="87">
                  <c:v>40330</c:v>
                </c:pt>
                <c:pt idx="88">
                  <c:v>40360</c:v>
                </c:pt>
                <c:pt idx="89">
                  <c:v>40391</c:v>
                </c:pt>
                <c:pt idx="90">
                  <c:v>40422</c:v>
                </c:pt>
                <c:pt idx="91">
                  <c:v>40452</c:v>
                </c:pt>
                <c:pt idx="92">
                  <c:v>40483</c:v>
                </c:pt>
                <c:pt idx="93">
                  <c:v>40513</c:v>
                </c:pt>
                <c:pt idx="94">
                  <c:v>40544</c:v>
                </c:pt>
                <c:pt idx="95">
                  <c:v>40575</c:v>
                </c:pt>
                <c:pt idx="96">
                  <c:v>40603</c:v>
                </c:pt>
                <c:pt idx="97">
                  <c:v>40634</c:v>
                </c:pt>
                <c:pt idx="98">
                  <c:v>40664</c:v>
                </c:pt>
                <c:pt idx="99">
                  <c:v>40695</c:v>
                </c:pt>
                <c:pt idx="100">
                  <c:v>40725</c:v>
                </c:pt>
                <c:pt idx="101">
                  <c:v>40756</c:v>
                </c:pt>
                <c:pt idx="102">
                  <c:v>40787</c:v>
                </c:pt>
                <c:pt idx="103">
                  <c:v>40817</c:v>
                </c:pt>
                <c:pt idx="104">
                  <c:v>40848</c:v>
                </c:pt>
                <c:pt idx="105">
                  <c:v>40878</c:v>
                </c:pt>
                <c:pt idx="106">
                  <c:v>40909</c:v>
                </c:pt>
                <c:pt idx="107">
                  <c:v>40940</c:v>
                </c:pt>
                <c:pt idx="108">
                  <c:v>40969</c:v>
                </c:pt>
                <c:pt idx="109">
                  <c:v>41000</c:v>
                </c:pt>
                <c:pt idx="110">
                  <c:v>41030</c:v>
                </c:pt>
                <c:pt idx="111">
                  <c:v>41061</c:v>
                </c:pt>
                <c:pt idx="112">
                  <c:v>41091</c:v>
                </c:pt>
                <c:pt idx="113">
                  <c:v>41122</c:v>
                </c:pt>
                <c:pt idx="114">
                  <c:v>41153</c:v>
                </c:pt>
                <c:pt idx="115">
                  <c:v>41183</c:v>
                </c:pt>
                <c:pt idx="116">
                  <c:v>41214</c:v>
                </c:pt>
                <c:pt idx="117">
                  <c:v>41244</c:v>
                </c:pt>
                <c:pt idx="118">
                  <c:v>41275</c:v>
                </c:pt>
                <c:pt idx="119">
                  <c:v>41306</c:v>
                </c:pt>
                <c:pt idx="120">
                  <c:v>41334</c:v>
                </c:pt>
                <c:pt idx="121">
                  <c:v>41365</c:v>
                </c:pt>
                <c:pt idx="122">
                  <c:v>41395</c:v>
                </c:pt>
                <c:pt idx="123">
                  <c:v>41426</c:v>
                </c:pt>
                <c:pt idx="124">
                  <c:v>41456</c:v>
                </c:pt>
                <c:pt idx="125">
                  <c:v>41487</c:v>
                </c:pt>
                <c:pt idx="126">
                  <c:v>41518</c:v>
                </c:pt>
                <c:pt idx="127">
                  <c:v>41548</c:v>
                </c:pt>
                <c:pt idx="128">
                  <c:v>41579</c:v>
                </c:pt>
                <c:pt idx="129">
                  <c:v>41609</c:v>
                </c:pt>
                <c:pt idx="130">
                  <c:v>41640</c:v>
                </c:pt>
                <c:pt idx="131">
                  <c:v>41671</c:v>
                </c:pt>
                <c:pt idx="132">
                  <c:v>41699</c:v>
                </c:pt>
                <c:pt idx="133">
                  <c:v>41730</c:v>
                </c:pt>
                <c:pt idx="134">
                  <c:v>41760</c:v>
                </c:pt>
                <c:pt idx="135">
                  <c:v>41791</c:v>
                </c:pt>
                <c:pt idx="136">
                  <c:v>41821</c:v>
                </c:pt>
                <c:pt idx="137">
                  <c:v>41852</c:v>
                </c:pt>
                <c:pt idx="138">
                  <c:v>41883</c:v>
                </c:pt>
                <c:pt idx="139">
                  <c:v>41913</c:v>
                </c:pt>
                <c:pt idx="140">
                  <c:v>41944</c:v>
                </c:pt>
                <c:pt idx="141">
                  <c:v>41974</c:v>
                </c:pt>
                <c:pt idx="142">
                  <c:v>42005</c:v>
                </c:pt>
                <c:pt idx="143">
                  <c:v>42036</c:v>
                </c:pt>
                <c:pt idx="144">
                  <c:v>42064</c:v>
                </c:pt>
                <c:pt idx="145">
                  <c:v>42095</c:v>
                </c:pt>
                <c:pt idx="146">
                  <c:v>42125</c:v>
                </c:pt>
                <c:pt idx="147">
                  <c:v>42156</c:v>
                </c:pt>
                <c:pt idx="148">
                  <c:v>42186</c:v>
                </c:pt>
                <c:pt idx="149">
                  <c:v>42217</c:v>
                </c:pt>
                <c:pt idx="150">
                  <c:v>42248</c:v>
                </c:pt>
                <c:pt idx="151">
                  <c:v>42278</c:v>
                </c:pt>
                <c:pt idx="152">
                  <c:v>42309</c:v>
                </c:pt>
                <c:pt idx="153">
                  <c:v>42339</c:v>
                </c:pt>
                <c:pt idx="154">
                  <c:v>42370</c:v>
                </c:pt>
                <c:pt idx="155">
                  <c:v>42401</c:v>
                </c:pt>
                <c:pt idx="156">
                  <c:v>42430</c:v>
                </c:pt>
                <c:pt idx="157">
                  <c:v>42461</c:v>
                </c:pt>
                <c:pt idx="158">
                  <c:v>42491</c:v>
                </c:pt>
                <c:pt idx="159">
                  <c:v>42522</c:v>
                </c:pt>
                <c:pt idx="160">
                  <c:v>42552</c:v>
                </c:pt>
                <c:pt idx="161">
                  <c:v>42583</c:v>
                </c:pt>
                <c:pt idx="162">
                  <c:v>42614</c:v>
                </c:pt>
                <c:pt idx="163">
                  <c:v>42644</c:v>
                </c:pt>
                <c:pt idx="164">
                  <c:v>42675</c:v>
                </c:pt>
                <c:pt idx="165">
                  <c:v>42705</c:v>
                </c:pt>
                <c:pt idx="166">
                  <c:v>42736</c:v>
                </c:pt>
                <c:pt idx="167">
                  <c:v>42767</c:v>
                </c:pt>
                <c:pt idx="168">
                  <c:v>42795</c:v>
                </c:pt>
                <c:pt idx="169">
                  <c:v>42826</c:v>
                </c:pt>
                <c:pt idx="170">
                  <c:v>42856</c:v>
                </c:pt>
                <c:pt idx="171">
                  <c:v>42887</c:v>
                </c:pt>
                <c:pt idx="172">
                  <c:v>42917</c:v>
                </c:pt>
                <c:pt idx="173">
                  <c:v>42948</c:v>
                </c:pt>
                <c:pt idx="174">
                  <c:v>42979</c:v>
                </c:pt>
                <c:pt idx="175">
                  <c:v>43009</c:v>
                </c:pt>
                <c:pt idx="176">
                  <c:v>43040</c:v>
                </c:pt>
                <c:pt idx="177">
                  <c:v>43070</c:v>
                </c:pt>
                <c:pt idx="178">
                  <c:v>43101</c:v>
                </c:pt>
                <c:pt idx="179">
                  <c:v>43132</c:v>
                </c:pt>
                <c:pt idx="180">
                  <c:v>43160</c:v>
                </c:pt>
                <c:pt idx="181">
                  <c:v>43191</c:v>
                </c:pt>
                <c:pt idx="182">
                  <c:v>43221</c:v>
                </c:pt>
                <c:pt idx="183">
                  <c:v>43252</c:v>
                </c:pt>
                <c:pt idx="184">
                  <c:v>43282</c:v>
                </c:pt>
                <c:pt idx="185">
                  <c:v>43313</c:v>
                </c:pt>
                <c:pt idx="186">
                  <c:v>43344</c:v>
                </c:pt>
                <c:pt idx="187">
                  <c:v>43374</c:v>
                </c:pt>
                <c:pt idx="188">
                  <c:v>43405</c:v>
                </c:pt>
                <c:pt idx="189">
                  <c:v>43435</c:v>
                </c:pt>
                <c:pt idx="190">
                  <c:v>43466</c:v>
                </c:pt>
                <c:pt idx="191">
                  <c:v>43497</c:v>
                </c:pt>
                <c:pt idx="192">
                  <c:v>43525</c:v>
                </c:pt>
                <c:pt idx="193">
                  <c:v>43556</c:v>
                </c:pt>
                <c:pt idx="194">
                  <c:v>43586</c:v>
                </c:pt>
                <c:pt idx="195">
                  <c:v>43617</c:v>
                </c:pt>
                <c:pt idx="196">
                  <c:v>43647</c:v>
                </c:pt>
                <c:pt idx="197">
                  <c:v>43678</c:v>
                </c:pt>
                <c:pt idx="198">
                  <c:v>43709</c:v>
                </c:pt>
                <c:pt idx="199">
                  <c:v>43739</c:v>
                </c:pt>
                <c:pt idx="200">
                  <c:v>43770</c:v>
                </c:pt>
                <c:pt idx="201">
                  <c:v>43800</c:v>
                </c:pt>
                <c:pt idx="202">
                  <c:v>43831</c:v>
                </c:pt>
                <c:pt idx="203">
                  <c:v>43862</c:v>
                </c:pt>
                <c:pt idx="204">
                  <c:v>43891</c:v>
                </c:pt>
                <c:pt idx="205">
                  <c:v>43922</c:v>
                </c:pt>
                <c:pt idx="206">
                  <c:v>43952</c:v>
                </c:pt>
                <c:pt idx="207">
                  <c:v>43983</c:v>
                </c:pt>
                <c:pt idx="208">
                  <c:v>44013</c:v>
                </c:pt>
                <c:pt idx="209">
                  <c:v>44044</c:v>
                </c:pt>
                <c:pt idx="210">
                  <c:v>44075</c:v>
                </c:pt>
                <c:pt idx="211">
                  <c:v>44105</c:v>
                </c:pt>
                <c:pt idx="212">
                  <c:v>44136</c:v>
                </c:pt>
                <c:pt idx="213">
                  <c:v>44166</c:v>
                </c:pt>
                <c:pt idx="214">
                  <c:v>44197</c:v>
                </c:pt>
                <c:pt idx="215">
                  <c:v>44228</c:v>
                </c:pt>
                <c:pt idx="216">
                  <c:v>44256</c:v>
                </c:pt>
                <c:pt idx="217">
                  <c:v>44287</c:v>
                </c:pt>
                <c:pt idx="218">
                  <c:v>44317</c:v>
                </c:pt>
                <c:pt idx="219">
                  <c:v>44348</c:v>
                </c:pt>
                <c:pt idx="220">
                  <c:v>44378</c:v>
                </c:pt>
                <c:pt idx="221">
                  <c:v>44409</c:v>
                </c:pt>
                <c:pt idx="222">
                  <c:v>44440</c:v>
                </c:pt>
                <c:pt idx="223">
                  <c:v>44470</c:v>
                </c:pt>
                <c:pt idx="224">
                  <c:v>44501</c:v>
                </c:pt>
                <c:pt idx="225">
                  <c:v>44531</c:v>
                </c:pt>
                <c:pt idx="226">
                  <c:v>44562</c:v>
                </c:pt>
                <c:pt idx="227">
                  <c:v>44593</c:v>
                </c:pt>
                <c:pt idx="228">
                  <c:v>44621</c:v>
                </c:pt>
                <c:pt idx="229">
                  <c:v>44652</c:v>
                </c:pt>
                <c:pt idx="230">
                  <c:v>44682</c:v>
                </c:pt>
                <c:pt idx="231">
                  <c:v>44713</c:v>
                </c:pt>
                <c:pt idx="232">
                  <c:v>44743</c:v>
                </c:pt>
                <c:pt idx="233">
                  <c:v>44774</c:v>
                </c:pt>
                <c:pt idx="234">
                  <c:v>44805</c:v>
                </c:pt>
                <c:pt idx="235">
                  <c:v>44835</c:v>
                </c:pt>
                <c:pt idx="236">
                  <c:v>44866</c:v>
                </c:pt>
                <c:pt idx="237">
                  <c:v>44896</c:v>
                </c:pt>
                <c:pt idx="238">
                  <c:v>44927</c:v>
                </c:pt>
                <c:pt idx="239">
                  <c:v>44958</c:v>
                </c:pt>
                <c:pt idx="240">
                  <c:v>44986</c:v>
                </c:pt>
              </c:numCache>
            </c:numRef>
          </c:cat>
          <c:val>
            <c:numRef>
              <c:f>Chart!$F$3:$F$243</c:f>
              <c:numCache>
                <c:formatCode>0.0</c:formatCode>
                <c:ptCount val="241"/>
                <c:pt idx="0">
                  <c:v>129.9349843</c:v>
                </c:pt>
                <c:pt idx="1">
                  <c:v>126.1816355</c:v>
                </c:pt>
                <c:pt idx="2">
                  <c:v>141.05170849999999</c:v>
                </c:pt>
                <c:pt idx="3">
                  <c:v>131.77905179999999</c:v>
                </c:pt>
                <c:pt idx="4">
                  <c:v>125.3810398</c:v>
                </c:pt>
                <c:pt idx="5">
                  <c:v>127.44792990000001</c:v>
                </c:pt>
                <c:pt idx="6">
                  <c:v>122.5516909</c:v>
                </c:pt>
                <c:pt idx="7">
                  <c:v>120.01092989999999</c:v>
                </c:pt>
                <c:pt idx="8">
                  <c:v>121.7574013</c:v>
                </c:pt>
                <c:pt idx="9">
                  <c:v>116.5068694</c:v>
                </c:pt>
                <c:pt idx="10">
                  <c:v>114.65137729999999</c:v>
                </c:pt>
                <c:pt idx="11">
                  <c:v>114.0609941</c:v>
                </c:pt>
                <c:pt idx="12">
                  <c:v>116.4508749</c:v>
                </c:pt>
                <c:pt idx="13">
                  <c:v>113.583355</c:v>
                </c:pt>
                <c:pt idx="14">
                  <c:v>110.1458973</c:v>
                </c:pt>
                <c:pt idx="15">
                  <c:v>114.1466472</c:v>
                </c:pt>
                <c:pt idx="16">
                  <c:v>117.6633638</c:v>
                </c:pt>
                <c:pt idx="17">
                  <c:v>113.0697744</c:v>
                </c:pt>
                <c:pt idx="18">
                  <c:v>118.57020350000001</c:v>
                </c:pt>
                <c:pt idx="19">
                  <c:v>110.7900681</c:v>
                </c:pt>
                <c:pt idx="20">
                  <c:v>100.1534867</c:v>
                </c:pt>
                <c:pt idx="21">
                  <c:v>96.756483700000004</c:v>
                </c:pt>
                <c:pt idx="22">
                  <c:v>103.05997120000001</c:v>
                </c:pt>
                <c:pt idx="23">
                  <c:v>101.63831089999999</c:v>
                </c:pt>
                <c:pt idx="24">
                  <c:v>91.246957800000004</c:v>
                </c:pt>
                <c:pt idx="25">
                  <c:v>93.824122399999993</c:v>
                </c:pt>
                <c:pt idx="26">
                  <c:v>96.892573200000001</c:v>
                </c:pt>
                <c:pt idx="27">
                  <c:v>94.928116500000002</c:v>
                </c:pt>
                <c:pt idx="28">
                  <c:v>89.958149800000001</c:v>
                </c:pt>
                <c:pt idx="29">
                  <c:v>90.1753085</c:v>
                </c:pt>
                <c:pt idx="30">
                  <c:v>92.205161700000005</c:v>
                </c:pt>
                <c:pt idx="31">
                  <c:v>98.616697299999998</c:v>
                </c:pt>
                <c:pt idx="32">
                  <c:v>92.826297699999998</c:v>
                </c:pt>
                <c:pt idx="33">
                  <c:v>92.886168299999994</c:v>
                </c:pt>
                <c:pt idx="34">
                  <c:v>103.2803564</c:v>
                </c:pt>
                <c:pt idx="35">
                  <c:v>90.429160100000004</c:v>
                </c:pt>
                <c:pt idx="36">
                  <c:v>95.088285999999997</c:v>
                </c:pt>
                <c:pt idx="37">
                  <c:v>98.548505800000001</c:v>
                </c:pt>
                <c:pt idx="38">
                  <c:v>96.081593900000001</c:v>
                </c:pt>
                <c:pt idx="39">
                  <c:v>91.916658299999995</c:v>
                </c:pt>
                <c:pt idx="40">
                  <c:v>99.116579900000005</c:v>
                </c:pt>
                <c:pt idx="41">
                  <c:v>90.210258800000005</c:v>
                </c:pt>
                <c:pt idx="42">
                  <c:v>84.697461700000005</c:v>
                </c:pt>
                <c:pt idx="43">
                  <c:v>79.527798899999993</c:v>
                </c:pt>
                <c:pt idx="44">
                  <c:v>83.906863099999995</c:v>
                </c:pt>
                <c:pt idx="45">
                  <c:v>87.361873399999993</c:v>
                </c:pt>
                <c:pt idx="46">
                  <c:v>83.063927000000007</c:v>
                </c:pt>
                <c:pt idx="47">
                  <c:v>81.076723000000001</c:v>
                </c:pt>
                <c:pt idx="48">
                  <c:v>76.992568399999996</c:v>
                </c:pt>
                <c:pt idx="49">
                  <c:v>78.408603499999998</c:v>
                </c:pt>
                <c:pt idx="50">
                  <c:v>70.652624700000004</c:v>
                </c:pt>
                <c:pt idx="51">
                  <c:v>65.189938499999997</c:v>
                </c:pt>
                <c:pt idx="52">
                  <c:v>76.879979599999999</c:v>
                </c:pt>
                <c:pt idx="53">
                  <c:v>66.646845099999993</c:v>
                </c:pt>
                <c:pt idx="54">
                  <c:v>69.876957000000004</c:v>
                </c:pt>
                <c:pt idx="55">
                  <c:v>68.302300000000002</c:v>
                </c:pt>
                <c:pt idx="56">
                  <c:v>68.778629100000003</c:v>
                </c:pt>
                <c:pt idx="57">
                  <c:v>69.253972300000001</c:v>
                </c:pt>
                <c:pt idx="58">
                  <c:v>69.290010499999994</c:v>
                </c:pt>
                <c:pt idx="59">
                  <c:v>71.380361899999997</c:v>
                </c:pt>
                <c:pt idx="60">
                  <c:v>70.646143699999996</c:v>
                </c:pt>
                <c:pt idx="61">
                  <c:v>74.526189599999995</c:v>
                </c:pt>
                <c:pt idx="62">
                  <c:v>70.856815299999994</c:v>
                </c:pt>
                <c:pt idx="63">
                  <c:v>66.194988699999996</c:v>
                </c:pt>
                <c:pt idx="64">
                  <c:v>65.679170400000004</c:v>
                </c:pt>
                <c:pt idx="65">
                  <c:v>65.603112600000003</c:v>
                </c:pt>
                <c:pt idx="66">
                  <c:v>77.820650599999993</c:v>
                </c:pt>
                <c:pt idx="67">
                  <c:v>73.774298400000006</c:v>
                </c:pt>
                <c:pt idx="68">
                  <c:v>70.852398699999995</c:v>
                </c:pt>
                <c:pt idx="69">
                  <c:v>69.499591300000006</c:v>
                </c:pt>
                <c:pt idx="70">
                  <c:v>72.887480699999998</c:v>
                </c:pt>
                <c:pt idx="71">
                  <c:v>81.907563699999997</c:v>
                </c:pt>
                <c:pt idx="72">
                  <c:v>83.923215200000001</c:v>
                </c:pt>
                <c:pt idx="73">
                  <c:v>76.815421499999999</c:v>
                </c:pt>
                <c:pt idx="74">
                  <c:v>85.64237</c:v>
                </c:pt>
                <c:pt idx="75">
                  <c:v>107.07815340000001</c:v>
                </c:pt>
                <c:pt idx="76">
                  <c:v>99.580165800000003</c:v>
                </c:pt>
                <c:pt idx="77">
                  <c:v>97.283903800000004</c:v>
                </c:pt>
                <c:pt idx="78">
                  <c:v>98.489826899999997</c:v>
                </c:pt>
                <c:pt idx="79">
                  <c:v>100.97879519999999</c:v>
                </c:pt>
                <c:pt idx="80">
                  <c:v>107.7966227</c:v>
                </c:pt>
                <c:pt idx="81">
                  <c:v>114.13962309999999</c:v>
                </c:pt>
                <c:pt idx="82">
                  <c:v>108.1571154</c:v>
                </c:pt>
                <c:pt idx="83">
                  <c:v>108.7629034</c:v>
                </c:pt>
                <c:pt idx="84">
                  <c:v>105.63503900000001</c:v>
                </c:pt>
                <c:pt idx="85">
                  <c:v>111.7178542</c:v>
                </c:pt>
                <c:pt idx="86">
                  <c:v>109.28142819999999</c:v>
                </c:pt>
                <c:pt idx="87">
                  <c:v>111.73036930000001</c:v>
                </c:pt>
                <c:pt idx="88">
                  <c:v>109.72592299999999</c:v>
                </c:pt>
                <c:pt idx="89">
                  <c:v>106.47697220000001</c:v>
                </c:pt>
                <c:pt idx="90">
                  <c:v>115.82113510000001</c:v>
                </c:pt>
                <c:pt idx="91">
                  <c:v>128.97536840000001</c:v>
                </c:pt>
                <c:pt idx="92">
                  <c:v>117.04489649999999</c:v>
                </c:pt>
                <c:pt idx="93">
                  <c:v>111.9491166</c:v>
                </c:pt>
                <c:pt idx="94">
                  <c:v>108.10103290000001</c:v>
                </c:pt>
                <c:pt idx="95">
                  <c:v>110.8641523</c:v>
                </c:pt>
                <c:pt idx="96">
                  <c:v>115.30737379999999</c:v>
                </c:pt>
                <c:pt idx="97">
                  <c:v>109.9364073</c:v>
                </c:pt>
                <c:pt idx="98">
                  <c:v>118.2742521</c:v>
                </c:pt>
                <c:pt idx="99">
                  <c:v>111.5625385</c:v>
                </c:pt>
                <c:pt idx="100">
                  <c:v>110.81966509999999</c:v>
                </c:pt>
                <c:pt idx="101">
                  <c:v>125.6742926</c:v>
                </c:pt>
                <c:pt idx="102">
                  <c:v>108.8906726</c:v>
                </c:pt>
                <c:pt idx="103">
                  <c:v>116.8016167</c:v>
                </c:pt>
                <c:pt idx="104">
                  <c:v>110.9049095</c:v>
                </c:pt>
                <c:pt idx="105">
                  <c:v>110.0722861</c:v>
                </c:pt>
                <c:pt idx="106">
                  <c:v>126.9482689</c:v>
                </c:pt>
                <c:pt idx="107">
                  <c:v>111.95783059999999</c:v>
                </c:pt>
                <c:pt idx="108">
                  <c:v>114.2164981</c:v>
                </c:pt>
                <c:pt idx="109">
                  <c:v>117.50227649999999</c:v>
                </c:pt>
                <c:pt idx="110">
                  <c:v>112.43869050000001</c:v>
                </c:pt>
                <c:pt idx="111">
                  <c:v>111.6124933</c:v>
                </c:pt>
                <c:pt idx="112">
                  <c:v>111.3270086</c:v>
                </c:pt>
                <c:pt idx="113">
                  <c:v>120.1801435</c:v>
                </c:pt>
                <c:pt idx="114">
                  <c:v>119.7412357</c:v>
                </c:pt>
                <c:pt idx="115">
                  <c:v>120.6661905</c:v>
                </c:pt>
                <c:pt idx="116">
                  <c:v>132.1645777</c:v>
                </c:pt>
                <c:pt idx="117">
                  <c:v>120.3500835</c:v>
                </c:pt>
                <c:pt idx="118">
                  <c:v>119.73642959999999</c:v>
                </c:pt>
                <c:pt idx="119">
                  <c:v>114.4704641</c:v>
                </c:pt>
                <c:pt idx="120">
                  <c:v>119.0575273</c:v>
                </c:pt>
                <c:pt idx="121">
                  <c:v>114.69575500000001</c:v>
                </c:pt>
                <c:pt idx="122">
                  <c:v>128.27609179999999</c:v>
                </c:pt>
                <c:pt idx="123">
                  <c:v>130.77903319999999</c:v>
                </c:pt>
                <c:pt idx="124">
                  <c:v>136.59949259999999</c:v>
                </c:pt>
                <c:pt idx="125">
                  <c:v>134.1253188</c:v>
                </c:pt>
                <c:pt idx="126">
                  <c:v>130.92614589999999</c:v>
                </c:pt>
                <c:pt idx="127">
                  <c:v>147.819311</c:v>
                </c:pt>
                <c:pt idx="128">
                  <c:v>147.6267766</c:v>
                </c:pt>
                <c:pt idx="129">
                  <c:v>153.9307488</c:v>
                </c:pt>
                <c:pt idx="130">
                  <c:v>147.83747099999999</c:v>
                </c:pt>
                <c:pt idx="131">
                  <c:v>154.43159410000001</c:v>
                </c:pt>
                <c:pt idx="132">
                  <c:v>161.93224620000001</c:v>
                </c:pt>
                <c:pt idx="133">
                  <c:v>156.2477236</c:v>
                </c:pt>
                <c:pt idx="134">
                  <c:v>170.53379240000001</c:v>
                </c:pt>
                <c:pt idx="135">
                  <c:v>168.68006840000001</c:v>
                </c:pt>
                <c:pt idx="136">
                  <c:v>178.13118650000001</c:v>
                </c:pt>
                <c:pt idx="137">
                  <c:v>163.499244</c:v>
                </c:pt>
                <c:pt idx="138">
                  <c:v>158.4439965</c:v>
                </c:pt>
                <c:pt idx="139">
                  <c:v>169.07082940000001</c:v>
                </c:pt>
                <c:pt idx="140">
                  <c:v>167.21206789999999</c:v>
                </c:pt>
                <c:pt idx="141">
                  <c:v>174.97030459999999</c:v>
                </c:pt>
                <c:pt idx="142">
                  <c:v>184.2152878</c:v>
                </c:pt>
                <c:pt idx="143">
                  <c:v>187.05624700000001</c:v>
                </c:pt>
                <c:pt idx="144">
                  <c:v>185.9353256</c:v>
                </c:pt>
                <c:pt idx="145">
                  <c:v>182.55576450000001</c:v>
                </c:pt>
                <c:pt idx="146">
                  <c:v>173.120723</c:v>
                </c:pt>
                <c:pt idx="147">
                  <c:v>183.68256700000001</c:v>
                </c:pt>
                <c:pt idx="148">
                  <c:v>176.95265509999999</c:v>
                </c:pt>
                <c:pt idx="149">
                  <c:v>179.0498656</c:v>
                </c:pt>
                <c:pt idx="150">
                  <c:v>181.06861549999999</c:v>
                </c:pt>
                <c:pt idx="151">
                  <c:v>166.0698764</c:v>
                </c:pt>
                <c:pt idx="152">
                  <c:v>160.9777077</c:v>
                </c:pt>
                <c:pt idx="153">
                  <c:v>157.98709969999999</c:v>
                </c:pt>
                <c:pt idx="154">
                  <c:v>173.35201509999999</c:v>
                </c:pt>
                <c:pt idx="155">
                  <c:v>172.71984069999999</c:v>
                </c:pt>
                <c:pt idx="156">
                  <c:v>171.94280670000001</c:v>
                </c:pt>
                <c:pt idx="157">
                  <c:v>168.4212326</c:v>
                </c:pt>
                <c:pt idx="158">
                  <c:v>165.11778530000001</c:v>
                </c:pt>
                <c:pt idx="159">
                  <c:v>167.29076559999999</c:v>
                </c:pt>
                <c:pt idx="160">
                  <c:v>164.65723890000001</c:v>
                </c:pt>
                <c:pt idx="161">
                  <c:v>168.72206310000001</c:v>
                </c:pt>
                <c:pt idx="162">
                  <c:v>175.97374819999999</c:v>
                </c:pt>
                <c:pt idx="163">
                  <c:v>179.103748</c:v>
                </c:pt>
                <c:pt idx="164">
                  <c:v>181.2240161</c:v>
                </c:pt>
                <c:pt idx="165">
                  <c:v>174.1859791</c:v>
                </c:pt>
                <c:pt idx="166">
                  <c:v>182.18338689999999</c:v>
                </c:pt>
                <c:pt idx="167">
                  <c:v>175.93408529999999</c:v>
                </c:pt>
                <c:pt idx="168">
                  <c:v>175.4792473</c:v>
                </c:pt>
                <c:pt idx="169">
                  <c:v>174.2091992</c:v>
                </c:pt>
                <c:pt idx="170">
                  <c:v>165.58292879999999</c:v>
                </c:pt>
                <c:pt idx="171">
                  <c:v>155.0578615</c:v>
                </c:pt>
                <c:pt idx="172">
                  <c:v>165.8561875</c:v>
                </c:pt>
                <c:pt idx="173">
                  <c:v>171.2662172</c:v>
                </c:pt>
                <c:pt idx="174">
                  <c:v>166.7430172</c:v>
                </c:pt>
                <c:pt idx="175">
                  <c:v>164.75085799999999</c:v>
                </c:pt>
                <c:pt idx="176">
                  <c:v>164.80541170000001</c:v>
                </c:pt>
                <c:pt idx="177">
                  <c:v>176.20289550000001</c:v>
                </c:pt>
                <c:pt idx="178">
                  <c:v>171.20726740000001</c:v>
                </c:pt>
                <c:pt idx="179">
                  <c:v>173.22083649999999</c:v>
                </c:pt>
                <c:pt idx="180">
                  <c:v>173.97107339999999</c:v>
                </c:pt>
                <c:pt idx="181">
                  <c:v>187.1783039</c:v>
                </c:pt>
                <c:pt idx="182">
                  <c:v>181.66508769999999</c:v>
                </c:pt>
                <c:pt idx="183">
                  <c:v>173.91888370000001</c:v>
                </c:pt>
                <c:pt idx="184">
                  <c:v>175.24944769999999</c:v>
                </c:pt>
                <c:pt idx="185">
                  <c:v>175.9599044</c:v>
                </c:pt>
                <c:pt idx="186">
                  <c:v>174.37655549999999</c:v>
                </c:pt>
                <c:pt idx="187">
                  <c:v>166.17579430000001</c:v>
                </c:pt>
                <c:pt idx="188">
                  <c:v>162.07969009999999</c:v>
                </c:pt>
                <c:pt idx="189">
                  <c:v>150.58089820000001</c:v>
                </c:pt>
                <c:pt idx="190">
                  <c:v>161.52997239999999</c:v>
                </c:pt>
                <c:pt idx="191">
                  <c:v>161.32379420000001</c:v>
                </c:pt>
                <c:pt idx="192">
                  <c:v>148.10128850000001</c:v>
                </c:pt>
                <c:pt idx="193">
                  <c:v>168.90504340000001</c:v>
                </c:pt>
                <c:pt idx="194">
                  <c:v>172.62180000000001</c:v>
                </c:pt>
                <c:pt idx="195">
                  <c:v>173.75723579999999</c:v>
                </c:pt>
                <c:pt idx="196">
                  <c:v>166.61998120000001</c:v>
                </c:pt>
                <c:pt idx="197">
                  <c:v>173.8736609</c:v>
                </c:pt>
                <c:pt idx="198">
                  <c:v>171.5003533</c:v>
                </c:pt>
                <c:pt idx="199">
                  <c:v>176.4563253</c:v>
                </c:pt>
                <c:pt idx="200">
                  <c:v>174.22600779999999</c:v>
                </c:pt>
                <c:pt idx="201">
                  <c:v>176.75204410000001</c:v>
                </c:pt>
                <c:pt idx="202">
                  <c:v>186.24864299999999</c:v>
                </c:pt>
                <c:pt idx="203">
                  <c:v>173.8033294</c:v>
                </c:pt>
                <c:pt idx="204">
                  <c:v>172.62396630000001</c:v>
                </c:pt>
                <c:pt idx="205">
                  <c:v>131.81595970000001</c:v>
                </c:pt>
                <c:pt idx="206">
                  <c:v>142.67156739999999</c:v>
                </c:pt>
                <c:pt idx="207">
                  <c:v>153.18133220000001</c:v>
                </c:pt>
                <c:pt idx="208">
                  <c:v>190.3084356</c:v>
                </c:pt>
                <c:pt idx="209">
                  <c:v>188.93377330000001</c:v>
                </c:pt>
                <c:pt idx="210">
                  <c:v>193.95585220000001</c:v>
                </c:pt>
                <c:pt idx="211">
                  <c:v>196.9875644</c:v>
                </c:pt>
                <c:pt idx="212">
                  <c:v>200.80844780000001</c:v>
                </c:pt>
                <c:pt idx="213">
                  <c:v>199.06093820000001</c:v>
                </c:pt>
                <c:pt idx="214">
                  <c:v>216.6072499</c:v>
                </c:pt>
                <c:pt idx="215">
                  <c:v>204.22257089999999</c:v>
                </c:pt>
                <c:pt idx="216">
                  <c:v>237.6816934</c:v>
                </c:pt>
                <c:pt idx="217">
                  <c:v>247.11934410000001</c:v>
                </c:pt>
                <c:pt idx="218">
                  <c:v>221.83853740000001</c:v>
                </c:pt>
                <c:pt idx="219">
                  <c:v>214.44786120000001</c:v>
                </c:pt>
                <c:pt idx="220">
                  <c:v>202.91406699999999</c:v>
                </c:pt>
                <c:pt idx="221">
                  <c:v>186.17188659999999</c:v>
                </c:pt>
                <c:pt idx="222">
                  <c:v>189.2187117</c:v>
                </c:pt>
                <c:pt idx="223">
                  <c:v>187.00776519999999</c:v>
                </c:pt>
                <c:pt idx="224">
                  <c:v>180.39549199999999</c:v>
                </c:pt>
                <c:pt idx="225">
                  <c:v>148.4068317</c:v>
                </c:pt>
                <c:pt idx="226">
                  <c:v>150.97643450000001</c:v>
                </c:pt>
                <c:pt idx="227">
                  <c:v>147.7964873</c:v>
                </c:pt>
                <c:pt idx="228">
                  <c:v>136.56105460000001</c:v>
                </c:pt>
                <c:pt idx="229">
                  <c:v>136.30803320000001</c:v>
                </c:pt>
                <c:pt idx="230">
                  <c:v>131.7785801</c:v>
                </c:pt>
                <c:pt idx="231">
                  <c:v>129.806692</c:v>
                </c:pt>
                <c:pt idx="232">
                  <c:v>121.4926013</c:v>
                </c:pt>
                <c:pt idx="233">
                  <c:v>118.75517120000001</c:v>
                </c:pt>
                <c:pt idx="234">
                  <c:v>126.8378045</c:v>
                </c:pt>
                <c:pt idx="235">
                  <c:v>114.97014729999999</c:v>
                </c:pt>
                <c:pt idx="236">
                  <c:v>105.980341</c:v>
                </c:pt>
                <c:pt idx="237">
                  <c:v>111.6647282</c:v>
                </c:pt>
                <c:pt idx="238">
                  <c:v>113.1018803</c:v>
                </c:pt>
                <c:pt idx="239">
                  <c:v>103.0801651</c:v>
                </c:pt>
                <c:pt idx="240">
                  <c:v>100.3836203</c:v>
                </c:pt>
              </c:numCache>
            </c:numRef>
          </c:val>
          <c:smooth val="0"/>
          <c:extLst>
            <c:ext xmlns:c16="http://schemas.microsoft.com/office/drawing/2014/chart" uri="{C3380CC4-5D6E-409C-BE32-E72D297353CC}">
              <c16:uniqueId val="{00000001-95DF-44A7-BF0B-E2DD308F48D6}"/>
            </c:ext>
          </c:extLst>
        </c:ser>
        <c:ser>
          <c:idx val="1"/>
          <c:order val="1"/>
          <c:tx>
            <c:strRef>
              <c:f>Chart!$G$1</c:f>
              <c:strCache>
                <c:ptCount val="1"/>
                <c:pt idx="0">
                  <c:v>VLTU ('000) (LHS)</c:v>
                </c:pt>
              </c:strCache>
            </c:strRef>
          </c:tx>
          <c:spPr>
            <a:ln w="28575" cap="rnd">
              <a:solidFill>
                <a:schemeClr val="accent2"/>
              </a:solidFill>
              <a:round/>
            </a:ln>
            <a:effectLst/>
          </c:spPr>
          <c:marker>
            <c:symbol val="none"/>
          </c:marker>
          <c:cat>
            <c:numRef>
              <c:f>Chart!$E$3:$E$243</c:f>
              <c:numCache>
                <c:formatCode>mmm\-yyyy</c:formatCode>
                <c:ptCount val="241"/>
                <c:pt idx="0">
                  <c:v>37681</c:v>
                </c:pt>
                <c:pt idx="1">
                  <c:v>37712</c:v>
                </c:pt>
                <c:pt idx="2">
                  <c:v>37742</c:v>
                </c:pt>
                <c:pt idx="3">
                  <c:v>37773</c:v>
                </c:pt>
                <c:pt idx="4">
                  <c:v>37803</c:v>
                </c:pt>
                <c:pt idx="5">
                  <c:v>37834</c:v>
                </c:pt>
                <c:pt idx="6">
                  <c:v>37865</c:v>
                </c:pt>
                <c:pt idx="7">
                  <c:v>37895</c:v>
                </c:pt>
                <c:pt idx="8">
                  <c:v>37926</c:v>
                </c:pt>
                <c:pt idx="9">
                  <c:v>37956</c:v>
                </c:pt>
                <c:pt idx="10">
                  <c:v>37987</c:v>
                </c:pt>
                <c:pt idx="11">
                  <c:v>38018</c:v>
                </c:pt>
                <c:pt idx="12">
                  <c:v>38047</c:v>
                </c:pt>
                <c:pt idx="13">
                  <c:v>38078</c:v>
                </c:pt>
                <c:pt idx="14">
                  <c:v>38108</c:v>
                </c:pt>
                <c:pt idx="15">
                  <c:v>38139</c:v>
                </c:pt>
                <c:pt idx="16">
                  <c:v>38169</c:v>
                </c:pt>
                <c:pt idx="17">
                  <c:v>38200</c:v>
                </c:pt>
                <c:pt idx="18">
                  <c:v>38231</c:v>
                </c:pt>
                <c:pt idx="19">
                  <c:v>38261</c:v>
                </c:pt>
                <c:pt idx="20">
                  <c:v>38292</c:v>
                </c:pt>
                <c:pt idx="21">
                  <c:v>38322</c:v>
                </c:pt>
                <c:pt idx="22">
                  <c:v>38353</c:v>
                </c:pt>
                <c:pt idx="23">
                  <c:v>38384</c:v>
                </c:pt>
                <c:pt idx="24">
                  <c:v>38412</c:v>
                </c:pt>
                <c:pt idx="25">
                  <c:v>38443</c:v>
                </c:pt>
                <c:pt idx="26">
                  <c:v>38473</c:v>
                </c:pt>
                <c:pt idx="27">
                  <c:v>38504</c:v>
                </c:pt>
                <c:pt idx="28">
                  <c:v>38534</c:v>
                </c:pt>
                <c:pt idx="29">
                  <c:v>38565</c:v>
                </c:pt>
                <c:pt idx="30">
                  <c:v>38596</c:v>
                </c:pt>
                <c:pt idx="31">
                  <c:v>38626</c:v>
                </c:pt>
                <c:pt idx="32">
                  <c:v>38657</c:v>
                </c:pt>
                <c:pt idx="33">
                  <c:v>38687</c:v>
                </c:pt>
                <c:pt idx="34">
                  <c:v>38718</c:v>
                </c:pt>
                <c:pt idx="35">
                  <c:v>38749</c:v>
                </c:pt>
                <c:pt idx="36">
                  <c:v>38777</c:v>
                </c:pt>
                <c:pt idx="37">
                  <c:v>38808</c:v>
                </c:pt>
                <c:pt idx="38">
                  <c:v>38838</c:v>
                </c:pt>
                <c:pt idx="39">
                  <c:v>38869</c:v>
                </c:pt>
                <c:pt idx="40">
                  <c:v>38899</c:v>
                </c:pt>
                <c:pt idx="41">
                  <c:v>38930</c:v>
                </c:pt>
                <c:pt idx="42">
                  <c:v>38961</c:v>
                </c:pt>
                <c:pt idx="43">
                  <c:v>38991</c:v>
                </c:pt>
                <c:pt idx="44">
                  <c:v>39022</c:v>
                </c:pt>
                <c:pt idx="45">
                  <c:v>39052</c:v>
                </c:pt>
                <c:pt idx="46">
                  <c:v>39083</c:v>
                </c:pt>
                <c:pt idx="47">
                  <c:v>39114</c:v>
                </c:pt>
                <c:pt idx="48">
                  <c:v>39142</c:v>
                </c:pt>
                <c:pt idx="49">
                  <c:v>39173</c:v>
                </c:pt>
                <c:pt idx="50">
                  <c:v>39203</c:v>
                </c:pt>
                <c:pt idx="51">
                  <c:v>39234</c:v>
                </c:pt>
                <c:pt idx="52">
                  <c:v>39264</c:v>
                </c:pt>
                <c:pt idx="53">
                  <c:v>39295</c:v>
                </c:pt>
                <c:pt idx="54">
                  <c:v>39326</c:v>
                </c:pt>
                <c:pt idx="55">
                  <c:v>39356</c:v>
                </c:pt>
                <c:pt idx="56">
                  <c:v>39387</c:v>
                </c:pt>
                <c:pt idx="57">
                  <c:v>39417</c:v>
                </c:pt>
                <c:pt idx="58">
                  <c:v>39448</c:v>
                </c:pt>
                <c:pt idx="59">
                  <c:v>39479</c:v>
                </c:pt>
                <c:pt idx="60">
                  <c:v>39508</c:v>
                </c:pt>
                <c:pt idx="61">
                  <c:v>39539</c:v>
                </c:pt>
                <c:pt idx="62">
                  <c:v>39569</c:v>
                </c:pt>
                <c:pt idx="63">
                  <c:v>39600</c:v>
                </c:pt>
                <c:pt idx="64">
                  <c:v>39630</c:v>
                </c:pt>
                <c:pt idx="65">
                  <c:v>39661</c:v>
                </c:pt>
                <c:pt idx="66">
                  <c:v>39692</c:v>
                </c:pt>
                <c:pt idx="67">
                  <c:v>39722</c:v>
                </c:pt>
                <c:pt idx="68">
                  <c:v>39753</c:v>
                </c:pt>
                <c:pt idx="69">
                  <c:v>39783</c:v>
                </c:pt>
                <c:pt idx="70">
                  <c:v>39814</c:v>
                </c:pt>
                <c:pt idx="71">
                  <c:v>39845</c:v>
                </c:pt>
                <c:pt idx="72">
                  <c:v>39873</c:v>
                </c:pt>
                <c:pt idx="73">
                  <c:v>39904</c:v>
                </c:pt>
                <c:pt idx="74">
                  <c:v>39934</c:v>
                </c:pt>
                <c:pt idx="75">
                  <c:v>39965</c:v>
                </c:pt>
                <c:pt idx="76">
                  <c:v>39995</c:v>
                </c:pt>
                <c:pt idx="77">
                  <c:v>40026</c:v>
                </c:pt>
                <c:pt idx="78">
                  <c:v>40057</c:v>
                </c:pt>
                <c:pt idx="79">
                  <c:v>40087</c:v>
                </c:pt>
                <c:pt idx="80">
                  <c:v>40118</c:v>
                </c:pt>
                <c:pt idx="81">
                  <c:v>40148</c:v>
                </c:pt>
                <c:pt idx="82">
                  <c:v>40179</c:v>
                </c:pt>
                <c:pt idx="83">
                  <c:v>40210</c:v>
                </c:pt>
                <c:pt idx="84">
                  <c:v>40238</c:v>
                </c:pt>
                <c:pt idx="85">
                  <c:v>40269</c:v>
                </c:pt>
                <c:pt idx="86">
                  <c:v>40299</c:v>
                </c:pt>
                <c:pt idx="87">
                  <c:v>40330</c:v>
                </c:pt>
                <c:pt idx="88">
                  <c:v>40360</c:v>
                </c:pt>
                <c:pt idx="89">
                  <c:v>40391</c:v>
                </c:pt>
                <c:pt idx="90">
                  <c:v>40422</c:v>
                </c:pt>
                <c:pt idx="91">
                  <c:v>40452</c:v>
                </c:pt>
                <c:pt idx="92">
                  <c:v>40483</c:v>
                </c:pt>
                <c:pt idx="93">
                  <c:v>40513</c:v>
                </c:pt>
                <c:pt idx="94">
                  <c:v>40544</c:v>
                </c:pt>
                <c:pt idx="95">
                  <c:v>40575</c:v>
                </c:pt>
                <c:pt idx="96">
                  <c:v>40603</c:v>
                </c:pt>
                <c:pt idx="97">
                  <c:v>40634</c:v>
                </c:pt>
                <c:pt idx="98">
                  <c:v>40664</c:v>
                </c:pt>
                <c:pt idx="99">
                  <c:v>40695</c:v>
                </c:pt>
                <c:pt idx="100">
                  <c:v>40725</c:v>
                </c:pt>
                <c:pt idx="101">
                  <c:v>40756</c:v>
                </c:pt>
                <c:pt idx="102">
                  <c:v>40787</c:v>
                </c:pt>
                <c:pt idx="103">
                  <c:v>40817</c:v>
                </c:pt>
                <c:pt idx="104">
                  <c:v>40848</c:v>
                </c:pt>
                <c:pt idx="105">
                  <c:v>40878</c:v>
                </c:pt>
                <c:pt idx="106">
                  <c:v>40909</c:v>
                </c:pt>
                <c:pt idx="107">
                  <c:v>40940</c:v>
                </c:pt>
                <c:pt idx="108">
                  <c:v>40969</c:v>
                </c:pt>
                <c:pt idx="109">
                  <c:v>41000</c:v>
                </c:pt>
                <c:pt idx="110">
                  <c:v>41030</c:v>
                </c:pt>
                <c:pt idx="111">
                  <c:v>41061</c:v>
                </c:pt>
                <c:pt idx="112">
                  <c:v>41091</c:v>
                </c:pt>
                <c:pt idx="113">
                  <c:v>41122</c:v>
                </c:pt>
                <c:pt idx="114">
                  <c:v>41153</c:v>
                </c:pt>
                <c:pt idx="115">
                  <c:v>41183</c:v>
                </c:pt>
                <c:pt idx="116">
                  <c:v>41214</c:v>
                </c:pt>
                <c:pt idx="117">
                  <c:v>41244</c:v>
                </c:pt>
                <c:pt idx="118">
                  <c:v>41275</c:v>
                </c:pt>
                <c:pt idx="119">
                  <c:v>41306</c:v>
                </c:pt>
                <c:pt idx="120">
                  <c:v>41334</c:v>
                </c:pt>
                <c:pt idx="121">
                  <c:v>41365</c:v>
                </c:pt>
                <c:pt idx="122">
                  <c:v>41395</c:v>
                </c:pt>
                <c:pt idx="123">
                  <c:v>41426</c:v>
                </c:pt>
                <c:pt idx="124">
                  <c:v>41456</c:v>
                </c:pt>
                <c:pt idx="125">
                  <c:v>41487</c:v>
                </c:pt>
                <c:pt idx="126">
                  <c:v>41518</c:v>
                </c:pt>
                <c:pt idx="127">
                  <c:v>41548</c:v>
                </c:pt>
                <c:pt idx="128">
                  <c:v>41579</c:v>
                </c:pt>
                <c:pt idx="129">
                  <c:v>41609</c:v>
                </c:pt>
                <c:pt idx="130">
                  <c:v>41640</c:v>
                </c:pt>
                <c:pt idx="131">
                  <c:v>41671</c:v>
                </c:pt>
                <c:pt idx="132">
                  <c:v>41699</c:v>
                </c:pt>
                <c:pt idx="133">
                  <c:v>41730</c:v>
                </c:pt>
                <c:pt idx="134">
                  <c:v>41760</c:v>
                </c:pt>
                <c:pt idx="135">
                  <c:v>41791</c:v>
                </c:pt>
                <c:pt idx="136">
                  <c:v>41821</c:v>
                </c:pt>
                <c:pt idx="137">
                  <c:v>41852</c:v>
                </c:pt>
                <c:pt idx="138">
                  <c:v>41883</c:v>
                </c:pt>
                <c:pt idx="139">
                  <c:v>41913</c:v>
                </c:pt>
                <c:pt idx="140">
                  <c:v>41944</c:v>
                </c:pt>
                <c:pt idx="141">
                  <c:v>41974</c:v>
                </c:pt>
                <c:pt idx="142">
                  <c:v>42005</c:v>
                </c:pt>
                <c:pt idx="143">
                  <c:v>42036</c:v>
                </c:pt>
                <c:pt idx="144">
                  <c:v>42064</c:v>
                </c:pt>
                <c:pt idx="145">
                  <c:v>42095</c:v>
                </c:pt>
                <c:pt idx="146">
                  <c:v>42125</c:v>
                </c:pt>
                <c:pt idx="147">
                  <c:v>42156</c:v>
                </c:pt>
                <c:pt idx="148">
                  <c:v>42186</c:v>
                </c:pt>
                <c:pt idx="149">
                  <c:v>42217</c:v>
                </c:pt>
                <c:pt idx="150">
                  <c:v>42248</c:v>
                </c:pt>
                <c:pt idx="151">
                  <c:v>42278</c:v>
                </c:pt>
                <c:pt idx="152">
                  <c:v>42309</c:v>
                </c:pt>
                <c:pt idx="153">
                  <c:v>42339</c:v>
                </c:pt>
                <c:pt idx="154">
                  <c:v>42370</c:v>
                </c:pt>
                <c:pt idx="155">
                  <c:v>42401</c:v>
                </c:pt>
                <c:pt idx="156">
                  <c:v>42430</c:v>
                </c:pt>
                <c:pt idx="157">
                  <c:v>42461</c:v>
                </c:pt>
                <c:pt idx="158">
                  <c:v>42491</c:v>
                </c:pt>
                <c:pt idx="159">
                  <c:v>42522</c:v>
                </c:pt>
                <c:pt idx="160">
                  <c:v>42552</c:v>
                </c:pt>
                <c:pt idx="161">
                  <c:v>42583</c:v>
                </c:pt>
                <c:pt idx="162">
                  <c:v>42614</c:v>
                </c:pt>
                <c:pt idx="163">
                  <c:v>42644</c:v>
                </c:pt>
                <c:pt idx="164">
                  <c:v>42675</c:v>
                </c:pt>
                <c:pt idx="165">
                  <c:v>42705</c:v>
                </c:pt>
                <c:pt idx="166">
                  <c:v>42736</c:v>
                </c:pt>
                <c:pt idx="167">
                  <c:v>42767</c:v>
                </c:pt>
                <c:pt idx="168">
                  <c:v>42795</c:v>
                </c:pt>
                <c:pt idx="169">
                  <c:v>42826</c:v>
                </c:pt>
                <c:pt idx="170">
                  <c:v>42856</c:v>
                </c:pt>
                <c:pt idx="171">
                  <c:v>42887</c:v>
                </c:pt>
                <c:pt idx="172">
                  <c:v>42917</c:v>
                </c:pt>
                <c:pt idx="173">
                  <c:v>42948</c:v>
                </c:pt>
                <c:pt idx="174">
                  <c:v>42979</c:v>
                </c:pt>
                <c:pt idx="175">
                  <c:v>43009</c:v>
                </c:pt>
                <c:pt idx="176">
                  <c:v>43040</c:v>
                </c:pt>
                <c:pt idx="177">
                  <c:v>43070</c:v>
                </c:pt>
                <c:pt idx="178">
                  <c:v>43101</c:v>
                </c:pt>
                <c:pt idx="179">
                  <c:v>43132</c:v>
                </c:pt>
                <c:pt idx="180">
                  <c:v>43160</c:v>
                </c:pt>
                <c:pt idx="181">
                  <c:v>43191</c:v>
                </c:pt>
                <c:pt idx="182">
                  <c:v>43221</c:v>
                </c:pt>
                <c:pt idx="183">
                  <c:v>43252</c:v>
                </c:pt>
                <c:pt idx="184">
                  <c:v>43282</c:v>
                </c:pt>
                <c:pt idx="185">
                  <c:v>43313</c:v>
                </c:pt>
                <c:pt idx="186">
                  <c:v>43344</c:v>
                </c:pt>
                <c:pt idx="187">
                  <c:v>43374</c:v>
                </c:pt>
                <c:pt idx="188">
                  <c:v>43405</c:v>
                </c:pt>
                <c:pt idx="189">
                  <c:v>43435</c:v>
                </c:pt>
                <c:pt idx="190">
                  <c:v>43466</c:v>
                </c:pt>
                <c:pt idx="191">
                  <c:v>43497</c:v>
                </c:pt>
                <c:pt idx="192">
                  <c:v>43525</c:v>
                </c:pt>
                <c:pt idx="193">
                  <c:v>43556</c:v>
                </c:pt>
                <c:pt idx="194">
                  <c:v>43586</c:v>
                </c:pt>
                <c:pt idx="195">
                  <c:v>43617</c:v>
                </c:pt>
                <c:pt idx="196">
                  <c:v>43647</c:v>
                </c:pt>
                <c:pt idx="197">
                  <c:v>43678</c:v>
                </c:pt>
                <c:pt idx="198">
                  <c:v>43709</c:v>
                </c:pt>
                <c:pt idx="199">
                  <c:v>43739</c:v>
                </c:pt>
                <c:pt idx="200">
                  <c:v>43770</c:v>
                </c:pt>
                <c:pt idx="201">
                  <c:v>43800</c:v>
                </c:pt>
                <c:pt idx="202">
                  <c:v>43831</c:v>
                </c:pt>
                <c:pt idx="203">
                  <c:v>43862</c:v>
                </c:pt>
                <c:pt idx="204">
                  <c:v>43891</c:v>
                </c:pt>
                <c:pt idx="205">
                  <c:v>43922</c:v>
                </c:pt>
                <c:pt idx="206">
                  <c:v>43952</c:v>
                </c:pt>
                <c:pt idx="207">
                  <c:v>43983</c:v>
                </c:pt>
                <c:pt idx="208">
                  <c:v>44013</c:v>
                </c:pt>
                <c:pt idx="209">
                  <c:v>44044</c:v>
                </c:pt>
                <c:pt idx="210">
                  <c:v>44075</c:v>
                </c:pt>
                <c:pt idx="211">
                  <c:v>44105</c:v>
                </c:pt>
                <c:pt idx="212">
                  <c:v>44136</c:v>
                </c:pt>
                <c:pt idx="213">
                  <c:v>44166</c:v>
                </c:pt>
                <c:pt idx="214">
                  <c:v>44197</c:v>
                </c:pt>
                <c:pt idx="215">
                  <c:v>44228</c:v>
                </c:pt>
                <c:pt idx="216">
                  <c:v>44256</c:v>
                </c:pt>
                <c:pt idx="217">
                  <c:v>44287</c:v>
                </c:pt>
                <c:pt idx="218">
                  <c:v>44317</c:v>
                </c:pt>
                <c:pt idx="219">
                  <c:v>44348</c:v>
                </c:pt>
                <c:pt idx="220">
                  <c:v>44378</c:v>
                </c:pt>
                <c:pt idx="221">
                  <c:v>44409</c:v>
                </c:pt>
                <c:pt idx="222">
                  <c:v>44440</c:v>
                </c:pt>
                <c:pt idx="223">
                  <c:v>44470</c:v>
                </c:pt>
                <c:pt idx="224">
                  <c:v>44501</c:v>
                </c:pt>
                <c:pt idx="225">
                  <c:v>44531</c:v>
                </c:pt>
                <c:pt idx="226">
                  <c:v>44562</c:v>
                </c:pt>
                <c:pt idx="227">
                  <c:v>44593</c:v>
                </c:pt>
                <c:pt idx="228">
                  <c:v>44621</c:v>
                </c:pt>
                <c:pt idx="229">
                  <c:v>44652</c:v>
                </c:pt>
                <c:pt idx="230">
                  <c:v>44682</c:v>
                </c:pt>
                <c:pt idx="231">
                  <c:v>44713</c:v>
                </c:pt>
                <c:pt idx="232">
                  <c:v>44743</c:v>
                </c:pt>
                <c:pt idx="233">
                  <c:v>44774</c:v>
                </c:pt>
                <c:pt idx="234">
                  <c:v>44805</c:v>
                </c:pt>
                <c:pt idx="235">
                  <c:v>44835</c:v>
                </c:pt>
                <c:pt idx="236">
                  <c:v>44866</c:v>
                </c:pt>
                <c:pt idx="237">
                  <c:v>44896</c:v>
                </c:pt>
                <c:pt idx="238">
                  <c:v>44927</c:v>
                </c:pt>
                <c:pt idx="239">
                  <c:v>44958</c:v>
                </c:pt>
                <c:pt idx="240">
                  <c:v>44986</c:v>
                </c:pt>
              </c:numCache>
            </c:numRef>
          </c:cat>
          <c:val>
            <c:numRef>
              <c:f>Chart!$G$3:$G$243</c:f>
              <c:numCache>
                <c:formatCode>0.0</c:formatCode>
                <c:ptCount val="241"/>
                <c:pt idx="0">
                  <c:v>78.427620500000003</c:v>
                </c:pt>
                <c:pt idx="1">
                  <c:v>76.139614699999996</c:v>
                </c:pt>
                <c:pt idx="2">
                  <c:v>86.638836900000001</c:v>
                </c:pt>
                <c:pt idx="3">
                  <c:v>74.059788699999999</c:v>
                </c:pt>
                <c:pt idx="4">
                  <c:v>73.4866569</c:v>
                </c:pt>
                <c:pt idx="5">
                  <c:v>74.657342299999996</c:v>
                </c:pt>
                <c:pt idx="6">
                  <c:v>68.409148200000004</c:v>
                </c:pt>
                <c:pt idx="7">
                  <c:v>71.609917699999997</c:v>
                </c:pt>
                <c:pt idx="8">
                  <c:v>73.011621199999993</c:v>
                </c:pt>
                <c:pt idx="9">
                  <c:v>64.856906699999996</c:v>
                </c:pt>
                <c:pt idx="10">
                  <c:v>61.569281599999997</c:v>
                </c:pt>
                <c:pt idx="11">
                  <c:v>67.451894300000006</c:v>
                </c:pt>
                <c:pt idx="12">
                  <c:v>63.531833800000001</c:v>
                </c:pt>
                <c:pt idx="13">
                  <c:v>63.068058200000003</c:v>
                </c:pt>
                <c:pt idx="14">
                  <c:v>60.7062217</c:v>
                </c:pt>
                <c:pt idx="15">
                  <c:v>68.954500899999999</c:v>
                </c:pt>
                <c:pt idx="16">
                  <c:v>69.146705100000005</c:v>
                </c:pt>
                <c:pt idx="17">
                  <c:v>66.318657000000002</c:v>
                </c:pt>
                <c:pt idx="18">
                  <c:v>70.535685599999994</c:v>
                </c:pt>
                <c:pt idx="19">
                  <c:v>67.635441499999999</c:v>
                </c:pt>
                <c:pt idx="20">
                  <c:v>61.557752299999997</c:v>
                </c:pt>
                <c:pt idx="21">
                  <c:v>55.832825399999997</c:v>
                </c:pt>
                <c:pt idx="22">
                  <c:v>61.632277600000002</c:v>
                </c:pt>
                <c:pt idx="23">
                  <c:v>54.042717799999998</c:v>
                </c:pt>
                <c:pt idx="24">
                  <c:v>52.962105600000001</c:v>
                </c:pt>
                <c:pt idx="25">
                  <c:v>56.043332900000003</c:v>
                </c:pt>
                <c:pt idx="26">
                  <c:v>59.243169299999998</c:v>
                </c:pt>
                <c:pt idx="27">
                  <c:v>54.848516600000004</c:v>
                </c:pt>
                <c:pt idx="28">
                  <c:v>56.178243100000003</c:v>
                </c:pt>
                <c:pt idx="29">
                  <c:v>54.759577399999998</c:v>
                </c:pt>
                <c:pt idx="30">
                  <c:v>52.178292399999997</c:v>
                </c:pt>
                <c:pt idx="31">
                  <c:v>53.247581599999997</c:v>
                </c:pt>
                <c:pt idx="32">
                  <c:v>55.674547199999999</c:v>
                </c:pt>
                <c:pt idx="33">
                  <c:v>52.720539500000001</c:v>
                </c:pt>
                <c:pt idx="34">
                  <c:v>54.570822300000003</c:v>
                </c:pt>
                <c:pt idx="35">
                  <c:v>48.968872500000003</c:v>
                </c:pt>
                <c:pt idx="36">
                  <c:v>53.140663500000002</c:v>
                </c:pt>
                <c:pt idx="37">
                  <c:v>54.555542899999999</c:v>
                </c:pt>
                <c:pt idx="38">
                  <c:v>54.096672499999997</c:v>
                </c:pt>
                <c:pt idx="39">
                  <c:v>52.421907400000002</c:v>
                </c:pt>
                <c:pt idx="40">
                  <c:v>57.914858299999999</c:v>
                </c:pt>
                <c:pt idx="41">
                  <c:v>51.794597500000002</c:v>
                </c:pt>
                <c:pt idx="42">
                  <c:v>46.000210500000001</c:v>
                </c:pt>
                <c:pt idx="43">
                  <c:v>47.178416400000003</c:v>
                </c:pt>
                <c:pt idx="44">
                  <c:v>47.995025800000001</c:v>
                </c:pt>
                <c:pt idx="45">
                  <c:v>45.597840099999999</c:v>
                </c:pt>
                <c:pt idx="46">
                  <c:v>38.684584399999999</c:v>
                </c:pt>
                <c:pt idx="47">
                  <c:v>40.3355605</c:v>
                </c:pt>
                <c:pt idx="48">
                  <c:v>43.280763800000003</c:v>
                </c:pt>
                <c:pt idx="49">
                  <c:v>45.057014000000002</c:v>
                </c:pt>
                <c:pt idx="50">
                  <c:v>35.592936199999997</c:v>
                </c:pt>
                <c:pt idx="51">
                  <c:v>35.429094900000003</c:v>
                </c:pt>
                <c:pt idx="52">
                  <c:v>36.853207900000001</c:v>
                </c:pt>
                <c:pt idx="53">
                  <c:v>33.792090600000002</c:v>
                </c:pt>
                <c:pt idx="54">
                  <c:v>38.367029899999999</c:v>
                </c:pt>
                <c:pt idx="55">
                  <c:v>32.971928200000001</c:v>
                </c:pt>
                <c:pt idx="56">
                  <c:v>34.7542975</c:v>
                </c:pt>
                <c:pt idx="57">
                  <c:v>35.0026741</c:v>
                </c:pt>
                <c:pt idx="58">
                  <c:v>35.600694099999998</c:v>
                </c:pt>
                <c:pt idx="59">
                  <c:v>36.8160873</c:v>
                </c:pt>
                <c:pt idx="60">
                  <c:v>37.277382899999999</c:v>
                </c:pt>
                <c:pt idx="61">
                  <c:v>36.307831899999996</c:v>
                </c:pt>
                <c:pt idx="62">
                  <c:v>38.1987819</c:v>
                </c:pt>
                <c:pt idx="63">
                  <c:v>34.006455299999999</c:v>
                </c:pt>
                <c:pt idx="64">
                  <c:v>32.193223099999997</c:v>
                </c:pt>
                <c:pt idx="65">
                  <c:v>32.592487300000002</c:v>
                </c:pt>
                <c:pt idx="66">
                  <c:v>39.772646000000002</c:v>
                </c:pt>
                <c:pt idx="67">
                  <c:v>35.533154600000003</c:v>
                </c:pt>
                <c:pt idx="68">
                  <c:v>36.281653200000001</c:v>
                </c:pt>
                <c:pt idx="69">
                  <c:v>32.0956914</c:v>
                </c:pt>
                <c:pt idx="70">
                  <c:v>38.023794700000003</c:v>
                </c:pt>
                <c:pt idx="71">
                  <c:v>41.678403600000003</c:v>
                </c:pt>
                <c:pt idx="72">
                  <c:v>38.793260699999998</c:v>
                </c:pt>
                <c:pt idx="73">
                  <c:v>31.1642832</c:v>
                </c:pt>
                <c:pt idx="74">
                  <c:v>37.170850000000002</c:v>
                </c:pt>
                <c:pt idx="75">
                  <c:v>48.4241417</c:v>
                </c:pt>
                <c:pt idx="76">
                  <c:v>44.154850400000001</c:v>
                </c:pt>
                <c:pt idx="77">
                  <c:v>43.898279000000002</c:v>
                </c:pt>
                <c:pt idx="78">
                  <c:v>41.269714499999999</c:v>
                </c:pt>
                <c:pt idx="79">
                  <c:v>44.983724100000003</c:v>
                </c:pt>
                <c:pt idx="80">
                  <c:v>46.608246800000003</c:v>
                </c:pt>
                <c:pt idx="81">
                  <c:v>47.322158799999997</c:v>
                </c:pt>
                <c:pt idx="82">
                  <c:v>44.72296</c:v>
                </c:pt>
                <c:pt idx="83">
                  <c:v>46.257488700000003</c:v>
                </c:pt>
                <c:pt idx="84">
                  <c:v>41.384844299999997</c:v>
                </c:pt>
                <c:pt idx="85">
                  <c:v>43.506281999999999</c:v>
                </c:pt>
                <c:pt idx="86">
                  <c:v>43.847410799999999</c:v>
                </c:pt>
                <c:pt idx="87">
                  <c:v>50.3963848</c:v>
                </c:pt>
                <c:pt idx="88">
                  <c:v>45.331824500000003</c:v>
                </c:pt>
                <c:pt idx="89">
                  <c:v>43.160619199999999</c:v>
                </c:pt>
                <c:pt idx="90">
                  <c:v>48.205250599999999</c:v>
                </c:pt>
                <c:pt idx="91">
                  <c:v>55.296783400000002</c:v>
                </c:pt>
                <c:pt idx="92">
                  <c:v>55.592694199999997</c:v>
                </c:pt>
                <c:pt idx="93">
                  <c:v>55.999515100000004</c:v>
                </c:pt>
                <c:pt idx="94">
                  <c:v>56.489759599999999</c:v>
                </c:pt>
                <c:pt idx="95">
                  <c:v>52.024617900000003</c:v>
                </c:pt>
                <c:pt idx="96">
                  <c:v>50.603485200000001</c:v>
                </c:pt>
                <c:pt idx="97">
                  <c:v>51.604892499999998</c:v>
                </c:pt>
                <c:pt idx="98">
                  <c:v>57.037373799999997</c:v>
                </c:pt>
                <c:pt idx="99">
                  <c:v>51.119039700000002</c:v>
                </c:pt>
                <c:pt idx="100">
                  <c:v>53.659748999999998</c:v>
                </c:pt>
                <c:pt idx="101">
                  <c:v>65.722597399999998</c:v>
                </c:pt>
                <c:pt idx="102">
                  <c:v>62.549366800000001</c:v>
                </c:pt>
                <c:pt idx="103">
                  <c:v>63.089107499999997</c:v>
                </c:pt>
                <c:pt idx="104">
                  <c:v>54.813281400000001</c:v>
                </c:pt>
                <c:pt idx="105">
                  <c:v>53.932843099999999</c:v>
                </c:pt>
                <c:pt idx="106">
                  <c:v>62.096540500000003</c:v>
                </c:pt>
                <c:pt idx="107">
                  <c:v>60.543126800000003</c:v>
                </c:pt>
                <c:pt idx="108">
                  <c:v>53.893244899999999</c:v>
                </c:pt>
                <c:pt idx="109">
                  <c:v>59.3264031</c:v>
                </c:pt>
                <c:pt idx="110">
                  <c:v>53.963897299999999</c:v>
                </c:pt>
                <c:pt idx="111">
                  <c:v>51.6777558</c:v>
                </c:pt>
                <c:pt idx="112">
                  <c:v>55.982627999999998</c:v>
                </c:pt>
                <c:pt idx="113">
                  <c:v>56.926979600000003</c:v>
                </c:pt>
                <c:pt idx="114">
                  <c:v>57.571654199999998</c:v>
                </c:pt>
                <c:pt idx="115">
                  <c:v>63.505830099999997</c:v>
                </c:pt>
                <c:pt idx="116">
                  <c:v>59.650289200000003</c:v>
                </c:pt>
                <c:pt idx="117">
                  <c:v>60.315953700000001</c:v>
                </c:pt>
                <c:pt idx="118">
                  <c:v>53.9794865</c:v>
                </c:pt>
                <c:pt idx="119">
                  <c:v>53.371256199999998</c:v>
                </c:pt>
                <c:pt idx="120">
                  <c:v>60.002753599999998</c:v>
                </c:pt>
                <c:pt idx="121">
                  <c:v>55.846060999999999</c:v>
                </c:pt>
                <c:pt idx="122">
                  <c:v>65.310860500000004</c:v>
                </c:pt>
                <c:pt idx="123">
                  <c:v>64.8647651</c:v>
                </c:pt>
                <c:pt idx="124">
                  <c:v>66.658480400000002</c:v>
                </c:pt>
                <c:pt idx="125">
                  <c:v>66.295774499999993</c:v>
                </c:pt>
                <c:pt idx="126">
                  <c:v>62.442422299999997</c:v>
                </c:pt>
                <c:pt idx="127">
                  <c:v>64.854621100000003</c:v>
                </c:pt>
                <c:pt idx="128">
                  <c:v>74.429528399999995</c:v>
                </c:pt>
                <c:pt idx="129">
                  <c:v>71.964478600000007</c:v>
                </c:pt>
                <c:pt idx="130">
                  <c:v>77.966716000000005</c:v>
                </c:pt>
                <c:pt idx="131">
                  <c:v>75.4739553</c:v>
                </c:pt>
                <c:pt idx="132">
                  <c:v>76.728195099999994</c:v>
                </c:pt>
                <c:pt idx="133">
                  <c:v>75.756155100000001</c:v>
                </c:pt>
                <c:pt idx="134">
                  <c:v>78.546587900000006</c:v>
                </c:pt>
                <c:pt idx="135">
                  <c:v>79.405714900000007</c:v>
                </c:pt>
                <c:pt idx="136">
                  <c:v>79.476894999999999</c:v>
                </c:pt>
                <c:pt idx="137">
                  <c:v>72.424204799999998</c:v>
                </c:pt>
                <c:pt idx="138">
                  <c:v>68.3853024</c:v>
                </c:pt>
                <c:pt idx="139">
                  <c:v>75.219882299999995</c:v>
                </c:pt>
                <c:pt idx="140">
                  <c:v>77.637354999999999</c:v>
                </c:pt>
                <c:pt idx="141">
                  <c:v>84.574370999999999</c:v>
                </c:pt>
                <c:pt idx="142">
                  <c:v>87.698771699999995</c:v>
                </c:pt>
                <c:pt idx="143">
                  <c:v>87.618909700000003</c:v>
                </c:pt>
                <c:pt idx="144">
                  <c:v>93.7916417</c:v>
                </c:pt>
                <c:pt idx="145">
                  <c:v>87.915459400000003</c:v>
                </c:pt>
                <c:pt idx="146">
                  <c:v>83.604673199999993</c:v>
                </c:pt>
                <c:pt idx="147">
                  <c:v>88.936142399999994</c:v>
                </c:pt>
                <c:pt idx="148">
                  <c:v>92.018396600000003</c:v>
                </c:pt>
                <c:pt idx="149">
                  <c:v>95.0657815</c:v>
                </c:pt>
                <c:pt idx="150">
                  <c:v>89.960514399999994</c:v>
                </c:pt>
                <c:pt idx="151">
                  <c:v>84.075100399999997</c:v>
                </c:pt>
                <c:pt idx="152">
                  <c:v>88.241551200000004</c:v>
                </c:pt>
                <c:pt idx="153">
                  <c:v>78.894846000000001</c:v>
                </c:pt>
                <c:pt idx="154">
                  <c:v>90.182221299999995</c:v>
                </c:pt>
                <c:pt idx="155">
                  <c:v>84.635472399999998</c:v>
                </c:pt>
                <c:pt idx="156">
                  <c:v>90.258541600000001</c:v>
                </c:pt>
                <c:pt idx="157">
                  <c:v>92.528994100000006</c:v>
                </c:pt>
                <c:pt idx="158">
                  <c:v>88.090466199999995</c:v>
                </c:pt>
                <c:pt idx="159">
                  <c:v>92.378720999999999</c:v>
                </c:pt>
                <c:pt idx="160">
                  <c:v>86.826313900000002</c:v>
                </c:pt>
                <c:pt idx="161">
                  <c:v>86.582900800000004</c:v>
                </c:pt>
                <c:pt idx="162">
                  <c:v>86.668092099999996</c:v>
                </c:pt>
                <c:pt idx="163">
                  <c:v>88.854763899999995</c:v>
                </c:pt>
                <c:pt idx="164">
                  <c:v>89.709401900000003</c:v>
                </c:pt>
                <c:pt idx="165">
                  <c:v>86.647195499999995</c:v>
                </c:pt>
                <c:pt idx="166">
                  <c:v>91.829669699999997</c:v>
                </c:pt>
                <c:pt idx="167">
                  <c:v>94.764090199999998</c:v>
                </c:pt>
                <c:pt idx="168">
                  <c:v>91.563805599999995</c:v>
                </c:pt>
                <c:pt idx="169">
                  <c:v>83.527597700000001</c:v>
                </c:pt>
                <c:pt idx="170">
                  <c:v>87.467246399999993</c:v>
                </c:pt>
                <c:pt idx="171">
                  <c:v>83.980521100000004</c:v>
                </c:pt>
                <c:pt idx="172">
                  <c:v>83.552274400000002</c:v>
                </c:pt>
                <c:pt idx="173">
                  <c:v>92.286775500000005</c:v>
                </c:pt>
                <c:pt idx="174">
                  <c:v>93.163969800000004</c:v>
                </c:pt>
                <c:pt idx="175">
                  <c:v>92.4759514</c:v>
                </c:pt>
                <c:pt idx="176">
                  <c:v>86.353605900000005</c:v>
                </c:pt>
                <c:pt idx="177">
                  <c:v>100.590386</c:v>
                </c:pt>
                <c:pt idx="178">
                  <c:v>90.113509399999998</c:v>
                </c:pt>
                <c:pt idx="179">
                  <c:v>99.068719599999994</c:v>
                </c:pt>
                <c:pt idx="180">
                  <c:v>99.006963799999994</c:v>
                </c:pt>
                <c:pt idx="181">
                  <c:v>105.1808253</c:v>
                </c:pt>
                <c:pt idx="182">
                  <c:v>103.3081433</c:v>
                </c:pt>
                <c:pt idx="183">
                  <c:v>98.817613199999997</c:v>
                </c:pt>
                <c:pt idx="184">
                  <c:v>98.309209300000006</c:v>
                </c:pt>
                <c:pt idx="185">
                  <c:v>99.366925199999997</c:v>
                </c:pt>
                <c:pt idx="186">
                  <c:v>97.663835199999994</c:v>
                </c:pt>
                <c:pt idx="187">
                  <c:v>98.266201199999998</c:v>
                </c:pt>
                <c:pt idx="188">
                  <c:v>88.875582300000005</c:v>
                </c:pt>
                <c:pt idx="189">
                  <c:v>94.0960149</c:v>
                </c:pt>
                <c:pt idx="190">
                  <c:v>94.479408899999996</c:v>
                </c:pt>
                <c:pt idx="191">
                  <c:v>97.165934199999995</c:v>
                </c:pt>
                <c:pt idx="192">
                  <c:v>83.139072600000006</c:v>
                </c:pt>
                <c:pt idx="193">
                  <c:v>96.002134600000005</c:v>
                </c:pt>
                <c:pt idx="194">
                  <c:v>101.07733330000001</c:v>
                </c:pt>
                <c:pt idx="195">
                  <c:v>95.990173999999996</c:v>
                </c:pt>
                <c:pt idx="196">
                  <c:v>96.788188399999996</c:v>
                </c:pt>
                <c:pt idx="197">
                  <c:v>96.766866100000001</c:v>
                </c:pt>
                <c:pt idx="198">
                  <c:v>95.646928399999993</c:v>
                </c:pt>
                <c:pt idx="199">
                  <c:v>99.231713400000004</c:v>
                </c:pt>
                <c:pt idx="200">
                  <c:v>97.548207899999994</c:v>
                </c:pt>
                <c:pt idx="201">
                  <c:v>95.436428000000006</c:v>
                </c:pt>
                <c:pt idx="202">
                  <c:v>110.2425484</c:v>
                </c:pt>
                <c:pt idx="203">
                  <c:v>98.113241500000001</c:v>
                </c:pt>
                <c:pt idx="204">
                  <c:v>98.757487699999999</c:v>
                </c:pt>
                <c:pt idx="205">
                  <c:v>65.445070099999995</c:v>
                </c:pt>
                <c:pt idx="206">
                  <c:v>77.2377611</c:v>
                </c:pt>
                <c:pt idx="207">
                  <c:v>79.041410400000004</c:v>
                </c:pt>
                <c:pt idx="208">
                  <c:v>92.776463800000002</c:v>
                </c:pt>
                <c:pt idx="209">
                  <c:v>90.177060699999998</c:v>
                </c:pt>
                <c:pt idx="210">
                  <c:v>94.037164799999999</c:v>
                </c:pt>
                <c:pt idx="211">
                  <c:v>88.060088500000006</c:v>
                </c:pt>
                <c:pt idx="212">
                  <c:v>92.826923500000007</c:v>
                </c:pt>
                <c:pt idx="213">
                  <c:v>99.815442399999995</c:v>
                </c:pt>
                <c:pt idx="214">
                  <c:v>110.4474409</c:v>
                </c:pt>
                <c:pt idx="215">
                  <c:v>110.9953402</c:v>
                </c:pt>
                <c:pt idx="216">
                  <c:v>107.20998059999999</c:v>
                </c:pt>
                <c:pt idx="217">
                  <c:v>107.472373</c:v>
                </c:pt>
                <c:pt idx="218">
                  <c:v>101.6611106</c:v>
                </c:pt>
                <c:pt idx="219">
                  <c:v>100.5606677</c:v>
                </c:pt>
                <c:pt idx="220">
                  <c:v>94.731094100000007</c:v>
                </c:pt>
                <c:pt idx="221">
                  <c:v>89.609362700000005</c:v>
                </c:pt>
                <c:pt idx="222">
                  <c:v>92.431468100000004</c:v>
                </c:pt>
                <c:pt idx="223">
                  <c:v>89.1177694</c:v>
                </c:pt>
                <c:pt idx="224">
                  <c:v>89.930707299999995</c:v>
                </c:pt>
                <c:pt idx="225">
                  <c:v>82.933405800000003</c:v>
                </c:pt>
                <c:pt idx="226">
                  <c:v>86.808895000000007</c:v>
                </c:pt>
                <c:pt idx="227">
                  <c:v>84.069326700000005</c:v>
                </c:pt>
                <c:pt idx="228">
                  <c:v>84.167129000000003</c:v>
                </c:pt>
                <c:pt idx="229">
                  <c:v>85.028069000000002</c:v>
                </c:pt>
                <c:pt idx="230">
                  <c:v>79.542753899999994</c:v>
                </c:pt>
                <c:pt idx="231">
                  <c:v>79.882668499999994</c:v>
                </c:pt>
                <c:pt idx="232">
                  <c:v>77.8510706</c:v>
                </c:pt>
                <c:pt idx="233">
                  <c:v>70.498483199999995</c:v>
                </c:pt>
                <c:pt idx="234">
                  <c:v>74.928730900000005</c:v>
                </c:pt>
                <c:pt idx="235">
                  <c:v>67.933295999999999</c:v>
                </c:pt>
                <c:pt idx="236">
                  <c:v>70.903539600000002</c:v>
                </c:pt>
                <c:pt idx="237">
                  <c:v>66.338136300000002</c:v>
                </c:pt>
                <c:pt idx="238">
                  <c:v>68.994442199999995</c:v>
                </c:pt>
                <c:pt idx="239">
                  <c:v>60.4951723</c:v>
                </c:pt>
                <c:pt idx="240">
                  <c:v>62.752940099999996</c:v>
                </c:pt>
              </c:numCache>
            </c:numRef>
          </c:val>
          <c:smooth val="0"/>
          <c:extLst>
            <c:ext xmlns:c16="http://schemas.microsoft.com/office/drawing/2014/chart" uri="{C3380CC4-5D6E-409C-BE32-E72D297353CC}">
              <c16:uniqueId val="{00000002-95DF-44A7-BF0B-E2DD308F48D6}"/>
            </c:ext>
          </c:extLst>
        </c:ser>
        <c:dLbls>
          <c:showLegendKey val="0"/>
          <c:showVal val="0"/>
          <c:showCatName val="0"/>
          <c:showSerName val="0"/>
          <c:showPercent val="0"/>
          <c:showBubbleSize val="0"/>
        </c:dLbls>
        <c:marker val="1"/>
        <c:smooth val="0"/>
        <c:axId val="1729781632"/>
        <c:axId val="1729787456"/>
      </c:lineChart>
      <c:dateAx>
        <c:axId val="1729781632"/>
        <c:scaling>
          <c:orientation val="minMax"/>
        </c:scaling>
        <c:delete val="0"/>
        <c:axPos val="b"/>
        <c:numFmt formatCode="mmm\-yy" sourceLinked="0"/>
        <c:majorTickMark val="out"/>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29787456"/>
        <c:crosses val="autoZero"/>
        <c:auto val="1"/>
        <c:lblOffset val="100"/>
        <c:baseTimeUnit val="months"/>
        <c:majorUnit val="12"/>
        <c:majorTimeUnit val="months"/>
      </c:dateAx>
      <c:valAx>
        <c:axId val="17297874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29781632"/>
        <c:crosses val="autoZero"/>
        <c:crossBetween val="between"/>
      </c:valAx>
      <c:valAx>
        <c:axId val="172637588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26388784"/>
        <c:crosses val="max"/>
        <c:crossBetween val="between"/>
      </c:valAx>
      <c:dateAx>
        <c:axId val="1726388784"/>
        <c:scaling>
          <c:orientation val="minMax"/>
        </c:scaling>
        <c:delete val="1"/>
        <c:axPos val="b"/>
        <c:numFmt formatCode="mmm\-yyyy" sourceLinked="1"/>
        <c:majorTickMark val="out"/>
        <c:minorTickMark val="none"/>
        <c:tickLblPos val="nextTo"/>
        <c:crossAx val="1726375888"/>
        <c:crosses val="autoZero"/>
        <c:auto val="1"/>
        <c:lblOffset val="100"/>
        <c:baseTimeUnit val="months"/>
        <c:majorUnit val="1"/>
        <c:minorUnit val="1"/>
      </c:dateAx>
      <c:spPr>
        <a:noFill/>
        <a:ln>
          <a:noFill/>
        </a:ln>
        <a:effectLst/>
      </c:spPr>
    </c:plotArea>
    <c:legend>
      <c:legendPos val="t"/>
      <c:layout>
        <c:manualLayout>
          <c:xMode val="edge"/>
          <c:yMode val="edge"/>
          <c:x val="0.11562855424321959"/>
          <c:y val="1.9801980198019802E-2"/>
          <c:w val="0.426729002624672"/>
          <c:h val="0.22827901986704216"/>
        </c:manualLayout>
      </c:layout>
      <c:overlay val="1"/>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353925271536177E-2"/>
          <c:y val="2.4917934304533464E-2"/>
          <c:w val="0.84602845844677821"/>
          <c:h val="0.78466885728573388"/>
        </c:manualLayout>
      </c:layout>
      <c:lineChart>
        <c:grouping val="standard"/>
        <c:varyColors val="0"/>
        <c:ser>
          <c:idx val="0"/>
          <c:order val="0"/>
          <c:tx>
            <c:strRef>
              <c:f>'Chart 1 - rec rate'!$B$2</c:f>
              <c:strCache>
                <c:ptCount val="1"/>
                <c:pt idx="0">
                  <c:v>Capital Cities</c:v>
                </c:pt>
              </c:strCache>
            </c:strRef>
          </c:tx>
          <c:spPr>
            <a:ln w="25400" cap="rnd">
              <a:solidFill>
                <a:schemeClr val="bg2"/>
              </a:solidFill>
              <a:round/>
              <a:tailEnd type="none"/>
            </a:ln>
            <a:effectLst/>
          </c:spPr>
          <c:marker>
            <c:symbol val="none"/>
          </c:marker>
          <c:dPt>
            <c:idx val="8"/>
            <c:marker>
              <c:symbol val="none"/>
            </c:marker>
            <c:bubble3D val="0"/>
            <c:spPr>
              <a:ln w="25400" cap="rnd">
                <a:solidFill>
                  <a:schemeClr val="bg2"/>
                </a:solidFill>
                <a:prstDash val="sysDot"/>
                <a:round/>
                <a:tailEnd type="none"/>
              </a:ln>
              <a:effectLst/>
            </c:spPr>
            <c:extLst>
              <c:ext xmlns:c16="http://schemas.microsoft.com/office/drawing/2014/chart" uri="{C3380CC4-5D6E-409C-BE32-E72D297353CC}">
                <c16:uniqueId val="{00000001-4F80-4614-8991-277F92013383}"/>
              </c:ext>
            </c:extLst>
          </c:dPt>
          <c:dPt>
            <c:idx val="20"/>
            <c:marker>
              <c:symbol val="none"/>
            </c:marker>
            <c:bubble3D val="0"/>
            <c:spPr>
              <a:ln w="25400" cap="rnd">
                <a:solidFill>
                  <a:schemeClr val="bg2"/>
                </a:solidFill>
                <a:prstDash val="sysDot"/>
                <a:round/>
                <a:tailEnd type="none"/>
              </a:ln>
              <a:effectLst/>
            </c:spPr>
            <c:extLst>
              <c:ext xmlns:c16="http://schemas.microsoft.com/office/drawing/2014/chart" uri="{C3380CC4-5D6E-409C-BE32-E72D297353CC}">
                <c16:uniqueId val="{00000003-4F80-4614-8991-277F92013383}"/>
              </c:ext>
            </c:extLst>
          </c:dPt>
          <c:dPt>
            <c:idx val="32"/>
            <c:marker>
              <c:symbol val="none"/>
            </c:marker>
            <c:bubble3D val="0"/>
            <c:spPr>
              <a:ln w="25400" cap="flat">
                <a:solidFill>
                  <a:schemeClr val="bg2"/>
                </a:solidFill>
                <a:prstDash val="sysDot"/>
                <a:round/>
                <a:tailEnd type="none"/>
              </a:ln>
              <a:effectLst/>
            </c:spPr>
            <c:extLst>
              <c:ext xmlns:c16="http://schemas.microsoft.com/office/drawing/2014/chart" uri="{C3380CC4-5D6E-409C-BE32-E72D297353CC}">
                <c16:uniqueId val="{00000005-4F80-4614-8991-277F92013383}"/>
              </c:ext>
            </c:extLst>
          </c:dPt>
          <c:cat>
            <c:numRef>
              <c:f>'Chart 1 - rec rate'!$A$3:$A$36</c:f>
              <c:numCache>
                <c:formatCode>mmm\-yy</c:formatCode>
                <c:ptCount val="34"/>
                <c:pt idx="0">
                  <c:v>44012</c:v>
                </c:pt>
                <c:pt idx="1">
                  <c:v>44043</c:v>
                </c:pt>
                <c:pt idx="2">
                  <c:v>44074</c:v>
                </c:pt>
                <c:pt idx="3">
                  <c:v>44104</c:v>
                </c:pt>
                <c:pt idx="4">
                  <c:v>44135</c:v>
                </c:pt>
                <c:pt idx="5">
                  <c:v>44165</c:v>
                </c:pt>
                <c:pt idx="6">
                  <c:v>44196</c:v>
                </c:pt>
                <c:pt idx="7">
                  <c:v>44227</c:v>
                </c:pt>
                <c:pt idx="8">
                  <c:v>44255</c:v>
                </c:pt>
                <c:pt idx="9">
                  <c:v>44286</c:v>
                </c:pt>
                <c:pt idx="10">
                  <c:v>44316</c:v>
                </c:pt>
                <c:pt idx="11">
                  <c:v>44347</c:v>
                </c:pt>
                <c:pt idx="12">
                  <c:v>44377</c:v>
                </c:pt>
                <c:pt idx="13">
                  <c:v>44408</c:v>
                </c:pt>
                <c:pt idx="14">
                  <c:v>44439</c:v>
                </c:pt>
                <c:pt idx="15">
                  <c:v>44469</c:v>
                </c:pt>
                <c:pt idx="16">
                  <c:v>44500</c:v>
                </c:pt>
                <c:pt idx="17">
                  <c:v>44530</c:v>
                </c:pt>
                <c:pt idx="18">
                  <c:v>44561</c:v>
                </c:pt>
                <c:pt idx="19">
                  <c:v>44592</c:v>
                </c:pt>
                <c:pt idx="20">
                  <c:v>44620</c:v>
                </c:pt>
                <c:pt idx="21">
                  <c:v>44651</c:v>
                </c:pt>
                <c:pt idx="22">
                  <c:v>44681</c:v>
                </c:pt>
                <c:pt idx="23">
                  <c:v>44712</c:v>
                </c:pt>
                <c:pt idx="24">
                  <c:v>44742</c:v>
                </c:pt>
                <c:pt idx="25">
                  <c:v>44773</c:v>
                </c:pt>
                <c:pt idx="26">
                  <c:v>44804</c:v>
                </c:pt>
                <c:pt idx="27">
                  <c:v>44834</c:v>
                </c:pt>
                <c:pt idx="28">
                  <c:v>44865</c:v>
                </c:pt>
                <c:pt idx="29">
                  <c:v>44895</c:v>
                </c:pt>
                <c:pt idx="30">
                  <c:v>44926</c:v>
                </c:pt>
                <c:pt idx="31">
                  <c:v>44957</c:v>
                </c:pt>
                <c:pt idx="32">
                  <c:v>44985</c:v>
                </c:pt>
                <c:pt idx="33">
                  <c:v>45016</c:v>
                </c:pt>
              </c:numCache>
            </c:numRef>
          </c:cat>
          <c:val>
            <c:numRef>
              <c:f>'Chart 1 - rec rate'!$B$3:$B$36</c:f>
              <c:numCache>
                <c:formatCode>#0%;\(#0%\)</c:formatCode>
                <c:ptCount val="34"/>
                <c:pt idx="0">
                  <c:v>0.23</c:v>
                </c:pt>
                <c:pt idx="1">
                  <c:v>0.26</c:v>
                </c:pt>
                <c:pt idx="2">
                  <c:v>0.3</c:v>
                </c:pt>
                <c:pt idx="3">
                  <c:v>0.32</c:v>
                </c:pt>
                <c:pt idx="4">
                  <c:v>0.38</c:v>
                </c:pt>
                <c:pt idx="5">
                  <c:v>0.41</c:v>
                </c:pt>
                <c:pt idx="6">
                  <c:v>0.4</c:v>
                </c:pt>
                <c:pt idx="7">
                  <c:v>#N/A</c:v>
                </c:pt>
                <c:pt idx="8">
                  <c:v>0.44</c:v>
                </c:pt>
                <c:pt idx="9">
                  <c:v>0.44</c:v>
                </c:pt>
                <c:pt idx="10">
                  <c:v>0.44</c:v>
                </c:pt>
                <c:pt idx="11">
                  <c:v>0.44</c:v>
                </c:pt>
                <c:pt idx="12">
                  <c:v>0.48</c:v>
                </c:pt>
                <c:pt idx="13">
                  <c:v>0.41</c:v>
                </c:pt>
                <c:pt idx="14">
                  <c:v>0.36</c:v>
                </c:pt>
                <c:pt idx="15">
                  <c:v>0.36</c:v>
                </c:pt>
                <c:pt idx="16">
                  <c:v>0.45</c:v>
                </c:pt>
                <c:pt idx="17">
                  <c:v>0.5</c:v>
                </c:pt>
                <c:pt idx="18">
                  <c:v>0.48</c:v>
                </c:pt>
                <c:pt idx="19">
                  <c:v>#N/A</c:v>
                </c:pt>
                <c:pt idx="20">
                  <c:v>0.55000000000000004</c:v>
                </c:pt>
                <c:pt idx="21">
                  <c:v>0.53</c:v>
                </c:pt>
                <c:pt idx="22">
                  <c:v>0.54</c:v>
                </c:pt>
                <c:pt idx="23">
                  <c:v>0.57999999999999996</c:v>
                </c:pt>
                <c:pt idx="24">
                  <c:v>0.56000000000000005</c:v>
                </c:pt>
                <c:pt idx="25">
                  <c:v>0.56999999999999995</c:v>
                </c:pt>
                <c:pt idx="26">
                  <c:v>0.54</c:v>
                </c:pt>
                <c:pt idx="27">
                  <c:v>0.57999999999999996</c:v>
                </c:pt>
                <c:pt idx="28">
                  <c:v>0.57999999999999996</c:v>
                </c:pt>
                <c:pt idx="29">
                  <c:v>0.56999999999999995</c:v>
                </c:pt>
                <c:pt idx="30">
                  <c:v>0.53</c:v>
                </c:pt>
                <c:pt idx="31">
                  <c:v>#N/A</c:v>
                </c:pt>
                <c:pt idx="32">
                  <c:v>0.54</c:v>
                </c:pt>
                <c:pt idx="33">
                  <c:v>0.55000000000000004</c:v>
                </c:pt>
              </c:numCache>
            </c:numRef>
          </c:val>
          <c:smooth val="0"/>
          <c:extLst>
            <c:ext xmlns:c16="http://schemas.microsoft.com/office/drawing/2014/chart" uri="{C3380CC4-5D6E-409C-BE32-E72D297353CC}">
              <c16:uniqueId val="{00000006-4F80-4614-8991-277F92013383}"/>
            </c:ext>
          </c:extLst>
        </c:ser>
        <c:ser>
          <c:idx val="1"/>
          <c:order val="1"/>
          <c:tx>
            <c:strRef>
              <c:f>'Chart 1 - rec rate'!$C$2</c:f>
              <c:strCache>
                <c:ptCount val="1"/>
                <c:pt idx="0">
                  <c:v>Rest of State areas</c:v>
                </c:pt>
              </c:strCache>
            </c:strRef>
          </c:tx>
          <c:spPr>
            <a:ln w="25400" cap="rnd">
              <a:solidFill>
                <a:schemeClr val="accent1"/>
              </a:solidFill>
              <a:round/>
            </a:ln>
            <a:effectLst/>
          </c:spPr>
          <c:marker>
            <c:symbol val="none"/>
          </c:marker>
          <c:dPt>
            <c:idx val="8"/>
            <c:marker>
              <c:symbol val="none"/>
            </c:marker>
            <c:bubble3D val="0"/>
            <c:spPr>
              <a:ln w="25400" cap="rnd">
                <a:solidFill>
                  <a:schemeClr val="accent1"/>
                </a:solidFill>
                <a:prstDash val="sysDot"/>
                <a:round/>
              </a:ln>
              <a:effectLst/>
            </c:spPr>
            <c:extLst>
              <c:ext xmlns:c16="http://schemas.microsoft.com/office/drawing/2014/chart" uri="{C3380CC4-5D6E-409C-BE32-E72D297353CC}">
                <c16:uniqueId val="{00000008-4F80-4614-8991-277F92013383}"/>
              </c:ext>
            </c:extLst>
          </c:dPt>
          <c:dPt>
            <c:idx val="20"/>
            <c:marker>
              <c:symbol val="none"/>
            </c:marker>
            <c:bubble3D val="0"/>
            <c:spPr>
              <a:ln w="25400" cap="rnd">
                <a:solidFill>
                  <a:schemeClr val="accent1"/>
                </a:solidFill>
                <a:prstDash val="sysDot"/>
                <a:round/>
              </a:ln>
              <a:effectLst/>
            </c:spPr>
            <c:extLst>
              <c:ext xmlns:c16="http://schemas.microsoft.com/office/drawing/2014/chart" uri="{C3380CC4-5D6E-409C-BE32-E72D297353CC}">
                <c16:uniqueId val="{0000000A-4F80-4614-8991-277F92013383}"/>
              </c:ext>
            </c:extLst>
          </c:dPt>
          <c:dPt>
            <c:idx val="32"/>
            <c:marker>
              <c:symbol val="none"/>
            </c:marker>
            <c:bubble3D val="0"/>
            <c:spPr>
              <a:ln w="25400" cap="rnd">
                <a:solidFill>
                  <a:schemeClr val="accent1"/>
                </a:solidFill>
                <a:prstDash val="sysDot"/>
                <a:round/>
                <a:tailEnd type="none"/>
              </a:ln>
              <a:effectLst/>
            </c:spPr>
            <c:extLst>
              <c:ext xmlns:c16="http://schemas.microsoft.com/office/drawing/2014/chart" uri="{C3380CC4-5D6E-409C-BE32-E72D297353CC}">
                <c16:uniqueId val="{0000000C-4F80-4614-8991-277F92013383}"/>
              </c:ext>
            </c:extLst>
          </c:dPt>
          <c:cat>
            <c:numRef>
              <c:f>'Chart 1 - rec rate'!$A$3:$A$36</c:f>
              <c:numCache>
                <c:formatCode>mmm\-yy</c:formatCode>
                <c:ptCount val="34"/>
                <c:pt idx="0">
                  <c:v>44012</c:v>
                </c:pt>
                <c:pt idx="1">
                  <c:v>44043</c:v>
                </c:pt>
                <c:pt idx="2">
                  <c:v>44074</c:v>
                </c:pt>
                <c:pt idx="3">
                  <c:v>44104</c:v>
                </c:pt>
                <c:pt idx="4">
                  <c:v>44135</c:v>
                </c:pt>
                <c:pt idx="5">
                  <c:v>44165</c:v>
                </c:pt>
                <c:pt idx="6">
                  <c:v>44196</c:v>
                </c:pt>
                <c:pt idx="7">
                  <c:v>44227</c:v>
                </c:pt>
                <c:pt idx="8">
                  <c:v>44255</c:v>
                </c:pt>
                <c:pt idx="9">
                  <c:v>44286</c:v>
                </c:pt>
                <c:pt idx="10">
                  <c:v>44316</c:v>
                </c:pt>
                <c:pt idx="11">
                  <c:v>44347</c:v>
                </c:pt>
                <c:pt idx="12">
                  <c:v>44377</c:v>
                </c:pt>
                <c:pt idx="13">
                  <c:v>44408</c:v>
                </c:pt>
                <c:pt idx="14">
                  <c:v>44439</c:v>
                </c:pt>
                <c:pt idx="15">
                  <c:v>44469</c:v>
                </c:pt>
                <c:pt idx="16">
                  <c:v>44500</c:v>
                </c:pt>
                <c:pt idx="17">
                  <c:v>44530</c:v>
                </c:pt>
                <c:pt idx="18">
                  <c:v>44561</c:v>
                </c:pt>
                <c:pt idx="19">
                  <c:v>44592</c:v>
                </c:pt>
                <c:pt idx="20">
                  <c:v>44620</c:v>
                </c:pt>
                <c:pt idx="21">
                  <c:v>44651</c:v>
                </c:pt>
                <c:pt idx="22">
                  <c:v>44681</c:v>
                </c:pt>
                <c:pt idx="23">
                  <c:v>44712</c:v>
                </c:pt>
                <c:pt idx="24">
                  <c:v>44742</c:v>
                </c:pt>
                <c:pt idx="25">
                  <c:v>44773</c:v>
                </c:pt>
                <c:pt idx="26">
                  <c:v>44804</c:v>
                </c:pt>
                <c:pt idx="27">
                  <c:v>44834</c:v>
                </c:pt>
                <c:pt idx="28">
                  <c:v>44865</c:v>
                </c:pt>
                <c:pt idx="29">
                  <c:v>44895</c:v>
                </c:pt>
                <c:pt idx="30">
                  <c:v>44926</c:v>
                </c:pt>
                <c:pt idx="31">
                  <c:v>44957</c:v>
                </c:pt>
                <c:pt idx="32">
                  <c:v>44985</c:v>
                </c:pt>
                <c:pt idx="33">
                  <c:v>45016</c:v>
                </c:pt>
              </c:numCache>
            </c:numRef>
          </c:cat>
          <c:val>
            <c:numRef>
              <c:f>'Chart 1 - rec rate'!$C$3:$C$36</c:f>
              <c:numCache>
                <c:formatCode>#0%;\(#0%\)</c:formatCode>
                <c:ptCount val="34"/>
                <c:pt idx="0">
                  <c:v>0.27</c:v>
                </c:pt>
                <c:pt idx="1">
                  <c:v>0.35</c:v>
                </c:pt>
                <c:pt idx="2">
                  <c:v>0.38</c:v>
                </c:pt>
                <c:pt idx="3">
                  <c:v>0.38</c:v>
                </c:pt>
                <c:pt idx="4">
                  <c:v>0.46</c:v>
                </c:pt>
                <c:pt idx="5">
                  <c:v>0.55000000000000004</c:v>
                </c:pt>
                <c:pt idx="6">
                  <c:v>0.5</c:v>
                </c:pt>
                <c:pt idx="7">
                  <c:v>#N/A</c:v>
                </c:pt>
                <c:pt idx="8">
                  <c:v>0.5</c:v>
                </c:pt>
                <c:pt idx="9">
                  <c:v>0.49</c:v>
                </c:pt>
                <c:pt idx="10">
                  <c:v>0.51</c:v>
                </c:pt>
                <c:pt idx="11">
                  <c:v>0.57999999999999996</c:v>
                </c:pt>
                <c:pt idx="12">
                  <c:v>0.48</c:v>
                </c:pt>
                <c:pt idx="13">
                  <c:v>0.48</c:v>
                </c:pt>
                <c:pt idx="14">
                  <c:v>0.43</c:v>
                </c:pt>
                <c:pt idx="15">
                  <c:v>0.36</c:v>
                </c:pt>
                <c:pt idx="16">
                  <c:v>0.45</c:v>
                </c:pt>
                <c:pt idx="17">
                  <c:v>0.51</c:v>
                </c:pt>
                <c:pt idx="18">
                  <c:v>0.55000000000000004</c:v>
                </c:pt>
                <c:pt idx="19">
                  <c:v>#N/A</c:v>
                </c:pt>
                <c:pt idx="20">
                  <c:v>0.54</c:v>
                </c:pt>
                <c:pt idx="21">
                  <c:v>0.61</c:v>
                </c:pt>
                <c:pt idx="22">
                  <c:v>0.6</c:v>
                </c:pt>
                <c:pt idx="23">
                  <c:v>0.6</c:v>
                </c:pt>
                <c:pt idx="24">
                  <c:v>0.61</c:v>
                </c:pt>
                <c:pt idx="25">
                  <c:v>0.62</c:v>
                </c:pt>
                <c:pt idx="26">
                  <c:v>0.57999999999999996</c:v>
                </c:pt>
                <c:pt idx="27">
                  <c:v>0.56999999999999995</c:v>
                </c:pt>
                <c:pt idx="28">
                  <c:v>0.57999999999999996</c:v>
                </c:pt>
                <c:pt idx="29">
                  <c:v>0.61</c:v>
                </c:pt>
                <c:pt idx="30">
                  <c:v>0.5</c:v>
                </c:pt>
                <c:pt idx="31">
                  <c:v>#N/A</c:v>
                </c:pt>
                <c:pt idx="32">
                  <c:v>0.57999999999999996</c:v>
                </c:pt>
                <c:pt idx="33">
                  <c:v>0.56000000000000005</c:v>
                </c:pt>
              </c:numCache>
            </c:numRef>
          </c:val>
          <c:smooth val="0"/>
          <c:extLst>
            <c:ext xmlns:c16="http://schemas.microsoft.com/office/drawing/2014/chart" uri="{C3380CC4-5D6E-409C-BE32-E72D297353CC}">
              <c16:uniqueId val="{0000000D-4F80-4614-8991-277F92013383}"/>
            </c:ext>
          </c:extLst>
        </c:ser>
        <c:ser>
          <c:idx val="2"/>
          <c:order val="2"/>
          <c:tx>
            <c:strRef>
              <c:f>'Chart 1 - rec rate'!$D$2</c:f>
              <c:strCache>
                <c:ptCount val="1"/>
                <c:pt idx="0">
                  <c:v>Australia</c:v>
                </c:pt>
              </c:strCache>
            </c:strRef>
          </c:tx>
          <c:spPr>
            <a:ln w="25400" cap="rnd">
              <a:solidFill>
                <a:schemeClr val="tx1"/>
              </a:solidFill>
              <a:round/>
            </a:ln>
            <a:effectLst/>
          </c:spPr>
          <c:marker>
            <c:symbol val="none"/>
          </c:marker>
          <c:cat>
            <c:numRef>
              <c:f>'Chart 1 - rec rate'!$A$3:$A$36</c:f>
              <c:numCache>
                <c:formatCode>mmm\-yy</c:formatCode>
                <c:ptCount val="34"/>
                <c:pt idx="0">
                  <c:v>44012</c:v>
                </c:pt>
                <c:pt idx="1">
                  <c:v>44043</c:v>
                </c:pt>
                <c:pt idx="2">
                  <c:v>44074</c:v>
                </c:pt>
                <c:pt idx="3">
                  <c:v>44104</c:v>
                </c:pt>
                <c:pt idx="4">
                  <c:v>44135</c:v>
                </c:pt>
                <c:pt idx="5">
                  <c:v>44165</c:v>
                </c:pt>
                <c:pt idx="6">
                  <c:v>44196</c:v>
                </c:pt>
                <c:pt idx="7">
                  <c:v>44227</c:v>
                </c:pt>
                <c:pt idx="8">
                  <c:v>44255</c:v>
                </c:pt>
                <c:pt idx="9">
                  <c:v>44286</c:v>
                </c:pt>
                <c:pt idx="10">
                  <c:v>44316</c:v>
                </c:pt>
                <c:pt idx="11">
                  <c:v>44347</c:v>
                </c:pt>
                <c:pt idx="12">
                  <c:v>44377</c:v>
                </c:pt>
                <c:pt idx="13">
                  <c:v>44408</c:v>
                </c:pt>
                <c:pt idx="14">
                  <c:v>44439</c:v>
                </c:pt>
                <c:pt idx="15">
                  <c:v>44469</c:v>
                </c:pt>
                <c:pt idx="16">
                  <c:v>44500</c:v>
                </c:pt>
                <c:pt idx="17">
                  <c:v>44530</c:v>
                </c:pt>
                <c:pt idx="18">
                  <c:v>44561</c:v>
                </c:pt>
                <c:pt idx="19">
                  <c:v>44592</c:v>
                </c:pt>
                <c:pt idx="20">
                  <c:v>44620</c:v>
                </c:pt>
                <c:pt idx="21">
                  <c:v>44651</c:v>
                </c:pt>
                <c:pt idx="22">
                  <c:v>44681</c:v>
                </c:pt>
                <c:pt idx="23">
                  <c:v>44712</c:v>
                </c:pt>
                <c:pt idx="24">
                  <c:v>44742</c:v>
                </c:pt>
                <c:pt idx="25">
                  <c:v>44773</c:v>
                </c:pt>
                <c:pt idx="26">
                  <c:v>44804</c:v>
                </c:pt>
                <c:pt idx="27">
                  <c:v>44834</c:v>
                </c:pt>
                <c:pt idx="28">
                  <c:v>44865</c:v>
                </c:pt>
                <c:pt idx="29">
                  <c:v>44895</c:v>
                </c:pt>
                <c:pt idx="30">
                  <c:v>44926</c:v>
                </c:pt>
                <c:pt idx="31">
                  <c:v>44957</c:v>
                </c:pt>
                <c:pt idx="32">
                  <c:v>44985</c:v>
                </c:pt>
                <c:pt idx="33">
                  <c:v>45016</c:v>
                </c:pt>
              </c:numCache>
            </c:numRef>
          </c:cat>
          <c:val>
            <c:numRef>
              <c:f>'Chart 1 - rec rate'!$D$3:$D$36</c:f>
              <c:numCache>
                <c:formatCode>#0%;\(#0%\)</c:formatCode>
                <c:ptCount val="34"/>
                <c:pt idx="0">
                  <c:v>0.24</c:v>
                </c:pt>
                <c:pt idx="1">
                  <c:v>0.28999999999999998</c:v>
                </c:pt>
                <c:pt idx="2">
                  <c:v>0.33</c:v>
                </c:pt>
                <c:pt idx="3">
                  <c:v>0.34</c:v>
                </c:pt>
                <c:pt idx="4">
                  <c:v>0.41</c:v>
                </c:pt>
                <c:pt idx="5">
                  <c:v>0.46</c:v>
                </c:pt>
                <c:pt idx="6">
                  <c:v>0.44</c:v>
                </c:pt>
                <c:pt idx="7">
                  <c:v>0.39</c:v>
                </c:pt>
                <c:pt idx="8">
                  <c:v>0.46</c:v>
                </c:pt>
                <c:pt idx="9">
                  <c:v>0.46</c:v>
                </c:pt>
                <c:pt idx="10">
                  <c:v>0.46</c:v>
                </c:pt>
                <c:pt idx="11">
                  <c:v>0.49</c:v>
                </c:pt>
                <c:pt idx="12">
                  <c:v>0.48</c:v>
                </c:pt>
                <c:pt idx="13">
                  <c:v>0.43</c:v>
                </c:pt>
                <c:pt idx="14">
                  <c:v>0.38</c:v>
                </c:pt>
                <c:pt idx="15">
                  <c:v>0.36</c:v>
                </c:pt>
                <c:pt idx="16">
                  <c:v>0.45</c:v>
                </c:pt>
                <c:pt idx="17">
                  <c:v>0.5</c:v>
                </c:pt>
                <c:pt idx="18">
                  <c:v>0.51</c:v>
                </c:pt>
                <c:pt idx="19">
                  <c:v>0.42</c:v>
                </c:pt>
                <c:pt idx="20">
                  <c:v>0.55000000000000004</c:v>
                </c:pt>
                <c:pt idx="21">
                  <c:v>0.56000000000000005</c:v>
                </c:pt>
                <c:pt idx="22">
                  <c:v>0.56000000000000005</c:v>
                </c:pt>
                <c:pt idx="23">
                  <c:v>0.59</c:v>
                </c:pt>
                <c:pt idx="24">
                  <c:v>0.57999999999999996</c:v>
                </c:pt>
                <c:pt idx="25">
                  <c:v>0.59</c:v>
                </c:pt>
                <c:pt idx="26">
                  <c:v>0.56000000000000005</c:v>
                </c:pt>
                <c:pt idx="27">
                  <c:v>0.57999999999999996</c:v>
                </c:pt>
                <c:pt idx="28">
                  <c:v>0.57999999999999996</c:v>
                </c:pt>
                <c:pt idx="29">
                  <c:v>0.57999999999999996</c:v>
                </c:pt>
                <c:pt idx="30">
                  <c:v>0.52</c:v>
                </c:pt>
                <c:pt idx="31">
                  <c:v>0.55000000000000004</c:v>
                </c:pt>
                <c:pt idx="32">
                  <c:v>0.55000000000000004</c:v>
                </c:pt>
                <c:pt idx="33">
                  <c:v>0.55000000000000004</c:v>
                </c:pt>
              </c:numCache>
            </c:numRef>
          </c:val>
          <c:smooth val="0"/>
          <c:extLst>
            <c:ext xmlns:c16="http://schemas.microsoft.com/office/drawing/2014/chart" uri="{C3380CC4-5D6E-409C-BE32-E72D297353CC}">
              <c16:uniqueId val="{0000000E-4F80-4614-8991-277F92013383}"/>
            </c:ext>
          </c:extLst>
        </c:ser>
        <c:dLbls>
          <c:showLegendKey val="0"/>
          <c:showVal val="0"/>
          <c:showCatName val="0"/>
          <c:showSerName val="0"/>
          <c:showPercent val="0"/>
          <c:showBubbleSize val="0"/>
        </c:dLbls>
        <c:smooth val="0"/>
        <c:axId val="2079359872"/>
        <c:axId val="2079360288"/>
      </c:lineChart>
      <c:dateAx>
        <c:axId val="207935987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mn-lt"/>
                <a:ea typeface="+mn-ea"/>
                <a:cs typeface="+mn-cs"/>
              </a:defRPr>
            </a:pPr>
            <a:endParaRPr lang="en-US"/>
          </a:p>
        </c:txPr>
        <c:crossAx val="2079360288"/>
        <c:crosses val="autoZero"/>
        <c:auto val="0"/>
        <c:lblOffset val="100"/>
        <c:baseTimeUnit val="months"/>
        <c:majorUnit val="3"/>
        <c:majorTimeUnit val="months"/>
        <c:minorUnit val="1"/>
      </c:dateAx>
      <c:valAx>
        <c:axId val="2079360288"/>
        <c:scaling>
          <c:orientation val="minMax"/>
          <c:max val="0.70000000000000007"/>
          <c:min val="0.2"/>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2079359872"/>
        <c:crosses val="autoZero"/>
        <c:crossBetween val="between"/>
        <c:majorUnit val="0.1"/>
      </c:valAx>
      <c:spPr>
        <a:noFill/>
        <a:ln>
          <a:noFill/>
        </a:ln>
        <a:effectLst/>
      </c:spPr>
    </c:plotArea>
    <c:legend>
      <c:legendPos val="r"/>
      <c:layout>
        <c:manualLayout>
          <c:xMode val="edge"/>
          <c:yMode val="edge"/>
          <c:x val="0.62107631921171558"/>
          <c:y val="0.47483239360786245"/>
          <c:w val="0.32936933174426941"/>
          <c:h val="0.2906062191263096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16570400610036"/>
          <c:y val="7.8198630343620845E-2"/>
          <c:w val="0.86610246752863762"/>
          <c:h val="0.74864301445077985"/>
        </c:manualLayout>
      </c:layout>
      <c:lineChart>
        <c:grouping val="standard"/>
        <c:varyColors val="0"/>
        <c:ser>
          <c:idx val="0"/>
          <c:order val="0"/>
          <c:tx>
            <c:strRef>
              <c:f>'Chart 2 - Reason for rec'!$B$2</c:f>
              <c:strCache>
                <c:ptCount val="1"/>
                <c:pt idx="0">
                  <c:v>Turnover only</c:v>
                </c:pt>
              </c:strCache>
            </c:strRef>
          </c:tx>
          <c:spPr>
            <a:ln w="25400" cap="rnd">
              <a:solidFill>
                <a:schemeClr val="bg2"/>
              </a:solidFill>
              <a:round/>
            </a:ln>
            <a:effectLst/>
          </c:spPr>
          <c:marker>
            <c:symbol val="none"/>
          </c:marker>
          <c:dPt>
            <c:idx val="6"/>
            <c:marker>
              <c:symbol val="none"/>
            </c:marker>
            <c:bubble3D val="0"/>
            <c:spPr>
              <a:ln w="25400" cap="rnd">
                <a:solidFill>
                  <a:schemeClr val="bg2"/>
                </a:solidFill>
                <a:prstDash val="sysDot"/>
                <a:round/>
              </a:ln>
              <a:effectLst/>
            </c:spPr>
            <c:extLst>
              <c:ext xmlns:c16="http://schemas.microsoft.com/office/drawing/2014/chart" uri="{C3380CC4-5D6E-409C-BE32-E72D297353CC}">
                <c16:uniqueId val="{00000001-BE67-43C6-B638-E886AEEAA409}"/>
              </c:ext>
            </c:extLst>
          </c:dPt>
          <c:dPt>
            <c:idx val="18"/>
            <c:marker>
              <c:symbol val="none"/>
            </c:marker>
            <c:bubble3D val="0"/>
            <c:spPr>
              <a:ln w="25400" cap="rnd">
                <a:solidFill>
                  <a:schemeClr val="bg2"/>
                </a:solidFill>
                <a:prstDash val="sysDot"/>
                <a:round/>
              </a:ln>
              <a:effectLst/>
            </c:spPr>
            <c:extLst>
              <c:ext xmlns:c16="http://schemas.microsoft.com/office/drawing/2014/chart" uri="{C3380CC4-5D6E-409C-BE32-E72D297353CC}">
                <c16:uniqueId val="{00000003-BE67-43C6-B638-E886AEEAA409}"/>
              </c:ext>
            </c:extLst>
          </c:dPt>
          <c:dPt>
            <c:idx val="30"/>
            <c:marker>
              <c:symbol val="none"/>
            </c:marker>
            <c:bubble3D val="0"/>
            <c:spPr>
              <a:ln w="25400" cap="rnd">
                <a:solidFill>
                  <a:schemeClr val="bg2"/>
                </a:solidFill>
                <a:prstDash val="sysDot"/>
                <a:round/>
                <a:tailEnd type="none"/>
              </a:ln>
              <a:effectLst/>
            </c:spPr>
            <c:extLst>
              <c:ext xmlns:c16="http://schemas.microsoft.com/office/drawing/2014/chart" uri="{C3380CC4-5D6E-409C-BE32-E72D297353CC}">
                <c16:uniqueId val="{00000005-BE67-43C6-B638-E886AEEAA409}"/>
              </c:ext>
            </c:extLst>
          </c:dPt>
          <c:cat>
            <c:numRef>
              <c:f>'Chart 2 - Reason for rec'!$A$3:$A$34</c:f>
              <c:numCache>
                <c:formatCode>mmm\-yy</c:formatCode>
                <c:ptCount val="32"/>
                <c:pt idx="0">
                  <c:v>44074</c:v>
                </c:pt>
                <c:pt idx="1">
                  <c:v>44104</c:v>
                </c:pt>
                <c:pt idx="2">
                  <c:v>44135</c:v>
                </c:pt>
                <c:pt idx="3">
                  <c:v>44165</c:v>
                </c:pt>
                <c:pt idx="4">
                  <c:v>44196</c:v>
                </c:pt>
                <c:pt idx="5">
                  <c:v>44227</c:v>
                </c:pt>
                <c:pt idx="6">
                  <c:v>44255</c:v>
                </c:pt>
                <c:pt idx="7">
                  <c:v>44286</c:v>
                </c:pt>
                <c:pt idx="8">
                  <c:v>44316</c:v>
                </c:pt>
                <c:pt idx="9">
                  <c:v>44347</c:v>
                </c:pt>
                <c:pt idx="10">
                  <c:v>44377</c:v>
                </c:pt>
                <c:pt idx="11">
                  <c:v>44408</c:v>
                </c:pt>
                <c:pt idx="12">
                  <c:v>44439</c:v>
                </c:pt>
                <c:pt idx="13">
                  <c:v>44469</c:v>
                </c:pt>
                <c:pt idx="14">
                  <c:v>44500</c:v>
                </c:pt>
                <c:pt idx="15">
                  <c:v>44530</c:v>
                </c:pt>
                <c:pt idx="16">
                  <c:v>44561</c:v>
                </c:pt>
                <c:pt idx="17">
                  <c:v>44592</c:v>
                </c:pt>
                <c:pt idx="18">
                  <c:v>44620</c:v>
                </c:pt>
                <c:pt idx="19">
                  <c:v>44651</c:v>
                </c:pt>
                <c:pt idx="20">
                  <c:v>44681</c:v>
                </c:pt>
                <c:pt idx="21">
                  <c:v>44712</c:v>
                </c:pt>
                <c:pt idx="22">
                  <c:v>44742</c:v>
                </c:pt>
                <c:pt idx="23">
                  <c:v>44773</c:v>
                </c:pt>
                <c:pt idx="24">
                  <c:v>44804</c:v>
                </c:pt>
                <c:pt idx="25">
                  <c:v>44834</c:v>
                </c:pt>
                <c:pt idx="26">
                  <c:v>44865</c:v>
                </c:pt>
                <c:pt idx="27">
                  <c:v>44895</c:v>
                </c:pt>
                <c:pt idx="28">
                  <c:v>44926</c:v>
                </c:pt>
                <c:pt idx="29">
                  <c:v>44957</c:v>
                </c:pt>
                <c:pt idx="30">
                  <c:v>44985</c:v>
                </c:pt>
                <c:pt idx="31">
                  <c:v>45016</c:v>
                </c:pt>
              </c:numCache>
            </c:numRef>
          </c:cat>
          <c:val>
            <c:numRef>
              <c:f>'Chart 2 - Reason for rec'!$B$3:$B$34</c:f>
              <c:numCache>
                <c:formatCode>#0%;\(#0%\)</c:formatCode>
                <c:ptCount val="32"/>
                <c:pt idx="0">
                  <c:v>0.49</c:v>
                </c:pt>
                <c:pt idx="1">
                  <c:v>0.55000000000000004</c:v>
                </c:pt>
                <c:pt idx="2">
                  <c:v>0.51</c:v>
                </c:pt>
                <c:pt idx="3">
                  <c:v>0.48</c:v>
                </c:pt>
                <c:pt idx="4">
                  <c:v>0.52</c:v>
                </c:pt>
                <c:pt idx="5">
                  <c:v>#N/A</c:v>
                </c:pt>
                <c:pt idx="6">
                  <c:v>0.57999999999999996</c:v>
                </c:pt>
                <c:pt idx="7">
                  <c:v>0.57999999999999996</c:v>
                </c:pt>
                <c:pt idx="8">
                  <c:v>0.56000000000000005</c:v>
                </c:pt>
                <c:pt idx="9">
                  <c:v>0.56000000000000005</c:v>
                </c:pt>
                <c:pt idx="10">
                  <c:v>0.56000000000000005</c:v>
                </c:pt>
                <c:pt idx="11">
                  <c:v>0.56000000000000005</c:v>
                </c:pt>
                <c:pt idx="12">
                  <c:v>0.57999999999999996</c:v>
                </c:pt>
                <c:pt idx="13">
                  <c:v>0.63</c:v>
                </c:pt>
                <c:pt idx="14">
                  <c:v>0.57999999999999996</c:v>
                </c:pt>
                <c:pt idx="15">
                  <c:v>0.57999999999999996</c:v>
                </c:pt>
                <c:pt idx="16">
                  <c:v>0.56999999999999995</c:v>
                </c:pt>
                <c:pt idx="17">
                  <c:v>#N/A</c:v>
                </c:pt>
                <c:pt idx="18">
                  <c:v>0.57999999999999996</c:v>
                </c:pt>
                <c:pt idx="19">
                  <c:v>0.65</c:v>
                </c:pt>
                <c:pt idx="20">
                  <c:v>0.6</c:v>
                </c:pt>
                <c:pt idx="21">
                  <c:v>0.61</c:v>
                </c:pt>
                <c:pt idx="22">
                  <c:v>0.61</c:v>
                </c:pt>
                <c:pt idx="23">
                  <c:v>0.65</c:v>
                </c:pt>
                <c:pt idx="24">
                  <c:v>0.63</c:v>
                </c:pt>
                <c:pt idx="25">
                  <c:v>0.61</c:v>
                </c:pt>
                <c:pt idx="26">
                  <c:v>0.61</c:v>
                </c:pt>
                <c:pt idx="27">
                  <c:v>0.55000000000000004</c:v>
                </c:pt>
                <c:pt idx="28">
                  <c:v>0.54</c:v>
                </c:pt>
                <c:pt idx="29">
                  <c:v>#N/A</c:v>
                </c:pt>
                <c:pt idx="30">
                  <c:v>0.54</c:v>
                </c:pt>
                <c:pt idx="31">
                  <c:v>0.64</c:v>
                </c:pt>
              </c:numCache>
            </c:numRef>
          </c:val>
          <c:smooth val="0"/>
          <c:extLst>
            <c:ext xmlns:c16="http://schemas.microsoft.com/office/drawing/2014/chart" uri="{C3380CC4-5D6E-409C-BE32-E72D297353CC}">
              <c16:uniqueId val="{00000006-BE67-43C6-B638-E886AEEAA409}"/>
            </c:ext>
          </c:extLst>
        </c:ser>
        <c:ser>
          <c:idx val="2"/>
          <c:order val="1"/>
          <c:tx>
            <c:strRef>
              <c:f>'Chart 2 - Reason for rec'!$D$2</c:f>
              <c:strCache>
                <c:ptCount val="1"/>
                <c:pt idx="0">
                  <c:v>New positions only</c:v>
                </c:pt>
              </c:strCache>
            </c:strRef>
          </c:tx>
          <c:spPr>
            <a:ln w="25400" cap="rnd">
              <a:solidFill>
                <a:schemeClr val="tx1"/>
              </a:solidFill>
              <a:round/>
            </a:ln>
            <a:effectLst/>
          </c:spPr>
          <c:marker>
            <c:symbol val="none"/>
          </c:marker>
          <c:dPt>
            <c:idx val="6"/>
            <c:marker>
              <c:symbol val="none"/>
            </c:marker>
            <c:bubble3D val="0"/>
            <c:spPr>
              <a:ln w="25400" cap="rnd">
                <a:solidFill>
                  <a:schemeClr val="tx1"/>
                </a:solidFill>
                <a:prstDash val="sysDot"/>
                <a:round/>
              </a:ln>
              <a:effectLst/>
            </c:spPr>
            <c:extLst>
              <c:ext xmlns:c16="http://schemas.microsoft.com/office/drawing/2014/chart" uri="{C3380CC4-5D6E-409C-BE32-E72D297353CC}">
                <c16:uniqueId val="{00000008-BE67-43C6-B638-E886AEEAA409}"/>
              </c:ext>
            </c:extLst>
          </c:dPt>
          <c:dPt>
            <c:idx val="18"/>
            <c:marker>
              <c:symbol val="none"/>
            </c:marker>
            <c:bubble3D val="0"/>
            <c:spPr>
              <a:ln w="25400" cap="rnd">
                <a:solidFill>
                  <a:schemeClr val="tx1"/>
                </a:solidFill>
                <a:prstDash val="sysDot"/>
                <a:round/>
              </a:ln>
              <a:effectLst/>
            </c:spPr>
            <c:extLst>
              <c:ext xmlns:c16="http://schemas.microsoft.com/office/drawing/2014/chart" uri="{C3380CC4-5D6E-409C-BE32-E72D297353CC}">
                <c16:uniqueId val="{0000000A-BE67-43C6-B638-E886AEEAA409}"/>
              </c:ext>
            </c:extLst>
          </c:dPt>
          <c:dPt>
            <c:idx val="30"/>
            <c:marker>
              <c:symbol val="none"/>
            </c:marker>
            <c:bubble3D val="0"/>
            <c:spPr>
              <a:ln w="25400" cap="rnd">
                <a:solidFill>
                  <a:schemeClr val="tx1"/>
                </a:solidFill>
                <a:prstDash val="sysDot"/>
                <a:round/>
                <a:tailEnd type="none"/>
              </a:ln>
              <a:effectLst/>
            </c:spPr>
            <c:extLst>
              <c:ext xmlns:c16="http://schemas.microsoft.com/office/drawing/2014/chart" uri="{C3380CC4-5D6E-409C-BE32-E72D297353CC}">
                <c16:uniqueId val="{0000000C-BE67-43C6-B638-E886AEEAA409}"/>
              </c:ext>
            </c:extLst>
          </c:dPt>
          <c:cat>
            <c:numRef>
              <c:f>'Chart 2 - Reason for rec'!$A$3:$A$34</c:f>
              <c:numCache>
                <c:formatCode>mmm\-yy</c:formatCode>
                <c:ptCount val="32"/>
                <c:pt idx="0">
                  <c:v>44074</c:v>
                </c:pt>
                <c:pt idx="1">
                  <c:v>44104</c:v>
                </c:pt>
                <c:pt idx="2">
                  <c:v>44135</c:v>
                </c:pt>
                <c:pt idx="3">
                  <c:v>44165</c:v>
                </c:pt>
                <c:pt idx="4">
                  <c:v>44196</c:v>
                </c:pt>
                <c:pt idx="5">
                  <c:v>44227</c:v>
                </c:pt>
                <c:pt idx="6">
                  <c:v>44255</c:v>
                </c:pt>
                <c:pt idx="7">
                  <c:v>44286</c:v>
                </c:pt>
                <c:pt idx="8">
                  <c:v>44316</c:v>
                </c:pt>
                <c:pt idx="9">
                  <c:v>44347</c:v>
                </c:pt>
                <c:pt idx="10">
                  <c:v>44377</c:v>
                </c:pt>
                <c:pt idx="11">
                  <c:v>44408</c:v>
                </c:pt>
                <c:pt idx="12">
                  <c:v>44439</c:v>
                </c:pt>
                <c:pt idx="13">
                  <c:v>44469</c:v>
                </c:pt>
                <c:pt idx="14">
                  <c:v>44500</c:v>
                </c:pt>
                <c:pt idx="15">
                  <c:v>44530</c:v>
                </c:pt>
                <c:pt idx="16">
                  <c:v>44561</c:v>
                </c:pt>
                <c:pt idx="17">
                  <c:v>44592</c:v>
                </c:pt>
                <c:pt idx="18">
                  <c:v>44620</c:v>
                </c:pt>
                <c:pt idx="19">
                  <c:v>44651</c:v>
                </c:pt>
                <c:pt idx="20">
                  <c:v>44681</c:v>
                </c:pt>
                <c:pt idx="21">
                  <c:v>44712</c:v>
                </c:pt>
                <c:pt idx="22">
                  <c:v>44742</c:v>
                </c:pt>
                <c:pt idx="23">
                  <c:v>44773</c:v>
                </c:pt>
                <c:pt idx="24">
                  <c:v>44804</c:v>
                </c:pt>
                <c:pt idx="25">
                  <c:v>44834</c:v>
                </c:pt>
                <c:pt idx="26">
                  <c:v>44865</c:v>
                </c:pt>
                <c:pt idx="27">
                  <c:v>44895</c:v>
                </c:pt>
                <c:pt idx="28">
                  <c:v>44926</c:v>
                </c:pt>
                <c:pt idx="29">
                  <c:v>44957</c:v>
                </c:pt>
                <c:pt idx="30">
                  <c:v>44985</c:v>
                </c:pt>
                <c:pt idx="31">
                  <c:v>45016</c:v>
                </c:pt>
              </c:numCache>
            </c:numRef>
          </c:cat>
          <c:val>
            <c:numRef>
              <c:f>'Chart 2 - Reason for rec'!$D$3:$D$34</c:f>
              <c:numCache>
                <c:formatCode>#0%;\(#0%\)</c:formatCode>
                <c:ptCount val="32"/>
                <c:pt idx="0">
                  <c:v>0.35</c:v>
                </c:pt>
                <c:pt idx="1">
                  <c:v>0.37</c:v>
                </c:pt>
                <c:pt idx="2">
                  <c:v>0.41</c:v>
                </c:pt>
                <c:pt idx="3">
                  <c:v>0.41</c:v>
                </c:pt>
                <c:pt idx="4">
                  <c:v>0.4</c:v>
                </c:pt>
                <c:pt idx="5">
                  <c:v>#N/A</c:v>
                </c:pt>
                <c:pt idx="6">
                  <c:v>0.35</c:v>
                </c:pt>
                <c:pt idx="7">
                  <c:v>0.34</c:v>
                </c:pt>
                <c:pt idx="8">
                  <c:v>0.34</c:v>
                </c:pt>
                <c:pt idx="9">
                  <c:v>0.35</c:v>
                </c:pt>
                <c:pt idx="10">
                  <c:v>0.36</c:v>
                </c:pt>
                <c:pt idx="11">
                  <c:v>0.35</c:v>
                </c:pt>
                <c:pt idx="12">
                  <c:v>0.33</c:v>
                </c:pt>
                <c:pt idx="13">
                  <c:v>0.3</c:v>
                </c:pt>
                <c:pt idx="14">
                  <c:v>0.34</c:v>
                </c:pt>
                <c:pt idx="15">
                  <c:v>0.3</c:v>
                </c:pt>
                <c:pt idx="16">
                  <c:v>0.33</c:v>
                </c:pt>
                <c:pt idx="17">
                  <c:v>#N/A</c:v>
                </c:pt>
                <c:pt idx="18">
                  <c:v>0.31</c:v>
                </c:pt>
                <c:pt idx="19">
                  <c:v>0.24</c:v>
                </c:pt>
                <c:pt idx="20">
                  <c:v>0.25</c:v>
                </c:pt>
                <c:pt idx="21">
                  <c:v>0.23</c:v>
                </c:pt>
                <c:pt idx="22">
                  <c:v>0.27</c:v>
                </c:pt>
                <c:pt idx="23">
                  <c:v>0.18</c:v>
                </c:pt>
                <c:pt idx="24">
                  <c:v>0.23</c:v>
                </c:pt>
                <c:pt idx="25">
                  <c:v>0.2</c:v>
                </c:pt>
                <c:pt idx="26">
                  <c:v>0.22</c:v>
                </c:pt>
                <c:pt idx="27">
                  <c:v>0.28000000000000003</c:v>
                </c:pt>
                <c:pt idx="28">
                  <c:v>0.24</c:v>
                </c:pt>
                <c:pt idx="29">
                  <c:v>#N/A</c:v>
                </c:pt>
                <c:pt idx="30">
                  <c:v>0.31</c:v>
                </c:pt>
                <c:pt idx="31">
                  <c:v>0.21</c:v>
                </c:pt>
              </c:numCache>
            </c:numRef>
          </c:val>
          <c:smooth val="0"/>
          <c:extLst>
            <c:ext xmlns:c16="http://schemas.microsoft.com/office/drawing/2014/chart" uri="{C3380CC4-5D6E-409C-BE32-E72D297353CC}">
              <c16:uniqueId val="{0000000D-BE67-43C6-B638-E886AEEAA409}"/>
            </c:ext>
          </c:extLst>
        </c:ser>
        <c:ser>
          <c:idx val="1"/>
          <c:order val="2"/>
          <c:tx>
            <c:strRef>
              <c:f>'Chart 2 - Reason for rec'!$C$2</c:f>
              <c:strCache>
                <c:ptCount val="1"/>
                <c:pt idx="0">
                  <c:v>Both turnover and new positions</c:v>
                </c:pt>
              </c:strCache>
            </c:strRef>
          </c:tx>
          <c:spPr>
            <a:ln w="25400" cap="rnd">
              <a:solidFill>
                <a:schemeClr val="accent1"/>
              </a:solidFill>
              <a:round/>
            </a:ln>
            <a:effectLst/>
          </c:spPr>
          <c:marker>
            <c:symbol val="none"/>
          </c:marker>
          <c:dPt>
            <c:idx val="6"/>
            <c:marker>
              <c:symbol val="none"/>
            </c:marker>
            <c:bubble3D val="0"/>
            <c:spPr>
              <a:ln w="25400" cap="rnd">
                <a:solidFill>
                  <a:schemeClr val="accent1"/>
                </a:solidFill>
                <a:prstDash val="sysDot"/>
                <a:round/>
              </a:ln>
              <a:effectLst/>
            </c:spPr>
            <c:extLst>
              <c:ext xmlns:c16="http://schemas.microsoft.com/office/drawing/2014/chart" uri="{C3380CC4-5D6E-409C-BE32-E72D297353CC}">
                <c16:uniqueId val="{0000000F-BE67-43C6-B638-E886AEEAA409}"/>
              </c:ext>
            </c:extLst>
          </c:dPt>
          <c:dPt>
            <c:idx val="18"/>
            <c:marker>
              <c:symbol val="none"/>
            </c:marker>
            <c:bubble3D val="0"/>
            <c:spPr>
              <a:ln w="25400" cap="rnd">
                <a:solidFill>
                  <a:schemeClr val="accent1"/>
                </a:solidFill>
                <a:prstDash val="sysDot"/>
                <a:round/>
              </a:ln>
              <a:effectLst/>
            </c:spPr>
            <c:extLst>
              <c:ext xmlns:c16="http://schemas.microsoft.com/office/drawing/2014/chart" uri="{C3380CC4-5D6E-409C-BE32-E72D297353CC}">
                <c16:uniqueId val="{00000011-BE67-43C6-B638-E886AEEAA409}"/>
              </c:ext>
            </c:extLst>
          </c:dPt>
          <c:dPt>
            <c:idx val="30"/>
            <c:marker>
              <c:symbol val="none"/>
            </c:marker>
            <c:bubble3D val="0"/>
            <c:spPr>
              <a:ln w="25400" cap="rnd">
                <a:solidFill>
                  <a:schemeClr val="accent1"/>
                </a:solidFill>
                <a:prstDash val="sysDot"/>
                <a:round/>
                <a:tailEnd type="none"/>
              </a:ln>
              <a:effectLst/>
            </c:spPr>
            <c:extLst>
              <c:ext xmlns:c16="http://schemas.microsoft.com/office/drawing/2014/chart" uri="{C3380CC4-5D6E-409C-BE32-E72D297353CC}">
                <c16:uniqueId val="{00000013-BE67-43C6-B638-E886AEEAA409}"/>
              </c:ext>
            </c:extLst>
          </c:dPt>
          <c:cat>
            <c:numRef>
              <c:f>'Chart 2 - Reason for rec'!$A$3:$A$34</c:f>
              <c:numCache>
                <c:formatCode>mmm\-yy</c:formatCode>
                <c:ptCount val="32"/>
                <c:pt idx="0">
                  <c:v>44074</c:v>
                </c:pt>
                <c:pt idx="1">
                  <c:v>44104</c:v>
                </c:pt>
                <c:pt idx="2">
                  <c:v>44135</c:v>
                </c:pt>
                <c:pt idx="3">
                  <c:v>44165</c:v>
                </c:pt>
                <c:pt idx="4">
                  <c:v>44196</c:v>
                </c:pt>
                <c:pt idx="5">
                  <c:v>44227</c:v>
                </c:pt>
                <c:pt idx="6">
                  <c:v>44255</c:v>
                </c:pt>
                <c:pt idx="7">
                  <c:v>44286</c:v>
                </c:pt>
                <c:pt idx="8">
                  <c:v>44316</c:v>
                </c:pt>
                <c:pt idx="9">
                  <c:v>44347</c:v>
                </c:pt>
                <c:pt idx="10">
                  <c:v>44377</c:v>
                </c:pt>
                <c:pt idx="11">
                  <c:v>44408</c:v>
                </c:pt>
                <c:pt idx="12">
                  <c:v>44439</c:v>
                </c:pt>
                <c:pt idx="13">
                  <c:v>44469</c:v>
                </c:pt>
                <c:pt idx="14">
                  <c:v>44500</c:v>
                </c:pt>
                <c:pt idx="15">
                  <c:v>44530</c:v>
                </c:pt>
                <c:pt idx="16">
                  <c:v>44561</c:v>
                </c:pt>
                <c:pt idx="17">
                  <c:v>44592</c:v>
                </c:pt>
                <c:pt idx="18">
                  <c:v>44620</c:v>
                </c:pt>
                <c:pt idx="19">
                  <c:v>44651</c:v>
                </c:pt>
                <c:pt idx="20">
                  <c:v>44681</c:v>
                </c:pt>
                <c:pt idx="21">
                  <c:v>44712</c:v>
                </c:pt>
                <c:pt idx="22">
                  <c:v>44742</c:v>
                </c:pt>
                <c:pt idx="23">
                  <c:v>44773</c:v>
                </c:pt>
                <c:pt idx="24">
                  <c:v>44804</c:v>
                </c:pt>
                <c:pt idx="25">
                  <c:v>44834</c:v>
                </c:pt>
                <c:pt idx="26">
                  <c:v>44865</c:v>
                </c:pt>
                <c:pt idx="27">
                  <c:v>44895</c:v>
                </c:pt>
                <c:pt idx="28">
                  <c:v>44926</c:v>
                </c:pt>
                <c:pt idx="29">
                  <c:v>44957</c:v>
                </c:pt>
                <c:pt idx="30">
                  <c:v>44985</c:v>
                </c:pt>
                <c:pt idx="31">
                  <c:v>45016</c:v>
                </c:pt>
              </c:numCache>
            </c:numRef>
          </c:cat>
          <c:val>
            <c:numRef>
              <c:f>'Chart 2 - Reason for rec'!$C$3:$C$34</c:f>
              <c:numCache>
                <c:formatCode>#0%;\(#0%\)</c:formatCode>
                <c:ptCount val="32"/>
                <c:pt idx="0">
                  <c:v>0.16</c:v>
                </c:pt>
                <c:pt idx="1">
                  <c:v>0.08</c:v>
                </c:pt>
                <c:pt idx="2">
                  <c:v>0.08</c:v>
                </c:pt>
                <c:pt idx="3">
                  <c:v>0.11</c:v>
                </c:pt>
                <c:pt idx="4">
                  <c:v>7.0000000000000007E-2</c:v>
                </c:pt>
                <c:pt idx="5">
                  <c:v>#N/A</c:v>
                </c:pt>
                <c:pt idx="6">
                  <c:v>7.0000000000000007E-2</c:v>
                </c:pt>
                <c:pt idx="7">
                  <c:v>7.0000000000000007E-2</c:v>
                </c:pt>
                <c:pt idx="8">
                  <c:v>0.1</c:v>
                </c:pt>
                <c:pt idx="9">
                  <c:v>0.09</c:v>
                </c:pt>
                <c:pt idx="10">
                  <c:v>0.09</c:v>
                </c:pt>
                <c:pt idx="11">
                  <c:v>0.09</c:v>
                </c:pt>
                <c:pt idx="12">
                  <c:v>0.09</c:v>
                </c:pt>
                <c:pt idx="13">
                  <c:v>7.0000000000000007E-2</c:v>
                </c:pt>
                <c:pt idx="14">
                  <c:v>0.08</c:v>
                </c:pt>
                <c:pt idx="15">
                  <c:v>0.13</c:v>
                </c:pt>
                <c:pt idx="16">
                  <c:v>0.1</c:v>
                </c:pt>
                <c:pt idx="17">
                  <c:v>#N/A</c:v>
                </c:pt>
                <c:pt idx="18">
                  <c:v>0.12</c:v>
                </c:pt>
                <c:pt idx="19">
                  <c:v>0.1</c:v>
                </c:pt>
                <c:pt idx="20">
                  <c:v>0.15</c:v>
                </c:pt>
                <c:pt idx="21">
                  <c:v>0.16</c:v>
                </c:pt>
                <c:pt idx="22">
                  <c:v>0.12</c:v>
                </c:pt>
                <c:pt idx="23">
                  <c:v>0.16</c:v>
                </c:pt>
                <c:pt idx="24">
                  <c:v>0.14000000000000001</c:v>
                </c:pt>
                <c:pt idx="25">
                  <c:v>0.19</c:v>
                </c:pt>
                <c:pt idx="26">
                  <c:v>0.16</c:v>
                </c:pt>
                <c:pt idx="27">
                  <c:v>0.17</c:v>
                </c:pt>
                <c:pt idx="28">
                  <c:v>0.23</c:v>
                </c:pt>
                <c:pt idx="29">
                  <c:v>#N/A</c:v>
                </c:pt>
                <c:pt idx="30">
                  <c:v>0.15</c:v>
                </c:pt>
                <c:pt idx="31">
                  <c:v>0.14000000000000001</c:v>
                </c:pt>
              </c:numCache>
            </c:numRef>
          </c:val>
          <c:smooth val="0"/>
          <c:extLst>
            <c:ext xmlns:c16="http://schemas.microsoft.com/office/drawing/2014/chart" uri="{C3380CC4-5D6E-409C-BE32-E72D297353CC}">
              <c16:uniqueId val="{00000014-BE67-43C6-B638-E886AEEAA409}"/>
            </c:ext>
          </c:extLst>
        </c:ser>
        <c:dLbls>
          <c:showLegendKey val="0"/>
          <c:showVal val="0"/>
          <c:showCatName val="0"/>
          <c:showSerName val="0"/>
          <c:showPercent val="0"/>
          <c:showBubbleSize val="0"/>
        </c:dLbls>
        <c:smooth val="0"/>
        <c:axId val="1941648720"/>
        <c:axId val="1941640400"/>
      </c:lineChart>
      <c:dateAx>
        <c:axId val="1941648720"/>
        <c:scaling>
          <c:orientation val="minMax"/>
          <c:min val="44075"/>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941640400"/>
        <c:crosses val="autoZero"/>
        <c:auto val="0"/>
        <c:lblOffset val="100"/>
        <c:baseTimeUnit val="months"/>
        <c:majorUnit val="3"/>
        <c:majorTimeUnit val="months"/>
      </c:dateAx>
      <c:valAx>
        <c:axId val="1941640400"/>
        <c:scaling>
          <c:orientation val="minMax"/>
          <c:max val="0.70000000000000007"/>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941648720"/>
        <c:crosses val="autoZero"/>
        <c:crossBetween val="between"/>
        <c:majorUnit val="0.1"/>
      </c:valAx>
      <c:spPr>
        <a:noFill/>
        <a:ln>
          <a:noFill/>
        </a:ln>
        <a:effectLst/>
      </c:spPr>
    </c:plotArea>
    <c:legend>
      <c:legendPos val="r"/>
      <c:layout>
        <c:manualLayout>
          <c:xMode val="edge"/>
          <c:yMode val="edge"/>
          <c:x val="0.13022416882019178"/>
          <c:y val="2.4521072796934867E-2"/>
          <c:w val="0.82510156082959141"/>
          <c:h val="8.8664132500678797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132001586618391E-2"/>
          <c:y val="7.4280408542246976E-2"/>
          <c:w val="0.8306102573191213"/>
          <c:h val="0.8267324662411627"/>
        </c:manualLayout>
      </c:layout>
      <c:lineChart>
        <c:grouping val="standard"/>
        <c:varyColors val="0"/>
        <c:ser>
          <c:idx val="0"/>
          <c:order val="0"/>
          <c:tx>
            <c:strRef>
              <c:f>Sheet8!$B$1</c:f>
              <c:strCache>
                <c:ptCount val="1"/>
                <c:pt idx="0">
                  <c:v>Fill rate (LHS - %)</c:v>
                </c:pt>
              </c:strCache>
            </c:strRef>
          </c:tx>
          <c:spPr>
            <a:ln w="28575" cap="rnd">
              <a:solidFill>
                <a:schemeClr val="accent1"/>
              </a:solidFill>
              <a:round/>
            </a:ln>
            <a:effectLst/>
          </c:spPr>
          <c:marker>
            <c:symbol val="none"/>
          </c:marker>
          <c:cat>
            <c:numRef>
              <c:f>Sheet8!$A$16:$A$27</c:f>
              <c:numCache>
                <c:formatCode>mmm\-yy</c:formatCode>
                <c:ptCount val="12"/>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numCache>
            </c:numRef>
          </c:cat>
          <c:val>
            <c:numRef>
              <c:f>Sheet8!$B$16:$B$27</c:f>
              <c:numCache>
                <c:formatCode>0%</c:formatCode>
                <c:ptCount val="12"/>
                <c:pt idx="0">
                  <c:v>0.59619771863117865</c:v>
                </c:pt>
                <c:pt idx="1">
                  <c:v>0.49637681159420288</c:v>
                </c:pt>
                <c:pt idx="2">
                  <c:v>0.58754512635379064</c:v>
                </c:pt>
                <c:pt idx="3">
                  <c:v>0.5567066521264995</c:v>
                </c:pt>
                <c:pt idx="4">
                  <c:v>0.57410071942446039</c:v>
                </c:pt>
                <c:pt idx="5">
                  <c:v>0.58943089430894313</c:v>
                </c:pt>
                <c:pt idx="6">
                  <c:v>0.58520286396181387</c:v>
                </c:pt>
                <c:pt idx="7">
                  <c:v>0.59262363788767813</c:v>
                </c:pt>
                <c:pt idx="8">
                  <c:v>0.59623430962343094</c:v>
                </c:pt>
                <c:pt idx="9">
                  <c:v>0.60791589363017939</c:v>
                </c:pt>
                <c:pt idx="10">
                  <c:v>0.63425175580767157</c:v>
                </c:pt>
                <c:pt idx="11">
                  <c:v>0.65109034267912769</c:v>
                </c:pt>
              </c:numCache>
            </c:numRef>
          </c:val>
          <c:smooth val="0"/>
          <c:extLst>
            <c:ext xmlns:c16="http://schemas.microsoft.com/office/drawing/2014/chart" uri="{C3380CC4-5D6E-409C-BE32-E72D297353CC}">
              <c16:uniqueId val="{00000000-E8C6-47FE-98B0-76AD36FBB183}"/>
            </c:ext>
          </c:extLst>
        </c:ser>
        <c:ser>
          <c:idx val="1"/>
          <c:order val="1"/>
          <c:tx>
            <c:strRef>
              <c:f>Sheet8!$C$1</c:f>
              <c:strCache>
                <c:ptCount val="1"/>
                <c:pt idx="0">
                  <c:v>Recruitment difficulty (LHS - %)</c:v>
                </c:pt>
              </c:strCache>
            </c:strRef>
          </c:tx>
          <c:spPr>
            <a:ln w="28575" cap="rnd">
              <a:solidFill>
                <a:schemeClr val="accent2"/>
              </a:solidFill>
              <a:round/>
            </a:ln>
            <a:effectLst/>
          </c:spPr>
          <c:marker>
            <c:symbol val="none"/>
          </c:marker>
          <c:cat>
            <c:numRef>
              <c:f>Sheet8!$A$16:$A$27</c:f>
              <c:numCache>
                <c:formatCode>mmm\-yy</c:formatCode>
                <c:ptCount val="12"/>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numCache>
            </c:numRef>
          </c:cat>
          <c:val>
            <c:numRef>
              <c:f>Sheet8!$C$16:$C$27</c:f>
              <c:numCache>
                <c:formatCode>0%</c:formatCode>
                <c:ptCount val="12"/>
                <c:pt idx="0">
                  <c:v>0.64</c:v>
                </c:pt>
                <c:pt idx="1">
                  <c:v>0.68</c:v>
                </c:pt>
                <c:pt idx="2">
                  <c:v>0.67</c:v>
                </c:pt>
                <c:pt idx="3">
                  <c:v>0.75</c:v>
                </c:pt>
                <c:pt idx="4">
                  <c:v>0.74</c:v>
                </c:pt>
                <c:pt idx="5">
                  <c:v>0.67</c:v>
                </c:pt>
                <c:pt idx="6">
                  <c:v>0.7</c:v>
                </c:pt>
                <c:pt idx="7">
                  <c:v>0.69</c:v>
                </c:pt>
                <c:pt idx="8">
                  <c:v>0.65</c:v>
                </c:pt>
                <c:pt idx="9">
                  <c:v>0.56000000000000005</c:v>
                </c:pt>
                <c:pt idx="10">
                  <c:v>0.61</c:v>
                </c:pt>
                <c:pt idx="11">
                  <c:v>0.64</c:v>
                </c:pt>
              </c:numCache>
            </c:numRef>
          </c:val>
          <c:smooth val="0"/>
          <c:extLst>
            <c:ext xmlns:c16="http://schemas.microsoft.com/office/drawing/2014/chart" uri="{C3380CC4-5D6E-409C-BE32-E72D297353CC}">
              <c16:uniqueId val="{00000001-E8C6-47FE-98B0-76AD36FBB183}"/>
            </c:ext>
          </c:extLst>
        </c:ser>
        <c:dLbls>
          <c:showLegendKey val="0"/>
          <c:showVal val="0"/>
          <c:showCatName val="0"/>
          <c:showSerName val="0"/>
          <c:showPercent val="0"/>
          <c:showBubbleSize val="0"/>
        </c:dLbls>
        <c:marker val="1"/>
        <c:smooth val="0"/>
        <c:axId val="14303119"/>
        <c:axId val="1221233744"/>
      </c:lineChart>
      <c:lineChart>
        <c:grouping val="standard"/>
        <c:varyColors val="0"/>
        <c:ser>
          <c:idx val="2"/>
          <c:order val="2"/>
          <c:tx>
            <c:strRef>
              <c:f>Sheet8!$D$1</c:f>
              <c:strCache>
                <c:ptCount val="1"/>
                <c:pt idx="0">
                  <c:v>Seasonally adjusted vacancies (RHS - no.)</c:v>
                </c:pt>
              </c:strCache>
            </c:strRef>
          </c:tx>
          <c:spPr>
            <a:ln w="28575" cap="rnd">
              <a:solidFill>
                <a:schemeClr val="accent3"/>
              </a:solidFill>
              <a:round/>
            </a:ln>
            <a:effectLst/>
          </c:spPr>
          <c:marker>
            <c:symbol val="none"/>
          </c:marker>
          <c:cat>
            <c:numRef>
              <c:f>Sheet8!$A$16:$A$27</c:f>
              <c:numCache>
                <c:formatCode>mmm\-yy</c:formatCode>
                <c:ptCount val="12"/>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numCache>
            </c:numRef>
          </c:cat>
          <c:val>
            <c:numRef>
              <c:f>Sheet8!$D$16:$D$27</c:f>
              <c:numCache>
                <c:formatCode>General</c:formatCode>
                <c:ptCount val="12"/>
                <c:pt idx="0">
                  <c:v>294637</c:v>
                </c:pt>
                <c:pt idx="1">
                  <c:v>297509</c:v>
                </c:pt>
                <c:pt idx="2">
                  <c:v>303375</c:v>
                </c:pt>
                <c:pt idx="3">
                  <c:v>294393</c:v>
                </c:pt>
                <c:pt idx="4">
                  <c:v>298747</c:v>
                </c:pt>
                <c:pt idx="5">
                  <c:v>281344</c:v>
                </c:pt>
                <c:pt idx="6">
                  <c:v>282746</c:v>
                </c:pt>
                <c:pt idx="7">
                  <c:v>274368</c:v>
                </c:pt>
                <c:pt idx="8">
                  <c:v>274317</c:v>
                </c:pt>
                <c:pt idx="9">
                  <c:v>280004</c:v>
                </c:pt>
                <c:pt idx="10">
                  <c:v>281827</c:v>
                </c:pt>
                <c:pt idx="11">
                  <c:v>282061</c:v>
                </c:pt>
              </c:numCache>
            </c:numRef>
          </c:val>
          <c:smooth val="0"/>
          <c:extLst>
            <c:ext xmlns:c16="http://schemas.microsoft.com/office/drawing/2014/chart" uri="{C3380CC4-5D6E-409C-BE32-E72D297353CC}">
              <c16:uniqueId val="{00000002-E8C6-47FE-98B0-76AD36FBB183}"/>
            </c:ext>
          </c:extLst>
        </c:ser>
        <c:dLbls>
          <c:showLegendKey val="0"/>
          <c:showVal val="0"/>
          <c:showCatName val="0"/>
          <c:showSerName val="0"/>
          <c:showPercent val="0"/>
          <c:showBubbleSize val="0"/>
        </c:dLbls>
        <c:marker val="1"/>
        <c:smooth val="0"/>
        <c:axId val="62386319"/>
        <c:axId val="1221232304"/>
      </c:lineChart>
      <c:dateAx>
        <c:axId val="14303119"/>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21233744"/>
        <c:crosses val="autoZero"/>
        <c:auto val="1"/>
        <c:lblOffset val="100"/>
        <c:baseTimeUnit val="months"/>
      </c:dateAx>
      <c:valAx>
        <c:axId val="1221233744"/>
        <c:scaling>
          <c:orientation val="minMax"/>
          <c:min val="0.4"/>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303119"/>
        <c:crosses val="autoZero"/>
        <c:crossBetween val="between"/>
        <c:majorUnit val="0.1"/>
      </c:valAx>
      <c:valAx>
        <c:axId val="1221232304"/>
        <c:scaling>
          <c:orientation val="minMax"/>
          <c:max val="350000"/>
          <c:min val="25000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2386319"/>
        <c:crosses val="max"/>
        <c:crossBetween val="between"/>
        <c:majorUnit val="25000"/>
      </c:valAx>
      <c:dateAx>
        <c:axId val="62386319"/>
        <c:scaling>
          <c:orientation val="minMax"/>
        </c:scaling>
        <c:delete val="1"/>
        <c:axPos val="b"/>
        <c:numFmt formatCode="mmm\-yy" sourceLinked="1"/>
        <c:majorTickMark val="out"/>
        <c:minorTickMark val="none"/>
        <c:tickLblPos val="nextTo"/>
        <c:crossAx val="1221232304"/>
        <c:crosses val="autoZero"/>
        <c:auto val="1"/>
        <c:lblOffset val="100"/>
        <c:baseTimeUnit val="months"/>
      </c:dateAx>
      <c:spPr>
        <a:noFill/>
        <a:ln>
          <a:noFill/>
        </a:ln>
        <a:effectLst/>
      </c:spPr>
    </c:plotArea>
    <c:legend>
      <c:legendPos val="b"/>
      <c:layout>
        <c:manualLayout>
          <c:xMode val="edge"/>
          <c:yMode val="edge"/>
          <c:x val="0.4376723970596923"/>
          <c:y val="6.6298773934595226E-2"/>
          <c:w val="0.46763484146475254"/>
          <c:h val="0.153756936371811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324746443731566E-2"/>
          <c:y val="5.6394763343403827E-2"/>
          <c:w val="0.8072393960014258"/>
          <c:h val="0.8682306856658023"/>
        </c:manualLayout>
      </c:layout>
      <c:barChart>
        <c:barDir val="col"/>
        <c:grouping val="clustered"/>
        <c:varyColors val="0"/>
        <c:ser>
          <c:idx val="1"/>
          <c:order val="1"/>
          <c:tx>
            <c:strRef>
              <c:f>Sheet9!$C$1</c:f>
              <c:strCache>
                <c:ptCount val="1"/>
                <c:pt idx="0">
                  <c:v>Applicants per vacancy (LHS)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Sheet9!$A$2:$A$6</c:f>
              <c:strCache>
                <c:ptCount val="5"/>
                <c:pt idx="0">
                  <c:v>Q1 2022</c:v>
                </c:pt>
                <c:pt idx="1">
                  <c:v>Q2 2022</c:v>
                </c:pt>
                <c:pt idx="2">
                  <c:v>Q3 2022</c:v>
                </c:pt>
                <c:pt idx="3">
                  <c:v>Q4 2022</c:v>
                </c:pt>
                <c:pt idx="4">
                  <c:v>Q1 2023</c:v>
                </c:pt>
              </c:strCache>
            </c:strRef>
          </c:cat>
          <c:val>
            <c:numRef>
              <c:f>Sheet9!$C$2:$C$6</c:f>
              <c:numCache>
                <c:formatCode>0.0</c:formatCode>
                <c:ptCount val="5"/>
                <c:pt idx="0">
                  <c:v>10.103104862331575</c:v>
                </c:pt>
                <c:pt idx="1">
                  <c:v>11.924981613140476</c:v>
                </c:pt>
                <c:pt idx="2">
                  <c:v>11.989424904942966</c:v>
                </c:pt>
                <c:pt idx="3">
                  <c:v>14.205788635156665</c:v>
                </c:pt>
                <c:pt idx="4">
                  <c:v>14.11897810218978</c:v>
                </c:pt>
              </c:numCache>
            </c:numRef>
          </c:val>
          <c:extLst>
            <c:ext xmlns:c16="http://schemas.microsoft.com/office/drawing/2014/chart" uri="{C3380CC4-5D6E-409C-BE32-E72D297353CC}">
              <c16:uniqueId val="{00000000-E1FF-49FE-9442-10B732C34BDB}"/>
            </c:ext>
          </c:extLst>
        </c:ser>
        <c:ser>
          <c:idx val="2"/>
          <c:order val="2"/>
          <c:tx>
            <c:strRef>
              <c:f>Sheet9!$E$1</c:f>
              <c:strCache>
                <c:ptCount val="1"/>
                <c:pt idx="0">
                  <c:v>Suitable applicants per vacancy (LHS)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Sheet9!$A$2:$A$6</c:f>
              <c:strCache>
                <c:ptCount val="5"/>
                <c:pt idx="0">
                  <c:v>Q1 2022</c:v>
                </c:pt>
                <c:pt idx="1">
                  <c:v>Q2 2022</c:v>
                </c:pt>
                <c:pt idx="2">
                  <c:v>Q3 2022</c:v>
                </c:pt>
                <c:pt idx="3">
                  <c:v>Q4 2022</c:v>
                </c:pt>
                <c:pt idx="4">
                  <c:v>Q1 2023</c:v>
                </c:pt>
              </c:strCache>
            </c:strRef>
          </c:cat>
          <c:val>
            <c:numRef>
              <c:f>Sheet9!$E$2:$E$6</c:f>
              <c:numCache>
                <c:formatCode>0.0</c:formatCode>
                <c:ptCount val="5"/>
                <c:pt idx="0">
                  <c:v>1.6936145284124196</c:v>
                </c:pt>
                <c:pt idx="1">
                  <c:v>2.037754351556754</c:v>
                </c:pt>
                <c:pt idx="2">
                  <c:v>2.0477661596958177</c:v>
                </c:pt>
                <c:pt idx="3">
                  <c:v>2.5451407328730751</c:v>
                </c:pt>
                <c:pt idx="4">
                  <c:v>2.4036496350364964</c:v>
                </c:pt>
              </c:numCache>
            </c:numRef>
          </c:val>
          <c:extLst>
            <c:ext xmlns:c16="http://schemas.microsoft.com/office/drawing/2014/chart" uri="{C3380CC4-5D6E-409C-BE32-E72D297353CC}">
              <c16:uniqueId val="{00000001-E1FF-49FE-9442-10B732C34BDB}"/>
            </c:ext>
          </c:extLst>
        </c:ser>
        <c:dLbls>
          <c:showLegendKey val="0"/>
          <c:showVal val="0"/>
          <c:showCatName val="0"/>
          <c:showSerName val="0"/>
          <c:showPercent val="0"/>
          <c:showBubbleSize val="0"/>
        </c:dLbls>
        <c:gapWidth val="219"/>
        <c:axId val="385671423"/>
        <c:axId val="732269616"/>
      </c:barChart>
      <c:scatterChart>
        <c:scatterStyle val="lineMarker"/>
        <c:varyColors val="0"/>
        <c:ser>
          <c:idx val="0"/>
          <c:order val="0"/>
          <c:tx>
            <c:strRef>
              <c:f>Sheet9!$B$1</c:f>
              <c:strCache>
                <c:ptCount val="1"/>
                <c:pt idx="0">
                  <c:v>Proportion of vacancies filled (RHS)</c:v>
                </c:pt>
              </c:strCache>
            </c:strRef>
          </c:tx>
          <c:spPr>
            <a:ln w="25400" cap="rnd">
              <a:noFill/>
              <a:round/>
            </a:ln>
            <a:effectLst/>
          </c:spPr>
          <c:marker>
            <c:symbol val="dash"/>
            <c:size val="10"/>
            <c:spPr>
              <a:solidFill>
                <a:schemeClr val="accent1"/>
              </a:solidFill>
              <a:ln w="38100">
                <a:solidFill>
                  <a:schemeClr val="accent1"/>
                </a:solidFill>
              </a:ln>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Sheet9!$A$2:$A$6</c:f>
              <c:strCache>
                <c:ptCount val="5"/>
                <c:pt idx="0">
                  <c:v>Q1 2022</c:v>
                </c:pt>
                <c:pt idx="1">
                  <c:v>Q2 2022</c:v>
                </c:pt>
                <c:pt idx="2">
                  <c:v>Q3 2022</c:v>
                </c:pt>
                <c:pt idx="3">
                  <c:v>Q4 2022</c:v>
                </c:pt>
                <c:pt idx="4">
                  <c:v>Q1 2023</c:v>
                </c:pt>
              </c:strCache>
            </c:strRef>
          </c:xVal>
          <c:yVal>
            <c:numRef>
              <c:f>Sheet9!$B$2:$B$6</c:f>
              <c:numCache>
                <c:formatCode>0%</c:formatCode>
                <c:ptCount val="5"/>
                <c:pt idx="0">
                  <c:v>0.56082796328842022</c:v>
                </c:pt>
                <c:pt idx="1">
                  <c:v>0.55332189262074039</c:v>
                </c:pt>
                <c:pt idx="2">
                  <c:v>0.57010456273764254</c:v>
                </c:pt>
                <c:pt idx="3">
                  <c:v>0.58895379713223583</c:v>
                </c:pt>
                <c:pt idx="4">
                  <c:v>0.62652068126520677</c:v>
                </c:pt>
              </c:numCache>
            </c:numRef>
          </c:yVal>
          <c:smooth val="0"/>
          <c:extLst>
            <c:ext xmlns:c16="http://schemas.microsoft.com/office/drawing/2014/chart" uri="{C3380CC4-5D6E-409C-BE32-E72D297353CC}">
              <c16:uniqueId val="{00000002-E1FF-49FE-9442-10B732C34BDB}"/>
            </c:ext>
          </c:extLst>
        </c:ser>
        <c:dLbls>
          <c:showLegendKey val="0"/>
          <c:showVal val="0"/>
          <c:showCatName val="0"/>
          <c:showSerName val="0"/>
          <c:showPercent val="0"/>
          <c:showBubbleSize val="0"/>
        </c:dLbls>
        <c:axId val="732274416"/>
        <c:axId val="732273936"/>
      </c:scatterChart>
      <c:catAx>
        <c:axId val="385671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32269616"/>
        <c:crosses val="autoZero"/>
        <c:auto val="1"/>
        <c:lblAlgn val="ctr"/>
        <c:lblOffset val="100"/>
        <c:noMultiLvlLbl val="0"/>
      </c:catAx>
      <c:valAx>
        <c:axId val="732269616"/>
        <c:scaling>
          <c:orientation val="minMax"/>
          <c:max val="25"/>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 (no.)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85671423"/>
        <c:crosses val="autoZero"/>
        <c:crossBetween val="between"/>
      </c:valAx>
      <c:valAx>
        <c:axId val="732273936"/>
        <c:scaling>
          <c:orientation val="minMax"/>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32274416"/>
        <c:crosses val="max"/>
        <c:crossBetween val="midCat"/>
      </c:valAx>
      <c:valAx>
        <c:axId val="732274416"/>
        <c:scaling>
          <c:orientation val="minMax"/>
        </c:scaling>
        <c:delete val="1"/>
        <c:axPos val="t"/>
        <c:majorTickMark val="out"/>
        <c:minorTickMark val="none"/>
        <c:tickLblPos val="nextTo"/>
        <c:crossAx val="732273936"/>
        <c:crosses val="max"/>
        <c:crossBetween val="midCat"/>
      </c:valAx>
      <c:spPr>
        <a:noFill/>
        <a:ln>
          <a:noFill/>
        </a:ln>
        <a:effectLst/>
      </c:spPr>
    </c:plotArea>
    <c:legend>
      <c:legendPos val="b"/>
      <c:layout>
        <c:manualLayout>
          <c:xMode val="edge"/>
          <c:yMode val="edge"/>
          <c:x val="0.11817390881695343"/>
          <c:y val="1.8624545043652022E-2"/>
          <c:w val="0.6752303484586949"/>
          <c:h val="0.131425807423618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90211517677938"/>
          <c:y val="4.7240712905303843E-2"/>
          <c:w val="0.84852925737224028"/>
          <c:h val="0.77266429843145279"/>
        </c:manualLayout>
      </c:layout>
      <c:lineChart>
        <c:grouping val="standard"/>
        <c:varyColors val="0"/>
        <c:ser>
          <c:idx val="0"/>
          <c:order val="0"/>
          <c:tx>
            <c:strRef>
              <c:f>'Figure 9 Difficulty by Skill Lv'!$B$1</c:f>
              <c:strCache>
                <c:ptCount val="1"/>
                <c:pt idx="0">
                  <c:v>Higher skilled (ANZSCO Skill Level 1-3)</c:v>
                </c:pt>
              </c:strCache>
            </c:strRef>
          </c:tx>
          <c:spPr>
            <a:ln w="28575" cap="rnd">
              <a:solidFill>
                <a:schemeClr val="accent1"/>
              </a:solidFill>
              <a:round/>
            </a:ln>
            <a:effectLst/>
          </c:spPr>
          <c:marker>
            <c:symbol val="none"/>
          </c:marker>
          <c:dPt>
            <c:idx val="6"/>
            <c:marker>
              <c:symbol val="none"/>
            </c:marker>
            <c:bubble3D val="0"/>
            <c:spPr>
              <a:ln w="28575" cap="rnd">
                <a:solidFill>
                  <a:schemeClr val="accent1"/>
                </a:solidFill>
                <a:prstDash val="sysDot"/>
                <a:round/>
              </a:ln>
              <a:effectLst/>
            </c:spPr>
            <c:extLst>
              <c:ext xmlns:c16="http://schemas.microsoft.com/office/drawing/2014/chart" uri="{C3380CC4-5D6E-409C-BE32-E72D297353CC}">
                <c16:uniqueId val="{00000001-E525-473B-8F45-B274E76E93DC}"/>
              </c:ext>
            </c:extLst>
          </c:dPt>
          <c:dPt>
            <c:idx val="18"/>
            <c:marker>
              <c:symbol val="none"/>
            </c:marker>
            <c:bubble3D val="0"/>
            <c:spPr>
              <a:ln w="28575" cap="rnd">
                <a:solidFill>
                  <a:schemeClr val="accent1"/>
                </a:solidFill>
                <a:prstDash val="sysDot"/>
                <a:round/>
              </a:ln>
              <a:effectLst/>
            </c:spPr>
            <c:extLst>
              <c:ext xmlns:c16="http://schemas.microsoft.com/office/drawing/2014/chart" uri="{C3380CC4-5D6E-409C-BE32-E72D297353CC}">
                <c16:uniqueId val="{00000003-E525-473B-8F45-B274E76E93DC}"/>
              </c:ext>
            </c:extLst>
          </c:dPt>
          <c:dPt>
            <c:idx val="30"/>
            <c:marker>
              <c:symbol val="none"/>
            </c:marker>
            <c:bubble3D val="0"/>
            <c:spPr>
              <a:ln w="28575" cap="rnd">
                <a:solidFill>
                  <a:schemeClr val="accent1"/>
                </a:solidFill>
                <a:prstDash val="sysDot"/>
                <a:round/>
              </a:ln>
              <a:effectLst/>
            </c:spPr>
            <c:extLst>
              <c:ext xmlns:c16="http://schemas.microsoft.com/office/drawing/2014/chart" uri="{C3380CC4-5D6E-409C-BE32-E72D297353CC}">
                <c16:uniqueId val="{00000005-E525-473B-8F45-B274E76E93DC}"/>
              </c:ext>
            </c:extLst>
          </c:dPt>
          <c:dLbls>
            <c:dLbl>
              <c:idx val="8"/>
              <c:layout>
                <c:manualLayout>
                  <c:x val="-0.10141497003583695"/>
                  <c:y val="-8.5882940875343317E-2"/>
                </c:manualLayout>
              </c:layout>
              <c:showLegendKey val="0"/>
              <c:showVal val="0"/>
              <c:showCatName val="0"/>
              <c:showSerName val="1"/>
              <c:showPercent val="0"/>
              <c:showBubbleSize val="0"/>
              <c:extLst>
                <c:ext xmlns:c15="http://schemas.microsoft.com/office/drawing/2012/chart" uri="{CE6537A1-D6FC-4f65-9D91-7224C49458BB}">
                  <c15:layout>
                    <c:manualLayout>
                      <c:w val="0.18047408854505972"/>
                      <c:h val="0.14616722941841845"/>
                    </c:manualLayout>
                  </c15:layout>
                </c:ext>
                <c:ext xmlns:c16="http://schemas.microsoft.com/office/drawing/2014/chart" uri="{C3380CC4-5D6E-409C-BE32-E72D297353CC}">
                  <c16:uniqueId val="{00000006-E525-473B-8F45-B274E76E93DC}"/>
                </c:ext>
              </c:extLst>
            </c:dLbl>
            <c:spPr>
              <a:noFill/>
              <a:ln>
                <a:noFill/>
              </a:ln>
              <a:effectLst/>
            </c:spPr>
            <c:txPr>
              <a:bodyPr rot="0" spcFirstLastPara="1" vertOverflow="ellipsis" vert="horz" wrap="square" anchor="ctr" anchorCtr="1"/>
              <a:lstStyle/>
              <a:p>
                <a:pPr>
                  <a:defRPr sz="900" b="1" i="0" u="none" strike="noStrike" kern="1200" baseline="0">
                    <a:solidFill>
                      <a:schemeClr val="accent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9 Difficulty by Skill Lv'!$A$2:$A$33</c:f>
              <c:numCache>
                <c:formatCode>mmm\-yy</c:formatCode>
                <c:ptCount val="32"/>
                <c:pt idx="0">
                  <c:v>44074</c:v>
                </c:pt>
                <c:pt idx="1">
                  <c:v>44104</c:v>
                </c:pt>
                <c:pt idx="2">
                  <c:v>44135</c:v>
                </c:pt>
                <c:pt idx="3">
                  <c:v>44165</c:v>
                </c:pt>
                <c:pt idx="4">
                  <c:v>44196</c:v>
                </c:pt>
                <c:pt idx="5">
                  <c:v>44227</c:v>
                </c:pt>
                <c:pt idx="6">
                  <c:v>44255</c:v>
                </c:pt>
                <c:pt idx="7">
                  <c:v>44286</c:v>
                </c:pt>
                <c:pt idx="8">
                  <c:v>44316</c:v>
                </c:pt>
                <c:pt idx="9">
                  <c:v>44347</c:v>
                </c:pt>
                <c:pt idx="10">
                  <c:v>44377</c:v>
                </c:pt>
                <c:pt idx="11">
                  <c:v>44408</c:v>
                </c:pt>
                <c:pt idx="12">
                  <c:v>44439</c:v>
                </c:pt>
                <c:pt idx="13">
                  <c:v>44469</c:v>
                </c:pt>
                <c:pt idx="14">
                  <c:v>44500</c:v>
                </c:pt>
                <c:pt idx="15">
                  <c:v>44530</c:v>
                </c:pt>
                <c:pt idx="16">
                  <c:v>44561</c:v>
                </c:pt>
                <c:pt idx="17">
                  <c:v>44592</c:v>
                </c:pt>
                <c:pt idx="18">
                  <c:v>44620</c:v>
                </c:pt>
                <c:pt idx="19">
                  <c:v>44651</c:v>
                </c:pt>
                <c:pt idx="20">
                  <c:v>44681</c:v>
                </c:pt>
                <c:pt idx="21">
                  <c:v>44712</c:v>
                </c:pt>
                <c:pt idx="22">
                  <c:v>44742</c:v>
                </c:pt>
                <c:pt idx="23">
                  <c:v>44773</c:v>
                </c:pt>
                <c:pt idx="24">
                  <c:v>44804</c:v>
                </c:pt>
                <c:pt idx="25">
                  <c:v>44834</c:v>
                </c:pt>
                <c:pt idx="26">
                  <c:v>44865</c:v>
                </c:pt>
                <c:pt idx="27">
                  <c:v>44895</c:v>
                </c:pt>
                <c:pt idx="28">
                  <c:v>44926</c:v>
                </c:pt>
                <c:pt idx="29">
                  <c:v>44957</c:v>
                </c:pt>
                <c:pt idx="30">
                  <c:v>44985</c:v>
                </c:pt>
                <c:pt idx="31">
                  <c:v>44986</c:v>
                </c:pt>
              </c:numCache>
            </c:numRef>
          </c:cat>
          <c:val>
            <c:numRef>
              <c:f>'Figure 9 Difficulty by Skill Lv'!$B$2:$B$33</c:f>
              <c:numCache>
                <c:formatCode>0%</c:formatCode>
                <c:ptCount val="32"/>
                <c:pt idx="0">
                  <c:v>0.54</c:v>
                </c:pt>
                <c:pt idx="1">
                  <c:v>0.49</c:v>
                </c:pt>
                <c:pt idx="2">
                  <c:v>0.55000000000000004</c:v>
                </c:pt>
                <c:pt idx="3">
                  <c:v>0.43</c:v>
                </c:pt>
                <c:pt idx="4">
                  <c:v>0.51</c:v>
                </c:pt>
                <c:pt idx="6">
                  <c:v>0.45</c:v>
                </c:pt>
                <c:pt idx="7">
                  <c:v>0.5</c:v>
                </c:pt>
                <c:pt idx="8">
                  <c:v>0.64</c:v>
                </c:pt>
                <c:pt idx="9">
                  <c:v>0.57999999999999996</c:v>
                </c:pt>
                <c:pt idx="10">
                  <c:v>0.6</c:v>
                </c:pt>
                <c:pt idx="11">
                  <c:v>0.57999999999999996</c:v>
                </c:pt>
                <c:pt idx="12">
                  <c:v>0.56000000000000005</c:v>
                </c:pt>
                <c:pt idx="13">
                  <c:v>0.6</c:v>
                </c:pt>
                <c:pt idx="14">
                  <c:v>0.56999999999999995</c:v>
                </c:pt>
                <c:pt idx="15">
                  <c:v>0.68</c:v>
                </c:pt>
                <c:pt idx="16">
                  <c:v>0.62</c:v>
                </c:pt>
                <c:pt idx="18">
                  <c:v>0.63</c:v>
                </c:pt>
                <c:pt idx="19">
                  <c:v>0.69</c:v>
                </c:pt>
                <c:pt idx="20">
                  <c:v>0.67</c:v>
                </c:pt>
                <c:pt idx="21">
                  <c:v>0.74</c:v>
                </c:pt>
                <c:pt idx="22">
                  <c:v>0.71</c:v>
                </c:pt>
                <c:pt idx="23">
                  <c:v>0.8</c:v>
                </c:pt>
                <c:pt idx="24">
                  <c:v>0.79</c:v>
                </c:pt>
                <c:pt idx="25">
                  <c:v>0.71</c:v>
                </c:pt>
                <c:pt idx="26">
                  <c:v>0.72</c:v>
                </c:pt>
                <c:pt idx="27">
                  <c:v>0.79</c:v>
                </c:pt>
                <c:pt idx="28">
                  <c:v>0.72</c:v>
                </c:pt>
                <c:pt idx="30">
                  <c:v>0.65</c:v>
                </c:pt>
                <c:pt idx="31">
                  <c:v>0.72</c:v>
                </c:pt>
              </c:numCache>
            </c:numRef>
          </c:val>
          <c:smooth val="0"/>
          <c:extLst>
            <c:ext xmlns:c16="http://schemas.microsoft.com/office/drawing/2014/chart" uri="{C3380CC4-5D6E-409C-BE32-E72D297353CC}">
              <c16:uniqueId val="{00000007-E525-473B-8F45-B274E76E93DC}"/>
            </c:ext>
          </c:extLst>
        </c:ser>
        <c:ser>
          <c:idx val="1"/>
          <c:order val="1"/>
          <c:tx>
            <c:strRef>
              <c:f>'Figure 9 Difficulty by Skill Lv'!$C$1</c:f>
              <c:strCache>
                <c:ptCount val="1"/>
                <c:pt idx="0">
                  <c:v>Lower skilled (ANZSCO Skill Level 4-5)</c:v>
                </c:pt>
              </c:strCache>
            </c:strRef>
          </c:tx>
          <c:spPr>
            <a:ln w="28575" cap="rnd">
              <a:solidFill>
                <a:schemeClr val="accent2"/>
              </a:solidFill>
              <a:round/>
            </a:ln>
            <a:effectLst/>
          </c:spPr>
          <c:marker>
            <c:symbol val="none"/>
          </c:marker>
          <c:dPt>
            <c:idx val="6"/>
            <c:marker>
              <c:symbol val="none"/>
            </c:marker>
            <c:bubble3D val="0"/>
            <c:spPr>
              <a:ln w="28575" cap="rnd">
                <a:solidFill>
                  <a:schemeClr val="accent2"/>
                </a:solidFill>
                <a:prstDash val="sysDot"/>
                <a:round/>
              </a:ln>
              <a:effectLst/>
            </c:spPr>
            <c:extLst>
              <c:ext xmlns:c16="http://schemas.microsoft.com/office/drawing/2014/chart" uri="{C3380CC4-5D6E-409C-BE32-E72D297353CC}">
                <c16:uniqueId val="{00000009-E525-473B-8F45-B274E76E93DC}"/>
              </c:ext>
            </c:extLst>
          </c:dPt>
          <c:dPt>
            <c:idx val="18"/>
            <c:marker>
              <c:symbol val="none"/>
            </c:marker>
            <c:bubble3D val="0"/>
            <c:spPr>
              <a:ln w="28575" cap="rnd">
                <a:solidFill>
                  <a:schemeClr val="accent2"/>
                </a:solidFill>
                <a:prstDash val="sysDot"/>
                <a:round/>
              </a:ln>
              <a:effectLst/>
            </c:spPr>
            <c:extLst>
              <c:ext xmlns:c16="http://schemas.microsoft.com/office/drawing/2014/chart" uri="{C3380CC4-5D6E-409C-BE32-E72D297353CC}">
                <c16:uniqueId val="{0000000B-E525-473B-8F45-B274E76E93DC}"/>
              </c:ext>
            </c:extLst>
          </c:dPt>
          <c:dPt>
            <c:idx val="30"/>
            <c:marker>
              <c:symbol val="none"/>
            </c:marker>
            <c:bubble3D val="0"/>
            <c:spPr>
              <a:ln w="28575" cap="rnd">
                <a:solidFill>
                  <a:schemeClr val="accent2"/>
                </a:solidFill>
                <a:prstDash val="sysDot"/>
                <a:round/>
              </a:ln>
              <a:effectLst/>
            </c:spPr>
            <c:extLst>
              <c:ext xmlns:c16="http://schemas.microsoft.com/office/drawing/2014/chart" uri="{C3380CC4-5D6E-409C-BE32-E72D297353CC}">
                <c16:uniqueId val="{0000000D-E525-473B-8F45-B274E76E93DC}"/>
              </c:ext>
            </c:extLst>
          </c:dPt>
          <c:dLbls>
            <c:dLbl>
              <c:idx val="6"/>
              <c:layout>
                <c:manualLayout>
                  <c:x val="-2.9892594961874068E-2"/>
                  <c:y val="7.3004823827985718E-2"/>
                </c:manualLayout>
              </c:layout>
              <c:showLegendKey val="0"/>
              <c:showVal val="0"/>
              <c:showCatName val="0"/>
              <c:showSerName val="1"/>
              <c:showPercent val="0"/>
              <c:showBubbleSize val="0"/>
              <c:extLst>
                <c:ext xmlns:c15="http://schemas.microsoft.com/office/drawing/2012/chart" uri="{CE6537A1-D6FC-4f65-9D91-7224C49458BB}">
                  <c15:layout>
                    <c:manualLayout>
                      <c:w val="0.1740686225474084"/>
                      <c:h val="0.14616722941841845"/>
                    </c:manualLayout>
                  </c15:layout>
                </c:ext>
                <c:ext xmlns:c16="http://schemas.microsoft.com/office/drawing/2014/chart" uri="{C3380CC4-5D6E-409C-BE32-E72D297353CC}">
                  <c16:uniqueId val="{00000009-E525-473B-8F45-B274E76E93DC}"/>
                </c:ext>
              </c:extLst>
            </c:dLbl>
            <c:spPr>
              <a:noFill/>
              <a:ln>
                <a:noFill/>
              </a:ln>
              <a:effectLst/>
            </c:spPr>
            <c:txPr>
              <a:bodyPr rot="0" spcFirstLastPara="1" vertOverflow="ellipsis" vert="horz" wrap="square" anchor="ctr" anchorCtr="1"/>
              <a:lstStyle/>
              <a:p>
                <a:pPr>
                  <a:defRPr sz="900" b="1" i="0" u="none" strike="noStrike" kern="1200" baseline="0">
                    <a:solidFill>
                      <a:schemeClr val="accent2"/>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9 Difficulty by Skill Lv'!$A$2:$A$33</c:f>
              <c:numCache>
                <c:formatCode>mmm\-yy</c:formatCode>
                <c:ptCount val="32"/>
                <c:pt idx="0">
                  <c:v>44074</c:v>
                </c:pt>
                <c:pt idx="1">
                  <c:v>44104</c:v>
                </c:pt>
                <c:pt idx="2">
                  <c:v>44135</c:v>
                </c:pt>
                <c:pt idx="3">
                  <c:v>44165</c:v>
                </c:pt>
                <c:pt idx="4">
                  <c:v>44196</c:v>
                </c:pt>
                <c:pt idx="5">
                  <c:v>44227</c:v>
                </c:pt>
                <c:pt idx="6">
                  <c:v>44255</c:v>
                </c:pt>
                <c:pt idx="7">
                  <c:v>44286</c:v>
                </c:pt>
                <c:pt idx="8">
                  <c:v>44316</c:v>
                </c:pt>
                <c:pt idx="9">
                  <c:v>44347</c:v>
                </c:pt>
                <c:pt idx="10">
                  <c:v>44377</c:v>
                </c:pt>
                <c:pt idx="11">
                  <c:v>44408</c:v>
                </c:pt>
                <c:pt idx="12">
                  <c:v>44439</c:v>
                </c:pt>
                <c:pt idx="13">
                  <c:v>44469</c:v>
                </c:pt>
                <c:pt idx="14">
                  <c:v>44500</c:v>
                </c:pt>
                <c:pt idx="15">
                  <c:v>44530</c:v>
                </c:pt>
                <c:pt idx="16">
                  <c:v>44561</c:v>
                </c:pt>
                <c:pt idx="17">
                  <c:v>44592</c:v>
                </c:pt>
                <c:pt idx="18">
                  <c:v>44620</c:v>
                </c:pt>
                <c:pt idx="19">
                  <c:v>44651</c:v>
                </c:pt>
                <c:pt idx="20">
                  <c:v>44681</c:v>
                </c:pt>
                <c:pt idx="21">
                  <c:v>44712</c:v>
                </c:pt>
                <c:pt idx="22">
                  <c:v>44742</c:v>
                </c:pt>
                <c:pt idx="23">
                  <c:v>44773</c:v>
                </c:pt>
                <c:pt idx="24">
                  <c:v>44804</c:v>
                </c:pt>
                <c:pt idx="25">
                  <c:v>44834</c:v>
                </c:pt>
                <c:pt idx="26">
                  <c:v>44865</c:v>
                </c:pt>
                <c:pt idx="27">
                  <c:v>44895</c:v>
                </c:pt>
                <c:pt idx="28">
                  <c:v>44926</c:v>
                </c:pt>
                <c:pt idx="29">
                  <c:v>44957</c:v>
                </c:pt>
                <c:pt idx="30">
                  <c:v>44985</c:v>
                </c:pt>
                <c:pt idx="31">
                  <c:v>44986</c:v>
                </c:pt>
              </c:numCache>
            </c:numRef>
          </c:cat>
          <c:val>
            <c:numRef>
              <c:f>'Figure 9 Difficulty by Skill Lv'!$C$2:$C$33</c:f>
              <c:numCache>
                <c:formatCode>0%</c:formatCode>
                <c:ptCount val="32"/>
                <c:pt idx="0">
                  <c:v>0.45</c:v>
                </c:pt>
                <c:pt idx="1">
                  <c:v>0.36</c:v>
                </c:pt>
                <c:pt idx="2">
                  <c:v>0.37</c:v>
                </c:pt>
                <c:pt idx="3">
                  <c:v>0.38</c:v>
                </c:pt>
                <c:pt idx="4">
                  <c:v>0.34</c:v>
                </c:pt>
                <c:pt idx="6">
                  <c:v>0.28999999999999998</c:v>
                </c:pt>
                <c:pt idx="7">
                  <c:v>0.43</c:v>
                </c:pt>
                <c:pt idx="8">
                  <c:v>0.46</c:v>
                </c:pt>
                <c:pt idx="9">
                  <c:v>0.45</c:v>
                </c:pt>
                <c:pt idx="10">
                  <c:v>0.46</c:v>
                </c:pt>
                <c:pt idx="11">
                  <c:v>0.49</c:v>
                </c:pt>
                <c:pt idx="12">
                  <c:v>0.48</c:v>
                </c:pt>
                <c:pt idx="13">
                  <c:v>0.46</c:v>
                </c:pt>
                <c:pt idx="14">
                  <c:v>0.51</c:v>
                </c:pt>
                <c:pt idx="15">
                  <c:v>0.59</c:v>
                </c:pt>
                <c:pt idx="16">
                  <c:v>0.52</c:v>
                </c:pt>
                <c:pt idx="18">
                  <c:v>0.64</c:v>
                </c:pt>
                <c:pt idx="19">
                  <c:v>0.59</c:v>
                </c:pt>
                <c:pt idx="20">
                  <c:v>0.61</c:v>
                </c:pt>
                <c:pt idx="21">
                  <c:v>0.63</c:v>
                </c:pt>
                <c:pt idx="22">
                  <c:v>0.63</c:v>
                </c:pt>
                <c:pt idx="23">
                  <c:v>0.71</c:v>
                </c:pt>
                <c:pt idx="24">
                  <c:v>0.69</c:v>
                </c:pt>
                <c:pt idx="25">
                  <c:v>0.63</c:v>
                </c:pt>
                <c:pt idx="26">
                  <c:v>0.68</c:v>
                </c:pt>
                <c:pt idx="27">
                  <c:v>0.6</c:v>
                </c:pt>
                <c:pt idx="28">
                  <c:v>0.57999999999999996</c:v>
                </c:pt>
                <c:pt idx="30">
                  <c:v>0.56000000000000005</c:v>
                </c:pt>
                <c:pt idx="31">
                  <c:v>0.56999999999999995</c:v>
                </c:pt>
              </c:numCache>
            </c:numRef>
          </c:val>
          <c:smooth val="0"/>
          <c:extLst>
            <c:ext xmlns:c16="http://schemas.microsoft.com/office/drawing/2014/chart" uri="{C3380CC4-5D6E-409C-BE32-E72D297353CC}">
              <c16:uniqueId val="{0000000E-E525-473B-8F45-B274E76E93DC}"/>
            </c:ext>
          </c:extLst>
        </c:ser>
        <c:dLbls>
          <c:showLegendKey val="0"/>
          <c:showVal val="0"/>
          <c:showCatName val="0"/>
          <c:showSerName val="0"/>
          <c:showPercent val="0"/>
          <c:showBubbleSize val="0"/>
        </c:dLbls>
        <c:smooth val="0"/>
        <c:axId val="1096898736"/>
        <c:axId val="933988096"/>
      </c:lineChart>
      <c:dateAx>
        <c:axId val="109689873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33988096"/>
        <c:crosses val="autoZero"/>
        <c:auto val="1"/>
        <c:lblOffset val="100"/>
        <c:baseTimeUnit val="months"/>
      </c:dateAx>
      <c:valAx>
        <c:axId val="93398809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Proportion of recruiting employers with difficulty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96898736"/>
        <c:crosses val="autoZero"/>
        <c:crossBetween val="between"/>
      </c:valAx>
      <c:spPr>
        <a:noFill/>
        <a:ln>
          <a:noFill/>
        </a:ln>
        <a:effectLst/>
      </c:spPr>
    </c:plotArea>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143712361599305"/>
          <c:y val="4.7635665160768094E-2"/>
          <c:w val="0.65111593072575558"/>
          <c:h val="0.7573743649016349"/>
        </c:manualLayout>
      </c:layout>
      <c:scatterChart>
        <c:scatterStyle val="lineMarker"/>
        <c:varyColors val="0"/>
        <c:ser>
          <c:idx val="0"/>
          <c:order val="0"/>
          <c:tx>
            <c:strRef>
              <c:f>'GCCSA charts'!$D$3</c:f>
              <c:strCache>
                <c:ptCount val="1"/>
                <c:pt idx="0">
                  <c:v>Feb-23</c:v>
                </c:pt>
              </c:strCache>
            </c:strRef>
          </c:tx>
          <c:spPr>
            <a:ln w="19050" cap="rnd">
              <a:noFill/>
              <a:round/>
            </a:ln>
            <a:effectLst/>
          </c:spPr>
          <c:marker>
            <c:symbol val="circle"/>
            <c:size val="5"/>
            <c:spPr>
              <a:solidFill>
                <a:schemeClr val="accent1"/>
              </a:solidFill>
              <a:ln w="9525">
                <a:solidFill>
                  <a:schemeClr val="accent1"/>
                </a:solidFill>
              </a:ln>
              <a:effectLst/>
            </c:spPr>
          </c:marker>
          <c:xVal>
            <c:numRef>
              <c:f>'GCCSA charts'!$C$4:$C$18</c:f>
              <c:numCache>
                <c:formatCode>0.0%</c:formatCode>
                <c:ptCount val="15"/>
                <c:pt idx="0">
                  <c:v>2.1816457639752242E-2</c:v>
                </c:pt>
                <c:pt idx="1">
                  <c:v>1.502899004927224E-2</c:v>
                </c:pt>
                <c:pt idx="2">
                  <c:v>2.1052189345042108E-2</c:v>
                </c:pt>
                <c:pt idx="3">
                  <c:v>1.5482443483019808E-2</c:v>
                </c:pt>
                <c:pt idx="4">
                  <c:v>2.4619701119599886E-2</c:v>
                </c:pt>
                <c:pt idx="5">
                  <c:v>1.5998630902958909E-2</c:v>
                </c:pt>
                <c:pt idx="6">
                  <c:v>1.6494424238778106E-2</c:v>
                </c:pt>
                <c:pt idx="7">
                  <c:v>1.1061342615932777E-2</c:v>
                </c:pt>
                <c:pt idx="8">
                  <c:v>1.9841971499519818E-2</c:v>
                </c:pt>
                <c:pt idx="9">
                  <c:v>1.9392285579698691E-2</c:v>
                </c:pt>
                <c:pt idx="10">
                  <c:v>1.3881679942675796E-2</c:v>
                </c:pt>
                <c:pt idx="11">
                  <c:v>1.125363010912799E-2</c:v>
                </c:pt>
                <c:pt idx="12">
                  <c:v>2.7732592982212017E-2</c:v>
                </c:pt>
                <c:pt idx="13">
                  <c:v>1.0581621933308633E-2</c:v>
                </c:pt>
                <c:pt idx="14">
                  <c:v>2.7435753534257385E-2</c:v>
                </c:pt>
              </c:numCache>
            </c:numRef>
          </c:xVal>
          <c:yVal>
            <c:numRef>
              <c:f>'GCCSA charts'!$D$4:$D$18</c:f>
              <c:numCache>
                <c:formatCode>0.0%</c:formatCode>
                <c:ptCount val="15"/>
                <c:pt idx="0">
                  <c:v>0.80348105003278059</c:v>
                </c:pt>
                <c:pt idx="1">
                  <c:v>0.80314481836850582</c:v>
                </c:pt>
                <c:pt idx="2">
                  <c:v>0.80343637047928795</c:v>
                </c:pt>
                <c:pt idx="3">
                  <c:v>0.78626183432888641</c:v>
                </c:pt>
                <c:pt idx="4">
                  <c:v>0.80661775350860054</c:v>
                </c:pt>
                <c:pt idx="5">
                  <c:v>0.79299107122844537</c:v>
                </c:pt>
                <c:pt idx="6">
                  <c:v>0.80425019812936305</c:v>
                </c:pt>
                <c:pt idx="7">
                  <c:v>0.7623454844108819</c:v>
                </c:pt>
                <c:pt idx="8">
                  <c:v>0.8162857248869636</c:v>
                </c:pt>
                <c:pt idx="9">
                  <c:v>0.82668525187707143</c:v>
                </c:pt>
                <c:pt idx="10">
                  <c:v>0.79642571195977729</c:v>
                </c:pt>
                <c:pt idx="11">
                  <c:v>0.77997528360855706</c:v>
                </c:pt>
                <c:pt idx="12">
                  <c:v>0.8462738084164162</c:v>
                </c:pt>
                <c:pt idx="13">
                  <c:v>0.76932724729295177</c:v>
                </c:pt>
                <c:pt idx="14">
                  <c:v>0.84744657945408908</c:v>
                </c:pt>
              </c:numCache>
            </c:numRef>
          </c:yVal>
          <c:smooth val="0"/>
          <c:extLst>
            <c:ext xmlns:c16="http://schemas.microsoft.com/office/drawing/2014/chart" uri="{C3380CC4-5D6E-409C-BE32-E72D297353CC}">
              <c16:uniqueId val="{00000000-3098-40EC-99E2-5AA692236798}"/>
            </c:ext>
          </c:extLst>
        </c:ser>
        <c:dLbls>
          <c:showLegendKey val="0"/>
          <c:showVal val="0"/>
          <c:showCatName val="0"/>
          <c:showSerName val="0"/>
          <c:showPercent val="0"/>
          <c:showBubbleSize val="0"/>
        </c:dLbls>
        <c:axId val="607731744"/>
        <c:axId val="1688843488"/>
      </c:scatterChart>
      <c:valAx>
        <c:axId val="607731744"/>
        <c:scaling>
          <c:orientation val="minMax"/>
          <c:max val="3.0000000000000006E-2"/>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IVI vacancy ratio</a:t>
                </a:r>
              </a:p>
            </c:rich>
          </c:tx>
          <c:layout>
            <c:manualLayout>
              <c:xMode val="edge"/>
              <c:yMode val="edge"/>
              <c:x val="0.36365310170692705"/>
              <c:y val="0.9047431174137813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843488"/>
        <c:crosses val="autoZero"/>
        <c:crossBetween val="midCat"/>
        <c:majorUnit val="1.0000000000000002E-2"/>
      </c:valAx>
      <c:valAx>
        <c:axId val="1688843488"/>
        <c:scaling>
          <c:orientation val="minMax"/>
          <c:max val="0.8600000000000001"/>
          <c:min val="0.740000000000000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Participation rate (15-64 years)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7731744"/>
        <c:crosses val="autoZero"/>
        <c:crossBetween val="midCat"/>
        <c:majorUnit val="2.0000000000000004E-2"/>
      </c:valAx>
      <c:spPr>
        <a:noFill/>
        <a:ln>
          <a:noFill/>
        </a:ln>
        <a:effectLst/>
      </c:spPr>
    </c:plotArea>
    <c:legend>
      <c:legendPos val="r"/>
      <c:layout>
        <c:manualLayout>
          <c:xMode val="edge"/>
          <c:yMode val="edge"/>
          <c:x val="0.50142451664369636"/>
          <c:y val="3.460047381162738E-3"/>
          <c:w val="0.1859186529770617"/>
          <c:h val="7.939363966236755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JSA 100">
      <a:dk1>
        <a:srgbClr val="000000"/>
      </a:dk1>
      <a:lt1>
        <a:srgbClr val="FFFFFF"/>
      </a:lt1>
      <a:dk2>
        <a:srgbClr val="441170"/>
      </a:dk2>
      <a:lt2>
        <a:srgbClr val="D2DE5A"/>
      </a:lt2>
      <a:accent1>
        <a:srgbClr val="6929C4"/>
      </a:accent1>
      <a:accent2>
        <a:srgbClr val="005D5D"/>
      </a:accent2>
      <a:accent3>
        <a:srgbClr val="1192E8"/>
      </a:accent3>
      <a:accent4>
        <a:srgbClr val="9F1853"/>
      </a:accent4>
      <a:accent5>
        <a:srgbClr val="FA4D56"/>
      </a:accent5>
      <a:accent6>
        <a:srgbClr val="570408"/>
      </a:accent6>
      <a:hlink>
        <a:srgbClr val="215E9E"/>
      </a:hlink>
      <a:folHlink>
        <a:srgbClr val="00B4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d21d26-9b38-406f-8c3f-e50b1ba205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6C987573120E45831A47FF35E4DD31" ma:contentTypeVersion="9" ma:contentTypeDescription="Create a new document." ma:contentTypeScope="" ma:versionID="662367e65390adc652ff225b0337712c">
  <xsd:schema xmlns:xsd="http://www.w3.org/2001/XMLSchema" xmlns:xs="http://www.w3.org/2001/XMLSchema" xmlns:p="http://schemas.microsoft.com/office/2006/metadata/properties" xmlns:ns3="25d21d26-9b38-406f-8c3f-e50b1ba2051f" targetNamespace="http://schemas.microsoft.com/office/2006/metadata/properties" ma:root="true" ma:fieldsID="124f743bb072049ed40b9867010f240e" ns3:_="">
    <xsd:import namespace="25d21d26-9b38-406f-8c3f-e50b1ba205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21d26-9b38-406f-8c3f-e50b1ba20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05D02-0709-4D93-A35F-519302474813}">
  <ds:schemaRefs>
    <ds:schemaRef ds:uri="http://schemas.microsoft.com/office/2006/metadata/properties"/>
    <ds:schemaRef ds:uri="http://schemas.microsoft.com/office/infopath/2007/PartnerControls"/>
    <ds:schemaRef ds:uri="25d21d26-9b38-406f-8c3f-e50b1ba2051f"/>
  </ds:schemaRefs>
</ds:datastoreItem>
</file>

<file path=customXml/itemProps2.xml><?xml version="1.0" encoding="utf-8"?>
<ds:datastoreItem xmlns:ds="http://schemas.openxmlformats.org/officeDocument/2006/customXml" ds:itemID="{C3A08119-2B1A-4E1B-B381-0DBB5CC3AABE}">
  <ds:schemaRefs>
    <ds:schemaRef ds:uri="http://schemas.microsoft.com/sharepoint/v3/contenttype/forms"/>
  </ds:schemaRefs>
</ds:datastoreItem>
</file>

<file path=customXml/itemProps3.xml><?xml version="1.0" encoding="utf-8"?>
<ds:datastoreItem xmlns:ds="http://schemas.openxmlformats.org/officeDocument/2006/customXml" ds:itemID="{6672FCDE-C743-45FA-A2D7-2595E8332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21d26-9b38-406f-8c3f-e50b1ba20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DF9A4-E890-4340-8233-ACDAE9F6F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12965</Words>
  <Characters>72996</Characters>
  <Application>Microsoft Office Word</Application>
  <DocSecurity>0</DocSecurity>
  <Lines>2607</Lines>
  <Paragraphs>1910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CLARK,Evelyn</dc:creator>
  <cp:keywords/>
  <dc:description/>
  <cp:lastModifiedBy>NELSON,Susan</cp:lastModifiedBy>
  <cp:revision>3</cp:revision>
  <cp:lastPrinted>2023-05-29T06:24:00Z</cp:lastPrinted>
  <dcterms:created xsi:type="dcterms:W3CDTF">2023-05-29T06:24:00Z</dcterms:created>
  <dcterms:modified xsi:type="dcterms:W3CDTF">2023-05-29T06:24:00Z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0x010100B36C987573120E45831A47FF35E4DD31</vt:lpwstr>
  </property>
  <property fmtid="{D5CDD505-2E9C-101B-9397-08002B2CF9AE}" pid="10" name="Order">
    <vt:r8>370200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