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362F" w14:textId="77777777"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487CA9FB" wp14:editId="42E4A661">
            <wp:extent cx="3240000" cy="701298"/>
            <wp:effectExtent l="0" t="0" r="0" b="3810"/>
            <wp:docPr id="348354591" name="Picture 348354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a:extLst>
                        <a:ext uri="{C183D7F6-B498-43B3-948B-1728B52AA6E4}">
                          <adec:decorative xmlns:adec="http://schemas.microsoft.com/office/drawing/2017/decorative" val="1"/>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05C38C0F" wp14:editId="39E0D79E">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2C515DE6" w14:textId="77777777" w:rsidR="00AA5442" w:rsidRDefault="00AA5442" w:rsidP="00AA5442">
      <w:pPr>
        <w:pStyle w:val="BodyText"/>
      </w:pPr>
    </w:p>
    <w:p w14:paraId="488C1C91" w14:textId="474C8296" w:rsidR="00AA5442" w:rsidRPr="00E60832" w:rsidRDefault="00944F0A" w:rsidP="00AA5442">
      <w:pPr>
        <w:pStyle w:val="Title"/>
      </w:pPr>
      <w:r w:rsidRPr="00944F0A">
        <w:t>Occupation Shortage Report</w:t>
      </w:r>
    </w:p>
    <w:p w14:paraId="4230C29D" w14:textId="7E1376DC" w:rsidR="00AA5442" w:rsidRDefault="009A4E61" w:rsidP="00AA5442">
      <w:pPr>
        <w:pStyle w:val="Subtitle"/>
      </w:pPr>
      <w:r>
        <w:t>December quarter 2025</w:t>
      </w:r>
    </w:p>
    <w:p w14:paraId="36216DA4" w14:textId="62B8B6A1" w:rsidR="00D11938" w:rsidRPr="00934D95" w:rsidRDefault="00D11938" w:rsidP="00D11938">
      <w:pPr>
        <w:pStyle w:val="DocumentDetails"/>
      </w:pPr>
      <w:r>
        <w:t>12 March 2026</w:t>
      </w:r>
    </w:p>
    <w:p w14:paraId="63A6D601" w14:textId="1C8CDAF5" w:rsidR="00AA5442" w:rsidRPr="00934D95" w:rsidRDefault="00AA5442" w:rsidP="00AA5442">
      <w:pPr>
        <w:pStyle w:val="DocumentDetails"/>
      </w:pPr>
    </w:p>
    <w:p w14:paraId="126CBD75" w14:textId="77777777"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p w14:paraId="70ACE3DA" w14:textId="77777777" w:rsidR="00452A9D" w:rsidRDefault="00452A9D" w:rsidP="00104750">
      <w:pPr>
        <w:pStyle w:val="TOCHeading"/>
      </w:pPr>
      <w:r>
        <w:t>Contents</w:t>
      </w:r>
    </w:p>
    <w:p w14:paraId="1F672675" w14:textId="0E8E7EC0" w:rsidR="005B5484" w:rsidRPr="005B5484" w:rsidRDefault="00452A9D">
      <w:pPr>
        <w:pStyle w:val="TOC1"/>
      </w:pPr>
      <w:r>
        <w:rPr>
          <w:color w:val="6929C4"/>
        </w:rPr>
        <w:fldChar w:fldCharType="begin"/>
      </w:r>
      <w:r>
        <w:instrText xml:space="preserve"> TOC \o "2-3" \h \z \t "Heading 1,1" </w:instrText>
      </w:r>
      <w:r>
        <w:rPr>
          <w:color w:val="6929C4"/>
        </w:rPr>
        <w:fldChar w:fldCharType="separate"/>
      </w:r>
      <w:hyperlink w:anchor="_Toc224202108" w:history="1">
        <w:r w:rsidR="005B5484" w:rsidRPr="004156D3">
          <w:rPr>
            <w:rStyle w:val="Hyperlink"/>
            <w:noProof/>
          </w:rPr>
          <w:t>Introduction</w:t>
        </w:r>
        <w:r w:rsidR="005B5484">
          <w:rPr>
            <w:noProof/>
            <w:webHidden/>
          </w:rPr>
          <w:tab/>
        </w:r>
        <w:r w:rsidR="005B5484">
          <w:rPr>
            <w:noProof/>
            <w:webHidden/>
          </w:rPr>
          <w:fldChar w:fldCharType="begin"/>
        </w:r>
        <w:r w:rsidR="005B5484">
          <w:rPr>
            <w:noProof/>
            <w:webHidden/>
          </w:rPr>
          <w:instrText xml:space="preserve"> PAGEREF _Toc224202108 \h </w:instrText>
        </w:r>
        <w:r w:rsidR="005B5484">
          <w:rPr>
            <w:noProof/>
            <w:webHidden/>
          </w:rPr>
        </w:r>
        <w:r w:rsidR="005B5484">
          <w:rPr>
            <w:noProof/>
            <w:webHidden/>
          </w:rPr>
          <w:fldChar w:fldCharType="separate"/>
        </w:r>
        <w:r w:rsidR="00A114CD">
          <w:rPr>
            <w:noProof/>
            <w:webHidden/>
          </w:rPr>
          <w:t>2</w:t>
        </w:r>
        <w:r w:rsidR="005B5484">
          <w:rPr>
            <w:noProof/>
            <w:webHidden/>
          </w:rPr>
          <w:fldChar w:fldCharType="end"/>
        </w:r>
      </w:hyperlink>
    </w:p>
    <w:p w14:paraId="533B0AF4" w14:textId="03B9ED43" w:rsidR="005B5484" w:rsidRPr="005B5484" w:rsidRDefault="005B5484">
      <w:pPr>
        <w:pStyle w:val="TOC1"/>
      </w:pPr>
      <w:hyperlink w:anchor="_Toc224202109" w:history="1">
        <w:r w:rsidRPr="004156D3">
          <w:rPr>
            <w:rStyle w:val="Hyperlink"/>
            <w:noProof/>
          </w:rPr>
          <w:t>National results</w:t>
        </w:r>
        <w:r>
          <w:rPr>
            <w:noProof/>
            <w:webHidden/>
          </w:rPr>
          <w:tab/>
        </w:r>
        <w:r>
          <w:rPr>
            <w:noProof/>
            <w:webHidden/>
          </w:rPr>
          <w:fldChar w:fldCharType="begin"/>
        </w:r>
        <w:r>
          <w:rPr>
            <w:noProof/>
            <w:webHidden/>
          </w:rPr>
          <w:instrText xml:space="preserve"> PAGEREF _Toc224202109 \h </w:instrText>
        </w:r>
        <w:r>
          <w:rPr>
            <w:noProof/>
            <w:webHidden/>
          </w:rPr>
        </w:r>
        <w:r>
          <w:rPr>
            <w:noProof/>
            <w:webHidden/>
          </w:rPr>
          <w:fldChar w:fldCharType="separate"/>
        </w:r>
        <w:r w:rsidR="00A114CD">
          <w:rPr>
            <w:noProof/>
            <w:webHidden/>
          </w:rPr>
          <w:t>2</w:t>
        </w:r>
        <w:r>
          <w:rPr>
            <w:noProof/>
            <w:webHidden/>
          </w:rPr>
          <w:fldChar w:fldCharType="end"/>
        </w:r>
      </w:hyperlink>
    </w:p>
    <w:p w14:paraId="1B20122D" w14:textId="57F4F023" w:rsidR="005B5484" w:rsidRPr="005B5484" w:rsidRDefault="005B5484">
      <w:pPr>
        <w:pStyle w:val="TOC1"/>
      </w:pPr>
      <w:hyperlink w:anchor="_Toc224202110" w:history="1">
        <w:r w:rsidRPr="004156D3">
          <w:rPr>
            <w:rStyle w:val="Hyperlink"/>
            <w:noProof/>
          </w:rPr>
          <w:t>Metropolitan area results</w:t>
        </w:r>
        <w:r>
          <w:rPr>
            <w:noProof/>
            <w:webHidden/>
          </w:rPr>
          <w:tab/>
        </w:r>
        <w:r>
          <w:rPr>
            <w:noProof/>
            <w:webHidden/>
          </w:rPr>
          <w:fldChar w:fldCharType="begin"/>
        </w:r>
        <w:r>
          <w:rPr>
            <w:noProof/>
            <w:webHidden/>
          </w:rPr>
          <w:instrText xml:space="preserve"> PAGEREF _Toc224202110 \h </w:instrText>
        </w:r>
        <w:r>
          <w:rPr>
            <w:noProof/>
            <w:webHidden/>
          </w:rPr>
        </w:r>
        <w:r>
          <w:rPr>
            <w:noProof/>
            <w:webHidden/>
          </w:rPr>
          <w:fldChar w:fldCharType="separate"/>
        </w:r>
        <w:r w:rsidR="00A114CD">
          <w:rPr>
            <w:noProof/>
            <w:webHidden/>
          </w:rPr>
          <w:t>3</w:t>
        </w:r>
        <w:r>
          <w:rPr>
            <w:noProof/>
            <w:webHidden/>
          </w:rPr>
          <w:fldChar w:fldCharType="end"/>
        </w:r>
      </w:hyperlink>
    </w:p>
    <w:p w14:paraId="38661287" w14:textId="1791010F" w:rsidR="005B5484" w:rsidRPr="005B5484" w:rsidRDefault="005B5484">
      <w:pPr>
        <w:pStyle w:val="TOC1"/>
      </w:pPr>
      <w:hyperlink w:anchor="_Toc224202111" w:history="1">
        <w:r w:rsidRPr="004156D3">
          <w:rPr>
            <w:rStyle w:val="Hyperlink"/>
            <w:noProof/>
          </w:rPr>
          <w:t>Regional area results</w:t>
        </w:r>
        <w:r>
          <w:rPr>
            <w:noProof/>
            <w:webHidden/>
          </w:rPr>
          <w:tab/>
        </w:r>
        <w:r>
          <w:rPr>
            <w:noProof/>
            <w:webHidden/>
          </w:rPr>
          <w:fldChar w:fldCharType="begin"/>
        </w:r>
        <w:r>
          <w:rPr>
            <w:noProof/>
            <w:webHidden/>
          </w:rPr>
          <w:instrText xml:space="preserve"> PAGEREF _Toc224202111 \h </w:instrText>
        </w:r>
        <w:r>
          <w:rPr>
            <w:noProof/>
            <w:webHidden/>
          </w:rPr>
        </w:r>
        <w:r>
          <w:rPr>
            <w:noProof/>
            <w:webHidden/>
          </w:rPr>
          <w:fldChar w:fldCharType="separate"/>
        </w:r>
        <w:r w:rsidR="00A114CD">
          <w:rPr>
            <w:noProof/>
            <w:webHidden/>
          </w:rPr>
          <w:t>4</w:t>
        </w:r>
        <w:r>
          <w:rPr>
            <w:noProof/>
            <w:webHidden/>
          </w:rPr>
          <w:fldChar w:fldCharType="end"/>
        </w:r>
      </w:hyperlink>
    </w:p>
    <w:p w14:paraId="3EE19824" w14:textId="768298DC" w:rsidR="005B5484" w:rsidRPr="005B5484" w:rsidRDefault="005B5484">
      <w:pPr>
        <w:pStyle w:val="TOC1"/>
      </w:pPr>
      <w:hyperlink w:anchor="_Toc224202112" w:history="1">
        <w:r w:rsidRPr="004156D3">
          <w:rPr>
            <w:rStyle w:val="Hyperlink"/>
            <w:noProof/>
          </w:rPr>
          <w:t>Results by Skill Level</w:t>
        </w:r>
        <w:r>
          <w:rPr>
            <w:noProof/>
            <w:webHidden/>
          </w:rPr>
          <w:tab/>
        </w:r>
        <w:r>
          <w:rPr>
            <w:noProof/>
            <w:webHidden/>
          </w:rPr>
          <w:fldChar w:fldCharType="begin"/>
        </w:r>
        <w:r>
          <w:rPr>
            <w:noProof/>
            <w:webHidden/>
          </w:rPr>
          <w:instrText xml:space="preserve"> PAGEREF _Toc224202112 \h </w:instrText>
        </w:r>
        <w:r>
          <w:rPr>
            <w:noProof/>
            <w:webHidden/>
          </w:rPr>
        </w:r>
        <w:r>
          <w:rPr>
            <w:noProof/>
            <w:webHidden/>
          </w:rPr>
          <w:fldChar w:fldCharType="separate"/>
        </w:r>
        <w:r w:rsidR="00A114CD">
          <w:rPr>
            <w:noProof/>
            <w:webHidden/>
          </w:rPr>
          <w:t>5</w:t>
        </w:r>
        <w:r>
          <w:rPr>
            <w:noProof/>
            <w:webHidden/>
          </w:rPr>
          <w:fldChar w:fldCharType="end"/>
        </w:r>
      </w:hyperlink>
    </w:p>
    <w:p w14:paraId="6F966169" w14:textId="2B0B7C2C" w:rsidR="005B5484" w:rsidRPr="005B5484" w:rsidRDefault="005B5484">
      <w:pPr>
        <w:pStyle w:val="TOC1"/>
      </w:pPr>
      <w:hyperlink w:anchor="_Toc224202113" w:history="1">
        <w:r w:rsidRPr="004156D3">
          <w:rPr>
            <w:rStyle w:val="Hyperlink"/>
            <w:noProof/>
          </w:rPr>
          <w:t>Results by major group</w:t>
        </w:r>
        <w:r>
          <w:rPr>
            <w:noProof/>
            <w:webHidden/>
          </w:rPr>
          <w:tab/>
        </w:r>
        <w:r>
          <w:rPr>
            <w:noProof/>
            <w:webHidden/>
          </w:rPr>
          <w:fldChar w:fldCharType="begin"/>
        </w:r>
        <w:r>
          <w:rPr>
            <w:noProof/>
            <w:webHidden/>
          </w:rPr>
          <w:instrText xml:space="preserve"> PAGEREF _Toc224202113 \h </w:instrText>
        </w:r>
        <w:r>
          <w:rPr>
            <w:noProof/>
            <w:webHidden/>
          </w:rPr>
        </w:r>
        <w:r>
          <w:rPr>
            <w:noProof/>
            <w:webHidden/>
          </w:rPr>
          <w:fldChar w:fldCharType="separate"/>
        </w:r>
        <w:r w:rsidR="00A114CD">
          <w:rPr>
            <w:noProof/>
            <w:webHidden/>
          </w:rPr>
          <w:t>6</w:t>
        </w:r>
        <w:r>
          <w:rPr>
            <w:noProof/>
            <w:webHidden/>
          </w:rPr>
          <w:fldChar w:fldCharType="end"/>
        </w:r>
      </w:hyperlink>
    </w:p>
    <w:p w14:paraId="7723EC28" w14:textId="1ACA24E9" w:rsidR="005B5484" w:rsidRPr="005B5484" w:rsidRDefault="005B5484">
      <w:pPr>
        <w:pStyle w:val="TOC1"/>
      </w:pPr>
      <w:hyperlink w:anchor="_Toc224202114" w:history="1">
        <w:r w:rsidRPr="004156D3">
          <w:rPr>
            <w:rStyle w:val="Hyperlink"/>
            <w:rFonts w:eastAsia="MS PGothic"/>
            <w:noProof/>
          </w:rPr>
          <w:t xml:space="preserve">Spotlight analysis: </w:t>
        </w:r>
        <w:r w:rsidRPr="004156D3">
          <w:rPr>
            <w:rStyle w:val="Hyperlink"/>
            <w:noProof/>
          </w:rPr>
          <w:t>explaining the surge and decline in total applicants per vacancy</w:t>
        </w:r>
        <w:r>
          <w:rPr>
            <w:noProof/>
            <w:webHidden/>
          </w:rPr>
          <w:tab/>
        </w:r>
        <w:r>
          <w:rPr>
            <w:noProof/>
            <w:webHidden/>
          </w:rPr>
          <w:fldChar w:fldCharType="begin"/>
        </w:r>
        <w:r>
          <w:rPr>
            <w:noProof/>
            <w:webHidden/>
          </w:rPr>
          <w:instrText xml:space="preserve"> PAGEREF _Toc224202114 \h </w:instrText>
        </w:r>
        <w:r>
          <w:rPr>
            <w:noProof/>
            <w:webHidden/>
          </w:rPr>
        </w:r>
        <w:r>
          <w:rPr>
            <w:noProof/>
            <w:webHidden/>
          </w:rPr>
          <w:fldChar w:fldCharType="separate"/>
        </w:r>
        <w:r w:rsidR="00A114CD">
          <w:rPr>
            <w:noProof/>
            <w:webHidden/>
          </w:rPr>
          <w:t>8</w:t>
        </w:r>
        <w:r>
          <w:rPr>
            <w:noProof/>
            <w:webHidden/>
          </w:rPr>
          <w:fldChar w:fldCharType="end"/>
        </w:r>
      </w:hyperlink>
    </w:p>
    <w:p w14:paraId="3827B3D7" w14:textId="2F35D443" w:rsidR="005B5484" w:rsidRPr="005B5484" w:rsidRDefault="005B5484">
      <w:pPr>
        <w:pStyle w:val="TOC2"/>
      </w:pPr>
      <w:hyperlink w:anchor="_Toc224202115" w:history="1">
        <w:r w:rsidRPr="004156D3">
          <w:rPr>
            <w:rStyle w:val="Hyperlink"/>
            <w:noProof/>
          </w:rPr>
          <w:t>Surge in applicants per vacancy in 2024-25</w:t>
        </w:r>
        <w:r>
          <w:rPr>
            <w:noProof/>
            <w:webHidden/>
          </w:rPr>
          <w:tab/>
        </w:r>
        <w:r>
          <w:rPr>
            <w:noProof/>
            <w:webHidden/>
          </w:rPr>
          <w:fldChar w:fldCharType="begin"/>
        </w:r>
        <w:r>
          <w:rPr>
            <w:noProof/>
            <w:webHidden/>
          </w:rPr>
          <w:instrText xml:space="preserve"> PAGEREF _Toc224202115 \h </w:instrText>
        </w:r>
        <w:r>
          <w:rPr>
            <w:noProof/>
            <w:webHidden/>
          </w:rPr>
        </w:r>
        <w:r>
          <w:rPr>
            <w:noProof/>
            <w:webHidden/>
          </w:rPr>
          <w:fldChar w:fldCharType="separate"/>
        </w:r>
        <w:r w:rsidR="00A114CD">
          <w:rPr>
            <w:noProof/>
            <w:webHidden/>
          </w:rPr>
          <w:t>8</w:t>
        </w:r>
        <w:r>
          <w:rPr>
            <w:noProof/>
            <w:webHidden/>
          </w:rPr>
          <w:fldChar w:fldCharType="end"/>
        </w:r>
      </w:hyperlink>
    </w:p>
    <w:p w14:paraId="662B1BF1" w14:textId="4FEAA213" w:rsidR="005B5484" w:rsidRPr="005B5484" w:rsidRDefault="005B5484">
      <w:pPr>
        <w:pStyle w:val="TOC2"/>
      </w:pPr>
      <w:hyperlink w:anchor="_Toc224202116" w:history="1">
        <w:r w:rsidRPr="004156D3">
          <w:rPr>
            <w:rStyle w:val="Hyperlink"/>
            <w:noProof/>
          </w:rPr>
          <w:t>The surge in applicant numbers is not unique to SERA</w:t>
        </w:r>
        <w:r>
          <w:rPr>
            <w:noProof/>
            <w:webHidden/>
          </w:rPr>
          <w:tab/>
        </w:r>
        <w:r>
          <w:rPr>
            <w:noProof/>
            <w:webHidden/>
          </w:rPr>
          <w:fldChar w:fldCharType="begin"/>
        </w:r>
        <w:r>
          <w:rPr>
            <w:noProof/>
            <w:webHidden/>
          </w:rPr>
          <w:instrText xml:space="preserve"> PAGEREF _Toc224202116 \h </w:instrText>
        </w:r>
        <w:r>
          <w:rPr>
            <w:noProof/>
            <w:webHidden/>
          </w:rPr>
        </w:r>
        <w:r>
          <w:rPr>
            <w:noProof/>
            <w:webHidden/>
          </w:rPr>
          <w:fldChar w:fldCharType="separate"/>
        </w:r>
        <w:r w:rsidR="00A114CD">
          <w:rPr>
            <w:noProof/>
            <w:webHidden/>
          </w:rPr>
          <w:t>9</w:t>
        </w:r>
        <w:r>
          <w:rPr>
            <w:noProof/>
            <w:webHidden/>
          </w:rPr>
          <w:fldChar w:fldCharType="end"/>
        </w:r>
      </w:hyperlink>
    </w:p>
    <w:p w14:paraId="1EDBC86A" w14:textId="1EC53C8A" w:rsidR="005B5484" w:rsidRPr="005B5484" w:rsidRDefault="005B5484">
      <w:pPr>
        <w:pStyle w:val="TOC2"/>
      </w:pPr>
      <w:hyperlink w:anchor="_Toc224202117" w:history="1">
        <w:r w:rsidRPr="004156D3">
          <w:rPr>
            <w:rStyle w:val="Hyperlink"/>
            <w:noProof/>
          </w:rPr>
          <w:t>Potential drivers underlying the surge in applicants per vacancy</w:t>
        </w:r>
        <w:r>
          <w:rPr>
            <w:noProof/>
            <w:webHidden/>
          </w:rPr>
          <w:tab/>
        </w:r>
        <w:r>
          <w:rPr>
            <w:noProof/>
            <w:webHidden/>
          </w:rPr>
          <w:fldChar w:fldCharType="begin"/>
        </w:r>
        <w:r>
          <w:rPr>
            <w:noProof/>
            <w:webHidden/>
          </w:rPr>
          <w:instrText xml:space="preserve"> PAGEREF _Toc224202117 \h </w:instrText>
        </w:r>
        <w:r>
          <w:rPr>
            <w:noProof/>
            <w:webHidden/>
          </w:rPr>
        </w:r>
        <w:r>
          <w:rPr>
            <w:noProof/>
            <w:webHidden/>
          </w:rPr>
          <w:fldChar w:fldCharType="separate"/>
        </w:r>
        <w:r w:rsidR="00A114CD">
          <w:rPr>
            <w:noProof/>
            <w:webHidden/>
          </w:rPr>
          <w:t>9</w:t>
        </w:r>
        <w:r>
          <w:rPr>
            <w:noProof/>
            <w:webHidden/>
          </w:rPr>
          <w:fldChar w:fldCharType="end"/>
        </w:r>
      </w:hyperlink>
    </w:p>
    <w:p w14:paraId="70A45881" w14:textId="74A48D69" w:rsidR="005B5484" w:rsidRPr="005B5484" w:rsidRDefault="005B5484">
      <w:pPr>
        <w:pStyle w:val="TOC1"/>
      </w:pPr>
      <w:hyperlink w:anchor="_Toc224202118" w:history="1">
        <w:r w:rsidRPr="004156D3">
          <w:rPr>
            <w:rStyle w:val="Hyperlink"/>
            <w:noProof/>
          </w:rPr>
          <w:t>Explanatory Notes</w:t>
        </w:r>
        <w:r>
          <w:rPr>
            <w:noProof/>
            <w:webHidden/>
          </w:rPr>
          <w:tab/>
        </w:r>
        <w:r>
          <w:rPr>
            <w:noProof/>
            <w:webHidden/>
          </w:rPr>
          <w:fldChar w:fldCharType="begin"/>
        </w:r>
        <w:r>
          <w:rPr>
            <w:noProof/>
            <w:webHidden/>
          </w:rPr>
          <w:instrText xml:space="preserve"> PAGEREF _Toc224202118 \h </w:instrText>
        </w:r>
        <w:r>
          <w:rPr>
            <w:noProof/>
            <w:webHidden/>
          </w:rPr>
        </w:r>
        <w:r>
          <w:rPr>
            <w:noProof/>
            <w:webHidden/>
          </w:rPr>
          <w:fldChar w:fldCharType="separate"/>
        </w:r>
        <w:r w:rsidR="00A114CD">
          <w:rPr>
            <w:noProof/>
            <w:webHidden/>
          </w:rPr>
          <w:t>11</w:t>
        </w:r>
        <w:r>
          <w:rPr>
            <w:noProof/>
            <w:webHidden/>
          </w:rPr>
          <w:fldChar w:fldCharType="end"/>
        </w:r>
      </w:hyperlink>
    </w:p>
    <w:p w14:paraId="6BE4506F" w14:textId="7B0EFC79" w:rsidR="005B5484" w:rsidRPr="005B5484" w:rsidRDefault="005B5484">
      <w:pPr>
        <w:pStyle w:val="TOC2"/>
      </w:pPr>
      <w:hyperlink w:anchor="_Toc224202119" w:history="1">
        <w:r w:rsidRPr="004156D3">
          <w:rPr>
            <w:rStyle w:val="Hyperlink"/>
            <w:noProof/>
          </w:rPr>
          <w:t>Definitions of metrics</w:t>
        </w:r>
        <w:r>
          <w:rPr>
            <w:noProof/>
            <w:webHidden/>
          </w:rPr>
          <w:tab/>
        </w:r>
        <w:r>
          <w:rPr>
            <w:noProof/>
            <w:webHidden/>
          </w:rPr>
          <w:fldChar w:fldCharType="begin"/>
        </w:r>
        <w:r>
          <w:rPr>
            <w:noProof/>
            <w:webHidden/>
          </w:rPr>
          <w:instrText xml:space="preserve"> PAGEREF _Toc224202119 \h </w:instrText>
        </w:r>
        <w:r>
          <w:rPr>
            <w:noProof/>
            <w:webHidden/>
          </w:rPr>
        </w:r>
        <w:r>
          <w:rPr>
            <w:noProof/>
            <w:webHidden/>
          </w:rPr>
          <w:fldChar w:fldCharType="separate"/>
        </w:r>
        <w:r w:rsidR="00A114CD">
          <w:rPr>
            <w:noProof/>
            <w:webHidden/>
          </w:rPr>
          <w:t>11</w:t>
        </w:r>
        <w:r>
          <w:rPr>
            <w:noProof/>
            <w:webHidden/>
          </w:rPr>
          <w:fldChar w:fldCharType="end"/>
        </w:r>
      </w:hyperlink>
    </w:p>
    <w:p w14:paraId="3AC670AA" w14:textId="30EEB107" w:rsidR="00AE0185" w:rsidRDefault="00452A9D" w:rsidP="00E03B0F">
      <w:pPr>
        <w:sectPr w:rsidR="00AE0185" w:rsidSect="00106E26">
          <w:headerReference w:type="first" r:id="rId17"/>
          <w:footerReference w:type="first" r:id="rId18"/>
          <w:pgSz w:w="11907" w:h="16839" w:code="9"/>
          <w:pgMar w:top="1440" w:right="1440" w:bottom="1440" w:left="1440" w:header="720" w:footer="720" w:gutter="0"/>
          <w:pgNumType w:start="1"/>
          <w:cols w:space="720"/>
          <w:titlePg/>
          <w:docGrid w:linePitch="360"/>
        </w:sectPr>
      </w:pPr>
      <w:r>
        <w:fldChar w:fldCharType="end"/>
      </w:r>
    </w:p>
    <w:p w14:paraId="20172792" w14:textId="510D5561" w:rsidR="009D3217" w:rsidRDefault="009D3217" w:rsidP="005355AF">
      <w:pPr>
        <w:pStyle w:val="Heading1"/>
      </w:pPr>
      <w:bookmarkStart w:id="0" w:name="_Toc214019395"/>
      <w:bookmarkStart w:id="1" w:name="_Toc224202108"/>
      <w:r>
        <w:t>Introduction</w:t>
      </w:r>
      <w:bookmarkEnd w:id="0"/>
      <w:bookmarkEnd w:id="1"/>
    </w:p>
    <w:p w14:paraId="23B33D64" w14:textId="20FC67AD" w:rsidR="00383AB0" w:rsidRDefault="00383AB0" w:rsidP="00383AB0">
      <w:pPr>
        <w:pStyle w:val="BodyText"/>
      </w:pPr>
      <w:r w:rsidRPr="00646F60">
        <w:t xml:space="preserve">The Occupation Shortage Report offers quarterly analysis on </w:t>
      </w:r>
      <w:r>
        <w:t xml:space="preserve">select data from </w:t>
      </w:r>
      <w:r w:rsidRPr="00646F60">
        <w:t xml:space="preserve">the Jobs and Skills Australia Survey of Employers who have Recently Advertised (SERA). The </w:t>
      </w:r>
      <w:hyperlink w:anchor="_Explanatory_Notes">
        <w:r w:rsidRPr="00646F60">
          <w:rPr>
            <w:rStyle w:val="Hyperlink"/>
          </w:rPr>
          <w:t>Explanatory notes</w:t>
        </w:r>
      </w:hyperlink>
      <w:r w:rsidRPr="00646F60">
        <w:t xml:space="preserve"> section defines the metrics covered in this report.</w:t>
      </w:r>
    </w:p>
    <w:p w14:paraId="534A9795" w14:textId="77777777" w:rsidR="008A37B8" w:rsidRDefault="008A37B8" w:rsidP="008A37B8">
      <w:pPr>
        <w:pStyle w:val="Heading1"/>
      </w:pPr>
      <w:bookmarkStart w:id="2" w:name="_Toc214019396"/>
      <w:bookmarkStart w:id="3" w:name="_Toc224202109"/>
      <w:r>
        <w:t>National results</w:t>
      </w:r>
      <w:bookmarkEnd w:id="2"/>
      <w:bookmarkEnd w:id="3"/>
    </w:p>
    <w:p w14:paraId="6FA5FE67" w14:textId="16453266" w:rsidR="008A37B8" w:rsidRPr="00646F60" w:rsidRDefault="008A37B8" w:rsidP="008A37B8">
      <w:pPr>
        <w:pStyle w:val="Caption"/>
      </w:pPr>
      <w:bookmarkStart w:id="4" w:name="_Ref181718787"/>
      <w:bookmarkStart w:id="5" w:name="_Ref173248539"/>
      <w:r w:rsidRPr="00646F60">
        <w:t xml:space="preserve">Table </w:t>
      </w:r>
      <w:r w:rsidRPr="00646F60">
        <w:fldChar w:fldCharType="begin"/>
      </w:r>
      <w:r w:rsidRPr="00646F60">
        <w:instrText xml:space="preserve"> SEQ Table \* ARABIC </w:instrText>
      </w:r>
      <w:r w:rsidRPr="00646F60">
        <w:fldChar w:fldCharType="separate"/>
      </w:r>
      <w:r w:rsidR="00A114CD">
        <w:rPr>
          <w:noProof/>
        </w:rPr>
        <w:t>1</w:t>
      </w:r>
      <w:r w:rsidRPr="00646F60">
        <w:fldChar w:fldCharType="end"/>
      </w:r>
      <w:bookmarkEnd w:id="4"/>
      <w:bookmarkEnd w:id="5"/>
      <w:r w:rsidRPr="00646F60">
        <w:t>: National snapshot</w:t>
      </w:r>
      <w:r w:rsidR="0075658E">
        <w:t xml:space="preserve"> </w:t>
      </w:r>
      <w:r w:rsidR="0075658E" w:rsidRPr="00646F60">
        <w:t>▲</w:t>
      </w:r>
    </w:p>
    <w:tbl>
      <w:tblPr>
        <w:tblStyle w:val="CustomTablebasic"/>
        <w:tblW w:w="5000" w:type="pct"/>
        <w:tblLook w:val="04A0" w:firstRow="1" w:lastRow="0" w:firstColumn="1" w:lastColumn="0" w:noHBand="0" w:noVBand="1"/>
      </w:tblPr>
      <w:tblGrid>
        <w:gridCol w:w="3923"/>
        <w:gridCol w:w="1701"/>
        <w:gridCol w:w="1701"/>
        <w:gridCol w:w="1702"/>
      </w:tblGrid>
      <w:tr w:rsidR="008A37B8" w:rsidRPr="00965FCB" w14:paraId="5C31D911" w14:textId="77777777">
        <w:trPr>
          <w:cnfStyle w:val="100000000000" w:firstRow="1" w:lastRow="0" w:firstColumn="0" w:lastColumn="0" w:oddVBand="0" w:evenVBand="0" w:oddHBand="0" w:evenHBand="0" w:firstRowFirstColumn="0" w:firstRowLastColumn="0" w:lastRowFirstColumn="0" w:lastRowLastColumn="0"/>
          <w:trHeight w:val="660"/>
        </w:trPr>
        <w:tc>
          <w:tcPr>
            <w:tcW w:w="2173" w:type="pct"/>
          </w:tcPr>
          <w:p w14:paraId="4E1D9600" w14:textId="77777777" w:rsidR="008A37B8" w:rsidRPr="00197780" w:rsidRDefault="008A37B8" w:rsidP="008A37B8">
            <w:pPr>
              <w:pStyle w:val="TableHeading1"/>
            </w:pPr>
          </w:p>
        </w:tc>
        <w:tc>
          <w:tcPr>
            <w:tcW w:w="942" w:type="pct"/>
          </w:tcPr>
          <w:p w14:paraId="60105D15" w14:textId="77777777" w:rsidR="008A37B8" w:rsidRPr="008A37B8" w:rsidRDefault="008A37B8" w:rsidP="008A37B8">
            <w:pPr>
              <w:pStyle w:val="TableHeading1"/>
            </w:pPr>
            <w:r w:rsidRPr="00197780">
              <w:t>December quarter 2025</w:t>
            </w:r>
          </w:p>
        </w:tc>
        <w:tc>
          <w:tcPr>
            <w:tcW w:w="942" w:type="pct"/>
          </w:tcPr>
          <w:p w14:paraId="6ECFDBB9" w14:textId="77777777" w:rsidR="008A37B8" w:rsidRPr="008A37B8" w:rsidRDefault="008A37B8" w:rsidP="008A37B8">
            <w:pPr>
              <w:pStyle w:val="TableHeading1"/>
            </w:pPr>
            <w:r w:rsidRPr="00197780">
              <w:t>Change over the quarter</w:t>
            </w:r>
          </w:p>
        </w:tc>
        <w:tc>
          <w:tcPr>
            <w:tcW w:w="943" w:type="pct"/>
          </w:tcPr>
          <w:p w14:paraId="372D3408" w14:textId="77777777" w:rsidR="008A37B8" w:rsidRPr="008A37B8" w:rsidRDefault="008A37B8" w:rsidP="008A37B8">
            <w:pPr>
              <w:pStyle w:val="TableHeading1"/>
            </w:pPr>
            <w:r w:rsidRPr="00197780">
              <w:t>Change over 12 months</w:t>
            </w:r>
          </w:p>
        </w:tc>
      </w:tr>
      <w:tr w:rsidR="008A37B8" w:rsidRPr="00965FCB" w14:paraId="1541ED4A" w14:textId="77777777">
        <w:trPr>
          <w:trHeight w:val="333"/>
        </w:trPr>
        <w:tc>
          <w:tcPr>
            <w:tcW w:w="2173" w:type="pct"/>
          </w:tcPr>
          <w:p w14:paraId="7F6149EC" w14:textId="77777777" w:rsidR="008A37B8" w:rsidRPr="008A37B8" w:rsidRDefault="008A37B8" w:rsidP="008A37B8">
            <w:pPr>
              <w:pStyle w:val="TableBodyText"/>
            </w:pPr>
            <w:r w:rsidRPr="00197780">
              <w:t>Vacancy fill rate (%)</w:t>
            </w:r>
            <w:r w:rsidRPr="008A37B8">
              <w:rPr>
                <w:rStyle w:val="FootnoteReference"/>
              </w:rPr>
              <w:footnoteReference w:id="1"/>
            </w:r>
          </w:p>
        </w:tc>
        <w:tc>
          <w:tcPr>
            <w:tcW w:w="942" w:type="pct"/>
          </w:tcPr>
          <w:p w14:paraId="525DE063" w14:textId="77777777" w:rsidR="008A37B8" w:rsidRPr="008A37B8" w:rsidRDefault="008A37B8" w:rsidP="008A37B8">
            <w:pPr>
              <w:pStyle w:val="TableBodyTextright"/>
            </w:pPr>
            <w:r w:rsidRPr="00197780">
              <w:t>70.7%</w:t>
            </w:r>
          </w:p>
        </w:tc>
        <w:tc>
          <w:tcPr>
            <w:tcW w:w="942" w:type="pct"/>
          </w:tcPr>
          <w:p w14:paraId="76762754" w14:textId="77777777" w:rsidR="008A37B8" w:rsidRPr="008A37B8" w:rsidRDefault="008A37B8" w:rsidP="008A37B8">
            <w:pPr>
              <w:pStyle w:val="TableBodyTextright"/>
            </w:pPr>
            <w:r w:rsidRPr="00646F60">
              <w:t>▲</w:t>
            </w:r>
            <w:r w:rsidRPr="008A37B8">
              <w:t xml:space="preserve"> 0.4% pts</w:t>
            </w:r>
          </w:p>
        </w:tc>
        <w:tc>
          <w:tcPr>
            <w:tcW w:w="943" w:type="pct"/>
          </w:tcPr>
          <w:p w14:paraId="2DCFBAE7" w14:textId="77777777" w:rsidR="008A37B8" w:rsidRPr="008A37B8" w:rsidRDefault="008A37B8" w:rsidP="008A37B8">
            <w:pPr>
              <w:pStyle w:val="TableBodyTextright"/>
            </w:pPr>
            <w:r w:rsidRPr="00646F60">
              <w:t>▲</w:t>
            </w:r>
            <w:r w:rsidRPr="008A37B8">
              <w:t>2.1% pts</w:t>
            </w:r>
          </w:p>
        </w:tc>
      </w:tr>
      <w:tr w:rsidR="008A37B8" w:rsidRPr="00965FCB" w14:paraId="76BA2528" w14:textId="77777777">
        <w:trPr>
          <w:cnfStyle w:val="000000010000" w:firstRow="0" w:lastRow="0" w:firstColumn="0" w:lastColumn="0" w:oddVBand="0" w:evenVBand="0" w:oddHBand="0" w:evenHBand="1" w:firstRowFirstColumn="0" w:firstRowLastColumn="0" w:lastRowFirstColumn="0" w:lastRowLastColumn="0"/>
          <w:trHeight w:val="425"/>
        </w:trPr>
        <w:tc>
          <w:tcPr>
            <w:tcW w:w="2173" w:type="pct"/>
          </w:tcPr>
          <w:p w14:paraId="1D38DA4B" w14:textId="77777777" w:rsidR="008A37B8" w:rsidRPr="008A37B8" w:rsidRDefault="008A37B8" w:rsidP="008A37B8">
            <w:pPr>
              <w:pStyle w:val="TableBodyText"/>
            </w:pPr>
            <w:r w:rsidRPr="00197780">
              <w:t>Applicants per vacancy (no.)</w:t>
            </w:r>
          </w:p>
        </w:tc>
        <w:tc>
          <w:tcPr>
            <w:tcW w:w="942" w:type="pct"/>
          </w:tcPr>
          <w:p w14:paraId="291B41BE" w14:textId="77777777" w:rsidR="008A37B8" w:rsidRPr="008A37B8" w:rsidRDefault="008A37B8" w:rsidP="008A37B8">
            <w:pPr>
              <w:pStyle w:val="TableBodyTextright"/>
            </w:pPr>
            <w:r w:rsidRPr="00197780">
              <w:t>22.9</w:t>
            </w:r>
          </w:p>
        </w:tc>
        <w:tc>
          <w:tcPr>
            <w:tcW w:w="942" w:type="pct"/>
          </w:tcPr>
          <w:p w14:paraId="15B5EF57" w14:textId="77777777" w:rsidR="008A37B8" w:rsidRPr="008A37B8" w:rsidRDefault="008A37B8" w:rsidP="008A37B8">
            <w:pPr>
              <w:pStyle w:val="TableBodyTextright"/>
            </w:pPr>
            <w:r w:rsidRPr="00646F60">
              <w:t>▼</w:t>
            </w:r>
            <w:r w:rsidRPr="008A37B8">
              <w:t xml:space="preserve"> 1.7</w:t>
            </w:r>
          </w:p>
        </w:tc>
        <w:tc>
          <w:tcPr>
            <w:tcW w:w="943" w:type="pct"/>
          </w:tcPr>
          <w:p w14:paraId="7FABA3DC" w14:textId="77777777" w:rsidR="008A37B8" w:rsidRPr="008A37B8" w:rsidRDefault="008A37B8" w:rsidP="008A37B8">
            <w:pPr>
              <w:pStyle w:val="TableBodyTextright"/>
            </w:pPr>
            <w:r w:rsidRPr="00646F60">
              <w:t>▼</w:t>
            </w:r>
            <w:r w:rsidRPr="008A37B8">
              <w:t xml:space="preserve"> 7.1</w:t>
            </w:r>
          </w:p>
        </w:tc>
      </w:tr>
      <w:tr w:rsidR="008A37B8" w:rsidRPr="00965FCB" w14:paraId="1D825D85" w14:textId="77777777">
        <w:trPr>
          <w:trHeight w:val="417"/>
        </w:trPr>
        <w:tc>
          <w:tcPr>
            <w:tcW w:w="2173" w:type="pct"/>
          </w:tcPr>
          <w:p w14:paraId="5E3061A5" w14:textId="77777777" w:rsidR="008A37B8" w:rsidRPr="008A37B8" w:rsidRDefault="008A37B8" w:rsidP="008A37B8">
            <w:pPr>
              <w:pStyle w:val="TableBodyText"/>
            </w:pPr>
            <w:r w:rsidRPr="00197780">
              <w:t>Qualified applicants per vacancy (no.)</w:t>
            </w:r>
          </w:p>
        </w:tc>
        <w:tc>
          <w:tcPr>
            <w:tcW w:w="942" w:type="pct"/>
          </w:tcPr>
          <w:p w14:paraId="011EE95C" w14:textId="77777777" w:rsidR="008A37B8" w:rsidRPr="008A37B8" w:rsidRDefault="008A37B8" w:rsidP="008A37B8">
            <w:pPr>
              <w:pStyle w:val="TableBodyTextright"/>
            </w:pPr>
            <w:r w:rsidRPr="00197780">
              <w:t>9.2</w:t>
            </w:r>
          </w:p>
        </w:tc>
        <w:tc>
          <w:tcPr>
            <w:tcW w:w="942" w:type="pct"/>
          </w:tcPr>
          <w:p w14:paraId="19EB2FE9" w14:textId="77777777" w:rsidR="008A37B8" w:rsidRPr="008A37B8" w:rsidRDefault="008A37B8" w:rsidP="008A37B8">
            <w:pPr>
              <w:pStyle w:val="TableBodyTextright"/>
            </w:pPr>
            <w:r w:rsidRPr="00852F81">
              <w:t>—</w:t>
            </w:r>
          </w:p>
        </w:tc>
        <w:tc>
          <w:tcPr>
            <w:tcW w:w="943" w:type="pct"/>
          </w:tcPr>
          <w:p w14:paraId="6E99CE0B" w14:textId="77777777" w:rsidR="008A37B8" w:rsidRPr="008A37B8" w:rsidRDefault="008A37B8" w:rsidP="008A37B8">
            <w:pPr>
              <w:pStyle w:val="TableBodyTextright"/>
            </w:pPr>
            <w:r w:rsidRPr="00852F81">
              <w:t>—</w:t>
            </w:r>
          </w:p>
        </w:tc>
      </w:tr>
      <w:tr w:rsidR="008A37B8" w:rsidRPr="00965FCB" w14:paraId="13C4C9B8" w14:textId="77777777">
        <w:trPr>
          <w:cnfStyle w:val="000000010000" w:firstRow="0" w:lastRow="0" w:firstColumn="0" w:lastColumn="0" w:oddVBand="0" w:evenVBand="0" w:oddHBand="0" w:evenHBand="1" w:firstRowFirstColumn="0" w:firstRowLastColumn="0" w:lastRowFirstColumn="0" w:lastRowLastColumn="0"/>
          <w:trHeight w:val="424"/>
        </w:trPr>
        <w:tc>
          <w:tcPr>
            <w:tcW w:w="2173" w:type="pct"/>
          </w:tcPr>
          <w:p w14:paraId="2D4A6732" w14:textId="77777777" w:rsidR="008A37B8" w:rsidRPr="008A37B8" w:rsidRDefault="008A37B8" w:rsidP="008A37B8">
            <w:pPr>
              <w:pStyle w:val="TableBodyText"/>
            </w:pPr>
            <w:r w:rsidRPr="00197780">
              <w:t>Suitable applicants per vacancy (no.)</w:t>
            </w:r>
          </w:p>
        </w:tc>
        <w:tc>
          <w:tcPr>
            <w:tcW w:w="942" w:type="pct"/>
          </w:tcPr>
          <w:p w14:paraId="1A65C5A1" w14:textId="77777777" w:rsidR="008A37B8" w:rsidRPr="008A37B8" w:rsidRDefault="008A37B8" w:rsidP="008A37B8">
            <w:pPr>
              <w:pStyle w:val="TableBodyTextright"/>
            </w:pPr>
            <w:r w:rsidRPr="00197780">
              <w:t>4.9</w:t>
            </w:r>
          </w:p>
        </w:tc>
        <w:tc>
          <w:tcPr>
            <w:tcW w:w="942" w:type="pct"/>
          </w:tcPr>
          <w:p w14:paraId="4D5B6A82" w14:textId="77777777" w:rsidR="008A37B8" w:rsidRPr="008A37B8" w:rsidRDefault="008A37B8" w:rsidP="008A37B8">
            <w:pPr>
              <w:pStyle w:val="TableBodyTextright"/>
            </w:pPr>
            <w:r w:rsidRPr="00646F60">
              <w:t>▲</w:t>
            </w:r>
            <w:r w:rsidRPr="008A37B8">
              <w:t>0.1</w:t>
            </w:r>
          </w:p>
        </w:tc>
        <w:tc>
          <w:tcPr>
            <w:tcW w:w="943" w:type="pct"/>
          </w:tcPr>
          <w:p w14:paraId="4711DFD5" w14:textId="77777777" w:rsidR="008A37B8" w:rsidRPr="008A37B8" w:rsidRDefault="008A37B8" w:rsidP="008A37B8">
            <w:pPr>
              <w:pStyle w:val="TableBodyTextright"/>
            </w:pPr>
            <w:r w:rsidRPr="00646F60">
              <w:t>▲</w:t>
            </w:r>
            <w:r w:rsidRPr="008A37B8">
              <w:t xml:space="preserve"> 1.3</w:t>
            </w:r>
          </w:p>
        </w:tc>
      </w:tr>
    </w:tbl>
    <w:p w14:paraId="7F7B5B6D" w14:textId="56941716" w:rsidR="008A37B8" w:rsidRPr="00646F60" w:rsidRDefault="008A37B8" w:rsidP="008A37B8">
      <w:pPr>
        <w:pStyle w:val="Source"/>
      </w:pPr>
      <w:r w:rsidRPr="00646F60">
        <w:t>Source: Jobs and Skills Australia, SERA.</w:t>
      </w:r>
      <w:r w:rsidRPr="00646F60">
        <w:br/>
        <w:t xml:space="preserve">Note: The change from previous quarter refers to the change from </w:t>
      </w:r>
      <w:r w:rsidR="00DC39E7">
        <w:t>September</w:t>
      </w:r>
      <w:r w:rsidRPr="00646F60">
        <w:t xml:space="preserve"> quarter 2025 to </w:t>
      </w:r>
      <w:r w:rsidR="00DC39E7">
        <w:t>Dec</w:t>
      </w:r>
      <w:r w:rsidRPr="002D39D4">
        <w:t xml:space="preserve">ember </w:t>
      </w:r>
      <w:r w:rsidRPr="00646F60">
        <w:t xml:space="preserve">quarter 2025. The change from the previous </w:t>
      </w:r>
      <w:r>
        <w:t xml:space="preserve">12 months </w:t>
      </w:r>
      <w:r w:rsidRPr="00646F60">
        <w:t>refers to the change from</w:t>
      </w:r>
      <w:r w:rsidR="005D0FB2">
        <w:t xml:space="preserve"> Dec</w:t>
      </w:r>
      <w:r w:rsidRPr="002D39D4">
        <w:t xml:space="preserve">ember </w:t>
      </w:r>
      <w:r w:rsidRPr="00646F60">
        <w:t xml:space="preserve">quarter 2024 to </w:t>
      </w:r>
      <w:r w:rsidR="005D0FB2">
        <w:t>Dec</w:t>
      </w:r>
      <w:r w:rsidRPr="002D39D4">
        <w:t xml:space="preserve">ember </w:t>
      </w:r>
      <w:r w:rsidRPr="00646F60">
        <w:t>quarter 2025.</w:t>
      </w:r>
    </w:p>
    <w:p w14:paraId="3A6F5EA8" w14:textId="3BE1E70A" w:rsidR="008A37B8" w:rsidRPr="00646F60" w:rsidRDefault="008A37B8" w:rsidP="008A37B8">
      <w:pPr>
        <w:pStyle w:val="BodyText"/>
      </w:pPr>
      <w:r w:rsidRPr="00646F60">
        <w:t>The vacancy fill rate (</w:t>
      </w:r>
      <w:hyperlink w:anchor="_Definitions_of_metrics" w:history="1">
        <w:r w:rsidRPr="00E5294A">
          <w:rPr>
            <w:rStyle w:val="Hyperlink"/>
          </w:rPr>
          <w:t>fill rate</w:t>
        </w:r>
      </w:hyperlink>
      <w:r w:rsidRPr="00646F60">
        <w:t xml:space="preserve">) </w:t>
      </w:r>
      <w:r w:rsidR="009924F2">
        <w:t>increased</w:t>
      </w:r>
      <w:r w:rsidRPr="00646F60">
        <w:t xml:space="preserve"> </w:t>
      </w:r>
      <w:r>
        <w:t xml:space="preserve">in the </w:t>
      </w:r>
      <w:r w:rsidR="009924F2">
        <w:t xml:space="preserve">December </w:t>
      </w:r>
      <w:r>
        <w:t>quarter 2025 by 0.</w:t>
      </w:r>
      <w:r w:rsidR="009924F2">
        <w:t>4</w:t>
      </w:r>
      <w:r>
        <w:t xml:space="preserve"> percentage points to 70.</w:t>
      </w:r>
      <w:r w:rsidR="009924F2">
        <w:t>7</w:t>
      </w:r>
      <w:r>
        <w:t xml:space="preserve">%. </w:t>
      </w:r>
      <w:r w:rsidR="00DC39E7">
        <w:t>O</w:t>
      </w:r>
      <w:r>
        <w:t xml:space="preserve">ver </w:t>
      </w:r>
      <w:r w:rsidRPr="00646F60">
        <w:t xml:space="preserve">the last 12 months to </w:t>
      </w:r>
      <w:r>
        <w:t xml:space="preserve">the current </w:t>
      </w:r>
      <w:r w:rsidRPr="00646F60">
        <w:t>quarter</w:t>
      </w:r>
      <w:r>
        <w:t>, the rate increased by 2.</w:t>
      </w:r>
      <w:r w:rsidR="00DC39E7">
        <w:t>1</w:t>
      </w:r>
      <w:r>
        <w:t xml:space="preserve"> percentage points</w:t>
      </w:r>
      <w:r w:rsidRPr="00646F60">
        <w:t xml:space="preserve"> (</w:t>
      </w:r>
      <w:r w:rsidR="007B7F59" w:rsidRPr="00646F60">
        <w:t xml:space="preserve">Table </w:t>
      </w:r>
      <w:r w:rsidR="007B7F59">
        <w:t>1</w:t>
      </w:r>
      <w:r w:rsidRPr="00646F60">
        <w:t xml:space="preserve"> and </w:t>
      </w:r>
      <w:r w:rsidR="007B7F59" w:rsidRPr="00646F60">
        <w:t xml:space="preserve">Figure </w:t>
      </w:r>
      <w:r w:rsidR="007B7F59">
        <w:t>1</w:t>
      </w:r>
      <w:r w:rsidRPr="00646F60">
        <w:t>).</w:t>
      </w:r>
      <w:r w:rsidRPr="00646F60">
        <w:rPr>
          <w:rStyle w:val="FootnoteReference"/>
        </w:rPr>
        <w:footnoteReference w:id="2"/>
      </w:r>
      <w:r w:rsidRPr="00646F60">
        <w:t xml:space="preserve"> </w:t>
      </w:r>
    </w:p>
    <w:p w14:paraId="5D8F28D3" w14:textId="21D8281B" w:rsidR="008A37B8" w:rsidRDefault="008A37B8" w:rsidP="008A37B8">
      <w:pPr>
        <w:pStyle w:val="Caption"/>
      </w:pPr>
      <w:bookmarkStart w:id="6" w:name="_Ref181718753"/>
      <w:r w:rsidRPr="00646F60">
        <w:t xml:space="preserve">Figure </w:t>
      </w:r>
      <w:r w:rsidRPr="00646F60">
        <w:fldChar w:fldCharType="begin"/>
      </w:r>
      <w:r w:rsidRPr="00646F60">
        <w:instrText xml:space="preserve"> SEQ Figure \* ARABIC </w:instrText>
      </w:r>
      <w:r w:rsidRPr="00646F60">
        <w:fldChar w:fldCharType="separate"/>
      </w:r>
      <w:r w:rsidR="00A114CD">
        <w:rPr>
          <w:noProof/>
        </w:rPr>
        <w:t>1</w:t>
      </w:r>
      <w:r w:rsidRPr="00646F60">
        <w:fldChar w:fldCharType="end"/>
      </w:r>
      <w:bookmarkEnd w:id="6"/>
      <w:r w:rsidRPr="00646F60">
        <w:t>: Fill rate (%) and total, qualified, and suitable applicants per vacancy (no.), national level</w:t>
      </w:r>
    </w:p>
    <w:p w14:paraId="11E614DF" w14:textId="77777777" w:rsidR="008A37B8" w:rsidRPr="008A37B8" w:rsidRDefault="008A37B8" w:rsidP="008A37B8">
      <w:pPr>
        <w:pStyle w:val="Source"/>
      </w:pPr>
      <w:r w:rsidRPr="008A37B8">
        <w:rPr>
          <w:noProof/>
        </w:rPr>
        <w:drawing>
          <wp:inline distT="0" distB="0" distL="0" distR="0" wp14:anchorId="007FDF04" wp14:editId="60D770C6">
            <wp:extent cx="5477510" cy="3194050"/>
            <wp:effectExtent l="0" t="0" r="8890" b="6350"/>
            <wp:docPr id="1201581857" name="Picture 1" descr="Figure 1 shows the quarterly national fill rate and total, qualified and suitable applicants per vacancy from December 2023 to December 2025. The fill rate across all occupations increased by 0.5 percentage points to 70.7% over the December quarter 2025. In the last 12 months, the average number of suitable applicants per vacancy has increased, despite lower total applicants per vac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81857" name="Picture 1" descr="Figure 1 shows the quarterly national fill rate and total, qualified and suitable applicants per vacancy from December 2023 to December 2025. The fill rate across all occupations increased by 0.5 percentage points to 70.7% over the December quarter 2025. In the last 12 months, the average number of suitable applicants per vacancy has increased, despite lower total applicants per vacanc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7510" cy="3194050"/>
                    </a:xfrm>
                    <a:prstGeom prst="rect">
                      <a:avLst/>
                    </a:prstGeom>
                    <a:noFill/>
                    <a:ln>
                      <a:noFill/>
                    </a:ln>
                  </pic:spPr>
                </pic:pic>
              </a:graphicData>
            </a:graphic>
          </wp:inline>
        </w:drawing>
      </w:r>
      <w:r w:rsidRPr="00646F60">
        <w:br/>
        <w:t>Source: Jobs and Skills Australia, SERA.</w:t>
      </w:r>
    </w:p>
    <w:p w14:paraId="2B3AA8D7" w14:textId="5B6DDF13" w:rsidR="001F29D0" w:rsidRDefault="001872FE" w:rsidP="008A37B8">
      <w:pPr>
        <w:pStyle w:val="BodyText"/>
      </w:pPr>
      <w:r>
        <w:t xml:space="preserve">The fill rate </w:t>
      </w:r>
      <w:r w:rsidR="007C2E34">
        <w:t xml:space="preserve">has </w:t>
      </w:r>
      <w:r>
        <w:t>remain</w:t>
      </w:r>
      <w:r w:rsidR="001F29D0">
        <w:t xml:space="preserve">ed above 70% for the 3 </w:t>
      </w:r>
      <w:r w:rsidR="007C2E34">
        <w:t xml:space="preserve">most recent </w:t>
      </w:r>
      <w:r w:rsidR="001F29D0">
        <w:t>quarters</w:t>
      </w:r>
      <w:r w:rsidR="00233BA9">
        <w:t xml:space="preserve">, but </w:t>
      </w:r>
      <w:r w:rsidR="00E14C54">
        <w:t>appears to be plateauing</w:t>
      </w:r>
      <w:r w:rsidR="000E724B">
        <w:t>.</w:t>
      </w:r>
    </w:p>
    <w:p w14:paraId="69A90AC0" w14:textId="2113D0DE" w:rsidR="003264D2" w:rsidRDefault="008A37B8" w:rsidP="008A37B8">
      <w:pPr>
        <w:pStyle w:val="BodyText"/>
      </w:pPr>
      <w:r>
        <w:t>The number of t</w:t>
      </w:r>
      <w:r w:rsidRPr="00646F60">
        <w:t xml:space="preserve">otal applicants per vacancy </w:t>
      </w:r>
      <w:r>
        <w:t>ha</w:t>
      </w:r>
      <w:r w:rsidR="005A78EC">
        <w:t>s continued to</w:t>
      </w:r>
      <w:r>
        <w:t xml:space="preserve"> decrease over the quarter and past 12 months and </w:t>
      </w:r>
      <w:r w:rsidR="004D6721">
        <w:t xml:space="preserve">has </w:t>
      </w:r>
      <w:r>
        <w:t xml:space="preserve">been falling since the peak of 30 reached in December quarter 2024. </w:t>
      </w:r>
      <w:r w:rsidR="00580200">
        <w:t xml:space="preserve">The spotlight piece </w:t>
      </w:r>
      <w:r w:rsidR="007976C6">
        <w:t xml:space="preserve">provides some possible explanations </w:t>
      </w:r>
      <w:r w:rsidR="003264D2">
        <w:t>for this trend.</w:t>
      </w:r>
    </w:p>
    <w:p w14:paraId="30BE11AF" w14:textId="55BBAC64" w:rsidR="008A37B8" w:rsidRPr="00646F60" w:rsidRDefault="008A37B8" w:rsidP="008A37B8">
      <w:pPr>
        <w:pStyle w:val="BodyText"/>
      </w:pPr>
      <w:r>
        <w:t xml:space="preserve">Qualified applicants per vacancy have been stable over the last 2 quarters, while the number of </w:t>
      </w:r>
      <w:r w:rsidR="00D852AA">
        <w:t>s</w:t>
      </w:r>
      <w:r>
        <w:t xml:space="preserve">uitable applicants per vacancy </w:t>
      </w:r>
      <w:r w:rsidR="004D6721">
        <w:t xml:space="preserve">has </w:t>
      </w:r>
      <w:r>
        <w:t>continued its steady increase over time.</w:t>
      </w:r>
    </w:p>
    <w:p w14:paraId="06B932EE" w14:textId="77777777" w:rsidR="008A37B8" w:rsidRPr="00646F60" w:rsidRDefault="008A37B8" w:rsidP="008A37B8">
      <w:pPr>
        <w:pStyle w:val="Heading1"/>
      </w:pPr>
      <w:bookmarkStart w:id="7" w:name="_Toc199509249"/>
      <w:bookmarkStart w:id="8" w:name="_Toc173238402"/>
      <w:bookmarkStart w:id="9" w:name="_Toc207977952"/>
      <w:bookmarkStart w:id="10" w:name="_Toc214019397"/>
      <w:bookmarkStart w:id="11" w:name="_Toc224202110"/>
      <w:r w:rsidRPr="00646F60">
        <w:t>Metropolitan area results</w:t>
      </w:r>
      <w:bookmarkEnd w:id="7"/>
      <w:bookmarkEnd w:id="8"/>
      <w:bookmarkEnd w:id="9"/>
      <w:bookmarkEnd w:id="10"/>
      <w:bookmarkEnd w:id="11"/>
    </w:p>
    <w:p w14:paraId="09E38B76" w14:textId="0550326B" w:rsidR="008A37B8" w:rsidRPr="00646F60" w:rsidRDefault="008A37B8" w:rsidP="008A37B8">
      <w:pPr>
        <w:pStyle w:val="Caption"/>
      </w:pPr>
      <w:bookmarkStart w:id="12" w:name="_Ref181718900"/>
      <w:r w:rsidRPr="00646F60">
        <w:t xml:space="preserve">Table </w:t>
      </w:r>
      <w:r w:rsidRPr="00646F60">
        <w:fldChar w:fldCharType="begin"/>
      </w:r>
      <w:r w:rsidRPr="00646F60">
        <w:instrText xml:space="preserve"> SEQ Table \* ARABIC </w:instrText>
      </w:r>
      <w:r w:rsidRPr="00646F60">
        <w:fldChar w:fldCharType="separate"/>
      </w:r>
      <w:r w:rsidR="00A114CD">
        <w:rPr>
          <w:noProof/>
        </w:rPr>
        <w:t>2</w:t>
      </w:r>
      <w:r w:rsidRPr="00646F60">
        <w:fldChar w:fldCharType="end"/>
      </w:r>
      <w:bookmarkEnd w:id="12"/>
      <w:r w:rsidRPr="00646F60">
        <w:t>: Metropolitan snapshot</w:t>
      </w:r>
    </w:p>
    <w:tbl>
      <w:tblPr>
        <w:tblStyle w:val="CustomTablebasic"/>
        <w:tblW w:w="5000" w:type="pct"/>
        <w:tblLook w:val="04A0" w:firstRow="1" w:lastRow="0" w:firstColumn="1" w:lastColumn="0" w:noHBand="0" w:noVBand="1"/>
      </w:tblPr>
      <w:tblGrid>
        <w:gridCol w:w="3970"/>
        <w:gridCol w:w="1811"/>
        <w:gridCol w:w="1657"/>
        <w:gridCol w:w="1589"/>
      </w:tblGrid>
      <w:tr w:rsidR="008A37B8" w:rsidRPr="00965FCB" w14:paraId="3CBE36AB" w14:textId="77777777">
        <w:trPr>
          <w:cnfStyle w:val="100000000000" w:firstRow="1" w:lastRow="0" w:firstColumn="0" w:lastColumn="0" w:oddVBand="0" w:evenVBand="0" w:oddHBand="0" w:evenHBand="0" w:firstRowFirstColumn="0" w:firstRowLastColumn="0" w:lastRowFirstColumn="0" w:lastRowLastColumn="0"/>
          <w:trHeight w:val="706"/>
        </w:trPr>
        <w:tc>
          <w:tcPr>
            <w:tcW w:w="2199" w:type="pct"/>
            <w:hideMark/>
          </w:tcPr>
          <w:p w14:paraId="7969EDC7" w14:textId="77777777" w:rsidR="008A37B8" w:rsidRPr="00F54BD8" w:rsidRDefault="008A37B8" w:rsidP="008A37B8">
            <w:pPr>
              <w:pStyle w:val="TableHeading1"/>
            </w:pPr>
          </w:p>
        </w:tc>
        <w:tc>
          <w:tcPr>
            <w:tcW w:w="1003" w:type="pct"/>
            <w:hideMark/>
          </w:tcPr>
          <w:p w14:paraId="6FD3E92B" w14:textId="77777777" w:rsidR="008A37B8" w:rsidRPr="008A37B8" w:rsidRDefault="008A37B8" w:rsidP="008A37B8">
            <w:pPr>
              <w:pStyle w:val="TableHeading1"/>
            </w:pPr>
            <w:r w:rsidRPr="00F54BD8">
              <w:t>December quarter 2025</w:t>
            </w:r>
          </w:p>
        </w:tc>
        <w:tc>
          <w:tcPr>
            <w:tcW w:w="918" w:type="pct"/>
            <w:hideMark/>
          </w:tcPr>
          <w:p w14:paraId="2FA51CD2" w14:textId="77777777" w:rsidR="008A37B8" w:rsidRPr="008A37B8" w:rsidRDefault="008A37B8" w:rsidP="008A37B8">
            <w:pPr>
              <w:pStyle w:val="TableHeading1"/>
            </w:pPr>
            <w:r w:rsidRPr="00F54BD8">
              <w:t>Change over the quarter</w:t>
            </w:r>
          </w:p>
        </w:tc>
        <w:tc>
          <w:tcPr>
            <w:tcW w:w="880" w:type="pct"/>
            <w:hideMark/>
          </w:tcPr>
          <w:p w14:paraId="6C4F640D" w14:textId="77777777" w:rsidR="008A37B8" w:rsidRPr="008A37B8" w:rsidRDefault="008A37B8" w:rsidP="008A37B8">
            <w:pPr>
              <w:pStyle w:val="TableHeading1"/>
            </w:pPr>
            <w:r w:rsidRPr="00F54BD8">
              <w:t>Change over 12 months</w:t>
            </w:r>
          </w:p>
        </w:tc>
      </w:tr>
      <w:tr w:rsidR="008A37B8" w:rsidRPr="00965FCB" w14:paraId="6642A274" w14:textId="77777777">
        <w:trPr>
          <w:trHeight w:val="300"/>
        </w:trPr>
        <w:tc>
          <w:tcPr>
            <w:tcW w:w="2199" w:type="pct"/>
            <w:hideMark/>
          </w:tcPr>
          <w:p w14:paraId="6843FFFB" w14:textId="77777777" w:rsidR="008A37B8" w:rsidRPr="008A37B8" w:rsidRDefault="008A37B8" w:rsidP="008A37B8">
            <w:pPr>
              <w:pStyle w:val="TableBodyText"/>
            </w:pPr>
            <w:r w:rsidRPr="00F54BD8">
              <w:t>Vacancy fill rate (%)</w:t>
            </w:r>
          </w:p>
        </w:tc>
        <w:tc>
          <w:tcPr>
            <w:tcW w:w="1003" w:type="pct"/>
            <w:hideMark/>
          </w:tcPr>
          <w:p w14:paraId="13C0336D" w14:textId="77777777" w:rsidR="008A37B8" w:rsidRPr="008A37B8" w:rsidRDefault="008A37B8" w:rsidP="008A37B8">
            <w:pPr>
              <w:pStyle w:val="TableBodyTextright"/>
            </w:pPr>
            <w:r w:rsidRPr="00F54BD8">
              <w:t>71.8%</w:t>
            </w:r>
          </w:p>
        </w:tc>
        <w:tc>
          <w:tcPr>
            <w:tcW w:w="918" w:type="pct"/>
            <w:hideMark/>
          </w:tcPr>
          <w:p w14:paraId="4F819E02" w14:textId="77777777" w:rsidR="008A37B8" w:rsidRPr="008A37B8" w:rsidRDefault="008A37B8" w:rsidP="008A37B8">
            <w:pPr>
              <w:pStyle w:val="TableBodyTextright"/>
            </w:pPr>
            <w:r w:rsidRPr="00646F60">
              <w:t>▲</w:t>
            </w:r>
            <w:r w:rsidRPr="008A37B8">
              <w:t xml:space="preserve"> 0.3% pts</w:t>
            </w:r>
          </w:p>
        </w:tc>
        <w:tc>
          <w:tcPr>
            <w:tcW w:w="880" w:type="pct"/>
            <w:hideMark/>
          </w:tcPr>
          <w:p w14:paraId="3A97A285" w14:textId="77777777" w:rsidR="008A37B8" w:rsidRPr="008A37B8" w:rsidRDefault="008A37B8" w:rsidP="008A37B8">
            <w:pPr>
              <w:pStyle w:val="TableBodyTextright"/>
            </w:pPr>
            <w:r w:rsidRPr="00646F60">
              <w:t>▲</w:t>
            </w:r>
            <w:r w:rsidRPr="008A37B8">
              <w:t>1.8% pts</w:t>
            </w:r>
          </w:p>
        </w:tc>
      </w:tr>
      <w:tr w:rsidR="008A37B8" w:rsidRPr="00965FCB" w14:paraId="78EA7FBC" w14:textId="77777777">
        <w:trPr>
          <w:cnfStyle w:val="000000010000" w:firstRow="0" w:lastRow="0" w:firstColumn="0" w:lastColumn="0" w:oddVBand="0" w:evenVBand="0" w:oddHBand="0" w:evenHBand="1" w:firstRowFirstColumn="0" w:firstRowLastColumn="0" w:lastRowFirstColumn="0" w:lastRowLastColumn="0"/>
          <w:trHeight w:val="397"/>
        </w:trPr>
        <w:tc>
          <w:tcPr>
            <w:tcW w:w="2199" w:type="pct"/>
            <w:hideMark/>
          </w:tcPr>
          <w:p w14:paraId="255F29B0" w14:textId="77777777" w:rsidR="008A37B8" w:rsidRPr="008A37B8" w:rsidRDefault="008A37B8" w:rsidP="008A37B8">
            <w:pPr>
              <w:pStyle w:val="TableBodyText"/>
            </w:pPr>
            <w:r w:rsidRPr="00F54BD8">
              <w:t>Applicants per vacancy (no.)</w:t>
            </w:r>
          </w:p>
        </w:tc>
        <w:tc>
          <w:tcPr>
            <w:tcW w:w="1003" w:type="pct"/>
            <w:hideMark/>
          </w:tcPr>
          <w:p w14:paraId="4ECF0DD8" w14:textId="77777777" w:rsidR="008A37B8" w:rsidRPr="008A37B8" w:rsidRDefault="008A37B8" w:rsidP="008A37B8">
            <w:pPr>
              <w:pStyle w:val="TableBodyTextright"/>
            </w:pPr>
            <w:r w:rsidRPr="00F54BD8">
              <w:t>27.5</w:t>
            </w:r>
          </w:p>
        </w:tc>
        <w:tc>
          <w:tcPr>
            <w:tcW w:w="918" w:type="pct"/>
            <w:hideMark/>
          </w:tcPr>
          <w:p w14:paraId="7852E730" w14:textId="77777777" w:rsidR="008A37B8" w:rsidRPr="008A37B8" w:rsidRDefault="008A37B8" w:rsidP="008A37B8">
            <w:pPr>
              <w:pStyle w:val="TableBodyTextright"/>
            </w:pPr>
            <w:r w:rsidRPr="00646F60">
              <w:t>▼</w:t>
            </w:r>
            <w:r w:rsidRPr="008A37B8">
              <w:t xml:space="preserve"> 2.0</w:t>
            </w:r>
          </w:p>
        </w:tc>
        <w:tc>
          <w:tcPr>
            <w:tcW w:w="880" w:type="pct"/>
            <w:hideMark/>
          </w:tcPr>
          <w:p w14:paraId="1F7C26D5" w14:textId="77777777" w:rsidR="008A37B8" w:rsidRPr="008A37B8" w:rsidRDefault="008A37B8" w:rsidP="008A37B8">
            <w:pPr>
              <w:pStyle w:val="TableBodyTextright"/>
            </w:pPr>
            <w:r w:rsidRPr="00646F60">
              <w:t>▼</w:t>
            </w:r>
            <w:r w:rsidRPr="008A37B8">
              <w:t xml:space="preserve"> 7.4</w:t>
            </w:r>
          </w:p>
        </w:tc>
      </w:tr>
      <w:tr w:rsidR="008A37B8" w:rsidRPr="00965FCB" w14:paraId="59700C94" w14:textId="77777777">
        <w:trPr>
          <w:trHeight w:val="397"/>
        </w:trPr>
        <w:tc>
          <w:tcPr>
            <w:tcW w:w="2199" w:type="pct"/>
          </w:tcPr>
          <w:p w14:paraId="57333EA4" w14:textId="77777777" w:rsidR="008A37B8" w:rsidRPr="008A37B8" w:rsidRDefault="008A37B8" w:rsidP="008A37B8">
            <w:pPr>
              <w:pStyle w:val="TableBodyText"/>
            </w:pPr>
            <w:r w:rsidRPr="00F54BD8">
              <w:t>Qualified applicants per vacancy (no.)</w:t>
            </w:r>
          </w:p>
        </w:tc>
        <w:tc>
          <w:tcPr>
            <w:tcW w:w="1003" w:type="pct"/>
          </w:tcPr>
          <w:p w14:paraId="63F6F06B" w14:textId="77777777" w:rsidR="008A37B8" w:rsidRPr="008A37B8" w:rsidRDefault="008A37B8" w:rsidP="008A37B8">
            <w:pPr>
              <w:pStyle w:val="TableBodyTextright"/>
            </w:pPr>
            <w:r w:rsidRPr="00F54BD8">
              <w:t>11.4</w:t>
            </w:r>
          </w:p>
        </w:tc>
        <w:tc>
          <w:tcPr>
            <w:tcW w:w="918" w:type="pct"/>
          </w:tcPr>
          <w:p w14:paraId="137226B8" w14:textId="77777777" w:rsidR="008A37B8" w:rsidRPr="008A37B8" w:rsidRDefault="008A37B8" w:rsidP="008A37B8">
            <w:pPr>
              <w:pStyle w:val="TableBodyTextright"/>
            </w:pPr>
            <w:r w:rsidRPr="00646F60">
              <w:t>▲</w:t>
            </w:r>
            <w:r w:rsidRPr="008A37B8">
              <w:t xml:space="preserve"> 0.1</w:t>
            </w:r>
          </w:p>
        </w:tc>
        <w:tc>
          <w:tcPr>
            <w:tcW w:w="880" w:type="pct"/>
          </w:tcPr>
          <w:p w14:paraId="1D441F43" w14:textId="77777777" w:rsidR="008A37B8" w:rsidRPr="008A37B8" w:rsidRDefault="008A37B8" w:rsidP="008A37B8">
            <w:pPr>
              <w:pStyle w:val="TableBodyTextright"/>
            </w:pPr>
            <w:r w:rsidRPr="00646F60">
              <w:t>▲</w:t>
            </w:r>
            <w:r w:rsidRPr="008A37B8">
              <w:t>0.5</w:t>
            </w:r>
          </w:p>
        </w:tc>
      </w:tr>
      <w:tr w:rsidR="008A37B8" w:rsidRPr="00965FCB" w14:paraId="706B3ACD" w14:textId="77777777">
        <w:trPr>
          <w:cnfStyle w:val="000000010000" w:firstRow="0" w:lastRow="0" w:firstColumn="0" w:lastColumn="0" w:oddVBand="0" w:evenVBand="0" w:oddHBand="0" w:evenHBand="1" w:firstRowFirstColumn="0" w:firstRowLastColumn="0" w:lastRowFirstColumn="0" w:lastRowLastColumn="0"/>
          <w:trHeight w:val="397"/>
        </w:trPr>
        <w:tc>
          <w:tcPr>
            <w:tcW w:w="2199" w:type="pct"/>
          </w:tcPr>
          <w:p w14:paraId="3A9F6F4B" w14:textId="77777777" w:rsidR="008A37B8" w:rsidRPr="008A37B8" w:rsidRDefault="008A37B8" w:rsidP="008A37B8">
            <w:pPr>
              <w:pStyle w:val="TableBodyText"/>
            </w:pPr>
            <w:r w:rsidRPr="00F54BD8">
              <w:t>Suitable applicants per vacancy (no.)</w:t>
            </w:r>
          </w:p>
        </w:tc>
        <w:tc>
          <w:tcPr>
            <w:tcW w:w="1003" w:type="pct"/>
          </w:tcPr>
          <w:p w14:paraId="117D6ECF" w14:textId="77777777" w:rsidR="008A37B8" w:rsidRPr="008A37B8" w:rsidRDefault="008A37B8" w:rsidP="008A37B8">
            <w:pPr>
              <w:pStyle w:val="TableBodyTextright"/>
            </w:pPr>
            <w:r w:rsidRPr="00F54BD8">
              <w:t>5.6</w:t>
            </w:r>
          </w:p>
        </w:tc>
        <w:tc>
          <w:tcPr>
            <w:tcW w:w="918" w:type="pct"/>
          </w:tcPr>
          <w:p w14:paraId="1410B785" w14:textId="77777777" w:rsidR="008A37B8" w:rsidRPr="008A37B8" w:rsidRDefault="008A37B8" w:rsidP="008A37B8">
            <w:pPr>
              <w:pStyle w:val="TableBodyTextright"/>
            </w:pPr>
            <w:r w:rsidRPr="00646F60">
              <w:t>▲</w:t>
            </w:r>
            <w:r w:rsidRPr="008A37B8">
              <w:t>0.1</w:t>
            </w:r>
          </w:p>
        </w:tc>
        <w:tc>
          <w:tcPr>
            <w:tcW w:w="880" w:type="pct"/>
          </w:tcPr>
          <w:p w14:paraId="605D2542" w14:textId="77777777" w:rsidR="008A37B8" w:rsidRPr="008A37B8" w:rsidRDefault="008A37B8" w:rsidP="008A37B8">
            <w:pPr>
              <w:pStyle w:val="TableBodyTextright"/>
            </w:pPr>
            <w:r w:rsidRPr="00646F60">
              <w:t>▲</w:t>
            </w:r>
            <w:r w:rsidRPr="008A37B8">
              <w:t>1.5</w:t>
            </w:r>
          </w:p>
        </w:tc>
      </w:tr>
    </w:tbl>
    <w:p w14:paraId="5CBBC4E7" w14:textId="77777777" w:rsidR="008A37B8" w:rsidRPr="00646F60" w:rsidRDefault="008A37B8" w:rsidP="008A37B8">
      <w:pPr>
        <w:pStyle w:val="Source"/>
      </w:pPr>
      <w:r w:rsidRPr="00646F60">
        <w:t>Source: Jobs and Skills Australia, SERA.</w:t>
      </w:r>
    </w:p>
    <w:p w14:paraId="2A7DCAA1" w14:textId="516E2CD5" w:rsidR="008A37B8" w:rsidRDefault="008A37B8" w:rsidP="008A37B8">
      <w:pPr>
        <w:pStyle w:val="BodyText"/>
      </w:pPr>
      <w:r>
        <w:t xml:space="preserve">The changes in metropolitan areas over the quarter and past 12 months to the current quarter </w:t>
      </w:r>
      <w:r w:rsidR="00E37DEB">
        <w:t xml:space="preserve">generally </w:t>
      </w:r>
      <w:r>
        <w:t xml:space="preserve">mirrored the national level results </w:t>
      </w:r>
      <w:r w:rsidRPr="00EA4FCA">
        <w:t>(</w:t>
      </w:r>
      <w:r w:rsidR="007B7F59" w:rsidRPr="00646F60">
        <w:t xml:space="preserve">Table </w:t>
      </w:r>
      <w:r w:rsidR="007B7F59">
        <w:t>2</w:t>
      </w:r>
      <w:r w:rsidRPr="00EA4FCA">
        <w:t>).</w:t>
      </w:r>
    </w:p>
    <w:p w14:paraId="36D34DDE" w14:textId="3BC828EE" w:rsidR="008A37B8" w:rsidRDefault="00811566" w:rsidP="008A37B8">
      <w:pPr>
        <w:pStyle w:val="ListBullet"/>
        <w:numPr>
          <w:ilvl w:val="0"/>
          <w:numId w:val="4"/>
        </w:numPr>
      </w:pPr>
      <w:r>
        <w:t>The f</w:t>
      </w:r>
      <w:r w:rsidR="008A37B8" w:rsidRPr="00EA4FCA">
        <w:t xml:space="preserve">ill rate </w:t>
      </w:r>
      <w:r>
        <w:t xml:space="preserve">for the December </w:t>
      </w:r>
      <w:r w:rsidR="008A37B8" w:rsidRPr="00EA4FCA">
        <w:t>quarter 2025</w:t>
      </w:r>
      <w:r w:rsidR="008A37B8">
        <w:t xml:space="preserve"> was 71</w:t>
      </w:r>
      <w:r>
        <w:t>.8</w:t>
      </w:r>
      <w:r w:rsidR="008A37B8">
        <w:t xml:space="preserve">%. The rate </w:t>
      </w:r>
      <w:r w:rsidR="008A37B8" w:rsidRPr="00EA4FCA">
        <w:t>slight</w:t>
      </w:r>
      <w:r w:rsidR="008A37B8">
        <w:t>ly</w:t>
      </w:r>
      <w:r w:rsidR="008A37B8" w:rsidRPr="00EA4FCA">
        <w:t xml:space="preserve"> </w:t>
      </w:r>
      <w:r>
        <w:t>in</w:t>
      </w:r>
      <w:r w:rsidR="008A37B8">
        <w:t xml:space="preserve">creased </w:t>
      </w:r>
      <w:r w:rsidR="008A37B8" w:rsidRPr="00EA4FCA">
        <w:t xml:space="preserve">over the quarter </w:t>
      </w:r>
      <w:r>
        <w:t>and</w:t>
      </w:r>
      <w:r w:rsidR="008A37B8" w:rsidRPr="00EA4FCA">
        <w:t xml:space="preserve"> improve</w:t>
      </w:r>
      <w:r w:rsidR="008A37B8">
        <w:t xml:space="preserve">d </w:t>
      </w:r>
      <w:r w:rsidR="008A37B8" w:rsidRPr="00EA4FCA">
        <w:t>over the past 12 months</w:t>
      </w:r>
      <w:r w:rsidR="008A37B8">
        <w:t>.</w:t>
      </w:r>
    </w:p>
    <w:p w14:paraId="635F0D25" w14:textId="08D70077" w:rsidR="008A37B8" w:rsidRDefault="008A37B8" w:rsidP="008A37B8">
      <w:pPr>
        <w:pStyle w:val="ListBullet"/>
        <w:numPr>
          <w:ilvl w:val="0"/>
          <w:numId w:val="4"/>
        </w:numPr>
      </w:pPr>
      <w:r>
        <w:t xml:space="preserve">Total </w:t>
      </w:r>
      <w:r w:rsidRPr="00EA4FCA">
        <w:t xml:space="preserve">applicants per vacancy </w:t>
      </w:r>
      <w:r>
        <w:t>decreased over the quarter and past 12 months.</w:t>
      </w:r>
    </w:p>
    <w:p w14:paraId="1523321C" w14:textId="1BD15A0A" w:rsidR="008A37B8" w:rsidRPr="008A37B8" w:rsidRDefault="008A37B8" w:rsidP="00CC62D2">
      <w:pPr>
        <w:pStyle w:val="ListBullet"/>
        <w:numPr>
          <w:ilvl w:val="0"/>
          <w:numId w:val="4"/>
        </w:numPr>
      </w:pPr>
      <w:r>
        <w:t xml:space="preserve">Qualified and </w:t>
      </w:r>
      <w:r w:rsidR="00AE58B5">
        <w:t>s</w:t>
      </w:r>
      <w:r>
        <w:t>uitable applicants per vacancy increased over the quarter and last 12 months.</w:t>
      </w:r>
      <w:bookmarkStart w:id="13" w:name="_Ref181718930"/>
    </w:p>
    <w:p w14:paraId="02461D10" w14:textId="1C5B49F2" w:rsidR="008A37B8" w:rsidRDefault="008A37B8" w:rsidP="008A37B8">
      <w:pPr>
        <w:pStyle w:val="Caption"/>
      </w:pPr>
      <w:bookmarkStart w:id="14" w:name="_Ref222220651"/>
      <w:r w:rsidRPr="00646F60">
        <w:t xml:space="preserve">Figure </w:t>
      </w:r>
      <w:r w:rsidRPr="00646F60">
        <w:fldChar w:fldCharType="begin"/>
      </w:r>
      <w:r w:rsidRPr="00646F60">
        <w:instrText xml:space="preserve"> SEQ Figure \* ARABIC </w:instrText>
      </w:r>
      <w:r w:rsidRPr="00646F60">
        <w:fldChar w:fldCharType="separate"/>
      </w:r>
      <w:r w:rsidR="00A114CD">
        <w:rPr>
          <w:noProof/>
        </w:rPr>
        <w:t>2</w:t>
      </w:r>
      <w:r w:rsidRPr="00646F60">
        <w:fldChar w:fldCharType="end"/>
      </w:r>
      <w:bookmarkEnd w:id="13"/>
      <w:bookmarkEnd w:id="14"/>
      <w:r w:rsidRPr="00646F60">
        <w:t>: Metropolitan fill rate (%) and applicants, qualified, and suitable applicants per vacancy (no.)</w:t>
      </w:r>
    </w:p>
    <w:p w14:paraId="2C2D39C1" w14:textId="77777777" w:rsidR="00540AC5" w:rsidRDefault="00540AC5" w:rsidP="00540AC5">
      <w:pPr>
        <w:pStyle w:val="Source"/>
      </w:pPr>
      <w:r>
        <w:rPr>
          <w:noProof/>
        </w:rPr>
        <w:drawing>
          <wp:inline distT="0" distB="0" distL="0" distR="0" wp14:anchorId="42ADAA6A" wp14:editId="604CFDB5">
            <wp:extent cx="5730875" cy="2950845"/>
            <wp:effectExtent l="0" t="0" r="3175" b="1905"/>
            <wp:docPr id="352379405" name="Picture 1" descr="Figure 2 shows the quarterly fill rate and total, qualified and suitable applicants per vacancy, for metropolitan (metro) Australia from December 2023 to December 2025. The metro area fill rate increased by 0.3 percentage points to 71.8% over the December quarter 2025, and increased by 1.8 percentage points over the year. This is supported by the increases in the number of qualified and suitable applicants per vacancy, in the last 12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79405" name="Picture 1" descr="Figure 2 shows the quarterly fill rate and total, qualified and suitable applicants per vacancy, for metropolitan (metro) Australia from December 2023 to December 2025. The metro area fill rate increased by 0.3 percentage points to 71.8% over the December quarter 2025, and increased by 1.8 percentage points over the year. This is supported by the increases in the number of qualified and suitable applicants per vacancy, in the last 12 month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0875" cy="2950845"/>
                    </a:xfrm>
                    <a:prstGeom prst="rect">
                      <a:avLst/>
                    </a:prstGeom>
                    <a:noFill/>
                  </pic:spPr>
                </pic:pic>
              </a:graphicData>
            </a:graphic>
          </wp:inline>
        </w:drawing>
      </w:r>
    </w:p>
    <w:p w14:paraId="56D5ADD3" w14:textId="248562D5" w:rsidR="008A37B8" w:rsidRPr="00646F60" w:rsidRDefault="008A37B8" w:rsidP="00540AC5">
      <w:pPr>
        <w:pStyle w:val="Source"/>
      </w:pPr>
      <w:r w:rsidRPr="00646F60">
        <w:t>Source: Jobs and Skills Australia, SERA.</w:t>
      </w:r>
      <w:bookmarkStart w:id="15" w:name="_Toc173238404"/>
      <w:bookmarkStart w:id="16" w:name="_Toc199509250"/>
    </w:p>
    <w:p w14:paraId="5E7A6EA4" w14:textId="77777777" w:rsidR="008A37B8" w:rsidRPr="00646F60" w:rsidRDefault="008A37B8" w:rsidP="008A37B8">
      <w:pPr>
        <w:pStyle w:val="Heading1"/>
      </w:pPr>
      <w:bookmarkStart w:id="17" w:name="_Toc207977953"/>
      <w:bookmarkStart w:id="18" w:name="_Toc214019398"/>
      <w:bookmarkStart w:id="19" w:name="_Toc224202111"/>
      <w:r w:rsidRPr="00646F60">
        <w:t>Regional</w:t>
      </w:r>
      <w:bookmarkEnd w:id="15"/>
      <w:r w:rsidRPr="00646F60">
        <w:t xml:space="preserve"> area results</w:t>
      </w:r>
      <w:bookmarkEnd w:id="16"/>
      <w:bookmarkEnd w:id="17"/>
      <w:bookmarkEnd w:id="18"/>
      <w:bookmarkEnd w:id="19"/>
    </w:p>
    <w:p w14:paraId="19F36525" w14:textId="70F9C62D" w:rsidR="008A37B8" w:rsidRPr="00646F60" w:rsidRDefault="008A37B8" w:rsidP="008A37B8">
      <w:pPr>
        <w:pStyle w:val="Caption"/>
      </w:pPr>
      <w:bookmarkStart w:id="20" w:name="_Ref173249539"/>
      <w:r w:rsidRPr="00646F60">
        <w:t xml:space="preserve">Table </w:t>
      </w:r>
      <w:r w:rsidRPr="00646F60">
        <w:fldChar w:fldCharType="begin"/>
      </w:r>
      <w:r w:rsidRPr="00646F60">
        <w:instrText xml:space="preserve"> SEQ Table \* ARABIC </w:instrText>
      </w:r>
      <w:r w:rsidRPr="00646F60">
        <w:fldChar w:fldCharType="separate"/>
      </w:r>
      <w:r w:rsidR="00A114CD">
        <w:rPr>
          <w:noProof/>
        </w:rPr>
        <w:t>3</w:t>
      </w:r>
      <w:r w:rsidRPr="00646F60">
        <w:fldChar w:fldCharType="end"/>
      </w:r>
      <w:bookmarkEnd w:id="20"/>
      <w:r w:rsidRPr="00646F60">
        <w:t xml:space="preserve">: Regional </w:t>
      </w:r>
      <w:r>
        <w:t>s</w:t>
      </w:r>
      <w:r w:rsidRPr="00646F60">
        <w:t>napshot</w:t>
      </w:r>
    </w:p>
    <w:tbl>
      <w:tblPr>
        <w:tblW w:w="5000" w:type="pct"/>
        <w:tblLook w:val="04A0" w:firstRow="1" w:lastRow="0" w:firstColumn="1" w:lastColumn="0" w:noHBand="0" w:noVBand="1"/>
      </w:tblPr>
      <w:tblGrid>
        <w:gridCol w:w="3970"/>
        <w:gridCol w:w="1811"/>
        <w:gridCol w:w="1657"/>
        <w:gridCol w:w="1589"/>
      </w:tblGrid>
      <w:tr w:rsidR="008A37B8" w:rsidRPr="00965FCB" w14:paraId="5F9B95E9" w14:textId="77777777">
        <w:trPr>
          <w:trHeight w:val="706"/>
        </w:trPr>
        <w:tc>
          <w:tcPr>
            <w:tcW w:w="2199" w:type="pct"/>
            <w:shd w:val="clear" w:color="auto" w:fill="2F005F"/>
            <w:hideMark/>
          </w:tcPr>
          <w:p w14:paraId="297BEE92" w14:textId="77777777" w:rsidR="008A37B8" w:rsidRPr="00852F81" w:rsidRDefault="008A37B8" w:rsidP="008A37B8">
            <w:pPr>
              <w:pStyle w:val="TableHeading1"/>
            </w:pPr>
          </w:p>
        </w:tc>
        <w:tc>
          <w:tcPr>
            <w:tcW w:w="1003" w:type="pct"/>
            <w:shd w:val="clear" w:color="auto" w:fill="2F005F"/>
            <w:hideMark/>
          </w:tcPr>
          <w:p w14:paraId="127C1E60" w14:textId="77777777" w:rsidR="008A37B8" w:rsidRPr="008A37B8" w:rsidRDefault="008A37B8" w:rsidP="008A37B8">
            <w:pPr>
              <w:pStyle w:val="TableHeading1"/>
            </w:pPr>
            <w:r w:rsidRPr="00852F81">
              <w:t>December quarter 2025</w:t>
            </w:r>
          </w:p>
        </w:tc>
        <w:tc>
          <w:tcPr>
            <w:tcW w:w="918" w:type="pct"/>
            <w:shd w:val="clear" w:color="auto" w:fill="2F005F"/>
            <w:hideMark/>
          </w:tcPr>
          <w:p w14:paraId="3EA5F95B" w14:textId="77777777" w:rsidR="008A37B8" w:rsidRPr="008A37B8" w:rsidRDefault="008A37B8" w:rsidP="008A37B8">
            <w:pPr>
              <w:pStyle w:val="TableHeading1"/>
            </w:pPr>
            <w:r w:rsidRPr="00852F81">
              <w:t>Change over the quarter</w:t>
            </w:r>
          </w:p>
        </w:tc>
        <w:tc>
          <w:tcPr>
            <w:tcW w:w="880" w:type="pct"/>
            <w:shd w:val="clear" w:color="auto" w:fill="2F005F"/>
            <w:hideMark/>
          </w:tcPr>
          <w:p w14:paraId="005BDF8B" w14:textId="77777777" w:rsidR="008A37B8" w:rsidRPr="008A37B8" w:rsidRDefault="008A37B8" w:rsidP="008A37B8">
            <w:pPr>
              <w:pStyle w:val="TableHeading1"/>
            </w:pPr>
            <w:r w:rsidRPr="00852F81">
              <w:t>Change over 12 months</w:t>
            </w:r>
          </w:p>
        </w:tc>
      </w:tr>
      <w:tr w:rsidR="008A37B8" w:rsidRPr="00965FCB" w14:paraId="7A7D32AF" w14:textId="77777777">
        <w:trPr>
          <w:trHeight w:val="300"/>
        </w:trPr>
        <w:tc>
          <w:tcPr>
            <w:tcW w:w="2199" w:type="pct"/>
            <w:vAlign w:val="center"/>
            <w:hideMark/>
          </w:tcPr>
          <w:p w14:paraId="6ED2F13F" w14:textId="77777777" w:rsidR="008A37B8" w:rsidRPr="008A37B8" w:rsidRDefault="008A37B8" w:rsidP="008A37B8">
            <w:pPr>
              <w:pStyle w:val="TableBodyText"/>
            </w:pPr>
            <w:r w:rsidRPr="00852F81">
              <w:t>Vacancy fill rate (%)</w:t>
            </w:r>
          </w:p>
        </w:tc>
        <w:tc>
          <w:tcPr>
            <w:tcW w:w="1003" w:type="pct"/>
            <w:hideMark/>
          </w:tcPr>
          <w:p w14:paraId="2D7DF1CD" w14:textId="77777777" w:rsidR="008A37B8" w:rsidRPr="008A37B8" w:rsidRDefault="008A37B8" w:rsidP="008A37B8">
            <w:pPr>
              <w:pStyle w:val="TableBodyTextright"/>
            </w:pPr>
            <w:r w:rsidRPr="00852F81">
              <w:t>68.6%</w:t>
            </w:r>
          </w:p>
        </w:tc>
        <w:tc>
          <w:tcPr>
            <w:tcW w:w="918" w:type="pct"/>
            <w:vAlign w:val="center"/>
            <w:hideMark/>
          </w:tcPr>
          <w:p w14:paraId="53B21F50" w14:textId="77777777" w:rsidR="008A37B8" w:rsidRPr="008A37B8" w:rsidRDefault="008A37B8" w:rsidP="008A37B8">
            <w:pPr>
              <w:pStyle w:val="TableBodyTextright"/>
            </w:pPr>
            <w:r w:rsidRPr="00852F81">
              <w:t>▲1.</w:t>
            </w:r>
            <w:r w:rsidRPr="008A37B8">
              <w:t>6% pts</w:t>
            </w:r>
          </w:p>
        </w:tc>
        <w:tc>
          <w:tcPr>
            <w:tcW w:w="880" w:type="pct"/>
            <w:vAlign w:val="center"/>
            <w:hideMark/>
          </w:tcPr>
          <w:p w14:paraId="736811BB" w14:textId="50257DC6" w:rsidR="008A37B8" w:rsidRPr="008A37B8" w:rsidRDefault="008A37B8" w:rsidP="008A37B8">
            <w:pPr>
              <w:pStyle w:val="TableBodyTextright"/>
            </w:pPr>
            <w:r w:rsidRPr="00852F81">
              <w:t>▲</w:t>
            </w:r>
            <w:r w:rsidR="0027193A">
              <w:t>5.6</w:t>
            </w:r>
            <w:r w:rsidRPr="00852F81">
              <w:t>% pts</w:t>
            </w:r>
          </w:p>
        </w:tc>
      </w:tr>
      <w:tr w:rsidR="008A37B8" w:rsidRPr="00965FCB" w14:paraId="3123968B" w14:textId="77777777">
        <w:trPr>
          <w:trHeight w:val="397"/>
        </w:trPr>
        <w:tc>
          <w:tcPr>
            <w:tcW w:w="2199" w:type="pct"/>
            <w:shd w:val="clear" w:color="auto" w:fill="D9D9D9" w:themeFill="background1" w:themeFillShade="D9"/>
            <w:vAlign w:val="center"/>
            <w:hideMark/>
          </w:tcPr>
          <w:p w14:paraId="300E583D" w14:textId="77777777" w:rsidR="008A37B8" w:rsidRPr="008A37B8" w:rsidRDefault="008A37B8" w:rsidP="008A37B8">
            <w:pPr>
              <w:pStyle w:val="TableBodyText"/>
            </w:pPr>
            <w:r w:rsidRPr="00852F81">
              <w:t>Applicants per vacancy (no.)</w:t>
            </w:r>
          </w:p>
        </w:tc>
        <w:tc>
          <w:tcPr>
            <w:tcW w:w="1003" w:type="pct"/>
            <w:shd w:val="clear" w:color="auto" w:fill="D9D9D9" w:themeFill="background1" w:themeFillShade="D9"/>
            <w:hideMark/>
          </w:tcPr>
          <w:p w14:paraId="315BEEF5" w14:textId="77777777" w:rsidR="008A37B8" w:rsidRPr="008A37B8" w:rsidRDefault="008A37B8" w:rsidP="008A37B8">
            <w:pPr>
              <w:pStyle w:val="TableBodyTextright"/>
            </w:pPr>
            <w:r w:rsidRPr="00852F81">
              <w:t>14.4</w:t>
            </w:r>
          </w:p>
        </w:tc>
        <w:tc>
          <w:tcPr>
            <w:tcW w:w="918" w:type="pct"/>
            <w:shd w:val="clear" w:color="auto" w:fill="D9D9D9" w:themeFill="background1" w:themeFillShade="D9"/>
            <w:vAlign w:val="center"/>
            <w:hideMark/>
          </w:tcPr>
          <w:p w14:paraId="2EEAFBD4" w14:textId="77777777" w:rsidR="008A37B8" w:rsidRPr="008A37B8" w:rsidRDefault="008A37B8" w:rsidP="008A37B8">
            <w:pPr>
              <w:pStyle w:val="TableBodyTextright"/>
            </w:pPr>
            <w:r w:rsidRPr="00852F81">
              <w:t>▼</w:t>
            </w:r>
            <w:r w:rsidRPr="008A37B8">
              <w:t>0.5</w:t>
            </w:r>
          </w:p>
        </w:tc>
        <w:tc>
          <w:tcPr>
            <w:tcW w:w="880" w:type="pct"/>
            <w:shd w:val="clear" w:color="auto" w:fill="D9D9D9" w:themeFill="background1" w:themeFillShade="D9"/>
            <w:vAlign w:val="center"/>
            <w:hideMark/>
          </w:tcPr>
          <w:p w14:paraId="07CBD128" w14:textId="54CDD349" w:rsidR="008A37B8" w:rsidRPr="008A37B8" w:rsidRDefault="008A37B8" w:rsidP="008A37B8">
            <w:pPr>
              <w:pStyle w:val="TableBodyTextright"/>
            </w:pPr>
            <w:r w:rsidRPr="00852F81">
              <w:t>▼</w:t>
            </w:r>
            <w:r w:rsidR="0074512B">
              <w:t>3.6</w:t>
            </w:r>
          </w:p>
        </w:tc>
      </w:tr>
      <w:tr w:rsidR="008A37B8" w:rsidRPr="00965FCB" w14:paraId="2454196E" w14:textId="77777777">
        <w:trPr>
          <w:trHeight w:val="397"/>
        </w:trPr>
        <w:tc>
          <w:tcPr>
            <w:tcW w:w="2199" w:type="pct"/>
            <w:vAlign w:val="center"/>
          </w:tcPr>
          <w:p w14:paraId="3D531003" w14:textId="77777777" w:rsidR="008A37B8" w:rsidRPr="008A37B8" w:rsidRDefault="008A37B8" w:rsidP="008A37B8">
            <w:pPr>
              <w:pStyle w:val="TableBodyText"/>
            </w:pPr>
            <w:r w:rsidRPr="00852F81">
              <w:t>Qualified applicants per vacancy (no.)</w:t>
            </w:r>
          </w:p>
        </w:tc>
        <w:tc>
          <w:tcPr>
            <w:tcW w:w="1003" w:type="pct"/>
          </w:tcPr>
          <w:p w14:paraId="369A21CD" w14:textId="77777777" w:rsidR="008A37B8" w:rsidRPr="008A37B8" w:rsidRDefault="008A37B8" w:rsidP="008A37B8">
            <w:pPr>
              <w:pStyle w:val="TableBodyTextright"/>
            </w:pPr>
            <w:r w:rsidRPr="00852F81">
              <w:t>5.5</w:t>
            </w:r>
          </w:p>
        </w:tc>
        <w:tc>
          <w:tcPr>
            <w:tcW w:w="918" w:type="pct"/>
            <w:vAlign w:val="center"/>
          </w:tcPr>
          <w:p w14:paraId="520F7FBA" w14:textId="77777777" w:rsidR="008A37B8" w:rsidRPr="008A37B8" w:rsidRDefault="008A37B8" w:rsidP="008A37B8">
            <w:pPr>
              <w:pStyle w:val="TableBodyTextright"/>
            </w:pPr>
            <w:r w:rsidRPr="00852F81">
              <w:t>—</w:t>
            </w:r>
          </w:p>
        </w:tc>
        <w:tc>
          <w:tcPr>
            <w:tcW w:w="880" w:type="pct"/>
            <w:vAlign w:val="center"/>
          </w:tcPr>
          <w:p w14:paraId="37A3DCA3" w14:textId="77777777" w:rsidR="008A37B8" w:rsidRPr="008A37B8" w:rsidRDefault="008A37B8" w:rsidP="008A37B8">
            <w:pPr>
              <w:pStyle w:val="TableBodyTextright"/>
            </w:pPr>
            <w:r w:rsidRPr="00852F81">
              <w:t>—</w:t>
            </w:r>
          </w:p>
        </w:tc>
      </w:tr>
      <w:tr w:rsidR="008A37B8" w:rsidRPr="00965FCB" w14:paraId="5DB41EF6" w14:textId="77777777">
        <w:trPr>
          <w:trHeight w:val="397"/>
        </w:trPr>
        <w:tc>
          <w:tcPr>
            <w:tcW w:w="2199" w:type="pct"/>
            <w:tcBorders>
              <w:bottom w:val="single" w:sz="4" w:space="0" w:color="auto"/>
            </w:tcBorders>
            <w:shd w:val="clear" w:color="auto" w:fill="D9D9D9" w:themeFill="background1" w:themeFillShade="D9"/>
            <w:vAlign w:val="center"/>
          </w:tcPr>
          <w:p w14:paraId="49605DFD" w14:textId="77777777" w:rsidR="008A37B8" w:rsidRPr="008A37B8" w:rsidRDefault="008A37B8" w:rsidP="008A37B8">
            <w:pPr>
              <w:pStyle w:val="TableBodyText"/>
            </w:pPr>
            <w:r w:rsidRPr="00852F81">
              <w:t>Suitable applicants per vacancy (no.)</w:t>
            </w:r>
          </w:p>
        </w:tc>
        <w:tc>
          <w:tcPr>
            <w:tcW w:w="1003" w:type="pct"/>
            <w:tcBorders>
              <w:bottom w:val="single" w:sz="4" w:space="0" w:color="auto"/>
            </w:tcBorders>
            <w:shd w:val="clear" w:color="auto" w:fill="D9D9D9" w:themeFill="background1" w:themeFillShade="D9"/>
          </w:tcPr>
          <w:p w14:paraId="11028243" w14:textId="77777777" w:rsidR="008A37B8" w:rsidRPr="008A37B8" w:rsidRDefault="008A37B8" w:rsidP="008A37B8">
            <w:pPr>
              <w:pStyle w:val="TableBodyTextright"/>
            </w:pPr>
            <w:r w:rsidRPr="00852F81">
              <w:t>3.5</w:t>
            </w:r>
          </w:p>
        </w:tc>
        <w:tc>
          <w:tcPr>
            <w:tcW w:w="918" w:type="pct"/>
            <w:tcBorders>
              <w:bottom w:val="single" w:sz="4" w:space="0" w:color="auto"/>
            </w:tcBorders>
            <w:shd w:val="clear" w:color="auto" w:fill="D9D9D9" w:themeFill="background1" w:themeFillShade="D9"/>
            <w:vAlign w:val="center"/>
          </w:tcPr>
          <w:p w14:paraId="284C0587" w14:textId="77777777" w:rsidR="008A37B8" w:rsidRPr="008A37B8" w:rsidRDefault="008A37B8" w:rsidP="008A37B8">
            <w:pPr>
              <w:pStyle w:val="TableBodyTextright"/>
            </w:pPr>
            <w:r w:rsidRPr="00852F81">
              <w:t>▲0</w:t>
            </w:r>
            <w:r w:rsidRPr="008A37B8">
              <w:t>.2</w:t>
            </w:r>
          </w:p>
        </w:tc>
        <w:tc>
          <w:tcPr>
            <w:tcW w:w="880" w:type="pct"/>
            <w:tcBorders>
              <w:bottom w:val="single" w:sz="4" w:space="0" w:color="auto"/>
            </w:tcBorders>
            <w:shd w:val="clear" w:color="auto" w:fill="D9D9D9" w:themeFill="background1" w:themeFillShade="D9"/>
            <w:vAlign w:val="center"/>
          </w:tcPr>
          <w:p w14:paraId="077CE6EF" w14:textId="77777777" w:rsidR="008A37B8" w:rsidRPr="008A37B8" w:rsidRDefault="008A37B8" w:rsidP="008A37B8">
            <w:pPr>
              <w:pStyle w:val="TableBodyTextright"/>
            </w:pPr>
            <w:r w:rsidRPr="00852F81">
              <w:t>▲</w:t>
            </w:r>
            <w:r w:rsidRPr="008A37B8">
              <w:t>1.0</w:t>
            </w:r>
          </w:p>
        </w:tc>
      </w:tr>
    </w:tbl>
    <w:p w14:paraId="6214AFC9" w14:textId="77777777" w:rsidR="008A37B8" w:rsidRPr="00646F60" w:rsidRDefault="008A37B8" w:rsidP="008A37B8">
      <w:pPr>
        <w:pStyle w:val="Source"/>
      </w:pPr>
      <w:r w:rsidRPr="00646F60">
        <w:t xml:space="preserve">Source: Jobs and Skills Australia, SERA. </w:t>
      </w:r>
    </w:p>
    <w:p w14:paraId="7BBA2692" w14:textId="013353BC" w:rsidR="0039183E" w:rsidRDefault="008A37B8" w:rsidP="007B6CDF">
      <w:pPr>
        <w:pStyle w:val="BodyText"/>
      </w:pPr>
      <w:bookmarkStart w:id="21" w:name="_Ref181718978"/>
      <w:r>
        <w:t>While fill rates in regional areas remained below that of metropolitan areas</w:t>
      </w:r>
      <w:r w:rsidRPr="000851A7">
        <w:t xml:space="preserve"> </w:t>
      </w:r>
      <w:r w:rsidRPr="00771479">
        <w:t xml:space="preserve">in </w:t>
      </w:r>
      <w:r w:rsidR="00FF0529">
        <w:t>Decem</w:t>
      </w:r>
      <w:r w:rsidRPr="00771479">
        <w:t>ber quarter 2025</w:t>
      </w:r>
      <w:r w:rsidR="002A5E9A">
        <w:t xml:space="preserve">, </w:t>
      </w:r>
      <w:r>
        <w:t>t</w:t>
      </w:r>
      <w:r w:rsidRPr="00771479">
        <w:t xml:space="preserve">he gap narrowed to </w:t>
      </w:r>
      <w:r w:rsidR="006D580A">
        <w:t>3.2</w:t>
      </w:r>
      <w:r w:rsidRPr="00771479">
        <w:t xml:space="preserve"> percentage points</w:t>
      </w:r>
      <w:r>
        <w:t>. This is well below the average gap of 6.</w:t>
      </w:r>
      <w:r w:rsidR="004B0DF0">
        <w:t>5</w:t>
      </w:r>
      <w:r>
        <w:t xml:space="preserve">% that prevailed in the past 2 years prior to the </w:t>
      </w:r>
      <w:r w:rsidR="007D6F2F">
        <w:t>Dec</w:t>
      </w:r>
      <w:r>
        <w:t>ember quarter 2025.</w:t>
      </w:r>
    </w:p>
    <w:p w14:paraId="062F2957" w14:textId="2920068D" w:rsidR="00E0572F" w:rsidRPr="00E0572F" w:rsidRDefault="0039183E" w:rsidP="00CC62D2">
      <w:pPr>
        <w:pStyle w:val="ListBullet"/>
      </w:pPr>
      <w:r w:rsidRPr="0039183E">
        <w:t>Regional areas continued to show strongly improved fill rates, reaching 68.6% (</w:t>
      </w:r>
      <w:r w:rsidR="007B7F59" w:rsidRPr="00646F60">
        <w:t xml:space="preserve">Table </w:t>
      </w:r>
      <w:r w:rsidR="007B7F59">
        <w:t>3</w:t>
      </w:r>
      <w:r w:rsidRPr="0039183E">
        <w:t xml:space="preserve">). </w:t>
      </w:r>
      <w:r w:rsidR="00E0572F" w:rsidRPr="00E0572F">
        <w:t>Compared to national and metropolitan fill rates, the regional level fill rates do not appear to have plateaued.</w:t>
      </w:r>
    </w:p>
    <w:p w14:paraId="1F0028B7" w14:textId="5A92E25C" w:rsidR="0039183E" w:rsidRPr="0039183E" w:rsidRDefault="0039183E" w:rsidP="007E4E4A">
      <w:pPr>
        <w:pStyle w:val="ListBullet"/>
      </w:pPr>
      <w:r w:rsidRPr="0039183E">
        <w:t>Total applicants per vacancy decreased over the quarter and past 12 months.</w:t>
      </w:r>
    </w:p>
    <w:p w14:paraId="6426A781" w14:textId="5002B70B" w:rsidR="0039183E" w:rsidRDefault="0039183E" w:rsidP="0039183E">
      <w:pPr>
        <w:pStyle w:val="ListBullet"/>
        <w:numPr>
          <w:ilvl w:val="0"/>
          <w:numId w:val="4"/>
        </w:numPr>
      </w:pPr>
      <w:r w:rsidRPr="0039183E">
        <w:t xml:space="preserve">Qualified applicants per vacancy </w:t>
      </w:r>
      <w:r w:rsidR="007050AA">
        <w:t>stay</w:t>
      </w:r>
      <w:r w:rsidR="00CB6945">
        <w:t>ed the same over</w:t>
      </w:r>
      <w:r w:rsidRPr="0039183E">
        <w:t xml:space="preserve"> the quarter and last 12 months.</w:t>
      </w:r>
    </w:p>
    <w:p w14:paraId="1E47BE90" w14:textId="1941A9DD" w:rsidR="001356E7" w:rsidRPr="005B5484" w:rsidRDefault="00CB6945" w:rsidP="00CC62D2">
      <w:pPr>
        <w:pStyle w:val="ListBullet"/>
      </w:pPr>
      <w:r>
        <w:t xml:space="preserve">Suitable applicants per vacancy </w:t>
      </w:r>
      <w:r w:rsidR="007050AA">
        <w:t>increased over the quarter and past 12 months</w:t>
      </w:r>
      <w:r w:rsidR="00516FAC">
        <w:t>.</w:t>
      </w:r>
    </w:p>
    <w:p w14:paraId="3FFB3BDE" w14:textId="4BF32343" w:rsidR="008A37B8" w:rsidRPr="00646F60" w:rsidRDefault="008A37B8" w:rsidP="00CC62D2">
      <w:pPr>
        <w:pStyle w:val="Caption"/>
        <w:tabs>
          <w:tab w:val="right" w:pos="9027"/>
        </w:tabs>
      </w:pPr>
      <w:r w:rsidRPr="00646F60">
        <w:t xml:space="preserve">Figure </w:t>
      </w:r>
      <w:r w:rsidRPr="00646F60">
        <w:fldChar w:fldCharType="begin"/>
      </w:r>
      <w:r w:rsidRPr="00646F60">
        <w:instrText xml:space="preserve"> SEQ Figure \* ARABIC </w:instrText>
      </w:r>
      <w:r w:rsidRPr="00646F60">
        <w:fldChar w:fldCharType="separate"/>
      </w:r>
      <w:r w:rsidR="00A114CD">
        <w:rPr>
          <w:noProof/>
        </w:rPr>
        <w:t>3</w:t>
      </w:r>
      <w:r w:rsidRPr="00646F60">
        <w:fldChar w:fldCharType="end"/>
      </w:r>
      <w:bookmarkEnd w:id="21"/>
      <w:r w:rsidRPr="00646F60">
        <w:t>: Regional fill rate (%) and total applicants, qualified, and suitable applicants per vacancy (no.)</w:t>
      </w:r>
    </w:p>
    <w:p w14:paraId="5120DED2" w14:textId="04D551B8" w:rsidR="00540AC5" w:rsidRDefault="00540AC5" w:rsidP="008A37B8">
      <w:pPr>
        <w:pStyle w:val="Source"/>
      </w:pPr>
      <w:r>
        <w:rPr>
          <w:noProof/>
        </w:rPr>
        <w:drawing>
          <wp:inline distT="0" distB="0" distL="0" distR="0" wp14:anchorId="585CFEFB" wp14:editId="0EA7EB94">
            <wp:extent cx="5730875" cy="2950845"/>
            <wp:effectExtent l="0" t="0" r="3175" b="1905"/>
            <wp:docPr id="1262508665" name="Picture 2" descr="Figure 3 shows the quarterly fill rate and total, qualified and suitable applicants per vacancy, for regional Australia from December 2023 to December 2025. The regional fill rate increased by 1.6 percentage points to 68.6% in December quarter 2025 and by 5.6 percentage points compared to a year ago. Suitable applicants per vacancy have also increased in regional areas in the last 12 months, despite decreasing total applic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08665" name="Picture 2" descr="Figure 3 shows the quarterly fill rate and total, qualified and suitable applicants per vacancy, for regional Australia from December 2023 to December 2025. The regional fill rate increased by 1.6 percentage points to 68.6% in December quarter 2025 and by 5.6 percentage points compared to a year ago. Suitable applicants per vacancy have also increased in regional areas in the last 12 months, despite decreasing total applicants.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875" cy="2950845"/>
                    </a:xfrm>
                    <a:prstGeom prst="rect">
                      <a:avLst/>
                    </a:prstGeom>
                    <a:noFill/>
                  </pic:spPr>
                </pic:pic>
              </a:graphicData>
            </a:graphic>
          </wp:inline>
        </w:drawing>
      </w:r>
    </w:p>
    <w:p w14:paraId="243498BB" w14:textId="3B554410" w:rsidR="008A37B8" w:rsidRPr="006B22F2" w:rsidRDefault="008A37B8" w:rsidP="008A37B8">
      <w:pPr>
        <w:pStyle w:val="Source"/>
      </w:pPr>
      <w:r w:rsidRPr="00646F60">
        <w:t xml:space="preserve">Source: Jobs and Skills Australia, SERA. </w:t>
      </w:r>
    </w:p>
    <w:p w14:paraId="50F8A1C8" w14:textId="77777777" w:rsidR="007D3EE3" w:rsidRPr="005B5484" w:rsidRDefault="007D3EE3" w:rsidP="005B5484">
      <w:bookmarkStart w:id="22" w:name="_Toc199509251"/>
      <w:bookmarkStart w:id="23" w:name="_Toc207977954"/>
      <w:bookmarkStart w:id="24" w:name="_Toc214019399"/>
      <w:r w:rsidRPr="005B5484">
        <w:br w:type="page"/>
      </w:r>
    </w:p>
    <w:p w14:paraId="10D3F2B0" w14:textId="1BE6C36A" w:rsidR="008A37B8" w:rsidRPr="00540AC5" w:rsidRDefault="008A37B8" w:rsidP="008A37B8">
      <w:pPr>
        <w:pStyle w:val="Heading1"/>
      </w:pPr>
      <w:bookmarkStart w:id="25" w:name="_Toc224202112"/>
      <w:r w:rsidRPr="008110E5">
        <w:t xml:space="preserve">Results </w:t>
      </w:r>
      <w:bookmarkEnd w:id="22"/>
      <w:bookmarkEnd w:id="23"/>
      <w:bookmarkEnd w:id="24"/>
      <w:r w:rsidR="0028341E">
        <w:t>by Skill Level</w:t>
      </w:r>
      <w:bookmarkEnd w:id="25"/>
    </w:p>
    <w:p w14:paraId="4DCBF1B2" w14:textId="30D5C1CE" w:rsidR="008A37B8" w:rsidRDefault="00573C0F" w:rsidP="00353301">
      <w:pPr>
        <w:pStyle w:val="BodyText"/>
      </w:pPr>
      <w:r w:rsidRPr="00573C0F">
        <w:t>In the December quarter 2025, the fill rates improved for all Skill Level occupation groups</w:t>
      </w:r>
      <w:r>
        <w:t xml:space="preserve">.  </w:t>
      </w:r>
      <w:r w:rsidRPr="00573C0F">
        <w:t>Nevertheless, the fill rate for Skill Level 3 occupations showed marginal improvement and remained well below that of the other groups at 54.5%.</w:t>
      </w:r>
    </w:p>
    <w:p w14:paraId="4C0B266C" w14:textId="13568201" w:rsidR="008A37B8" w:rsidRDefault="00A84DCE" w:rsidP="008A37B8">
      <w:pPr>
        <w:pStyle w:val="BodyText"/>
      </w:pPr>
      <w:r>
        <w:t xml:space="preserve">Total </w:t>
      </w:r>
      <w:r w:rsidR="008A37B8">
        <w:t>a</w:t>
      </w:r>
      <w:r w:rsidR="008A37B8" w:rsidRPr="00941FFF">
        <w:t xml:space="preserve">pplicants per vacancy </w:t>
      </w:r>
      <w:r w:rsidR="008A37B8">
        <w:t>fell across the skill level 1 to 4 groups over the quarter and past 12 months.</w:t>
      </w:r>
    </w:p>
    <w:p w14:paraId="6830F8C9" w14:textId="78C62153" w:rsidR="00B75C71" w:rsidRDefault="00B45E0F" w:rsidP="008A37B8">
      <w:pPr>
        <w:pStyle w:val="BodyText"/>
      </w:pPr>
      <w:r>
        <w:t>The change in q</w:t>
      </w:r>
      <w:r w:rsidR="008A37B8">
        <w:t>ualified applicants per vacancy was largely stable</w:t>
      </w:r>
      <w:r w:rsidR="00996519">
        <w:t xml:space="preserve"> over the </w:t>
      </w:r>
      <w:r w:rsidR="00952C93">
        <w:t xml:space="preserve">12 months but </w:t>
      </w:r>
      <w:r w:rsidR="00822EE2">
        <w:t>varied by</w:t>
      </w:r>
      <w:r w:rsidR="00996519">
        <w:t xml:space="preserve"> Skill Level occupation groups</w:t>
      </w:r>
      <w:r w:rsidR="00952C93">
        <w:t>.</w:t>
      </w:r>
    </w:p>
    <w:p w14:paraId="24174DEA" w14:textId="63F9597F" w:rsidR="005C6A03" w:rsidRDefault="00952C93" w:rsidP="005C6A03">
      <w:pPr>
        <w:pStyle w:val="ListBullet"/>
      </w:pPr>
      <w:r>
        <w:t xml:space="preserve">For Skill Level 2 there was a slight increase in qualified applicants per vacancy in the </w:t>
      </w:r>
      <w:r w:rsidR="007F65D6">
        <w:t>December 2025</w:t>
      </w:r>
      <w:r>
        <w:t xml:space="preserve"> quarter and </w:t>
      </w:r>
      <w:r w:rsidR="003A2C66">
        <w:t>over the last 12 months.</w:t>
      </w:r>
    </w:p>
    <w:p w14:paraId="62CDDA25" w14:textId="6FEB5026" w:rsidR="008A37B8" w:rsidRDefault="003A2C66" w:rsidP="00CC62D2">
      <w:pPr>
        <w:pStyle w:val="ListBullet"/>
      </w:pPr>
      <w:r>
        <w:t>For Skill Level 1, there was a slight decrease in</w:t>
      </w:r>
      <w:r w:rsidR="007F65D6">
        <w:t xml:space="preserve"> qualified applicants per vacancy in the December 2025 quarter and over the last 12 months.</w:t>
      </w:r>
    </w:p>
    <w:p w14:paraId="60AF674F" w14:textId="1B39F10F" w:rsidR="008A37B8" w:rsidRPr="008A37B8" w:rsidRDefault="008A37B8" w:rsidP="00CC62D2">
      <w:pPr>
        <w:pStyle w:val="BodyText"/>
      </w:pPr>
      <w:r>
        <w:t>Suitable applicants per vacancy</w:t>
      </w:r>
      <w:r w:rsidR="0097312F">
        <w:t xml:space="preserve"> </w:t>
      </w:r>
      <w:r w:rsidR="00FD0369">
        <w:t xml:space="preserve">improved </w:t>
      </w:r>
      <w:r>
        <w:t xml:space="preserve">over the quarter </w:t>
      </w:r>
      <w:r w:rsidR="0097312F">
        <w:t xml:space="preserve">and </w:t>
      </w:r>
      <w:r w:rsidR="00D41A4D">
        <w:t xml:space="preserve">in the </w:t>
      </w:r>
      <w:r>
        <w:t>past 12 months across all the skill level occupations.</w:t>
      </w:r>
    </w:p>
    <w:p w14:paraId="441B1F49" w14:textId="77777777" w:rsidR="008A37B8" w:rsidRDefault="008A37B8" w:rsidP="008A37B8">
      <w:pPr>
        <w:pStyle w:val="Caption"/>
      </w:pPr>
      <w:r w:rsidRPr="00646F60">
        <w:t xml:space="preserve">Table </w:t>
      </w:r>
      <w:r>
        <w:t>4</w:t>
      </w:r>
      <w:r w:rsidRPr="00646F60">
        <w:t xml:space="preserve">: </w:t>
      </w:r>
      <w:r>
        <w:t>ANZSCO skill level</w:t>
      </w:r>
      <w:r w:rsidRPr="00646F60">
        <w:t xml:space="preserve"> </w:t>
      </w:r>
      <w:r>
        <w:t>s</w:t>
      </w:r>
      <w:r w:rsidRPr="00646F60">
        <w:t>napshot</w:t>
      </w:r>
    </w:p>
    <w:tbl>
      <w:tblPr>
        <w:tblStyle w:val="CustomTablebasic"/>
        <w:tblW w:w="5091" w:type="pct"/>
        <w:tblLook w:val="04A0" w:firstRow="1" w:lastRow="0" w:firstColumn="1" w:lastColumn="0" w:noHBand="0" w:noVBand="1"/>
      </w:tblPr>
      <w:tblGrid>
        <w:gridCol w:w="1473"/>
        <w:gridCol w:w="3572"/>
        <w:gridCol w:w="1382"/>
        <w:gridCol w:w="1382"/>
        <w:gridCol w:w="1382"/>
      </w:tblGrid>
      <w:tr w:rsidR="008A37B8" w14:paraId="29986072" w14:textId="77777777">
        <w:trPr>
          <w:cnfStyle w:val="100000000000" w:firstRow="1" w:lastRow="0" w:firstColumn="0" w:lastColumn="0" w:oddVBand="0" w:evenVBand="0" w:oddHBand="0" w:evenHBand="0" w:firstRowFirstColumn="0" w:firstRowLastColumn="0" w:lastRowFirstColumn="0" w:lastRowLastColumn="0"/>
        </w:trPr>
        <w:tc>
          <w:tcPr>
            <w:tcW w:w="801" w:type="pct"/>
          </w:tcPr>
          <w:p w14:paraId="5F8C0856" w14:textId="77777777" w:rsidR="008A37B8" w:rsidRPr="008A37B8" w:rsidRDefault="008A37B8" w:rsidP="008A37B8">
            <w:pPr>
              <w:pStyle w:val="TableHeading1"/>
            </w:pPr>
            <w:r w:rsidRPr="00E6165D">
              <w:t>Skill levels</w:t>
            </w:r>
          </w:p>
        </w:tc>
        <w:tc>
          <w:tcPr>
            <w:tcW w:w="1943" w:type="pct"/>
          </w:tcPr>
          <w:p w14:paraId="1A28BCC3" w14:textId="76F915C5" w:rsidR="008A37B8" w:rsidRPr="008A37B8" w:rsidRDefault="008A37B8" w:rsidP="008A37B8">
            <w:pPr>
              <w:pStyle w:val="TableHeading1"/>
            </w:pPr>
          </w:p>
        </w:tc>
        <w:tc>
          <w:tcPr>
            <w:tcW w:w="752" w:type="pct"/>
          </w:tcPr>
          <w:p w14:paraId="27DE3F70" w14:textId="77777777" w:rsidR="008A37B8" w:rsidRPr="008A37B8" w:rsidRDefault="008A37B8" w:rsidP="008A37B8">
            <w:pPr>
              <w:pStyle w:val="TableHeading1"/>
            </w:pPr>
            <w:r w:rsidRPr="00E6165D">
              <w:t>December quarter 2025</w:t>
            </w:r>
          </w:p>
        </w:tc>
        <w:tc>
          <w:tcPr>
            <w:tcW w:w="752" w:type="pct"/>
          </w:tcPr>
          <w:p w14:paraId="143460D1" w14:textId="77777777" w:rsidR="008A37B8" w:rsidRPr="008A37B8" w:rsidRDefault="008A37B8" w:rsidP="008A37B8">
            <w:pPr>
              <w:pStyle w:val="TableHeading1"/>
            </w:pPr>
            <w:r w:rsidRPr="00E6165D">
              <w:t xml:space="preserve">Change over the quarter </w:t>
            </w:r>
          </w:p>
        </w:tc>
        <w:tc>
          <w:tcPr>
            <w:tcW w:w="752" w:type="pct"/>
          </w:tcPr>
          <w:p w14:paraId="3872DD16" w14:textId="77777777" w:rsidR="008A37B8" w:rsidRPr="008A37B8" w:rsidRDefault="008A37B8" w:rsidP="008A37B8">
            <w:pPr>
              <w:pStyle w:val="TableHeading1"/>
            </w:pPr>
            <w:r w:rsidRPr="00E6165D">
              <w:t xml:space="preserve">Change over 12 months </w:t>
            </w:r>
          </w:p>
        </w:tc>
      </w:tr>
      <w:tr w:rsidR="008A37B8" w14:paraId="09634EB9" w14:textId="77777777">
        <w:tc>
          <w:tcPr>
            <w:tcW w:w="801" w:type="pct"/>
            <w:vMerge w:val="restart"/>
            <w:tcBorders>
              <w:bottom w:val="single" w:sz="4" w:space="0" w:color="auto"/>
            </w:tcBorders>
            <w:shd w:val="clear" w:color="auto" w:fill="FFFFFF" w:themeFill="background1"/>
          </w:tcPr>
          <w:p w14:paraId="55B8CBE1" w14:textId="77777777" w:rsidR="008A37B8" w:rsidRPr="008A37B8" w:rsidRDefault="008A37B8" w:rsidP="008A37B8">
            <w:pPr>
              <w:pStyle w:val="TableBodyText"/>
            </w:pPr>
            <w:r w:rsidRPr="00E6165D">
              <w:t>Skill level 1</w:t>
            </w:r>
          </w:p>
          <w:p w14:paraId="2D72681B" w14:textId="77777777" w:rsidR="008A37B8" w:rsidRPr="00E6165D" w:rsidRDefault="008A37B8" w:rsidP="008A37B8">
            <w:pPr>
              <w:pStyle w:val="TableBodyText"/>
            </w:pPr>
          </w:p>
        </w:tc>
        <w:tc>
          <w:tcPr>
            <w:tcW w:w="1943" w:type="pct"/>
          </w:tcPr>
          <w:p w14:paraId="1910A6D5" w14:textId="77777777" w:rsidR="008A37B8" w:rsidRPr="008A37B8" w:rsidRDefault="008A37B8" w:rsidP="008A37B8">
            <w:pPr>
              <w:pStyle w:val="TableBodyText"/>
            </w:pPr>
            <w:r w:rsidRPr="00E6165D">
              <w:t>Vacancy fill rate (%)</w:t>
            </w:r>
          </w:p>
        </w:tc>
        <w:tc>
          <w:tcPr>
            <w:tcW w:w="752" w:type="pct"/>
          </w:tcPr>
          <w:p w14:paraId="2EDCF6BF" w14:textId="77777777" w:rsidR="008A37B8" w:rsidRPr="008A37B8" w:rsidRDefault="008A37B8" w:rsidP="008A37B8">
            <w:pPr>
              <w:pStyle w:val="TableBodyTextright"/>
            </w:pPr>
            <w:r w:rsidRPr="00E6165D">
              <w:t>73.0%</w:t>
            </w:r>
          </w:p>
        </w:tc>
        <w:tc>
          <w:tcPr>
            <w:tcW w:w="752" w:type="pct"/>
          </w:tcPr>
          <w:p w14:paraId="6DF2CE28" w14:textId="77777777" w:rsidR="008A37B8" w:rsidRPr="008A37B8" w:rsidRDefault="008A37B8" w:rsidP="008A37B8">
            <w:pPr>
              <w:pStyle w:val="TableBodyTextright"/>
            </w:pPr>
            <w:r w:rsidRPr="00852F81">
              <w:t>▲</w:t>
            </w:r>
            <w:r w:rsidRPr="008A37B8">
              <w:t>0.2%</w:t>
            </w:r>
          </w:p>
        </w:tc>
        <w:tc>
          <w:tcPr>
            <w:tcW w:w="752" w:type="pct"/>
          </w:tcPr>
          <w:p w14:paraId="16DBCD65" w14:textId="77777777" w:rsidR="008A37B8" w:rsidRPr="008A37B8" w:rsidRDefault="008A37B8" w:rsidP="008A37B8">
            <w:pPr>
              <w:pStyle w:val="TableBodyTextright"/>
            </w:pPr>
            <w:r w:rsidRPr="00852F81">
              <w:t>▲</w:t>
            </w:r>
            <w:r w:rsidRPr="008A37B8">
              <w:t>2.1%</w:t>
            </w:r>
          </w:p>
        </w:tc>
      </w:tr>
      <w:tr w:rsidR="008A37B8" w14:paraId="49B33285"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auto"/>
            </w:tcBorders>
            <w:shd w:val="clear" w:color="auto" w:fill="FFFFFF" w:themeFill="background1"/>
          </w:tcPr>
          <w:p w14:paraId="41CFB712" w14:textId="77777777" w:rsidR="008A37B8" w:rsidRPr="00E6165D" w:rsidRDefault="008A37B8" w:rsidP="008A37B8">
            <w:pPr>
              <w:pStyle w:val="TableBodyText"/>
            </w:pPr>
          </w:p>
        </w:tc>
        <w:tc>
          <w:tcPr>
            <w:tcW w:w="1943" w:type="pct"/>
          </w:tcPr>
          <w:p w14:paraId="58AEF94A" w14:textId="77777777" w:rsidR="008A37B8" w:rsidRPr="008A37B8" w:rsidRDefault="008A37B8" w:rsidP="008A37B8">
            <w:pPr>
              <w:pStyle w:val="TableBodyText"/>
            </w:pPr>
            <w:r w:rsidRPr="00E6165D">
              <w:t xml:space="preserve">Applicants per vacancy (no.) </w:t>
            </w:r>
          </w:p>
        </w:tc>
        <w:tc>
          <w:tcPr>
            <w:tcW w:w="752" w:type="pct"/>
          </w:tcPr>
          <w:p w14:paraId="4B9E7E39" w14:textId="77777777" w:rsidR="008A37B8" w:rsidRPr="008A37B8" w:rsidRDefault="008A37B8" w:rsidP="008A37B8">
            <w:pPr>
              <w:pStyle w:val="TableBodyTextright"/>
            </w:pPr>
            <w:r w:rsidRPr="00E6165D">
              <w:t>22.3</w:t>
            </w:r>
          </w:p>
        </w:tc>
        <w:tc>
          <w:tcPr>
            <w:tcW w:w="752" w:type="pct"/>
          </w:tcPr>
          <w:p w14:paraId="1A5D3198" w14:textId="77777777" w:rsidR="008A37B8" w:rsidRPr="008A37B8" w:rsidRDefault="008A37B8" w:rsidP="008A37B8">
            <w:pPr>
              <w:pStyle w:val="TableBodyTextright"/>
            </w:pPr>
            <w:r w:rsidRPr="00852F81">
              <w:t>▼</w:t>
            </w:r>
            <w:r w:rsidRPr="008A37B8">
              <w:t>2.2</w:t>
            </w:r>
          </w:p>
        </w:tc>
        <w:tc>
          <w:tcPr>
            <w:tcW w:w="752" w:type="pct"/>
          </w:tcPr>
          <w:p w14:paraId="04444261" w14:textId="77777777" w:rsidR="008A37B8" w:rsidRPr="008A37B8" w:rsidRDefault="008A37B8" w:rsidP="008A37B8">
            <w:pPr>
              <w:pStyle w:val="TableBodyTextright"/>
            </w:pPr>
            <w:r w:rsidRPr="00852F81">
              <w:t>▼</w:t>
            </w:r>
            <w:r w:rsidRPr="008A37B8">
              <w:t>10.0</w:t>
            </w:r>
          </w:p>
        </w:tc>
      </w:tr>
      <w:tr w:rsidR="008A37B8" w14:paraId="529D57AB" w14:textId="77777777">
        <w:tc>
          <w:tcPr>
            <w:tcW w:w="801" w:type="pct"/>
            <w:vMerge/>
            <w:tcBorders>
              <w:bottom w:val="single" w:sz="4" w:space="0" w:color="auto"/>
            </w:tcBorders>
            <w:shd w:val="clear" w:color="auto" w:fill="FFFFFF" w:themeFill="background1"/>
          </w:tcPr>
          <w:p w14:paraId="7AA5E364" w14:textId="77777777" w:rsidR="008A37B8" w:rsidRPr="00E6165D" w:rsidRDefault="008A37B8" w:rsidP="008A37B8">
            <w:pPr>
              <w:pStyle w:val="TableBodyText"/>
            </w:pPr>
          </w:p>
        </w:tc>
        <w:tc>
          <w:tcPr>
            <w:tcW w:w="1943" w:type="pct"/>
          </w:tcPr>
          <w:p w14:paraId="491173AE" w14:textId="77777777" w:rsidR="008A37B8" w:rsidRPr="008A37B8" w:rsidRDefault="008A37B8" w:rsidP="008A37B8">
            <w:pPr>
              <w:pStyle w:val="TableBodyText"/>
            </w:pPr>
            <w:r w:rsidRPr="00E6165D">
              <w:t>Qualified applicants per vacancy (no.)</w:t>
            </w:r>
          </w:p>
        </w:tc>
        <w:tc>
          <w:tcPr>
            <w:tcW w:w="752" w:type="pct"/>
          </w:tcPr>
          <w:p w14:paraId="3D8FB9E5" w14:textId="77777777" w:rsidR="008A37B8" w:rsidRPr="008A37B8" w:rsidRDefault="008A37B8" w:rsidP="008A37B8">
            <w:pPr>
              <w:pStyle w:val="TableBodyTextright"/>
            </w:pPr>
            <w:r w:rsidRPr="00E6165D">
              <w:t>11.0</w:t>
            </w:r>
          </w:p>
        </w:tc>
        <w:tc>
          <w:tcPr>
            <w:tcW w:w="752" w:type="pct"/>
          </w:tcPr>
          <w:p w14:paraId="4DDB5E4E" w14:textId="77777777" w:rsidR="008A37B8" w:rsidRPr="008A37B8" w:rsidRDefault="008A37B8" w:rsidP="008A37B8">
            <w:pPr>
              <w:pStyle w:val="TableBodyTextright"/>
            </w:pPr>
            <w:r w:rsidRPr="00852F81">
              <w:t>▼</w:t>
            </w:r>
            <w:r w:rsidRPr="008A37B8">
              <w:t>0.1</w:t>
            </w:r>
          </w:p>
        </w:tc>
        <w:tc>
          <w:tcPr>
            <w:tcW w:w="752" w:type="pct"/>
          </w:tcPr>
          <w:p w14:paraId="73BDC78D" w14:textId="77777777" w:rsidR="008A37B8" w:rsidRPr="008A37B8" w:rsidRDefault="008A37B8" w:rsidP="008A37B8">
            <w:pPr>
              <w:pStyle w:val="TableBodyTextright"/>
            </w:pPr>
            <w:r w:rsidRPr="00852F81">
              <w:t>▼</w:t>
            </w:r>
            <w:r w:rsidRPr="008A37B8">
              <w:t>0.9</w:t>
            </w:r>
          </w:p>
        </w:tc>
      </w:tr>
      <w:tr w:rsidR="008A37B8" w14:paraId="3FDD6A53"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7939273D" w14:textId="77777777" w:rsidR="008A37B8" w:rsidRPr="00E6165D" w:rsidRDefault="008A37B8" w:rsidP="008A37B8">
            <w:pPr>
              <w:pStyle w:val="TableBodyText"/>
            </w:pPr>
          </w:p>
        </w:tc>
        <w:tc>
          <w:tcPr>
            <w:tcW w:w="1943" w:type="pct"/>
            <w:tcBorders>
              <w:bottom w:val="single" w:sz="4" w:space="0" w:color="D9D9D9" w:themeColor="background1" w:themeShade="D9"/>
            </w:tcBorders>
          </w:tcPr>
          <w:p w14:paraId="20A3537C" w14:textId="77777777" w:rsidR="008A37B8" w:rsidRPr="008A37B8" w:rsidRDefault="008A37B8" w:rsidP="008A37B8">
            <w:pPr>
              <w:pStyle w:val="TableBodyText"/>
            </w:pPr>
            <w:r w:rsidRPr="00E6165D">
              <w:t>Suitable applicants per vacancy (no.)</w:t>
            </w:r>
          </w:p>
        </w:tc>
        <w:tc>
          <w:tcPr>
            <w:tcW w:w="752" w:type="pct"/>
            <w:tcBorders>
              <w:bottom w:val="single" w:sz="4" w:space="0" w:color="D9D9D9" w:themeColor="background1" w:themeShade="D9"/>
            </w:tcBorders>
          </w:tcPr>
          <w:p w14:paraId="34C68D7F" w14:textId="77777777" w:rsidR="008A37B8" w:rsidRPr="008A37B8" w:rsidRDefault="008A37B8" w:rsidP="008A37B8">
            <w:pPr>
              <w:pStyle w:val="TableBodyTextright"/>
            </w:pPr>
            <w:r w:rsidRPr="00E6165D">
              <w:t>4.7</w:t>
            </w:r>
          </w:p>
        </w:tc>
        <w:tc>
          <w:tcPr>
            <w:tcW w:w="752" w:type="pct"/>
            <w:tcBorders>
              <w:bottom w:val="single" w:sz="4" w:space="0" w:color="D9D9D9" w:themeColor="background1" w:themeShade="D9"/>
            </w:tcBorders>
          </w:tcPr>
          <w:p w14:paraId="402F059F" w14:textId="77777777" w:rsidR="008A37B8" w:rsidRPr="008A37B8" w:rsidRDefault="008A37B8" w:rsidP="008A37B8">
            <w:pPr>
              <w:pStyle w:val="TableBodyTextright"/>
            </w:pPr>
            <w:r w:rsidRPr="00852F81">
              <w:t>▲</w:t>
            </w:r>
            <w:r w:rsidRPr="008A37B8">
              <w:t>0.1</w:t>
            </w:r>
          </w:p>
        </w:tc>
        <w:tc>
          <w:tcPr>
            <w:tcW w:w="752" w:type="pct"/>
            <w:tcBorders>
              <w:bottom w:val="single" w:sz="4" w:space="0" w:color="D9D9D9" w:themeColor="background1" w:themeShade="D9"/>
            </w:tcBorders>
          </w:tcPr>
          <w:p w14:paraId="66F77F59" w14:textId="6538EC95" w:rsidR="008A37B8" w:rsidRPr="008A37B8" w:rsidRDefault="008A37B8" w:rsidP="008A37B8">
            <w:pPr>
              <w:pStyle w:val="TableBodyTextright"/>
            </w:pPr>
            <w:r w:rsidRPr="00852F81">
              <w:t>▲</w:t>
            </w:r>
            <w:r w:rsidRPr="008A37B8">
              <w:t>1.0</w:t>
            </w:r>
          </w:p>
        </w:tc>
      </w:tr>
      <w:tr w:rsidR="008A37B8" w14:paraId="1FB12D21" w14:textId="77777777">
        <w:tc>
          <w:tcPr>
            <w:tcW w:w="801" w:type="pct"/>
            <w:vMerge w:val="restart"/>
            <w:tcBorders>
              <w:top w:val="single" w:sz="4" w:space="0" w:color="D9D9D9" w:themeColor="background1" w:themeShade="D9"/>
            </w:tcBorders>
            <w:shd w:val="clear" w:color="auto" w:fill="FFFFFF" w:themeFill="background1"/>
          </w:tcPr>
          <w:p w14:paraId="2C44C8B2" w14:textId="77777777" w:rsidR="008A37B8" w:rsidRPr="008A37B8" w:rsidRDefault="008A37B8" w:rsidP="008A37B8">
            <w:pPr>
              <w:pStyle w:val="TableBodyText"/>
            </w:pPr>
            <w:r w:rsidRPr="00E6165D">
              <w:t>Skill level 2</w:t>
            </w:r>
          </w:p>
          <w:p w14:paraId="65D426A2" w14:textId="77777777" w:rsidR="008A37B8" w:rsidRPr="00E6165D" w:rsidRDefault="008A37B8" w:rsidP="008A37B8">
            <w:pPr>
              <w:pStyle w:val="TableBodyText"/>
            </w:pPr>
          </w:p>
        </w:tc>
        <w:tc>
          <w:tcPr>
            <w:tcW w:w="1943" w:type="pct"/>
            <w:tcBorders>
              <w:top w:val="single" w:sz="4" w:space="0" w:color="D9D9D9" w:themeColor="background1" w:themeShade="D9"/>
            </w:tcBorders>
          </w:tcPr>
          <w:p w14:paraId="16DB0A1E" w14:textId="77777777" w:rsidR="008A37B8" w:rsidRPr="008A37B8" w:rsidRDefault="008A37B8" w:rsidP="008A37B8">
            <w:pPr>
              <w:pStyle w:val="TableBodyText"/>
            </w:pPr>
            <w:r w:rsidRPr="00E6165D">
              <w:t>Vacancy fill rate (%)</w:t>
            </w:r>
          </w:p>
        </w:tc>
        <w:tc>
          <w:tcPr>
            <w:tcW w:w="752" w:type="pct"/>
            <w:tcBorders>
              <w:top w:val="single" w:sz="4" w:space="0" w:color="D9D9D9" w:themeColor="background1" w:themeShade="D9"/>
            </w:tcBorders>
          </w:tcPr>
          <w:p w14:paraId="6C1FDEA3" w14:textId="77777777" w:rsidR="008A37B8" w:rsidRPr="008A37B8" w:rsidRDefault="008A37B8" w:rsidP="008A37B8">
            <w:pPr>
              <w:pStyle w:val="TableBodyTextright"/>
            </w:pPr>
            <w:r w:rsidRPr="00E6165D">
              <w:t>75.1%</w:t>
            </w:r>
          </w:p>
        </w:tc>
        <w:tc>
          <w:tcPr>
            <w:tcW w:w="752" w:type="pct"/>
            <w:tcBorders>
              <w:top w:val="single" w:sz="4" w:space="0" w:color="D9D9D9" w:themeColor="background1" w:themeShade="D9"/>
            </w:tcBorders>
          </w:tcPr>
          <w:p w14:paraId="1DAD06D5" w14:textId="77777777" w:rsidR="008A37B8" w:rsidRPr="008A37B8" w:rsidRDefault="008A37B8" w:rsidP="008A37B8">
            <w:pPr>
              <w:pStyle w:val="TableBodyTextright"/>
            </w:pPr>
            <w:r w:rsidRPr="00852F81">
              <w:t>▲</w:t>
            </w:r>
            <w:r w:rsidRPr="008A37B8">
              <w:t>0.7%</w:t>
            </w:r>
          </w:p>
        </w:tc>
        <w:tc>
          <w:tcPr>
            <w:tcW w:w="752" w:type="pct"/>
            <w:tcBorders>
              <w:top w:val="single" w:sz="4" w:space="0" w:color="D9D9D9" w:themeColor="background1" w:themeShade="D9"/>
            </w:tcBorders>
          </w:tcPr>
          <w:p w14:paraId="11EBD759" w14:textId="77777777" w:rsidR="008A37B8" w:rsidRPr="008A37B8" w:rsidRDefault="008A37B8" w:rsidP="008A37B8">
            <w:pPr>
              <w:pStyle w:val="TableBodyTextright"/>
            </w:pPr>
            <w:r w:rsidRPr="00852F81">
              <w:t>▲</w:t>
            </w:r>
            <w:r w:rsidRPr="008A37B8">
              <w:t>0.3%</w:t>
            </w:r>
          </w:p>
        </w:tc>
      </w:tr>
      <w:tr w:rsidR="008A37B8" w14:paraId="2392219B"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6B1CFC83" w14:textId="77777777" w:rsidR="008A37B8" w:rsidRPr="00E6165D" w:rsidRDefault="008A37B8" w:rsidP="008A37B8">
            <w:pPr>
              <w:pStyle w:val="TableBodyText"/>
            </w:pPr>
          </w:p>
        </w:tc>
        <w:tc>
          <w:tcPr>
            <w:tcW w:w="1943" w:type="pct"/>
          </w:tcPr>
          <w:p w14:paraId="52103044" w14:textId="77777777" w:rsidR="008A37B8" w:rsidRPr="008A37B8" w:rsidRDefault="008A37B8" w:rsidP="008A37B8">
            <w:pPr>
              <w:pStyle w:val="TableBodyText"/>
            </w:pPr>
            <w:r w:rsidRPr="00E6165D">
              <w:t xml:space="preserve">Applicants per vacancy (no.) </w:t>
            </w:r>
          </w:p>
        </w:tc>
        <w:tc>
          <w:tcPr>
            <w:tcW w:w="752" w:type="pct"/>
          </w:tcPr>
          <w:p w14:paraId="52187226" w14:textId="77777777" w:rsidR="008A37B8" w:rsidRPr="008A37B8" w:rsidRDefault="008A37B8" w:rsidP="008A37B8">
            <w:pPr>
              <w:pStyle w:val="TableBodyTextright"/>
            </w:pPr>
            <w:r w:rsidRPr="00E6165D">
              <w:t>28.1</w:t>
            </w:r>
          </w:p>
        </w:tc>
        <w:tc>
          <w:tcPr>
            <w:tcW w:w="752" w:type="pct"/>
          </w:tcPr>
          <w:p w14:paraId="0EE006A8" w14:textId="77777777" w:rsidR="008A37B8" w:rsidRPr="008A37B8" w:rsidRDefault="008A37B8" w:rsidP="008A37B8">
            <w:pPr>
              <w:pStyle w:val="TableBodyTextright"/>
            </w:pPr>
            <w:r w:rsidRPr="00852F81">
              <w:t>▼</w:t>
            </w:r>
            <w:r w:rsidRPr="008A37B8">
              <w:t>1.3</w:t>
            </w:r>
          </w:p>
        </w:tc>
        <w:tc>
          <w:tcPr>
            <w:tcW w:w="752" w:type="pct"/>
          </w:tcPr>
          <w:p w14:paraId="436C0F42" w14:textId="77777777" w:rsidR="008A37B8" w:rsidRPr="008A37B8" w:rsidRDefault="008A37B8" w:rsidP="008A37B8">
            <w:pPr>
              <w:pStyle w:val="TableBodyTextright"/>
            </w:pPr>
            <w:r w:rsidRPr="00852F81">
              <w:t>▼</w:t>
            </w:r>
            <w:r w:rsidRPr="008A37B8">
              <w:t>6.7</w:t>
            </w:r>
          </w:p>
        </w:tc>
      </w:tr>
      <w:tr w:rsidR="008A37B8" w14:paraId="3BE43D4D" w14:textId="77777777">
        <w:tc>
          <w:tcPr>
            <w:tcW w:w="801" w:type="pct"/>
            <w:vMerge/>
            <w:shd w:val="clear" w:color="auto" w:fill="FFFFFF" w:themeFill="background1"/>
          </w:tcPr>
          <w:p w14:paraId="38200DDA" w14:textId="77777777" w:rsidR="008A37B8" w:rsidRPr="00E6165D" w:rsidRDefault="008A37B8" w:rsidP="008A37B8">
            <w:pPr>
              <w:pStyle w:val="TableBodyText"/>
            </w:pPr>
          </w:p>
        </w:tc>
        <w:tc>
          <w:tcPr>
            <w:tcW w:w="1943" w:type="pct"/>
          </w:tcPr>
          <w:p w14:paraId="40C0362B" w14:textId="77777777" w:rsidR="008A37B8" w:rsidRPr="008A37B8" w:rsidRDefault="008A37B8" w:rsidP="008A37B8">
            <w:pPr>
              <w:pStyle w:val="TableBodyText"/>
            </w:pPr>
            <w:r w:rsidRPr="00E6165D">
              <w:t>Qualified applicants per vacancy (no.)</w:t>
            </w:r>
          </w:p>
        </w:tc>
        <w:tc>
          <w:tcPr>
            <w:tcW w:w="752" w:type="pct"/>
          </w:tcPr>
          <w:p w14:paraId="28EADE86" w14:textId="77777777" w:rsidR="008A37B8" w:rsidRPr="008A37B8" w:rsidRDefault="008A37B8" w:rsidP="008A37B8">
            <w:pPr>
              <w:pStyle w:val="TableBodyTextright"/>
            </w:pPr>
            <w:r w:rsidRPr="00E6165D">
              <w:t>11.2</w:t>
            </w:r>
          </w:p>
        </w:tc>
        <w:tc>
          <w:tcPr>
            <w:tcW w:w="752" w:type="pct"/>
          </w:tcPr>
          <w:p w14:paraId="5567786B" w14:textId="77777777" w:rsidR="008A37B8" w:rsidRPr="008A37B8" w:rsidRDefault="008A37B8" w:rsidP="008A37B8">
            <w:pPr>
              <w:pStyle w:val="TableBodyTextright"/>
            </w:pPr>
            <w:r w:rsidRPr="00852F81">
              <w:t>▲</w:t>
            </w:r>
            <w:r w:rsidRPr="008A37B8">
              <w:t>0.2</w:t>
            </w:r>
          </w:p>
        </w:tc>
        <w:tc>
          <w:tcPr>
            <w:tcW w:w="752" w:type="pct"/>
          </w:tcPr>
          <w:p w14:paraId="7D83947B" w14:textId="77777777" w:rsidR="008A37B8" w:rsidRPr="008A37B8" w:rsidRDefault="008A37B8" w:rsidP="008A37B8">
            <w:pPr>
              <w:pStyle w:val="TableBodyTextright"/>
            </w:pPr>
            <w:r w:rsidRPr="00852F81">
              <w:t>▲</w:t>
            </w:r>
            <w:r w:rsidRPr="008A37B8">
              <w:t>1.0</w:t>
            </w:r>
          </w:p>
        </w:tc>
      </w:tr>
      <w:tr w:rsidR="008A37B8" w14:paraId="27744BB3"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3E108E50" w14:textId="77777777" w:rsidR="008A37B8" w:rsidRPr="00E6165D" w:rsidRDefault="008A37B8" w:rsidP="008A37B8">
            <w:pPr>
              <w:pStyle w:val="TableBodyText"/>
            </w:pPr>
          </w:p>
        </w:tc>
        <w:tc>
          <w:tcPr>
            <w:tcW w:w="1943" w:type="pct"/>
            <w:tcBorders>
              <w:bottom w:val="single" w:sz="4" w:space="0" w:color="D9D9D9" w:themeColor="background1" w:themeShade="D9"/>
            </w:tcBorders>
          </w:tcPr>
          <w:p w14:paraId="1C3056A6" w14:textId="77777777" w:rsidR="008A37B8" w:rsidRPr="008A37B8" w:rsidRDefault="008A37B8" w:rsidP="008A37B8">
            <w:pPr>
              <w:pStyle w:val="TableBodyText"/>
            </w:pPr>
            <w:r w:rsidRPr="00E6165D">
              <w:t>Suitable applicants per vacancy (no.)</w:t>
            </w:r>
          </w:p>
        </w:tc>
        <w:tc>
          <w:tcPr>
            <w:tcW w:w="752" w:type="pct"/>
            <w:tcBorders>
              <w:bottom w:val="single" w:sz="4" w:space="0" w:color="D9D9D9" w:themeColor="background1" w:themeShade="D9"/>
            </w:tcBorders>
          </w:tcPr>
          <w:p w14:paraId="0578F201" w14:textId="77777777" w:rsidR="008A37B8" w:rsidRPr="008A37B8" w:rsidRDefault="008A37B8" w:rsidP="008A37B8">
            <w:pPr>
              <w:pStyle w:val="TableBodyTextright"/>
            </w:pPr>
            <w:r w:rsidRPr="00E6165D">
              <w:t>5.8</w:t>
            </w:r>
          </w:p>
        </w:tc>
        <w:tc>
          <w:tcPr>
            <w:tcW w:w="752" w:type="pct"/>
            <w:tcBorders>
              <w:bottom w:val="single" w:sz="4" w:space="0" w:color="D9D9D9" w:themeColor="background1" w:themeShade="D9"/>
            </w:tcBorders>
          </w:tcPr>
          <w:p w14:paraId="0BE8BFB9" w14:textId="77777777" w:rsidR="008A37B8" w:rsidRPr="008A37B8" w:rsidRDefault="008A37B8" w:rsidP="008A37B8">
            <w:pPr>
              <w:pStyle w:val="TableBodyTextright"/>
            </w:pPr>
            <w:r w:rsidRPr="00852F81">
              <w:t>▲</w:t>
            </w:r>
            <w:r w:rsidRPr="008A37B8">
              <w:t>0.2</w:t>
            </w:r>
          </w:p>
        </w:tc>
        <w:tc>
          <w:tcPr>
            <w:tcW w:w="752" w:type="pct"/>
            <w:tcBorders>
              <w:bottom w:val="single" w:sz="4" w:space="0" w:color="D9D9D9" w:themeColor="background1" w:themeShade="D9"/>
            </w:tcBorders>
          </w:tcPr>
          <w:p w14:paraId="7B0FC7E3" w14:textId="77777777" w:rsidR="008A37B8" w:rsidRPr="008A37B8" w:rsidRDefault="008A37B8" w:rsidP="008A37B8">
            <w:pPr>
              <w:pStyle w:val="TableBodyTextright"/>
            </w:pPr>
            <w:r w:rsidRPr="00852F81">
              <w:t>▲</w:t>
            </w:r>
            <w:r w:rsidRPr="008A37B8">
              <w:t>1.8</w:t>
            </w:r>
          </w:p>
        </w:tc>
      </w:tr>
      <w:tr w:rsidR="008A37B8" w14:paraId="1F7B2EF8" w14:textId="77777777">
        <w:tc>
          <w:tcPr>
            <w:tcW w:w="801" w:type="pct"/>
            <w:vMerge w:val="restart"/>
            <w:tcBorders>
              <w:top w:val="single" w:sz="4" w:space="0" w:color="D9D9D9" w:themeColor="background1" w:themeShade="D9"/>
            </w:tcBorders>
            <w:shd w:val="clear" w:color="auto" w:fill="FFFFFF" w:themeFill="background1"/>
          </w:tcPr>
          <w:p w14:paraId="3388CBCC" w14:textId="77777777" w:rsidR="008A37B8" w:rsidRPr="008A37B8" w:rsidRDefault="008A37B8" w:rsidP="008A37B8">
            <w:pPr>
              <w:pStyle w:val="TableBodyText"/>
            </w:pPr>
            <w:r w:rsidRPr="00E6165D">
              <w:t>Skill level 3</w:t>
            </w:r>
          </w:p>
          <w:p w14:paraId="21FF2CAD" w14:textId="77777777" w:rsidR="008A37B8" w:rsidRPr="00E6165D" w:rsidRDefault="008A37B8" w:rsidP="008A37B8">
            <w:pPr>
              <w:pStyle w:val="TableBodyText"/>
            </w:pPr>
          </w:p>
        </w:tc>
        <w:tc>
          <w:tcPr>
            <w:tcW w:w="1943" w:type="pct"/>
            <w:tcBorders>
              <w:top w:val="single" w:sz="4" w:space="0" w:color="D9D9D9" w:themeColor="background1" w:themeShade="D9"/>
            </w:tcBorders>
          </w:tcPr>
          <w:p w14:paraId="55619AF9" w14:textId="77777777" w:rsidR="008A37B8" w:rsidRPr="008A37B8" w:rsidRDefault="008A37B8" w:rsidP="008A37B8">
            <w:pPr>
              <w:pStyle w:val="TableBodyText"/>
            </w:pPr>
            <w:r w:rsidRPr="00E6165D">
              <w:t>Vacancy fill rate (%)</w:t>
            </w:r>
          </w:p>
        </w:tc>
        <w:tc>
          <w:tcPr>
            <w:tcW w:w="752" w:type="pct"/>
            <w:tcBorders>
              <w:top w:val="single" w:sz="4" w:space="0" w:color="D9D9D9" w:themeColor="background1" w:themeShade="D9"/>
            </w:tcBorders>
          </w:tcPr>
          <w:p w14:paraId="1C833028" w14:textId="77777777" w:rsidR="008A37B8" w:rsidRPr="008A37B8" w:rsidRDefault="008A37B8" w:rsidP="008A37B8">
            <w:pPr>
              <w:pStyle w:val="TableBodyTextright"/>
            </w:pPr>
            <w:r w:rsidRPr="00E6165D">
              <w:t>54.5%</w:t>
            </w:r>
          </w:p>
        </w:tc>
        <w:tc>
          <w:tcPr>
            <w:tcW w:w="752" w:type="pct"/>
            <w:tcBorders>
              <w:top w:val="single" w:sz="4" w:space="0" w:color="D9D9D9" w:themeColor="background1" w:themeShade="D9"/>
            </w:tcBorders>
          </w:tcPr>
          <w:p w14:paraId="6FDB1F02" w14:textId="77777777" w:rsidR="008A37B8" w:rsidRPr="008A37B8" w:rsidRDefault="008A37B8" w:rsidP="008A37B8">
            <w:pPr>
              <w:pStyle w:val="TableBodyTextright"/>
            </w:pPr>
            <w:r w:rsidRPr="00852F81">
              <w:t>▲</w:t>
            </w:r>
            <w:r w:rsidRPr="008A37B8">
              <w:t>0.2%</w:t>
            </w:r>
          </w:p>
        </w:tc>
        <w:tc>
          <w:tcPr>
            <w:tcW w:w="752" w:type="pct"/>
            <w:tcBorders>
              <w:top w:val="single" w:sz="4" w:space="0" w:color="D9D9D9" w:themeColor="background1" w:themeShade="D9"/>
            </w:tcBorders>
          </w:tcPr>
          <w:p w14:paraId="44417D92" w14:textId="77777777" w:rsidR="008A37B8" w:rsidRPr="008A37B8" w:rsidRDefault="008A37B8" w:rsidP="008A37B8">
            <w:pPr>
              <w:pStyle w:val="TableBodyTextright"/>
            </w:pPr>
            <w:r w:rsidRPr="00852F81">
              <w:t>▼</w:t>
            </w:r>
            <w:r w:rsidRPr="008A37B8">
              <w:t>0.5%</w:t>
            </w:r>
          </w:p>
        </w:tc>
      </w:tr>
      <w:tr w:rsidR="008A37B8" w14:paraId="63E47013"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53C5AD45" w14:textId="77777777" w:rsidR="008A37B8" w:rsidRPr="00E6165D" w:rsidRDefault="008A37B8" w:rsidP="008A37B8">
            <w:pPr>
              <w:pStyle w:val="TableBodyText"/>
            </w:pPr>
          </w:p>
        </w:tc>
        <w:tc>
          <w:tcPr>
            <w:tcW w:w="1943" w:type="pct"/>
          </w:tcPr>
          <w:p w14:paraId="61950D5A" w14:textId="77777777" w:rsidR="008A37B8" w:rsidRPr="008A37B8" w:rsidRDefault="008A37B8" w:rsidP="008A37B8">
            <w:pPr>
              <w:pStyle w:val="TableBodyText"/>
            </w:pPr>
            <w:r w:rsidRPr="00E6165D">
              <w:t>Applicants per vacancy (no.)</w:t>
            </w:r>
          </w:p>
        </w:tc>
        <w:tc>
          <w:tcPr>
            <w:tcW w:w="752" w:type="pct"/>
          </w:tcPr>
          <w:p w14:paraId="2E2E1501" w14:textId="77777777" w:rsidR="008A37B8" w:rsidRPr="008A37B8" w:rsidRDefault="008A37B8" w:rsidP="008A37B8">
            <w:pPr>
              <w:pStyle w:val="TableBodyTextright"/>
            </w:pPr>
            <w:r w:rsidRPr="00E6165D">
              <w:t>15.2</w:t>
            </w:r>
          </w:p>
        </w:tc>
        <w:tc>
          <w:tcPr>
            <w:tcW w:w="752" w:type="pct"/>
          </w:tcPr>
          <w:p w14:paraId="38E8A300" w14:textId="24A9DB0B" w:rsidR="008A37B8" w:rsidRPr="008A37B8" w:rsidRDefault="008A37B8" w:rsidP="008A37B8">
            <w:pPr>
              <w:pStyle w:val="TableBodyTextright"/>
            </w:pPr>
            <w:r w:rsidRPr="00852F81">
              <w:t>▼</w:t>
            </w:r>
            <w:r w:rsidRPr="008A37B8">
              <w:t>0.3</w:t>
            </w:r>
          </w:p>
        </w:tc>
        <w:tc>
          <w:tcPr>
            <w:tcW w:w="752" w:type="pct"/>
          </w:tcPr>
          <w:p w14:paraId="4FC21675" w14:textId="760CBF08" w:rsidR="008A37B8" w:rsidRPr="008A37B8" w:rsidRDefault="008A37B8" w:rsidP="008A37B8">
            <w:pPr>
              <w:pStyle w:val="TableBodyTextright"/>
            </w:pPr>
            <w:r w:rsidRPr="00852F81">
              <w:t>▼</w:t>
            </w:r>
            <w:r w:rsidRPr="008A37B8">
              <w:t>2.3</w:t>
            </w:r>
          </w:p>
        </w:tc>
      </w:tr>
      <w:tr w:rsidR="008A37B8" w14:paraId="7CB54500" w14:textId="77777777">
        <w:tc>
          <w:tcPr>
            <w:tcW w:w="801" w:type="pct"/>
            <w:vMerge/>
            <w:shd w:val="clear" w:color="auto" w:fill="FFFFFF" w:themeFill="background1"/>
          </w:tcPr>
          <w:p w14:paraId="4DAC867B" w14:textId="77777777" w:rsidR="008A37B8" w:rsidRPr="00E6165D" w:rsidRDefault="008A37B8" w:rsidP="008A37B8">
            <w:pPr>
              <w:pStyle w:val="TableBodyText"/>
            </w:pPr>
          </w:p>
        </w:tc>
        <w:tc>
          <w:tcPr>
            <w:tcW w:w="1943" w:type="pct"/>
          </w:tcPr>
          <w:p w14:paraId="6EB00701" w14:textId="77777777" w:rsidR="008A37B8" w:rsidRPr="008A37B8" w:rsidRDefault="008A37B8" w:rsidP="008A37B8">
            <w:pPr>
              <w:pStyle w:val="TableBodyText"/>
            </w:pPr>
            <w:r w:rsidRPr="00E6165D">
              <w:t>Qualified applicants per vacancy (no.)</w:t>
            </w:r>
          </w:p>
        </w:tc>
        <w:tc>
          <w:tcPr>
            <w:tcW w:w="752" w:type="pct"/>
          </w:tcPr>
          <w:p w14:paraId="7209A7E6" w14:textId="77777777" w:rsidR="008A37B8" w:rsidRPr="008A37B8" w:rsidRDefault="008A37B8" w:rsidP="008A37B8">
            <w:pPr>
              <w:pStyle w:val="TableBodyTextright"/>
            </w:pPr>
            <w:r w:rsidRPr="00E6165D">
              <w:t>5.2</w:t>
            </w:r>
          </w:p>
        </w:tc>
        <w:tc>
          <w:tcPr>
            <w:tcW w:w="752" w:type="pct"/>
          </w:tcPr>
          <w:p w14:paraId="777B0A2D" w14:textId="2B114910" w:rsidR="008A37B8" w:rsidRPr="008A37B8" w:rsidRDefault="008A37B8" w:rsidP="008A37B8">
            <w:pPr>
              <w:pStyle w:val="TableBodyTextright"/>
            </w:pPr>
            <w:r w:rsidRPr="00852F81">
              <w:t>▼</w:t>
            </w:r>
            <w:r w:rsidRPr="008A37B8">
              <w:t>0.</w:t>
            </w:r>
            <w:r w:rsidR="00951C8C">
              <w:t>1</w:t>
            </w:r>
          </w:p>
        </w:tc>
        <w:tc>
          <w:tcPr>
            <w:tcW w:w="752" w:type="pct"/>
          </w:tcPr>
          <w:p w14:paraId="464268A4" w14:textId="177C2F8D" w:rsidR="008A37B8" w:rsidRPr="008A37B8" w:rsidRDefault="008A37B8" w:rsidP="008A37B8">
            <w:pPr>
              <w:pStyle w:val="TableBodyTextright"/>
            </w:pPr>
            <w:r w:rsidRPr="00852F81">
              <w:t>▲</w:t>
            </w:r>
            <w:r w:rsidRPr="008A37B8">
              <w:t>0.</w:t>
            </w:r>
            <w:r w:rsidR="00951C8C">
              <w:t>8</w:t>
            </w:r>
          </w:p>
        </w:tc>
      </w:tr>
      <w:tr w:rsidR="008A37B8" w14:paraId="27A0FE90"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512500A4" w14:textId="77777777" w:rsidR="008A37B8" w:rsidRPr="00E6165D" w:rsidRDefault="008A37B8" w:rsidP="008A37B8">
            <w:pPr>
              <w:pStyle w:val="TableBodyText"/>
            </w:pPr>
          </w:p>
        </w:tc>
        <w:tc>
          <w:tcPr>
            <w:tcW w:w="1943" w:type="pct"/>
            <w:tcBorders>
              <w:bottom w:val="single" w:sz="4" w:space="0" w:color="D9D9D9" w:themeColor="background1" w:themeShade="D9"/>
            </w:tcBorders>
          </w:tcPr>
          <w:p w14:paraId="1396864C" w14:textId="77777777" w:rsidR="008A37B8" w:rsidRPr="008A37B8" w:rsidRDefault="008A37B8" w:rsidP="008A37B8">
            <w:pPr>
              <w:pStyle w:val="TableBodyText"/>
            </w:pPr>
            <w:r w:rsidRPr="00E6165D">
              <w:t>Suitable applicants per vacancy (no.)</w:t>
            </w:r>
          </w:p>
        </w:tc>
        <w:tc>
          <w:tcPr>
            <w:tcW w:w="752" w:type="pct"/>
            <w:tcBorders>
              <w:bottom w:val="single" w:sz="4" w:space="0" w:color="D9D9D9" w:themeColor="background1" w:themeShade="D9"/>
            </w:tcBorders>
          </w:tcPr>
          <w:p w14:paraId="10AAC89C" w14:textId="77777777" w:rsidR="008A37B8" w:rsidRPr="008A37B8" w:rsidRDefault="008A37B8" w:rsidP="008A37B8">
            <w:pPr>
              <w:pStyle w:val="TableBodyTextright"/>
            </w:pPr>
            <w:r w:rsidRPr="00E6165D">
              <w:t>2.8</w:t>
            </w:r>
          </w:p>
        </w:tc>
        <w:tc>
          <w:tcPr>
            <w:tcW w:w="752" w:type="pct"/>
            <w:tcBorders>
              <w:bottom w:val="single" w:sz="4" w:space="0" w:color="D9D9D9" w:themeColor="background1" w:themeShade="D9"/>
            </w:tcBorders>
          </w:tcPr>
          <w:p w14:paraId="02DEC897" w14:textId="100410B7" w:rsidR="008A37B8" w:rsidRPr="008A37B8" w:rsidRDefault="008A37B8" w:rsidP="008A37B8">
            <w:pPr>
              <w:pStyle w:val="TableBodyTextright"/>
            </w:pPr>
            <w:r w:rsidRPr="00852F81">
              <w:t>▲</w:t>
            </w:r>
            <w:r w:rsidRPr="008A37B8">
              <w:t>0.1</w:t>
            </w:r>
          </w:p>
        </w:tc>
        <w:tc>
          <w:tcPr>
            <w:tcW w:w="752" w:type="pct"/>
            <w:tcBorders>
              <w:bottom w:val="single" w:sz="4" w:space="0" w:color="D9D9D9" w:themeColor="background1" w:themeShade="D9"/>
            </w:tcBorders>
          </w:tcPr>
          <w:p w14:paraId="37C1FA02" w14:textId="49442314" w:rsidR="008A37B8" w:rsidRPr="008A37B8" w:rsidRDefault="008A37B8" w:rsidP="008A37B8">
            <w:pPr>
              <w:pStyle w:val="TableBodyTextright"/>
            </w:pPr>
            <w:r w:rsidRPr="00852F81">
              <w:t>▲</w:t>
            </w:r>
            <w:r w:rsidRPr="008A37B8">
              <w:t>0.</w:t>
            </w:r>
            <w:r w:rsidR="00951C8C">
              <w:t>7</w:t>
            </w:r>
          </w:p>
        </w:tc>
      </w:tr>
      <w:tr w:rsidR="008A37B8" w14:paraId="5721C991" w14:textId="77777777">
        <w:tc>
          <w:tcPr>
            <w:tcW w:w="801" w:type="pct"/>
            <w:vMerge w:val="restart"/>
            <w:tcBorders>
              <w:top w:val="single" w:sz="4" w:space="0" w:color="D9D9D9" w:themeColor="background1" w:themeShade="D9"/>
            </w:tcBorders>
            <w:shd w:val="clear" w:color="auto" w:fill="FFFFFF" w:themeFill="background1"/>
          </w:tcPr>
          <w:p w14:paraId="6652B101" w14:textId="77777777" w:rsidR="008A37B8" w:rsidRPr="008A37B8" w:rsidRDefault="008A37B8" w:rsidP="008A37B8">
            <w:pPr>
              <w:pStyle w:val="TableBodyText"/>
            </w:pPr>
            <w:r w:rsidRPr="00E6165D">
              <w:t>Skill level 4</w:t>
            </w:r>
          </w:p>
          <w:p w14:paraId="0D5D5346" w14:textId="77777777" w:rsidR="008A37B8" w:rsidRPr="00E6165D" w:rsidRDefault="008A37B8" w:rsidP="008A37B8">
            <w:pPr>
              <w:pStyle w:val="TableBodyText"/>
            </w:pPr>
          </w:p>
        </w:tc>
        <w:tc>
          <w:tcPr>
            <w:tcW w:w="1943" w:type="pct"/>
            <w:tcBorders>
              <w:top w:val="single" w:sz="4" w:space="0" w:color="D9D9D9" w:themeColor="background1" w:themeShade="D9"/>
            </w:tcBorders>
          </w:tcPr>
          <w:p w14:paraId="50506B16" w14:textId="77777777" w:rsidR="008A37B8" w:rsidRPr="008A37B8" w:rsidRDefault="008A37B8" w:rsidP="008A37B8">
            <w:pPr>
              <w:pStyle w:val="TableBodyText"/>
            </w:pPr>
            <w:r w:rsidRPr="00E6165D">
              <w:t>Vacancy fill rate (%)</w:t>
            </w:r>
          </w:p>
        </w:tc>
        <w:tc>
          <w:tcPr>
            <w:tcW w:w="752" w:type="pct"/>
            <w:tcBorders>
              <w:top w:val="single" w:sz="4" w:space="0" w:color="D9D9D9" w:themeColor="background1" w:themeShade="D9"/>
            </w:tcBorders>
          </w:tcPr>
          <w:p w14:paraId="38290FD9" w14:textId="77777777" w:rsidR="008A37B8" w:rsidRPr="008A37B8" w:rsidRDefault="008A37B8" w:rsidP="008A37B8">
            <w:pPr>
              <w:pStyle w:val="TableBodyTextright"/>
            </w:pPr>
            <w:r w:rsidRPr="00E6165D">
              <w:t>72.8%</w:t>
            </w:r>
          </w:p>
        </w:tc>
        <w:tc>
          <w:tcPr>
            <w:tcW w:w="752" w:type="pct"/>
            <w:tcBorders>
              <w:top w:val="single" w:sz="4" w:space="0" w:color="D9D9D9" w:themeColor="background1" w:themeShade="D9"/>
            </w:tcBorders>
          </w:tcPr>
          <w:p w14:paraId="1A51BE0B" w14:textId="77777777" w:rsidR="008A37B8" w:rsidRPr="008A37B8" w:rsidRDefault="008A37B8" w:rsidP="008A37B8">
            <w:pPr>
              <w:pStyle w:val="TableBodyTextright"/>
            </w:pPr>
            <w:r w:rsidRPr="00852F81">
              <w:t>▲</w:t>
            </w:r>
            <w:r w:rsidRPr="008A37B8">
              <w:t>0.7%</w:t>
            </w:r>
          </w:p>
        </w:tc>
        <w:tc>
          <w:tcPr>
            <w:tcW w:w="752" w:type="pct"/>
            <w:tcBorders>
              <w:top w:val="single" w:sz="4" w:space="0" w:color="D9D9D9" w:themeColor="background1" w:themeShade="D9"/>
            </w:tcBorders>
          </w:tcPr>
          <w:p w14:paraId="4CF4670A" w14:textId="77777777" w:rsidR="008A37B8" w:rsidRPr="008A37B8" w:rsidRDefault="008A37B8" w:rsidP="008A37B8">
            <w:pPr>
              <w:pStyle w:val="TableBodyTextright"/>
            </w:pPr>
            <w:r w:rsidRPr="00852F81">
              <w:t>▲</w:t>
            </w:r>
            <w:r w:rsidRPr="008A37B8">
              <w:t>0.3%</w:t>
            </w:r>
          </w:p>
        </w:tc>
      </w:tr>
      <w:tr w:rsidR="008A37B8" w14:paraId="4E219291"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463E9ED6" w14:textId="77777777" w:rsidR="008A37B8" w:rsidRPr="00E6165D" w:rsidRDefault="008A37B8" w:rsidP="008A37B8">
            <w:pPr>
              <w:pStyle w:val="TableBodyText"/>
            </w:pPr>
          </w:p>
        </w:tc>
        <w:tc>
          <w:tcPr>
            <w:tcW w:w="1943" w:type="pct"/>
          </w:tcPr>
          <w:p w14:paraId="6B604571" w14:textId="77777777" w:rsidR="008A37B8" w:rsidRPr="008A37B8" w:rsidRDefault="008A37B8" w:rsidP="008A37B8">
            <w:pPr>
              <w:pStyle w:val="TableBodyText"/>
            </w:pPr>
            <w:r w:rsidRPr="00E6165D">
              <w:t>Applicants per vacancy (no.)</w:t>
            </w:r>
          </w:p>
        </w:tc>
        <w:tc>
          <w:tcPr>
            <w:tcW w:w="752" w:type="pct"/>
          </w:tcPr>
          <w:p w14:paraId="6754E7C0" w14:textId="77777777" w:rsidR="008A37B8" w:rsidRPr="008A37B8" w:rsidRDefault="008A37B8" w:rsidP="008A37B8">
            <w:pPr>
              <w:pStyle w:val="TableBodyTextright"/>
            </w:pPr>
            <w:r w:rsidRPr="00E6165D">
              <w:t>24.4</w:t>
            </w:r>
          </w:p>
        </w:tc>
        <w:tc>
          <w:tcPr>
            <w:tcW w:w="752" w:type="pct"/>
          </w:tcPr>
          <w:p w14:paraId="3F4B9993" w14:textId="77777777" w:rsidR="008A37B8" w:rsidRPr="008A37B8" w:rsidRDefault="008A37B8" w:rsidP="008A37B8">
            <w:pPr>
              <w:pStyle w:val="TableBodyTextright"/>
            </w:pPr>
            <w:r w:rsidRPr="00852F81">
              <w:t>▼</w:t>
            </w:r>
            <w:r w:rsidRPr="008A37B8">
              <w:t>1.8</w:t>
            </w:r>
          </w:p>
        </w:tc>
        <w:tc>
          <w:tcPr>
            <w:tcW w:w="752" w:type="pct"/>
          </w:tcPr>
          <w:p w14:paraId="524F7AA9" w14:textId="77777777" w:rsidR="008A37B8" w:rsidRPr="008A37B8" w:rsidRDefault="008A37B8" w:rsidP="008A37B8">
            <w:pPr>
              <w:pStyle w:val="TableBodyTextright"/>
            </w:pPr>
            <w:r w:rsidRPr="00852F81">
              <w:t>▼</w:t>
            </w:r>
            <w:r w:rsidRPr="008A37B8">
              <w:t>9.6</w:t>
            </w:r>
          </w:p>
        </w:tc>
      </w:tr>
      <w:tr w:rsidR="008A37B8" w14:paraId="7CDB2D27" w14:textId="77777777">
        <w:tc>
          <w:tcPr>
            <w:tcW w:w="801" w:type="pct"/>
            <w:vMerge/>
            <w:shd w:val="clear" w:color="auto" w:fill="FFFFFF" w:themeFill="background1"/>
          </w:tcPr>
          <w:p w14:paraId="79009119" w14:textId="77777777" w:rsidR="008A37B8" w:rsidRPr="00E6165D" w:rsidRDefault="008A37B8" w:rsidP="008A37B8">
            <w:pPr>
              <w:pStyle w:val="TableBodyText"/>
            </w:pPr>
          </w:p>
        </w:tc>
        <w:tc>
          <w:tcPr>
            <w:tcW w:w="1943" w:type="pct"/>
          </w:tcPr>
          <w:p w14:paraId="25CB76C7" w14:textId="77777777" w:rsidR="008A37B8" w:rsidRPr="008A37B8" w:rsidRDefault="008A37B8" w:rsidP="008A37B8">
            <w:pPr>
              <w:pStyle w:val="TableBodyText"/>
            </w:pPr>
            <w:r w:rsidRPr="00E6165D">
              <w:t>Qualified applicants per vacancy (no.)</w:t>
            </w:r>
          </w:p>
        </w:tc>
        <w:tc>
          <w:tcPr>
            <w:tcW w:w="752" w:type="pct"/>
          </w:tcPr>
          <w:p w14:paraId="09986C2A" w14:textId="77777777" w:rsidR="008A37B8" w:rsidRPr="008A37B8" w:rsidRDefault="008A37B8" w:rsidP="008A37B8">
            <w:pPr>
              <w:pStyle w:val="TableBodyTextright"/>
            </w:pPr>
            <w:r w:rsidRPr="00E6165D">
              <w:t>7.7</w:t>
            </w:r>
          </w:p>
        </w:tc>
        <w:tc>
          <w:tcPr>
            <w:tcW w:w="752" w:type="pct"/>
          </w:tcPr>
          <w:p w14:paraId="377A3FC1" w14:textId="77777777" w:rsidR="008A37B8" w:rsidRPr="008A37B8" w:rsidRDefault="008A37B8" w:rsidP="008A37B8">
            <w:pPr>
              <w:pStyle w:val="TableBodyTextright"/>
            </w:pPr>
            <w:r w:rsidRPr="00852F81">
              <w:t>▲</w:t>
            </w:r>
            <w:r w:rsidRPr="008A37B8">
              <w:t>0.1</w:t>
            </w:r>
          </w:p>
        </w:tc>
        <w:tc>
          <w:tcPr>
            <w:tcW w:w="752" w:type="pct"/>
          </w:tcPr>
          <w:p w14:paraId="67ECA74D" w14:textId="41F54672" w:rsidR="008A37B8" w:rsidRPr="008A37B8" w:rsidRDefault="008A37B8" w:rsidP="008A37B8">
            <w:pPr>
              <w:pStyle w:val="TableBodyTextright"/>
            </w:pPr>
            <w:r w:rsidRPr="00852F81">
              <w:t>▼</w:t>
            </w:r>
            <w:r w:rsidRPr="008A37B8">
              <w:t>0.6</w:t>
            </w:r>
          </w:p>
        </w:tc>
      </w:tr>
      <w:tr w:rsidR="008A37B8" w14:paraId="0D11A0B0"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7F603EDB" w14:textId="77777777" w:rsidR="008A37B8" w:rsidRPr="00E6165D" w:rsidRDefault="008A37B8" w:rsidP="008A37B8">
            <w:pPr>
              <w:pStyle w:val="TableBodyText"/>
            </w:pPr>
          </w:p>
        </w:tc>
        <w:tc>
          <w:tcPr>
            <w:tcW w:w="1943" w:type="pct"/>
            <w:tcBorders>
              <w:bottom w:val="single" w:sz="4" w:space="0" w:color="D9D9D9" w:themeColor="background1" w:themeShade="D9"/>
            </w:tcBorders>
          </w:tcPr>
          <w:p w14:paraId="2A5843FB" w14:textId="77777777" w:rsidR="008A37B8" w:rsidRPr="008A37B8" w:rsidRDefault="008A37B8" w:rsidP="008A37B8">
            <w:pPr>
              <w:pStyle w:val="TableBodyText"/>
            </w:pPr>
            <w:r w:rsidRPr="00E6165D">
              <w:t>Suitable applicants per vacancy (no.)</w:t>
            </w:r>
          </w:p>
        </w:tc>
        <w:tc>
          <w:tcPr>
            <w:tcW w:w="752" w:type="pct"/>
            <w:tcBorders>
              <w:bottom w:val="single" w:sz="4" w:space="0" w:color="D9D9D9" w:themeColor="background1" w:themeShade="D9"/>
            </w:tcBorders>
          </w:tcPr>
          <w:p w14:paraId="1734C7BB" w14:textId="77777777" w:rsidR="008A37B8" w:rsidRPr="008A37B8" w:rsidRDefault="008A37B8" w:rsidP="008A37B8">
            <w:pPr>
              <w:pStyle w:val="TableBodyTextright"/>
            </w:pPr>
            <w:r w:rsidRPr="00E6165D">
              <w:t>5.5</w:t>
            </w:r>
          </w:p>
        </w:tc>
        <w:tc>
          <w:tcPr>
            <w:tcW w:w="752" w:type="pct"/>
            <w:tcBorders>
              <w:bottom w:val="single" w:sz="4" w:space="0" w:color="D9D9D9" w:themeColor="background1" w:themeShade="D9"/>
            </w:tcBorders>
          </w:tcPr>
          <w:p w14:paraId="5EDF18B7" w14:textId="77777777" w:rsidR="008A37B8" w:rsidRPr="008A37B8" w:rsidRDefault="008A37B8" w:rsidP="008A37B8">
            <w:pPr>
              <w:pStyle w:val="TableBodyTextright"/>
            </w:pPr>
            <w:r w:rsidRPr="00852F81">
              <w:t>▲</w:t>
            </w:r>
            <w:r w:rsidRPr="008A37B8">
              <w:t>0.1</w:t>
            </w:r>
          </w:p>
        </w:tc>
        <w:tc>
          <w:tcPr>
            <w:tcW w:w="752" w:type="pct"/>
            <w:tcBorders>
              <w:bottom w:val="single" w:sz="4" w:space="0" w:color="D9D9D9" w:themeColor="background1" w:themeShade="D9"/>
            </w:tcBorders>
          </w:tcPr>
          <w:p w14:paraId="2FC3FEC5" w14:textId="77777777" w:rsidR="008A37B8" w:rsidRPr="008A37B8" w:rsidRDefault="008A37B8" w:rsidP="008A37B8">
            <w:pPr>
              <w:pStyle w:val="TableBodyTextright"/>
            </w:pPr>
            <w:r w:rsidRPr="00852F81">
              <w:t>▲</w:t>
            </w:r>
            <w:r w:rsidRPr="008A37B8">
              <w:t>0.9</w:t>
            </w:r>
          </w:p>
        </w:tc>
      </w:tr>
    </w:tbl>
    <w:p w14:paraId="784E4099" w14:textId="77777777" w:rsidR="008A37B8" w:rsidRPr="00631A5B" w:rsidRDefault="008A37B8" w:rsidP="008A37B8">
      <w:pPr>
        <w:pStyle w:val="Source"/>
      </w:pPr>
      <w:r w:rsidRPr="00631A5B">
        <w:t>Source: Jobs and Skills Australia, SERA.</w:t>
      </w:r>
    </w:p>
    <w:p w14:paraId="6D11246A" w14:textId="77777777" w:rsidR="008A37B8" w:rsidRPr="00646F60" w:rsidRDefault="008A37B8" w:rsidP="008A37B8">
      <w:pPr>
        <w:pStyle w:val="Caption"/>
      </w:pPr>
    </w:p>
    <w:p w14:paraId="45AEFA02" w14:textId="77777777" w:rsidR="008A37B8" w:rsidRPr="00646F60" w:rsidRDefault="008A37B8" w:rsidP="008A37B8">
      <w:r w:rsidRPr="00646F60">
        <w:br w:type="page"/>
      </w:r>
    </w:p>
    <w:p w14:paraId="64B9F02C" w14:textId="2F45BA10" w:rsidR="008A37B8" w:rsidRPr="00646F60" w:rsidRDefault="008A37B8" w:rsidP="008A37B8">
      <w:pPr>
        <w:pStyle w:val="Heading1"/>
      </w:pPr>
      <w:bookmarkStart w:id="26" w:name="_Toc207977955"/>
      <w:bookmarkStart w:id="27" w:name="_Toc214019400"/>
      <w:bookmarkStart w:id="28" w:name="_Toc224202113"/>
      <w:r w:rsidRPr="00646F60">
        <w:t xml:space="preserve">Results by </w:t>
      </w:r>
      <w:bookmarkEnd w:id="26"/>
      <w:bookmarkEnd w:id="27"/>
      <w:bookmarkEnd w:id="28"/>
      <w:r w:rsidR="00CA1626">
        <w:t>M</w:t>
      </w:r>
      <w:r w:rsidR="00CA1626" w:rsidRPr="00646F60">
        <w:t xml:space="preserve">ajor </w:t>
      </w:r>
      <w:r w:rsidR="00CA1626">
        <w:t>G</w:t>
      </w:r>
      <w:r w:rsidR="00CA1626" w:rsidRPr="00646F60">
        <w:t>roup</w:t>
      </w:r>
    </w:p>
    <w:p w14:paraId="4C3FB2D5" w14:textId="77777777" w:rsidR="008A37B8" w:rsidRPr="00646F60" w:rsidRDefault="008A37B8" w:rsidP="008A37B8">
      <w:pPr>
        <w:pStyle w:val="Caption"/>
        <w:rPr>
          <w:rStyle w:val="Charactersuperscript"/>
        </w:rPr>
      </w:pPr>
      <w:bookmarkStart w:id="29" w:name="_Ref181719091"/>
      <w:r w:rsidRPr="00646F60">
        <w:t xml:space="preserve">Table </w:t>
      </w:r>
      <w:bookmarkEnd w:id="29"/>
      <w:r>
        <w:t>5</w:t>
      </w:r>
      <w:r w:rsidRPr="00646F60">
        <w:t>: ANZSCO major group snapshot</w:t>
      </w:r>
      <w:r w:rsidRPr="00646F60">
        <w:rPr>
          <w:rStyle w:val="Charactersuperscript"/>
        </w:rPr>
        <w:footnoteReference w:id="3"/>
      </w:r>
    </w:p>
    <w:tbl>
      <w:tblPr>
        <w:tblStyle w:val="CustomTablebasic"/>
        <w:tblW w:w="5091" w:type="pct"/>
        <w:tblLook w:val="04A0" w:firstRow="1" w:lastRow="0" w:firstColumn="1" w:lastColumn="0" w:noHBand="0" w:noVBand="1"/>
      </w:tblPr>
      <w:tblGrid>
        <w:gridCol w:w="1473"/>
        <w:gridCol w:w="3572"/>
        <w:gridCol w:w="1382"/>
        <w:gridCol w:w="1382"/>
        <w:gridCol w:w="1382"/>
      </w:tblGrid>
      <w:tr w:rsidR="008A37B8" w14:paraId="2B8AA8EA" w14:textId="77777777">
        <w:trPr>
          <w:cnfStyle w:val="100000000000" w:firstRow="1" w:lastRow="0" w:firstColumn="0" w:lastColumn="0" w:oddVBand="0" w:evenVBand="0" w:oddHBand="0" w:evenHBand="0" w:firstRowFirstColumn="0" w:firstRowLastColumn="0" w:lastRowFirstColumn="0" w:lastRowLastColumn="0"/>
        </w:trPr>
        <w:tc>
          <w:tcPr>
            <w:tcW w:w="801" w:type="pct"/>
          </w:tcPr>
          <w:p w14:paraId="42BC6FF8" w14:textId="77777777" w:rsidR="008A37B8" w:rsidRPr="008A37B8" w:rsidRDefault="008A37B8" w:rsidP="008A37B8">
            <w:pPr>
              <w:pStyle w:val="TableHeading1"/>
            </w:pPr>
            <w:r w:rsidRPr="000D5781">
              <w:t xml:space="preserve">Major group  </w:t>
            </w:r>
          </w:p>
        </w:tc>
        <w:tc>
          <w:tcPr>
            <w:tcW w:w="1943" w:type="pct"/>
          </w:tcPr>
          <w:p w14:paraId="522047B9" w14:textId="77777777" w:rsidR="008A37B8" w:rsidRPr="008A37B8" w:rsidRDefault="008A37B8" w:rsidP="008A37B8">
            <w:pPr>
              <w:pStyle w:val="TableHeading1"/>
            </w:pPr>
            <w:r w:rsidRPr="000D5781">
              <w:t xml:space="preserve"> </w:t>
            </w:r>
          </w:p>
        </w:tc>
        <w:tc>
          <w:tcPr>
            <w:tcW w:w="752" w:type="pct"/>
          </w:tcPr>
          <w:p w14:paraId="3B6C5AC0" w14:textId="77777777" w:rsidR="008A37B8" w:rsidRPr="008A37B8" w:rsidRDefault="008A37B8" w:rsidP="008A37B8">
            <w:pPr>
              <w:pStyle w:val="TableHeading1"/>
            </w:pPr>
            <w:r w:rsidRPr="000D5781">
              <w:t>December quarter 2025</w:t>
            </w:r>
          </w:p>
        </w:tc>
        <w:tc>
          <w:tcPr>
            <w:tcW w:w="752" w:type="pct"/>
          </w:tcPr>
          <w:p w14:paraId="46E249B9" w14:textId="77777777" w:rsidR="008A37B8" w:rsidRPr="008A37B8" w:rsidRDefault="008A37B8" w:rsidP="008A37B8">
            <w:pPr>
              <w:pStyle w:val="TableHeading1"/>
            </w:pPr>
            <w:r w:rsidRPr="000D5781">
              <w:t>Change over the quarter </w:t>
            </w:r>
          </w:p>
        </w:tc>
        <w:tc>
          <w:tcPr>
            <w:tcW w:w="752" w:type="pct"/>
          </w:tcPr>
          <w:p w14:paraId="72330D1B" w14:textId="77777777" w:rsidR="008A37B8" w:rsidRPr="008A37B8" w:rsidRDefault="008A37B8" w:rsidP="008A37B8">
            <w:pPr>
              <w:pStyle w:val="TableHeading1"/>
            </w:pPr>
            <w:r w:rsidRPr="000D5781">
              <w:t>Change over 12 months </w:t>
            </w:r>
          </w:p>
        </w:tc>
      </w:tr>
      <w:tr w:rsidR="008A37B8" w14:paraId="643E58AB" w14:textId="77777777">
        <w:tc>
          <w:tcPr>
            <w:tcW w:w="801" w:type="pct"/>
            <w:vMerge w:val="restart"/>
            <w:tcBorders>
              <w:bottom w:val="single" w:sz="4" w:space="0" w:color="auto"/>
            </w:tcBorders>
            <w:shd w:val="clear" w:color="auto" w:fill="FFFFFF" w:themeFill="background1"/>
          </w:tcPr>
          <w:p w14:paraId="017EE643" w14:textId="77777777" w:rsidR="008A37B8" w:rsidRPr="008A37B8" w:rsidRDefault="008A37B8" w:rsidP="008A37B8">
            <w:pPr>
              <w:pStyle w:val="TableBodyText"/>
            </w:pPr>
            <w:r w:rsidRPr="00476694">
              <w:t xml:space="preserve">Managers </w:t>
            </w:r>
          </w:p>
        </w:tc>
        <w:tc>
          <w:tcPr>
            <w:tcW w:w="1943" w:type="pct"/>
          </w:tcPr>
          <w:p w14:paraId="7C54563A" w14:textId="77777777" w:rsidR="008A37B8" w:rsidRPr="008A37B8" w:rsidRDefault="008A37B8" w:rsidP="008A37B8">
            <w:pPr>
              <w:pStyle w:val="TableBodyText"/>
            </w:pPr>
            <w:r w:rsidRPr="00476694">
              <w:t xml:space="preserve">Vacancy fill rate (%) </w:t>
            </w:r>
          </w:p>
        </w:tc>
        <w:tc>
          <w:tcPr>
            <w:tcW w:w="752" w:type="pct"/>
          </w:tcPr>
          <w:p w14:paraId="4A7CF09F" w14:textId="77777777" w:rsidR="008A37B8" w:rsidRPr="008A37B8" w:rsidRDefault="008A37B8" w:rsidP="008A37B8">
            <w:pPr>
              <w:pStyle w:val="TableBodyTextright"/>
            </w:pPr>
            <w:r w:rsidRPr="00476694">
              <w:t>78.5%</w:t>
            </w:r>
          </w:p>
        </w:tc>
        <w:tc>
          <w:tcPr>
            <w:tcW w:w="752" w:type="pct"/>
          </w:tcPr>
          <w:p w14:paraId="3627EB63" w14:textId="77777777" w:rsidR="008A37B8" w:rsidRPr="008A37B8" w:rsidRDefault="008A37B8" w:rsidP="008A37B8">
            <w:pPr>
              <w:pStyle w:val="TableBodyTextright"/>
            </w:pPr>
            <w:r>
              <w:t>▲</w:t>
            </w:r>
            <w:r w:rsidRPr="008A37B8">
              <w:t xml:space="preserve"> 0.9% pts</w:t>
            </w:r>
          </w:p>
        </w:tc>
        <w:tc>
          <w:tcPr>
            <w:tcW w:w="752" w:type="pct"/>
          </w:tcPr>
          <w:p w14:paraId="347E16D2" w14:textId="77777777" w:rsidR="008A37B8" w:rsidRPr="008A37B8" w:rsidRDefault="008A37B8" w:rsidP="008A37B8">
            <w:pPr>
              <w:pStyle w:val="TableBodyTextright"/>
            </w:pPr>
            <w:r>
              <w:t>▼</w:t>
            </w:r>
            <w:r w:rsidRPr="008A37B8">
              <w:t xml:space="preserve"> 2.5% pts</w:t>
            </w:r>
          </w:p>
        </w:tc>
      </w:tr>
      <w:tr w:rsidR="008A37B8" w14:paraId="53663D13"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auto"/>
            </w:tcBorders>
            <w:shd w:val="clear" w:color="auto" w:fill="FFFFFF" w:themeFill="background1"/>
          </w:tcPr>
          <w:p w14:paraId="46DC84EB" w14:textId="77777777" w:rsidR="008A37B8" w:rsidRPr="00476694" w:rsidRDefault="008A37B8" w:rsidP="008A37B8">
            <w:pPr>
              <w:pStyle w:val="TableBodyText"/>
            </w:pPr>
          </w:p>
        </w:tc>
        <w:tc>
          <w:tcPr>
            <w:tcW w:w="1943" w:type="pct"/>
          </w:tcPr>
          <w:p w14:paraId="14E3FB53" w14:textId="77777777" w:rsidR="008A37B8" w:rsidRPr="008A37B8" w:rsidRDefault="008A37B8" w:rsidP="008A37B8">
            <w:pPr>
              <w:pStyle w:val="TableBodyText"/>
            </w:pPr>
            <w:r w:rsidRPr="00476694">
              <w:t xml:space="preserve">Applicants per vacancy (no.) </w:t>
            </w:r>
          </w:p>
        </w:tc>
        <w:tc>
          <w:tcPr>
            <w:tcW w:w="752" w:type="pct"/>
          </w:tcPr>
          <w:p w14:paraId="092D4B5D" w14:textId="77777777" w:rsidR="008A37B8" w:rsidRPr="008A37B8" w:rsidRDefault="008A37B8" w:rsidP="008A37B8">
            <w:pPr>
              <w:pStyle w:val="TableBodyTextright"/>
            </w:pPr>
            <w:r w:rsidRPr="00476694">
              <w:t>33.4</w:t>
            </w:r>
          </w:p>
        </w:tc>
        <w:tc>
          <w:tcPr>
            <w:tcW w:w="752" w:type="pct"/>
          </w:tcPr>
          <w:p w14:paraId="29B0E8B5" w14:textId="77777777" w:rsidR="008A37B8" w:rsidRPr="008A37B8" w:rsidRDefault="008A37B8" w:rsidP="008A37B8">
            <w:pPr>
              <w:pStyle w:val="TableBodyTextright"/>
            </w:pPr>
            <w:r>
              <w:t>▼</w:t>
            </w:r>
            <w:r w:rsidRPr="008A37B8">
              <w:t xml:space="preserve"> 0.8</w:t>
            </w:r>
          </w:p>
        </w:tc>
        <w:tc>
          <w:tcPr>
            <w:tcW w:w="752" w:type="pct"/>
          </w:tcPr>
          <w:p w14:paraId="02DC2AE5" w14:textId="77777777" w:rsidR="008A37B8" w:rsidRPr="008A37B8" w:rsidRDefault="008A37B8" w:rsidP="008A37B8">
            <w:pPr>
              <w:pStyle w:val="TableBodyTextright"/>
            </w:pPr>
            <w:r>
              <w:t>▼</w:t>
            </w:r>
            <w:r w:rsidRPr="008A37B8">
              <w:t xml:space="preserve"> 5.6</w:t>
            </w:r>
          </w:p>
        </w:tc>
      </w:tr>
      <w:tr w:rsidR="008A37B8" w14:paraId="4D99D146" w14:textId="77777777">
        <w:tc>
          <w:tcPr>
            <w:tcW w:w="801" w:type="pct"/>
            <w:vMerge/>
            <w:tcBorders>
              <w:bottom w:val="single" w:sz="4" w:space="0" w:color="auto"/>
            </w:tcBorders>
            <w:shd w:val="clear" w:color="auto" w:fill="FFFFFF" w:themeFill="background1"/>
          </w:tcPr>
          <w:p w14:paraId="1441F05A" w14:textId="77777777" w:rsidR="008A37B8" w:rsidRPr="00476694" w:rsidRDefault="008A37B8" w:rsidP="008A37B8">
            <w:pPr>
              <w:pStyle w:val="TableBodyText"/>
            </w:pPr>
          </w:p>
        </w:tc>
        <w:tc>
          <w:tcPr>
            <w:tcW w:w="1943" w:type="pct"/>
          </w:tcPr>
          <w:p w14:paraId="40AE6D22" w14:textId="77777777" w:rsidR="008A37B8" w:rsidRPr="008A37B8" w:rsidRDefault="008A37B8" w:rsidP="008A37B8">
            <w:pPr>
              <w:pStyle w:val="TableBodyText"/>
            </w:pPr>
            <w:r w:rsidRPr="00476694">
              <w:t>Qualified applicants per vacancy (no.)</w:t>
            </w:r>
          </w:p>
        </w:tc>
        <w:tc>
          <w:tcPr>
            <w:tcW w:w="752" w:type="pct"/>
          </w:tcPr>
          <w:p w14:paraId="7E9D9348" w14:textId="77777777" w:rsidR="008A37B8" w:rsidRPr="008A37B8" w:rsidRDefault="008A37B8" w:rsidP="008A37B8">
            <w:pPr>
              <w:pStyle w:val="TableBodyTextright"/>
            </w:pPr>
            <w:r w:rsidRPr="00476694">
              <w:t>14.7</w:t>
            </w:r>
          </w:p>
        </w:tc>
        <w:tc>
          <w:tcPr>
            <w:tcW w:w="752" w:type="pct"/>
          </w:tcPr>
          <w:p w14:paraId="7E281A81" w14:textId="77777777" w:rsidR="008A37B8" w:rsidRPr="008A37B8" w:rsidRDefault="008A37B8" w:rsidP="008A37B8">
            <w:pPr>
              <w:pStyle w:val="TableBodyTextright"/>
            </w:pPr>
            <w:r>
              <w:t>▲</w:t>
            </w:r>
            <w:r w:rsidRPr="008A37B8">
              <w:t xml:space="preserve"> 0.9</w:t>
            </w:r>
          </w:p>
        </w:tc>
        <w:tc>
          <w:tcPr>
            <w:tcW w:w="752" w:type="pct"/>
          </w:tcPr>
          <w:p w14:paraId="638DAFB0" w14:textId="77777777" w:rsidR="008A37B8" w:rsidRPr="008A37B8" w:rsidRDefault="008A37B8" w:rsidP="008A37B8">
            <w:pPr>
              <w:pStyle w:val="TableBodyTextright"/>
            </w:pPr>
            <w:r>
              <w:t>▲</w:t>
            </w:r>
            <w:r w:rsidRPr="008A37B8">
              <w:t xml:space="preserve"> 1.7</w:t>
            </w:r>
          </w:p>
        </w:tc>
      </w:tr>
      <w:tr w:rsidR="008A37B8" w14:paraId="0679C0F3"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20FE3835" w14:textId="77777777" w:rsidR="008A37B8" w:rsidRPr="00476694" w:rsidRDefault="008A37B8" w:rsidP="008A37B8">
            <w:pPr>
              <w:pStyle w:val="TableBodyText"/>
            </w:pPr>
          </w:p>
        </w:tc>
        <w:tc>
          <w:tcPr>
            <w:tcW w:w="1943" w:type="pct"/>
            <w:tcBorders>
              <w:bottom w:val="single" w:sz="4" w:space="0" w:color="D9D9D9" w:themeColor="background1" w:themeShade="D9"/>
            </w:tcBorders>
          </w:tcPr>
          <w:p w14:paraId="53BF118F" w14:textId="77777777" w:rsidR="008A37B8" w:rsidRPr="008A37B8" w:rsidRDefault="008A37B8" w:rsidP="008A37B8">
            <w:pPr>
              <w:pStyle w:val="TableBodyText"/>
            </w:pPr>
            <w:r w:rsidRPr="00476694">
              <w:t>Suitable applicants per vacancy (no.)</w:t>
            </w:r>
          </w:p>
        </w:tc>
        <w:tc>
          <w:tcPr>
            <w:tcW w:w="752" w:type="pct"/>
            <w:tcBorders>
              <w:bottom w:val="single" w:sz="4" w:space="0" w:color="D9D9D9" w:themeColor="background1" w:themeShade="D9"/>
            </w:tcBorders>
          </w:tcPr>
          <w:p w14:paraId="64117FA7" w14:textId="77777777" w:rsidR="008A37B8" w:rsidRPr="008A37B8" w:rsidRDefault="008A37B8" w:rsidP="008A37B8">
            <w:pPr>
              <w:pStyle w:val="TableBodyTextright"/>
            </w:pPr>
            <w:r w:rsidRPr="00476694">
              <w:t>6.7</w:t>
            </w:r>
          </w:p>
        </w:tc>
        <w:tc>
          <w:tcPr>
            <w:tcW w:w="752" w:type="pct"/>
            <w:tcBorders>
              <w:bottom w:val="single" w:sz="4" w:space="0" w:color="D9D9D9" w:themeColor="background1" w:themeShade="D9"/>
            </w:tcBorders>
          </w:tcPr>
          <w:p w14:paraId="0E5B084E" w14:textId="77777777" w:rsidR="008A37B8" w:rsidRPr="008A37B8" w:rsidRDefault="008A37B8" w:rsidP="008A37B8">
            <w:pPr>
              <w:pStyle w:val="TableBodyTextright"/>
            </w:pPr>
            <w:r>
              <w:t>▲</w:t>
            </w:r>
            <w:r w:rsidRPr="008A37B8">
              <w:t xml:space="preserve"> 0.6</w:t>
            </w:r>
          </w:p>
        </w:tc>
        <w:tc>
          <w:tcPr>
            <w:tcW w:w="752" w:type="pct"/>
            <w:tcBorders>
              <w:bottom w:val="single" w:sz="4" w:space="0" w:color="D9D9D9" w:themeColor="background1" w:themeShade="D9"/>
            </w:tcBorders>
          </w:tcPr>
          <w:p w14:paraId="555A5B9F" w14:textId="77777777" w:rsidR="008A37B8" w:rsidRPr="008A37B8" w:rsidRDefault="008A37B8" w:rsidP="008A37B8">
            <w:pPr>
              <w:pStyle w:val="TableBodyTextright"/>
            </w:pPr>
            <w:r>
              <w:t>▲</w:t>
            </w:r>
            <w:r w:rsidRPr="008A37B8">
              <w:t xml:space="preserve"> 1.9</w:t>
            </w:r>
          </w:p>
        </w:tc>
      </w:tr>
      <w:tr w:rsidR="008A37B8" w14:paraId="4F66A832" w14:textId="77777777">
        <w:tc>
          <w:tcPr>
            <w:tcW w:w="801" w:type="pct"/>
            <w:vMerge w:val="restart"/>
            <w:tcBorders>
              <w:top w:val="single" w:sz="4" w:space="0" w:color="D9D9D9" w:themeColor="background1" w:themeShade="D9"/>
            </w:tcBorders>
            <w:shd w:val="clear" w:color="auto" w:fill="FFFFFF" w:themeFill="background1"/>
          </w:tcPr>
          <w:p w14:paraId="07EBEA1F" w14:textId="77777777" w:rsidR="008A37B8" w:rsidRPr="008A37B8" w:rsidRDefault="008A37B8" w:rsidP="008A37B8">
            <w:pPr>
              <w:pStyle w:val="TableBodyText"/>
            </w:pPr>
            <w:r w:rsidRPr="00476694">
              <w:t xml:space="preserve">Professionals </w:t>
            </w:r>
          </w:p>
        </w:tc>
        <w:tc>
          <w:tcPr>
            <w:tcW w:w="1943" w:type="pct"/>
            <w:tcBorders>
              <w:top w:val="single" w:sz="4" w:space="0" w:color="D9D9D9" w:themeColor="background1" w:themeShade="D9"/>
            </w:tcBorders>
          </w:tcPr>
          <w:p w14:paraId="00815173" w14:textId="77777777" w:rsidR="008A37B8" w:rsidRPr="008A37B8" w:rsidRDefault="008A37B8" w:rsidP="008A37B8">
            <w:pPr>
              <w:pStyle w:val="TableBodyText"/>
            </w:pPr>
            <w:r w:rsidRPr="00476694">
              <w:t xml:space="preserve">Vacancy fill rate (%) </w:t>
            </w:r>
          </w:p>
        </w:tc>
        <w:tc>
          <w:tcPr>
            <w:tcW w:w="752" w:type="pct"/>
            <w:tcBorders>
              <w:top w:val="single" w:sz="4" w:space="0" w:color="D9D9D9" w:themeColor="background1" w:themeShade="D9"/>
            </w:tcBorders>
          </w:tcPr>
          <w:p w14:paraId="7C1E665D" w14:textId="77777777" w:rsidR="008A37B8" w:rsidRPr="008A37B8" w:rsidRDefault="008A37B8" w:rsidP="008A37B8">
            <w:pPr>
              <w:pStyle w:val="TableBodyTextright"/>
            </w:pPr>
            <w:r w:rsidRPr="00476694">
              <w:t>71.0%</w:t>
            </w:r>
          </w:p>
        </w:tc>
        <w:tc>
          <w:tcPr>
            <w:tcW w:w="752" w:type="pct"/>
            <w:tcBorders>
              <w:top w:val="single" w:sz="4" w:space="0" w:color="D9D9D9" w:themeColor="background1" w:themeShade="D9"/>
            </w:tcBorders>
          </w:tcPr>
          <w:p w14:paraId="354A09D4" w14:textId="77777777" w:rsidR="008A37B8" w:rsidRPr="008A37B8" w:rsidRDefault="008A37B8" w:rsidP="008A37B8">
            <w:pPr>
              <w:pStyle w:val="TableBodyTextright"/>
            </w:pPr>
            <w:r>
              <w:t>▼</w:t>
            </w:r>
            <w:r w:rsidRPr="008A37B8">
              <w:t xml:space="preserve"> 0.3% pts</w:t>
            </w:r>
          </w:p>
        </w:tc>
        <w:tc>
          <w:tcPr>
            <w:tcW w:w="752" w:type="pct"/>
            <w:tcBorders>
              <w:top w:val="single" w:sz="4" w:space="0" w:color="D9D9D9" w:themeColor="background1" w:themeShade="D9"/>
            </w:tcBorders>
          </w:tcPr>
          <w:p w14:paraId="7467DBC2" w14:textId="77777777" w:rsidR="008A37B8" w:rsidRPr="008A37B8" w:rsidRDefault="008A37B8" w:rsidP="008A37B8">
            <w:pPr>
              <w:pStyle w:val="TableBodyTextright"/>
            </w:pPr>
            <w:r>
              <w:t>▲</w:t>
            </w:r>
            <w:r w:rsidRPr="008A37B8">
              <w:t xml:space="preserve"> 1.6% pts</w:t>
            </w:r>
          </w:p>
        </w:tc>
      </w:tr>
      <w:tr w:rsidR="008A37B8" w14:paraId="4ABF4F40"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304F76C8" w14:textId="77777777" w:rsidR="008A37B8" w:rsidRPr="00476694" w:rsidRDefault="008A37B8" w:rsidP="008A37B8">
            <w:pPr>
              <w:pStyle w:val="TableBodyText"/>
            </w:pPr>
          </w:p>
        </w:tc>
        <w:tc>
          <w:tcPr>
            <w:tcW w:w="1943" w:type="pct"/>
          </w:tcPr>
          <w:p w14:paraId="738CB0B8" w14:textId="77777777" w:rsidR="008A37B8" w:rsidRPr="008A37B8" w:rsidRDefault="008A37B8" w:rsidP="008A37B8">
            <w:pPr>
              <w:pStyle w:val="TableBodyText"/>
            </w:pPr>
            <w:r w:rsidRPr="00476694">
              <w:t xml:space="preserve">Applicants per vacancy (no.) </w:t>
            </w:r>
          </w:p>
        </w:tc>
        <w:tc>
          <w:tcPr>
            <w:tcW w:w="752" w:type="pct"/>
          </w:tcPr>
          <w:p w14:paraId="7764696B" w14:textId="77777777" w:rsidR="008A37B8" w:rsidRPr="008A37B8" w:rsidRDefault="008A37B8" w:rsidP="008A37B8">
            <w:pPr>
              <w:pStyle w:val="TableBodyTextright"/>
            </w:pPr>
            <w:r w:rsidRPr="00476694">
              <w:t>19.0</w:t>
            </w:r>
          </w:p>
        </w:tc>
        <w:tc>
          <w:tcPr>
            <w:tcW w:w="752" w:type="pct"/>
          </w:tcPr>
          <w:p w14:paraId="622D2155" w14:textId="77777777" w:rsidR="008A37B8" w:rsidRPr="008A37B8" w:rsidRDefault="008A37B8" w:rsidP="008A37B8">
            <w:pPr>
              <w:pStyle w:val="TableBodyTextright"/>
            </w:pPr>
            <w:r>
              <w:t>▼</w:t>
            </w:r>
            <w:r w:rsidRPr="008A37B8">
              <w:t xml:space="preserve"> 3.1</w:t>
            </w:r>
          </w:p>
        </w:tc>
        <w:tc>
          <w:tcPr>
            <w:tcW w:w="752" w:type="pct"/>
          </w:tcPr>
          <w:p w14:paraId="7864B6A2" w14:textId="77777777" w:rsidR="008A37B8" w:rsidRPr="008A37B8" w:rsidRDefault="008A37B8" w:rsidP="008A37B8">
            <w:pPr>
              <w:pStyle w:val="TableBodyTextright"/>
            </w:pPr>
            <w:r>
              <w:t>▼</w:t>
            </w:r>
            <w:r w:rsidRPr="008A37B8">
              <w:t xml:space="preserve"> 11.4</w:t>
            </w:r>
          </w:p>
        </w:tc>
      </w:tr>
      <w:tr w:rsidR="008A37B8" w14:paraId="3A4ED9AB" w14:textId="77777777">
        <w:tc>
          <w:tcPr>
            <w:tcW w:w="801" w:type="pct"/>
            <w:vMerge/>
            <w:shd w:val="clear" w:color="auto" w:fill="FFFFFF" w:themeFill="background1"/>
          </w:tcPr>
          <w:p w14:paraId="28502165" w14:textId="77777777" w:rsidR="008A37B8" w:rsidRPr="00476694" w:rsidRDefault="008A37B8" w:rsidP="008A37B8">
            <w:pPr>
              <w:pStyle w:val="TableBodyText"/>
            </w:pPr>
          </w:p>
        </w:tc>
        <w:tc>
          <w:tcPr>
            <w:tcW w:w="1943" w:type="pct"/>
          </w:tcPr>
          <w:p w14:paraId="251DDCAF" w14:textId="77777777" w:rsidR="008A37B8" w:rsidRPr="008A37B8" w:rsidRDefault="008A37B8" w:rsidP="008A37B8">
            <w:pPr>
              <w:pStyle w:val="TableBodyText"/>
            </w:pPr>
            <w:r w:rsidRPr="00476694">
              <w:t>Qualified applicants per vacancy (no.)</w:t>
            </w:r>
          </w:p>
        </w:tc>
        <w:tc>
          <w:tcPr>
            <w:tcW w:w="752" w:type="pct"/>
          </w:tcPr>
          <w:p w14:paraId="05A7F9DF" w14:textId="77777777" w:rsidR="008A37B8" w:rsidRPr="008A37B8" w:rsidRDefault="008A37B8" w:rsidP="008A37B8">
            <w:pPr>
              <w:pStyle w:val="TableBodyTextright"/>
            </w:pPr>
            <w:r w:rsidRPr="00476694">
              <w:t>9.7</w:t>
            </w:r>
          </w:p>
        </w:tc>
        <w:tc>
          <w:tcPr>
            <w:tcW w:w="752" w:type="pct"/>
          </w:tcPr>
          <w:p w14:paraId="1829A0C1" w14:textId="77777777" w:rsidR="008A37B8" w:rsidRPr="008A37B8" w:rsidRDefault="008A37B8" w:rsidP="008A37B8">
            <w:pPr>
              <w:pStyle w:val="TableBodyTextright"/>
            </w:pPr>
            <w:r>
              <w:t>▼</w:t>
            </w:r>
            <w:r w:rsidRPr="008A37B8">
              <w:t xml:space="preserve"> 0.5</w:t>
            </w:r>
          </w:p>
        </w:tc>
        <w:tc>
          <w:tcPr>
            <w:tcW w:w="752" w:type="pct"/>
          </w:tcPr>
          <w:p w14:paraId="1008BD32" w14:textId="77777777" w:rsidR="008A37B8" w:rsidRPr="008A37B8" w:rsidRDefault="008A37B8" w:rsidP="008A37B8">
            <w:pPr>
              <w:pStyle w:val="TableBodyTextright"/>
            </w:pPr>
            <w:r>
              <w:t>▼</w:t>
            </w:r>
            <w:r w:rsidRPr="008A37B8">
              <w:t xml:space="preserve"> 1.5</w:t>
            </w:r>
          </w:p>
        </w:tc>
      </w:tr>
      <w:tr w:rsidR="008A37B8" w14:paraId="7651E040"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7E0138EE" w14:textId="77777777" w:rsidR="008A37B8" w:rsidRPr="00476694" w:rsidRDefault="008A37B8" w:rsidP="008A37B8">
            <w:pPr>
              <w:pStyle w:val="TableBodyText"/>
            </w:pPr>
          </w:p>
        </w:tc>
        <w:tc>
          <w:tcPr>
            <w:tcW w:w="1943" w:type="pct"/>
            <w:tcBorders>
              <w:bottom w:val="single" w:sz="4" w:space="0" w:color="D9D9D9" w:themeColor="background1" w:themeShade="D9"/>
            </w:tcBorders>
          </w:tcPr>
          <w:p w14:paraId="0FF1EB10" w14:textId="77777777" w:rsidR="008A37B8" w:rsidRPr="008A37B8" w:rsidRDefault="008A37B8" w:rsidP="008A37B8">
            <w:pPr>
              <w:pStyle w:val="TableBodyText"/>
            </w:pPr>
            <w:r w:rsidRPr="00476694">
              <w:t>Suitable applicants per vacancy (no.)</w:t>
            </w:r>
          </w:p>
        </w:tc>
        <w:tc>
          <w:tcPr>
            <w:tcW w:w="752" w:type="pct"/>
            <w:tcBorders>
              <w:bottom w:val="single" w:sz="4" w:space="0" w:color="D9D9D9" w:themeColor="background1" w:themeShade="D9"/>
            </w:tcBorders>
          </w:tcPr>
          <w:p w14:paraId="4ED38E2B" w14:textId="77777777" w:rsidR="008A37B8" w:rsidRPr="008A37B8" w:rsidRDefault="008A37B8" w:rsidP="008A37B8">
            <w:pPr>
              <w:pStyle w:val="TableBodyTextright"/>
            </w:pPr>
            <w:r w:rsidRPr="00476694">
              <w:t>4.2</w:t>
            </w:r>
          </w:p>
        </w:tc>
        <w:tc>
          <w:tcPr>
            <w:tcW w:w="752" w:type="pct"/>
            <w:tcBorders>
              <w:bottom w:val="single" w:sz="4" w:space="0" w:color="D9D9D9" w:themeColor="background1" w:themeShade="D9"/>
            </w:tcBorders>
          </w:tcPr>
          <w:p w14:paraId="2501DACB" w14:textId="77777777" w:rsidR="008A37B8" w:rsidRPr="008A37B8" w:rsidRDefault="008A37B8" w:rsidP="008A37B8">
            <w:pPr>
              <w:pStyle w:val="TableBodyTextright"/>
            </w:pPr>
            <w:r>
              <w:t>▼</w:t>
            </w:r>
            <w:r w:rsidRPr="008A37B8">
              <w:t xml:space="preserve"> 0.1</w:t>
            </w:r>
          </w:p>
        </w:tc>
        <w:tc>
          <w:tcPr>
            <w:tcW w:w="752" w:type="pct"/>
            <w:tcBorders>
              <w:bottom w:val="single" w:sz="4" w:space="0" w:color="D9D9D9" w:themeColor="background1" w:themeShade="D9"/>
            </w:tcBorders>
          </w:tcPr>
          <w:p w14:paraId="5333690C" w14:textId="77777777" w:rsidR="008A37B8" w:rsidRPr="008A37B8" w:rsidRDefault="008A37B8" w:rsidP="008A37B8">
            <w:pPr>
              <w:pStyle w:val="TableBodyTextright"/>
            </w:pPr>
            <w:r>
              <w:t>▲</w:t>
            </w:r>
            <w:r w:rsidRPr="008A37B8">
              <w:t xml:space="preserve"> 0.7</w:t>
            </w:r>
          </w:p>
        </w:tc>
      </w:tr>
      <w:tr w:rsidR="008A37B8" w14:paraId="04D01300" w14:textId="77777777">
        <w:tc>
          <w:tcPr>
            <w:tcW w:w="801" w:type="pct"/>
            <w:vMerge w:val="restart"/>
            <w:tcBorders>
              <w:top w:val="single" w:sz="4" w:space="0" w:color="D9D9D9" w:themeColor="background1" w:themeShade="D9"/>
            </w:tcBorders>
            <w:shd w:val="clear" w:color="auto" w:fill="FFFFFF" w:themeFill="background1"/>
          </w:tcPr>
          <w:p w14:paraId="3E14F0DC" w14:textId="77777777" w:rsidR="008A37B8" w:rsidRPr="008A37B8" w:rsidRDefault="008A37B8" w:rsidP="008A37B8">
            <w:pPr>
              <w:pStyle w:val="TableBodyText"/>
            </w:pPr>
            <w:r w:rsidRPr="00476694">
              <w:t xml:space="preserve">Technicians and Trades Workers </w:t>
            </w:r>
          </w:p>
        </w:tc>
        <w:tc>
          <w:tcPr>
            <w:tcW w:w="1943" w:type="pct"/>
            <w:tcBorders>
              <w:top w:val="single" w:sz="4" w:space="0" w:color="D9D9D9" w:themeColor="background1" w:themeShade="D9"/>
            </w:tcBorders>
          </w:tcPr>
          <w:p w14:paraId="4468FA45" w14:textId="77777777" w:rsidR="008A37B8" w:rsidRPr="008A37B8" w:rsidRDefault="008A37B8" w:rsidP="008A37B8">
            <w:pPr>
              <w:pStyle w:val="TableBodyText"/>
            </w:pPr>
            <w:r w:rsidRPr="00476694">
              <w:t xml:space="preserve">Vacancy fill rate (%) </w:t>
            </w:r>
          </w:p>
        </w:tc>
        <w:tc>
          <w:tcPr>
            <w:tcW w:w="752" w:type="pct"/>
            <w:tcBorders>
              <w:top w:val="single" w:sz="4" w:space="0" w:color="D9D9D9" w:themeColor="background1" w:themeShade="D9"/>
            </w:tcBorders>
          </w:tcPr>
          <w:p w14:paraId="0A55F473" w14:textId="77777777" w:rsidR="008A37B8" w:rsidRPr="008A37B8" w:rsidRDefault="008A37B8" w:rsidP="008A37B8">
            <w:pPr>
              <w:pStyle w:val="TableBodyTextright"/>
            </w:pPr>
            <w:r w:rsidRPr="00476694">
              <w:t>55.7%</w:t>
            </w:r>
          </w:p>
        </w:tc>
        <w:tc>
          <w:tcPr>
            <w:tcW w:w="752" w:type="pct"/>
            <w:tcBorders>
              <w:top w:val="single" w:sz="4" w:space="0" w:color="D9D9D9" w:themeColor="background1" w:themeShade="D9"/>
            </w:tcBorders>
          </w:tcPr>
          <w:p w14:paraId="1E8F88EA" w14:textId="77777777" w:rsidR="008A37B8" w:rsidRPr="008A37B8" w:rsidRDefault="008A37B8" w:rsidP="008A37B8">
            <w:pPr>
              <w:pStyle w:val="TableBodyTextright"/>
            </w:pPr>
            <w:r>
              <w:t>▲</w:t>
            </w:r>
            <w:r w:rsidRPr="008A37B8">
              <w:t xml:space="preserve"> 0.3% pts</w:t>
            </w:r>
          </w:p>
        </w:tc>
        <w:tc>
          <w:tcPr>
            <w:tcW w:w="752" w:type="pct"/>
            <w:tcBorders>
              <w:top w:val="single" w:sz="4" w:space="0" w:color="D9D9D9" w:themeColor="background1" w:themeShade="D9"/>
            </w:tcBorders>
          </w:tcPr>
          <w:p w14:paraId="03844823" w14:textId="77777777" w:rsidR="008A37B8" w:rsidRPr="008A37B8" w:rsidRDefault="008A37B8" w:rsidP="008A37B8">
            <w:pPr>
              <w:pStyle w:val="TableBodyTextright"/>
            </w:pPr>
            <w:r>
              <w:t>▲</w:t>
            </w:r>
            <w:r w:rsidRPr="008A37B8">
              <w:t xml:space="preserve"> 0.1% pts</w:t>
            </w:r>
          </w:p>
        </w:tc>
      </w:tr>
      <w:tr w:rsidR="008A37B8" w14:paraId="391A5834"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3D75A7E3" w14:textId="77777777" w:rsidR="008A37B8" w:rsidRPr="00476694" w:rsidRDefault="008A37B8" w:rsidP="008A37B8">
            <w:pPr>
              <w:pStyle w:val="TableBodyText"/>
            </w:pPr>
          </w:p>
        </w:tc>
        <w:tc>
          <w:tcPr>
            <w:tcW w:w="1943" w:type="pct"/>
          </w:tcPr>
          <w:p w14:paraId="65B694D7" w14:textId="77777777" w:rsidR="008A37B8" w:rsidRPr="008A37B8" w:rsidRDefault="008A37B8" w:rsidP="008A37B8">
            <w:pPr>
              <w:pStyle w:val="TableBodyText"/>
            </w:pPr>
            <w:r w:rsidRPr="00476694">
              <w:t>Applicants per vacancy (no.)</w:t>
            </w:r>
          </w:p>
        </w:tc>
        <w:tc>
          <w:tcPr>
            <w:tcW w:w="752" w:type="pct"/>
          </w:tcPr>
          <w:p w14:paraId="2878F318" w14:textId="77777777" w:rsidR="008A37B8" w:rsidRPr="008A37B8" w:rsidRDefault="008A37B8" w:rsidP="008A37B8">
            <w:pPr>
              <w:pStyle w:val="TableBodyTextright"/>
            </w:pPr>
            <w:r w:rsidRPr="00476694">
              <w:t>20.4</w:t>
            </w:r>
          </w:p>
        </w:tc>
        <w:tc>
          <w:tcPr>
            <w:tcW w:w="752" w:type="pct"/>
          </w:tcPr>
          <w:p w14:paraId="4312A447" w14:textId="77777777" w:rsidR="008A37B8" w:rsidRPr="008A37B8" w:rsidRDefault="008A37B8" w:rsidP="008A37B8">
            <w:pPr>
              <w:pStyle w:val="TableBodyTextright"/>
            </w:pPr>
            <w:r>
              <w:t>▼</w:t>
            </w:r>
            <w:r w:rsidRPr="008A37B8">
              <w:t xml:space="preserve"> 0.6</w:t>
            </w:r>
          </w:p>
        </w:tc>
        <w:tc>
          <w:tcPr>
            <w:tcW w:w="752" w:type="pct"/>
          </w:tcPr>
          <w:p w14:paraId="3D35195A" w14:textId="77777777" w:rsidR="008A37B8" w:rsidRPr="008A37B8" w:rsidRDefault="008A37B8" w:rsidP="008A37B8">
            <w:pPr>
              <w:pStyle w:val="TableBodyTextright"/>
            </w:pPr>
            <w:r>
              <w:t>▼</w:t>
            </w:r>
            <w:r w:rsidRPr="008A37B8">
              <w:t xml:space="preserve"> 1.4</w:t>
            </w:r>
          </w:p>
        </w:tc>
      </w:tr>
      <w:tr w:rsidR="008A37B8" w14:paraId="1297048F" w14:textId="77777777">
        <w:tc>
          <w:tcPr>
            <w:tcW w:w="801" w:type="pct"/>
            <w:vMerge/>
            <w:shd w:val="clear" w:color="auto" w:fill="FFFFFF" w:themeFill="background1"/>
          </w:tcPr>
          <w:p w14:paraId="42B699CF" w14:textId="77777777" w:rsidR="008A37B8" w:rsidRPr="00476694" w:rsidRDefault="008A37B8" w:rsidP="008A37B8">
            <w:pPr>
              <w:pStyle w:val="TableBodyText"/>
            </w:pPr>
          </w:p>
        </w:tc>
        <w:tc>
          <w:tcPr>
            <w:tcW w:w="1943" w:type="pct"/>
          </w:tcPr>
          <w:p w14:paraId="723768A5" w14:textId="77777777" w:rsidR="008A37B8" w:rsidRPr="008A37B8" w:rsidRDefault="008A37B8" w:rsidP="008A37B8">
            <w:pPr>
              <w:pStyle w:val="TableBodyText"/>
            </w:pPr>
            <w:r w:rsidRPr="00476694">
              <w:t>Qualified applicants per vacancy (no.)</w:t>
            </w:r>
          </w:p>
        </w:tc>
        <w:tc>
          <w:tcPr>
            <w:tcW w:w="752" w:type="pct"/>
          </w:tcPr>
          <w:p w14:paraId="52B688F6" w14:textId="77777777" w:rsidR="008A37B8" w:rsidRPr="008A37B8" w:rsidRDefault="008A37B8" w:rsidP="008A37B8">
            <w:pPr>
              <w:pStyle w:val="TableBodyTextright"/>
            </w:pPr>
            <w:r w:rsidRPr="00476694">
              <w:t>8.0</w:t>
            </w:r>
          </w:p>
        </w:tc>
        <w:tc>
          <w:tcPr>
            <w:tcW w:w="752" w:type="pct"/>
          </w:tcPr>
          <w:p w14:paraId="3FB12B7F" w14:textId="77777777" w:rsidR="008A37B8" w:rsidRPr="008A37B8" w:rsidRDefault="008A37B8" w:rsidP="008A37B8">
            <w:pPr>
              <w:pStyle w:val="TableBodyTextright"/>
            </w:pPr>
            <w:r>
              <w:t>▲</w:t>
            </w:r>
            <w:r w:rsidRPr="008A37B8">
              <w:t xml:space="preserve"> 0.1</w:t>
            </w:r>
          </w:p>
        </w:tc>
        <w:tc>
          <w:tcPr>
            <w:tcW w:w="752" w:type="pct"/>
          </w:tcPr>
          <w:p w14:paraId="0ADE70B8" w14:textId="77777777" w:rsidR="008A37B8" w:rsidRPr="008A37B8" w:rsidRDefault="008A37B8" w:rsidP="008A37B8">
            <w:pPr>
              <w:pStyle w:val="TableBodyTextright"/>
            </w:pPr>
            <w:r>
              <w:t>▲</w:t>
            </w:r>
            <w:r w:rsidRPr="008A37B8">
              <w:t xml:space="preserve"> 1.8</w:t>
            </w:r>
          </w:p>
        </w:tc>
      </w:tr>
      <w:tr w:rsidR="008A37B8" w14:paraId="4EB73378"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4696A0E4" w14:textId="77777777" w:rsidR="008A37B8" w:rsidRPr="00476694" w:rsidRDefault="008A37B8" w:rsidP="008A37B8">
            <w:pPr>
              <w:pStyle w:val="TableBodyText"/>
            </w:pPr>
          </w:p>
        </w:tc>
        <w:tc>
          <w:tcPr>
            <w:tcW w:w="1943" w:type="pct"/>
            <w:tcBorders>
              <w:bottom w:val="single" w:sz="4" w:space="0" w:color="D9D9D9" w:themeColor="background1" w:themeShade="D9"/>
            </w:tcBorders>
          </w:tcPr>
          <w:p w14:paraId="1BA7147C" w14:textId="77777777" w:rsidR="008A37B8" w:rsidRPr="008A37B8" w:rsidRDefault="008A37B8" w:rsidP="008A37B8">
            <w:pPr>
              <w:pStyle w:val="TableBodyText"/>
            </w:pPr>
            <w:r w:rsidRPr="00476694">
              <w:t>Suitable applicants per vacancy (no.)</w:t>
            </w:r>
          </w:p>
        </w:tc>
        <w:tc>
          <w:tcPr>
            <w:tcW w:w="752" w:type="pct"/>
            <w:tcBorders>
              <w:bottom w:val="single" w:sz="4" w:space="0" w:color="D9D9D9" w:themeColor="background1" w:themeShade="D9"/>
            </w:tcBorders>
          </w:tcPr>
          <w:p w14:paraId="73C9A1B9" w14:textId="77777777" w:rsidR="008A37B8" w:rsidRPr="008A37B8" w:rsidRDefault="008A37B8" w:rsidP="008A37B8">
            <w:pPr>
              <w:pStyle w:val="TableBodyTextright"/>
            </w:pPr>
            <w:r w:rsidRPr="00476694">
              <w:t>4.3</w:t>
            </w:r>
          </w:p>
        </w:tc>
        <w:tc>
          <w:tcPr>
            <w:tcW w:w="752" w:type="pct"/>
            <w:tcBorders>
              <w:bottom w:val="single" w:sz="4" w:space="0" w:color="D9D9D9" w:themeColor="background1" w:themeShade="D9"/>
            </w:tcBorders>
          </w:tcPr>
          <w:p w14:paraId="194E3DC1" w14:textId="77777777" w:rsidR="008A37B8" w:rsidRPr="008A37B8" w:rsidRDefault="008A37B8" w:rsidP="008A37B8">
            <w:pPr>
              <w:pStyle w:val="TableBodyTextright"/>
            </w:pPr>
            <w:r>
              <w:t>▲</w:t>
            </w:r>
            <w:r w:rsidRPr="008A37B8">
              <w:t xml:space="preserve"> 0.3</w:t>
            </w:r>
          </w:p>
        </w:tc>
        <w:tc>
          <w:tcPr>
            <w:tcW w:w="752" w:type="pct"/>
            <w:tcBorders>
              <w:bottom w:val="single" w:sz="4" w:space="0" w:color="D9D9D9" w:themeColor="background1" w:themeShade="D9"/>
            </w:tcBorders>
          </w:tcPr>
          <w:p w14:paraId="69A3DF37" w14:textId="77777777" w:rsidR="008A37B8" w:rsidRPr="008A37B8" w:rsidRDefault="008A37B8" w:rsidP="008A37B8">
            <w:pPr>
              <w:pStyle w:val="TableBodyTextright"/>
            </w:pPr>
            <w:r>
              <w:t>▲</w:t>
            </w:r>
            <w:r w:rsidRPr="008A37B8">
              <w:t xml:space="preserve"> 1.9</w:t>
            </w:r>
          </w:p>
        </w:tc>
      </w:tr>
      <w:tr w:rsidR="008A37B8" w14:paraId="16443993" w14:textId="77777777">
        <w:tc>
          <w:tcPr>
            <w:tcW w:w="801" w:type="pct"/>
            <w:vMerge w:val="restart"/>
            <w:tcBorders>
              <w:top w:val="single" w:sz="4" w:space="0" w:color="D9D9D9" w:themeColor="background1" w:themeShade="D9"/>
            </w:tcBorders>
            <w:shd w:val="clear" w:color="auto" w:fill="FFFFFF" w:themeFill="background1"/>
          </w:tcPr>
          <w:p w14:paraId="653E7169" w14:textId="77777777" w:rsidR="008A37B8" w:rsidRPr="008A37B8" w:rsidRDefault="008A37B8" w:rsidP="008A37B8">
            <w:pPr>
              <w:pStyle w:val="TableBodyText"/>
            </w:pPr>
            <w:r w:rsidRPr="00476694">
              <w:t xml:space="preserve">Community and Personal Service Workers </w:t>
            </w:r>
          </w:p>
        </w:tc>
        <w:tc>
          <w:tcPr>
            <w:tcW w:w="1943" w:type="pct"/>
            <w:tcBorders>
              <w:top w:val="single" w:sz="4" w:space="0" w:color="D9D9D9" w:themeColor="background1" w:themeShade="D9"/>
            </w:tcBorders>
          </w:tcPr>
          <w:p w14:paraId="2791BBC9" w14:textId="77777777" w:rsidR="008A37B8" w:rsidRPr="008A37B8" w:rsidRDefault="008A37B8" w:rsidP="008A37B8">
            <w:pPr>
              <w:pStyle w:val="TableBodyText"/>
            </w:pPr>
            <w:r w:rsidRPr="00476694">
              <w:t xml:space="preserve">Vacancy fill rate (%) </w:t>
            </w:r>
          </w:p>
        </w:tc>
        <w:tc>
          <w:tcPr>
            <w:tcW w:w="752" w:type="pct"/>
            <w:tcBorders>
              <w:top w:val="single" w:sz="4" w:space="0" w:color="D9D9D9" w:themeColor="background1" w:themeShade="D9"/>
            </w:tcBorders>
          </w:tcPr>
          <w:p w14:paraId="1CDDE46A" w14:textId="77777777" w:rsidR="008A37B8" w:rsidRPr="008A37B8" w:rsidRDefault="008A37B8" w:rsidP="008A37B8">
            <w:pPr>
              <w:pStyle w:val="TableBodyTextright"/>
            </w:pPr>
            <w:r w:rsidRPr="00476694">
              <w:t>69.6%</w:t>
            </w:r>
          </w:p>
        </w:tc>
        <w:tc>
          <w:tcPr>
            <w:tcW w:w="752" w:type="pct"/>
            <w:tcBorders>
              <w:top w:val="single" w:sz="4" w:space="0" w:color="D9D9D9" w:themeColor="background1" w:themeShade="D9"/>
            </w:tcBorders>
          </w:tcPr>
          <w:p w14:paraId="07907A8C" w14:textId="77777777" w:rsidR="008A37B8" w:rsidRPr="008A37B8" w:rsidRDefault="008A37B8" w:rsidP="008A37B8">
            <w:pPr>
              <w:pStyle w:val="TableBodyTextright"/>
            </w:pPr>
            <w:r>
              <w:t>▲</w:t>
            </w:r>
            <w:r w:rsidRPr="008A37B8">
              <w:t xml:space="preserve"> 1.7% pts</w:t>
            </w:r>
          </w:p>
        </w:tc>
        <w:tc>
          <w:tcPr>
            <w:tcW w:w="752" w:type="pct"/>
            <w:tcBorders>
              <w:top w:val="single" w:sz="4" w:space="0" w:color="D9D9D9" w:themeColor="background1" w:themeShade="D9"/>
            </w:tcBorders>
          </w:tcPr>
          <w:p w14:paraId="4CB9FDA3" w14:textId="77777777" w:rsidR="008A37B8" w:rsidRPr="008A37B8" w:rsidRDefault="008A37B8" w:rsidP="008A37B8">
            <w:pPr>
              <w:pStyle w:val="TableBodyTextright"/>
            </w:pPr>
            <w:r>
              <w:t>▼</w:t>
            </w:r>
            <w:r w:rsidRPr="008A37B8">
              <w:t xml:space="preserve"> 1.7% pts</w:t>
            </w:r>
          </w:p>
        </w:tc>
      </w:tr>
      <w:tr w:rsidR="008A37B8" w14:paraId="5C61B6FD"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52616A55" w14:textId="77777777" w:rsidR="008A37B8" w:rsidRPr="00476694" w:rsidRDefault="008A37B8" w:rsidP="008A37B8">
            <w:pPr>
              <w:pStyle w:val="TableBodyText"/>
            </w:pPr>
          </w:p>
        </w:tc>
        <w:tc>
          <w:tcPr>
            <w:tcW w:w="1943" w:type="pct"/>
          </w:tcPr>
          <w:p w14:paraId="7E3925FA" w14:textId="77777777" w:rsidR="008A37B8" w:rsidRPr="008A37B8" w:rsidRDefault="008A37B8" w:rsidP="008A37B8">
            <w:pPr>
              <w:pStyle w:val="TableBodyText"/>
            </w:pPr>
            <w:r w:rsidRPr="00476694">
              <w:t>Applicants per vacancy (no.)</w:t>
            </w:r>
          </w:p>
        </w:tc>
        <w:tc>
          <w:tcPr>
            <w:tcW w:w="752" w:type="pct"/>
          </w:tcPr>
          <w:p w14:paraId="7172E59F" w14:textId="77777777" w:rsidR="008A37B8" w:rsidRPr="008A37B8" w:rsidRDefault="008A37B8" w:rsidP="008A37B8">
            <w:pPr>
              <w:pStyle w:val="TableBodyTextright"/>
            </w:pPr>
            <w:r w:rsidRPr="00476694">
              <w:t>14.9</w:t>
            </w:r>
          </w:p>
        </w:tc>
        <w:tc>
          <w:tcPr>
            <w:tcW w:w="752" w:type="pct"/>
          </w:tcPr>
          <w:p w14:paraId="5FE00410" w14:textId="77777777" w:rsidR="008A37B8" w:rsidRPr="008A37B8" w:rsidRDefault="008A37B8" w:rsidP="008A37B8">
            <w:pPr>
              <w:pStyle w:val="TableBodyTextright"/>
            </w:pPr>
            <w:r>
              <w:t>▼</w:t>
            </w:r>
            <w:r w:rsidRPr="008A37B8">
              <w:t xml:space="preserve"> 1.4</w:t>
            </w:r>
          </w:p>
        </w:tc>
        <w:tc>
          <w:tcPr>
            <w:tcW w:w="752" w:type="pct"/>
          </w:tcPr>
          <w:p w14:paraId="3008CB08" w14:textId="77777777" w:rsidR="008A37B8" w:rsidRPr="008A37B8" w:rsidRDefault="008A37B8" w:rsidP="008A37B8">
            <w:pPr>
              <w:pStyle w:val="TableBodyTextright"/>
            </w:pPr>
            <w:r>
              <w:t>▼</w:t>
            </w:r>
            <w:r w:rsidRPr="008A37B8">
              <w:t xml:space="preserve"> 8.0</w:t>
            </w:r>
          </w:p>
        </w:tc>
      </w:tr>
      <w:tr w:rsidR="008A37B8" w14:paraId="75F89D27" w14:textId="77777777">
        <w:tc>
          <w:tcPr>
            <w:tcW w:w="801" w:type="pct"/>
            <w:vMerge/>
            <w:shd w:val="clear" w:color="auto" w:fill="FFFFFF" w:themeFill="background1"/>
          </w:tcPr>
          <w:p w14:paraId="2BB5F3E2" w14:textId="77777777" w:rsidR="008A37B8" w:rsidRPr="00476694" w:rsidRDefault="008A37B8" w:rsidP="008A37B8">
            <w:pPr>
              <w:pStyle w:val="TableBodyText"/>
            </w:pPr>
          </w:p>
        </w:tc>
        <w:tc>
          <w:tcPr>
            <w:tcW w:w="1943" w:type="pct"/>
          </w:tcPr>
          <w:p w14:paraId="7E59F51F" w14:textId="77777777" w:rsidR="008A37B8" w:rsidRPr="008A37B8" w:rsidRDefault="008A37B8" w:rsidP="008A37B8">
            <w:pPr>
              <w:pStyle w:val="TableBodyText"/>
            </w:pPr>
            <w:r w:rsidRPr="00476694">
              <w:t>Qualified applicants per vacancy (no.)</w:t>
            </w:r>
          </w:p>
        </w:tc>
        <w:tc>
          <w:tcPr>
            <w:tcW w:w="752" w:type="pct"/>
          </w:tcPr>
          <w:p w14:paraId="5C1DA62A" w14:textId="77777777" w:rsidR="008A37B8" w:rsidRPr="008A37B8" w:rsidRDefault="008A37B8" w:rsidP="008A37B8">
            <w:pPr>
              <w:pStyle w:val="TableBodyTextright"/>
            </w:pPr>
            <w:r w:rsidRPr="00476694">
              <w:t>6.3</w:t>
            </w:r>
          </w:p>
        </w:tc>
        <w:tc>
          <w:tcPr>
            <w:tcW w:w="752" w:type="pct"/>
          </w:tcPr>
          <w:p w14:paraId="787C757E" w14:textId="77777777" w:rsidR="008A37B8" w:rsidRPr="008A37B8" w:rsidRDefault="008A37B8" w:rsidP="008A37B8">
            <w:pPr>
              <w:pStyle w:val="TableBodyTextright"/>
            </w:pPr>
            <w:r>
              <w:t>▲</w:t>
            </w:r>
            <w:r w:rsidRPr="008A37B8">
              <w:t xml:space="preserve"> 0.2</w:t>
            </w:r>
          </w:p>
        </w:tc>
        <w:tc>
          <w:tcPr>
            <w:tcW w:w="752" w:type="pct"/>
          </w:tcPr>
          <w:p w14:paraId="59B4539D" w14:textId="77777777" w:rsidR="008A37B8" w:rsidRPr="008A37B8" w:rsidRDefault="008A37B8" w:rsidP="008A37B8">
            <w:pPr>
              <w:pStyle w:val="TableBodyTextright"/>
            </w:pPr>
            <w:r>
              <w:t>▼</w:t>
            </w:r>
            <w:r w:rsidRPr="008A37B8">
              <w:t xml:space="preserve"> 0.4</w:t>
            </w:r>
          </w:p>
        </w:tc>
      </w:tr>
      <w:tr w:rsidR="008A37B8" w14:paraId="4F280798"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5DB1C951" w14:textId="77777777" w:rsidR="008A37B8" w:rsidRPr="00476694" w:rsidRDefault="008A37B8" w:rsidP="008A37B8">
            <w:pPr>
              <w:pStyle w:val="TableBodyText"/>
            </w:pPr>
          </w:p>
        </w:tc>
        <w:tc>
          <w:tcPr>
            <w:tcW w:w="1943" w:type="pct"/>
            <w:tcBorders>
              <w:bottom w:val="single" w:sz="4" w:space="0" w:color="D9D9D9" w:themeColor="background1" w:themeShade="D9"/>
            </w:tcBorders>
          </w:tcPr>
          <w:p w14:paraId="088514DA" w14:textId="77777777" w:rsidR="008A37B8" w:rsidRPr="008A37B8" w:rsidRDefault="008A37B8" w:rsidP="008A37B8">
            <w:pPr>
              <w:pStyle w:val="TableBodyText"/>
            </w:pPr>
            <w:r w:rsidRPr="00476694">
              <w:t>Suitable applicants per vacancy (no.)</w:t>
            </w:r>
          </w:p>
        </w:tc>
        <w:tc>
          <w:tcPr>
            <w:tcW w:w="752" w:type="pct"/>
            <w:tcBorders>
              <w:bottom w:val="single" w:sz="4" w:space="0" w:color="D9D9D9" w:themeColor="background1" w:themeShade="D9"/>
            </w:tcBorders>
          </w:tcPr>
          <w:p w14:paraId="747D9C4D" w14:textId="77777777" w:rsidR="008A37B8" w:rsidRPr="008A37B8" w:rsidRDefault="008A37B8" w:rsidP="008A37B8">
            <w:pPr>
              <w:pStyle w:val="TableBodyTextright"/>
            </w:pPr>
            <w:r w:rsidRPr="00476694">
              <w:t>3.4</w:t>
            </w:r>
          </w:p>
        </w:tc>
        <w:tc>
          <w:tcPr>
            <w:tcW w:w="752" w:type="pct"/>
            <w:tcBorders>
              <w:bottom w:val="single" w:sz="4" w:space="0" w:color="D9D9D9" w:themeColor="background1" w:themeShade="D9"/>
            </w:tcBorders>
          </w:tcPr>
          <w:p w14:paraId="11E21D27" w14:textId="77777777" w:rsidR="008A37B8" w:rsidRPr="008A37B8" w:rsidRDefault="008A37B8" w:rsidP="008A37B8">
            <w:pPr>
              <w:pStyle w:val="TableBodyTextright"/>
            </w:pPr>
            <w:r>
              <w:t>▲</w:t>
            </w:r>
            <w:r w:rsidRPr="008A37B8">
              <w:t xml:space="preserve"> 0.0</w:t>
            </w:r>
          </w:p>
        </w:tc>
        <w:tc>
          <w:tcPr>
            <w:tcW w:w="752" w:type="pct"/>
            <w:tcBorders>
              <w:bottom w:val="single" w:sz="4" w:space="0" w:color="D9D9D9" w:themeColor="background1" w:themeShade="D9"/>
            </w:tcBorders>
          </w:tcPr>
          <w:p w14:paraId="2A85194A" w14:textId="77777777" w:rsidR="008A37B8" w:rsidRPr="008A37B8" w:rsidRDefault="008A37B8" w:rsidP="008A37B8">
            <w:pPr>
              <w:pStyle w:val="TableBodyTextright"/>
            </w:pPr>
            <w:r>
              <w:t>▲</w:t>
            </w:r>
            <w:r w:rsidRPr="008A37B8">
              <w:t xml:space="preserve"> 0.3</w:t>
            </w:r>
          </w:p>
        </w:tc>
      </w:tr>
      <w:tr w:rsidR="008A37B8" w14:paraId="5585AB3F" w14:textId="77777777">
        <w:tc>
          <w:tcPr>
            <w:tcW w:w="801" w:type="pct"/>
            <w:vMerge w:val="restart"/>
            <w:tcBorders>
              <w:top w:val="single" w:sz="4" w:space="0" w:color="D9D9D9" w:themeColor="background1" w:themeShade="D9"/>
            </w:tcBorders>
            <w:shd w:val="clear" w:color="auto" w:fill="FFFFFF" w:themeFill="background1"/>
          </w:tcPr>
          <w:p w14:paraId="4DB838A5" w14:textId="77777777" w:rsidR="008A37B8" w:rsidRPr="008A37B8" w:rsidRDefault="008A37B8" w:rsidP="008A37B8">
            <w:pPr>
              <w:pStyle w:val="TableBodyText"/>
            </w:pPr>
            <w:r w:rsidRPr="00476694">
              <w:t xml:space="preserve">Clerical and Administrative Workers </w:t>
            </w:r>
          </w:p>
        </w:tc>
        <w:tc>
          <w:tcPr>
            <w:tcW w:w="1943" w:type="pct"/>
            <w:tcBorders>
              <w:top w:val="single" w:sz="4" w:space="0" w:color="D9D9D9" w:themeColor="background1" w:themeShade="D9"/>
            </w:tcBorders>
          </w:tcPr>
          <w:p w14:paraId="2F61F765" w14:textId="77777777" w:rsidR="008A37B8" w:rsidRPr="008A37B8" w:rsidRDefault="008A37B8" w:rsidP="008A37B8">
            <w:pPr>
              <w:pStyle w:val="TableBodyText"/>
            </w:pPr>
            <w:r w:rsidRPr="00476694">
              <w:t>Vacancy fill rate (%)</w:t>
            </w:r>
          </w:p>
        </w:tc>
        <w:tc>
          <w:tcPr>
            <w:tcW w:w="752" w:type="pct"/>
            <w:tcBorders>
              <w:top w:val="single" w:sz="4" w:space="0" w:color="D9D9D9" w:themeColor="background1" w:themeShade="D9"/>
            </w:tcBorders>
          </w:tcPr>
          <w:p w14:paraId="5C5CB548" w14:textId="77777777" w:rsidR="008A37B8" w:rsidRPr="008A37B8" w:rsidRDefault="008A37B8" w:rsidP="008A37B8">
            <w:pPr>
              <w:pStyle w:val="TableBodyTextright"/>
            </w:pPr>
            <w:r w:rsidRPr="00476694">
              <w:t>83.3%</w:t>
            </w:r>
          </w:p>
        </w:tc>
        <w:tc>
          <w:tcPr>
            <w:tcW w:w="752" w:type="pct"/>
            <w:tcBorders>
              <w:top w:val="single" w:sz="4" w:space="0" w:color="D9D9D9" w:themeColor="background1" w:themeShade="D9"/>
            </w:tcBorders>
          </w:tcPr>
          <w:p w14:paraId="6BA371F5" w14:textId="77777777" w:rsidR="008A37B8" w:rsidRPr="008A37B8" w:rsidRDefault="008A37B8" w:rsidP="008A37B8">
            <w:pPr>
              <w:pStyle w:val="TableBodyTextright"/>
            </w:pPr>
            <w:r>
              <w:t>▲</w:t>
            </w:r>
            <w:r w:rsidRPr="008A37B8">
              <w:t xml:space="preserve"> 1.3% pts</w:t>
            </w:r>
          </w:p>
        </w:tc>
        <w:tc>
          <w:tcPr>
            <w:tcW w:w="752" w:type="pct"/>
            <w:tcBorders>
              <w:top w:val="single" w:sz="4" w:space="0" w:color="D9D9D9" w:themeColor="background1" w:themeShade="D9"/>
            </w:tcBorders>
          </w:tcPr>
          <w:p w14:paraId="7857A5EF" w14:textId="77777777" w:rsidR="008A37B8" w:rsidRPr="008A37B8" w:rsidRDefault="008A37B8" w:rsidP="008A37B8">
            <w:pPr>
              <w:pStyle w:val="TableBodyTextright"/>
            </w:pPr>
            <w:r>
              <w:t>▲</w:t>
            </w:r>
            <w:r w:rsidRPr="008A37B8">
              <w:t xml:space="preserve"> 2.2% pts</w:t>
            </w:r>
          </w:p>
        </w:tc>
      </w:tr>
      <w:tr w:rsidR="008A37B8" w14:paraId="34EDBEE2"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04077F9C" w14:textId="77777777" w:rsidR="008A37B8" w:rsidRPr="00476694" w:rsidRDefault="008A37B8" w:rsidP="008A37B8">
            <w:pPr>
              <w:pStyle w:val="TableBodyText"/>
            </w:pPr>
          </w:p>
        </w:tc>
        <w:tc>
          <w:tcPr>
            <w:tcW w:w="1943" w:type="pct"/>
          </w:tcPr>
          <w:p w14:paraId="2EB7307B" w14:textId="77777777" w:rsidR="008A37B8" w:rsidRPr="008A37B8" w:rsidRDefault="008A37B8" w:rsidP="008A37B8">
            <w:pPr>
              <w:pStyle w:val="TableBodyText"/>
            </w:pPr>
            <w:r w:rsidRPr="00476694">
              <w:t>Applicants per vacancy (no.)</w:t>
            </w:r>
          </w:p>
        </w:tc>
        <w:tc>
          <w:tcPr>
            <w:tcW w:w="752" w:type="pct"/>
          </w:tcPr>
          <w:p w14:paraId="44CBA9FD" w14:textId="77777777" w:rsidR="008A37B8" w:rsidRPr="008A37B8" w:rsidRDefault="008A37B8" w:rsidP="008A37B8">
            <w:pPr>
              <w:pStyle w:val="TableBodyTextright"/>
            </w:pPr>
            <w:r w:rsidRPr="00476694">
              <w:t>36.8</w:t>
            </w:r>
          </w:p>
        </w:tc>
        <w:tc>
          <w:tcPr>
            <w:tcW w:w="752" w:type="pct"/>
          </w:tcPr>
          <w:p w14:paraId="54451771" w14:textId="77777777" w:rsidR="008A37B8" w:rsidRPr="008A37B8" w:rsidRDefault="008A37B8" w:rsidP="008A37B8">
            <w:pPr>
              <w:pStyle w:val="TableBodyTextright"/>
            </w:pPr>
            <w:r>
              <w:t>▼</w:t>
            </w:r>
            <w:r w:rsidRPr="008A37B8">
              <w:t xml:space="preserve"> 1.2</w:t>
            </w:r>
          </w:p>
        </w:tc>
        <w:tc>
          <w:tcPr>
            <w:tcW w:w="752" w:type="pct"/>
          </w:tcPr>
          <w:p w14:paraId="79A11D4B" w14:textId="77777777" w:rsidR="008A37B8" w:rsidRPr="008A37B8" w:rsidRDefault="008A37B8" w:rsidP="008A37B8">
            <w:pPr>
              <w:pStyle w:val="TableBodyTextright"/>
            </w:pPr>
            <w:r>
              <w:t>▼</w:t>
            </w:r>
            <w:r w:rsidRPr="008A37B8">
              <w:t xml:space="preserve"> 16.0</w:t>
            </w:r>
          </w:p>
        </w:tc>
      </w:tr>
      <w:tr w:rsidR="008A37B8" w14:paraId="47A48FB0" w14:textId="77777777">
        <w:tc>
          <w:tcPr>
            <w:tcW w:w="801" w:type="pct"/>
            <w:vMerge/>
            <w:shd w:val="clear" w:color="auto" w:fill="FFFFFF" w:themeFill="background1"/>
          </w:tcPr>
          <w:p w14:paraId="1FC0A8AA" w14:textId="77777777" w:rsidR="008A37B8" w:rsidRPr="00476694" w:rsidRDefault="008A37B8" w:rsidP="008A37B8">
            <w:pPr>
              <w:pStyle w:val="TableBodyText"/>
            </w:pPr>
          </w:p>
        </w:tc>
        <w:tc>
          <w:tcPr>
            <w:tcW w:w="1943" w:type="pct"/>
          </w:tcPr>
          <w:p w14:paraId="3D133CF4" w14:textId="77777777" w:rsidR="008A37B8" w:rsidRPr="008A37B8" w:rsidRDefault="008A37B8" w:rsidP="008A37B8">
            <w:pPr>
              <w:pStyle w:val="TableBodyText"/>
            </w:pPr>
            <w:r w:rsidRPr="00476694">
              <w:t>Qualified applicants per vacancy (no.)</w:t>
            </w:r>
          </w:p>
        </w:tc>
        <w:tc>
          <w:tcPr>
            <w:tcW w:w="752" w:type="pct"/>
          </w:tcPr>
          <w:p w14:paraId="26162326" w14:textId="77777777" w:rsidR="008A37B8" w:rsidRPr="008A37B8" w:rsidRDefault="008A37B8" w:rsidP="008A37B8">
            <w:pPr>
              <w:pStyle w:val="TableBodyTextright"/>
            </w:pPr>
            <w:r w:rsidRPr="00476694">
              <w:t>11.2</w:t>
            </w:r>
          </w:p>
        </w:tc>
        <w:tc>
          <w:tcPr>
            <w:tcW w:w="752" w:type="pct"/>
          </w:tcPr>
          <w:p w14:paraId="3A4F3FB9" w14:textId="77777777" w:rsidR="008A37B8" w:rsidRPr="008A37B8" w:rsidRDefault="008A37B8" w:rsidP="008A37B8">
            <w:pPr>
              <w:pStyle w:val="TableBodyTextright"/>
            </w:pPr>
            <w:r>
              <w:t>▲</w:t>
            </w:r>
            <w:r w:rsidRPr="008A37B8">
              <w:t xml:space="preserve"> 0.7</w:t>
            </w:r>
          </w:p>
        </w:tc>
        <w:tc>
          <w:tcPr>
            <w:tcW w:w="752" w:type="pct"/>
          </w:tcPr>
          <w:p w14:paraId="0D4C6AA9" w14:textId="77777777" w:rsidR="008A37B8" w:rsidRPr="008A37B8" w:rsidRDefault="008A37B8" w:rsidP="008A37B8">
            <w:pPr>
              <w:pStyle w:val="TableBodyTextright"/>
            </w:pPr>
            <w:r>
              <w:t>▲</w:t>
            </w:r>
            <w:r w:rsidRPr="008A37B8">
              <w:t xml:space="preserve"> 1.2</w:t>
            </w:r>
          </w:p>
        </w:tc>
      </w:tr>
      <w:tr w:rsidR="008A37B8" w14:paraId="6A54E414"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0F2938EB" w14:textId="77777777" w:rsidR="008A37B8" w:rsidRPr="00476694" w:rsidRDefault="008A37B8" w:rsidP="008A37B8">
            <w:pPr>
              <w:pStyle w:val="TableBodyText"/>
            </w:pPr>
          </w:p>
        </w:tc>
        <w:tc>
          <w:tcPr>
            <w:tcW w:w="1943" w:type="pct"/>
            <w:tcBorders>
              <w:bottom w:val="single" w:sz="4" w:space="0" w:color="D9D9D9" w:themeColor="background1" w:themeShade="D9"/>
            </w:tcBorders>
          </w:tcPr>
          <w:p w14:paraId="3B794B04" w14:textId="77777777" w:rsidR="008A37B8" w:rsidRPr="008A37B8" w:rsidRDefault="008A37B8" w:rsidP="008A37B8">
            <w:pPr>
              <w:pStyle w:val="TableBodyText"/>
            </w:pPr>
            <w:r w:rsidRPr="00476694">
              <w:t>Suitable applicants per vacancy (no.)</w:t>
            </w:r>
          </w:p>
        </w:tc>
        <w:tc>
          <w:tcPr>
            <w:tcW w:w="752" w:type="pct"/>
            <w:tcBorders>
              <w:bottom w:val="single" w:sz="4" w:space="0" w:color="D9D9D9" w:themeColor="background1" w:themeShade="D9"/>
            </w:tcBorders>
          </w:tcPr>
          <w:p w14:paraId="373FA269" w14:textId="77777777" w:rsidR="008A37B8" w:rsidRPr="008A37B8" w:rsidRDefault="008A37B8" w:rsidP="008A37B8">
            <w:pPr>
              <w:pStyle w:val="TableBodyTextright"/>
            </w:pPr>
            <w:r w:rsidRPr="00476694">
              <w:t>7.2</w:t>
            </w:r>
          </w:p>
        </w:tc>
        <w:tc>
          <w:tcPr>
            <w:tcW w:w="752" w:type="pct"/>
            <w:tcBorders>
              <w:bottom w:val="single" w:sz="4" w:space="0" w:color="D9D9D9" w:themeColor="background1" w:themeShade="D9"/>
            </w:tcBorders>
          </w:tcPr>
          <w:p w14:paraId="1F465456" w14:textId="77777777" w:rsidR="008A37B8" w:rsidRPr="008A37B8" w:rsidRDefault="008A37B8" w:rsidP="008A37B8">
            <w:pPr>
              <w:pStyle w:val="TableBodyTextright"/>
            </w:pPr>
            <w:r>
              <w:t>▼</w:t>
            </w:r>
            <w:r w:rsidRPr="008A37B8">
              <w:t xml:space="preserve"> 0.1</w:t>
            </w:r>
          </w:p>
        </w:tc>
        <w:tc>
          <w:tcPr>
            <w:tcW w:w="752" w:type="pct"/>
            <w:tcBorders>
              <w:bottom w:val="single" w:sz="4" w:space="0" w:color="D9D9D9" w:themeColor="background1" w:themeShade="D9"/>
            </w:tcBorders>
          </w:tcPr>
          <w:p w14:paraId="681E37F0" w14:textId="77777777" w:rsidR="008A37B8" w:rsidRPr="008A37B8" w:rsidRDefault="008A37B8" w:rsidP="008A37B8">
            <w:pPr>
              <w:pStyle w:val="TableBodyTextright"/>
            </w:pPr>
            <w:r>
              <w:t>▲</w:t>
            </w:r>
            <w:r w:rsidRPr="008A37B8">
              <w:t xml:space="preserve"> 0.2</w:t>
            </w:r>
          </w:p>
        </w:tc>
      </w:tr>
      <w:tr w:rsidR="008A37B8" w14:paraId="5C889682" w14:textId="77777777">
        <w:tc>
          <w:tcPr>
            <w:tcW w:w="801" w:type="pct"/>
            <w:vMerge w:val="restart"/>
            <w:tcBorders>
              <w:top w:val="single" w:sz="4" w:space="0" w:color="D9D9D9" w:themeColor="background1" w:themeShade="D9"/>
            </w:tcBorders>
            <w:shd w:val="clear" w:color="auto" w:fill="FFFFFF" w:themeFill="background1"/>
          </w:tcPr>
          <w:p w14:paraId="55BEB0B3" w14:textId="77777777" w:rsidR="008A37B8" w:rsidRPr="008A37B8" w:rsidRDefault="008A37B8" w:rsidP="008A37B8">
            <w:pPr>
              <w:pStyle w:val="TableBodyText"/>
            </w:pPr>
            <w:r w:rsidRPr="00476694">
              <w:t xml:space="preserve">Sales Workers </w:t>
            </w:r>
          </w:p>
        </w:tc>
        <w:tc>
          <w:tcPr>
            <w:tcW w:w="1943" w:type="pct"/>
            <w:tcBorders>
              <w:top w:val="single" w:sz="4" w:space="0" w:color="D9D9D9" w:themeColor="background1" w:themeShade="D9"/>
            </w:tcBorders>
          </w:tcPr>
          <w:p w14:paraId="0F8DB047" w14:textId="77777777" w:rsidR="008A37B8" w:rsidRPr="008A37B8" w:rsidRDefault="008A37B8" w:rsidP="008A37B8">
            <w:pPr>
              <w:pStyle w:val="TableBodyText"/>
            </w:pPr>
            <w:r w:rsidRPr="00476694">
              <w:t>Vacancy fill rate (%)</w:t>
            </w:r>
          </w:p>
        </w:tc>
        <w:tc>
          <w:tcPr>
            <w:tcW w:w="752" w:type="pct"/>
            <w:tcBorders>
              <w:top w:val="single" w:sz="4" w:space="0" w:color="D9D9D9" w:themeColor="background1" w:themeShade="D9"/>
            </w:tcBorders>
          </w:tcPr>
          <w:p w14:paraId="49B040D3" w14:textId="77777777" w:rsidR="008A37B8" w:rsidRPr="008A37B8" w:rsidRDefault="008A37B8" w:rsidP="008A37B8">
            <w:pPr>
              <w:pStyle w:val="TableBodyTextright"/>
            </w:pPr>
            <w:r w:rsidRPr="00476694">
              <w:t>73.5%</w:t>
            </w:r>
          </w:p>
        </w:tc>
        <w:tc>
          <w:tcPr>
            <w:tcW w:w="752" w:type="pct"/>
            <w:tcBorders>
              <w:top w:val="single" w:sz="4" w:space="0" w:color="D9D9D9" w:themeColor="background1" w:themeShade="D9"/>
            </w:tcBorders>
          </w:tcPr>
          <w:p w14:paraId="09B3BEDD" w14:textId="77777777" w:rsidR="008A37B8" w:rsidRPr="008A37B8" w:rsidRDefault="008A37B8" w:rsidP="008A37B8">
            <w:pPr>
              <w:pStyle w:val="TableBodyTextright"/>
            </w:pPr>
            <w:r>
              <w:t>▲</w:t>
            </w:r>
            <w:r w:rsidRPr="008A37B8">
              <w:t xml:space="preserve"> 2.8% pts</w:t>
            </w:r>
          </w:p>
        </w:tc>
        <w:tc>
          <w:tcPr>
            <w:tcW w:w="752" w:type="pct"/>
            <w:tcBorders>
              <w:top w:val="single" w:sz="4" w:space="0" w:color="D9D9D9" w:themeColor="background1" w:themeShade="D9"/>
            </w:tcBorders>
          </w:tcPr>
          <w:p w14:paraId="4FADE074" w14:textId="77777777" w:rsidR="008A37B8" w:rsidRPr="008A37B8" w:rsidRDefault="008A37B8" w:rsidP="008A37B8">
            <w:pPr>
              <w:pStyle w:val="TableBodyTextright"/>
            </w:pPr>
            <w:r>
              <w:t>▲</w:t>
            </w:r>
            <w:r w:rsidRPr="008A37B8">
              <w:t xml:space="preserve"> 3.6% pts</w:t>
            </w:r>
          </w:p>
        </w:tc>
      </w:tr>
      <w:tr w:rsidR="008A37B8" w14:paraId="2862687C"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7F02E74B" w14:textId="77777777" w:rsidR="008A37B8" w:rsidRPr="00476694" w:rsidRDefault="008A37B8" w:rsidP="008A37B8">
            <w:pPr>
              <w:pStyle w:val="TableBodyText"/>
            </w:pPr>
          </w:p>
        </w:tc>
        <w:tc>
          <w:tcPr>
            <w:tcW w:w="1943" w:type="pct"/>
          </w:tcPr>
          <w:p w14:paraId="2D7021EE" w14:textId="77777777" w:rsidR="008A37B8" w:rsidRPr="008A37B8" w:rsidRDefault="008A37B8" w:rsidP="008A37B8">
            <w:pPr>
              <w:pStyle w:val="TableBodyText"/>
            </w:pPr>
            <w:r w:rsidRPr="00476694">
              <w:t>Applicants per vacancy (no.)</w:t>
            </w:r>
          </w:p>
        </w:tc>
        <w:tc>
          <w:tcPr>
            <w:tcW w:w="752" w:type="pct"/>
          </w:tcPr>
          <w:p w14:paraId="41D280B3" w14:textId="77777777" w:rsidR="008A37B8" w:rsidRPr="008A37B8" w:rsidRDefault="008A37B8" w:rsidP="008A37B8">
            <w:pPr>
              <w:pStyle w:val="TableBodyTextright"/>
            </w:pPr>
            <w:r w:rsidRPr="00476694">
              <w:t>26.4</w:t>
            </w:r>
          </w:p>
        </w:tc>
        <w:tc>
          <w:tcPr>
            <w:tcW w:w="752" w:type="pct"/>
          </w:tcPr>
          <w:p w14:paraId="43A039AE" w14:textId="77777777" w:rsidR="008A37B8" w:rsidRPr="008A37B8" w:rsidRDefault="008A37B8" w:rsidP="008A37B8">
            <w:pPr>
              <w:pStyle w:val="TableBodyTextright"/>
            </w:pPr>
            <w:r>
              <w:t>▲</w:t>
            </w:r>
            <w:r w:rsidRPr="008A37B8">
              <w:t xml:space="preserve"> 0.2</w:t>
            </w:r>
          </w:p>
        </w:tc>
        <w:tc>
          <w:tcPr>
            <w:tcW w:w="752" w:type="pct"/>
          </w:tcPr>
          <w:p w14:paraId="74D19C34" w14:textId="77777777" w:rsidR="008A37B8" w:rsidRPr="008A37B8" w:rsidRDefault="008A37B8" w:rsidP="008A37B8">
            <w:pPr>
              <w:pStyle w:val="TableBodyTextright"/>
            </w:pPr>
            <w:r>
              <w:t>▼</w:t>
            </w:r>
            <w:r w:rsidRPr="008A37B8">
              <w:t xml:space="preserve"> 2.3</w:t>
            </w:r>
          </w:p>
        </w:tc>
      </w:tr>
      <w:tr w:rsidR="008A37B8" w14:paraId="5CDDCB78" w14:textId="77777777">
        <w:tc>
          <w:tcPr>
            <w:tcW w:w="801" w:type="pct"/>
            <w:vMerge/>
            <w:shd w:val="clear" w:color="auto" w:fill="FFFFFF" w:themeFill="background1"/>
          </w:tcPr>
          <w:p w14:paraId="624F1E9B" w14:textId="77777777" w:rsidR="008A37B8" w:rsidRPr="00476694" w:rsidRDefault="008A37B8" w:rsidP="008A37B8">
            <w:pPr>
              <w:pStyle w:val="TableBodyText"/>
            </w:pPr>
          </w:p>
        </w:tc>
        <w:tc>
          <w:tcPr>
            <w:tcW w:w="1943" w:type="pct"/>
          </w:tcPr>
          <w:p w14:paraId="10561E0B" w14:textId="77777777" w:rsidR="008A37B8" w:rsidRPr="008A37B8" w:rsidRDefault="008A37B8" w:rsidP="008A37B8">
            <w:pPr>
              <w:pStyle w:val="TableBodyText"/>
            </w:pPr>
            <w:r w:rsidRPr="00476694">
              <w:t>Qualified applicants per vacancy (no.)</w:t>
            </w:r>
          </w:p>
        </w:tc>
        <w:tc>
          <w:tcPr>
            <w:tcW w:w="752" w:type="pct"/>
          </w:tcPr>
          <w:p w14:paraId="52CB3787" w14:textId="77777777" w:rsidR="008A37B8" w:rsidRPr="008A37B8" w:rsidRDefault="008A37B8" w:rsidP="008A37B8">
            <w:pPr>
              <w:pStyle w:val="TableBodyTextright"/>
            </w:pPr>
            <w:r w:rsidRPr="00476694">
              <w:t>6.1</w:t>
            </w:r>
          </w:p>
        </w:tc>
        <w:tc>
          <w:tcPr>
            <w:tcW w:w="752" w:type="pct"/>
          </w:tcPr>
          <w:p w14:paraId="591E2456" w14:textId="77777777" w:rsidR="008A37B8" w:rsidRPr="008A37B8" w:rsidRDefault="008A37B8" w:rsidP="008A37B8">
            <w:pPr>
              <w:pStyle w:val="TableBodyTextright"/>
            </w:pPr>
            <w:r>
              <w:t>▼</w:t>
            </w:r>
            <w:r w:rsidRPr="008A37B8">
              <w:t xml:space="preserve"> 0.1</w:t>
            </w:r>
          </w:p>
        </w:tc>
        <w:tc>
          <w:tcPr>
            <w:tcW w:w="752" w:type="pct"/>
          </w:tcPr>
          <w:p w14:paraId="7464DF77" w14:textId="77777777" w:rsidR="008A37B8" w:rsidRPr="008A37B8" w:rsidRDefault="008A37B8" w:rsidP="008A37B8">
            <w:pPr>
              <w:pStyle w:val="TableBodyTextright"/>
            </w:pPr>
            <w:r>
              <w:t>▼</w:t>
            </w:r>
            <w:r w:rsidRPr="008A37B8">
              <w:t xml:space="preserve"> 0.4</w:t>
            </w:r>
          </w:p>
        </w:tc>
      </w:tr>
      <w:tr w:rsidR="008A37B8" w14:paraId="46C90641"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43D3A285" w14:textId="77777777" w:rsidR="008A37B8" w:rsidRPr="00476694" w:rsidRDefault="008A37B8" w:rsidP="008A37B8">
            <w:pPr>
              <w:pStyle w:val="TableBodyText"/>
            </w:pPr>
          </w:p>
        </w:tc>
        <w:tc>
          <w:tcPr>
            <w:tcW w:w="1943" w:type="pct"/>
            <w:tcBorders>
              <w:bottom w:val="single" w:sz="4" w:space="0" w:color="D9D9D9" w:themeColor="background1" w:themeShade="D9"/>
            </w:tcBorders>
          </w:tcPr>
          <w:p w14:paraId="290E9FAF" w14:textId="77777777" w:rsidR="008A37B8" w:rsidRPr="008A37B8" w:rsidRDefault="008A37B8" w:rsidP="008A37B8">
            <w:pPr>
              <w:pStyle w:val="TableBodyText"/>
            </w:pPr>
            <w:r w:rsidRPr="00476694">
              <w:t>Suitable applicants per vacancy (no.)</w:t>
            </w:r>
          </w:p>
        </w:tc>
        <w:tc>
          <w:tcPr>
            <w:tcW w:w="752" w:type="pct"/>
            <w:tcBorders>
              <w:bottom w:val="single" w:sz="4" w:space="0" w:color="D9D9D9" w:themeColor="background1" w:themeShade="D9"/>
            </w:tcBorders>
          </w:tcPr>
          <w:p w14:paraId="3110CE79" w14:textId="77777777" w:rsidR="008A37B8" w:rsidRPr="008A37B8" w:rsidRDefault="008A37B8" w:rsidP="008A37B8">
            <w:pPr>
              <w:pStyle w:val="TableBodyTextright"/>
            </w:pPr>
            <w:r w:rsidRPr="00476694">
              <w:t>3.9</w:t>
            </w:r>
          </w:p>
        </w:tc>
        <w:tc>
          <w:tcPr>
            <w:tcW w:w="752" w:type="pct"/>
            <w:tcBorders>
              <w:bottom w:val="single" w:sz="4" w:space="0" w:color="D9D9D9" w:themeColor="background1" w:themeShade="D9"/>
            </w:tcBorders>
          </w:tcPr>
          <w:p w14:paraId="6CCDBFE3" w14:textId="77777777" w:rsidR="008A37B8" w:rsidRPr="008A37B8" w:rsidRDefault="008A37B8" w:rsidP="008A37B8">
            <w:pPr>
              <w:pStyle w:val="TableBodyTextright"/>
            </w:pPr>
            <w:r>
              <w:t>▼</w:t>
            </w:r>
            <w:r w:rsidRPr="008A37B8">
              <w:t xml:space="preserve"> 0.3</w:t>
            </w:r>
          </w:p>
        </w:tc>
        <w:tc>
          <w:tcPr>
            <w:tcW w:w="752" w:type="pct"/>
            <w:tcBorders>
              <w:bottom w:val="single" w:sz="4" w:space="0" w:color="D9D9D9" w:themeColor="background1" w:themeShade="D9"/>
            </w:tcBorders>
          </w:tcPr>
          <w:p w14:paraId="2C474FB1" w14:textId="77777777" w:rsidR="008A37B8" w:rsidRPr="008A37B8" w:rsidRDefault="008A37B8" w:rsidP="008A37B8">
            <w:pPr>
              <w:pStyle w:val="TableBodyTextright"/>
            </w:pPr>
            <w:r>
              <w:t>▼</w:t>
            </w:r>
            <w:r w:rsidRPr="008A37B8">
              <w:t xml:space="preserve"> 0.2</w:t>
            </w:r>
          </w:p>
        </w:tc>
      </w:tr>
      <w:tr w:rsidR="008A37B8" w14:paraId="64C60C31" w14:textId="77777777">
        <w:tc>
          <w:tcPr>
            <w:tcW w:w="801" w:type="pct"/>
            <w:vMerge w:val="restart"/>
            <w:tcBorders>
              <w:top w:val="single" w:sz="4" w:space="0" w:color="D9D9D9" w:themeColor="background1" w:themeShade="D9"/>
            </w:tcBorders>
            <w:shd w:val="clear" w:color="auto" w:fill="FFFFFF" w:themeFill="background1"/>
          </w:tcPr>
          <w:p w14:paraId="2901B3FF" w14:textId="77777777" w:rsidR="008A37B8" w:rsidRPr="008A37B8" w:rsidRDefault="008A37B8" w:rsidP="008A37B8">
            <w:pPr>
              <w:pStyle w:val="TableBodyText"/>
            </w:pPr>
            <w:r w:rsidRPr="00476694">
              <w:t xml:space="preserve">Machinery Operators and Drivers </w:t>
            </w:r>
          </w:p>
        </w:tc>
        <w:tc>
          <w:tcPr>
            <w:tcW w:w="1943" w:type="pct"/>
            <w:tcBorders>
              <w:top w:val="single" w:sz="4" w:space="0" w:color="D9D9D9" w:themeColor="background1" w:themeShade="D9"/>
            </w:tcBorders>
          </w:tcPr>
          <w:p w14:paraId="416302F2" w14:textId="77777777" w:rsidR="008A37B8" w:rsidRPr="008A37B8" w:rsidRDefault="008A37B8" w:rsidP="008A37B8">
            <w:pPr>
              <w:pStyle w:val="TableBodyText"/>
            </w:pPr>
            <w:r w:rsidRPr="00476694">
              <w:t>Vacancy fill rate (%)</w:t>
            </w:r>
          </w:p>
        </w:tc>
        <w:tc>
          <w:tcPr>
            <w:tcW w:w="752" w:type="pct"/>
            <w:tcBorders>
              <w:top w:val="single" w:sz="4" w:space="0" w:color="D9D9D9" w:themeColor="background1" w:themeShade="D9"/>
            </w:tcBorders>
          </w:tcPr>
          <w:p w14:paraId="0E74D86E" w14:textId="77777777" w:rsidR="008A37B8" w:rsidRPr="008A37B8" w:rsidRDefault="008A37B8" w:rsidP="008A37B8">
            <w:pPr>
              <w:pStyle w:val="TableBodyTextright"/>
            </w:pPr>
            <w:r w:rsidRPr="00476694">
              <w:t>65.1%</w:t>
            </w:r>
          </w:p>
        </w:tc>
        <w:tc>
          <w:tcPr>
            <w:tcW w:w="752" w:type="pct"/>
            <w:tcBorders>
              <w:top w:val="single" w:sz="4" w:space="0" w:color="D9D9D9" w:themeColor="background1" w:themeShade="D9"/>
            </w:tcBorders>
          </w:tcPr>
          <w:p w14:paraId="339FB79F" w14:textId="77777777" w:rsidR="008A37B8" w:rsidRPr="008A37B8" w:rsidRDefault="008A37B8" w:rsidP="008A37B8">
            <w:pPr>
              <w:pStyle w:val="TableBodyTextright"/>
            </w:pPr>
            <w:r>
              <w:t>▼</w:t>
            </w:r>
            <w:r w:rsidRPr="008A37B8">
              <w:t xml:space="preserve"> 1.5% pts</w:t>
            </w:r>
          </w:p>
        </w:tc>
        <w:tc>
          <w:tcPr>
            <w:tcW w:w="752" w:type="pct"/>
            <w:tcBorders>
              <w:top w:val="single" w:sz="4" w:space="0" w:color="D9D9D9" w:themeColor="background1" w:themeShade="D9"/>
            </w:tcBorders>
          </w:tcPr>
          <w:p w14:paraId="1154296E" w14:textId="77777777" w:rsidR="008A37B8" w:rsidRPr="008A37B8" w:rsidRDefault="008A37B8" w:rsidP="008A37B8">
            <w:pPr>
              <w:pStyle w:val="TableBodyTextright"/>
            </w:pPr>
            <w:r>
              <w:t>▼</w:t>
            </w:r>
            <w:r w:rsidRPr="008A37B8">
              <w:t xml:space="preserve"> 2.3% pts</w:t>
            </w:r>
          </w:p>
        </w:tc>
      </w:tr>
      <w:tr w:rsidR="008A37B8" w14:paraId="6F0B7631"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1CCEAC96" w14:textId="77777777" w:rsidR="008A37B8" w:rsidRPr="00476694" w:rsidRDefault="008A37B8" w:rsidP="008A37B8">
            <w:pPr>
              <w:pStyle w:val="TableBodyText"/>
            </w:pPr>
          </w:p>
        </w:tc>
        <w:tc>
          <w:tcPr>
            <w:tcW w:w="1943" w:type="pct"/>
          </w:tcPr>
          <w:p w14:paraId="3FBFC8D7" w14:textId="77777777" w:rsidR="008A37B8" w:rsidRPr="008A37B8" w:rsidRDefault="008A37B8" w:rsidP="008A37B8">
            <w:pPr>
              <w:pStyle w:val="TableBodyText"/>
            </w:pPr>
            <w:r w:rsidRPr="00476694">
              <w:t>Applicants per vacancy (no.)</w:t>
            </w:r>
          </w:p>
        </w:tc>
        <w:tc>
          <w:tcPr>
            <w:tcW w:w="752" w:type="pct"/>
          </w:tcPr>
          <w:p w14:paraId="3B88AB7C" w14:textId="77777777" w:rsidR="008A37B8" w:rsidRPr="008A37B8" w:rsidRDefault="008A37B8" w:rsidP="008A37B8">
            <w:pPr>
              <w:pStyle w:val="TableBodyTextright"/>
            </w:pPr>
            <w:r w:rsidRPr="00476694">
              <w:t>18.4</w:t>
            </w:r>
          </w:p>
        </w:tc>
        <w:tc>
          <w:tcPr>
            <w:tcW w:w="752" w:type="pct"/>
          </w:tcPr>
          <w:p w14:paraId="0527838D" w14:textId="77777777" w:rsidR="008A37B8" w:rsidRPr="008A37B8" w:rsidRDefault="008A37B8" w:rsidP="008A37B8">
            <w:pPr>
              <w:pStyle w:val="TableBodyTextright"/>
            </w:pPr>
            <w:r>
              <w:t>▼</w:t>
            </w:r>
            <w:r w:rsidRPr="008A37B8">
              <w:t xml:space="preserve"> 3.5</w:t>
            </w:r>
          </w:p>
        </w:tc>
        <w:tc>
          <w:tcPr>
            <w:tcW w:w="752" w:type="pct"/>
          </w:tcPr>
          <w:p w14:paraId="57EE60FC" w14:textId="77777777" w:rsidR="008A37B8" w:rsidRPr="008A37B8" w:rsidRDefault="008A37B8" w:rsidP="008A37B8">
            <w:pPr>
              <w:pStyle w:val="TableBodyTextright"/>
            </w:pPr>
            <w:r>
              <w:t>▼</w:t>
            </w:r>
            <w:r w:rsidRPr="008A37B8">
              <w:t xml:space="preserve"> 15.1</w:t>
            </w:r>
          </w:p>
        </w:tc>
      </w:tr>
      <w:tr w:rsidR="008A37B8" w14:paraId="47BB56D3" w14:textId="77777777">
        <w:tc>
          <w:tcPr>
            <w:tcW w:w="801" w:type="pct"/>
            <w:vMerge/>
            <w:shd w:val="clear" w:color="auto" w:fill="FFFFFF" w:themeFill="background1"/>
          </w:tcPr>
          <w:p w14:paraId="25C21D0E" w14:textId="77777777" w:rsidR="008A37B8" w:rsidRPr="00476694" w:rsidRDefault="008A37B8" w:rsidP="008A37B8">
            <w:pPr>
              <w:pStyle w:val="TableBodyText"/>
            </w:pPr>
          </w:p>
        </w:tc>
        <w:tc>
          <w:tcPr>
            <w:tcW w:w="1943" w:type="pct"/>
          </w:tcPr>
          <w:p w14:paraId="22E16141" w14:textId="77777777" w:rsidR="008A37B8" w:rsidRPr="008A37B8" w:rsidRDefault="008A37B8" w:rsidP="008A37B8">
            <w:pPr>
              <w:pStyle w:val="TableBodyText"/>
            </w:pPr>
            <w:r w:rsidRPr="00476694">
              <w:t>Qualified applicants per vacancy (no.)</w:t>
            </w:r>
          </w:p>
        </w:tc>
        <w:tc>
          <w:tcPr>
            <w:tcW w:w="752" w:type="pct"/>
          </w:tcPr>
          <w:p w14:paraId="3B5CB2CF" w14:textId="77777777" w:rsidR="008A37B8" w:rsidRPr="008A37B8" w:rsidRDefault="008A37B8" w:rsidP="008A37B8">
            <w:pPr>
              <w:pStyle w:val="TableBodyTextright"/>
            </w:pPr>
            <w:r w:rsidRPr="00476694">
              <w:t>7.4</w:t>
            </w:r>
          </w:p>
        </w:tc>
        <w:tc>
          <w:tcPr>
            <w:tcW w:w="752" w:type="pct"/>
          </w:tcPr>
          <w:p w14:paraId="6E4491E1" w14:textId="77777777" w:rsidR="008A37B8" w:rsidRPr="008A37B8" w:rsidRDefault="008A37B8" w:rsidP="008A37B8">
            <w:pPr>
              <w:pStyle w:val="TableBodyTextright"/>
            </w:pPr>
            <w:r>
              <w:t>▼</w:t>
            </w:r>
            <w:r w:rsidRPr="008A37B8">
              <w:t xml:space="preserve"> 1.1</w:t>
            </w:r>
          </w:p>
        </w:tc>
        <w:tc>
          <w:tcPr>
            <w:tcW w:w="752" w:type="pct"/>
          </w:tcPr>
          <w:p w14:paraId="579D470B" w14:textId="77777777" w:rsidR="008A37B8" w:rsidRPr="008A37B8" w:rsidRDefault="008A37B8" w:rsidP="008A37B8">
            <w:pPr>
              <w:pStyle w:val="TableBodyTextright"/>
            </w:pPr>
            <w:r>
              <w:t>▼</w:t>
            </w:r>
            <w:r w:rsidRPr="008A37B8">
              <w:t xml:space="preserve"> 3.9</w:t>
            </w:r>
          </w:p>
        </w:tc>
      </w:tr>
      <w:tr w:rsidR="008A37B8" w14:paraId="335DA010" w14:textId="77777777">
        <w:trPr>
          <w:cnfStyle w:val="000000010000" w:firstRow="0" w:lastRow="0" w:firstColumn="0" w:lastColumn="0" w:oddVBand="0" w:evenVBand="0" w:oddHBand="0" w:evenHBand="1" w:firstRowFirstColumn="0" w:firstRowLastColumn="0" w:lastRowFirstColumn="0" w:lastRowLastColumn="0"/>
        </w:trPr>
        <w:tc>
          <w:tcPr>
            <w:tcW w:w="801" w:type="pct"/>
            <w:vMerge/>
            <w:shd w:val="clear" w:color="auto" w:fill="FFFFFF" w:themeFill="background1"/>
          </w:tcPr>
          <w:p w14:paraId="78FEB0B8" w14:textId="77777777" w:rsidR="008A37B8" w:rsidRPr="00476694" w:rsidRDefault="008A37B8" w:rsidP="008A37B8">
            <w:pPr>
              <w:pStyle w:val="TableBodyText"/>
            </w:pPr>
          </w:p>
        </w:tc>
        <w:tc>
          <w:tcPr>
            <w:tcW w:w="1943" w:type="pct"/>
          </w:tcPr>
          <w:p w14:paraId="5DCE7B67" w14:textId="77777777" w:rsidR="008A37B8" w:rsidRPr="008A37B8" w:rsidRDefault="008A37B8" w:rsidP="008A37B8">
            <w:pPr>
              <w:pStyle w:val="TableBodyText"/>
            </w:pPr>
            <w:r w:rsidRPr="00476694">
              <w:t>Suitable applicants per vacancy (no.)</w:t>
            </w:r>
          </w:p>
        </w:tc>
        <w:tc>
          <w:tcPr>
            <w:tcW w:w="752" w:type="pct"/>
          </w:tcPr>
          <w:p w14:paraId="5561024C" w14:textId="77777777" w:rsidR="008A37B8" w:rsidRPr="008A37B8" w:rsidRDefault="008A37B8" w:rsidP="008A37B8">
            <w:pPr>
              <w:pStyle w:val="TableBodyTextright"/>
            </w:pPr>
            <w:r w:rsidRPr="00476694">
              <w:t>5.2</w:t>
            </w:r>
          </w:p>
        </w:tc>
        <w:tc>
          <w:tcPr>
            <w:tcW w:w="752" w:type="pct"/>
          </w:tcPr>
          <w:p w14:paraId="05A1FC53" w14:textId="77777777" w:rsidR="008A37B8" w:rsidRPr="008A37B8" w:rsidRDefault="008A37B8" w:rsidP="008A37B8">
            <w:pPr>
              <w:pStyle w:val="TableBodyTextright"/>
            </w:pPr>
            <w:r>
              <w:t>▲</w:t>
            </w:r>
            <w:r w:rsidRPr="008A37B8">
              <w:t xml:space="preserve"> 0.2</w:t>
            </w:r>
          </w:p>
        </w:tc>
        <w:tc>
          <w:tcPr>
            <w:tcW w:w="752" w:type="pct"/>
          </w:tcPr>
          <w:p w14:paraId="3259A00B" w14:textId="77777777" w:rsidR="008A37B8" w:rsidRPr="008A37B8" w:rsidRDefault="008A37B8" w:rsidP="008A37B8">
            <w:pPr>
              <w:pStyle w:val="TableBodyTextright"/>
            </w:pPr>
            <w:r>
              <w:t>▲</w:t>
            </w:r>
            <w:r w:rsidRPr="008A37B8">
              <w:t xml:space="preserve"> 0.9</w:t>
            </w:r>
          </w:p>
        </w:tc>
      </w:tr>
    </w:tbl>
    <w:p w14:paraId="29D24607" w14:textId="77777777" w:rsidR="008A37B8" w:rsidRPr="00646F60" w:rsidRDefault="008A37B8" w:rsidP="008A37B8">
      <w:pPr>
        <w:pStyle w:val="Source"/>
      </w:pPr>
      <w:r w:rsidRPr="00646F60">
        <w:t>Source: Jobs and Skills Australia, SERA.</w:t>
      </w:r>
    </w:p>
    <w:tbl>
      <w:tblPr>
        <w:tblStyle w:val="CustomTablebasic"/>
        <w:tblW w:w="5091" w:type="pct"/>
        <w:tblLook w:val="04A0" w:firstRow="1" w:lastRow="0" w:firstColumn="1" w:lastColumn="0" w:noHBand="0" w:noVBand="1"/>
      </w:tblPr>
      <w:tblGrid>
        <w:gridCol w:w="1473"/>
        <w:gridCol w:w="3572"/>
        <w:gridCol w:w="1382"/>
        <w:gridCol w:w="1382"/>
        <w:gridCol w:w="1382"/>
      </w:tblGrid>
      <w:tr w:rsidR="008A37B8" w14:paraId="4591573D" w14:textId="77777777">
        <w:trPr>
          <w:cnfStyle w:val="100000000000" w:firstRow="1" w:lastRow="0" w:firstColumn="0" w:lastColumn="0" w:oddVBand="0" w:evenVBand="0" w:oddHBand="0" w:evenHBand="0" w:firstRowFirstColumn="0" w:firstRowLastColumn="0" w:lastRowFirstColumn="0" w:lastRowLastColumn="0"/>
        </w:trPr>
        <w:tc>
          <w:tcPr>
            <w:tcW w:w="801" w:type="pct"/>
          </w:tcPr>
          <w:p w14:paraId="02D54793" w14:textId="77777777" w:rsidR="008A37B8" w:rsidRPr="008A37B8" w:rsidRDefault="008A37B8" w:rsidP="008A37B8">
            <w:pPr>
              <w:pStyle w:val="TableHeading1"/>
            </w:pPr>
            <w:r w:rsidRPr="00646F60">
              <w:t xml:space="preserve">Major group  </w:t>
            </w:r>
          </w:p>
        </w:tc>
        <w:tc>
          <w:tcPr>
            <w:tcW w:w="1943" w:type="pct"/>
          </w:tcPr>
          <w:p w14:paraId="4B277B63" w14:textId="77777777" w:rsidR="008A37B8" w:rsidRPr="008A37B8" w:rsidRDefault="008A37B8" w:rsidP="008A37B8">
            <w:pPr>
              <w:pStyle w:val="TableHeading1"/>
            </w:pPr>
            <w:r w:rsidRPr="00646F60">
              <w:t xml:space="preserve"> </w:t>
            </w:r>
          </w:p>
        </w:tc>
        <w:tc>
          <w:tcPr>
            <w:tcW w:w="752" w:type="pct"/>
          </w:tcPr>
          <w:p w14:paraId="44B56C85" w14:textId="7C36C566" w:rsidR="008A37B8" w:rsidRPr="008A37B8" w:rsidRDefault="00313165" w:rsidP="008A37B8">
            <w:pPr>
              <w:pStyle w:val="TableHeading1"/>
            </w:pPr>
            <w:r w:rsidRPr="000D5781">
              <w:t xml:space="preserve">December </w:t>
            </w:r>
            <w:r w:rsidR="008A37B8" w:rsidRPr="008A37B8">
              <w:t>quarter 2025</w:t>
            </w:r>
          </w:p>
        </w:tc>
        <w:tc>
          <w:tcPr>
            <w:tcW w:w="752" w:type="pct"/>
          </w:tcPr>
          <w:p w14:paraId="7F10F5D7" w14:textId="77777777" w:rsidR="008A37B8" w:rsidRPr="008A37B8" w:rsidRDefault="008A37B8" w:rsidP="008A37B8">
            <w:pPr>
              <w:pStyle w:val="TableHeading1"/>
            </w:pPr>
            <w:r w:rsidRPr="00646F60">
              <w:t xml:space="preserve">Change over the quarter </w:t>
            </w:r>
          </w:p>
        </w:tc>
        <w:tc>
          <w:tcPr>
            <w:tcW w:w="752" w:type="pct"/>
          </w:tcPr>
          <w:p w14:paraId="48B43CE7" w14:textId="77777777" w:rsidR="008A37B8" w:rsidRPr="008A37B8" w:rsidRDefault="008A37B8" w:rsidP="008A37B8">
            <w:pPr>
              <w:pStyle w:val="TableHeading1"/>
            </w:pPr>
            <w:r w:rsidRPr="00646F60">
              <w:t xml:space="preserve">Change over 12 months </w:t>
            </w:r>
          </w:p>
        </w:tc>
      </w:tr>
      <w:tr w:rsidR="00B83113" w14:paraId="185011B3" w14:textId="77777777">
        <w:tc>
          <w:tcPr>
            <w:tcW w:w="801" w:type="pct"/>
            <w:vMerge w:val="restart"/>
            <w:tcBorders>
              <w:bottom w:val="single" w:sz="4" w:space="0" w:color="auto"/>
            </w:tcBorders>
            <w:shd w:val="clear" w:color="auto" w:fill="FFFFFF" w:themeFill="background1"/>
          </w:tcPr>
          <w:p w14:paraId="73CC9985" w14:textId="77777777" w:rsidR="00B83113" w:rsidRPr="00B83113" w:rsidRDefault="00B83113" w:rsidP="00B83113">
            <w:pPr>
              <w:pStyle w:val="TableBodyText"/>
            </w:pPr>
            <w:r w:rsidRPr="00B83113">
              <w:t xml:space="preserve">Labourers </w:t>
            </w:r>
          </w:p>
          <w:p w14:paraId="0B2A85C5" w14:textId="77777777" w:rsidR="00B83113" w:rsidRPr="00B83113" w:rsidRDefault="00B83113" w:rsidP="00B83113">
            <w:pPr>
              <w:pStyle w:val="TableBodyText"/>
            </w:pPr>
          </w:p>
        </w:tc>
        <w:tc>
          <w:tcPr>
            <w:tcW w:w="1943" w:type="pct"/>
          </w:tcPr>
          <w:p w14:paraId="795A932E" w14:textId="77777777" w:rsidR="00B83113" w:rsidRPr="00B83113" w:rsidRDefault="00B83113" w:rsidP="00B83113">
            <w:pPr>
              <w:pStyle w:val="TableBodyText"/>
            </w:pPr>
            <w:r w:rsidRPr="00B83113">
              <w:t>Vacancy fill rate (%)</w:t>
            </w:r>
          </w:p>
        </w:tc>
        <w:tc>
          <w:tcPr>
            <w:tcW w:w="752" w:type="pct"/>
          </w:tcPr>
          <w:p w14:paraId="22CD49E4" w14:textId="0AA513B8" w:rsidR="00B83113" w:rsidRPr="00B83113" w:rsidRDefault="00B83113" w:rsidP="00B83113">
            <w:pPr>
              <w:pStyle w:val="TableBodyTextright"/>
            </w:pPr>
            <w:r w:rsidRPr="00B83113">
              <w:t>59.5%</w:t>
            </w:r>
          </w:p>
        </w:tc>
        <w:tc>
          <w:tcPr>
            <w:tcW w:w="752" w:type="pct"/>
          </w:tcPr>
          <w:p w14:paraId="3898852C" w14:textId="259BC093" w:rsidR="00B83113" w:rsidRPr="00B83113" w:rsidRDefault="00B83113" w:rsidP="00B83113">
            <w:pPr>
              <w:pStyle w:val="TableBodyTextright"/>
            </w:pPr>
            <w:r>
              <w:t xml:space="preserve">▼ </w:t>
            </w:r>
            <w:r w:rsidRPr="00B83113">
              <w:t>3.8% pts</w:t>
            </w:r>
          </w:p>
        </w:tc>
        <w:tc>
          <w:tcPr>
            <w:tcW w:w="752" w:type="pct"/>
          </w:tcPr>
          <w:p w14:paraId="4E39BE8D" w14:textId="65297C1C" w:rsidR="00B83113" w:rsidRPr="00B83113" w:rsidRDefault="00B83113" w:rsidP="00B83113">
            <w:pPr>
              <w:pStyle w:val="TableBodyTextright"/>
            </w:pPr>
            <w:r>
              <w:t xml:space="preserve">▼ </w:t>
            </w:r>
            <w:r w:rsidRPr="00B83113">
              <w:t>2.5% pts</w:t>
            </w:r>
          </w:p>
        </w:tc>
      </w:tr>
      <w:tr w:rsidR="00B83113" w14:paraId="15CEC51A"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auto"/>
            </w:tcBorders>
            <w:shd w:val="clear" w:color="auto" w:fill="FFFFFF" w:themeFill="background1"/>
          </w:tcPr>
          <w:p w14:paraId="52C3B7C6" w14:textId="77777777" w:rsidR="00B83113" w:rsidRPr="00B83113" w:rsidRDefault="00B83113" w:rsidP="00B83113">
            <w:pPr>
              <w:pStyle w:val="TableBodyText"/>
            </w:pPr>
          </w:p>
        </w:tc>
        <w:tc>
          <w:tcPr>
            <w:tcW w:w="1943" w:type="pct"/>
          </w:tcPr>
          <w:p w14:paraId="396E062A" w14:textId="77777777" w:rsidR="00B83113" w:rsidRPr="00B83113" w:rsidRDefault="00B83113" w:rsidP="00B83113">
            <w:pPr>
              <w:pStyle w:val="TableBodyText"/>
            </w:pPr>
            <w:r w:rsidRPr="00B83113">
              <w:t>Applicants per vacancy (no.)</w:t>
            </w:r>
          </w:p>
        </w:tc>
        <w:tc>
          <w:tcPr>
            <w:tcW w:w="752" w:type="pct"/>
          </w:tcPr>
          <w:p w14:paraId="4CEF4DED" w14:textId="02600B71" w:rsidR="00B83113" w:rsidRPr="00B83113" w:rsidRDefault="00B83113" w:rsidP="00B83113">
            <w:pPr>
              <w:pStyle w:val="TableBodyTextright"/>
            </w:pPr>
            <w:r w:rsidRPr="00B83113">
              <w:t>18.6</w:t>
            </w:r>
          </w:p>
        </w:tc>
        <w:tc>
          <w:tcPr>
            <w:tcW w:w="752" w:type="pct"/>
          </w:tcPr>
          <w:p w14:paraId="138D60AE" w14:textId="15B26A01" w:rsidR="00B83113" w:rsidRPr="00B83113" w:rsidRDefault="00B83113" w:rsidP="00B83113">
            <w:pPr>
              <w:pStyle w:val="TableBodyTextright"/>
            </w:pPr>
            <w:r>
              <w:t xml:space="preserve">▲ </w:t>
            </w:r>
            <w:r w:rsidRPr="00B83113">
              <w:t>2.4</w:t>
            </w:r>
          </w:p>
        </w:tc>
        <w:tc>
          <w:tcPr>
            <w:tcW w:w="752" w:type="pct"/>
          </w:tcPr>
          <w:p w14:paraId="31C2B60C" w14:textId="2DEC69B6" w:rsidR="00B83113" w:rsidRPr="00B83113" w:rsidRDefault="00B83113" w:rsidP="00B83113">
            <w:pPr>
              <w:pStyle w:val="TableBodyTextright"/>
            </w:pPr>
            <w:r>
              <w:t xml:space="preserve">▲ </w:t>
            </w:r>
            <w:r w:rsidRPr="00B83113">
              <w:t>4.8</w:t>
            </w:r>
          </w:p>
        </w:tc>
      </w:tr>
      <w:tr w:rsidR="00B83113" w14:paraId="23E5A315" w14:textId="77777777">
        <w:tc>
          <w:tcPr>
            <w:tcW w:w="801" w:type="pct"/>
            <w:vMerge/>
            <w:tcBorders>
              <w:bottom w:val="single" w:sz="4" w:space="0" w:color="auto"/>
            </w:tcBorders>
            <w:shd w:val="clear" w:color="auto" w:fill="FFFFFF" w:themeFill="background1"/>
          </w:tcPr>
          <w:p w14:paraId="386C28A6" w14:textId="77777777" w:rsidR="00B83113" w:rsidRPr="00B83113" w:rsidRDefault="00B83113" w:rsidP="00B83113">
            <w:pPr>
              <w:pStyle w:val="TableBodyText"/>
            </w:pPr>
          </w:p>
        </w:tc>
        <w:tc>
          <w:tcPr>
            <w:tcW w:w="1943" w:type="pct"/>
          </w:tcPr>
          <w:p w14:paraId="2860369B" w14:textId="77777777" w:rsidR="00B83113" w:rsidRPr="00B83113" w:rsidRDefault="00B83113" w:rsidP="00B83113">
            <w:pPr>
              <w:pStyle w:val="TableBodyText"/>
            </w:pPr>
            <w:r w:rsidRPr="00B83113">
              <w:t>Qualified applicants per vacancy (no.)</w:t>
            </w:r>
          </w:p>
        </w:tc>
        <w:tc>
          <w:tcPr>
            <w:tcW w:w="752" w:type="pct"/>
          </w:tcPr>
          <w:p w14:paraId="0E1BAB08" w14:textId="76862E3D" w:rsidR="00B83113" w:rsidRPr="00B83113" w:rsidRDefault="00B83113" w:rsidP="00B83113">
            <w:pPr>
              <w:pStyle w:val="TableBodyTextright"/>
            </w:pPr>
            <w:r w:rsidRPr="00B83113">
              <w:t>7.3</w:t>
            </w:r>
          </w:p>
        </w:tc>
        <w:tc>
          <w:tcPr>
            <w:tcW w:w="752" w:type="pct"/>
          </w:tcPr>
          <w:p w14:paraId="567D19C3" w14:textId="5BD5C46F" w:rsidR="00B83113" w:rsidRPr="00B83113" w:rsidRDefault="00B83113" w:rsidP="00B83113">
            <w:pPr>
              <w:pStyle w:val="TableBodyTextright"/>
            </w:pPr>
            <w:r>
              <w:t xml:space="preserve">▲ </w:t>
            </w:r>
            <w:r w:rsidRPr="00B83113">
              <w:t>1.6</w:t>
            </w:r>
          </w:p>
        </w:tc>
        <w:tc>
          <w:tcPr>
            <w:tcW w:w="752" w:type="pct"/>
          </w:tcPr>
          <w:p w14:paraId="18522F19" w14:textId="003A3039" w:rsidR="00B83113" w:rsidRPr="00B83113" w:rsidRDefault="00B83113" w:rsidP="00B83113">
            <w:pPr>
              <w:pStyle w:val="TableBodyTextright"/>
            </w:pPr>
            <w:r>
              <w:t xml:space="preserve">▲ </w:t>
            </w:r>
            <w:r w:rsidRPr="00B83113">
              <w:t>3.2</w:t>
            </w:r>
          </w:p>
        </w:tc>
      </w:tr>
      <w:tr w:rsidR="00B83113" w14:paraId="6EFC0010" w14:textId="77777777">
        <w:trPr>
          <w:cnfStyle w:val="000000010000" w:firstRow="0" w:lastRow="0" w:firstColumn="0" w:lastColumn="0" w:oddVBand="0" w:evenVBand="0" w:oddHBand="0" w:evenHBand="1" w:firstRowFirstColumn="0" w:firstRowLastColumn="0" w:lastRowFirstColumn="0" w:lastRowLastColumn="0"/>
        </w:trPr>
        <w:tc>
          <w:tcPr>
            <w:tcW w:w="801" w:type="pct"/>
            <w:vMerge/>
            <w:tcBorders>
              <w:bottom w:val="single" w:sz="4" w:space="0" w:color="D9D9D9" w:themeColor="background1" w:themeShade="D9"/>
            </w:tcBorders>
            <w:shd w:val="clear" w:color="auto" w:fill="FFFFFF" w:themeFill="background1"/>
          </w:tcPr>
          <w:p w14:paraId="3BAE1DAB" w14:textId="77777777" w:rsidR="00B83113" w:rsidRPr="00B83113" w:rsidRDefault="00B83113" w:rsidP="00B83113">
            <w:pPr>
              <w:pStyle w:val="TableBodyText"/>
            </w:pPr>
          </w:p>
        </w:tc>
        <w:tc>
          <w:tcPr>
            <w:tcW w:w="1943" w:type="pct"/>
            <w:tcBorders>
              <w:bottom w:val="single" w:sz="4" w:space="0" w:color="D9D9D9" w:themeColor="background1" w:themeShade="D9"/>
            </w:tcBorders>
          </w:tcPr>
          <w:p w14:paraId="21B4F613" w14:textId="77777777" w:rsidR="00B83113" w:rsidRPr="00B83113" w:rsidRDefault="00B83113" w:rsidP="00B83113">
            <w:pPr>
              <w:pStyle w:val="TableBodyText"/>
            </w:pPr>
            <w:r w:rsidRPr="00B83113">
              <w:t>Suitable applicants per vacancy (no.)</w:t>
            </w:r>
          </w:p>
        </w:tc>
        <w:tc>
          <w:tcPr>
            <w:tcW w:w="752" w:type="pct"/>
            <w:tcBorders>
              <w:bottom w:val="single" w:sz="4" w:space="0" w:color="D9D9D9" w:themeColor="background1" w:themeShade="D9"/>
            </w:tcBorders>
          </w:tcPr>
          <w:p w14:paraId="3650FF49" w14:textId="752C20F7" w:rsidR="00B83113" w:rsidRPr="00B83113" w:rsidRDefault="00B83113" w:rsidP="00B83113">
            <w:pPr>
              <w:pStyle w:val="TableBodyTextright"/>
            </w:pPr>
            <w:r w:rsidRPr="00B83113">
              <w:t>4.9</w:t>
            </w:r>
          </w:p>
        </w:tc>
        <w:tc>
          <w:tcPr>
            <w:tcW w:w="752" w:type="pct"/>
            <w:tcBorders>
              <w:bottom w:val="single" w:sz="4" w:space="0" w:color="D9D9D9" w:themeColor="background1" w:themeShade="D9"/>
            </w:tcBorders>
          </w:tcPr>
          <w:p w14:paraId="5C5E58D4" w14:textId="0CEE0971" w:rsidR="00B83113" w:rsidRPr="00B83113" w:rsidRDefault="00B83113" w:rsidP="00B83113">
            <w:pPr>
              <w:pStyle w:val="TableBodyTextright"/>
            </w:pPr>
            <w:r>
              <w:t xml:space="preserve">▲ </w:t>
            </w:r>
            <w:r w:rsidRPr="00B83113">
              <w:t>1.1</w:t>
            </w:r>
          </w:p>
        </w:tc>
        <w:tc>
          <w:tcPr>
            <w:tcW w:w="752" w:type="pct"/>
            <w:tcBorders>
              <w:bottom w:val="single" w:sz="4" w:space="0" w:color="D9D9D9" w:themeColor="background1" w:themeShade="D9"/>
            </w:tcBorders>
          </w:tcPr>
          <w:p w14:paraId="2A829788" w14:textId="7358D049" w:rsidR="00B83113" w:rsidRPr="00B83113" w:rsidRDefault="00B83113" w:rsidP="00B83113">
            <w:pPr>
              <w:pStyle w:val="TableBodyTextright"/>
            </w:pPr>
            <w:r>
              <w:t xml:space="preserve">▲ </w:t>
            </w:r>
            <w:r w:rsidRPr="00B83113">
              <w:t>2.8</w:t>
            </w:r>
          </w:p>
        </w:tc>
      </w:tr>
    </w:tbl>
    <w:p w14:paraId="549B66D7" w14:textId="77777777" w:rsidR="008A37B8" w:rsidRPr="00646F60" w:rsidRDefault="008A37B8" w:rsidP="008A37B8">
      <w:pPr>
        <w:pStyle w:val="Source"/>
      </w:pPr>
      <w:r w:rsidRPr="00646F60">
        <w:t>Source: Jobs and Skills Australia, SERA.</w:t>
      </w:r>
    </w:p>
    <w:p w14:paraId="68C517DA" w14:textId="18E191E9" w:rsidR="008A37B8" w:rsidRDefault="008A37B8" w:rsidP="008A37B8">
      <w:pPr>
        <w:pStyle w:val="BodyText"/>
      </w:pPr>
      <w:r>
        <w:t xml:space="preserve">Fill rate movements varied by major groups in the </w:t>
      </w:r>
      <w:r w:rsidR="00992852">
        <w:t>Dec</w:t>
      </w:r>
      <w:r>
        <w:t>ember quarter 2025 and over the past 12 months to the current quarter.</w:t>
      </w:r>
    </w:p>
    <w:p w14:paraId="6C30E68D" w14:textId="4F2A3CB7" w:rsidR="008A37B8" w:rsidRDefault="008A37B8" w:rsidP="008A37B8">
      <w:pPr>
        <w:pStyle w:val="ListBullet"/>
        <w:numPr>
          <w:ilvl w:val="0"/>
          <w:numId w:val="4"/>
        </w:numPr>
      </w:pPr>
      <w:r>
        <w:t xml:space="preserve">For </w:t>
      </w:r>
      <w:r w:rsidRPr="009508AF">
        <w:t>Clerical and Administrative Workers</w:t>
      </w:r>
      <w:r w:rsidR="0030094D">
        <w:t xml:space="preserve"> and Sales Workers</w:t>
      </w:r>
      <w:r>
        <w:t>, f</w:t>
      </w:r>
      <w:r w:rsidRPr="00646F60">
        <w:t>ill rates</w:t>
      </w:r>
      <w:r w:rsidR="001F60BF">
        <w:t xml:space="preserve"> </w:t>
      </w:r>
      <w:r w:rsidRPr="00646F60">
        <w:t xml:space="preserve">increased in both </w:t>
      </w:r>
      <w:r>
        <w:t xml:space="preserve">the current </w:t>
      </w:r>
      <w:r w:rsidRPr="00646F60">
        <w:t>quarter and over the past 12 months.</w:t>
      </w:r>
    </w:p>
    <w:p w14:paraId="2B099FB1" w14:textId="60050CC2" w:rsidR="008A37B8" w:rsidRDefault="008A37B8" w:rsidP="008A37B8">
      <w:pPr>
        <w:pStyle w:val="ListBullet"/>
        <w:numPr>
          <w:ilvl w:val="0"/>
          <w:numId w:val="4"/>
        </w:numPr>
      </w:pPr>
      <w:r>
        <w:t xml:space="preserve">For </w:t>
      </w:r>
      <w:r w:rsidRPr="00646F60">
        <w:t>Technicians and Trades Workers</w:t>
      </w:r>
      <w:r w:rsidR="003A0B6D">
        <w:t xml:space="preserve">, </w:t>
      </w:r>
      <w:r>
        <w:t xml:space="preserve">fill rates </w:t>
      </w:r>
      <w:r w:rsidR="003A0B6D">
        <w:t>in</w:t>
      </w:r>
      <w:r>
        <w:t xml:space="preserve">creased </w:t>
      </w:r>
      <w:r w:rsidR="003A0B6D">
        <w:t xml:space="preserve">marginally </w:t>
      </w:r>
      <w:r>
        <w:t xml:space="preserve">over the quarter </w:t>
      </w:r>
      <w:r w:rsidR="008F7ACE">
        <w:t xml:space="preserve">and </w:t>
      </w:r>
      <w:r w:rsidR="003A0B6D">
        <w:t>remained stable</w:t>
      </w:r>
      <w:r>
        <w:t xml:space="preserve"> over the past 12 mont</w:t>
      </w:r>
      <w:r w:rsidR="003A0B6D">
        <w:t>hs</w:t>
      </w:r>
      <w:r w:rsidR="00C65954">
        <w:t>.</w:t>
      </w:r>
    </w:p>
    <w:p w14:paraId="2B401581" w14:textId="226813E5" w:rsidR="008A37B8" w:rsidRDefault="008A37B8" w:rsidP="008A37B8">
      <w:pPr>
        <w:pStyle w:val="ListBullet"/>
        <w:numPr>
          <w:ilvl w:val="0"/>
          <w:numId w:val="4"/>
        </w:numPr>
      </w:pPr>
      <w:r>
        <w:t>For Machinery Operators and Drivers</w:t>
      </w:r>
      <w:r w:rsidR="003A0B6D">
        <w:t xml:space="preserve"> and Labourers</w:t>
      </w:r>
      <w:r>
        <w:t>, fill rates decreased over the quarter and past 12 months.</w:t>
      </w:r>
    </w:p>
    <w:p w14:paraId="4D17F2D4" w14:textId="451BEC65" w:rsidR="00363E48" w:rsidRDefault="003C081A" w:rsidP="00962B0F">
      <w:pPr>
        <w:pStyle w:val="ListBullet"/>
        <w:numPr>
          <w:ilvl w:val="0"/>
          <w:numId w:val="4"/>
        </w:numPr>
      </w:pPr>
      <w:r>
        <w:t>For Managers, fill rates increased over the quarter but decreased over the past 12 mo</w:t>
      </w:r>
      <w:r w:rsidR="00F91FB1">
        <w:t>nths.</w:t>
      </w:r>
    </w:p>
    <w:p w14:paraId="532E78C6" w14:textId="5B48AD9C" w:rsidR="00F91FB1" w:rsidRDefault="00F91FB1" w:rsidP="008A37B8">
      <w:pPr>
        <w:pStyle w:val="ListBullet"/>
        <w:numPr>
          <w:ilvl w:val="0"/>
          <w:numId w:val="4"/>
        </w:numPr>
      </w:pPr>
      <w:r>
        <w:t>For Professionals, fill rates decreased slightly over the last quarter, but increased</w:t>
      </w:r>
      <w:r w:rsidR="00AC6DD1">
        <w:t xml:space="preserve"> over the past 12 months.</w:t>
      </w:r>
    </w:p>
    <w:p w14:paraId="5DFB5DEE" w14:textId="37CDAA8D" w:rsidR="008A37B8" w:rsidRDefault="008A37B8" w:rsidP="008A37B8">
      <w:pPr>
        <w:pStyle w:val="BodyText"/>
      </w:pPr>
      <w:r>
        <w:t xml:space="preserve">Total applicants per vacancy and </w:t>
      </w:r>
      <w:r w:rsidR="00FE75C4">
        <w:t>q</w:t>
      </w:r>
      <w:r>
        <w:t>ualified applicants per vacancy results were mixed</w:t>
      </w:r>
      <w:r w:rsidR="009D2568">
        <w:t xml:space="preserve"> across</w:t>
      </w:r>
      <w:r>
        <w:t xml:space="preserve"> major groups over both periods. </w:t>
      </w:r>
      <w:r w:rsidR="002C52A3">
        <w:t>F</w:t>
      </w:r>
      <w:r>
        <w:t xml:space="preserve">or </w:t>
      </w:r>
      <w:r w:rsidR="00684846">
        <w:t>Labourers</w:t>
      </w:r>
      <w:r>
        <w:t xml:space="preserve">, </w:t>
      </w:r>
      <w:r w:rsidR="00220D3C">
        <w:t xml:space="preserve">total </w:t>
      </w:r>
      <w:r>
        <w:t>applicants</w:t>
      </w:r>
      <w:r w:rsidR="003E3276">
        <w:t xml:space="preserve">, </w:t>
      </w:r>
      <w:r w:rsidR="00220D3C">
        <w:t xml:space="preserve">qualified </w:t>
      </w:r>
      <w:r>
        <w:t xml:space="preserve">applicants per vacancy </w:t>
      </w:r>
      <w:r w:rsidR="003E3276">
        <w:t xml:space="preserve">and </w:t>
      </w:r>
      <w:r w:rsidR="00220D3C">
        <w:t xml:space="preserve">suitable </w:t>
      </w:r>
      <w:r w:rsidR="003E3276">
        <w:t xml:space="preserve">applicants per vacancy </w:t>
      </w:r>
      <w:r w:rsidR="00684846">
        <w:t>increased</w:t>
      </w:r>
      <w:r>
        <w:t xml:space="preserve"> over the quarter and past 12 months.</w:t>
      </w:r>
    </w:p>
    <w:p w14:paraId="72971AA6" w14:textId="77777777" w:rsidR="008A37B8" w:rsidRPr="00646F60" w:rsidRDefault="008A37B8" w:rsidP="008A37B8">
      <w:r w:rsidRPr="00646F60">
        <w:br w:type="page"/>
      </w:r>
    </w:p>
    <w:p w14:paraId="29E63B5B" w14:textId="08706557" w:rsidR="008A37B8" w:rsidRDefault="008A37B8" w:rsidP="008A37B8">
      <w:pPr>
        <w:pStyle w:val="Heading1"/>
      </w:pPr>
      <w:bookmarkStart w:id="30" w:name="_Toc214019401"/>
      <w:bookmarkStart w:id="31" w:name="_Toc207977956"/>
      <w:bookmarkStart w:id="32" w:name="_Toc224202114"/>
      <w:r w:rsidRPr="008A37B8">
        <w:rPr>
          <w:rFonts w:eastAsia="MS PGothic"/>
        </w:rPr>
        <w:t>Spotlight analysis</w:t>
      </w:r>
      <w:bookmarkEnd w:id="30"/>
      <w:bookmarkEnd w:id="31"/>
      <w:r w:rsidR="007E4D9D">
        <w:rPr>
          <w:rFonts w:eastAsia="MS PGothic"/>
        </w:rPr>
        <w:t xml:space="preserve">: </w:t>
      </w:r>
      <w:r w:rsidR="000F7A21" w:rsidRPr="000F7A21">
        <w:t>explaining the surge and decline in total applicants per vacancy</w:t>
      </w:r>
      <w:bookmarkEnd w:id="32"/>
    </w:p>
    <w:p w14:paraId="3B95F196" w14:textId="6814C706" w:rsidR="00552447" w:rsidRPr="00552447" w:rsidRDefault="00552447" w:rsidP="00552447">
      <w:r w:rsidRPr="00552447">
        <w:t>This spotlight explores the possible reason</w:t>
      </w:r>
      <w:r w:rsidR="00092FDF">
        <w:t>s</w:t>
      </w:r>
      <w:r w:rsidRPr="00552447">
        <w:t xml:space="preserve"> underlying the pattern of rise and fall in total applicants per vacancy and how it may be connected to broader labour market trends.</w:t>
      </w:r>
    </w:p>
    <w:p w14:paraId="4CA7A1E4" w14:textId="77777777" w:rsidR="009F70E0" w:rsidRPr="009F70E0" w:rsidRDefault="009F70E0" w:rsidP="005B5484">
      <w:pPr>
        <w:pStyle w:val="Heading2"/>
      </w:pPr>
      <w:bookmarkStart w:id="33" w:name="_Toc224202115"/>
      <w:r w:rsidRPr="009F70E0">
        <w:t>Surge in applicants per vacancy in 2024-25</w:t>
      </w:r>
      <w:bookmarkEnd w:id="33"/>
    </w:p>
    <w:p w14:paraId="79D6A405" w14:textId="2BB763E0" w:rsidR="00C232DB" w:rsidRPr="00FF2067" w:rsidRDefault="007B7F59" w:rsidP="009F70E0">
      <w:pPr>
        <w:pStyle w:val="BodyText"/>
        <w:rPr>
          <w:lang w:eastAsia="en-AU"/>
        </w:rPr>
      </w:pPr>
      <w:r>
        <w:t xml:space="preserve">Figure </w:t>
      </w:r>
      <w:r>
        <w:rPr>
          <w:noProof/>
        </w:rPr>
        <w:t>4</w:t>
      </w:r>
      <w:r w:rsidR="009758C9">
        <w:t xml:space="preserve"> </w:t>
      </w:r>
      <w:r w:rsidR="00265A53" w:rsidRPr="00265A53">
        <w:t>presents the evolution of total applicants per vacancy from the December quarter 2021 to the December quarter 2025, using the current 12-month moving average as well as the Henderson moving average method.</w:t>
      </w:r>
      <w:r w:rsidR="00265A53" w:rsidRPr="00265A53">
        <w:rPr>
          <w:rStyle w:val="FootnoteReference"/>
        </w:rPr>
        <w:footnoteReference w:id="4"/>
      </w:r>
      <w:r w:rsidR="00265A53" w:rsidRPr="00265A53">
        <w:t xml:space="preserve"> </w:t>
      </w:r>
    </w:p>
    <w:p w14:paraId="578795D4" w14:textId="389F129B" w:rsidR="0073213E" w:rsidRDefault="009758C9" w:rsidP="009758C9">
      <w:pPr>
        <w:pStyle w:val="Caption"/>
        <w:rPr>
          <w:lang w:eastAsia="en-AU"/>
        </w:rPr>
      </w:pPr>
      <w:bookmarkStart w:id="34" w:name="_Ref222220633"/>
      <w:r>
        <w:t xml:space="preserve">Figure </w:t>
      </w:r>
      <w:r>
        <w:fldChar w:fldCharType="begin"/>
      </w:r>
      <w:r>
        <w:instrText xml:space="preserve"> SEQ Figure \* ARABIC </w:instrText>
      </w:r>
      <w:r>
        <w:fldChar w:fldCharType="separate"/>
      </w:r>
      <w:r w:rsidR="00A114CD">
        <w:rPr>
          <w:noProof/>
        </w:rPr>
        <w:t>4</w:t>
      </w:r>
      <w:r>
        <w:fldChar w:fldCharType="end"/>
      </w:r>
      <w:bookmarkEnd w:id="34"/>
      <w:r w:rsidR="00A83D71" w:rsidRPr="00A83D71">
        <w:rPr>
          <w:lang w:eastAsia="en-AU"/>
        </w:rPr>
        <w:t>: Applicants per vacancy, 12-month vs Henderson moving average, 2021 to 2025</w:t>
      </w:r>
    </w:p>
    <w:p w14:paraId="44CE4670" w14:textId="32AE3D89" w:rsidR="00540AC5" w:rsidRDefault="00540AC5" w:rsidP="00173F5A">
      <w:pPr>
        <w:pStyle w:val="Source"/>
      </w:pPr>
    </w:p>
    <w:p w14:paraId="5ED53728" w14:textId="77777777" w:rsidR="00540AC5" w:rsidRDefault="00540AC5" w:rsidP="00173F5A">
      <w:pPr>
        <w:pStyle w:val="Source"/>
      </w:pPr>
      <w:r>
        <w:rPr>
          <w:noProof/>
        </w:rPr>
        <w:drawing>
          <wp:inline distT="0" distB="0" distL="0" distR="0" wp14:anchorId="4FB6331E" wp14:editId="69D0C268">
            <wp:extent cx="5730875" cy="2812025"/>
            <wp:effectExtent l="0" t="0" r="3175" b="7620"/>
            <wp:docPr id="1796394666" name="Picture 3" descr="Figure 4 shows the quarterly applicants per vacancy from December 2021 to December 2025, calculated as a 12-month moving average and as a Henderson moving average. The key difference between the two moving averages is that trends appear without lag using the Henderson moving average. With respect to applicants per vacancy, a significant increase occurred from late 2023 and accelerated up until mid-to-late 2024 before declining in mid-to-late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94666" name="Picture 3" descr="Figure 4 shows the quarterly applicants per vacancy from December 2021 to December 2025, calculated as a 12-month moving average and as a Henderson moving average. The key difference between the two moving averages is that trends appear without lag using the Henderson moving average. With respect to applicants per vacancy, a significant increase occurred from late 2023 and accelerated up until mid-to-late 2024 before declining in mid-to-late 2025.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5856" cy="2814469"/>
                    </a:xfrm>
                    <a:prstGeom prst="rect">
                      <a:avLst/>
                    </a:prstGeom>
                    <a:noFill/>
                  </pic:spPr>
                </pic:pic>
              </a:graphicData>
            </a:graphic>
          </wp:inline>
        </w:drawing>
      </w:r>
    </w:p>
    <w:p w14:paraId="6AF879C1" w14:textId="20FFB15C" w:rsidR="00831F41" w:rsidRDefault="00EE51EE" w:rsidP="00173F5A">
      <w:pPr>
        <w:pStyle w:val="Source"/>
      </w:pPr>
      <w:r w:rsidRPr="00EE51EE">
        <w:t>Source: Jobs and Skills Australia, SERA.</w:t>
      </w:r>
      <w:r w:rsidR="00173F5A">
        <w:br/>
      </w:r>
      <w:r w:rsidR="004A2F84" w:rsidRPr="004A2F84">
        <w:t>Note: The Henderson Moving Average was not adjusted for seasonality due to data limitations.</w:t>
      </w:r>
    </w:p>
    <w:p w14:paraId="7F525DD5" w14:textId="753A89D0" w:rsidR="009D73D6" w:rsidRPr="009D73D6" w:rsidRDefault="009D73D6" w:rsidP="00CC62D2">
      <w:pPr>
        <w:pStyle w:val="BodyText"/>
      </w:pPr>
      <w:r w:rsidRPr="009D73D6">
        <w:t>The 12-month moving average yields a stable series by mitigating short-term fluctuations. However, it can mask important changes in the data and delay the identification of turning points. In contrast, the Henderson moving average (HMA) smooths data volatility or seasonal spikes while capturing turning points without substantial lag.</w:t>
      </w:r>
    </w:p>
    <w:p w14:paraId="79C90DA1" w14:textId="128E725C" w:rsidR="009D73D6" w:rsidRPr="00CC62D2" w:rsidRDefault="009D73D6" w:rsidP="009D73D6">
      <w:pPr>
        <w:pStyle w:val="BodyText"/>
        <w:rPr>
          <w:lang w:eastAsia="en-AU"/>
        </w:rPr>
      </w:pPr>
      <w:r w:rsidRPr="009D73D6">
        <w:t>Results of HMA show that applicants per vacancy increased rapidly from late 2023, peaked in mid-to-late 2024 before declining quickly until March quarter 2025. While still falling, the pace appears to be gradual. The pattern of movement over</w:t>
      </w:r>
      <w:r w:rsidR="00192B5F">
        <w:t xml:space="preserve"> </w:t>
      </w:r>
      <w:r w:rsidRPr="009D73D6">
        <w:t>time is different to that exhibited by qualified and suitable applicants per vacancy and fill rates – all three metrics, generally, increased over the same period.</w:t>
      </w:r>
    </w:p>
    <w:p w14:paraId="1A83DB3C" w14:textId="77777777" w:rsidR="004D0643" w:rsidRPr="008C2E03" w:rsidRDefault="004D0643" w:rsidP="005B5484">
      <w:pPr>
        <w:pStyle w:val="Heading2"/>
      </w:pPr>
      <w:bookmarkStart w:id="35" w:name="_Toc224202116"/>
      <w:r w:rsidRPr="008C2E03">
        <w:t>The surge in applicant numbers is not unique to SERA</w:t>
      </w:r>
      <w:bookmarkEnd w:id="35"/>
      <w:r w:rsidRPr="008C2E03">
        <w:t xml:space="preserve"> </w:t>
      </w:r>
    </w:p>
    <w:p w14:paraId="614099E9" w14:textId="77777777" w:rsidR="00060EF8" w:rsidRDefault="00060EF8" w:rsidP="00A11C2D">
      <w:pPr>
        <w:pStyle w:val="BodyText"/>
      </w:pPr>
      <w:r w:rsidRPr="00060EF8">
        <w:t>Similar trends have been observed in other datasets, although the timing of peak applicant activity varies. This suggests that the rise and fall pattern could be underpinned by broader labour market shifts.</w:t>
      </w:r>
    </w:p>
    <w:p w14:paraId="6A85A499" w14:textId="71AB124E" w:rsidR="00A11C2D" w:rsidRDefault="00060EF8" w:rsidP="00A11C2D">
      <w:pPr>
        <w:pStyle w:val="ListBullet"/>
      </w:pPr>
      <w:hyperlink r:id="rId23" w:history="1">
        <w:r w:rsidRPr="002F18B3">
          <w:rPr>
            <w:rStyle w:val="Hyperlink"/>
          </w:rPr>
          <w:t>SEEK</w:t>
        </w:r>
      </w:hyperlink>
      <w:r w:rsidRPr="00060EF8">
        <w:t xml:space="preserve"> reported a significant rise in applications per job advertisement (APJ) </w:t>
      </w:r>
      <w:r w:rsidR="00F01812">
        <w:t xml:space="preserve">beginning in </w:t>
      </w:r>
      <w:r w:rsidRPr="00060EF8">
        <w:t xml:space="preserve">2023 and </w:t>
      </w:r>
      <w:r w:rsidR="00F13A1E">
        <w:t xml:space="preserve">continued </w:t>
      </w:r>
      <w:r w:rsidR="002758FA">
        <w:t xml:space="preserve">throughout </w:t>
      </w:r>
      <w:r w:rsidRPr="00060EF8">
        <w:t xml:space="preserve">2024, </w:t>
      </w:r>
      <w:r w:rsidR="00F13A1E">
        <w:t xml:space="preserve">peaking </w:t>
      </w:r>
      <w:r w:rsidR="003E7F7F">
        <w:t xml:space="preserve">in </w:t>
      </w:r>
      <w:r w:rsidR="00D616A0">
        <w:t xml:space="preserve">May </w:t>
      </w:r>
      <w:r w:rsidR="003E7F7F">
        <w:t xml:space="preserve">2025 </w:t>
      </w:r>
      <w:r w:rsidR="000B1D01">
        <w:t xml:space="preserve">and </w:t>
      </w:r>
      <w:r w:rsidR="00371548">
        <w:t xml:space="preserve">then </w:t>
      </w:r>
      <w:r w:rsidR="00CE3C56">
        <w:t xml:space="preserve">starting </w:t>
      </w:r>
      <w:r w:rsidR="00A0381E">
        <w:t>to fall</w:t>
      </w:r>
      <w:r w:rsidR="002758FA">
        <w:t xml:space="preserve">. </w:t>
      </w:r>
    </w:p>
    <w:p w14:paraId="3FCB3BA0" w14:textId="1287807A" w:rsidR="004D0643" w:rsidRPr="001379BE" w:rsidRDefault="00060EF8" w:rsidP="00CC62D2">
      <w:pPr>
        <w:pStyle w:val="ListBullet"/>
      </w:pPr>
      <w:r w:rsidRPr="00060EF8">
        <w:t>Global recruitment platform, JobAdder, highlighted record-high applicant competition during the final quarter of 2024, followed by a seasonal plateau in early 2025.</w:t>
      </w:r>
      <w:r w:rsidR="00451037">
        <w:t xml:space="preserve"> </w:t>
      </w:r>
      <w:r w:rsidR="004D0643" w:rsidRPr="001379BE">
        <w:t>Potential drivers underlying the surge in applicants per vacancy</w:t>
      </w:r>
      <w:r w:rsidR="005E73C3">
        <w:t>.</w:t>
      </w:r>
    </w:p>
    <w:p w14:paraId="72BB34A6" w14:textId="7CB70745" w:rsidR="004D0643" w:rsidRPr="004D0643" w:rsidRDefault="004D0643" w:rsidP="00A11C2D">
      <w:pPr>
        <w:pStyle w:val="BodyText"/>
      </w:pPr>
      <w:r w:rsidRPr="004D0643">
        <w:t>The pattern observed in applicants per vacancy is likely to be attributable to a combination of different labour market factors occurring at similar points in time, causing a sudden spike in applicants, followed by a plateau and decline.</w:t>
      </w:r>
    </w:p>
    <w:p w14:paraId="12DFC81B" w14:textId="17A417DB" w:rsidR="004D0643" w:rsidRPr="0012752E" w:rsidRDefault="00527D2D" w:rsidP="005B5484">
      <w:pPr>
        <w:pStyle w:val="Heading2"/>
      </w:pPr>
      <w:bookmarkStart w:id="36" w:name="_Toc224202117"/>
      <w:r>
        <w:t>Potential drivers underlying the surge in applicants per vacancy</w:t>
      </w:r>
      <w:bookmarkEnd w:id="36"/>
    </w:p>
    <w:p w14:paraId="78015450" w14:textId="00242F4A" w:rsidR="00A11C2D" w:rsidRPr="00A11C2D" w:rsidRDefault="006F569A" w:rsidP="00CC62D2">
      <w:pPr>
        <w:pStyle w:val="BodyText"/>
      </w:pPr>
      <w:r>
        <w:t>Following</w:t>
      </w:r>
      <w:r w:rsidRPr="00A11C2D">
        <w:t xml:space="preserve"> </w:t>
      </w:r>
      <w:r w:rsidR="00A11C2D" w:rsidRPr="00A11C2D">
        <w:t>the COVID-19 pandemic, the strength of the Australian labour market increased and became tight.</w:t>
      </w:r>
    </w:p>
    <w:p w14:paraId="2637A9ED" w14:textId="464581A3" w:rsidR="00A11C2D" w:rsidRDefault="00A11C2D" w:rsidP="00A11C2D">
      <w:pPr>
        <w:pStyle w:val="ListBullet"/>
      </w:pPr>
      <w:r w:rsidRPr="00A11C2D">
        <w:t>Demand for workers, as indicated by Jobs and Skills Australia’s Internet Vacancy Index (IVI), rose sharply.</w:t>
      </w:r>
    </w:p>
    <w:p w14:paraId="630EE51E" w14:textId="738B3270" w:rsidR="00A11C2D" w:rsidRDefault="00A11C2D" w:rsidP="00A11C2D">
      <w:pPr>
        <w:pStyle w:val="ListBullet"/>
      </w:pPr>
      <w:r w:rsidRPr="00A11C2D">
        <w:t>With more opportunities, job mobility rate increased as employed workers increasingly searched for alternative or better</w:t>
      </w:r>
      <w:r w:rsidRPr="00A11C2D">
        <w:noBreakHyphen/>
        <w:t>paid roles.</w:t>
      </w:r>
    </w:p>
    <w:p w14:paraId="3FA15BA3" w14:textId="3E1AE5ED" w:rsidR="00A11C2D" w:rsidRPr="00A11C2D" w:rsidRDefault="00A11C2D" w:rsidP="00CC62D2">
      <w:pPr>
        <w:pStyle w:val="ListBullet"/>
      </w:pPr>
      <w:r w:rsidRPr="00A11C2D">
        <w:t>Employment to population ratio increased to record highs.</w:t>
      </w:r>
    </w:p>
    <w:p w14:paraId="5DB091FC" w14:textId="2AD43736" w:rsidR="00540AC5" w:rsidRDefault="00850D44" w:rsidP="00540AC5">
      <w:pPr>
        <w:pStyle w:val="Caption"/>
      </w:pPr>
      <w:bookmarkStart w:id="37" w:name="_Ref222220864"/>
      <w:r>
        <w:t xml:space="preserve">Figure </w:t>
      </w:r>
      <w:r>
        <w:fldChar w:fldCharType="begin"/>
      </w:r>
      <w:r>
        <w:instrText xml:space="preserve"> SEQ Figure \* ARABIC </w:instrText>
      </w:r>
      <w:r>
        <w:fldChar w:fldCharType="separate"/>
      </w:r>
      <w:r w:rsidR="00A114CD">
        <w:rPr>
          <w:noProof/>
        </w:rPr>
        <w:t>5</w:t>
      </w:r>
      <w:r>
        <w:fldChar w:fldCharType="end"/>
      </w:r>
      <w:bookmarkEnd w:id="37"/>
      <w:r w:rsidR="004D0643" w:rsidRPr="004D0643">
        <w:t>: Applicants per vacancy,</w:t>
      </w:r>
      <w:r w:rsidR="004F4E23">
        <w:t xml:space="preserve"> </w:t>
      </w:r>
      <w:r w:rsidR="004D0643" w:rsidRPr="004D0643">
        <w:t>internet vacancy index (IVI)</w:t>
      </w:r>
      <w:r w:rsidR="004F4E23">
        <w:t xml:space="preserve"> and employment-to-population ratio,</w:t>
      </w:r>
      <w:r w:rsidR="004D0643" w:rsidRPr="004D0643">
        <w:t xml:space="preserve"> quarterly, </w:t>
      </w:r>
      <w:r w:rsidR="004F4E23">
        <w:t>Sep</w:t>
      </w:r>
      <w:r w:rsidR="004F4E23" w:rsidRPr="004D0643">
        <w:t xml:space="preserve"> </w:t>
      </w:r>
      <w:r w:rsidR="004D0643" w:rsidRPr="004D0643">
        <w:t>20</w:t>
      </w:r>
      <w:r w:rsidR="004F4E23">
        <w:t>19</w:t>
      </w:r>
      <w:r w:rsidR="004D0643" w:rsidRPr="004D0643">
        <w:t>- Dec 2025</w:t>
      </w:r>
    </w:p>
    <w:p w14:paraId="3546432F" w14:textId="77777777" w:rsidR="00540AC5" w:rsidRDefault="00540AC5" w:rsidP="00DA16A8">
      <w:pPr>
        <w:pStyle w:val="Source"/>
      </w:pPr>
      <w:r>
        <w:rPr>
          <w:noProof/>
        </w:rPr>
        <w:drawing>
          <wp:inline distT="0" distB="0" distL="0" distR="0" wp14:anchorId="55D2E9F5" wp14:editId="5A2D27DD">
            <wp:extent cx="5730875" cy="2950845"/>
            <wp:effectExtent l="0" t="0" r="3175" b="1905"/>
            <wp:docPr id="1408403698" name="Picture 4" descr="Figure 5 shows the applicants per vacancy (using Henderson moving average), internet vacancy index, and employment to population ratio between September 2019 and December 2025. The chart shows an interplay between labour demand, labour supply and job mobility. The IVI dropped from its peak during mid to late 2023, signalling a softening in the labour market. As a result, there have been fewer vacancies and greater competition for each posi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03698" name="Picture 4" descr="Figure 5 shows the applicants per vacancy (using Henderson moving average), internet vacancy index, and employment to population ratio between September 2019 and December 2025. The chart shows an interplay between labour demand, labour supply and job mobility. The IVI dropped from its peak during mid to late 2023, signalling a softening in the labour market. As a result, there have been fewer vacancies and greater competition for each position.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0875" cy="2950845"/>
                    </a:xfrm>
                    <a:prstGeom prst="rect">
                      <a:avLst/>
                    </a:prstGeom>
                    <a:noFill/>
                  </pic:spPr>
                </pic:pic>
              </a:graphicData>
            </a:graphic>
          </wp:inline>
        </w:drawing>
      </w:r>
    </w:p>
    <w:p w14:paraId="69117169" w14:textId="42900116" w:rsidR="00FD6B2C" w:rsidRDefault="00D837A8" w:rsidP="00DA16A8">
      <w:pPr>
        <w:pStyle w:val="Source"/>
      </w:pPr>
      <w:r w:rsidRPr="00D837A8">
        <w:t>Source: Jobs and Skills Australia, SERA; Jobs and Skills Australia, IVI; Australian Bureau of Statistics, Labour Force, Australia, December 2025.</w:t>
      </w:r>
      <w:r w:rsidR="00DA16A8">
        <w:br/>
      </w:r>
      <w:r w:rsidR="006D184D" w:rsidRPr="006D184D">
        <w:t xml:space="preserve">Note: Data is standardised to present the various metrics on the same scale and for ease of comparison across time. </w:t>
      </w:r>
    </w:p>
    <w:p w14:paraId="7F437695" w14:textId="6A20C478" w:rsidR="00795C86" w:rsidRPr="00A11C2D" w:rsidRDefault="007B7F59" w:rsidP="00795C86">
      <w:pPr>
        <w:pStyle w:val="BodyText"/>
      </w:pPr>
      <w:r>
        <w:t xml:space="preserve">Figure </w:t>
      </w:r>
      <w:r>
        <w:rPr>
          <w:noProof/>
        </w:rPr>
        <w:t>5</w:t>
      </w:r>
      <w:r w:rsidR="00795C86">
        <w:t xml:space="preserve"> </w:t>
      </w:r>
      <w:r w:rsidR="00795C86" w:rsidRPr="00A11C2D">
        <w:t>shows that the IVI fell from its peak in late 2023</w:t>
      </w:r>
      <w:r w:rsidR="4DDB9595" w:rsidRPr="00A11C2D">
        <w:t>;</w:t>
      </w:r>
      <w:r w:rsidR="00795C86" w:rsidRPr="00A11C2D">
        <w:t xml:space="preserve"> meanwhile the employment</w:t>
      </w:r>
      <w:r w:rsidR="47816B3E" w:rsidRPr="00A11C2D">
        <w:t>-</w:t>
      </w:r>
      <w:r w:rsidR="00795C86" w:rsidRPr="00A11C2D">
        <w:t>to</w:t>
      </w:r>
      <w:r w:rsidR="10A08711" w:rsidRPr="00A11C2D">
        <w:t>-</w:t>
      </w:r>
      <w:r w:rsidR="00795C86" w:rsidRPr="00A11C2D">
        <w:t>population ratio largely stabilised in early 2023 and started dipping from late 2024. Job mobility rates peaked in 2023 before declining over 2024 and 2025.</w:t>
      </w:r>
      <w:r w:rsidR="00795C86" w:rsidRPr="00A11C2D">
        <w:rPr>
          <w:rStyle w:val="FootnoteReference"/>
        </w:rPr>
        <w:footnoteReference w:id="5"/>
      </w:r>
    </w:p>
    <w:p w14:paraId="5A29419E" w14:textId="061E1101" w:rsidR="00795C86" w:rsidRDefault="00795C86" w:rsidP="00795C86">
      <w:pPr>
        <w:pStyle w:val="BodyText"/>
      </w:pPr>
      <w:r w:rsidRPr="00A11C2D">
        <w:t xml:space="preserve">Higher vacancies, job mobility and employment growth add to applicant volumes. But as these waned, so too has total applicants per vacancy. With that, the trends in the above labour market indicators </w:t>
      </w:r>
      <w:r w:rsidR="001B3E7E">
        <w:t>align</w:t>
      </w:r>
      <w:r w:rsidR="001B3E7E" w:rsidRPr="00A11C2D">
        <w:t xml:space="preserve"> </w:t>
      </w:r>
      <w:r w:rsidRPr="00A11C2D">
        <w:t>with the trend in total applicants per vacancy.</w:t>
      </w:r>
    </w:p>
    <w:p w14:paraId="19AC61E9" w14:textId="7EEBAEF8" w:rsidR="00FD6B2C" w:rsidRPr="00FD6B2C" w:rsidRDefault="00FD6B2C" w:rsidP="00CC62D2">
      <w:pPr>
        <w:pStyle w:val="BodyText"/>
      </w:pPr>
      <w:r w:rsidRPr="00FD6B2C">
        <w:t>Elevated cost-of-living pressures from higher inflation and interest rates could have led to people seeking additional jobs, adding to job seeking activity and total applications.</w:t>
      </w:r>
    </w:p>
    <w:p w14:paraId="250E34E5" w14:textId="26E87F66" w:rsidR="00DB6407" w:rsidRPr="00DB6407" w:rsidRDefault="007B7F59" w:rsidP="00CC62D2">
      <w:pPr>
        <w:pStyle w:val="BodyText"/>
      </w:pPr>
      <w:r>
        <w:t xml:space="preserve">Figure </w:t>
      </w:r>
      <w:r>
        <w:rPr>
          <w:noProof/>
        </w:rPr>
        <w:t>6</w:t>
      </w:r>
      <w:r w:rsidR="00FD6B2C">
        <w:t xml:space="preserve"> </w:t>
      </w:r>
      <w:r w:rsidR="00FD6B2C" w:rsidRPr="00FD6B2C">
        <w:t>shows trends in applicants per vacancy alongside the RBA cash rate, inflation rate, and number of multiple job holders from December quarter 2019 to December quarter 2025.</w:t>
      </w:r>
    </w:p>
    <w:p w14:paraId="58B7B4C5" w14:textId="219CCD18" w:rsidR="004D0643" w:rsidRPr="0012752E" w:rsidRDefault="00850D44" w:rsidP="00850D44">
      <w:pPr>
        <w:pStyle w:val="Caption"/>
      </w:pPr>
      <w:bookmarkStart w:id="38" w:name="_Ref222220909"/>
      <w:r>
        <w:t xml:space="preserve">Figure </w:t>
      </w:r>
      <w:r>
        <w:fldChar w:fldCharType="begin"/>
      </w:r>
      <w:r>
        <w:instrText xml:space="preserve"> SEQ Figure \* ARABIC </w:instrText>
      </w:r>
      <w:r>
        <w:fldChar w:fldCharType="separate"/>
      </w:r>
      <w:r w:rsidR="00A114CD">
        <w:rPr>
          <w:noProof/>
        </w:rPr>
        <w:t>6</w:t>
      </w:r>
      <w:r>
        <w:fldChar w:fldCharType="end"/>
      </w:r>
      <w:bookmarkEnd w:id="38"/>
      <w:r>
        <w:t>:</w:t>
      </w:r>
      <w:r w:rsidR="004D0643" w:rsidRPr="0012752E">
        <w:t xml:space="preserve"> Applicants per vacancy, multiple job holder</w:t>
      </w:r>
      <w:r w:rsidR="0059634C">
        <w:t xml:space="preserve"> rate</w:t>
      </w:r>
      <w:r w:rsidR="004D0643" w:rsidRPr="0012752E">
        <w:t>, RBA cash rate and inflation rate</w:t>
      </w:r>
      <w:r w:rsidR="004D0643">
        <w:t xml:space="preserve">, </w:t>
      </w:r>
      <w:r w:rsidR="00FD6B2C">
        <w:t>Sep</w:t>
      </w:r>
      <w:r w:rsidR="00FD6B2C" w:rsidRPr="004D0643">
        <w:t xml:space="preserve"> </w:t>
      </w:r>
      <w:r w:rsidR="004D0643" w:rsidRPr="004D0643">
        <w:t>201</w:t>
      </w:r>
      <w:r w:rsidR="00FD6B2C">
        <w:t>9</w:t>
      </w:r>
      <w:r w:rsidR="004D0643" w:rsidRPr="004D0643">
        <w:t>- Dec 2025</w:t>
      </w:r>
    </w:p>
    <w:p w14:paraId="2824A032" w14:textId="6B7B8933" w:rsidR="00540AC5" w:rsidRDefault="001C0C2B" w:rsidP="00FD1A17">
      <w:pPr>
        <w:pStyle w:val="Source"/>
      </w:pPr>
      <w:r w:rsidRPr="001C0C2B">
        <w:t xml:space="preserve"> </w:t>
      </w:r>
      <w:r w:rsidR="00540AC5">
        <w:rPr>
          <w:noProof/>
        </w:rPr>
        <w:drawing>
          <wp:inline distT="0" distB="0" distL="0" distR="0" wp14:anchorId="782C2888" wp14:editId="0B733C73">
            <wp:extent cx="5730875" cy="2950845"/>
            <wp:effectExtent l="0" t="0" r="3175" b="1905"/>
            <wp:docPr id="2091360350" name="Picture 5" descr="Figure 6 shows the quarterly applicants per vacancy (using Henderson moving average), multiple job holder rate, RBA cash rate and inflation rate between September 2019 and December 2025. The rise in applicants in 2023-2024 coincides with increases in inflation and the subsequent rise in RBA cashrate, and a prolonged period of high multiple job holder rate. This suggests cost-of-living pressures likely incentivised workers to seek further work, thus leading to a sharp rise in applicants. As the RBA cashrate plateaued from 2024-25, coupled with reduced inflation, this may have eased the incentive to look for further work, thus leading to a reduction in multiple job holders from a peak in December 2024, and may be a factor contributing to the reduction in applicants per vacancy in late 2024 to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60350" name="Picture 5" descr="Figure 6 shows the quarterly applicants per vacancy (using Henderson moving average), multiple job holder rate, RBA cash rate and inflation rate between September 2019 and December 2025. The rise in applicants in 2023-2024 coincides with increases in inflation and the subsequent rise in RBA cashrate, and a prolonged period of high multiple job holder rate. This suggests cost-of-living pressures likely incentivised workers to seek further work, thus leading to a sharp rise in applicants. As the RBA cashrate plateaued from 2024-25, coupled with reduced inflation, this may have eased the incentive to look for further work, thus leading to a reduction in multiple job holders from a peak in December 2024, and may be a factor contributing to the reduction in applicants per vacancy in late 2024 to 2025.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0875" cy="2950845"/>
                    </a:xfrm>
                    <a:prstGeom prst="rect">
                      <a:avLst/>
                    </a:prstGeom>
                    <a:noFill/>
                  </pic:spPr>
                </pic:pic>
              </a:graphicData>
            </a:graphic>
          </wp:inline>
        </w:drawing>
      </w:r>
    </w:p>
    <w:p w14:paraId="56CF9418" w14:textId="25F7A293" w:rsidR="00FD1A17" w:rsidRPr="00FD1A17" w:rsidRDefault="001C0C2B" w:rsidP="00FD1A17">
      <w:pPr>
        <w:pStyle w:val="Source"/>
      </w:pPr>
      <w:r w:rsidRPr="001C0C2B">
        <w:t>Source: Jobs and Skills Australia, SERA; Australian Bureau of Statistics</w:t>
      </w:r>
      <w:r w:rsidRPr="001C0C2B" w:rsidDel="00007BE0">
        <w:t>,</w:t>
      </w:r>
      <w:r w:rsidRPr="001C0C2B">
        <w:t xml:space="preserve"> Multiple Job Holders, September 2025; Australian Bureau of Statistics, CPI, December 2025; Reserve Bank of Australia, February 2026.</w:t>
      </w:r>
    </w:p>
    <w:p w14:paraId="0EDC3109" w14:textId="54AA0788" w:rsidR="00FD1A17" w:rsidRPr="004D0643" w:rsidRDefault="00FD1A17" w:rsidP="00FD1A17">
      <w:pPr>
        <w:pStyle w:val="Source"/>
      </w:pPr>
      <w:r w:rsidRPr="00FD1A17">
        <w:t xml:space="preserve">Note: Data is standardised to present the various metrics on the same scale and for ease of comparison across time. </w:t>
      </w:r>
    </w:p>
    <w:p w14:paraId="59E95865" w14:textId="2375BCDF" w:rsidR="00901F5A" w:rsidRPr="00901F5A" w:rsidRDefault="00901F5A" w:rsidP="00CC62D2">
      <w:pPr>
        <w:pStyle w:val="BodyText"/>
      </w:pPr>
      <w:r w:rsidRPr="00901F5A">
        <w:t>The movement of the RBA cash rate generally mirrors that of the applicants per vacancy: both began rising in 2023, levelled off in late 2024, and then declined in early 2025. Notably, similar patterns could be seen in consumer price index (CPI) movements several quarters before changes in cash rates occurred. The number of people holding multiple jobs rose sharply in 2023-24, peaking at 987,500 in December 2024 before dropping in early 2025. As financial pressures eased for some households, the incentive to seek additional or alternative employment could have diminished.</w:t>
      </w:r>
    </w:p>
    <w:p w14:paraId="2EA0CEF0" w14:textId="743FF330" w:rsidR="00831F41" w:rsidRPr="002E12A4" w:rsidRDefault="00901F5A" w:rsidP="002E12A4">
      <w:pPr>
        <w:pStyle w:val="BodyText"/>
        <w:rPr>
          <w:lang w:eastAsia="en-AU"/>
        </w:rPr>
      </w:pPr>
      <w:r w:rsidRPr="00901F5A">
        <w:t xml:space="preserve">Total applicants per vacancy appears to be </w:t>
      </w:r>
      <w:r w:rsidR="00917D45" w:rsidRPr="00901F5A">
        <w:t>stabilising</w:t>
      </w:r>
      <w:r w:rsidRPr="00901F5A">
        <w:t xml:space="preserve"> in line with stabilisation in the labour market. This may suggest that the spike in applicant activity was a temporary response to changing market conditions.</w:t>
      </w:r>
    </w:p>
    <w:p w14:paraId="4AE4F225" w14:textId="77777777" w:rsidR="009924F2" w:rsidRPr="00646F60" w:rsidRDefault="009924F2" w:rsidP="009924F2">
      <w:pPr>
        <w:pStyle w:val="Heading1"/>
      </w:pPr>
      <w:bookmarkStart w:id="39" w:name="_Explanatory_Notes"/>
      <w:bookmarkStart w:id="40" w:name="_Toc199509259"/>
      <w:bookmarkStart w:id="41" w:name="_Toc207977957"/>
      <w:bookmarkStart w:id="42" w:name="_Toc214019405"/>
      <w:bookmarkStart w:id="43" w:name="_Toc224202118"/>
      <w:bookmarkEnd w:id="39"/>
      <w:r w:rsidRPr="00646F60">
        <w:t>Explanatory Notes</w:t>
      </w:r>
      <w:bookmarkEnd w:id="40"/>
      <w:bookmarkEnd w:id="41"/>
      <w:bookmarkEnd w:id="42"/>
      <w:bookmarkEnd w:id="43"/>
    </w:p>
    <w:p w14:paraId="4C2A54D3" w14:textId="2F146B90" w:rsidR="009924F2" w:rsidRPr="00646F60" w:rsidRDefault="009924F2" w:rsidP="009924F2">
      <w:pPr>
        <w:pStyle w:val="BodyText"/>
      </w:pPr>
      <w:r w:rsidRPr="00646F60">
        <w:t>SERA is a monthly, telephone-based survey of employers with advertised vacancies online. The survey collects information on employers' recruitment experience. Annually, data is collected from over 1</w:t>
      </w:r>
      <w:r>
        <w:t>1</w:t>
      </w:r>
      <w:r w:rsidRPr="00646F60">
        <w:t>,000 employers and covers 577 occupations. Only those occupations with a sufficient quarterly sample size are included for analysis in this report.</w:t>
      </w:r>
    </w:p>
    <w:p w14:paraId="0F050543" w14:textId="3D6F2DAF" w:rsidR="009924F2" w:rsidRPr="00646F60" w:rsidRDefault="009924F2" w:rsidP="009924F2">
      <w:pPr>
        <w:pStyle w:val="BodyText"/>
      </w:pPr>
      <w:r w:rsidRPr="00646F60">
        <w:t xml:space="preserve">The survey covers skill level 1 to 4 occupations, as defined by </w:t>
      </w:r>
      <w:hyperlink r:id="rId26" w:history="1">
        <w:r w:rsidRPr="00646F60">
          <w:rPr>
            <w:rStyle w:val="Hyperlink"/>
          </w:rPr>
          <w:t>2022 Austr</w:t>
        </w:r>
        <w:bookmarkStart w:id="44" w:name="_Hlt207286477"/>
        <w:bookmarkStart w:id="45" w:name="_Hlt207286478"/>
        <w:r w:rsidRPr="00646F60">
          <w:rPr>
            <w:rStyle w:val="Hyperlink"/>
          </w:rPr>
          <w:t>a</w:t>
        </w:r>
        <w:bookmarkEnd w:id="44"/>
        <w:bookmarkEnd w:id="45"/>
        <w:r w:rsidRPr="00646F60">
          <w:rPr>
            <w:rStyle w:val="Hyperlink"/>
          </w:rPr>
          <w:t>lian and New Zealand Standard Classification of Occupations</w:t>
        </w:r>
      </w:hyperlink>
      <w:r w:rsidRPr="00646F60">
        <w:t>. As a result, the survey outcomes are reflective of occupations requiring post-school education and training.</w:t>
      </w:r>
    </w:p>
    <w:p w14:paraId="4EA79050" w14:textId="77777777" w:rsidR="009924F2" w:rsidRPr="00646F60" w:rsidRDefault="009924F2" w:rsidP="009924F2">
      <w:pPr>
        <w:pStyle w:val="Heading2"/>
      </w:pPr>
      <w:bookmarkStart w:id="46" w:name="_Definitions_of_metrics"/>
      <w:bookmarkStart w:id="47" w:name="_Toc199509260"/>
      <w:bookmarkStart w:id="48" w:name="_Toc207977958"/>
      <w:bookmarkStart w:id="49" w:name="_Toc214019406"/>
      <w:bookmarkStart w:id="50" w:name="_Toc224202119"/>
      <w:bookmarkEnd w:id="46"/>
      <w:r w:rsidRPr="00646F60">
        <w:t>Definitions of metrics</w:t>
      </w:r>
      <w:bookmarkEnd w:id="47"/>
      <w:bookmarkEnd w:id="48"/>
      <w:bookmarkEnd w:id="49"/>
      <w:bookmarkEnd w:id="50"/>
    </w:p>
    <w:p w14:paraId="0D583704" w14:textId="6D385927" w:rsidR="009924F2" w:rsidRPr="00646F60" w:rsidRDefault="009924F2" w:rsidP="00831A59">
      <w:pPr>
        <w:pStyle w:val="BodyText"/>
      </w:pPr>
      <w:r w:rsidRPr="005B5484">
        <w:t xml:space="preserve">The </w:t>
      </w:r>
      <w:r w:rsidRPr="00646F60">
        <w:rPr>
          <w:rStyle w:val="Strong"/>
        </w:rPr>
        <w:t>fill rate</w:t>
      </w:r>
      <w:r w:rsidRPr="00646F60">
        <w:t xml:space="preserve"> is the percentage of vacancies employers advertised that were filled. The metric is calculated by dividing the number of filled vacancies by total advertised vacancies.</w:t>
      </w:r>
    </w:p>
    <w:p w14:paraId="0C4341CA" w14:textId="25C1316B" w:rsidR="009924F2" w:rsidRPr="00646F60" w:rsidRDefault="009924F2" w:rsidP="00831A59">
      <w:pPr>
        <w:pStyle w:val="BodyText"/>
      </w:pPr>
      <w:r w:rsidRPr="005B5484">
        <w:t xml:space="preserve">The </w:t>
      </w:r>
      <w:r w:rsidRPr="00646F60">
        <w:rPr>
          <w:rStyle w:val="Strong"/>
        </w:rPr>
        <w:t>average number of applicants per vacancy</w:t>
      </w:r>
      <w:r w:rsidRPr="00646F60">
        <w:t xml:space="preserve"> is calculated as the sum of the number of applicants divided by the sum of advertised vacancies.</w:t>
      </w:r>
    </w:p>
    <w:p w14:paraId="0B3F91BE" w14:textId="7F91A045" w:rsidR="009924F2" w:rsidRPr="00646F60" w:rsidRDefault="009924F2" w:rsidP="00831A59">
      <w:pPr>
        <w:pStyle w:val="BodyText"/>
      </w:pPr>
      <w:r w:rsidRPr="005B5484">
        <w:t xml:space="preserve">The </w:t>
      </w:r>
      <w:r w:rsidRPr="00646F60">
        <w:rPr>
          <w:rStyle w:val="Strong"/>
        </w:rPr>
        <w:t>average number of qualified applicants per vacancy</w:t>
      </w:r>
      <w:r w:rsidRPr="00646F60">
        <w:t xml:space="preserve"> is calculated as the sum of the number of qualified applicants divided by the sum of advertised vacancies. Qualified applicants are the applicants who are assessed by employers as meeting the required qualification criteria of an advertised vacancy.</w:t>
      </w:r>
    </w:p>
    <w:p w14:paraId="20C6D1B5" w14:textId="10BE856F" w:rsidR="009924F2" w:rsidRPr="00646F60" w:rsidRDefault="009924F2" w:rsidP="00831A59">
      <w:pPr>
        <w:pStyle w:val="BodyText"/>
      </w:pPr>
      <w:r w:rsidRPr="005B5484">
        <w:t xml:space="preserve">The </w:t>
      </w:r>
      <w:r w:rsidRPr="00646F60">
        <w:rPr>
          <w:rStyle w:val="Strong"/>
        </w:rPr>
        <w:t>average number of suitable applicants per vacancy</w:t>
      </w:r>
      <w:r w:rsidRPr="00646F60">
        <w:t xml:space="preserve"> is calculated as the sum of the number of suitable applicants divided by the sum of advertised vacancies. Suitable applicants are those who are deemed by employers to be suitable for the job advertised.</w:t>
      </w:r>
    </w:p>
    <w:p w14:paraId="0667E2A0" w14:textId="32F07DDF" w:rsidR="009924F2" w:rsidRPr="00646F60" w:rsidRDefault="009924F2" w:rsidP="00831A59">
      <w:pPr>
        <w:pStyle w:val="BodyText"/>
      </w:pPr>
      <w:r w:rsidRPr="005B5484">
        <w:t xml:space="preserve">The </w:t>
      </w:r>
      <w:r w:rsidRPr="00646F60">
        <w:rPr>
          <w:rStyle w:val="Strong"/>
        </w:rPr>
        <w:t>average years of labour market experience</w:t>
      </w:r>
      <w:r w:rsidRPr="00646F60">
        <w:t xml:space="preserve"> sought by employer</w:t>
      </w:r>
      <w:r w:rsidR="00A602E9">
        <w:t>s</w:t>
      </w:r>
      <w:r w:rsidRPr="00646F60">
        <w:t xml:space="preserve"> is the average number of years that employers require applicants to have spent in relevant occupations and is calculated as the mean of the years required per employer.</w:t>
      </w:r>
    </w:p>
    <w:p w14:paraId="5A6DCDBE" w14:textId="58E55062" w:rsidR="009924F2" w:rsidRPr="00646F60" w:rsidRDefault="009924F2" w:rsidP="009924F2">
      <w:pPr>
        <w:pStyle w:val="BodyText"/>
      </w:pPr>
      <w:r w:rsidRPr="00646F60">
        <w:rPr>
          <w:rStyle w:val="Strong"/>
        </w:rPr>
        <w:t>Metropolitan area</w:t>
      </w:r>
      <w:r w:rsidRPr="00646F60">
        <w:t xml:space="preserve"> refers to Capital City, while </w:t>
      </w:r>
      <w:r w:rsidRPr="00646F60">
        <w:rPr>
          <w:rStyle w:val="Strong"/>
        </w:rPr>
        <w:t>Regional area</w:t>
      </w:r>
      <w:r w:rsidRPr="00646F60">
        <w:t xml:space="preserve"> refers to Rest of State locations. Capital City and Rest of State areas are defined by the </w:t>
      </w:r>
      <w:hyperlink r:id="rId27" w:history="1">
        <w:r w:rsidRPr="00646F60">
          <w:rPr>
            <w:rStyle w:val="Hyperlink"/>
          </w:rPr>
          <w:t>Australian Statistical Geography Standard (ASGS) Edition 3, July 2021</w:t>
        </w:r>
      </w:hyperlink>
      <w:r w:rsidRPr="00646F60">
        <w:t>.</w:t>
      </w:r>
    </w:p>
    <w:p w14:paraId="5D5607F8" w14:textId="551A4773" w:rsidR="00B96396" w:rsidRPr="00FE2E1A" w:rsidRDefault="009924F2" w:rsidP="00603ED4">
      <w:pPr>
        <w:pStyle w:val="BodyText"/>
      </w:pPr>
      <w:r w:rsidRPr="00646F60">
        <w:t xml:space="preserve">For more information, contact </w:t>
      </w:r>
      <w:hyperlink r:id="rId28" w:history="1">
        <w:r w:rsidRPr="00646F60">
          <w:rPr>
            <w:rStyle w:val="Hyperlink"/>
          </w:rPr>
          <w:t>OccupationShortageList@jobsandskills.gov.au</w:t>
        </w:r>
      </w:hyperlink>
      <w:r>
        <w:t>.</w:t>
      </w:r>
    </w:p>
    <w:sectPr w:rsidR="00B96396" w:rsidRPr="00FE2E1A" w:rsidSect="000F5CD2">
      <w:footerReference w:type="first" r:id="rId29"/>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5447B" w14:textId="77777777" w:rsidR="00C92B43" w:rsidRDefault="00C92B43" w:rsidP="00E12845">
      <w:pPr>
        <w:spacing w:before="0" w:after="0"/>
      </w:pPr>
      <w:r>
        <w:separator/>
      </w:r>
    </w:p>
  </w:endnote>
  <w:endnote w:type="continuationSeparator" w:id="0">
    <w:p w14:paraId="3DC8AC67" w14:textId="77777777" w:rsidR="00C92B43" w:rsidRDefault="00C92B43"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6661BACC" w14:textId="74C23515" w:rsidR="00BA4D1C" w:rsidRDefault="00BA4D1C">
        <w:pPr>
          <w:pStyle w:val="Footer"/>
        </w:pPr>
        <w:r w:rsidRPr="00835A0D">
          <w:t>Jobs and Skills Australia –</w:t>
        </w:r>
        <w:r>
          <w:t xml:space="preserve"> </w:t>
        </w:r>
        <w:fldSimple w:instr="STYLEREF  Title  \* MERGEFORMAT">
          <w:r w:rsidR="00A114CD">
            <w:rPr>
              <w:noProof/>
            </w:rPr>
            <w:t>Occupation Shortage Report</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4024888E" w14:textId="3B35EE34" w:rsidR="000F5CD2" w:rsidRDefault="000F5CD2">
        <w:pPr>
          <w:pStyle w:val="Footer"/>
        </w:pPr>
        <w:r w:rsidRPr="00835A0D">
          <w:t>Jobs and Skills Australia –</w:t>
        </w:r>
        <w:r>
          <w:t xml:space="preserve"> </w:t>
        </w:r>
        <w:fldSimple w:instr="STYLEREF  Title  \* MERGEFORMAT">
          <w:r w:rsidR="00A114CD">
            <w:rPr>
              <w:noProof/>
            </w:rPr>
            <w:t>Occupation Shortage Report</w:t>
          </w:r>
        </w:fldSimple>
        <w:r w:rsidRPr="00A67B12">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0F88B5D6" w14:textId="11D0A123" w:rsidR="00A67B12" w:rsidRPr="00576BAF" w:rsidRDefault="00A67B12" w:rsidP="00576BAF">
        <w:pPr>
          <w:pStyle w:val="Footer"/>
        </w:pPr>
        <w:r w:rsidRPr="00835A0D">
          <w:t>Jobs and Skills Australia –</w:t>
        </w:r>
        <w:r>
          <w:t xml:space="preserve"> </w:t>
        </w:r>
        <w:fldSimple w:instr="STYLEREF  Title  \* MERGEFORMAT">
          <w:r w:rsidR="00A114CD">
            <w:rPr>
              <w:noProof/>
            </w:rPr>
            <w:t>Occupation Shortage Report</w:t>
          </w:r>
        </w:fldSimple>
        <w:r w:rsidRPr="00A67B12">
          <w:t xml:space="preserve"> </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7A5F"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D0C0" w14:textId="77777777" w:rsidR="00C92B43" w:rsidRDefault="00C92B43" w:rsidP="00E12845">
      <w:pPr>
        <w:spacing w:before="0" w:after="0"/>
      </w:pPr>
      <w:r>
        <w:separator/>
      </w:r>
    </w:p>
  </w:footnote>
  <w:footnote w:type="continuationSeparator" w:id="0">
    <w:p w14:paraId="3E8E30A2" w14:textId="77777777" w:rsidR="00C92B43" w:rsidRDefault="00C92B43" w:rsidP="00E12845">
      <w:pPr>
        <w:spacing w:before="0" w:after="0"/>
      </w:pPr>
      <w:r>
        <w:continuationSeparator/>
      </w:r>
    </w:p>
  </w:footnote>
  <w:footnote w:id="1">
    <w:p w14:paraId="4524C62A" w14:textId="77777777" w:rsidR="008A37B8" w:rsidRDefault="008A37B8" w:rsidP="008A37B8">
      <w:pPr>
        <w:pStyle w:val="FootnoteText"/>
      </w:pPr>
      <w:r>
        <w:rPr>
          <w:rStyle w:val="FootnoteReference"/>
        </w:rPr>
        <w:footnoteRef/>
      </w:r>
      <w:r>
        <w:t xml:space="preserve"> This metric shows the percentage of advertised vacancies that are filled by employers.</w:t>
      </w:r>
    </w:p>
  </w:footnote>
  <w:footnote w:id="2">
    <w:p w14:paraId="2ED309F5" w14:textId="39D01B3F" w:rsidR="008A37B8" w:rsidRDefault="008A37B8" w:rsidP="008A37B8">
      <w:pPr>
        <w:pStyle w:val="FootnoteText"/>
      </w:pPr>
      <w:r>
        <w:rPr>
          <w:rStyle w:val="FootnoteReference"/>
        </w:rPr>
        <w:footnoteRef/>
      </w:r>
      <w:r>
        <w:t xml:space="preserve"> </w:t>
      </w:r>
      <w:r w:rsidRPr="00640FEE">
        <w:t xml:space="preserve">The fill rate and other metrics in the table are based on a </w:t>
      </w:r>
      <w:r w:rsidR="00813355" w:rsidRPr="00640FEE">
        <w:t>12-month</w:t>
      </w:r>
      <w:r w:rsidRPr="00640FEE">
        <w:t xml:space="preserve"> moving average up to the latest quarter. Using a rolling annual period, as opposed to the latest quarter itself, removes the impact of data volatility.</w:t>
      </w:r>
    </w:p>
  </w:footnote>
  <w:footnote w:id="3">
    <w:p w14:paraId="1DC089D8" w14:textId="77777777" w:rsidR="008A37B8" w:rsidRPr="00640FEE" w:rsidRDefault="008A37B8" w:rsidP="008A37B8">
      <w:pPr>
        <w:pStyle w:val="FootnoteText"/>
      </w:pPr>
      <w:r w:rsidRPr="00640FEE">
        <w:rPr>
          <w:rStyle w:val="Charactersuperscript"/>
        </w:rPr>
        <w:footnoteRef/>
      </w:r>
      <w:r w:rsidRPr="00640FEE">
        <w:t xml:space="preserve"> A</w:t>
      </w:r>
      <w:r>
        <w:t xml:space="preserve">ustralian </w:t>
      </w:r>
      <w:r w:rsidRPr="00640FEE">
        <w:t>B</w:t>
      </w:r>
      <w:r>
        <w:t xml:space="preserve">ureau of </w:t>
      </w:r>
      <w:r w:rsidRPr="00640FEE">
        <w:t>S</w:t>
      </w:r>
      <w:r>
        <w:t>tatistics</w:t>
      </w:r>
      <w:r w:rsidRPr="00640FEE">
        <w:t>, Australian and New Zealand Standard Classification of Occupations, 2022 version.</w:t>
      </w:r>
    </w:p>
  </w:footnote>
  <w:footnote w:id="4">
    <w:p w14:paraId="2F153532" w14:textId="77777777" w:rsidR="00265A53" w:rsidRPr="009A7BB3" w:rsidRDefault="00265A53" w:rsidP="00265A53">
      <w:pPr>
        <w:pStyle w:val="FootnoteText"/>
        <w:rPr>
          <w:rFonts w:cs="Arial"/>
          <w:szCs w:val="18"/>
        </w:rPr>
      </w:pPr>
      <w:r w:rsidRPr="009A7BB3">
        <w:rPr>
          <w:rStyle w:val="FootnoteReference"/>
          <w:rFonts w:cs="Arial"/>
          <w:szCs w:val="18"/>
        </w:rPr>
        <w:footnoteRef/>
      </w:r>
      <w:r w:rsidRPr="009A7BB3">
        <w:rPr>
          <w:rFonts w:cs="Arial"/>
          <w:szCs w:val="18"/>
        </w:rPr>
        <w:t xml:space="preserve"> The Henderson moving average </w:t>
      </w:r>
      <w:r>
        <w:rPr>
          <w:rFonts w:cs="Arial"/>
          <w:szCs w:val="18"/>
        </w:rPr>
        <w:t xml:space="preserve">(HMA) </w:t>
      </w:r>
      <w:r w:rsidRPr="009A7BB3">
        <w:rPr>
          <w:rFonts w:cs="Arial"/>
          <w:szCs w:val="18"/>
        </w:rPr>
        <w:t xml:space="preserve">is a weighted smoothing technique used in time series analysis for estimating trends. A 5-term Henderson filter was applied on quarterly data in this analysis. </w:t>
      </w:r>
      <w:r>
        <w:rPr>
          <w:rFonts w:cs="Arial"/>
          <w:szCs w:val="18"/>
        </w:rPr>
        <w:t xml:space="preserve">Future OSR will be based on HMA. </w:t>
      </w:r>
      <w:r w:rsidRPr="00FA234B">
        <w:rPr>
          <w:rFonts w:cs="Arial"/>
          <w:szCs w:val="18"/>
        </w:rPr>
        <w:t xml:space="preserve">More details of </w:t>
      </w:r>
      <w:r>
        <w:rPr>
          <w:rFonts w:cs="Arial"/>
          <w:szCs w:val="18"/>
        </w:rPr>
        <w:t xml:space="preserve">HMA </w:t>
      </w:r>
      <w:r w:rsidRPr="00FA234B">
        <w:rPr>
          <w:rFonts w:cs="Arial"/>
          <w:szCs w:val="18"/>
        </w:rPr>
        <w:t xml:space="preserve">will be </w:t>
      </w:r>
      <w:r>
        <w:rPr>
          <w:rFonts w:cs="Arial"/>
          <w:szCs w:val="18"/>
        </w:rPr>
        <w:t xml:space="preserve">included in </w:t>
      </w:r>
      <w:r w:rsidRPr="00FA234B">
        <w:rPr>
          <w:rFonts w:cs="Arial"/>
          <w:szCs w:val="18"/>
        </w:rPr>
        <w:t>the Explanatory section of the 2026 March quarter OSR report.</w:t>
      </w:r>
    </w:p>
  </w:footnote>
  <w:footnote w:id="5">
    <w:p w14:paraId="7BC71E3D" w14:textId="77777777" w:rsidR="00795C86" w:rsidRDefault="00795C86" w:rsidP="00795C86">
      <w:pPr>
        <w:pStyle w:val="FootnoteText"/>
      </w:pPr>
      <w:r>
        <w:rPr>
          <w:rStyle w:val="FootnoteReference"/>
        </w:rPr>
        <w:footnoteRef/>
      </w:r>
      <w:r>
        <w:t xml:space="preserve"> </w:t>
      </w:r>
      <w:r w:rsidRPr="001379BE">
        <w:rPr>
          <w:rFonts w:cs="Arial"/>
          <w:szCs w:val="18"/>
        </w:rPr>
        <w:t>Australian Bureau of Statistics, Participation, Job Search and Mobility,</w:t>
      </w:r>
      <w:r>
        <w:rPr>
          <w:rFonts w:cs="Arial"/>
          <w:szCs w:val="18"/>
        </w:rPr>
        <w:t xml:space="preserve"> </w:t>
      </w:r>
      <w:r w:rsidRPr="001379BE">
        <w:rPr>
          <w:rFonts w:cs="Arial"/>
          <w:szCs w:val="18"/>
        </w:rPr>
        <w:t>Australia, February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580A" w14:textId="77777777" w:rsidR="00A67B12" w:rsidRPr="0030592C" w:rsidRDefault="00A67B12" w:rsidP="00A67B12">
    <w:pPr>
      <w:pStyle w:val="Header"/>
    </w:pPr>
  </w:p>
  <w:p w14:paraId="17904869"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CD1B"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A434C9"/>
    <w:multiLevelType w:val="multilevel"/>
    <w:tmpl w:val="113457F2"/>
    <w:numStyleLink w:val="Headingsmaster"/>
  </w:abstractNum>
  <w:abstractNum w:abstractNumId="7"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B76778"/>
    <w:multiLevelType w:val="multilevel"/>
    <w:tmpl w:val="56043EA4"/>
    <w:numStyleLink w:val="TableListBulletmaster"/>
  </w:abstractNum>
  <w:abstractNum w:abstractNumId="9" w15:restartNumberingAfterBreak="0">
    <w:nsid w:val="1E1304D0"/>
    <w:multiLevelType w:val="multilevel"/>
    <w:tmpl w:val="56043EA4"/>
    <w:numStyleLink w:val="TableListBulletmaster"/>
  </w:abstractNum>
  <w:abstractNum w:abstractNumId="10"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95D78"/>
    <w:multiLevelType w:val="multilevel"/>
    <w:tmpl w:val="EAA2F742"/>
    <w:numStyleLink w:val="TableListNumbermaster"/>
  </w:abstractNum>
  <w:abstractNum w:abstractNumId="12"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0E4DE9"/>
    <w:multiLevelType w:val="multilevel"/>
    <w:tmpl w:val="56043EA4"/>
    <w:numStyleLink w:val="TableListBulletmaster"/>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C415FF"/>
    <w:multiLevelType w:val="multilevel"/>
    <w:tmpl w:val="113457F2"/>
    <w:numStyleLink w:val="Headingsmaster"/>
  </w:abstractNum>
  <w:abstractNum w:abstractNumId="16" w15:restartNumberingAfterBreak="0">
    <w:nsid w:val="311066B6"/>
    <w:multiLevelType w:val="multilevel"/>
    <w:tmpl w:val="113457F2"/>
    <w:numStyleLink w:val="Headingsmaster"/>
  </w:abstractNum>
  <w:abstractNum w:abstractNumId="17" w15:restartNumberingAfterBreak="0">
    <w:nsid w:val="34666B61"/>
    <w:multiLevelType w:val="multilevel"/>
    <w:tmpl w:val="113457F2"/>
    <w:numStyleLink w:val="Headingsmaster"/>
  </w:abstractNum>
  <w:abstractNum w:abstractNumId="18" w15:restartNumberingAfterBreak="0">
    <w:nsid w:val="36B75813"/>
    <w:multiLevelType w:val="multilevel"/>
    <w:tmpl w:val="0D96AACA"/>
    <w:numStyleLink w:val="AppendixHeadingmaster"/>
  </w:abstractNum>
  <w:abstractNum w:abstractNumId="19" w15:restartNumberingAfterBreak="0">
    <w:nsid w:val="3C9723CF"/>
    <w:multiLevelType w:val="multilevel"/>
    <w:tmpl w:val="56043EA4"/>
    <w:numStyleLink w:val="TableListBulletmaster"/>
  </w:abstractNum>
  <w:abstractNum w:abstractNumId="20" w15:restartNumberingAfterBreak="0">
    <w:nsid w:val="3C9F68FB"/>
    <w:multiLevelType w:val="multilevel"/>
    <w:tmpl w:val="113457F2"/>
    <w:numStyleLink w:val="Headingsmaster"/>
  </w:abstractNum>
  <w:abstractNum w:abstractNumId="21"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4D764C"/>
    <w:multiLevelType w:val="multilevel"/>
    <w:tmpl w:val="EAA2F742"/>
    <w:numStyleLink w:val="TableListNumbermaster"/>
  </w:abstractNum>
  <w:abstractNum w:abstractNumId="23" w15:restartNumberingAfterBreak="0">
    <w:nsid w:val="51910100"/>
    <w:multiLevelType w:val="multilevel"/>
    <w:tmpl w:val="113457F2"/>
    <w:numStyleLink w:val="Headingsmaster"/>
  </w:abstractNum>
  <w:abstractNum w:abstractNumId="24"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B01366B"/>
    <w:multiLevelType w:val="hybridMultilevel"/>
    <w:tmpl w:val="A9E07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6D1012"/>
    <w:multiLevelType w:val="multilevel"/>
    <w:tmpl w:val="EAA2F742"/>
    <w:numStyleLink w:val="TableListNumbermaster"/>
  </w:abstractNum>
  <w:abstractNum w:abstractNumId="35" w15:restartNumberingAfterBreak="0">
    <w:nsid w:val="7D881735"/>
    <w:multiLevelType w:val="multilevel"/>
    <w:tmpl w:val="113457F2"/>
    <w:numStyleLink w:val="Headingsmaster"/>
  </w:abstractNum>
  <w:num w:numId="1" w16cid:durableId="328336156">
    <w:abstractNumId w:val="3"/>
  </w:num>
  <w:num w:numId="2" w16cid:durableId="1950045772">
    <w:abstractNumId w:val="26"/>
  </w:num>
  <w:num w:numId="3" w16cid:durableId="290287643">
    <w:abstractNumId w:val="7"/>
  </w:num>
  <w:num w:numId="4" w16cid:durableId="1869679674">
    <w:abstractNumId w:val="28"/>
  </w:num>
  <w:num w:numId="5" w16cid:durableId="2032871560">
    <w:abstractNumId w:val="14"/>
  </w:num>
  <w:num w:numId="6" w16cid:durableId="310910324">
    <w:abstractNumId w:val="25"/>
  </w:num>
  <w:num w:numId="7" w16cid:durableId="753476416">
    <w:abstractNumId w:val="10"/>
  </w:num>
  <w:num w:numId="8" w16cid:durableId="1722048815">
    <w:abstractNumId w:val="2"/>
  </w:num>
  <w:num w:numId="9" w16cid:durableId="1790736337">
    <w:abstractNumId w:val="21"/>
  </w:num>
  <w:num w:numId="10" w16cid:durableId="1926304350">
    <w:abstractNumId w:val="5"/>
  </w:num>
  <w:num w:numId="11" w16cid:durableId="874537139">
    <w:abstractNumId w:val="29"/>
  </w:num>
  <w:num w:numId="12" w16cid:durableId="759377971">
    <w:abstractNumId w:val="8"/>
  </w:num>
  <w:num w:numId="13" w16cid:durableId="107823657">
    <w:abstractNumId w:val="12"/>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2"/>
  </w:num>
  <w:num w:numId="19" w16cid:durableId="713041904">
    <w:abstractNumId w:val="31"/>
  </w:num>
  <w:num w:numId="20" w16cid:durableId="2057582421">
    <w:abstractNumId w:val="31"/>
  </w:num>
  <w:num w:numId="21" w16cid:durableId="2062821214">
    <w:abstractNumId w:val="23"/>
  </w:num>
  <w:num w:numId="22" w16cid:durableId="618410884">
    <w:abstractNumId w:val="35"/>
  </w:num>
  <w:num w:numId="23" w16cid:durableId="1320232845">
    <w:abstractNumId w:val="1"/>
  </w:num>
  <w:num w:numId="24" w16cid:durableId="1249077048">
    <w:abstractNumId w:val="9"/>
  </w:num>
  <w:num w:numId="25" w16cid:durableId="1552837590">
    <w:abstractNumId w:val="19"/>
  </w:num>
  <w:num w:numId="26" w16cid:durableId="734856478">
    <w:abstractNumId w:val="34"/>
  </w:num>
  <w:num w:numId="27" w16cid:durableId="1136530311">
    <w:abstractNumId w:val="22"/>
  </w:num>
  <w:num w:numId="28" w16cid:durableId="1221482542">
    <w:abstractNumId w:val="13"/>
  </w:num>
  <w:num w:numId="29" w16cid:durableId="2087678997">
    <w:abstractNumId w:val="11"/>
  </w:num>
  <w:num w:numId="30" w16cid:durableId="963854149">
    <w:abstractNumId w:val="0"/>
  </w:num>
  <w:num w:numId="31" w16cid:durableId="2035225280">
    <w:abstractNumId w:val="4"/>
  </w:num>
  <w:num w:numId="32" w16cid:durableId="1742405919">
    <w:abstractNumId w:val="18"/>
    <w:lvlOverride w:ilvl="0">
      <w:lvl w:ilvl="0">
        <w:start w:val="1"/>
        <w:numFmt w:val="upperLetter"/>
        <w:pStyle w:val="AppendixHeading1"/>
        <w:lvlText w:val="Appendix %1"/>
        <w:lvlJc w:val="left"/>
        <w:pPr>
          <w:ind w:left="2268" w:hanging="2268"/>
        </w:pPr>
      </w:lvl>
    </w:lvlOverride>
  </w:num>
  <w:num w:numId="33" w16cid:durableId="411391810">
    <w:abstractNumId w:val="20"/>
  </w:num>
  <w:num w:numId="34" w16cid:durableId="1442914095">
    <w:abstractNumId w:val="6"/>
  </w:num>
  <w:num w:numId="35" w16cid:durableId="691956747">
    <w:abstractNumId w:val="17"/>
  </w:num>
  <w:num w:numId="36" w16cid:durableId="1156337329">
    <w:abstractNumId w:val="15"/>
  </w:num>
  <w:num w:numId="37" w16cid:durableId="1349261214">
    <w:abstractNumId w:val="16"/>
  </w:num>
  <w:num w:numId="38" w16cid:durableId="634800952">
    <w:abstractNumId w:val="1"/>
  </w:num>
  <w:num w:numId="39" w16cid:durableId="10790551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567411">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6D6EBB"/>
    <w:rsid w:val="00004687"/>
    <w:rsid w:val="00005ECE"/>
    <w:rsid w:val="00010BC1"/>
    <w:rsid w:val="0001145C"/>
    <w:rsid w:val="00011665"/>
    <w:rsid w:val="0001365E"/>
    <w:rsid w:val="00022689"/>
    <w:rsid w:val="000243CE"/>
    <w:rsid w:val="000246A1"/>
    <w:rsid w:val="00024FA2"/>
    <w:rsid w:val="00026429"/>
    <w:rsid w:val="0002738A"/>
    <w:rsid w:val="000301C6"/>
    <w:rsid w:val="0003471E"/>
    <w:rsid w:val="000362A7"/>
    <w:rsid w:val="00036CC5"/>
    <w:rsid w:val="000419F4"/>
    <w:rsid w:val="00041B44"/>
    <w:rsid w:val="0004497B"/>
    <w:rsid w:val="00046C8A"/>
    <w:rsid w:val="000478FD"/>
    <w:rsid w:val="00050F13"/>
    <w:rsid w:val="0005180A"/>
    <w:rsid w:val="00051941"/>
    <w:rsid w:val="00052E9F"/>
    <w:rsid w:val="00055CDE"/>
    <w:rsid w:val="000561FD"/>
    <w:rsid w:val="00060EF8"/>
    <w:rsid w:val="0006241B"/>
    <w:rsid w:val="00063B52"/>
    <w:rsid w:val="00064419"/>
    <w:rsid w:val="00065C74"/>
    <w:rsid w:val="00066476"/>
    <w:rsid w:val="00066B58"/>
    <w:rsid w:val="00067824"/>
    <w:rsid w:val="000703E2"/>
    <w:rsid w:val="00075160"/>
    <w:rsid w:val="000758B0"/>
    <w:rsid w:val="00077D8A"/>
    <w:rsid w:val="000803B6"/>
    <w:rsid w:val="00081FE2"/>
    <w:rsid w:val="0008202E"/>
    <w:rsid w:val="000828E6"/>
    <w:rsid w:val="0008443F"/>
    <w:rsid w:val="00087307"/>
    <w:rsid w:val="0009266D"/>
    <w:rsid w:val="00092FDF"/>
    <w:rsid w:val="00093021"/>
    <w:rsid w:val="0009395F"/>
    <w:rsid w:val="00093EE6"/>
    <w:rsid w:val="000941F1"/>
    <w:rsid w:val="00095906"/>
    <w:rsid w:val="0009644B"/>
    <w:rsid w:val="000976FF"/>
    <w:rsid w:val="000A0F96"/>
    <w:rsid w:val="000A4D2F"/>
    <w:rsid w:val="000A53F7"/>
    <w:rsid w:val="000A737F"/>
    <w:rsid w:val="000B0F50"/>
    <w:rsid w:val="000B1D01"/>
    <w:rsid w:val="000B1F51"/>
    <w:rsid w:val="000B4AFA"/>
    <w:rsid w:val="000B68F0"/>
    <w:rsid w:val="000C3E1F"/>
    <w:rsid w:val="000C42E6"/>
    <w:rsid w:val="000C49A1"/>
    <w:rsid w:val="000C56F3"/>
    <w:rsid w:val="000C629D"/>
    <w:rsid w:val="000D02FA"/>
    <w:rsid w:val="000D03B6"/>
    <w:rsid w:val="000D481C"/>
    <w:rsid w:val="000E1765"/>
    <w:rsid w:val="000E523E"/>
    <w:rsid w:val="000E724B"/>
    <w:rsid w:val="000F18CB"/>
    <w:rsid w:val="000F5CD2"/>
    <w:rsid w:val="000F5E4C"/>
    <w:rsid w:val="000F5F1A"/>
    <w:rsid w:val="000F7A21"/>
    <w:rsid w:val="00102602"/>
    <w:rsid w:val="00103B8E"/>
    <w:rsid w:val="00103DC3"/>
    <w:rsid w:val="00104750"/>
    <w:rsid w:val="00104C8F"/>
    <w:rsid w:val="001057A3"/>
    <w:rsid w:val="00106E26"/>
    <w:rsid w:val="00107130"/>
    <w:rsid w:val="00110FB2"/>
    <w:rsid w:val="00112337"/>
    <w:rsid w:val="0011256D"/>
    <w:rsid w:val="001134AC"/>
    <w:rsid w:val="00114589"/>
    <w:rsid w:val="00115B6D"/>
    <w:rsid w:val="00120228"/>
    <w:rsid w:val="001210F5"/>
    <w:rsid w:val="00121950"/>
    <w:rsid w:val="00122F5A"/>
    <w:rsid w:val="00127F9F"/>
    <w:rsid w:val="00131AAC"/>
    <w:rsid w:val="00131C8E"/>
    <w:rsid w:val="001336B4"/>
    <w:rsid w:val="001346AE"/>
    <w:rsid w:val="00135493"/>
    <w:rsid w:val="001356E7"/>
    <w:rsid w:val="00136720"/>
    <w:rsid w:val="00137E20"/>
    <w:rsid w:val="0014346A"/>
    <w:rsid w:val="001444B2"/>
    <w:rsid w:val="00146358"/>
    <w:rsid w:val="00146FD0"/>
    <w:rsid w:val="001476AF"/>
    <w:rsid w:val="0015110C"/>
    <w:rsid w:val="00155E30"/>
    <w:rsid w:val="0015650D"/>
    <w:rsid w:val="001637E4"/>
    <w:rsid w:val="00164498"/>
    <w:rsid w:val="001646CD"/>
    <w:rsid w:val="00164D26"/>
    <w:rsid w:val="00165306"/>
    <w:rsid w:val="00172538"/>
    <w:rsid w:val="00172823"/>
    <w:rsid w:val="00173F5A"/>
    <w:rsid w:val="001768B4"/>
    <w:rsid w:val="00180DFE"/>
    <w:rsid w:val="00181140"/>
    <w:rsid w:val="00182820"/>
    <w:rsid w:val="00183E48"/>
    <w:rsid w:val="00184F51"/>
    <w:rsid w:val="001861E4"/>
    <w:rsid w:val="00186429"/>
    <w:rsid w:val="001872FE"/>
    <w:rsid w:val="001873F9"/>
    <w:rsid w:val="00192B5F"/>
    <w:rsid w:val="00193B5C"/>
    <w:rsid w:val="001A0C45"/>
    <w:rsid w:val="001A532A"/>
    <w:rsid w:val="001A55B6"/>
    <w:rsid w:val="001A7270"/>
    <w:rsid w:val="001A7E36"/>
    <w:rsid w:val="001B163A"/>
    <w:rsid w:val="001B3E7E"/>
    <w:rsid w:val="001B52FC"/>
    <w:rsid w:val="001B6D91"/>
    <w:rsid w:val="001C0C2B"/>
    <w:rsid w:val="001C175B"/>
    <w:rsid w:val="001C1CF7"/>
    <w:rsid w:val="001C31A1"/>
    <w:rsid w:val="001C3B1D"/>
    <w:rsid w:val="001C4183"/>
    <w:rsid w:val="001C570B"/>
    <w:rsid w:val="001C5B6D"/>
    <w:rsid w:val="001C5BBB"/>
    <w:rsid w:val="001C65ED"/>
    <w:rsid w:val="001D1E20"/>
    <w:rsid w:val="001D3315"/>
    <w:rsid w:val="001D450D"/>
    <w:rsid w:val="001D519D"/>
    <w:rsid w:val="001E4FB6"/>
    <w:rsid w:val="001E6449"/>
    <w:rsid w:val="001E7562"/>
    <w:rsid w:val="001F00AA"/>
    <w:rsid w:val="001F01C8"/>
    <w:rsid w:val="001F29D0"/>
    <w:rsid w:val="001F4349"/>
    <w:rsid w:val="001F43B9"/>
    <w:rsid w:val="001F49AF"/>
    <w:rsid w:val="001F4B22"/>
    <w:rsid w:val="001F60BF"/>
    <w:rsid w:val="001F60C9"/>
    <w:rsid w:val="001F6ACD"/>
    <w:rsid w:val="001F73E5"/>
    <w:rsid w:val="001F7A75"/>
    <w:rsid w:val="00200E7E"/>
    <w:rsid w:val="0020139C"/>
    <w:rsid w:val="00201EED"/>
    <w:rsid w:val="00203BC1"/>
    <w:rsid w:val="002108BE"/>
    <w:rsid w:val="00211459"/>
    <w:rsid w:val="0021151B"/>
    <w:rsid w:val="00212A6E"/>
    <w:rsid w:val="002148F8"/>
    <w:rsid w:val="00216574"/>
    <w:rsid w:val="00217F3B"/>
    <w:rsid w:val="00220D3C"/>
    <w:rsid w:val="00221C14"/>
    <w:rsid w:val="00225F58"/>
    <w:rsid w:val="002268EF"/>
    <w:rsid w:val="00233BA9"/>
    <w:rsid w:val="00233E48"/>
    <w:rsid w:val="0023754A"/>
    <w:rsid w:val="00237B63"/>
    <w:rsid w:val="00240A07"/>
    <w:rsid w:val="00240C69"/>
    <w:rsid w:val="00240CAC"/>
    <w:rsid w:val="00241524"/>
    <w:rsid w:val="00247409"/>
    <w:rsid w:val="00247F8C"/>
    <w:rsid w:val="00250B42"/>
    <w:rsid w:val="0025299F"/>
    <w:rsid w:val="00253668"/>
    <w:rsid w:val="0025397D"/>
    <w:rsid w:val="00255C68"/>
    <w:rsid w:val="00265A53"/>
    <w:rsid w:val="002660D0"/>
    <w:rsid w:val="0027193A"/>
    <w:rsid w:val="00271B00"/>
    <w:rsid w:val="002739A1"/>
    <w:rsid w:val="00274DEB"/>
    <w:rsid w:val="002753F2"/>
    <w:rsid w:val="002758FA"/>
    <w:rsid w:val="00276177"/>
    <w:rsid w:val="00276231"/>
    <w:rsid w:val="00281D65"/>
    <w:rsid w:val="0028341E"/>
    <w:rsid w:val="00283DDC"/>
    <w:rsid w:val="0028539D"/>
    <w:rsid w:val="0028642C"/>
    <w:rsid w:val="0029121E"/>
    <w:rsid w:val="00291313"/>
    <w:rsid w:val="00297722"/>
    <w:rsid w:val="002A13A9"/>
    <w:rsid w:val="002A1456"/>
    <w:rsid w:val="002A3BBD"/>
    <w:rsid w:val="002A50F4"/>
    <w:rsid w:val="002A51E7"/>
    <w:rsid w:val="002A5B9D"/>
    <w:rsid w:val="002A5E9A"/>
    <w:rsid w:val="002A66C5"/>
    <w:rsid w:val="002B0945"/>
    <w:rsid w:val="002B1C71"/>
    <w:rsid w:val="002B3BCD"/>
    <w:rsid w:val="002B5782"/>
    <w:rsid w:val="002B6F60"/>
    <w:rsid w:val="002C1520"/>
    <w:rsid w:val="002C52A3"/>
    <w:rsid w:val="002C76D6"/>
    <w:rsid w:val="002D79A8"/>
    <w:rsid w:val="002E12A4"/>
    <w:rsid w:val="002E16B6"/>
    <w:rsid w:val="002E3943"/>
    <w:rsid w:val="002E46EA"/>
    <w:rsid w:val="002E5BAA"/>
    <w:rsid w:val="002F18B3"/>
    <w:rsid w:val="002F1DF5"/>
    <w:rsid w:val="002F48F5"/>
    <w:rsid w:val="002F6AE9"/>
    <w:rsid w:val="002F70AA"/>
    <w:rsid w:val="0030050F"/>
    <w:rsid w:val="00300713"/>
    <w:rsid w:val="0030094D"/>
    <w:rsid w:val="0030272B"/>
    <w:rsid w:val="0030437A"/>
    <w:rsid w:val="0030592C"/>
    <w:rsid w:val="00307477"/>
    <w:rsid w:val="0030776B"/>
    <w:rsid w:val="00313165"/>
    <w:rsid w:val="0031442C"/>
    <w:rsid w:val="0031679A"/>
    <w:rsid w:val="00317A4C"/>
    <w:rsid w:val="00323771"/>
    <w:rsid w:val="0032473A"/>
    <w:rsid w:val="003254F1"/>
    <w:rsid w:val="003264D2"/>
    <w:rsid w:val="003315B4"/>
    <w:rsid w:val="003317ED"/>
    <w:rsid w:val="00333E62"/>
    <w:rsid w:val="00336353"/>
    <w:rsid w:val="00343C7A"/>
    <w:rsid w:val="003450AE"/>
    <w:rsid w:val="0035210C"/>
    <w:rsid w:val="003531B8"/>
    <w:rsid w:val="00353301"/>
    <w:rsid w:val="00355334"/>
    <w:rsid w:val="00356F67"/>
    <w:rsid w:val="00357970"/>
    <w:rsid w:val="003600FD"/>
    <w:rsid w:val="00362AA2"/>
    <w:rsid w:val="00363E48"/>
    <w:rsid w:val="00371548"/>
    <w:rsid w:val="00372AA9"/>
    <w:rsid w:val="003730C5"/>
    <w:rsid w:val="00374713"/>
    <w:rsid w:val="00376759"/>
    <w:rsid w:val="003813D3"/>
    <w:rsid w:val="00382A10"/>
    <w:rsid w:val="00383AB0"/>
    <w:rsid w:val="00384297"/>
    <w:rsid w:val="00384DA2"/>
    <w:rsid w:val="0039183E"/>
    <w:rsid w:val="003918A1"/>
    <w:rsid w:val="00392B1A"/>
    <w:rsid w:val="00393081"/>
    <w:rsid w:val="00394B04"/>
    <w:rsid w:val="00396898"/>
    <w:rsid w:val="003A0B6D"/>
    <w:rsid w:val="003A27EC"/>
    <w:rsid w:val="003A2C66"/>
    <w:rsid w:val="003A32E9"/>
    <w:rsid w:val="003A3F6F"/>
    <w:rsid w:val="003A49E5"/>
    <w:rsid w:val="003A6957"/>
    <w:rsid w:val="003A767C"/>
    <w:rsid w:val="003A78C0"/>
    <w:rsid w:val="003A7FC3"/>
    <w:rsid w:val="003B0CA7"/>
    <w:rsid w:val="003B4E58"/>
    <w:rsid w:val="003C081A"/>
    <w:rsid w:val="003C0D31"/>
    <w:rsid w:val="003C3E40"/>
    <w:rsid w:val="003C4096"/>
    <w:rsid w:val="003C655D"/>
    <w:rsid w:val="003C7246"/>
    <w:rsid w:val="003D153D"/>
    <w:rsid w:val="003D2B56"/>
    <w:rsid w:val="003D2E4E"/>
    <w:rsid w:val="003D4BDE"/>
    <w:rsid w:val="003D5739"/>
    <w:rsid w:val="003D6336"/>
    <w:rsid w:val="003D6B5E"/>
    <w:rsid w:val="003D6F01"/>
    <w:rsid w:val="003D7170"/>
    <w:rsid w:val="003D740F"/>
    <w:rsid w:val="003D75B9"/>
    <w:rsid w:val="003E23D1"/>
    <w:rsid w:val="003E3276"/>
    <w:rsid w:val="003E6856"/>
    <w:rsid w:val="003E7F7F"/>
    <w:rsid w:val="003F047F"/>
    <w:rsid w:val="003F07CF"/>
    <w:rsid w:val="003F0B9B"/>
    <w:rsid w:val="003F1FC9"/>
    <w:rsid w:val="003F212D"/>
    <w:rsid w:val="003F3496"/>
    <w:rsid w:val="003F543E"/>
    <w:rsid w:val="003F56F4"/>
    <w:rsid w:val="004010FA"/>
    <w:rsid w:val="00402E7E"/>
    <w:rsid w:val="00403EE8"/>
    <w:rsid w:val="004052F9"/>
    <w:rsid w:val="004060C7"/>
    <w:rsid w:val="00411A1C"/>
    <w:rsid w:val="00413EB8"/>
    <w:rsid w:val="00414150"/>
    <w:rsid w:val="00417A45"/>
    <w:rsid w:val="00421857"/>
    <w:rsid w:val="004234AB"/>
    <w:rsid w:val="00423DB0"/>
    <w:rsid w:val="00427161"/>
    <w:rsid w:val="00434ACE"/>
    <w:rsid w:val="00443A16"/>
    <w:rsid w:val="00443AC7"/>
    <w:rsid w:val="00444B69"/>
    <w:rsid w:val="00447FC7"/>
    <w:rsid w:val="00451037"/>
    <w:rsid w:val="00452183"/>
    <w:rsid w:val="00452A9D"/>
    <w:rsid w:val="00453731"/>
    <w:rsid w:val="00454B02"/>
    <w:rsid w:val="00454B8F"/>
    <w:rsid w:val="00455749"/>
    <w:rsid w:val="00460DB2"/>
    <w:rsid w:val="00461076"/>
    <w:rsid w:val="0046356C"/>
    <w:rsid w:val="00465EFC"/>
    <w:rsid w:val="00470C78"/>
    <w:rsid w:val="004714FB"/>
    <w:rsid w:val="00472B77"/>
    <w:rsid w:val="0047302A"/>
    <w:rsid w:val="00475689"/>
    <w:rsid w:val="004819B0"/>
    <w:rsid w:val="00485902"/>
    <w:rsid w:val="00486277"/>
    <w:rsid w:val="004868DF"/>
    <w:rsid w:val="00492F18"/>
    <w:rsid w:val="0049342C"/>
    <w:rsid w:val="00494240"/>
    <w:rsid w:val="004951D5"/>
    <w:rsid w:val="004A2F84"/>
    <w:rsid w:val="004A37CA"/>
    <w:rsid w:val="004A5C0C"/>
    <w:rsid w:val="004A5D03"/>
    <w:rsid w:val="004A69CF"/>
    <w:rsid w:val="004B0DF0"/>
    <w:rsid w:val="004B2435"/>
    <w:rsid w:val="004C0BEE"/>
    <w:rsid w:val="004C2D7F"/>
    <w:rsid w:val="004C3EF1"/>
    <w:rsid w:val="004C5CE2"/>
    <w:rsid w:val="004C7276"/>
    <w:rsid w:val="004D0643"/>
    <w:rsid w:val="004D27EF"/>
    <w:rsid w:val="004D3CB9"/>
    <w:rsid w:val="004D65A0"/>
    <w:rsid w:val="004D6721"/>
    <w:rsid w:val="004E0D0F"/>
    <w:rsid w:val="004E15F8"/>
    <w:rsid w:val="004E2D1F"/>
    <w:rsid w:val="004E5A05"/>
    <w:rsid w:val="004F09D3"/>
    <w:rsid w:val="004F2A8D"/>
    <w:rsid w:val="004F4E23"/>
    <w:rsid w:val="004F5E2C"/>
    <w:rsid w:val="004F6F48"/>
    <w:rsid w:val="005002B4"/>
    <w:rsid w:val="005012B2"/>
    <w:rsid w:val="00505E97"/>
    <w:rsid w:val="00506754"/>
    <w:rsid w:val="00506B40"/>
    <w:rsid w:val="0050741A"/>
    <w:rsid w:val="00510640"/>
    <w:rsid w:val="00512361"/>
    <w:rsid w:val="00513536"/>
    <w:rsid w:val="00515596"/>
    <w:rsid w:val="00516FAC"/>
    <w:rsid w:val="00517725"/>
    <w:rsid w:val="00517B67"/>
    <w:rsid w:val="00524A11"/>
    <w:rsid w:val="0052507D"/>
    <w:rsid w:val="00527D2D"/>
    <w:rsid w:val="00531BFC"/>
    <w:rsid w:val="005342AB"/>
    <w:rsid w:val="005349DE"/>
    <w:rsid w:val="005355AF"/>
    <w:rsid w:val="00537176"/>
    <w:rsid w:val="00540436"/>
    <w:rsid w:val="00540AC5"/>
    <w:rsid w:val="00541271"/>
    <w:rsid w:val="0054188B"/>
    <w:rsid w:val="00543231"/>
    <w:rsid w:val="0054454E"/>
    <w:rsid w:val="00544654"/>
    <w:rsid w:val="00544EC5"/>
    <w:rsid w:val="00544F35"/>
    <w:rsid w:val="00544FC7"/>
    <w:rsid w:val="00547911"/>
    <w:rsid w:val="00552447"/>
    <w:rsid w:val="00553049"/>
    <w:rsid w:val="00553B8D"/>
    <w:rsid w:val="005547AE"/>
    <w:rsid w:val="00561238"/>
    <w:rsid w:val="00565188"/>
    <w:rsid w:val="00567847"/>
    <w:rsid w:val="005705D3"/>
    <w:rsid w:val="00571276"/>
    <w:rsid w:val="00573C0F"/>
    <w:rsid w:val="00574B60"/>
    <w:rsid w:val="00574C8F"/>
    <w:rsid w:val="00575DC6"/>
    <w:rsid w:val="00576BAF"/>
    <w:rsid w:val="00580200"/>
    <w:rsid w:val="005827C7"/>
    <w:rsid w:val="00585801"/>
    <w:rsid w:val="005858C6"/>
    <w:rsid w:val="00585C2E"/>
    <w:rsid w:val="00590101"/>
    <w:rsid w:val="00592C0C"/>
    <w:rsid w:val="00594F7B"/>
    <w:rsid w:val="005952B1"/>
    <w:rsid w:val="0059634C"/>
    <w:rsid w:val="00596848"/>
    <w:rsid w:val="005A1BEF"/>
    <w:rsid w:val="005A2EDB"/>
    <w:rsid w:val="005A362A"/>
    <w:rsid w:val="005A3AD2"/>
    <w:rsid w:val="005A6EB7"/>
    <w:rsid w:val="005A78EC"/>
    <w:rsid w:val="005B058C"/>
    <w:rsid w:val="005B3FE8"/>
    <w:rsid w:val="005B53E3"/>
    <w:rsid w:val="005B5484"/>
    <w:rsid w:val="005B6A04"/>
    <w:rsid w:val="005C23ED"/>
    <w:rsid w:val="005C5A54"/>
    <w:rsid w:val="005C6912"/>
    <w:rsid w:val="005C6A03"/>
    <w:rsid w:val="005D0FB2"/>
    <w:rsid w:val="005D68A3"/>
    <w:rsid w:val="005D70A0"/>
    <w:rsid w:val="005E26EF"/>
    <w:rsid w:val="005E73C3"/>
    <w:rsid w:val="005F3183"/>
    <w:rsid w:val="005F7A6E"/>
    <w:rsid w:val="005F7C45"/>
    <w:rsid w:val="00600004"/>
    <w:rsid w:val="00603ED4"/>
    <w:rsid w:val="00605F01"/>
    <w:rsid w:val="0060795F"/>
    <w:rsid w:val="00607D32"/>
    <w:rsid w:val="00610523"/>
    <w:rsid w:val="00610754"/>
    <w:rsid w:val="00610E92"/>
    <w:rsid w:val="0061136A"/>
    <w:rsid w:val="006114EF"/>
    <w:rsid w:val="00611EA1"/>
    <w:rsid w:val="006150FA"/>
    <w:rsid w:val="00615AB6"/>
    <w:rsid w:val="00617738"/>
    <w:rsid w:val="00624498"/>
    <w:rsid w:val="00624C7F"/>
    <w:rsid w:val="00626430"/>
    <w:rsid w:val="00631A6E"/>
    <w:rsid w:val="006328AE"/>
    <w:rsid w:val="00640F8F"/>
    <w:rsid w:val="0064432F"/>
    <w:rsid w:val="00650B16"/>
    <w:rsid w:val="0065245D"/>
    <w:rsid w:val="00655927"/>
    <w:rsid w:val="006608A9"/>
    <w:rsid w:val="006663B8"/>
    <w:rsid w:val="00666CDC"/>
    <w:rsid w:val="00670134"/>
    <w:rsid w:val="006718C1"/>
    <w:rsid w:val="006722C0"/>
    <w:rsid w:val="0067419E"/>
    <w:rsid w:val="006756CC"/>
    <w:rsid w:val="006756F0"/>
    <w:rsid w:val="006819D3"/>
    <w:rsid w:val="00682E6D"/>
    <w:rsid w:val="00684846"/>
    <w:rsid w:val="00686262"/>
    <w:rsid w:val="006875C8"/>
    <w:rsid w:val="0069066D"/>
    <w:rsid w:val="00690867"/>
    <w:rsid w:val="00690B2A"/>
    <w:rsid w:val="00693222"/>
    <w:rsid w:val="006965D2"/>
    <w:rsid w:val="006A0F25"/>
    <w:rsid w:val="006A338E"/>
    <w:rsid w:val="006A353B"/>
    <w:rsid w:val="006A4609"/>
    <w:rsid w:val="006A65A0"/>
    <w:rsid w:val="006A68B7"/>
    <w:rsid w:val="006A6A97"/>
    <w:rsid w:val="006B4FA2"/>
    <w:rsid w:val="006C4809"/>
    <w:rsid w:val="006C4D19"/>
    <w:rsid w:val="006C554D"/>
    <w:rsid w:val="006C729E"/>
    <w:rsid w:val="006D184D"/>
    <w:rsid w:val="006D220E"/>
    <w:rsid w:val="006D26D8"/>
    <w:rsid w:val="006D2DCB"/>
    <w:rsid w:val="006D2EB5"/>
    <w:rsid w:val="006D4D79"/>
    <w:rsid w:val="006D5065"/>
    <w:rsid w:val="006D580A"/>
    <w:rsid w:val="006D6EBB"/>
    <w:rsid w:val="006E064F"/>
    <w:rsid w:val="006E21AD"/>
    <w:rsid w:val="006E2362"/>
    <w:rsid w:val="006E3FF9"/>
    <w:rsid w:val="006E4300"/>
    <w:rsid w:val="006E4F12"/>
    <w:rsid w:val="006E6ADD"/>
    <w:rsid w:val="006F3830"/>
    <w:rsid w:val="006F569A"/>
    <w:rsid w:val="006F5E63"/>
    <w:rsid w:val="006F7EA7"/>
    <w:rsid w:val="007050AA"/>
    <w:rsid w:val="00705DEA"/>
    <w:rsid w:val="00706A82"/>
    <w:rsid w:val="00706D2D"/>
    <w:rsid w:val="00713506"/>
    <w:rsid w:val="00720AE6"/>
    <w:rsid w:val="007247AF"/>
    <w:rsid w:val="00724F7C"/>
    <w:rsid w:val="007309B2"/>
    <w:rsid w:val="0073213E"/>
    <w:rsid w:val="00732165"/>
    <w:rsid w:val="00732448"/>
    <w:rsid w:val="007338F3"/>
    <w:rsid w:val="00735B41"/>
    <w:rsid w:val="00737FCC"/>
    <w:rsid w:val="007410A8"/>
    <w:rsid w:val="00741FFC"/>
    <w:rsid w:val="00743191"/>
    <w:rsid w:val="007433EF"/>
    <w:rsid w:val="0074512B"/>
    <w:rsid w:val="00750F61"/>
    <w:rsid w:val="0075216C"/>
    <w:rsid w:val="0075658E"/>
    <w:rsid w:val="0076068C"/>
    <w:rsid w:val="007606C1"/>
    <w:rsid w:val="0076165A"/>
    <w:rsid w:val="007665C8"/>
    <w:rsid w:val="0076677F"/>
    <w:rsid w:val="00767857"/>
    <w:rsid w:val="007742C1"/>
    <w:rsid w:val="00777828"/>
    <w:rsid w:val="00783059"/>
    <w:rsid w:val="00783BA9"/>
    <w:rsid w:val="0078435A"/>
    <w:rsid w:val="007850E6"/>
    <w:rsid w:val="00785AB3"/>
    <w:rsid w:val="007860EA"/>
    <w:rsid w:val="00786EA0"/>
    <w:rsid w:val="007877E8"/>
    <w:rsid w:val="007921B4"/>
    <w:rsid w:val="00792FAB"/>
    <w:rsid w:val="00795C86"/>
    <w:rsid w:val="007961E3"/>
    <w:rsid w:val="007976C6"/>
    <w:rsid w:val="007A1104"/>
    <w:rsid w:val="007A11E9"/>
    <w:rsid w:val="007A171C"/>
    <w:rsid w:val="007A2B42"/>
    <w:rsid w:val="007A618A"/>
    <w:rsid w:val="007A7C84"/>
    <w:rsid w:val="007B22A3"/>
    <w:rsid w:val="007B6532"/>
    <w:rsid w:val="007B6CDF"/>
    <w:rsid w:val="007B7CCB"/>
    <w:rsid w:val="007B7F59"/>
    <w:rsid w:val="007C1A44"/>
    <w:rsid w:val="007C266B"/>
    <w:rsid w:val="007C2E34"/>
    <w:rsid w:val="007C41BA"/>
    <w:rsid w:val="007C4CC2"/>
    <w:rsid w:val="007C4CFF"/>
    <w:rsid w:val="007C7033"/>
    <w:rsid w:val="007C7814"/>
    <w:rsid w:val="007D0441"/>
    <w:rsid w:val="007D0738"/>
    <w:rsid w:val="007D0D58"/>
    <w:rsid w:val="007D187C"/>
    <w:rsid w:val="007D31D3"/>
    <w:rsid w:val="007D3EE3"/>
    <w:rsid w:val="007D4E09"/>
    <w:rsid w:val="007D6F2F"/>
    <w:rsid w:val="007E12ED"/>
    <w:rsid w:val="007E15CD"/>
    <w:rsid w:val="007E24AE"/>
    <w:rsid w:val="007E2542"/>
    <w:rsid w:val="007E41A6"/>
    <w:rsid w:val="007E4D9D"/>
    <w:rsid w:val="007E4E4A"/>
    <w:rsid w:val="007E6C8B"/>
    <w:rsid w:val="007E7FF7"/>
    <w:rsid w:val="007F1D9B"/>
    <w:rsid w:val="007F29BD"/>
    <w:rsid w:val="007F2B51"/>
    <w:rsid w:val="007F2BDA"/>
    <w:rsid w:val="007F3400"/>
    <w:rsid w:val="007F44BE"/>
    <w:rsid w:val="007F65D6"/>
    <w:rsid w:val="007F7490"/>
    <w:rsid w:val="00801470"/>
    <w:rsid w:val="008042C4"/>
    <w:rsid w:val="00804911"/>
    <w:rsid w:val="008053EC"/>
    <w:rsid w:val="008108C8"/>
    <w:rsid w:val="00810C3E"/>
    <w:rsid w:val="00811566"/>
    <w:rsid w:val="00813355"/>
    <w:rsid w:val="00813600"/>
    <w:rsid w:val="00815DA9"/>
    <w:rsid w:val="00817BF4"/>
    <w:rsid w:val="0082152E"/>
    <w:rsid w:val="0082253E"/>
    <w:rsid w:val="00822EE2"/>
    <w:rsid w:val="00825C64"/>
    <w:rsid w:val="008263B5"/>
    <w:rsid w:val="00831A59"/>
    <w:rsid w:val="00831F41"/>
    <w:rsid w:val="008331A3"/>
    <w:rsid w:val="00835A0D"/>
    <w:rsid w:val="00835C5A"/>
    <w:rsid w:val="008364A9"/>
    <w:rsid w:val="0083707A"/>
    <w:rsid w:val="00843951"/>
    <w:rsid w:val="00843C04"/>
    <w:rsid w:val="00845D1C"/>
    <w:rsid w:val="00850D44"/>
    <w:rsid w:val="00853724"/>
    <w:rsid w:val="00853848"/>
    <w:rsid w:val="00856734"/>
    <w:rsid w:val="008567F5"/>
    <w:rsid w:val="00860410"/>
    <w:rsid w:val="0086350F"/>
    <w:rsid w:val="008639BF"/>
    <w:rsid w:val="00864F48"/>
    <w:rsid w:val="0087212F"/>
    <w:rsid w:val="00874C80"/>
    <w:rsid w:val="00880DB9"/>
    <w:rsid w:val="008908D6"/>
    <w:rsid w:val="00891AB0"/>
    <w:rsid w:val="00891E50"/>
    <w:rsid w:val="00894ACF"/>
    <w:rsid w:val="008A19E4"/>
    <w:rsid w:val="008A22BF"/>
    <w:rsid w:val="008A37B8"/>
    <w:rsid w:val="008A680A"/>
    <w:rsid w:val="008B2704"/>
    <w:rsid w:val="008B3D48"/>
    <w:rsid w:val="008B5F2C"/>
    <w:rsid w:val="008B7663"/>
    <w:rsid w:val="008C1068"/>
    <w:rsid w:val="008C2E03"/>
    <w:rsid w:val="008C31D9"/>
    <w:rsid w:val="008C7234"/>
    <w:rsid w:val="008C7FEC"/>
    <w:rsid w:val="008D3F46"/>
    <w:rsid w:val="008D4A23"/>
    <w:rsid w:val="008D51D3"/>
    <w:rsid w:val="008D5AE0"/>
    <w:rsid w:val="008D7069"/>
    <w:rsid w:val="008E063E"/>
    <w:rsid w:val="008E1203"/>
    <w:rsid w:val="008E138E"/>
    <w:rsid w:val="008E17E0"/>
    <w:rsid w:val="008E2713"/>
    <w:rsid w:val="008E275C"/>
    <w:rsid w:val="008E44E5"/>
    <w:rsid w:val="008E67C3"/>
    <w:rsid w:val="008E73AE"/>
    <w:rsid w:val="008F39AB"/>
    <w:rsid w:val="008F7ACE"/>
    <w:rsid w:val="009002CC"/>
    <w:rsid w:val="009017A6"/>
    <w:rsid w:val="00901F5A"/>
    <w:rsid w:val="00901FBE"/>
    <w:rsid w:val="00902D27"/>
    <w:rsid w:val="00904D83"/>
    <w:rsid w:val="00905C6F"/>
    <w:rsid w:val="009076EA"/>
    <w:rsid w:val="00911876"/>
    <w:rsid w:val="009128F9"/>
    <w:rsid w:val="009144E2"/>
    <w:rsid w:val="00917D45"/>
    <w:rsid w:val="00924295"/>
    <w:rsid w:val="009246B8"/>
    <w:rsid w:val="00924A82"/>
    <w:rsid w:val="00925D3A"/>
    <w:rsid w:val="00925D48"/>
    <w:rsid w:val="009279DF"/>
    <w:rsid w:val="009324CA"/>
    <w:rsid w:val="00933166"/>
    <w:rsid w:val="00936AE6"/>
    <w:rsid w:val="00937F3C"/>
    <w:rsid w:val="009420B4"/>
    <w:rsid w:val="00943508"/>
    <w:rsid w:val="009446BC"/>
    <w:rsid w:val="00944A86"/>
    <w:rsid w:val="00944F0A"/>
    <w:rsid w:val="00947993"/>
    <w:rsid w:val="009508E1"/>
    <w:rsid w:val="00951BD0"/>
    <w:rsid w:val="00951C8C"/>
    <w:rsid w:val="00952C93"/>
    <w:rsid w:val="00952C94"/>
    <w:rsid w:val="00954B55"/>
    <w:rsid w:val="009574A1"/>
    <w:rsid w:val="00960910"/>
    <w:rsid w:val="00960F5C"/>
    <w:rsid w:val="0096115D"/>
    <w:rsid w:val="00962B0F"/>
    <w:rsid w:val="0096427B"/>
    <w:rsid w:val="00964972"/>
    <w:rsid w:val="0096664D"/>
    <w:rsid w:val="00966E57"/>
    <w:rsid w:val="009700D1"/>
    <w:rsid w:val="009702B6"/>
    <w:rsid w:val="00970D7D"/>
    <w:rsid w:val="0097288C"/>
    <w:rsid w:val="0097312F"/>
    <w:rsid w:val="009739BB"/>
    <w:rsid w:val="00974B58"/>
    <w:rsid w:val="009758C9"/>
    <w:rsid w:val="00984D47"/>
    <w:rsid w:val="0098508D"/>
    <w:rsid w:val="00991724"/>
    <w:rsid w:val="009924F2"/>
    <w:rsid w:val="00992852"/>
    <w:rsid w:val="0099297A"/>
    <w:rsid w:val="00994329"/>
    <w:rsid w:val="00996519"/>
    <w:rsid w:val="009971A3"/>
    <w:rsid w:val="009A1EA4"/>
    <w:rsid w:val="009A2D8C"/>
    <w:rsid w:val="009A2DF7"/>
    <w:rsid w:val="009A4CDD"/>
    <w:rsid w:val="009A4E61"/>
    <w:rsid w:val="009A5375"/>
    <w:rsid w:val="009A755C"/>
    <w:rsid w:val="009A7C25"/>
    <w:rsid w:val="009B259F"/>
    <w:rsid w:val="009B3208"/>
    <w:rsid w:val="009B383F"/>
    <w:rsid w:val="009C2C7C"/>
    <w:rsid w:val="009C3BB9"/>
    <w:rsid w:val="009C3CE4"/>
    <w:rsid w:val="009D0209"/>
    <w:rsid w:val="009D0B7F"/>
    <w:rsid w:val="009D0F0B"/>
    <w:rsid w:val="009D2568"/>
    <w:rsid w:val="009D3217"/>
    <w:rsid w:val="009D4669"/>
    <w:rsid w:val="009D4703"/>
    <w:rsid w:val="009D4C97"/>
    <w:rsid w:val="009D73D6"/>
    <w:rsid w:val="009D7674"/>
    <w:rsid w:val="009D7CB5"/>
    <w:rsid w:val="009E0CF0"/>
    <w:rsid w:val="009E58FD"/>
    <w:rsid w:val="009E61A1"/>
    <w:rsid w:val="009F0467"/>
    <w:rsid w:val="009F53CE"/>
    <w:rsid w:val="009F6BB7"/>
    <w:rsid w:val="009F6F10"/>
    <w:rsid w:val="009F70E0"/>
    <w:rsid w:val="00A02FF9"/>
    <w:rsid w:val="00A0381E"/>
    <w:rsid w:val="00A071F3"/>
    <w:rsid w:val="00A114CD"/>
    <w:rsid w:val="00A11C2D"/>
    <w:rsid w:val="00A1407A"/>
    <w:rsid w:val="00A1478F"/>
    <w:rsid w:val="00A16CA9"/>
    <w:rsid w:val="00A20E75"/>
    <w:rsid w:val="00A35EC6"/>
    <w:rsid w:val="00A36992"/>
    <w:rsid w:val="00A434C6"/>
    <w:rsid w:val="00A46FDD"/>
    <w:rsid w:val="00A50DD0"/>
    <w:rsid w:val="00A540C3"/>
    <w:rsid w:val="00A54186"/>
    <w:rsid w:val="00A602E9"/>
    <w:rsid w:val="00A61759"/>
    <w:rsid w:val="00A62250"/>
    <w:rsid w:val="00A639FD"/>
    <w:rsid w:val="00A67B12"/>
    <w:rsid w:val="00A70B32"/>
    <w:rsid w:val="00A70E06"/>
    <w:rsid w:val="00A729B1"/>
    <w:rsid w:val="00A8146E"/>
    <w:rsid w:val="00A8153C"/>
    <w:rsid w:val="00A82296"/>
    <w:rsid w:val="00A83D71"/>
    <w:rsid w:val="00A84DCE"/>
    <w:rsid w:val="00A91866"/>
    <w:rsid w:val="00A92464"/>
    <w:rsid w:val="00A942F3"/>
    <w:rsid w:val="00A947D2"/>
    <w:rsid w:val="00A94EFD"/>
    <w:rsid w:val="00A9516D"/>
    <w:rsid w:val="00A955CB"/>
    <w:rsid w:val="00A96204"/>
    <w:rsid w:val="00AA53FD"/>
    <w:rsid w:val="00AA5442"/>
    <w:rsid w:val="00AA620F"/>
    <w:rsid w:val="00AA6CDE"/>
    <w:rsid w:val="00AA7D12"/>
    <w:rsid w:val="00AB2AE4"/>
    <w:rsid w:val="00AB7311"/>
    <w:rsid w:val="00AC0C77"/>
    <w:rsid w:val="00AC33C3"/>
    <w:rsid w:val="00AC4BC6"/>
    <w:rsid w:val="00AC6AEF"/>
    <w:rsid w:val="00AC6DD1"/>
    <w:rsid w:val="00AD0BEC"/>
    <w:rsid w:val="00AD251A"/>
    <w:rsid w:val="00AD7068"/>
    <w:rsid w:val="00AD78FD"/>
    <w:rsid w:val="00AE0185"/>
    <w:rsid w:val="00AE329C"/>
    <w:rsid w:val="00AE375D"/>
    <w:rsid w:val="00AE58B5"/>
    <w:rsid w:val="00AE6E92"/>
    <w:rsid w:val="00AE732A"/>
    <w:rsid w:val="00AE79AF"/>
    <w:rsid w:val="00AF2FCC"/>
    <w:rsid w:val="00AF32E7"/>
    <w:rsid w:val="00AF41DC"/>
    <w:rsid w:val="00AF4541"/>
    <w:rsid w:val="00AF7651"/>
    <w:rsid w:val="00AF7EE1"/>
    <w:rsid w:val="00B0117C"/>
    <w:rsid w:val="00B011E1"/>
    <w:rsid w:val="00B051F3"/>
    <w:rsid w:val="00B0675A"/>
    <w:rsid w:val="00B07E84"/>
    <w:rsid w:val="00B11DB6"/>
    <w:rsid w:val="00B151F9"/>
    <w:rsid w:val="00B166A8"/>
    <w:rsid w:val="00B207BA"/>
    <w:rsid w:val="00B214CA"/>
    <w:rsid w:val="00B222E3"/>
    <w:rsid w:val="00B23167"/>
    <w:rsid w:val="00B234B5"/>
    <w:rsid w:val="00B25644"/>
    <w:rsid w:val="00B306E5"/>
    <w:rsid w:val="00B308A9"/>
    <w:rsid w:val="00B313DB"/>
    <w:rsid w:val="00B320F0"/>
    <w:rsid w:val="00B3491C"/>
    <w:rsid w:val="00B3511B"/>
    <w:rsid w:val="00B37CEE"/>
    <w:rsid w:val="00B42B34"/>
    <w:rsid w:val="00B447DB"/>
    <w:rsid w:val="00B4491F"/>
    <w:rsid w:val="00B45E0F"/>
    <w:rsid w:val="00B50821"/>
    <w:rsid w:val="00B53908"/>
    <w:rsid w:val="00B5503B"/>
    <w:rsid w:val="00B551DD"/>
    <w:rsid w:val="00B6576E"/>
    <w:rsid w:val="00B66247"/>
    <w:rsid w:val="00B664CD"/>
    <w:rsid w:val="00B708B8"/>
    <w:rsid w:val="00B7140C"/>
    <w:rsid w:val="00B71C48"/>
    <w:rsid w:val="00B7433E"/>
    <w:rsid w:val="00B74938"/>
    <w:rsid w:val="00B75C71"/>
    <w:rsid w:val="00B76792"/>
    <w:rsid w:val="00B77225"/>
    <w:rsid w:val="00B83113"/>
    <w:rsid w:val="00B85E05"/>
    <w:rsid w:val="00B8692F"/>
    <w:rsid w:val="00B913C4"/>
    <w:rsid w:val="00B94348"/>
    <w:rsid w:val="00B96396"/>
    <w:rsid w:val="00B968BC"/>
    <w:rsid w:val="00BA124C"/>
    <w:rsid w:val="00BA4D1C"/>
    <w:rsid w:val="00BA65E5"/>
    <w:rsid w:val="00BB23E1"/>
    <w:rsid w:val="00BB3873"/>
    <w:rsid w:val="00BB3A57"/>
    <w:rsid w:val="00BB53F6"/>
    <w:rsid w:val="00BB60F8"/>
    <w:rsid w:val="00BB71FF"/>
    <w:rsid w:val="00BB7BF1"/>
    <w:rsid w:val="00BC1110"/>
    <w:rsid w:val="00BC1B34"/>
    <w:rsid w:val="00BC2A04"/>
    <w:rsid w:val="00BC2D2C"/>
    <w:rsid w:val="00BC38A5"/>
    <w:rsid w:val="00BC5BEB"/>
    <w:rsid w:val="00BE0540"/>
    <w:rsid w:val="00BE1E28"/>
    <w:rsid w:val="00BF0E94"/>
    <w:rsid w:val="00BF119B"/>
    <w:rsid w:val="00C024E9"/>
    <w:rsid w:val="00C03AA1"/>
    <w:rsid w:val="00C04227"/>
    <w:rsid w:val="00C06FD8"/>
    <w:rsid w:val="00C0785E"/>
    <w:rsid w:val="00C10933"/>
    <w:rsid w:val="00C10BFA"/>
    <w:rsid w:val="00C1189F"/>
    <w:rsid w:val="00C13883"/>
    <w:rsid w:val="00C15006"/>
    <w:rsid w:val="00C1597F"/>
    <w:rsid w:val="00C15D5E"/>
    <w:rsid w:val="00C232DB"/>
    <w:rsid w:val="00C32EA3"/>
    <w:rsid w:val="00C33E02"/>
    <w:rsid w:val="00C36379"/>
    <w:rsid w:val="00C41409"/>
    <w:rsid w:val="00C41631"/>
    <w:rsid w:val="00C42F93"/>
    <w:rsid w:val="00C431AD"/>
    <w:rsid w:val="00C4377D"/>
    <w:rsid w:val="00C4441F"/>
    <w:rsid w:val="00C4512E"/>
    <w:rsid w:val="00C47658"/>
    <w:rsid w:val="00C508BA"/>
    <w:rsid w:val="00C525A0"/>
    <w:rsid w:val="00C52707"/>
    <w:rsid w:val="00C530B1"/>
    <w:rsid w:val="00C54F77"/>
    <w:rsid w:val="00C57979"/>
    <w:rsid w:val="00C57B63"/>
    <w:rsid w:val="00C61CCE"/>
    <w:rsid w:val="00C626BE"/>
    <w:rsid w:val="00C6367F"/>
    <w:rsid w:val="00C637AE"/>
    <w:rsid w:val="00C65954"/>
    <w:rsid w:val="00C67594"/>
    <w:rsid w:val="00C7129E"/>
    <w:rsid w:val="00C76581"/>
    <w:rsid w:val="00C774E6"/>
    <w:rsid w:val="00C77A3A"/>
    <w:rsid w:val="00C83615"/>
    <w:rsid w:val="00C8474C"/>
    <w:rsid w:val="00C86816"/>
    <w:rsid w:val="00C86D1F"/>
    <w:rsid w:val="00C92B43"/>
    <w:rsid w:val="00C93617"/>
    <w:rsid w:val="00C94556"/>
    <w:rsid w:val="00C948E5"/>
    <w:rsid w:val="00CA1626"/>
    <w:rsid w:val="00CA28A4"/>
    <w:rsid w:val="00CA2EAA"/>
    <w:rsid w:val="00CA3FE6"/>
    <w:rsid w:val="00CA539A"/>
    <w:rsid w:val="00CA65C4"/>
    <w:rsid w:val="00CA7879"/>
    <w:rsid w:val="00CB1682"/>
    <w:rsid w:val="00CB2C67"/>
    <w:rsid w:val="00CB577E"/>
    <w:rsid w:val="00CB6945"/>
    <w:rsid w:val="00CB764A"/>
    <w:rsid w:val="00CC28A6"/>
    <w:rsid w:val="00CC4F78"/>
    <w:rsid w:val="00CC5000"/>
    <w:rsid w:val="00CC559C"/>
    <w:rsid w:val="00CC6102"/>
    <w:rsid w:val="00CC62D2"/>
    <w:rsid w:val="00CC6CBC"/>
    <w:rsid w:val="00CE2466"/>
    <w:rsid w:val="00CE3C56"/>
    <w:rsid w:val="00CE49B6"/>
    <w:rsid w:val="00CE546B"/>
    <w:rsid w:val="00CE57C8"/>
    <w:rsid w:val="00CE6E3A"/>
    <w:rsid w:val="00CF07AC"/>
    <w:rsid w:val="00CF1A90"/>
    <w:rsid w:val="00CF20C6"/>
    <w:rsid w:val="00CF237C"/>
    <w:rsid w:val="00CF2438"/>
    <w:rsid w:val="00CF27FE"/>
    <w:rsid w:val="00CF330A"/>
    <w:rsid w:val="00CF6974"/>
    <w:rsid w:val="00CF7AFE"/>
    <w:rsid w:val="00D01FC0"/>
    <w:rsid w:val="00D061BF"/>
    <w:rsid w:val="00D064E2"/>
    <w:rsid w:val="00D065E2"/>
    <w:rsid w:val="00D079E7"/>
    <w:rsid w:val="00D07B8F"/>
    <w:rsid w:val="00D11938"/>
    <w:rsid w:val="00D12D0B"/>
    <w:rsid w:val="00D13F5B"/>
    <w:rsid w:val="00D141C5"/>
    <w:rsid w:val="00D146B5"/>
    <w:rsid w:val="00D14CC3"/>
    <w:rsid w:val="00D220D1"/>
    <w:rsid w:val="00D270D7"/>
    <w:rsid w:val="00D27C0C"/>
    <w:rsid w:val="00D27F20"/>
    <w:rsid w:val="00D30491"/>
    <w:rsid w:val="00D30F47"/>
    <w:rsid w:val="00D32F3C"/>
    <w:rsid w:val="00D33BDF"/>
    <w:rsid w:val="00D35E4A"/>
    <w:rsid w:val="00D362DD"/>
    <w:rsid w:val="00D37869"/>
    <w:rsid w:val="00D41A4D"/>
    <w:rsid w:val="00D43CE9"/>
    <w:rsid w:val="00D45E2F"/>
    <w:rsid w:val="00D5174A"/>
    <w:rsid w:val="00D523CD"/>
    <w:rsid w:val="00D60407"/>
    <w:rsid w:val="00D616A0"/>
    <w:rsid w:val="00D63BF7"/>
    <w:rsid w:val="00D67CD8"/>
    <w:rsid w:val="00D71312"/>
    <w:rsid w:val="00D72A88"/>
    <w:rsid w:val="00D75742"/>
    <w:rsid w:val="00D76CE7"/>
    <w:rsid w:val="00D77633"/>
    <w:rsid w:val="00D819BE"/>
    <w:rsid w:val="00D821BF"/>
    <w:rsid w:val="00D837A8"/>
    <w:rsid w:val="00D8482A"/>
    <w:rsid w:val="00D852AA"/>
    <w:rsid w:val="00D9037A"/>
    <w:rsid w:val="00D92686"/>
    <w:rsid w:val="00D93446"/>
    <w:rsid w:val="00D9626D"/>
    <w:rsid w:val="00D967D0"/>
    <w:rsid w:val="00D9787C"/>
    <w:rsid w:val="00DA16A8"/>
    <w:rsid w:val="00DA2ADF"/>
    <w:rsid w:val="00DA35FE"/>
    <w:rsid w:val="00DA41AA"/>
    <w:rsid w:val="00DB2995"/>
    <w:rsid w:val="00DB3963"/>
    <w:rsid w:val="00DB3DF3"/>
    <w:rsid w:val="00DB49E7"/>
    <w:rsid w:val="00DB587F"/>
    <w:rsid w:val="00DB6407"/>
    <w:rsid w:val="00DC2C80"/>
    <w:rsid w:val="00DC39E7"/>
    <w:rsid w:val="00DC4E82"/>
    <w:rsid w:val="00DC6519"/>
    <w:rsid w:val="00DC6D89"/>
    <w:rsid w:val="00DD0378"/>
    <w:rsid w:val="00DD187B"/>
    <w:rsid w:val="00DD34CE"/>
    <w:rsid w:val="00DD35E1"/>
    <w:rsid w:val="00DE0226"/>
    <w:rsid w:val="00DE0336"/>
    <w:rsid w:val="00DE0799"/>
    <w:rsid w:val="00DE0E15"/>
    <w:rsid w:val="00DE39F2"/>
    <w:rsid w:val="00DF018A"/>
    <w:rsid w:val="00DF04D8"/>
    <w:rsid w:val="00DF0D08"/>
    <w:rsid w:val="00DF1D80"/>
    <w:rsid w:val="00DF34CA"/>
    <w:rsid w:val="00DF44D5"/>
    <w:rsid w:val="00DF465E"/>
    <w:rsid w:val="00DF617C"/>
    <w:rsid w:val="00DF7C4B"/>
    <w:rsid w:val="00E00F43"/>
    <w:rsid w:val="00E03B0F"/>
    <w:rsid w:val="00E04C8A"/>
    <w:rsid w:val="00E0572F"/>
    <w:rsid w:val="00E110EA"/>
    <w:rsid w:val="00E12845"/>
    <w:rsid w:val="00E136DC"/>
    <w:rsid w:val="00E1428C"/>
    <w:rsid w:val="00E14C54"/>
    <w:rsid w:val="00E1507D"/>
    <w:rsid w:val="00E16C87"/>
    <w:rsid w:val="00E214EF"/>
    <w:rsid w:val="00E236EE"/>
    <w:rsid w:val="00E23C2C"/>
    <w:rsid w:val="00E24AC0"/>
    <w:rsid w:val="00E2606C"/>
    <w:rsid w:val="00E26406"/>
    <w:rsid w:val="00E357CE"/>
    <w:rsid w:val="00E37DEB"/>
    <w:rsid w:val="00E41336"/>
    <w:rsid w:val="00E41E09"/>
    <w:rsid w:val="00E443F7"/>
    <w:rsid w:val="00E45330"/>
    <w:rsid w:val="00E45514"/>
    <w:rsid w:val="00E5294A"/>
    <w:rsid w:val="00E57245"/>
    <w:rsid w:val="00E6063E"/>
    <w:rsid w:val="00E60832"/>
    <w:rsid w:val="00E60C9B"/>
    <w:rsid w:val="00E642A7"/>
    <w:rsid w:val="00E65864"/>
    <w:rsid w:val="00E65BED"/>
    <w:rsid w:val="00E66B48"/>
    <w:rsid w:val="00E745B0"/>
    <w:rsid w:val="00E74956"/>
    <w:rsid w:val="00E77B5D"/>
    <w:rsid w:val="00E80AFF"/>
    <w:rsid w:val="00E8167A"/>
    <w:rsid w:val="00E8176A"/>
    <w:rsid w:val="00E83196"/>
    <w:rsid w:val="00E85CF8"/>
    <w:rsid w:val="00E867F9"/>
    <w:rsid w:val="00E9628D"/>
    <w:rsid w:val="00E964CA"/>
    <w:rsid w:val="00EA3473"/>
    <w:rsid w:val="00EA68EA"/>
    <w:rsid w:val="00EB0581"/>
    <w:rsid w:val="00EB0D85"/>
    <w:rsid w:val="00EB2373"/>
    <w:rsid w:val="00EB2E3A"/>
    <w:rsid w:val="00EB3308"/>
    <w:rsid w:val="00EB4048"/>
    <w:rsid w:val="00EB45B0"/>
    <w:rsid w:val="00EB4DB4"/>
    <w:rsid w:val="00EB7209"/>
    <w:rsid w:val="00EC023F"/>
    <w:rsid w:val="00EC2AB3"/>
    <w:rsid w:val="00ED2C01"/>
    <w:rsid w:val="00ED55EE"/>
    <w:rsid w:val="00EE0363"/>
    <w:rsid w:val="00EE2558"/>
    <w:rsid w:val="00EE4120"/>
    <w:rsid w:val="00EE51EE"/>
    <w:rsid w:val="00EE64A9"/>
    <w:rsid w:val="00EF1856"/>
    <w:rsid w:val="00EF2091"/>
    <w:rsid w:val="00EF25B5"/>
    <w:rsid w:val="00EF370D"/>
    <w:rsid w:val="00F00029"/>
    <w:rsid w:val="00F01812"/>
    <w:rsid w:val="00F0230C"/>
    <w:rsid w:val="00F03851"/>
    <w:rsid w:val="00F04672"/>
    <w:rsid w:val="00F13A1E"/>
    <w:rsid w:val="00F15017"/>
    <w:rsid w:val="00F16BF9"/>
    <w:rsid w:val="00F2009E"/>
    <w:rsid w:val="00F23E37"/>
    <w:rsid w:val="00F2510D"/>
    <w:rsid w:val="00F2689D"/>
    <w:rsid w:val="00F270E7"/>
    <w:rsid w:val="00F306A0"/>
    <w:rsid w:val="00F31251"/>
    <w:rsid w:val="00F32810"/>
    <w:rsid w:val="00F35D16"/>
    <w:rsid w:val="00F37E1E"/>
    <w:rsid w:val="00F40EDA"/>
    <w:rsid w:val="00F4121F"/>
    <w:rsid w:val="00F466A2"/>
    <w:rsid w:val="00F467BA"/>
    <w:rsid w:val="00F51436"/>
    <w:rsid w:val="00F5210A"/>
    <w:rsid w:val="00F52E6A"/>
    <w:rsid w:val="00F53107"/>
    <w:rsid w:val="00F53F0E"/>
    <w:rsid w:val="00F54D11"/>
    <w:rsid w:val="00F55EA1"/>
    <w:rsid w:val="00F605BF"/>
    <w:rsid w:val="00F66869"/>
    <w:rsid w:val="00F6706C"/>
    <w:rsid w:val="00F707C5"/>
    <w:rsid w:val="00F72E8A"/>
    <w:rsid w:val="00F74BAC"/>
    <w:rsid w:val="00F778B1"/>
    <w:rsid w:val="00F91FB1"/>
    <w:rsid w:val="00F93306"/>
    <w:rsid w:val="00FA1256"/>
    <w:rsid w:val="00FA1CD2"/>
    <w:rsid w:val="00FA1DEB"/>
    <w:rsid w:val="00FA23CA"/>
    <w:rsid w:val="00FB015F"/>
    <w:rsid w:val="00FB0CDA"/>
    <w:rsid w:val="00FB0D4E"/>
    <w:rsid w:val="00FB30F4"/>
    <w:rsid w:val="00FB4E9E"/>
    <w:rsid w:val="00FB51B0"/>
    <w:rsid w:val="00FB6136"/>
    <w:rsid w:val="00FC3CD5"/>
    <w:rsid w:val="00FC4611"/>
    <w:rsid w:val="00FC4D66"/>
    <w:rsid w:val="00FC4E57"/>
    <w:rsid w:val="00FC556D"/>
    <w:rsid w:val="00FC61BE"/>
    <w:rsid w:val="00FC70FF"/>
    <w:rsid w:val="00FC728C"/>
    <w:rsid w:val="00FC72F2"/>
    <w:rsid w:val="00FD0369"/>
    <w:rsid w:val="00FD1056"/>
    <w:rsid w:val="00FD1A17"/>
    <w:rsid w:val="00FD3076"/>
    <w:rsid w:val="00FD38FF"/>
    <w:rsid w:val="00FD3EE1"/>
    <w:rsid w:val="00FD6818"/>
    <w:rsid w:val="00FD6B2C"/>
    <w:rsid w:val="00FD6D1E"/>
    <w:rsid w:val="00FD6FDC"/>
    <w:rsid w:val="00FE11A4"/>
    <w:rsid w:val="00FE150D"/>
    <w:rsid w:val="00FE2E1A"/>
    <w:rsid w:val="00FE39A6"/>
    <w:rsid w:val="00FE6A96"/>
    <w:rsid w:val="00FE75C4"/>
    <w:rsid w:val="00FF0529"/>
    <w:rsid w:val="00FF2067"/>
    <w:rsid w:val="00FF2562"/>
    <w:rsid w:val="00FF2C6D"/>
    <w:rsid w:val="00FF3F97"/>
    <w:rsid w:val="00FF559C"/>
    <w:rsid w:val="00FF72F0"/>
    <w:rsid w:val="00FF7D7F"/>
    <w:rsid w:val="0368EC8D"/>
    <w:rsid w:val="10A08711"/>
    <w:rsid w:val="117F118A"/>
    <w:rsid w:val="11EB4F4A"/>
    <w:rsid w:val="2D9B6E57"/>
    <w:rsid w:val="3BA4975D"/>
    <w:rsid w:val="47816B3E"/>
    <w:rsid w:val="4B45161F"/>
    <w:rsid w:val="4DDB9595"/>
    <w:rsid w:val="4EA02C37"/>
    <w:rsid w:val="530EF095"/>
    <w:rsid w:val="5B924271"/>
    <w:rsid w:val="60A57A64"/>
    <w:rsid w:val="7D2740ED"/>
    <w:rsid w:val="7EB38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3E367"/>
  <w15:docId w15:val="{923E32DB-4D01-4FC9-9ACF-D571DAE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35" w:unhideWhenUsed="1" w:qFormat="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uiPriority="22" w:qFormat="1"/>
    <w:lsdException w:name="Emphasis" w:locked="0" w:semiHidden="1" w:uiPriority="20"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5B5484"/>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35"/>
    <w:qFormat/>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rsid w:val="00E23C2C"/>
    <w:pPr>
      <w:spacing w:before="0" w:after="80"/>
      <w:ind w:left="113" w:hanging="113"/>
    </w:pPr>
    <w:rPr>
      <w:sz w:val="18"/>
    </w:rPr>
  </w:style>
  <w:style w:type="character" w:customStyle="1" w:styleId="FootnoteTextChar">
    <w:name w:val="Footnote Text Char"/>
    <w:basedOn w:val="DefaultParagraphFont"/>
    <w:link w:val="FootnoteText"/>
    <w:uiPriority w:val="99"/>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Emphasis">
    <w:name w:val="Emphasis"/>
    <w:basedOn w:val="DefaultParagraphFont"/>
    <w:uiPriority w:val="20"/>
    <w:qFormat/>
    <w:rsid w:val="008A37B8"/>
    <w:rPr>
      <w:rFonts w:ascii="Arial" w:hAnsi="Arial"/>
      <w:i/>
      <w:iCs/>
      <w:sz w:val="22"/>
    </w:rPr>
  </w:style>
  <w:style w:type="character" w:styleId="CommentReference">
    <w:name w:val="annotation reference"/>
    <w:basedOn w:val="DefaultParagraphFont"/>
    <w:uiPriority w:val="99"/>
    <w:semiHidden/>
    <w:unhideWhenUsed/>
    <w:rsid w:val="009924F2"/>
    <w:rPr>
      <w:sz w:val="16"/>
      <w:szCs w:val="16"/>
    </w:rPr>
  </w:style>
  <w:style w:type="character" w:styleId="Strong">
    <w:name w:val="Strong"/>
    <w:basedOn w:val="DefaultParagraphFont"/>
    <w:uiPriority w:val="22"/>
    <w:qFormat/>
    <w:rsid w:val="009924F2"/>
    <w:rPr>
      <w:rFonts w:ascii="Arial" w:hAnsi="Arial"/>
      <w:b/>
      <w:bCs/>
      <w:sz w:val="22"/>
    </w:rPr>
  </w:style>
  <w:style w:type="paragraph" w:styleId="CommentText">
    <w:name w:val="annotation text"/>
    <w:basedOn w:val="Normal"/>
    <w:link w:val="CommentTextChar"/>
    <w:uiPriority w:val="99"/>
    <w:semiHidden/>
    <w:rsid w:val="00EE4120"/>
    <w:rPr>
      <w:sz w:val="20"/>
    </w:rPr>
  </w:style>
  <w:style w:type="character" w:customStyle="1" w:styleId="CommentTextChar">
    <w:name w:val="Comment Text Char"/>
    <w:basedOn w:val="DefaultParagraphFont"/>
    <w:link w:val="CommentText"/>
    <w:uiPriority w:val="99"/>
    <w:semiHidden/>
    <w:rsid w:val="00EE4120"/>
    <w:rPr>
      <w:rFonts w:ascii="Arial" w:hAnsi="Arial"/>
      <w:lang w:val="en-AU"/>
    </w:rPr>
  </w:style>
  <w:style w:type="paragraph" w:styleId="CommentSubject">
    <w:name w:val="annotation subject"/>
    <w:basedOn w:val="CommentText"/>
    <w:next w:val="CommentText"/>
    <w:link w:val="CommentSubjectChar"/>
    <w:uiPriority w:val="99"/>
    <w:semiHidden/>
    <w:rsid w:val="00EE4120"/>
    <w:rPr>
      <w:b/>
      <w:bCs/>
    </w:rPr>
  </w:style>
  <w:style w:type="character" w:customStyle="1" w:styleId="CommentSubjectChar">
    <w:name w:val="Comment Subject Char"/>
    <w:basedOn w:val="CommentTextChar"/>
    <w:link w:val="CommentSubject"/>
    <w:uiPriority w:val="99"/>
    <w:semiHidden/>
    <w:rsid w:val="00EE4120"/>
    <w:rPr>
      <w:rFonts w:ascii="Arial" w:hAnsi="Arial"/>
      <w:b/>
      <w:bCs/>
      <w:lang w:val="en-AU"/>
    </w:rPr>
  </w:style>
  <w:style w:type="paragraph" w:styleId="Revision">
    <w:name w:val="Revision"/>
    <w:hidden/>
    <w:uiPriority w:val="99"/>
    <w:semiHidden/>
    <w:rsid w:val="00815DA9"/>
    <w:pPr>
      <w:spacing w:after="0" w:line="240" w:lineRule="auto"/>
    </w:pPr>
    <w:rPr>
      <w:rFonts w:ascii="Arial" w:hAnsi="Arial"/>
      <w:sz w:val="22"/>
      <w:lang w:val="en-AU"/>
    </w:rPr>
  </w:style>
  <w:style w:type="character" w:styleId="FollowedHyperlink">
    <w:name w:val="FollowedHyperlink"/>
    <w:basedOn w:val="DefaultParagraphFont"/>
    <w:uiPriority w:val="99"/>
    <w:semiHidden/>
    <w:rsid w:val="00B66247"/>
    <w:rPr>
      <w:color w:val="800080" w:themeColor="followedHyperlink"/>
      <w:u w:val="single"/>
    </w:rPr>
  </w:style>
  <w:style w:type="character" w:styleId="Mention">
    <w:name w:val="Mention"/>
    <w:basedOn w:val="DefaultParagraphFont"/>
    <w:uiPriority w:val="99"/>
    <w:unhideWhenUsed/>
    <w:rsid w:val="000C56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abs.gov.au/statistics/classifications/anzsco-australian-and-new-zealand-standard-classification-occupations/2022"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hyperlink" Target="https://view.officeapps.live.com/op/view.aspx?src=https%3A%2F%2Fap-southeast-2-seek-apac.graphassets.com%2FAEzBCRO50TYyqbV6XzRDQz%2Fcmlrosip1ckw7072oyohph8ya&amp;wdOrigin=BROWSELINK" TargetMode="External"/><Relationship Id="rId28" Type="http://schemas.openxmlformats.org/officeDocument/2006/relationships/hyperlink" Target="mailto:OccupationShortageList@jobsandskills.gov.au"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bdf61f-9621-4102-acf0-32ab8de1ada4">
      <Terms xmlns="http://schemas.microsoft.com/office/infopath/2007/PartnerControls"/>
    </lcf76f155ced4ddcb4097134ff3c332f>
    <TaxCatchAll xmlns="2346c79d-bae1-4214-a8f2-95f62bc64e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6436b40f07b0147c85a4417e31df25fc">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05c752ccf675f42b910d456f2cb30751"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32774-530E-41CB-BF3C-82DB9BC7D7B9}">
  <ds:schemaRefs>
    <ds:schemaRef ds:uri="http://schemas.microsoft.com/office/2006/metadata/properties"/>
    <ds:schemaRef ds:uri="http://schemas.microsoft.com/office/infopath/2007/PartnerControls"/>
    <ds:schemaRef ds:uri="88bdf61f-9621-4102-acf0-32ab8de1ada4"/>
    <ds:schemaRef ds:uri="2346c79d-bae1-4214-a8f2-95f62bc64ea6"/>
  </ds:schemaRefs>
</ds:datastoreItem>
</file>

<file path=customXml/itemProps2.xml><?xml version="1.0" encoding="utf-8"?>
<ds:datastoreItem xmlns:ds="http://schemas.openxmlformats.org/officeDocument/2006/customXml" ds:itemID="{57498820-F704-4707-9D16-09EF8C5D2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4.xml><?xml version="1.0" encoding="utf-8"?>
<ds:datastoreItem xmlns:ds="http://schemas.openxmlformats.org/officeDocument/2006/customXml" ds:itemID="{19F056A3-22FE-4DBB-9A34-D281077C4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2787</Words>
  <Characters>15889</Characters>
  <Application>Microsoft Office Word</Application>
  <DocSecurity>4</DocSecurity>
  <Lines>132</Lines>
  <Paragraphs>37</Paragraphs>
  <ScaleCrop>false</ScaleCrop>
  <Company/>
  <LinksUpToDate>false</LinksUpToDate>
  <CharactersWithSpaces>18639</CharactersWithSpaces>
  <SharedDoc>false</SharedDoc>
  <HLinks>
    <vt:vector size="108" baseType="variant">
      <vt:variant>
        <vt:i4>4915248</vt:i4>
      </vt:variant>
      <vt:variant>
        <vt:i4>117</vt:i4>
      </vt:variant>
      <vt:variant>
        <vt:i4>0</vt:i4>
      </vt:variant>
      <vt:variant>
        <vt:i4>5</vt:i4>
      </vt:variant>
      <vt:variant>
        <vt:lpwstr>mailto:OccupationShortageList@jobsandskills.gov.au</vt:lpwstr>
      </vt:variant>
      <vt:variant>
        <vt:lpwstr/>
      </vt:variant>
      <vt:variant>
        <vt:i4>720964</vt:i4>
      </vt:variant>
      <vt:variant>
        <vt:i4>114</vt:i4>
      </vt:variant>
      <vt:variant>
        <vt:i4>0</vt:i4>
      </vt:variant>
      <vt:variant>
        <vt:i4>5</vt:i4>
      </vt:variant>
      <vt:variant>
        <vt:lpwstr>https://www.abs.gov.au/statistics/standards/australian-statistical-geography-standard-asgs-edition-3/jul2021-jun2026/main-structure-and-greater-capital-city-statistical-areas/greater-capital-city-statistical-areas</vt:lpwstr>
      </vt:variant>
      <vt:variant>
        <vt:lpwstr/>
      </vt:variant>
      <vt:variant>
        <vt:i4>5636108</vt:i4>
      </vt:variant>
      <vt:variant>
        <vt:i4>111</vt:i4>
      </vt:variant>
      <vt:variant>
        <vt:i4>0</vt:i4>
      </vt:variant>
      <vt:variant>
        <vt:i4>5</vt:i4>
      </vt:variant>
      <vt:variant>
        <vt:lpwstr>https://www.abs.gov.au/statistics/classifications/anzsco-australian-and-new-zealand-standard-classification-occupations/2022</vt:lpwstr>
      </vt:variant>
      <vt:variant>
        <vt:lpwstr/>
      </vt:variant>
      <vt:variant>
        <vt:i4>6160389</vt:i4>
      </vt:variant>
      <vt:variant>
        <vt:i4>102</vt:i4>
      </vt:variant>
      <vt:variant>
        <vt:i4>0</vt:i4>
      </vt:variant>
      <vt:variant>
        <vt:i4>5</vt:i4>
      </vt:variant>
      <vt:variant>
        <vt:lpwstr>https://view.officeapps.live.com/op/view.aspx?src=https%3A%2F%2Fap-southeast-2-seek-apac.graphassets.com%2FAEzBCRO50TYyqbV6XzRDQz%2Fcmlrosip1ckw7072oyohph8ya&amp;wdOrigin=BROWSELINK</vt:lpwstr>
      </vt:variant>
      <vt:variant>
        <vt:lpwstr/>
      </vt:variant>
      <vt:variant>
        <vt:i4>4194420</vt:i4>
      </vt:variant>
      <vt:variant>
        <vt:i4>81</vt:i4>
      </vt:variant>
      <vt:variant>
        <vt:i4>0</vt:i4>
      </vt:variant>
      <vt:variant>
        <vt:i4>5</vt:i4>
      </vt:variant>
      <vt:variant>
        <vt:lpwstr/>
      </vt:variant>
      <vt:variant>
        <vt:lpwstr>_Definitions_of_metrics</vt:lpwstr>
      </vt:variant>
      <vt:variant>
        <vt:i4>6946934</vt:i4>
      </vt:variant>
      <vt:variant>
        <vt:i4>75</vt:i4>
      </vt:variant>
      <vt:variant>
        <vt:i4>0</vt:i4>
      </vt:variant>
      <vt:variant>
        <vt:i4>5</vt:i4>
      </vt:variant>
      <vt:variant>
        <vt:lpwstr/>
      </vt:variant>
      <vt:variant>
        <vt:lpwstr>_Explanatory_Notes</vt:lpwstr>
      </vt:variant>
      <vt:variant>
        <vt:i4>1310775</vt:i4>
      </vt:variant>
      <vt:variant>
        <vt:i4>68</vt:i4>
      </vt:variant>
      <vt:variant>
        <vt:i4>0</vt:i4>
      </vt:variant>
      <vt:variant>
        <vt:i4>5</vt:i4>
      </vt:variant>
      <vt:variant>
        <vt:lpwstr/>
      </vt:variant>
      <vt:variant>
        <vt:lpwstr>_Toc224202119</vt:lpwstr>
      </vt:variant>
      <vt:variant>
        <vt:i4>1310775</vt:i4>
      </vt:variant>
      <vt:variant>
        <vt:i4>62</vt:i4>
      </vt:variant>
      <vt:variant>
        <vt:i4>0</vt:i4>
      </vt:variant>
      <vt:variant>
        <vt:i4>5</vt:i4>
      </vt:variant>
      <vt:variant>
        <vt:lpwstr/>
      </vt:variant>
      <vt:variant>
        <vt:lpwstr>_Toc224202118</vt:lpwstr>
      </vt:variant>
      <vt:variant>
        <vt:i4>1310775</vt:i4>
      </vt:variant>
      <vt:variant>
        <vt:i4>56</vt:i4>
      </vt:variant>
      <vt:variant>
        <vt:i4>0</vt:i4>
      </vt:variant>
      <vt:variant>
        <vt:i4>5</vt:i4>
      </vt:variant>
      <vt:variant>
        <vt:lpwstr/>
      </vt:variant>
      <vt:variant>
        <vt:lpwstr>_Toc224202117</vt:lpwstr>
      </vt:variant>
      <vt:variant>
        <vt:i4>1310775</vt:i4>
      </vt:variant>
      <vt:variant>
        <vt:i4>50</vt:i4>
      </vt:variant>
      <vt:variant>
        <vt:i4>0</vt:i4>
      </vt:variant>
      <vt:variant>
        <vt:i4>5</vt:i4>
      </vt:variant>
      <vt:variant>
        <vt:lpwstr/>
      </vt:variant>
      <vt:variant>
        <vt:lpwstr>_Toc224202116</vt:lpwstr>
      </vt:variant>
      <vt:variant>
        <vt:i4>1310775</vt:i4>
      </vt:variant>
      <vt:variant>
        <vt:i4>44</vt:i4>
      </vt:variant>
      <vt:variant>
        <vt:i4>0</vt:i4>
      </vt:variant>
      <vt:variant>
        <vt:i4>5</vt:i4>
      </vt:variant>
      <vt:variant>
        <vt:lpwstr/>
      </vt:variant>
      <vt:variant>
        <vt:lpwstr>_Toc224202115</vt:lpwstr>
      </vt:variant>
      <vt:variant>
        <vt:i4>1310775</vt:i4>
      </vt:variant>
      <vt:variant>
        <vt:i4>38</vt:i4>
      </vt:variant>
      <vt:variant>
        <vt:i4>0</vt:i4>
      </vt:variant>
      <vt:variant>
        <vt:i4>5</vt:i4>
      </vt:variant>
      <vt:variant>
        <vt:lpwstr/>
      </vt:variant>
      <vt:variant>
        <vt:lpwstr>_Toc224202114</vt:lpwstr>
      </vt:variant>
      <vt:variant>
        <vt:i4>1310775</vt:i4>
      </vt:variant>
      <vt:variant>
        <vt:i4>32</vt:i4>
      </vt:variant>
      <vt:variant>
        <vt:i4>0</vt:i4>
      </vt:variant>
      <vt:variant>
        <vt:i4>5</vt:i4>
      </vt:variant>
      <vt:variant>
        <vt:lpwstr/>
      </vt:variant>
      <vt:variant>
        <vt:lpwstr>_Toc224202113</vt:lpwstr>
      </vt:variant>
      <vt:variant>
        <vt:i4>1310775</vt:i4>
      </vt:variant>
      <vt:variant>
        <vt:i4>26</vt:i4>
      </vt:variant>
      <vt:variant>
        <vt:i4>0</vt:i4>
      </vt:variant>
      <vt:variant>
        <vt:i4>5</vt:i4>
      </vt:variant>
      <vt:variant>
        <vt:lpwstr/>
      </vt:variant>
      <vt:variant>
        <vt:lpwstr>_Toc224202112</vt:lpwstr>
      </vt:variant>
      <vt:variant>
        <vt:i4>1310775</vt:i4>
      </vt:variant>
      <vt:variant>
        <vt:i4>20</vt:i4>
      </vt:variant>
      <vt:variant>
        <vt:i4>0</vt:i4>
      </vt:variant>
      <vt:variant>
        <vt:i4>5</vt:i4>
      </vt:variant>
      <vt:variant>
        <vt:lpwstr/>
      </vt:variant>
      <vt:variant>
        <vt:lpwstr>_Toc224202111</vt:lpwstr>
      </vt:variant>
      <vt:variant>
        <vt:i4>1310775</vt:i4>
      </vt:variant>
      <vt:variant>
        <vt:i4>14</vt:i4>
      </vt:variant>
      <vt:variant>
        <vt:i4>0</vt:i4>
      </vt:variant>
      <vt:variant>
        <vt:i4>5</vt:i4>
      </vt:variant>
      <vt:variant>
        <vt:lpwstr/>
      </vt:variant>
      <vt:variant>
        <vt:lpwstr>_Toc224202110</vt:lpwstr>
      </vt:variant>
      <vt:variant>
        <vt:i4>1376311</vt:i4>
      </vt:variant>
      <vt:variant>
        <vt:i4>8</vt:i4>
      </vt:variant>
      <vt:variant>
        <vt:i4>0</vt:i4>
      </vt:variant>
      <vt:variant>
        <vt:i4>5</vt:i4>
      </vt:variant>
      <vt:variant>
        <vt:lpwstr/>
      </vt:variant>
      <vt:variant>
        <vt:lpwstr>_Toc224202109</vt:lpwstr>
      </vt:variant>
      <vt:variant>
        <vt:i4>1376311</vt:i4>
      </vt:variant>
      <vt:variant>
        <vt:i4>2</vt:i4>
      </vt:variant>
      <vt:variant>
        <vt:i4>0</vt:i4>
      </vt:variant>
      <vt:variant>
        <vt:i4>5</vt:i4>
      </vt:variant>
      <vt:variant>
        <vt:lpwstr/>
      </vt:variant>
      <vt:variant>
        <vt:lpwstr>_Toc224202108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cp:lastPrinted>2026-03-26T23:54:00Z</cp:lastPrinted>
  <dcterms:created xsi:type="dcterms:W3CDTF">2026-03-13T11:29:00Z</dcterms:created>
  <dcterms:modified xsi:type="dcterms:W3CDTF">2026-03-26T05:55:00Z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2026-03-11T23:30:11Z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9b4a160d-bcc9-4f02-b047-37abc4629cf3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0x010100F794EC4C31997F4DAF6EF5F96F729AC4</vt:lpwstr>
  </property>
  <property fmtid="{D5CDD505-2E9C-101B-9397-08002B2CF9AE}" pid="11" name="MediaServiceImageTags">
    <vt:lpwstr/>
  </property>
  <property fmtid="{D5CDD505-2E9C-101B-9397-08002B2CF9AE}" pid="12" name="docLang">
    <vt:lpwstr>en</vt:lpwstr>
  </property>
</Properties>
</file>