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5.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6.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charts/chart7.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4.xml" ContentType="application/vnd.openxmlformats-officedocument.drawingml.chartshapes+xml"/>
  <Override PartName="/word/charts/chart8.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5.xml" ContentType="application/vnd.openxmlformats-officedocument.drawingml.chartshapes+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E6BE1" w14:textId="77777777" w:rsidR="00AA5442" w:rsidRDefault="00AA5442" w:rsidP="00AA5442">
      <w:pPr>
        <w:pStyle w:val="BodyText"/>
        <w:sectPr w:rsidR="00AA5442" w:rsidSect="00AA5442">
          <w:footerReference w:type="even" r:id="rId11"/>
          <w:footerReference w:type="default" r:id="rId12"/>
          <w:headerReference w:type="first" r:id="rId13"/>
          <w:type w:val="evenPage"/>
          <w:pgSz w:w="11907" w:h="16839" w:code="9"/>
          <w:pgMar w:top="992" w:right="1270" w:bottom="1440" w:left="1270" w:header="720" w:footer="720" w:gutter="0"/>
          <w:cols w:space="720"/>
          <w:titlePg/>
          <w:docGrid w:linePitch="360"/>
        </w:sectPr>
      </w:pPr>
      <w:r w:rsidRPr="00270126">
        <w:rPr>
          <w:noProof/>
        </w:rPr>
        <w:drawing>
          <wp:inline distT="0" distB="0" distL="0" distR="0" wp14:anchorId="7FB45AF6" wp14:editId="451298A3">
            <wp:extent cx="3240000" cy="701298"/>
            <wp:effectExtent l="0" t="0" r="0" b="3810"/>
            <wp:docPr id="348354591" name="Picture 348354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354591" name="Picture 348354591"/>
                    <pic:cNvPicPr/>
                  </pic:nvPicPr>
                  <pic:blipFill>
                    <a:blip r:embed="rId14">
                      <a:extLst>
                        <a:ext uri="{96DAC541-7B7A-43D3-8B79-37D633B846F1}">
                          <asvg:svgBlip xmlns:asvg="http://schemas.microsoft.com/office/drawing/2016/SVG/main" r:embed="rId15"/>
                        </a:ext>
                      </a:extLst>
                    </a:blip>
                    <a:stretch>
                      <a:fillRect/>
                    </a:stretch>
                  </pic:blipFill>
                  <pic:spPr>
                    <a:xfrm>
                      <a:off x="0" y="0"/>
                      <a:ext cx="3240000" cy="701298"/>
                    </a:xfrm>
                    <a:prstGeom prst="rect">
                      <a:avLst/>
                    </a:prstGeom>
                  </pic:spPr>
                </pic:pic>
              </a:graphicData>
            </a:graphic>
          </wp:inline>
        </w:drawing>
      </w:r>
      <w:r>
        <w:rPr>
          <w:noProof/>
        </w:rPr>
        <w:drawing>
          <wp:anchor distT="0" distB="0" distL="114300" distR="114300" simplePos="0" relativeHeight="251658240" behindDoc="1" locked="1" layoutInCell="1" allowOverlap="1" wp14:anchorId="7576760F" wp14:editId="5C9C1D47">
            <wp:simplePos x="0" y="0"/>
            <wp:positionH relativeFrom="page">
              <wp:align>left</wp:align>
            </wp:positionH>
            <wp:positionV relativeFrom="page">
              <wp:align>top</wp:align>
            </wp:positionV>
            <wp:extent cx="7560000" cy="10692000"/>
            <wp:effectExtent l="0" t="0" r="3175" b="0"/>
            <wp:wrapNone/>
            <wp:docPr id="134363586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635861" name="Picture 1">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560000" cy="10692000"/>
                    </a:xfrm>
                    <a:prstGeom prst="rect">
                      <a:avLst/>
                    </a:prstGeom>
                    <a:noFill/>
                  </pic:spPr>
                </pic:pic>
              </a:graphicData>
            </a:graphic>
            <wp14:sizeRelH relativeFrom="page">
              <wp14:pctWidth>0</wp14:pctWidth>
            </wp14:sizeRelH>
            <wp14:sizeRelV relativeFrom="page">
              <wp14:pctHeight>0</wp14:pctHeight>
            </wp14:sizeRelV>
          </wp:anchor>
        </w:drawing>
      </w:r>
    </w:p>
    <w:p w14:paraId="7B7D712C" w14:textId="77777777" w:rsidR="00AA5442" w:rsidRDefault="00AA5442" w:rsidP="00AA5442">
      <w:pPr>
        <w:pStyle w:val="BodyText"/>
      </w:pPr>
    </w:p>
    <w:sdt>
      <w:sdtPr>
        <w:alias w:val="&lt; Title &gt;"/>
        <w:tag w:val=""/>
        <w:id w:val="162979263"/>
        <w:placeholder>
          <w:docPart w:val="59770C0BF8334F28990E1DD14A9EF10D"/>
        </w:placeholder>
        <w:dataBinding w:prefixMappings="xmlns:ns0='http://purl.org/dc/elements/1.1/' xmlns:ns1='http://schemas.openxmlformats.org/package/2006/metadata/core-properties' " w:xpath="/ns1:coreProperties[1]/ns0:title[1]" w:storeItemID="{6C3C8BC8-F283-45AE-878A-BAB7291924A1}"/>
        <w:text/>
      </w:sdtPr>
      <w:sdtContent>
        <w:p w14:paraId="166BAE68" w14:textId="0295F271" w:rsidR="00AA5442" w:rsidRPr="00E60832" w:rsidRDefault="003063A6" w:rsidP="00AA5442">
          <w:pPr>
            <w:pStyle w:val="Title"/>
          </w:pPr>
          <w:r>
            <w:t>Occupation Shortage Report</w:t>
          </w:r>
        </w:p>
      </w:sdtContent>
    </w:sdt>
    <w:p w14:paraId="3C0E845A" w14:textId="2FC7A710" w:rsidR="00AA5442" w:rsidRDefault="003063A6" w:rsidP="00AA5442">
      <w:pPr>
        <w:pStyle w:val="Subtitle"/>
      </w:pPr>
      <w:r>
        <w:t xml:space="preserve">September </w:t>
      </w:r>
      <w:r w:rsidR="00646F60">
        <w:t xml:space="preserve">quarter </w:t>
      </w:r>
      <w:r>
        <w:t>2025</w:t>
      </w:r>
      <w:r>
        <w:tab/>
      </w:r>
    </w:p>
    <w:p w14:paraId="13F84FDB" w14:textId="7D8065CC" w:rsidR="00AA5442" w:rsidRPr="00934D95" w:rsidRDefault="008A1CAD" w:rsidP="00AA5442">
      <w:pPr>
        <w:pStyle w:val="DocumentDetails"/>
      </w:pPr>
      <w:r>
        <w:t>15</w:t>
      </w:r>
      <w:r w:rsidR="003063A6">
        <w:t xml:space="preserve"> </w:t>
      </w:r>
      <w:r w:rsidR="00DA09A2">
        <w:t>December</w:t>
      </w:r>
      <w:r w:rsidR="003063A6">
        <w:t xml:space="preserve"> 2025</w:t>
      </w:r>
    </w:p>
    <w:p w14:paraId="381C5243" w14:textId="77777777" w:rsidR="00A67B12" w:rsidRPr="00A67B12" w:rsidRDefault="00A67B12" w:rsidP="00A67B12">
      <w:pPr>
        <w:pStyle w:val="BodyText"/>
        <w:sectPr w:rsidR="00A67B12" w:rsidRPr="00A67B12" w:rsidSect="00106E26">
          <w:type w:val="continuous"/>
          <w:pgSz w:w="11907" w:h="16839" w:code="9"/>
          <w:pgMar w:top="1440" w:right="1440" w:bottom="1440" w:left="1440" w:header="720" w:footer="720" w:gutter="0"/>
          <w:cols w:space="720"/>
          <w:titlePg/>
          <w:docGrid w:linePitch="360"/>
        </w:sectPr>
      </w:pPr>
    </w:p>
    <w:p w14:paraId="318C95AE" w14:textId="77777777" w:rsidR="00452A9D" w:rsidRDefault="00452A9D" w:rsidP="00104750">
      <w:pPr>
        <w:pStyle w:val="TOCHeading"/>
      </w:pPr>
      <w:r>
        <w:lastRenderedPageBreak/>
        <w:t>Contents</w:t>
      </w:r>
    </w:p>
    <w:p w14:paraId="65C5BFAD" w14:textId="37592419" w:rsidR="00C20C62" w:rsidRDefault="00452A9D">
      <w:pPr>
        <w:pStyle w:val="TOC1"/>
        <w:rPr>
          <w:rFonts w:asciiTheme="minorHAnsi" w:eastAsiaTheme="minorEastAsia" w:hAnsiTheme="minorHAnsi"/>
          <w:b w:val="0"/>
          <w:noProof/>
          <w:color w:val="auto"/>
          <w:kern w:val="2"/>
          <w:sz w:val="24"/>
          <w:szCs w:val="24"/>
          <w:lang w:eastAsia="en-AU"/>
          <w14:ligatures w14:val="standardContextual"/>
        </w:rPr>
      </w:pPr>
      <w:r>
        <w:rPr>
          <w:color w:val="6929C4"/>
        </w:rPr>
        <w:fldChar w:fldCharType="begin"/>
      </w:r>
      <w:r>
        <w:instrText xml:space="preserve"> TOC \o "2-3" \h \z \t "Heading 1,1" </w:instrText>
      </w:r>
      <w:r>
        <w:rPr>
          <w:color w:val="6929C4"/>
        </w:rPr>
        <w:fldChar w:fldCharType="separate"/>
      </w:r>
      <w:hyperlink w:anchor="_Toc214019395" w:history="1">
        <w:r w:rsidR="00C20C62" w:rsidRPr="00D20A81">
          <w:rPr>
            <w:rStyle w:val="Hyperlink"/>
            <w:noProof/>
          </w:rPr>
          <w:t>Introduction</w:t>
        </w:r>
        <w:r w:rsidR="00C20C62">
          <w:rPr>
            <w:noProof/>
            <w:webHidden/>
          </w:rPr>
          <w:tab/>
        </w:r>
        <w:r w:rsidR="00C20C62">
          <w:rPr>
            <w:noProof/>
            <w:webHidden/>
          </w:rPr>
          <w:fldChar w:fldCharType="begin"/>
        </w:r>
        <w:r w:rsidR="00C20C62">
          <w:rPr>
            <w:noProof/>
            <w:webHidden/>
          </w:rPr>
          <w:instrText xml:space="preserve"> PAGEREF _Toc214019395 \h </w:instrText>
        </w:r>
        <w:r w:rsidR="00C20C62">
          <w:rPr>
            <w:noProof/>
            <w:webHidden/>
          </w:rPr>
        </w:r>
        <w:r w:rsidR="00C20C62">
          <w:rPr>
            <w:noProof/>
            <w:webHidden/>
          </w:rPr>
          <w:fldChar w:fldCharType="separate"/>
        </w:r>
        <w:r w:rsidR="00A0645F">
          <w:rPr>
            <w:noProof/>
            <w:webHidden/>
          </w:rPr>
          <w:t>2</w:t>
        </w:r>
        <w:r w:rsidR="00C20C62">
          <w:rPr>
            <w:noProof/>
            <w:webHidden/>
          </w:rPr>
          <w:fldChar w:fldCharType="end"/>
        </w:r>
      </w:hyperlink>
    </w:p>
    <w:p w14:paraId="6E572A5C" w14:textId="64BE82E1" w:rsidR="00C20C62" w:rsidRDefault="00C20C62">
      <w:pPr>
        <w:pStyle w:val="TOC1"/>
        <w:rPr>
          <w:rFonts w:asciiTheme="minorHAnsi" w:eastAsiaTheme="minorEastAsia" w:hAnsiTheme="minorHAnsi"/>
          <w:b w:val="0"/>
          <w:noProof/>
          <w:color w:val="auto"/>
          <w:kern w:val="2"/>
          <w:sz w:val="24"/>
          <w:szCs w:val="24"/>
          <w:lang w:eastAsia="en-AU"/>
          <w14:ligatures w14:val="standardContextual"/>
        </w:rPr>
      </w:pPr>
      <w:hyperlink w:anchor="_Toc214019396" w:history="1">
        <w:r w:rsidRPr="00D20A81">
          <w:rPr>
            <w:rStyle w:val="Hyperlink"/>
            <w:noProof/>
          </w:rPr>
          <w:t>National results</w:t>
        </w:r>
        <w:r>
          <w:rPr>
            <w:noProof/>
            <w:webHidden/>
          </w:rPr>
          <w:tab/>
        </w:r>
        <w:r>
          <w:rPr>
            <w:noProof/>
            <w:webHidden/>
          </w:rPr>
          <w:fldChar w:fldCharType="begin"/>
        </w:r>
        <w:r>
          <w:rPr>
            <w:noProof/>
            <w:webHidden/>
          </w:rPr>
          <w:instrText xml:space="preserve"> PAGEREF _Toc214019396 \h </w:instrText>
        </w:r>
        <w:r>
          <w:rPr>
            <w:noProof/>
            <w:webHidden/>
          </w:rPr>
        </w:r>
        <w:r>
          <w:rPr>
            <w:noProof/>
            <w:webHidden/>
          </w:rPr>
          <w:fldChar w:fldCharType="separate"/>
        </w:r>
        <w:r w:rsidR="00A0645F">
          <w:rPr>
            <w:noProof/>
            <w:webHidden/>
          </w:rPr>
          <w:t>2</w:t>
        </w:r>
        <w:r>
          <w:rPr>
            <w:noProof/>
            <w:webHidden/>
          </w:rPr>
          <w:fldChar w:fldCharType="end"/>
        </w:r>
      </w:hyperlink>
    </w:p>
    <w:p w14:paraId="2100F573" w14:textId="2404A8B6" w:rsidR="00C20C62" w:rsidRDefault="00C20C62">
      <w:pPr>
        <w:pStyle w:val="TOC1"/>
        <w:rPr>
          <w:rFonts w:asciiTheme="minorHAnsi" w:eastAsiaTheme="minorEastAsia" w:hAnsiTheme="minorHAnsi"/>
          <w:b w:val="0"/>
          <w:noProof/>
          <w:color w:val="auto"/>
          <w:kern w:val="2"/>
          <w:sz w:val="24"/>
          <w:szCs w:val="24"/>
          <w:lang w:eastAsia="en-AU"/>
          <w14:ligatures w14:val="standardContextual"/>
        </w:rPr>
      </w:pPr>
      <w:hyperlink w:anchor="_Toc214019397" w:history="1">
        <w:r w:rsidRPr="00D20A81">
          <w:rPr>
            <w:rStyle w:val="Hyperlink"/>
            <w:noProof/>
          </w:rPr>
          <w:t>Metropolitan area results</w:t>
        </w:r>
        <w:r>
          <w:rPr>
            <w:noProof/>
            <w:webHidden/>
          </w:rPr>
          <w:tab/>
        </w:r>
        <w:r>
          <w:rPr>
            <w:noProof/>
            <w:webHidden/>
          </w:rPr>
          <w:fldChar w:fldCharType="begin"/>
        </w:r>
        <w:r>
          <w:rPr>
            <w:noProof/>
            <w:webHidden/>
          </w:rPr>
          <w:instrText xml:space="preserve"> PAGEREF _Toc214019397 \h </w:instrText>
        </w:r>
        <w:r>
          <w:rPr>
            <w:noProof/>
            <w:webHidden/>
          </w:rPr>
        </w:r>
        <w:r>
          <w:rPr>
            <w:noProof/>
            <w:webHidden/>
          </w:rPr>
          <w:fldChar w:fldCharType="separate"/>
        </w:r>
        <w:r w:rsidR="00A0645F">
          <w:rPr>
            <w:noProof/>
            <w:webHidden/>
          </w:rPr>
          <w:t>3</w:t>
        </w:r>
        <w:r>
          <w:rPr>
            <w:noProof/>
            <w:webHidden/>
          </w:rPr>
          <w:fldChar w:fldCharType="end"/>
        </w:r>
      </w:hyperlink>
    </w:p>
    <w:p w14:paraId="3CD4F127" w14:textId="7CBE374B" w:rsidR="00C20C62" w:rsidRDefault="00C20C62">
      <w:pPr>
        <w:pStyle w:val="TOC1"/>
        <w:rPr>
          <w:rFonts w:asciiTheme="minorHAnsi" w:eastAsiaTheme="minorEastAsia" w:hAnsiTheme="minorHAnsi"/>
          <w:b w:val="0"/>
          <w:noProof/>
          <w:color w:val="auto"/>
          <w:kern w:val="2"/>
          <w:sz w:val="24"/>
          <w:szCs w:val="24"/>
          <w:lang w:eastAsia="en-AU"/>
          <w14:ligatures w14:val="standardContextual"/>
        </w:rPr>
      </w:pPr>
      <w:hyperlink w:anchor="_Toc214019398" w:history="1">
        <w:r w:rsidRPr="00D20A81">
          <w:rPr>
            <w:rStyle w:val="Hyperlink"/>
            <w:noProof/>
          </w:rPr>
          <w:t>Regional area results</w:t>
        </w:r>
        <w:r>
          <w:rPr>
            <w:noProof/>
            <w:webHidden/>
          </w:rPr>
          <w:tab/>
        </w:r>
        <w:r>
          <w:rPr>
            <w:noProof/>
            <w:webHidden/>
          </w:rPr>
          <w:fldChar w:fldCharType="begin"/>
        </w:r>
        <w:r>
          <w:rPr>
            <w:noProof/>
            <w:webHidden/>
          </w:rPr>
          <w:instrText xml:space="preserve"> PAGEREF _Toc214019398 \h </w:instrText>
        </w:r>
        <w:r>
          <w:rPr>
            <w:noProof/>
            <w:webHidden/>
          </w:rPr>
        </w:r>
        <w:r>
          <w:rPr>
            <w:noProof/>
            <w:webHidden/>
          </w:rPr>
          <w:fldChar w:fldCharType="separate"/>
        </w:r>
        <w:r w:rsidR="00A0645F">
          <w:rPr>
            <w:noProof/>
            <w:webHidden/>
          </w:rPr>
          <w:t>4</w:t>
        </w:r>
        <w:r>
          <w:rPr>
            <w:noProof/>
            <w:webHidden/>
          </w:rPr>
          <w:fldChar w:fldCharType="end"/>
        </w:r>
      </w:hyperlink>
    </w:p>
    <w:p w14:paraId="50343DBC" w14:textId="74E8A5C8" w:rsidR="00C20C62" w:rsidRDefault="00C20C62">
      <w:pPr>
        <w:pStyle w:val="TOC1"/>
        <w:rPr>
          <w:rFonts w:asciiTheme="minorHAnsi" w:eastAsiaTheme="minorEastAsia" w:hAnsiTheme="minorHAnsi"/>
          <w:b w:val="0"/>
          <w:noProof/>
          <w:color w:val="auto"/>
          <w:kern w:val="2"/>
          <w:sz w:val="24"/>
          <w:szCs w:val="24"/>
          <w:lang w:eastAsia="en-AU"/>
          <w14:ligatures w14:val="standardContextual"/>
        </w:rPr>
      </w:pPr>
      <w:hyperlink w:anchor="_Toc214019399" w:history="1">
        <w:r w:rsidRPr="00D20A81">
          <w:rPr>
            <w:rStyle w:val="Hyperlink"/>
            <w:noProof/>
          </w:rPr>
          <w:t>Results by Skill Level</w:t>
        </w:r>
        <w:r>
          <w:rPr>
            <w:noProof/>
            <w:webHidden/>
          </w:rPr>
          <w:tab/>
        </w:r>
        <w:r>
          <w:rPr>
            <w:noProof/>
            <w:webHidden/>
          </w:rPr>
          <w:fldChar w:fldCharType="begin"/>
        </w:r>
        <w:r>
          <w:rPr>
            <w:noProof/>
            <w:webHidden/>
          </w:rPr>
          <w:instrText xml:space="preserve"> PAGEREF _Toc214019399 \h </w:instrText>
        </w:r>
        <w:r>
          <w:rPr>
            <w:noProof/>
            <w:webHidden/>
          </w:rPr>
        </w:r>
        <w:r>
          <w:rPr>
            <w:noProof/>
            <w:webHidden/>
          </w:rPr>
          <w:fldChar w:fldCharType="separate"/>
        </w:r>
        <w:r w:rsidR="00A0645F">
          <w:rPr>
            <w:noProof/>
            <w:webHidden/>
          </w:rPr>
          <w:t>5</w:t>
        </w:r>
        <w:r>
          <w:rPr>
            <w:noProof/>
            <w:webHidden/>
          </w:rPr>
          <w:fldChar w:fldCharType="end"/>
        </w:r>
      </w:hyperlink>
    </w:p>
    <w:p w14:paraId="7F312398" w14:textId="7E8AF754" w:rsidR="00C20C62" w:rsidRDefault="00C20C62">
      <w:pPr>
        <w:pStyle w:val="TOC1"/>
        <w:rPr>
          <w:rFonts w:asciiTheme="minorHAnsi" w:eastAsiaTheme="minorEastAsia" w:hAnsiTheme="minorHAnsi"/>
          <w:b w:val="0"/>
          <w:noProof/>
          <w:color w:val="auto"/>
          <w:kern w:val="2"/>
          <w:sz w:val="24"/>
          <w:szCs w:val="24"/>
          <w:lang w:eastAsia="en-AU"/>
          <w14:ligatures w14:val="standardContextual"/>
        </w:rPr>
      </w:pPr>
      <w:hyperlink w:anchor="_Toc214019400" w:history="1">
        <w:r w:rsidRPr="00D20A81">
          <w:rPr>
            <w:rStyle w:val="Hyperlink"/>
            <w:noProof/>
          </w:rPr>
          <w:t>Results by major group</w:t>
        </w:r>
        <w:r>
          <w:rPr>
            <w:noProof/>
            <w:webHidden/>
          </w:rPr>
          <w:tab/>
        </w:r>
        <w:r>
          <w:rPr>
            <w:noProof/>
            <w:webHidden/>
          </w:rPr>
          <w:fldChar w:fldCharType="begin"/>
        </w:r>
        <w:r>
          <w:rPr>
            <w:noProof/>
            <w:webHidden/>
          </w:rPr>
          <w:instrText xml:space="preserve"> PAGEREF _Toc214019400 \h </w:instrText>
        </w:r>
        <w:r>
          <w:rPr>
            <w:noProof/>
            <w:webHidden/>
          </w:rPr>
        </w:r>
        <w:r>
          <w:rPr>
            <w:noProof/>
            <w:webHidden/>
          </w:rPr>
          <w:fldChar w:fldCharType="separate"/>
        </w:r>
        <w:r w:rsidR="00A0645F">
          <w:rPr>
            <w:noProof/>
            <w:webHidden/>
          </w:rPr>
          <w:t>7</w:t>
        </w:r>
        <w:r>
          <w:rPr>
            <w:noProof/>
            <w:webHidden/>
          </w:rPr>
          <w:fldChar w:fldCharType="end"/>
        </w:r>
      </w:hyperlink>
    </w:p>
    <w:p w14:paraId="1B2F774E" w14:textId="7B2EFD2C" w:rsidR="00C20C62" w:rsidRDefault="00C20C62">
      <w:pPr>
        <w:pStyle w:val="TOC1"/>
        <w:rPr>
          <w:rFonts w:asciiTheme="minorHAnsi" w:eastAsiaTheme="minorEastAsia" w:hAnsiTheme="minorHAnsi"/>
          <w:b w:val="0"/>
          <w:noProof/>
          <w:color w:val="auto"/>
          <w:kern w:val="2"/>
          <w:sz w:val="24"/>
          <w:szCs w:val="24"/>
          <w:lang w:eastAsia="en-AU"/>
          <w14:ligatures w14:val="standardContextual"/>
        </w:rPr>
      </w:pPr>
      <w:hyperlink w:anchor="_Toc214019401" w:history="1">
        <w:r w:rsidRPr="00D20A81">
          <w:rPr>
            <w:rStyle w:val="Hyperlink"/>
            <w:rFonts w:eastAsia="MS PGothic"/>
            <w:noProof/>
          </w:rPr>
          <w:t>Spotlight analysis: a deeper look at Professionals in the 2025 OSL</w:t>
        </w:r>
        <w:r>
          <w:rPr>
            <w:noProof/>
            <w:webHidden/>
          </w:rPr>
          <w:tab/>
        </w:r>
        <w:r>
          <w:rPr>
            <w:noProof/>
            <w:webHidden/>
          </w:rPr>
          <w:fldChar w:fldCharType="begin"/>
        </w:r>
        <w:r>
          <w:rPr>
            <w:noProof/>
            <w:webHidden/>
          </w:rPr>
          <w:instrText xml:space="preserve"> PAGEREF _Toc214019401 \h </w:instrText>
        </w:r>
        <w:r>
          <w:rPr>
            <w:noProof/>
            <w:webHidden/>
          </w:rPr>
        </w:r>
        <w:r>
          <w:rPr>
            <w:noProof/>
            <w:webHidden/>
          </w:rPr>
          <w:fldChar w:fldCharType="separate"/>
        </w:r>
        <w:r w:rsidR="00A0645F">
          <w:rPr>
            <w:noProof/>
            <w:webHidden/>
          </w:rPr>
          <w:t>9</w:t>
        </w:r>
        <w:r>
          <w:rPr>
            <w:noProof/>
            <w:webHidden/>
          </w:rPr>
          <w:fldChar w:fldCharType="end"/>
        </w:r>
      </w:hyperlink>
    </w:p>
    <w:p w14:paraId="0700B332" w14:textId="04EE8615" w:rsidR="00C20C62" w:rsidRDefault="00C20C62">
      <w:pPr>
        <w:pStyle w:val="TOC3"/>
        <w:rPr>
          <w:rFonts w:asciiTheme="minorHAnsi" w:eastAsiaTheme="minorEastAsia" w:hAnsiTheme="minorHAnsi"/>
          <w:noProof/>
          <w:kern w:val="2"/>
          <w:sz w:val="24"/>
          <w:szCs w:val="24"/>
          <w:lang w:eastAsia="en-AU"/>
          <w14:ligatures w14:val="standardContextual"/>
        </w:rPr>
      </w:pPr>
      <w:hyperlink w:anchor="_Toc214019402" w:history="1">
        <w:r w:rsidRPr="00D20A81">
          <w:rPr>
            <w:rStyle w:val="Hyperlink"/>
            <w:noProof/>
          </w:rPr>
          <w:t>On going indications of softening labour market conditions</w:t>
        </w:r>
        <w:r>
          <w:rPr>
            <w:noProof/>
            <w:webHidden/>
          </w:rPr>
          <w:tab/>
        </w:r>
        <w:r>
          <w:rPr>
            <w:noProof/>
            <w:webHidden/>
          </w:rPr>
          <w:fldChar w:fldCharType="begin"/>
        </w:r>
        <w:r>
          <w:rPr>
            <w:noProof/>
            <w:webHidden/>
          </w:rPr>
          <w:instrText xml:space="preserve"> PAGEREF _Toc214019402 \h </w:instrText>
        </w:r>
        <w:r>
          <w:rPr>
            <w:noProof/>
            <w:webHidden/>
          </w:rPr>
        </w:r>
        <w:r>
          <w:rPr>
            <w:noProof/>
            <w:webHidden/>
          </w:rPr>
          <w:fldChar w:fldCharType="separate"/>
        </w:r>
        <w:r w:rsidR="00A0645F">
          <w:rPr>
            <w:noProof/>
            <w:webHidden/>
          </w:rPr>
          <w:t>9</w:t>
        </w:r>
        <w:r>
          <w:rPr>
            <w:noProof/>
            <w:webHidden/>
          </w:rPr>
          <w:fldChar w:fldCharType="end"/>
        </w:r>
      </w:hyperlink>
    </w:p>
    <w:p w14:paraId="40E7400F" w14:textId="3D4EFC32" w:rsidR="00C20C62" w:rsidRDefault="00C20C62">
      <w:pPr>
        <w:pStyle w:val="TOC3"/>
        <w:rPr>
          <w:rFonts w:asciiTheme="minorHAnsi" w:eastAsiaTheme="minorEastAsia" w:hAnsiTheme="minorHAnsi"/>
          <w:noProof/>
          <w:kern w:val="2"/>
          <w:sz w:val="24"/>
          <w:szCs w:val="24"/>
          <w:lang w:eastAsia="en-AU"/>
          <w14:ligatures w14:val="standardContextual"/>
        </w:rPr>
      </w:pPr>
      <w:hyperlink w:anchor="_Toc214019403" w:history="1">
        <w:r w:rsidRPr="00D20A81">
          <w:rPr>
            <w:rStyle w:val="Hyperlink"/>
            <w:noProof/>
          </w:rPr>
          <w:t>Easier ability to fill vacancies and recruit</w:t>
        </w:r>
        <w:r>
          <w:rPr>
            <w:noProof/>
            <w:webHidden/>
          </w:rPr>
          <w:tab/>
        </w:r>
        <w:r>
          <w:rPr>
            <w:noProof/>
            <w:webHidden/>
          </w:rPr>
          <w:fldChar w:fldCharType="begin"/>
        </w:r>
        <w:r>
          <w:rPr>
            <w:noProof/>
            <w:webHidden/>
          </w:rPr>
          <w:instrText xml:space="preserve"> PAGEREF _Toc214019403 \h </w:instrText>
        </w:r>
        <w:r>
          <w:rPr>
            <w:noProof/>
            <w:webHidden/>
          </w:rPr>
        </w:r>
        <w:r>
          <w:rPr>
            <w:noProof/>
            <w:webHidden/>
          </w:rPr>
          <w:fldChar w:fldCharType="separate"/>
        </w:r>
        <w:r w:rsidR="00A0645F">
          <w:rPr>
            <w:noProof/>
            <w:webHidden/>
          </w:rPr>
          <w:t>10</w:t>
        </w:r>
        <w:r>
          <w:rPr>
            <w:noProof/>
            <w:webHidden/>
          </w:rPr>
          <w:fldChar w:fldCharType="end"/>
        </w:r>
      </w:hyperlink>
    </w:p>
    <w:p w14:paraId="02915073" w14:textId="6C51BA63" w:rsidR="00C20C62" w:rsidRDefault="00C20C62">
      <w:pPr>
        <w:pStyle w:val="TOC3"/>
        <w:rPr>
          <w:rFonts w:asciiTheme="minorHAnsi" w:eastAsiaTheme="minorEastAsia" w:hAnsiTheme="minorHAnsi"/>
          <w:noProof/>
          <w:kern w:val="2"/>
          <w:sz w:val="24"/>
          <w:szCs w:val="24"/>
          <w:lang w:eastAsia="en-AU"/>
          <w14:ligatures w14:val="standardContextual"/>
        </w:rPr>
      </w:pPr>
      <w:hyperlink w:anchor="_Toc214019404" w:history="1">
        <w:r w:rsidRPr="00D20A81">
          <w:rPr>
            <w:rStyle w:val="Hyperlink"/>
            <w:noProof/>
          </w:rPr>
          <w:t>More throughput of qualified workers and shorter duration of vacancies</w:t>
        </w:r>
        <w:r>
          <w:rPr>
            <w:noProof/>
            <w:webHidden/>
          </w:rPr>
          <w:tab/>
        </w:r>
        <w:r>
          <w:rPr>
            <w:noProof/>
            <w:webHidden/>
          </w:rPr>
          <w:fldChar w:fldCharType="begin"/>
        </w:r>
        <w:r>
          <w:rPr>
            <w:noProof/>
            <w:webHidden/>
          </w:rPr>
          <w:instrText xml:space="preserve"> PAGEREF _Toc214019404 \h </w:instrText>
        </w:r>
        <w:r>
          <w:rPr>
            <w:noProof/>
            <w:webHidden/>
          </w:rPr>
        </w:r>
        <w:r>
          <w:rPr>
            <w:noProof/>
            <w:webHidden/>
          </w:rPr>
          <w:fldChar w:fldCharType="separate"/>
        </w:r>
        <w:r w:rsidR="00A0645F">
          <w:rPr>
            <w:noProof/>
            <w:webHidden/>
          </w:rPr>
          <w:t>11</w:t>
        </w:r>
        <w:r>
          <w:rPr>
            <w:noProof/>
            <w:webHidden/>
          </w:rPr>
          <w:fldChar w:fldCharType="end"/>
        </w:r>
      </w:hyperlink>
    </w:p>
    <w:p w14:paraId="1BC80CD1" w14:textId="3DEFB143" w:rsidR="00C20C62" w:rsidRDefault="00C20C62">
      <w:pPr>
        <w:pStyle w:val="TOC1"/>
        <w:rPr>
          <w:rFonts w:asciiTheme="minorHAnsi" w:eastAsiaTheme="minorEastAsia" w:hAnsiTheme="minorHAnsi"/>
          <w:b w:val="0"/>
          <w:noProof/>
          <w:color w:val="auto"/>
          <w:kern w:val="2"/>
          <w:sz w:val="24"/>
          <w:szCs w:val="24"/>
          <w:lang w:eastAsia="en-AU"/>
          <w14:ligatures w14:val="standardContextual"/>
        </w:rPr>
      </w:pPr>
      <w:hyperlink w:anchor="_Toc214019405" w:history="1">
        <w:r w:rsidRPr="00D20A81">
          <w:rPr>
            <w:rStyle w:val="Hyperlink"/>
            <w:noProof/>
          </w:rPr>
          <w:t>Explanatory Notes</w:t>
        </w:r>
        <w:r>
          <w:rPr>
            <w:noProof/>
            <w:webHidden/>
          </w:rPr>
          <w:tab/>
        </w:r>
        <w:r>
          <w:rPr>
            <w:noProof/>
            <w:webHidden/>
          </w:rPr>
          <w:fldChar w:fldCharType="begin"/>
        </w:r>
        <w:r>
          <w:rPr>
            <w:noProof/>
            <w:webHidden/>
          </w:rPr>
          <w:instrText xml:space="preserve"> PAGEREF _Toc214019405 \h </w:instrText>
        </w:r>
        <w:r>
          <w:rPr>
            <w:noProof/>
            <w:webHidden/>
          </w:rPr>
        </w:r>
        <w:r>
          <w:rPr>
            <w:noProof/>
            <w:webHidden/>
          </w:rPr>
          <w:fldChar w:fldCharType="separate"/>
        </w:r>
        <w:r w:rsidR="00A0645F">
          <w:rPr>
            <w:noProof/>
            <w:webHidden/>
          </w:rPr>
          <w:t>13</w:t>
        </w:r>
        <w:r>
          <w:rPr>
            <w:noProof/>
            <w:webHidden/>
          </w:rPr>
          <w:fldChar w:fldCharType="end"/>
        </w:r>
      </w:hyperlink>
    </w:p>
    <w:p w14:paraId="64A07AE1" w14:textId="7F2C9718" w:rsidR="00C20C62" w:rsidRDefault="00C20C62">
      <w:pPr>
        <w:pStyle w:val="TOC2"/>
        <w:rPr>
          <w:rFonts w:asciiTheme="minorHAnsi" w:eastAsiaTheme="minorEastAsia" w:hAnsiTheme="minorHAnsi"/>
          <w:b w:val="0"/>
          <w:noProof/>
          <w:kern w:val="2"/>
          <w:sz w:val="24"/>
          <w:szCs w:val="24"/>
          <w:lang w:eastAsia="en-AU"/>
          <w14:ligatures w14:val="standardContextual"/>
        </w:rPr>
      </w:pPr>
      <w:hyperlink w:anchor="_Toc214019406" w:history="1">
        <w:r w:rsidRPr="00D20A81">
          <w:rPr>
            <w:rStyle w:val="Hyperlink"/>
            <w:noProof/>
          </w:rPr>
          <w:t>Definitions of metrics</w:t>
        </w:r>
        <w:r>
          <w:rPr>
            <w:noProof/>
            <w:webHidden/>
          </w:rPr>
          <w:tab/>
        </w:r>
        <w:r>
          <w:rPr>
            <w:noProof/>
            <w:webHidden/>
          </w:rPr>
          <w:fldChar w:fldCharType="begin"/>
        </w:r>
        <w:r>
          <w:rPr>
            <w:noProof/>
            <w:webHidden/>
          </w:rPr>
          <w:instrText xml:space="preserve"> PAGEREF _Toc214019406 \h </w:instrText>
        </w:r>
        <w:r>
          <w:rPr>
            <w:noProof/>
            <w:webHidden/>
          </w:rPr>
        </w:r>
        <w:r>
          <w:rPr>
            <w:noProof/>
            <w:webHidden/>
          </w:rPr>
          <w:fldChar w:fldCharType="separate"/>
        </w:r>
        <w:r w:rsidR="00A0645F">
          <w:rPr>
            <w:noProof/>
            <w:webHidden/>
          </w:rPr>
          <w:t>13</w:t>
        </w:r>
        <w:r>
          <w:rPr>
            <w:noProof/>
            <w:webHidden/>
          </w:rPr>
          <w:fldChar w:fldCharType="end"/>
        </w:r>
      </w:hyperlink>
    </w:p>
    <w:p w14:paraId="184202BF" w14:textId="7B96E91E" w:rsidR="00AE0185" w:rsidRDefault="00452A9D" w:rsidP="00E03B0F">
      <w:pPr>
        <w:sectPr w:rsidR="00AE0185" w:rsidSect="00106E26">
          <w:headerReference w:type="first" r:id="rId17"/>
          <w:footerReference w:type="first" r:id="rId18"/>
          <w:pgSz w:w="11907" w:h="16839" w:code="9"/>
          <w:pgMar w:top="1440" w:right="1440" w:bottom="1440" w:left="1440" w:header="720" w:footer="720" w:gutter="0"/>
          <w:pgNumType w:start="1"/>
          <w:cols w:space="720"/>
          <w:titlePg/>
          <w:docGrid w:linePitch="360"/>
        </w:sectPr>
      </w:pPr>
      <w:r>
        <w:fldChar w:fldCharType="end"/>
      </w:r>
    </w:p>
    <w:p w14:paraId="37702058" w14:textId="4393F5D9" w:rsidR="00732448" w:rsidRDefault="003063A6" w:rsidP="00F55EA1">
      <w:pPr>
        <w:pStyle w:val="Heading1"/>
      </w:pPr>
      <w:bookmarkStart w:id="0" w:name="_Toc214019395"/>
      <w:r>
        <w:lastRenderedPageBreak/>
        <w:t>Introduction</w:t>
      </w:r>
      <w:bookmarkEnd w:id="0"/>
    </w:p>
    <w:p w14:paraId="0E4EE275" w14:textId="7C671B55" w:rsidR="006B22F2" w:rsidRDefault="00646F60" w:rsidP="008D7069">
      <w:pPr>
        <w:pStyle w:val="BodyText"/>
      </w:pPr>
      <w:r w:rsidRPr="00646F60">
        <w:t xml:space="preserve">The Occupation Shortage Report offers quarterly analysis on </w:t>
      </w:r>
      <w:r w:rsidR="000F7606">
        <w:t xml:space="preserve">select </w:t>
      </w:r>
      <w:r w:rsidR="00DE5D37">
        <w:t xml:space="preserve">data from </w:t>
      </w:r>
      <w:r w:rsidRPr="00646F60">
        <w:t xml:space="preserve">the Jobs and Skills Australia Survey of Employers who have Recently Advertised (SERA). The </w:t>
      </w:r>
      <w:hyperlink w:anchor="_Explanatory_Notes">
        <w:r w:rsidRPr="00646F60">
          <w:rPr>
            <w:rStyle w:val="Hyperlink"/>
          </w:rPr>
          <w:t>Explanatory notes</w:t>
        </w:r>
      </w:hyperlink>
      <w:r w:rsidRPr="00646F60">
        <w:t xml:space="preserve"> section defines the metrics covered in this report.</w:t>
      </w:r>
    </w:p>
    <w:p w14:paraId="335496D4" w14:textId="31ABBECF" w:rsidR="00646F60" w:rsidRDefault="00646F60" w:rsidP="00646F60">
      <w:pPr>
        <w:pStyle w:val="Heading1"/>
      </w:pPr>
      <w:bookmarkStart w:id="1" w:name="_Toc214019396"/>
      <w:r>
        <w:t>National results</w:t>
      </w:r>
      <w:bookmarkEnd w:id="1"/>
    </w:p>
    <w:p w14:paraId="4D72A2FE" w14:textId="2CF42BF8" w:rsidR="00646F60" w:rsidRPr="00646F60" w:rsidRDefault="00646F60" w:rsidP="00646F60">
      <w:pPr>
        <w:pStyle w:val="Caption"/>
      </w:pPr>
      <w:bookmarkStart w:id="2" w:name="_Ref181718787"/>
      <w:bookmarkStart w:id="3" w:name="_Ref173248539"/>
      <w:r w:rsidRPr="00646F60">
        <w:t xml:space="preserve">Table </w:t>
      </w:r>
      <w:r w:rsidRPr="00646F60">
        <w:fldChar w:fldCharType="begin"/>
      </w:r>
      <w:r w:rsidRPr="00646F60">
        <w:instrText xml:space="preserve"> SEQ Table \* ARABIC </w:instrText>
      </w:r>
      <w:r w:rsidRPr="00646F60">
        <w:fldChar w:fldCharType="separate"/>
      </w:r>
      <w:r w:rsidR="00A0645F">
        <w:rPr>
          <w:noProof/>
        </w:rPr>
        <w:t>1</w:t>
      </w:r>
      <w:r w:rsidRPr="00646F60">
        <w:fldChar w:fldCharType="end"/>
      </w:r>
      <w:bookmarkEnd w:id="2"/>
      <w:bookmarkEnd w:id="3"/>
      <w:r w:rsidRPr="00646F60">
        <w:t>: National snapshot</w:t>
      </w:r>
    </w:p>
    <w:tbl>
      <w:tblPr>
        <w:tblStyle w:val="CustomTablebasic"/>
        <w:tblW w:w="5000" w:type="pct"/>
        <w:tblLook w:val="04A0" w:firstRow="1" w:lastRow="0" w:firstColumn="1" w:lastColumn="0" w:noHBand="0" w:noVBand="1"/>
      </w:tblPr>
      <w:tblGrid>
        <w:gridCol w:w="3923"/>
        <w:gridCol w:w="1701"/>
        <w:gridCol w:w="1701"/>
        <w:gridCol w:w="1702"/>
      </w:tblGrid>
      <w:tr w:rsidR="00646F60" w:rsidRPr="00965FCB" w14:paraId="6060B825" w14:textId="77777777">
        <w:trPr>
          <w:cnfStyle w:val="100000000000" w:firstRow="1" w:lastRow="0" w:firstColumn="0" w:lastColumn="0" w:oddVBand="0" w:evenVBand="0" w:oddHBand="0" w:evenHBand="0" w:firstRowFirstColumn="0" w:firstRowLastColumn="0" w:lastRowFirstColumn="0" w:lastRowLastColumn="0"/>
          <w:trHeight w:val="660"/>
        </w:trPr>
        <w:tc>
          <w:tcPr>
            <w:tcW w:w="2173" w:type="pct"/>
          </w:tcPr>
          <w:p w14:paraId="41E3C889" w14:textId="77777777" w:rsidR="00646F60" w:rsidRPr="00646F60" w:rsidRDefault="00646F60" w:rsidP="00646F60">
            <w:pPr>
              <w:pStyle w:val="TableHeading1"/>
            </w:pPr>
          </w:p>
        </w:tc>
        <w:tc>
          <w:tcPr>
            <w:tcW w:w="942" w:type="pct"/>
          </w:tcPr>
          <w:p w14:paraId="5A90F693" w14:textId="2EAA61A8" w:rsidR="00646F60" w:rsidRPr="00646F60" w:rsidRDefault="003A6BBD" w:rsidP="00646F60">
            <w:pPr>
              <w:pStyle w:val="TableHeading1"/>
            </w:pPr>
            <w:r>
              <w:t>September</w:t>
            </w:r>
            <w:r w:rsidR="00646F60" w:rsidRPr="00646F60">
              <w:t xml:space="preserve"> quarter 2025</w:t>
            </w:r>
          </w:p>
        </w:tc>
        <w:tc>
          <w:tcPr>
            <w:tcW w:w="942" w:type="pct"/>
          </w:tcPr>
          <w:p w14:paraId="06505832" w14:textId="77777777" w:rsidR="00646F60" w:rsidRPr="00646F60" w:rsidRDefault="00646F60" w:rsidP="00646F60">
            <w:pPr>
              <w:pStyle w:val="TableHeading1"/>
            </w:pPr>
            <w:r w:rsidRPr="00646F60">
              <w:t>Change over the quarter</w:t>
            </w:r>
          </w:p>
        </w:tc>
        <w:tc>
          <w:tcPr>
            <w:tcW w:w="943" w:type="pct"/>
          </w:tcPr>
          <w:p w14:paraId="53543421" w14:textId="0724B578" w:rsidR="00646F60" w:rsidRPr="00646F60" w:rsidRDefault="00646F60" w:rsidP="00646F60">
            <w:pPr>
              <w:pStyle w:val="TableHeading1"/>
            </w:pPr>
            <w:r w:rsidRPr="00646F60">
              <w:t>Change over 12 months</w:t>
            </w:r>
          </w:p>
        </w:tc>
      </w:tr>
      <w:tr w:rsidR="00646F60" w:rsidRPr="00965FCB" w14:paraId="526D6EE2" w14:textId="77777777">
        <w:trPr>
          <w:trHeight w:val="333"/>
        </w:trPr>
        <w:tc>
          <w:tcPr>
            <w:tcW w:w="2173" w:type="pct"/>
          </w:tcPr>
          <w:p w14:paraId="79853B54" w14:textId="77777777" w:rsidR="00646F60" w:rsidRPr="00646F60" w:rsidRDefault="00646F60" w:rsidP="00646F60">
            <w:pPr>
              <w:pStyle w:val="TableBodyText"/>
            </w:pPr>
            <w:r w:rsidRPr="00646F60">
              <w:t>Vacancy fill rate (%)</w:t>
            </w:r>
            <w:r w:rsidRPr="00646F60">
              <w:rPr>
                <w:rStyle w:val="FootnoteReference"/>
              </w:rPr>
              <w:footnoteReference w:id="1"/>
            </w:r>
          </w:p>
        </w:tc>
        <w:tc>
          <w:tcPr>
            <w:tcW w:w="942" w:type="pct"/>
          </w:tcPr>
          <w:p w14:paraId="07420832" w14:textId="2CC851D5" w:rsidR="00646F60" w:rsidRPr="00646F60" w:rsidRDefault="0088702C" w:rsidP="00646F60">
            <w:pPr>
              <w:pStyle w:val="TableBodyTextright"/>
            </w:pPr>
            <w:r>
              <w:t>70.2</w:t>
            </w:r>
            <w:r w:rsidR="00646F60" w:rsidRPr="00646F60">
              <w:t>%</w:t>
            </w:r>
          </w:p>
        </w:tc>
        <w:tc>
          <w:tcPr>
            <w:tcW w:w="942" w:type="pct"/>
          </w:tcPr>
          <w:p w14:paraId="0B411140" w14:textId="476BF78D" w:rsidR="00646F60" w:rsidRPr="00646F60" w:rsidRDefault="00D22F79" w:rsidP="00646F60">
            <w:pPr>
              <w:pStyle w:val="TableBodyTextright"/>
            </w:pPr>
            <w:r w:rsidRPr="00D22F79">
              <w:t>▼</w:t>
            </w:r>
            <w:r w:rsidR="00646F60" w:rsidRPr="00646F60">
              <w:t>0.</w:t>
            </w:r>
            <w:r w:rsidR="00BD4CCA">
              <w:t>3</w:t>
            </w:r>
            <w:r w:rsidR="00646F60" w:rsidRPr="00646F60">
              <w:t>% pts</w:t>
            </w:r>
          </w:p>
        </w:tc>
        <w:tc>
          <w:tcPr>
            <w:tcW w:w="943" w:type="pct"/>
          </w:tcPr>
          <w:p w14:paraId="5A3F88BC" w14:textId="46DEC55C" w:rsidR="00646F60" w:rsidRPr="00646F60" w:rsidRDefault="00646F60" w:rsidP="00646F60">
            <w:pPr>
              <w:pStyle w:val="TableBodyTextright"/>
            </w:pPr>
            <w:r w:rsidRPr="00646F60">
              <w:t>▲</w:t>
            </w:r>
            <w:r w:rsidR="00540EB9">
              <w:t>2.2</w:t>
            </w:r>
            <w:r w:rsidRPr="00646F60">
              <w:t>% pts</w:t>
            </w:r>
          </w:p>
        </w:tc>
      </w:tr>
      <w:tr w:rsidR="00646F60" w:rsidRPr="00965FCB" w14:paraId="1C55537A" w14:textId="77777777">
        <w:trPr>
          <w:cnfStyle w:val="000000010000" w:firstRow="0" w:lastRow="0" w:firstColumn="0" w:lastColumn="0" w:oddVBand="0" w:evenVBand="0" w:oddHBand="0" w:evenHBand="1" w:firstRowFirstColumn="0" w:firstRowLastColumn="0" w:lastRowFirstColumn="0" w:lastRowLastColumn="0"/>
          <w:trHeight w:val="425"/>
        </w:trPr>
        <w:tc>
          <w:tcPr>
            <w:tcW w:w="2173" w:type="pct"/>
          </w:tcPr>
          <w:p w14:paraId="4B43C518" w14:textId="77777777" w:rsidR="00646F60" w:rsidRPr="00646F60" w:rsidRDefault="00646F60" w:rsidP="00646F60">
            <w:pPr>
              <w:pStyle w:val="TableBodyText"/>
            </w:pPr>
            <w:r w:rsidRPr="00646F60">
              <w:t>Applicants per vacancy (no.)</w:t>
            </w:r>
          </w:p>
        </w:tc>
        <w:tc>
          <w:tcPr>
            <w:tcW w:w="942" w:type="pct"/>
          </w:tcPr>
          <w:p w14:paraId="01ED0044" w14:textId="479665A4" w:rsidR="00646F60" w:rsidRPr="00646F60" w:rsidRDefault="00646F60" w:rsidP="00646F60">
            <w:pPr>
              <w:pStyle w:val="TableBodyTextright"/>
            </w:pPr>
            <w:r w:rsidRPr="00646F60">
              <w:t>2</w:t>
            </w:r>
            <w:r w:rsidR="00973F1F">
              <w:t>4</w:t>
            </w:r>
            <w:r w:rsidRPr="00646F60">
              <w:t>.</w:t>
            </w:r>
            <w:r w:rsidR="00BD4CCA">
              <w:t>6</w:t>
            </w:r>
          </w:p>
        </w:tc>
        <w:tc>
          <w:tcPr>
            <w:tcW w:w="942" w:type="pct"/>
          </w:tcPr>
          <w:p w14:paraId="7C2FDC4F" w14:textId="431B50AD" w:rsidR="00646F60" w:rsidRPr="00646F60" w:rsidRDefault="00646F60" w:rsidP="00646F60">
            <w:pPr>
              <w:pStyle w:val="TableBodyTextright"/>
            </w:pPr>
            <w:r w:rsidRPr="00646F60">
              <w:t>▼2.</w:t>
            </w:r>
            <w:r w:rsidR="00BD4CCA">
              <w:t>8</w:t>
            </w:r>
          </w:p>
        </w:tc>
        <w:tc>
          <w:tcPr>
            <w:tcW w:w="943" w:type="pct"/>
          </w:tcPr>
          <w:p w14:paraId="5323B7F7" w14:textId="71F848FD" w:rsidR="00646F60" w:rsidRPr="00646F60" w:rsidRDefault="00D22F79" w:rsidP="00646F60">
            <w:pPr>
              <w:pStyle w:val="TableBodyTextright"/>
            </w:pPr>
            <w:r w:rsidRPr="00D22F79">
              <w:t>▼</w:t>
            </w:r>
            <w:r w:rsidR="00540EB9">
              <w:t>3.9</w:t>
            </w:r>
          </w:p>
        </w:tc>
      </w:tr>
      <w:tr w:rsidR="00646F60" w:rsidRPr="00965FCB" w14:paraId="4F7C6688" w14:textId="77777777">
        <w:trPr>
          <w:trHeight w:val="417"/>
        </w:trPr>
        <w:tc>
          <w:tcPr>
            <w:tcW w:w="2173" w:type="pct"/>
          </w:tcPr>
          <w:p w14:paraId="10703382" w14:textId="77777777" w:rsidR="00646F60" w:rsidRPr="00646F60" w:rsidRDefault="00646F60" w:rsidP="00646F60">
            <w:pPr>
              <w:pStyle w:val="TableBodyText"/>
            </w:pPr>
            <w:r w:rsidRPr="00646F60">
              <w:t>Qualified applicants per vacancy (no.)</w:t>
            </w:r>
          </w:p>
        </w:tc>
        <w:tc>
          <w:tcPr>
            <w:tcW w:w="942" w:type="pct"/>
          </w:tcPr>
          <w:p w14:paraId="3B74C0F1" w14:textId="69462276" w:rsidR="00646F60" w:rsidRPr="00646F60" w:rsidRDefault="00C50271" w:rsidP="00646F60">
            <w:pPr>
              <w:pStyle w:val="TableBodyTextright"/>
            </w:pPr>
            <w:r>
              <w:t>9.3</w:t>
            </w:r>
          </w:p>
        </w:tc>
        <w:tc>
          <w:tcPr>
            <w:tcW w:w="942" w:type="pct"/>
          </w:tcPr>
          <w:p w14:paraId="091AB8AB" w14:textId="362715B4" w:rsidR="00646F60" w:rsidRPr="00646F60" w:rsidRDefault="00003D54" w:rsidP="00646F60">
            <w:pPr>
              <w:pStyle w:val="TableBodyTextright"/>
            </w:pPr>
            <w:r>
              <w:t>—</w:t>
            </w:r>
          </w:p>
        </w:tc>
        <w:tc>
          <w:tcPr>
            <w:tcW w:w="943" w:type="pct"/>
          </w:tcPr>
          <w:p w14:paraId="612B26CD" w14:textId="55710346" w:rsidR="00646F60" w:rsidRPr="00646F60" w:rsidRDefault="00646F60" w:rsidP="00646F60">
            <w:pPr>
              <w:pStyle w:val="TableBodyTextright"/>
            </w:pPr>
            <w:r w:rsidRPr="00646F60">
              <w:t>▲</w:t>
            </w:r>
            <w:r w:rsidR="00D22F79">
              <w:t>0.</w:t>
            </w:r>
            <w:r w:rsidR="000B70B3">
              <w:t>6</w:t>
            </w:r>
          </w:p>
        </w:tc>
      </w:tr>
      <w:tr w:rsidR="00646F60" w:rsidRPr="00965FCB" w14:paraId="09C3904E" w14:textId="77777777">
        <w:trPr>
          <w:cnfStyle w:val="000000010000" w:firstRow="0" w:lastRow="0" w:firstColumn="0" w:lastColumn="0" w:oddVBand="0" w:evenVBand="0" w:oddHBand="0" w:evenHBand="1" w:firstRowFirstColumn="0" w:firstRowLastColumn="0" w:lastRowFirstColumn="0" w:lastRowLastColumn="0"/>
          <w:trHeight w:val="424"/>
        </w:trPr>
        <w:tc>
          <w:tcPr>
            <w:tcW w:w="2173" w:type="pct"/>
          </w:tcPr>
          <w:p w14:paraId="727643FF" w14:textId="77777777" w:rsidR="00646F60" w:rsidRPr="00646F60" w:rsidRDefault="00646F60" w:rsidP="00646F60">
            <w:pPr>
              <w:pStyle w:val="TableBodyText"/>
            </w:pPr>
            <w:r w:rsidRPr="00646F60">
              <w:t>Suitable applicants per vacancy (no.)</w:t>
            </w:r>
          </w:p>
        </w:tc>
        <w:tc>
          <w:tcPr>
            <w:tcW w:w="942" w:type="pct"/>
          </w:tcPr>
          <w:p w14:paraId="3E1B909D" w14:textId="2853BF66" w:rsidR="00646F60" w:rsidRPr="00646F60" w:rsidRDefault="00BD4CCA" w:rsidP="00646F60">
            <w:pPr>
              <w:pStyle w:val="TableBodyTextright"/>
            </w:pPr>
            <w:r>
              <w:t>4.8</w:t>
            </w:r>
          </w:p>
        </w:tc>
        <w:tc>
          <w:tcPr>
            <w:tcW w:w="942" w:type="pct"/>
          </w:tcPr>
          <w:p w14:paraId="42879DFE" w14:textId="521497E2" w:rsidR="00646F60" w:rsidRPr="00646F60" w:rsidRDefault="00646F60" w:rsidP="00646F60">
            <w:pPr>
              <w:pStyle w:val="TableBodyTextright"/>
            </w:pPr>
            <w:r w:rsidRPr="00646F60">
              <w:t>▲</w:t>
            </w:r>
            <w:r w:rsidR="00BD4CCA">
              <w:t>0.</w:t>
            </w:r>
            <w:r w:rsidR="000B70B3">
              <w:t>4</w:t>
            </w:r>
          </w:p>
        </w:tc>
        <w:tc>
          <w:tcPr>
            <w:tcW w:w="943" w:type="pct"/>
          </w:tcPr>
          <w:p w14:paraId="67C4F3A3" w14:textId="0032823F" w:rsidR="00646F60" w:rsidRPr="00646F60" w:rsidRDefault="00646F60" w:rsidP="00646F60">
            <w:pPr>
              <w:pStyle w:val="TableBodyTextright"/>
            </w:pPr>
            <w:r w:rsidRPr="00646F60">
              <w:t>▲</w:t>
            </w:r>
            <w:r w:rsidR="00540EB9">
              <w:t>1.5</w:t>
            </w:r>
          </w:p>
        </w:tc>
      </w:tr>
    </w:tbl>
    <w:p w14:paraId="2E83BCE1" w14:textId="14787834" w:rsidR="00646F60" w:rsidRPr="00646F60" w:rsidRDefault="00646F60" w:rsidP="00646F60">
      <w:pPr>
        <w:pStyle w:val="Source"/>
      </w:pPr>
      <w:r w:rsidRPr="00646F60">
        <w:t>Source: Jobs and Skills Australia, SERA.</w:t>
      </w:r>
      <w:r w:rsidRPr="00646F60">
        <w:br/>
        <w:t xml:space="preserve">Note: The change from previous quarter refers to the change from </w:t>
      </w:r>
      <w:r w:rsidR="00016101">
        <w:t>June</w:t>
      </w:r>
      <w:r w:rsidRPr="00646F60">
        <w:t xml:space="preserve"> quarter 2025 to </w:t>
      </w:r>
      <w:r w:rsidR="002D39D4" w:rsidRPr="002D39D4">
        <w:t xml:space="preserve">September </w:t>
      </w:r>
      <w:r w:rsidRPr="00646F60">
        <w:t xml:space="preserve">quarter 2025. The change from the previous </w:t>
      </w:r>
      <w:r w:rsidR="00042BAA">
        <w:t xml:space="preserve">12 months </w:t>
      </w:r>
      <w:r w:rsidRPr="00646F60">
        <w:t xml:space="preserve">refers to the change from </w:t>
      </w:r>
      <w:r w:rsidR="002D39D4" w:rsidRPr="002D39D4">
        <w:t xml:space="preserve">September </w:t>
      </w:r>
      <w:r w:rsidRPr="00646F60">
        <w:t xml:space="preserve">quarter 2024 to </w:t>
      </w:r>
      <w:r w:rsidR="002D39D4" w:rsidRPr="002D39D4">
        <w:t xml:space="preserve">September </w:t>
      </w:r>
      <w:r w:rsidRPr="00646F60">
        <w:t>quarter 2025.</w:t>
      </w:r>
    </w:p>
    <w:p w14:paraId="7053ED5B" w14:textId="513C3C57" w:rsidR="006B22F2" w:rsidRPr="00646F60" w:rsidRDefault="00646F60" w:rsidP="00646F60">
      <w:pPr>
        <w:pStyle w:val="BodyText"/>
      </w:pPr>
      <w:r w:rsidRPr="00646F60">
        <w:t xml:space="preserve">The vacancy fill rate (fill rate) </w:t>
      </w:r>
      <w:r w:rsidR="003732A5">
        <w:t>decreased</w:t>
      </w:r>
      <w:r w:rsidR="003732A5" w:rsidRPr="00646F60">
        <w:t xml:space="preserve"> </w:t>
      </w:r>
      <w:r w:rsidR="00E84310">
        <w:t xml:space="preserve">marginally </w:t>
      </w:r>
      <w:r w:rsidR="001C0C0D">
        <w:t xml:space="preserve">in the September quarter 2025 </w:t>
      </w:r>
      <w:r w:rsidR="003732A5">
        <w:t>by 0.3 percentage points</w:t>
      </w:r>
      <w:r w:rsidR="00F67BEA">
        <w:t xml:space="preserve"> to 70.2%</w:t>
      </w:r>
      <w:r w:rsidR="00E84310">
        <w:t>.</w:t>
      </w:r>
      <w:r w:rsidR="003732A5">
        <w:t xml:space="preserve"> </w:t>
      </w:r>
      <w:r w:rsidR="00BA580B">
        <w:t xml:space="preserve">But, over </w:t>
      </w:r>
      <w:r w:rsidRPr="00646F60">
        <w:t xml:space="preserve">the last 12 months to </w:t>
      </w:r>
      <w:r w:rsidR="00C7474C">
        <w:t xml:space="preserve">the current </w:t>
      </w:r>
      <w:r w:rsidRPr="00646F60">
        <w:t>quarter</w:t>
      </w:r>
      <w:r w:rsidR="003C337E">
        <w:t xml:space="preserve">, the </w:t>
      </w:r>
      <w:r w:rsidR="00F67BEA">
        <w:t>rate increased by 2.2 percentage points</w:t>
      </w:r>
      <w:r w:rsidRPr="00646F60">
        <w:t xml:space="preserve"> (</w:t>
      </w:r>
      <w:r w:rsidRPr="00646F60">
        <w:fldChar w:fldCharType="begin"/>
      </w:r>
      <w:r w:rsidRPr="00646F60">
        <w:instrText xml:space="preserve"> REF _Ref181718787 \h  \* MERGEFORMAT </w:instrText>
      </w:r>
      <w:r w:rsidRPr="00646F60">
        <w:fldChar w:fldCharType="separate"/>
      </w:r>
      <w:r w:rsidR="00A0645F" w:rsidRPr="00646F60">
        <w:t xml:space="preserve">Table </w:t>
      </w:r>
      <w:r w:rsidR="00A0645F">
        <w:t>1</w:t>
      </w:r>
      <w:r w:rsidRPr="00646F60">
        <w:fldChar w:fldCharType="end"/>
      </w:r>
      <w:r w:rsidRPr="00646F60">
        <w:t xml:space="preserve"> and </w:t>
      </w:r>
      <w:r w:rsidRPr="00646F60">
        <w:fldChar w:fldCharType="begin"/>
      </w:r>
      <w:r w:rsidRPr="00646F60">
        <w:instrText xml:space="preserve"> REF _Ref181718753 \h  \* MERGEFORMAT </w:instrText>
      </w:r>
      <w:r w:rsidRPr="00646F60">
        <w:fldChar w:fldCharType="separate"/>
      </w:r>
      <w:r w:rsidR="00A0645F" w:rsidRPr="00646F60">
        <w:t xml:space="preserve">Figure </w:t>
      </w:r>
      <w:r w:rsidR="00A0645F">
        <w:t>1</w:t>
      </w:r>
      <w:r w:rsidRPr="00646F60">
        <w:fldChar w:fldCharType="end"/>
      </w:r>
      <w:r w:rsidRPr="00646F60">
        <w:t>).</w:t>
      </w:r>
      <w:r w:rsidRPr="00646F60">
        <w:rPr>
          <w:rStyle w:val="FootnoteReference"/>
        </w:rPr>
        <w:footnoteReference w:id="2"/>
      </w:r>
      <w:r w:rsidRPr="00646F60">
        <w:t xml:space="preserve"> </w:t>
      </w:r>
    </w:p>
    <w:p w14:paraId="25BCFFD4" w14:textId="0F7595EC" w:rsidR="00646F60" w:rsidRPr="00646F60" w:rsidRDefault="00646F60" w:rsidP="00646F60">
      <w:pPr>
        <w:pStyle w:val="Caption"/>
      </w:pPr>
      <w:bookmarkStart w:id="4" w:name="_Ref181718753"/>
      <w:r w:rsidRPr="00646F60">
        <w:t xml:space="preserve">Figure </w:t>
      </w:r>
      <w:r w:rsidRPr="00646F60">
        <w:fldChar w:fldCharType="begin"/>
      </w:r>
      <w:r w:rsidRPr="00646F60">
        <w:instrText xml:space="preserve"> SEQ Figure \* ARABIC </w:instrText>
      </w:r>
      <w:r w:rsidRPr="00646F60">
        <w:fldChar w:fldCharType="separate"/>
      </w:r>
      <w:r w:rsidR="00A0645F">
        <w:rPr>
          <w:noProof/>
        </w:rPr>
        <w:t>1</w:t>
      </w:r>
      <w:r w:rsidRPr="00646F60">
        <w:fldChar w:fldCharType="end"/>
      </w:r>
      <w:bookmarkEnd w:id="4"/>
      <w:r w:rsidRPr="00646F60">
        <w:t>: Fill rate (%) and total, qualified, and suitable applicants per vacancy (no.), national level</w:t>
      </w:r>
    </w:p>
    <w:p w14:paraId="5EAF24EE" w14:textId="254B3A15" w:rsidR="00646F60" w:rsidRPr="00646F60" w:rsidRDefault="008C21F6" w:rsidP="00646F60">
      <w:pPr>
        <w:pStyle w:val="Source"/>
      </w:pPr>
      <w:r w:rsidRPr="008C21F6">
        <w:rPr>
          <w:noProof/>
        </w:rPr>
        <w:drawing>
          <wp:inline distT="0" distB="0" distL="0" distR="0" wp14:anchorId="51FFF359" wp14:editId="3BCAE11D">
            <wp:extent cx="5730875" cy="2860158"/>
            <wp:effectExtent l="0" t="0" r="3175" b="0"/>
            <wp:docPr id="1827567987" name="Chart 1" descr="Figure 1 shows the quarterly national fill rate and total, qualified and suitable applicants per vacancy from September 2023 to September 2025. The fill rate across all occupations decreased by 0.3 percentage points to 70.2% over the September quarter 2025. In the last 12 months, qualified applicants and suitable applicants per vacancy have increased, despite lower total applicants per vacancy.">
              <a:extLst xmlns:a="http://schemas.openxmlformats.org/drawingml/2006/main">
                <a:ext uri="{FF2B5EF4-FFF2-40B4-BE49-F238E27FC236}">
                  <a16:creationId xmlns:a16="http://schemas.microsoft.com/office/drawing/2014/main" id="{9125DDC2-5FBE-4DF7-8811-5AC0F29756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646F60" w:rsidRPr="00646F60">
        <w:br/>
        <w:t>Source: Jobs and Skills Australia, SERA.</w:t>
      </w:r>
    </w:p>
    <w:p w14:paraId="25A34B26" w14:textId="72BD68F7" w:rsidR="00DE0758" w:rsidRDefault="000B5C7C" w:rsidP="00646F60">
      <w:pPr>
        <w:pStyle w:val="BodyText"/>
      </w:pPr>
      <w:r>
        <w:lastRenderedPageBreak/>
        <w:t>The change in the fill rate over the quarter and the past 12 months were the slowest to date. Previously, the increase in the fill rate averaged</w:t>
      </w:r>
      <w:r w:rsidR="00216336">
        <w:t>:</w:t>
      </w:r>
    </w:p>
    <w:p w14:paraId="78BA485A" w14:textId="77777777" w:rsidR="00DE0758" w:rsidRDefault="000B5C7C" w:rsidP="00DE0758">
      <w:pPr>
        <w:pStyle w:val="ListBullet"/>
      </w:pPr>
      <w:r>
        <w:t xml:space="preserve">1.2 percentage points per quarter </w:t>
      </w:r>
    </w:p>
    <w:p w14:paraId="5FFEEA51" w14:textId="0A62E510" w:rsidR="000B5C7C" w:rsidRDefault="000B5C7C" w:rsidP="00246284">
      <w:pPr>
        <w:pStyle w:val="ListBullet"/>
      </w:pPr>
      <w:r>
        <w:t xml:space="preserve">5.2 percentage points </w:t>
      </w:r>
      <w:r w:rsidR="00DE0758">
        <w:t xml:space="preserve">in the 12 months to </w:t>
      </w:r>
      <w:r w:rsidR="0012532F">
        <w:t>each quarter</w:t>
      </w:r>
      <w:r>
        <w:t>.</w:t>
      </w:r>
      <w:r w:rsidR="00531537">
        <w:rPr>
          <w:rStyle w:val="FootnoteReference"/>
        </w:rPr>
        <w:footnoteReference w:id="3"/>
      </w:r>
    </w:p>
    <w:p w14:paraId="3705D2B0" w14:textId="2BA7A3F2" w:rsidR="00646F60" w:rsidRPr="00646F60" w:rsidRDefault="00743EE5" w:rsidP="00646F60">
      <w:pPr>
        <w:pStyle w:val="BodyText"/>
      </w:pPr>
      <w:r>
        <w:t>The number of t</w:t>
      </w:r>
      <w:r w:rsidR="00646F60" w:rsidRPr="00646F60">
        <w:t xml:space="preserve">otal applicants per vacancy </w:t>
      </w:r>
      <w:r w:rsidR="00355964">
        <w:t>have</w:t>
      </w:r>
      <w:r w:rsidR="001775F1">
        <w:t xml:space="preserve"> </w:t>
      </w:r>
      <w:r w:rsidR="000E323F">
        <w:t xml:space="preserve">decreased </w:t>
      </w:r>
      <w:r w:rsidR="005516AA">
        <w:t xml:space="preserve">over the quarter and past 12 months and </w:t>
      </w:r>
      <w:r w:rsidR="00461C99">
        <w:t xml:space="preserve">have been falling </w:t>
      </w:r>
      <w:r w:rsidR="001775F1">
        <w:t xml:space="preserve">since </w:t>
      </w:r>
      <w:r w:rsidR="00355964">
        <w:t xml:space="preserve">the peak </w:t>
      </w:r>
      <w:r w:rsidR="00900148">
        <w:t xml:space="preserve">of 30 </w:t>
      </w:r>
      <w:r w:rsidR="00355964">
        <w:t>reached in December quarter 2024. Qualified applicants per vaca</w:t>
      </w:r>
      <w:r w:rsidR="00423EC2">
        <w:t xml:space="preserve">ncy have been stable over the last 2 quarters, </w:t>
      </w:r>
      <w:r w:rsidR="00770542">
        <w:t xml:space="preserve">while </w:t>
      </w:r>
      <w:r w:rsidR="00B02A27">
        <w:t xml:space="preserve">the number of </w:t>
      </w:r>
      <w:r w:rsidR="00423EC2">
        <w:t>Suitable applicants per vacancy ha</w:t>
      </w:r>
      <w:r w:rsidR="000E323F">
        <w:t>ve</w:t>
      </w:r>
      <w:r w:rsidR="00423EC2">
        <w:t xml:space="preserve"> </w:t>
      </w:r>
      <w:r w:rsidR="00770542">
        <w:t xml:space="preserve">continued </w:t>
      </w:r>
      <w:r w:rsidR="009131AC">
        <w:t xml:space="preserve">its steady </w:t>
      </w:r>
      <w:r w:rsidR="00770542">
        <w:t>increas</w:t>
      </w:r>
      <w:r w:rsidR="009131AC">
        <w:t>e</w:t>
      </w:r>
      <w:r w:rsidR="00770542">
        <w:t xml:space="preserve"> </w:t>
      </w:r>
      <w:r w:rsidR="00586678">
        <w:t>over time</w:t>
      </w:r>
      <w:r w:rsidR="00943B58">
        <w:t>.</w:t>
      </w:r>
      <w:r w:rsidR="00F9092D">
        <w:t xml:space="preserve"> </w:t>
      </w:r>
    </w:p>
    <w:p w14:paraId="75708BA4" w14:textId="77777777" w:rsidR="00646F60" w:rsidRPr="00646F60" w:rsidRDefault="00646F60" w:rsidP="00646F60">
      <w:pPr>
        <w:pStyle w:val="Heading1"/>
      </w:pPr>
      <w:bookmarkStart w:id="5" w:name="_Toc199509249"/>
      <w:bookmarkStart w:id="6" w:name="_Toc173238402"/>
      <w:bookmarkStart w:id="7" w:name="_Toc207977952"/>
      <w:bookmarkStart w:id="8" w:name="_Toc214019397"/>
      <w:r w:rsidRPr="00646F60">
        <w:t>Metropolitan area results</w:t>
      </w:r>
      <w:bookmarkEnd w:id="5"/>
      <w:bookmarkEnd w:id="6"/>
      <w:bookmarkEnd w:id="7"/>
      <w:bookmarkEnd w:id="8"/>
    </w:p>
    <w:p w14:paraId="293D8264" w14:textId="2CD3B4B7" w:rsidR="00646F60" w:rsidRPr="00646F60" w:rsidRDefault="00646F60" w:rsidP="00646F60">
      <w:pPr>
        <w:pStyle w:val="Caption"/>
      </w:pPr>
      <w:bookmarkStart w:id="9" w:name="_Ref181718900"/>
      <w:r w:rsidRPr="00646F60">
        <w:t xml:space="preserve">Table </w:t>
      </w:r>
      <w:r w:rsidRPr="00646F60">
        <w:fldChar w:fldCharType="begin"/>
      </w:r>
      <w:r w:rsidRPr="00646F60">
        <w:instrText xml:space="preserve"> SEQ Table \* ARABIC </w:instrText>
      </w:r>
      <w:r w:rsidRPr="00646F60">
        <w:fldChar w:fldCharType="separate"/>
      </w:r>
      <w:r w:rsidR="00A0645F">
        <w:rPr>
          <w:noProof/>
        </w:rPr>
        <w:t>2</w:t>
      </w:r>
      <w:r w:rsidRPr="00646F60">
        <w:fldChar w:fldCharType="end"/>
      </w:r>
      <w:bookmarkEnd w:id="9"/>
      <w:r w:rsidRPr="00646F60">
        <w:t>: Metropolitan snapshot</w:t>
      </w:r>
    </w:p>
    <w:tbl>
      <w:tblPr>
        <w:tblStyle w:val="CustomTablebasic"/>
        <w:tblW w:w="5000" w:type="pct"/>
        <w:tblLook w:val="04A0" w:firstRow="1" w:lastRow="0" w:firstColumn="1" w:lastColumn="0" w:noHBand="0" w:noVBand="1"/>
      </w:tblPr>
      <w:tblGrid>
        <w:gridCol w:w="3970"/>
        <w:gridCol w:w="1811"/>
        <w:gridCol w:w="1657"/>
        <w:gridCol w:w="1589"/>
      </w:tblGrid>
      <w:tr w:rsidR="00646F60" w:rsidRPr="00965FCB" w14:paraId="07EC6F9B" w14:textId="77777777">
        <w:trPr>
          <w:cnfStyle w:val="100000000000" w:firstRow="1" w:lastRow="0" w:firstColumn="0" w:lastColumn="0" w:oddVBand="0" w:evenVBand="0" w:oddHBand="0" w:evenHBand="0" w:firstRowFirstColumn="0" w:firstRowLastColumn="0" w:lastRowFirstColumn="0" w:lastRowLastColumn="0"/>
          <w:trHeight w:val="706"/>
        </w:trPr>
        <w:tc>
          <w:tcPr>
            <w:tcW w:w="2199" w:type="pct"/>
            <w:hideMark/>
          </w:tcPr>
          <w:p w14:paraId="37BFEED3" w14:textId="77777777" w:rsidR="00646F60" w:rsidRPr="00646F60" w:rsidRDefault="00646F60" w:rsidP="00646F60">
            <w:pPr>
              <w:pStyle w:val="TableHeading1"/>
            </w:pPr>
          </w:p>
        </w:tc>
        <w:tc>
          <w:tcPr>
            <w:tcW w:w="1003" w:type="pct"/>
            <w:hideMark/>
          </w:tcPr>
          <w:p w14:paraId="5939ECD7" w14:textId="527966A7" w:rsidR="00646F60" w:rsidRPr="00646F60" w:rsidRDefault="00484A7C" w:rsidP="00646F60">
            <w:pPr>
              <w:pStyle w:val="TableHeading1"/>
            </w:pPr>
            <w:r>
              <w:t xml:space="preserve">September </w:t>
            </w:r>
            <w:r w:rsidR="00646F60" w:rsidRPr="00646F60">
              <w:t>quarter 2025</w:t>
            </w:r>
          </w:p>
        </w:tc>
        <w:tc>
          <w:tcPr>
            <w:tcW w:w="918" w:type="pct"/>
            <w:hideMark/>
          </w:tcPr>
          <w:p w14:paraId="1E3FEC4B" w14:textId="77777777" w:rsidR="00646F60" w:rsidRPr="00646F60" w:rsidRDefault="00646F60" w:rsidP="00646F60">
            <w:pPr>
              <w:pStyle w:val="TableHeading1"/>
            </w:pPr>
            <w:r w:rsidRPr="00646F60">
              <w:t>Change over the quarter</w:t>
            </w:r>
          </w:p>
        </w:tc>
        <w:tc>
          <w:tcPr>
            <w:tcW w:w="880" w:type="pct"/>
            <w:hideMark/>
          </w:tcPr>
          <w:p w14:paraId="1558BA36" w14:textId="77777777" w:rsidR="00646F60" w:rsidRPr="00646F60" w:rsidRDefault="00646F60" w:rsidP="00646F60">
            <w:pPr>
              <w:pStyle w:val="TableHeading1"/>
            </w:pPr>
            <w:r w:rsidRPr="00646F60">
              <w:t>Change over 12 months</w:t>
            </w:r>
          </w:p>
        </w:tc>
      </w:tr>
      <w:tr w:rsidR="00646F60" w:rsidRPr="00965FCB" w14:paraId="0086521E" w14:textId="77777777">
        <w:trPr>
          <w:trHeight w:val="300"/>
        </w:trPr>
        <w:tc>
          <w:tcPr>
            <w:tcW w:w="2199" w:type="pct"/>
            <w:hideMark/>
          </w:tcPr>
          <w:p w14:paraId="14823373" w14:textId="77777777" w:rsidR="00646F60" w:rsidRPr="00646F60" w:rsidRDefault="00646F60" w:rsidP="00646F60">
            <w:pPr>
              <w:pStyle w:val="TableBodyText"/>
            </w:pPr>
            <w:r w:rsidRPr="00646F60">
              <w:t>Vacancy fill rate (%)</w:t>
            </w:r>
          </w:p>
        </w:tc>
        <w:tc>
          <w:tcPr>
            <w:tcW w:w="1003" w:type="pct"/>
            <w:hideMark/>
          </w:tcPr>
          <w:p w14:paraId="61FC87B6" w14:textId="67697FCC" w:rsidR="00646F60" w:rsidRPr="00646F60" w:rsidRDefault="00646F60" w:rsidP="00646F60">
            <w:pPr>
              <w:pStyle w:val="TableBodyTextright"/>
            </w:pPr>
            <w:r w:rsidRPr="00646F60">
              <w:t>7</w:t>
            </w:r>
            <w:r w:rsidR="000F4310">
              <w:t>1</w:t>
            </w:r>
            <w:r w:rsidRPr="00646F60">
              <w:t>.</w:t>
            </w:r>
            <w:r w:rsidR="000B297A">
              <w:t>5</w:t>
            </w:r>
            <w:r w:rsidRPr="00646F60">
              <w:t>%</w:t>
            </w:r>
          </w:p>
        </w:tc>
        <w:tc>
          <w:tcPr>
            <w:tcW w:w="918" w:type="pct"/>
            <w:hideMark/>
          </w:tcPr>
          <w:p w14:paraId="2FEF2F27" w14:textId="0F9B1F3F" w:rsidR="00646F60" w:rsidRPr="00646F60" w:rsidRDefault="00323459" w:rsidP="00646F60">
            <w:pPr>
              <w:pStyle w:val="TableBodyTextright"/>
            </w:pPr>
            <w:r w:rsidRPr="00646F60">
              <w:t>▼</w:t>
            </w:r>
            <w:r w:rsidR="00B928E8">
              <w:t>0.7</w:t>
            </w:r>
            <w:r w:rsidR="00646F60" w:rsidRPr="00646F60">
              <w:t>% pts</w:t>
            </w:r>
          </w:p>
        </w:tc>
        <w:tc>
          <w:tcPr>
            <w:tcW w:w="880" w:type="pct"/>
            <w:hideMark/>
          </w:tcPr>
          <w:p w14:paraId="05F0C370" w14:textId="2BE3D835" w:rsidR="00646F60" w:rsidRPr="00646F60" w:rsidRDefault="00646F60" w:rsidP="00646F60">
            <w:pPr>
              <w:pStyle w:val="TableBodyTextright"/>
            </w:pPr>
            <w:r w:rsidRPr="00646F60">
              <w:t>▲</w:t>
            </w:r>
            <w:r w:rsidR="007F2FCD">
              <w:t>1.</w:t>
            </w:r>
            <w:r w:rsidR="000F79D0">
              <w:t>7</w:t>
            </w:r>
            <w:r w:rsidRPr="00646F60">
              <w:t>% pts</w:t>
            </w:r>
          </w:p>
        </w:tc>
      </w:tr>
      <w:tr w:rsidR="00646F60" w:rsidRPr="00965FCB" w14:paraId="21D36B79" w14:textId="77777777">
        <w:trPr>
          <w:cnfStyle w:val="000000010000" w:firstRow="0" w:lastRow="0" w:firstColumn="0" w:lastColumn="0" w:oddVBand="0" w:evenVBand="0" w:oddHBand="0" w:evenHBand="1" w:firstRowFirstColumn="0" w:firstRowLastColumn="0" w:lastRowFirstColumn="0" w:lastRowLastColumn="0"/>
          <w:trHeight w:val="397"/>
        </w:trPr>
        <w:tc>
          <w:tcPr>
            <w:tcW w:w="2199" w:type="pct"/>
            <w:hideMark/>
          </w:tcPr>
          <w:p w14:paraId="3C0905BE" w14:textId="77777777" w:rsidR="00646F60" w:rsidRPr="00646F60" w:rsidRDefault="00646F60" w:rsidP="00646F60">
            <w:pPr>
              <w:pStyle w:val="TableBodyText"/>
            </w:pPr>
            <w:r w:rsidRPr="00646F60">
              <w:t>Applicants per vacancy (no.)</w:t>
            </w:r>
          </w:p>
        </w:tc>
        <w:tc>
          <w:tcPr>
            <w:tcW w:w="1003" w:type="pct"/>
            <w:hideMark/>
          </w:tcPr>
          <w:p w14:paraId="412E1062" w14:textId="60051A4B" w:rsidR="00646F60" w:rsidRPr="00646F60" w:rsidRDefault="00B928E8" w:rsidP="00646F60">
            <w:pPr>
              <w:pStyle w:val="TableBodyTextright"/>
            </w:pPr>
            <w:r>
              <w:t>29.</w:t>
            </w:r>
            <w:r w:rsidR="00466556">
              <w:t>6</w:t>
            </w:r>
          </w:p>
        </w:tc>
        <w:tc>
          <w:tcPr>
            <w:tcW w:w="918" w:type="pct"/>
            <w:hideMark/>
          </w:tcPr>
          <w:p w14:paraId="1F37540C" w14:textId="729515A9" w:rsidR="00646F60" w:rsidRPr="00646F60" w:rsidRDefault="00646F60" w:rsidP="00646F60">
            <w:pPr>
              <w:pStyle w:val="TableBodyTextright"/>
            </w:pPr>
            <w:r w:rsidRPr="00646F60">
              <w:t>▼</w:t>
            </w:r>
            <w:r w:rsidR="00B928E8">
              <w:t>3.1</w:t>
            </w:r>
          </w:p>
        </w:tc>
        <w:tc>
          <w:tcPr>
            <w:tcW w:w="880" w:type="pct"/>
            <w:hideMark/>
          </w:tcPr>
          <w:p w14:paraId="28A01F09" w14:textId="72EEF963" w:rsidR="00646F60" w:rsidRPr="00646F60" w:rsidRDefault="00323459" w:rsidP="00646F60">
            <w:pPr>
              <w:pStyle w:val="TableBodyTextright"/>
            </w:pPr>
            <w:r w:rsidRPr="00646F60">
              <w:t>▼</w:t>
            </w:r>
            <w:r w:rsidR="0053506D">
              <w:t>3.4</w:t>
            </w:r>
          </w:p>
        </w:tc>
      </w:tr>
      <w:tr w:rsidR="00646F60" w:rsidRPr="00965FCB" w14:paraId="332BD735" w14:textId="77777777">
        <w:trPr>
          <w:trHeight w:val="397"/>
        </w:trPr>
        <w:tc>
          <w:tcPr>
            <w:tcW w:w="2199" w:type="pct"/>
          </w:tcPr>
          <w:p w14:paraId="46CEB435" w14:textId="77777777" w:rsidR="00646F60" w:rsidRPr="00646F60" w:rsidRDefault="00646F60" w:rsidP="00646F60">
            <w:pPr>
              <w:pStyle w:val="TableBodyText"/>
            </w:pPr>
            <w:r w:rsidRPr="00646F60">
              <w:t>Qualified applicants per vacancy (no.)</w:t>
            </w:r>
          </w:p>
        </w:tc>
        <w:tc>
          <w:tcPr>
            <w:tcW w:w="1003" w:type="pct"/>
          </w:tcPr>
          <w:p w14:paraId="02E43863" w14:textId="629C2AAA" w:rsidR="00646F60" w:rsidRPr="00646F60" w:rsidRDefault="00466556" w:rsidP="00646F60">
            <w:pPr>
              <w:pStyle w:val="TableBodyTextright"/>
            </w:pPr>
            <w:r>
              <w:t>11.3</w:t>
            </w:r>
          </w:p>
        </w:tc>
        <w:tc>
          <w:tcPr>
            <w:tcW w:w="918" w:type="pct"/>
          </w:tcPr>
          <w:p w14:paraId="0853ED5C" w14:textId="654CFBE7" w:rsidR="00646F60" w:rsidRPr="00646F60" w:rsidRDefault="008C22E0" w:rsidP="00646F60">
            <w:pPr>
              <w:pStyle w:val="TableBodyTextright"/>
            </w:pPr>
            <w:r w:rsidRPr="00646F60">
              <w:t>▲</w:t>
            </w:r>
            <w:r w:rsidR="00646F60" w:rsidRPr="00646F60">
              <w:t>0.</w:t>
            </w:r>
            <w:r>
              <w:t>1</w:t>
            </w:r>
          </w:p>
        </w:tc>
        <w:tc>
          <w:tcPr>
            <w:tcW w:w="880" w:type="pct"/>
          </w:tcPr>
          <w:p w14:paraId="16C5892A" w14:textId="4E5B3B4A" w:rsidR="00646F60" w:rsidRPr="00646F60" w:rsidRDefault="00646F60" w:rsidP="00646F60">
            <w:pPr>
              <w:pStyle w:val="TableBodyTextright"/>
            </w:pPr>
            <w:r w:rsidRPr="00646F60">
              <w:t>▲</w:t>
            </w:r>
            <w:r w:rsidR="008C22E0">
              <w:t>1.1</w:t>
            </w:r>
          </w:p>
        </w:tc>
      </w:tr>
      <w:tr w:rsidR="00646F60" w:rsidRPr="00965FCB" w14:paraId="660DD017" w14:textId="77777777">
        <w:trPr>
          <w:cnfStyle w:val="000000010000" w:firstRow="0" w:lastRow="0" w:firstColumn="0" w:lastColumn="0" w:oddVBand="0" w:evenVBand="0" w:oddHBand="0" w:evenHBand="1" w:firstRowFirstColumn="0" w:firstRowLastColumn="0" w:lastRowFirstColumn="0" w:lastRowLastColumn="0"/>
          <w:trHeight w:val="397"/>
        </w:trPr>
        <w:tc>
          <w:tcPr>
            <w:tcW w:w="2199" w:type="pct"/>
          </w:tcPr>
          <w:p w14:paraId="33EBD75F" w14:textId="77777777" w:rsidR="00646F60" w:rsidRPr="00646F60" w:rsidRDefault="00646F60" w:rsidP="00646F60">
            <w:pPr>
              <w:pStyle w:val="TableBodyText"/>
            </w:pPr>
            <w:r w:rsidRPr="00646F60">
              <w:t>Suitable applicants per vacancy (no.)</w:t>
            </w:r>
          </w:p>
        </w:tc>
        <w:tc>
          <w:tcPr>
            <w:tcW w:w="1003" w:type="pct"/>
          </w:tcPr>
          <w:p w14:paraId="79B221CD" w14:textId="3FDB3BA8" w:rsidR="00646F60" w:rsidRPr="00646F60" w:rsidRDefault="00B928E8" w:rsidP="00646F60">
            <w:pPr>
              <w:pStyle w:val="TableBodyTextright"/>
            </w:pPr>
            <w:r>
              <w:t>5.5</w:t>
            </w:r>
          </w:p>
        </w:tc>
        <w:tc>
          <w:tcPr>
            <w:tcW w:w="918" w:type="pct"/>
          </w:tcPr>
          <w:p w14:paraId="41C7A634" w14:textId="301EE88C" w:rsidR="00646F60" w:rsidRPr="00646F60" w:rsidRDefault="00107001" w:rsidP="00646F60">
            <w:pPr>
              <w:pStyle w:val="TableBodyTextright"/>
            </w:pPr>
            <w:r w:rsidRPr="00646F60">
              <w:t>▲</w:t>
            </w:r>
            <w:r w:rsidR="0053506D">
              <w:t>0.6</w:t>
            </w:r>
          </w:p>
        </w:tc>
        <w:tc>
          <w:tcPr>
            <w:tcW w:w="880" w:type="pct"/>
          </w:tcPr>
          <w:p w14:paraId="233FEA57" w14:textId="79F45802" w:rsidR="00646F60" w:rsidRPr="00646F60" w:rsidRDefault="008C22E0" w:rsidP="00646F60">
            <w:pPr>
              <w:pStyle w:val="TableBodyTextright"/>
            </w:pPr>
            <w:r w:rsidRPr="00646F60">
              <w:t>▲</w:t>
            </w:r>
            <w:r w:rsidR="00646F60" w:rsidRPr="00646F60">
              <w:t>1.</w:t>
            </w:r>
            <w:r w:rsidR="0053506D">
              <w:t>9</w:t>
            </w:r>
          </w:p>
        </w:tc>
      </w:tr>
    </w:tbl>
    <w:p w14:paraId="3AF4DCF2" w14:textId="77777777" w:rsidR="00646F60" w:rsidRPr="00646F60" w:rsidRDefault="00646F60" w:rsidP="00646F60">
      <w:pPr>
        <w:pStyle w:val="Source"/>
      </w:pPr>
      <w:r w:rsidRPr="00646F60">
        <w:t>Source: Jobs and Skills Australia, SERA.</w:t>
      </w:r>
    </w:p>
    <w:p w14:paraId="2F4CC4FA" w14:textId="3B2CF2A9" w:rsidR="00F35CF5" w:rsidRDefault="00F35CF5" w:rsidP="00E74468">
      <w:pPr>
        <w:pStyle w:val="BodyText"/>
      </w:pPr>
      <w:r>
        <w:t xml:space="preserve">The </w:t>
      </w:r>
      <w:r w:rsidR="003E7A9B">
        <w:t xml:space="preserve">changes </w:t>
      </w:r>
      <w:r w:rsidR="00227E0F">
        <w:t xml:space="preserve">in metropolitan areas </w:t>
      </w:r>
      <w:r w:rsidR="003E7A9B">
        <w:t xml:space="preserve">over the quarter and past 12 </w:t>
      </w:r>
      <w:r w:rsidR="00EE0544">
        <w:t xml:space="preserve">months to the </w:t>
      </w:r>
      <w:r w:rsidR="00480741">
        <w:t xml:space="preserve">current </w:t>
      </w:r>
      <w:r w:rsidR="00EE0544">
        <w:t xml:space="preserve">quarter </w:t>
      </w:r>
      <w:r w:rsidR="00227E0F">
        <w:t>mirrored the national level results</w:t>
      </w:r>
      <w:r w:rsidR="00C75F59">
        <w:t xml:space="preserve"> </w:t>
      </w:r>
      <w:r w:rsidR="00C75F59" w:rsidRPr="00EA4FCA">
        <w:t>(</w:t>
      </w:r>
      <w:r w:rsidR="00C75F59" w:rsidRPr="00AA3A1E">
        <w:fldChar w:fldCharType="begin"/>
      </w:r>
      <w:r w:rsidR="00C75F59" w:rsidRPr="00AA3A1E">
        <w:instrText xml:space="preserve"> REF _Ref181718900 \h  \* MERGEFORMAT </w:instrText>
      </w:r>
      <w:r w:rsidR="00C75F59" w:rsidRPr="00AA3A1E">
        <w:fldChar w:fldCharType="separate"/>
      </w:r>
      <w:r w:rsidR="00A0645F" w:rsidRPr="00646F60">
        <w:t xml:space="preserve">Table </w:t>
      </w:r>
      <w:r w:rsidR="00A0645F">
        <w:t>2</w:t>
      </w:r>
      <w:r w:rsidR="00C75F59" w:rsidRPr="00AA3A1E">
        <w:fldChar w:fldCharType="end"/>
      </w:r>
      <w:r w:rsidR="00C75F59" w:rsidRPr="00EA4FCA">
        <w:t>).</w:t>
      </w:r>
      <w:r w:rsidR="00227E0F">
        <w:t xml:space="preserve"> </w:t>
      </w:r>
    </w:p>
    <w:p w14:paraId="4176D2E3" w14:textId="27A3A77C" w:rsidR="00D74A8B" w:rsidRDefault="00E74468" w:rsidP="00246284">
      <w:pPr>
        <w:pStyle w:val="ListBullet"/>
      </w:pPr>
      <w:r w:rsidRPr="00EA4FCA">
        <w:t xml:space="preserve">Fill rates </w:t>
      </w:r>
      <w:r w:rsidR="003B4F99" w:rsidRPr="00EA4FCA">
        <w:t>in</w:t>
      </w:r>
      <w:r w:rsidR="003B4F99">
        <w:t xml:space="preserve"> </w:t>
      </w:r>
      <w:r w:rsidR="003B4F99" w:rsidRPr="00EA4FCA">
        <w:t>September quarter 2025</w:t>
      </w:r>
      <w:r w:rsidR="003B4F99">
        <w:t xml:space="preserve"> was 71.5%. Th</w:t>
      </w:r>
      <w:r w:rsidR="006F0434">
        <w:t xml:space="preserve">e rate </w:t>
      </w:r>
      <w:r w:rsidRPr="00EA4FCA">
        <w:t>slight</w:t>
      </w:r>
      <w:r w:rsidR="006F0434">
        <w:t>ly</w:t>
      </w:r>
      <w:r w:rsidRPr="00EA4FCA">
        <w:t xml:space="preserve"> </w:t>
      </w:r>
      <w:r w:rsidR="003B4F99">
        <w:t>decrease</w:t>
      </w:r>
      <w:r w:rsidR="006F0434">
        <w:t>d</w:t>
      </w:r>
      <w:r w:rsidR="003B4F99">
        <w:t xml:space="preserve"> </w:t>
      </w:r>
      <w:r w:rsidRPr="00EA4FCA">
        <w:t>over the quarter but improve</w:t>
      </w:r>
      <w:r w:rsidR="006F0434">
        <w:t>d</w:t>
      </w:r>
      <w:r w:rsidR="003B4F99">
        <w:t xml:space="preserve"> </w:t>
      </w:r>
      <w:r w:rsidRPr="00EA4FCA">
        <w:t>over the past 12 months</w:t>
      </w:r>
      <w:r w:rsidR="00C75F59">
        <w:t>.</w:t>
      </w:r>
      <w:r w:rsidRPr="00EA4FCA">
        <w:t xml:space="preserve"> </w:t>
      </w:r>
    </w:p>
    <w:p w14:paraId="470FDE52" w14:textId="325DBB75" w:rsidR="00005231" w:rsidRDefault="006F0434" w:rsidP="00005231">
      <w:pPr>
        <w:pStyle w:val="ListBullet"/>
      </w:pPr>
      <w:r>
        <w:t>T</w:t>
      </w:r>
      <w:r w:rsidR="00FF5645">
        <w:t xml:space="preserve">otal </w:t>
      </w:r>
      <w:r w:rsidR="00E74468" w:rsidRPr="00EA4FCA">
        <w:t xml:space="preserve">applicants per vacancy </w:t>
      </w:r>
      <w:r w:rsidR="00DC514D">
        <w:t xml:space="preserve">decreased over the quarter and past 12 months. </w:t>
      </w:r>
    </w:p>
    <w:p w14:paraId="2532F812" w14:textId="2732A3DF" w:rsidR="00E74468" w:rsidRPr="00EA4FCA" w:rsidRDefault="006B74E3" w:rsidP="00246284">
      <w:pPr>
        <w:pStyle w:val="ListBullet"/>
      </w:pPr>
      <w:r>
        <w:t>Qualified and Suitable applicants per vacancy increased over the quarter and last 12 months</w:t>
      </w:r>
      <w:r w:rsidR="007958E3">
        <w:t>.</w:t>
      </w:r>
      <w:r>
        <w:t xml:space="preserve"> </w:t>
      </w:r>
    </w:p>
    <w:p w14:paraId="191E76E8" w14:textId="77777777" w:rsidR="001354D5" w:rsidRDefault="001354D5">
      <w:pPr>
        <w:spacing w:before="0" w:after="200" w:line="276" w:lineRule="auto"/>
        <w:rPr>
          <w:b/>
          <w:bCs/>
          <w:color w:val="012749"/>
          <w:sz w:val="18"/>
          <w:szCs w:val="18"/>
        </w:rPr>
      </w:pPr>
      <w:bookmarkStart w:id="10" w:name="_Ref181718930"/>
      <w:r>
        <w:br w:type="page"/>
      </w:r>
    </w:p>
    <w:p w14:paraId="78B47D09" w14:textId="6678804E" w:rsidR="00646F60" w:rsidRPr="00646F60" w:rsidRDefault="00646F60" w:rsidP="00646F60">
      <w:pPr>
        <w:pStyle w:val="Caption"/>
      </w:pPr>
      <w:r w:rsidRPr="00646F60">
        <w:lastRenderedPageBreak/>
        <w:t xml:space="preserve">Figure </w:t>
      </w:r>
      <w:r w:rsidRPr="00646F60">
        <w:fldChar w:fldCharType="begin"/>
      </w:r>
      <w:r w:rsidRPr="00646F60">
        <w:instrText xml:space="preserve"> SEQ Figure \* ARABIC </w:instrText>
      </w:r>
      <w:r w:rsidRPr="00646F60">
        <w:fldChar w:fldCharType="separate"/>
      </w:r>
      <w:r w:rsidR="00A0645F">
        <w:rPr>
          <w:noProof/>
        </w:rPr>
        <w:t>2</w:t>
      </w:r>
      <w:r w:rsidRPr="00646F60">
        <w:fldChar w:fldCharType="end"/>
      </w:r>
      <w:bookmarkEnd w:id="10"/>
      <w:r w:rsidRPr="00646F60">
        <w:t>: Metropolitan fill rate (%) and applicants, qualified, and suitable applicants per vacancy (no.)</w:t>
      </w:r>
    </w:p>
    <w:p w14:paraId="585C9B5B" w14:textId="4267DFAB" w:rsidR="00646F60" w:rsidRPr="00646F60" w:rsidRDefault="006A7D4D" w:rsidP="00246284">
      <w:pPr>
        <w:pStyle w:val="Source"/>
      </w:pPr>
      <w:r w:rsidRPr="006A7D4D">
        <w:rPr>
          <w:noProof/>
        </w:rPr>
        <w:drawing>
          <wp:inline distT="0" distB="0" distL="0" distR="0" wp14:anchorId="07121DF0" wp14:editId="1C130E70">
            <wp:extent cx="5731200" cy="2952000"/>
            <wp:effectExtent l="0" t="0" r="3175" b="1270"/>
            <wp:docPr id="2446819" name="Chart 1" descr="Figure 2 shows the quarterly fill rate and total, qualified and suitable applicants per vacancy, for metropolitan (metro) Australia from September 2023 to September 2025. The metro area fill rate decreased by 0.7 percentage points to 71.5% over the September quarter 2025, but increased by 1.7 percentage points over the year. This is supported by the increases in the number of qualified and suitable applicants per vacancy, in the last 12 months.">
              <a:extLst xmlns:a="http://schemas.openxmlformats.org/drawingml/2006/main">
                <a:ext uri="{FF2B5EF4-FFF2-40B4-BE49-F238E27FC236}">
                  <a16:creationId xmlns:a16="http://schemas.microsoft.com/office/drawing/2014/main" id="{7948A51D-B226-4342-B372-F3A2573E1C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646F60" w:rsidRPr="00646F60">
        <w:br/>
        <w:t>Source: Jobs and Skills Australia, SERA.</w:t>
      </w:r>
      <w:bookmarkStart w:id="11" w:name="_Toc173238404"/>
      <w:bookmarkStart w:id="12" w:name="_Toc199509250"/>
    </w:p>
    <w:p w14:paraId="73C0E419" w14:textId="77777777" w:rsidR="00646F60" w:rsidRPr="00646F60" w:rsidRDefault="00646F60" w:rsidP="00646F60">
      <w:pPr>
        <w:pStyle w:val="Heading1"/>
      </w:pPr>
      <w:bookmarkStart w:id="13" w:name="_Toc207977953"/>
      <w:bookmarkStart w:id="14" w:name="_Toc214019398"/>
      <w:r w:rsidRPr="00646F60">
        <w:t>Regional</w:t>
      </w:r>
      <w:bookmarkEnd w:id="11"/>
      <w:r w:rsidRPr="00646F60">
        <w:t xml:space="preserve"> area results</w:t>
      </w:r>
      <w:bookmarkEnd w:id="12"/>
      <w:bookmarkEnd w:id="13"/>
      <w:bookmarkEnd w:id="14"/>
    </w:p>
    <w:p w14:paraId="49FB7E74" w14:textId="5517D586" w:rsidR="00646F60" w:rsidRPr="00646F60" w:rsidRDefault="00646F60" w:rsidP="00646F60">
      <w:pPr>
        <w:pStyle w:val="Caption"/>
      </w:pPr>
      <w:bookmarkStart w:id="15" w:name="_Ref173249539"/>
      <w:r w:rsidRPr="00646F60">
        <w:t xml:space="preserve">Table </w:t>
      </w:r>
      <w:r w:rsidRPr="00646F60">
        <w:fldChar w:fldCharType="begin"/>
      </w:r>
      <w:r w:rsidRPr="00646F60">
        <w:instrText xml:space="preserve"> SEQ Table \* ARABIC </w:instrText>
      </w:r>
      <w:r w:rsidRPr="00646F60">
        <w:fldChar w:fldCharType="separate"/>
      </w:r>
      <w:r w:rsidR="00A0645F">
        <w:rPr>
          <w:noProof/>
        </w:rPr>
        <w:t>3</w:t>
      </w:r>
      <w:r w:rsidRPr="00646F60">
        <w:fldChar w:fldCharType="end"/>
      </w:r>
      <w:bookmarkEnd w:id="15"/>
      <w:r w:rsidRPr="00646F60">
        <w:t xml:space="preserve">: Regional </w:t>
      </w:r>
      <w:r w:rsidR="00C55655">
        <w:t>s</w:t>
      </w:r>
      <w:r w:rsidR="00C55655" w:rsidRPr="00646F60">
        <w:t>napshot</w:t>
      </w:r>
    </w:p>
    <w:tbl>
      <w:tblPr>
        <w:tblW w:w="5000" w:type="pct"/>
        <w:tblLook w:val="04A0" w:firstRow="1" w:lastRow="0" w:firstColumn="1" w:lastColumn="0" w:noHBand="0" w:noVBand="1"/>
      </w:tblPr>
      <w:tblGrid>
        <w:gridCol w:w="3970"/>
        <w:gridCol w:w="1811"/>
        <w:gridCol w:w="1657"/>
        <w:gridCol w:w="1589"/>
      </w:tblGrid>
      <w:tr w:rsidR="00646F60" w:rsidRPr="00965FCB" w14:paraId="279F1B1E" w14:textId="77777777">
        <w:trPr>
          <w:trHeight w:val="706"/>
        </w:trPr>
        <w:tc>
          <w:tcPr>
            <w:tcW w:w="2199" w:type="pct"/>
            <w:shd w:val="clear" w:color="auto" w:fill="2F005F"/>
            <w:hideMark/>
          </w:tcPr>
          <w:p w14:paraId="502F0D38" w14:textId="77777777" w:rsidR="00646F60" w:rsidRPr="00646F60" w:rsidRDefault="00646F60" w:rsidP="00646F60">
            <w:pPr>
              <w:pStyle w:val="TableHeading1"/>
            </w:pPr>
          </w:p>
        </w:tc>
        <w:tc>
          <w:tcPr>
            <w:tcW w:w="1003" w:type="pct"/>
            <w:shd w:val="clear" w:color="auto" w:fill="2F005F"/>
            <w:hideMark/>
          </w:tcPr>
          <w:p w14:paraId="381AF875" w14:textId="73A3C866" w:rsidR="00646F60" w:rsidRPr="00646F60" w:rsidRDefault="00484A7C" w:rsidP="00646F60">
            <w:pPr>
              <w:pStyle w:val="TableHeading1"/>
            </w:pPr>
            <w:r>
              <w:t xml:space="preserve">September </w:t>
            </w:r>
            <w:r w:rsidR="00646F60" w:rsidRPr="00646F60">
              <w:t>quarter 2025</w:t>
            </w:r>
          </w:p>
        </w:tc>
        <w:tc>
          <w:tcPr>
            <w:tcW w:w="918" w:type="pct"/>
            <w:shd w:val="clear" w:color="auto" w:fill="2F005F"/>
            <w:hideMark/>
          </w:tcPr>
          <w:p w14:paraId="7DBA758B" w14:textId="77777777" w:rsidR="00646F60" w:rsidRPr="00646F60" w:rsidRDefault="00646F60" w:rsidP="00646F60">
            <w:pPr>
              <w:pStyle w:val="TableHeading1"/>
            </w:pPr>
            <w:r w:rsidRPr="00646F60">
              <w:t>Change over the quarter</w:t>
            </w:r>
          </w:p>
        </w:tc>
        <w:tc>
          <w:tcPr>
            <w:tcW w:w="880" w:type="pct"/>
            <w:shd w:val="clear" w:color="auto" w:fill="2F005F"/>
            <w:hideMark/>
          </w:tcPr>
          <w:p w14:paraId="753C5BEA" w14:textId="77777777" w:rsidR="00646F60" w:rsidRPr="00646F60" w:rsidRDefault="00646F60" w:rsidP="00646F60">
            <w:pPr>
              <w:pStyle w:val="TableHeading1"/>
            </w:pPr>
            <w:r w:rsidRPr="00646F60">
              <w:t>Change over 12 months</w:t>
            </w:r>
          </w:p>
        </w:tc>
      </w:tr>
      <w:tr w:rsidR="00646F60" w:rsidRPr="00965FCB" w14:paraId="4D7F80BA" w14:textId="77777777">
        <w:trPr>
          <w:trHeight w:val="300"/>
        </w:trPr>
        <w:tc>
          <w:tcPr>
            <w:tcW w:w="2199" w:type="pct"/>
            <w:vAlign w:val="center"/>
            <w:hideMark/>
          </w:tcPr>
          <w:p w14:paraId="1DE01229" w14:textId="77777777" w:rsidR="00646F60" w:rsidRPr="00646F60" w:rsidRDefault="00646F60" w:rsidP="00646F60">
            <w:pPr>
              <w:pStyle w:val="TableBodyText"/>
            </w:pPr>
            <w:r w:rsidRPr="00646F60">
              <w:t>Vacancy fill rate (%)</w:t>
            </w:r>
          </w:p>
        </w:tc>
        <w:tc>
          <w:tcPr>
            <w:tcW w:w="1003" w:type="pct"/>
            <w:vAlign w:val="center"/>
            <w:hideMark/>
          </w:tcPr>
          <w:p w14:paraId="38257494" w14:textId="44CE6322" w:rsidR="00646F60" w:rsidRPr="00646F60" w:rsidRDefault="00427243" w:rsidP="00646F60">
            <w:pPr>
              <w:pStyle w:val="TableBodyTextright"/>
            </w:pPr>
            <w:r>
              <w:t>67.</w:t>
            </w:r>
            <w:r w:rsidR="00A978D0">
              <w:t>1</w:t>
            </w:r>
            <w:r w:rsidR="00646F60" w:rsidRPr="00646F60">
              <w:t>%</w:t>
            </w:r>
          </w:p>
        </w:tc>
        <w:tc>
          <w:tcPr>
            <w:tcW w:w="918" w:type="pct"/>
            <w:vAlign w:val="center"/>
            <w:hideMark/>
          </w:tcPr>
          <w:p w14:paraId="0FF628C3" w14:textId="2FB2B7D0" w:rsidR="00646F60" w:rsidRPr="00646F60" w:rsidRDefault="00646F60" w:rsidP="00646F60">
            <w:pPr>
              <w:pStyle w:val="TableBodyTextright"/>
            </w:pPr>
            <w:r w:rsidRPr="00646F60">
              <w:t>▲</w:t>
            </w:r>
            <w:r w:rsidR="00427243">
              <w:t>1.3</w:t>
            </w:r>
            <w:r w:rsidRPr="00646F60">
              <w:t>% pts</w:t>
            </w:r>
          </w:p>
        </w:tc>
        <w:tc>
          <w:tcPr>
            <w:tcW w:w="880" w:type="pct"/>
            <w:vAlign w:val="center"/>
            <w:hideMark/>
          </w:tcPr>
          <w:p w14:paraId="71866FE4" w14:textId="194E3D8E" w:rsidR="00646F60" w:rsidRPr="00646F60" w:rsidRDefault="00646F60" w:rsidP="00646F60">
            <w:pPr>
              <w:pStyle w:val="TableBodyTextright"/>
            </w:pPr>
            <w:r w:rsidRPr="00646F60">
              <w:t>▲</w:t>
            </w:r>
            <w:r w:rsidR="0015312C">
              <w:t>4.</w:t>
            </w:r>
            <w:r w:rsidR="00C14161">
              <w:t>3</w:t>
            </w:r>
            <w:r w:rsidRPr="00646F60">
              <w:t>% pts</w:t>
            </w:r>
          </w:p>
        </w:tc>
      </w:tr>
      <w:tr w:rsidR="00646F60" w:rsidRPr="00965FCB" w14:paraId="2363CDEA" w14:textId="77777777">
        <w:trPr>
          <w:trHeight w:val="397"/>
        </w:trPr>
        <w:tc>
          <w:tcPr>
            <w:tcW w:w="2199" w:type="pct"/>
            <w:shd w:val="clear" w:color="auto" w:fill="D9D9D9" w:themeFill="background1" w:themeFillShade="D9"/>
            <w:vAlign w:val="center"/>
            <w:hideMark/>
          </w:tcPr>
          <w:p w14:paraId="2F7A4600" w14:textId="77777777" w:rsidR="00646F60" w:rsidRPr="00646F60" w:rsidRDefault="00646F60" w:rsidP="00646F60">
            <w:pPr>
              <w:pStyle w:val="TableBodyText"/>
            </w:pPr>
            <w:r w:rsidRPr="00646F60">
              <w:t>Applicants per vacancy (no.)</w:t>
            </w:r>
          </w:p>
        </w:tc>
        <w:tc>
          <w:tcPr>
            <w:tcW w:w="1003" w:type="pct"/>
            <w:shd w:val="clear" w:color="auto" w:fill="D9D9D9" w:themeFill="background1" w:themeFillShade="D9"/>
            <w:vAlign w:val="center"/>
            <w:hideMark/>
          </w:tcPr>
          <w:p w14:paraId="00DC2D18" w14:textId="386DBD8C" w:rsidR="00646F60" w:rsidRPr="00646F60" w:rsidRDefault="00427243" w:rsidP="00646F60">
            <w:pPr>
              <w:pStyle w:val="TableBodyTextright"/>
            </w:pPr>
            <w:r>
              <w:t>14.9</w:t>
            </w:r>
          </w:p>
        </w:tc>
        <w:tc>
          <w:tcPr>
            <w:tcW w:w="918" w:type="pct"/>
            <w:shd w:val="clear" w:color="auto" w:fill="D9D9D9" w:themeFill="background1" w:themeFillShade="D9"/>
            <w:vAlign w:val="center"/>
            <w:hideMark/>
          </w:tcPr>
          <w:p w14:paraId="19BAA2F3" w14:textId="564A5882" w:rsidR="00646F60" w:rsidRPr="00646F60" w:rsidRDefault="00646F60" w:rsidP="00646F60">
            <w:pPr>
              <w:pStyle w:val="TableBodyTextright"/>
            </w:pPr>
            <w:r w:rsidRPr="00646F60">
              <w:t>▼</w:t>
            </w:r>
            <w:r w:rsidR="0015312C">
              <w:t>1.4</w:t>
            </w:r>
          </w:p>
        </w:tc>
        <w:tc>
          <w:tcPr>
            <w:tcW w:w="880" w:type="pct"/>
            <w:shd w:val="clear" w:color="auto" w:fill="D9D9D9" w:themeFill="background1" w:themeFillShade="D9"/>
            <w:vAlign w:val="center"/>
            <w:hideMark/>
          </w:tcPr>
          <w:p w14:paraId="280A04B8" w14:textId="63EB2ABA" w:rsidR="00646F60" w:rsidRPr="00646F60" w:rsidRDefault="00DB137D" w:rsidP="00646F60">
            <w:pPr>
              <w:pStyle w:val="TableBodyTextright"/>
            </w:pPr>
            <w:r w:rsidRPr="00646F60">
              <w:t>▼</w:t>
            </w:r>
            <w:r w:rsidR="00030A7D">
              <w:t>2.5</w:t>
            </w:r>
          </w:p>
        </w:tc>
      </w:tr>
      <w:tr w:rsidR="00646F60" w:rsidRPr="00965FCB" w14:paraId="7ED84EE6" w14:textId="77777777">
        <w:trPr>
          <w:trHeight w:val="397"/>
        </w:trPr>
        <w:tc>
          <w:tcPr>
            <w:tcW w:w="2199" w:type="pct"/>
            <w:vAlign w:val="center"/>
          </w:tcPr>
          <w:p w14:paraId="46DF5BA4" w14:textId="77777777" w:rsidR="00646F60" w:rsidRPr="00646F60" w:rsidRDefault="00646F60" w:rsidP="00646F60">
            <w:pPr>
              <w:pStyle w:val="TableBodyText"/>
            </w:pPr>
            <w:r w:rsidRPr="00646F60">
              <w:t>Qualified applicants per vacancy (no.)</w:t>
            </w:r>
          </w:p>
        </w:tc>
        <w:tc>
          <w:tcPr>
            <w:tcW w:w="1003" w:type="pct"/>
            <w:vAlign w:val="center"/>
          </w:tcPr>
          <w:p w14:paraId="01CB8BAB" w14:textId="19639E2C" w:rsidR="00646F60" w:rsidRPr="00646F60" w:rsidRDefault="00646F60" w:rsidP="00646F60">
            <w:pPr>
              <w:pStyle w:val="TableBodyTextright"/>
            </w:pPr>
            <w:r w:rsidRPr="00646F60">
              <w:t>5.</w:t>
            </w:r>
            <w:r w:rsidR="00A978D0">
              <w:t>4</w:t>
            </w:r>
          </w:p>
        </w:tc>
        <w:tc>
          <w:tcPr>
            <w:tcW w:w="918" w:type="pct"/>
            <w:vAlign w:val="center"/>
          </w:tcPr>
          <w:p w14:paraId="78B9DC42" w14:textId="0209FD46" w:rsidR="00646F60" w:rsidRPr="00646F60" w:rsidRDefault="00003D54" w:rsidP="00646F60">
            <w:pPr>
              <w:pStyle w:val="TableBodyTextright"/>
            </w:pPr>
            <w:r>
              <w:t>—</w:t>
            </w:r>
          </w:p>
        </w:tc>
        <w:tc>
          <w:tcPr>
            <w:tcW w:w="880" w:type="pct"/>
            <w:vAlign w:val="center"/>
          </w:tcPr>
          <w:p w14:paraId="0D43D894" w14:textId="0DA8FAAD" w:rsidR="00646F60" w:rsidRPr="00646F60" w:rsidRDefault="00717D17" w:rsidP="00646F60">
            <w:pPr>
              <w:pStyle w:val="TableBodyTextright"/>
            </w:pPr>
            <w:r w:rsidRPr="00646F60">
              <w:t>▲</w:t>
            </w:r>
            <w:r w:rsidR="00646F60" w:rsidRPr="00646F60">
              <w:t>0.</w:t>
            </w:r>
            <w:r w:rsidR="00C14161">
              <w:t>2</w:t>
            </w:r>
          </w:p>
        </w:tc>
      </w:tr>
      <w:tr w:rsidR="00646F60" w:rsidRPr="00965FCB" w14:paraId="0C3415D1" w14:textId="77777777">
        <w:trPr>
          <w:trHeight w:val="397"/>
        </w:trPr>
        <w:tc>
          <w:tcPr>
            <w:tcW w:w="2199" w:type="pct"/>
            <w:tcBorders>
              <w:bottom w:val="single" w:sz="4" w:space="0" w:color="auto"/>
            </w:tcBorders>
            <w:shd w:val="clear" w:color="auto" w:fill="D9D9D9" w:themeFill="background1" w:themeFillShade="D9"/>
            <w:vAlign w:val="center"/>
          </w:tcPr>
          <w:p w14:paraId="4B57C30B" w14:textId="77777777" w:rsidR="00646F60" w:rsidRPr="00646F60" w:rsidRDefault="00646F60" w:rsidP="00646F60">
            <w:pPr>
              <w:pStyle w:val="TableBodyText"/>
            </w:pPr>
            <w:r w:rsidRPr="00646F60">
              <w:t>Suitable applicants per vacancy (no.)</w:t>
            </w:r>
          </w:p>
        </w:tc>
        <w:tc>
          <w:tcPr>
            <w:tcW w:w="1003" w:type="pct"/>
            <w:tcBorders>
              <w:bottom w:val="single" w:sz="4" w:space="0" w:color="auto"/>
            </w:tcBorders>
            <w:shd w:val="clear" w:color="auto" w:fill="D9D9D9" w:themeFill="background1" w:themeFillShade="D9"/>
            <w:vAlign w:val="center"/>
          </w:tcPr>
          <w:p w14:paraId="00E24FA5" w14:textId="7A4A6A63" w:rsidR="00646F60" w:rsidRPr="00646F60" w:rsidRDefault="00427243" w:rsidP="00646F60">
            <w:pPr>
              <w:pStyle w:val="TableBodyTextright"/>
            </w:pPr>
            <w:r>
              <w:t>3</w:t>
            </w:r>
            <w:r w:rsidR="00036D4C">
              <w:t>.3</w:t>
            </w:r>
          </w:p>
        </w:tc>
        <w:tc>
          <w:tcPr>
            <w:tcW w:w="918" w:type="pct"/>
            <w:tcBorders>
              <w:bottom w:val="single" w:sz="4" w:space="0" w:color="auto"/>
            </w:tcBorders>
            <w:shd w:val="clear" w:color="auto" w:fill="D9D9D9" w:themeFill="background1" w:themeFillShade="D9"/>
            <w:vAlign w:val="center"/>
          </w:tcPr>
          <w:p w14:paraId="05162DD5" w14:textId="72ADDD60" w:rsidR="00646F60" w:rsidRPr="00646F60" w:rsidRDefault="00030A7D" w:rsidP="00646F60">
            <w:pPr>
              <w:pStyle w:val="TableBodyTextright"/>
            </w:pPr>
            <w:r w:rsidRPr="00646F60">
              <w:t>▲</w:t>
            </w:r>
            <w:r w:rsidR="00646F60" w:rsidRPr="00646F60">
              <w:t>0.</w:t>
            </w:r>
            <w:r w:rsidR="0015312C">
              <w:t>3</w:t>
            </w:r>
          </w:p>
        </w:tc>
        <w:tc>
          <w:tcPr>
            <w:tcW w:w="880" w:type="pct"/>
            <w:tcBorders>
              <w:bottom w:val="single" w:sz="4" w:space="0" w:color="auto"/>
            </w:tcBorders>
            <w:shd w:val="clear" w:color="auto" w:fill="D9D9D9" w:themeFill="background1" w:themeFillShade="D9"/>
            <w:vAlign w:val="center"/>
          </w:tcPr>
          <w:p w14:paraId="3EE90365" w14:textId="17485FD7" w:rsidR="00646F60" w:rsidRPr="00646F60" w:rsidRDefault="00030A7D" w:rsidP="00646F60">
            <w:pPr>
              <w:pStyle w:val="TableBodyTextright"/>
            </w:pPr>
            <w:r w:rsidRPr="00646F60">
              <w:t>▲</w:t>
            </w:r>
            <w:r w:rsidR="00C14161">
              <w:t>0.9</w:t>
            </w:r>
          </w:p>
        </w:tc>
      </w:tr>
    </w:tbl>
    <w:p w14:paraId="4535982A" w14:textId="77777777" w:rsidR="00646F60" w:rsidRPr="00646F60" w:rsidRDefault="00646F60" w:rsidP="00646F60">
      <w:pPr>
        <w:pStyle w:val="Source"/>
      </w:pPr>
      <w:r w:rsidRPr="00646F60">
        <w:t xml:space="preserve">Source: Jobs and Skills Australia, SERA. </w:t>
      </w:r>
    </w:p>
    <w:p w14:paraId="5398348A" w14:textId="43E37652" w:rsidR="00635FFB" w:rsidRPr="00EA4FCA" w:rsidRDefault="00635FFB" w:rsidP="00635FFB">
      <w:pPr>
        <w:pStyle w:val="BodyText"/>
      </w:pPr>
      <w:bookmarkStart w:id="16" w:name="_Ref181718978"/>
      <w:r w:rsidRPr="00EA4FCA">
        <w:t xml:space="preserve">In contrast, regional areas recorded a stronger quarterly improvement and a larger annual increase </w:t>
      </w:r>
      <w:r>
        <w:t>in the fill rate</w:t>
      </w:r>
      <w:r w:rsidRPr="00EA4FCA">
        <w:t>, reaching 67.1%</w:t>
      </w:r>
      <w:r>
        <w:t xml:space="preserve"> </w:t>
      </w:r>
      <w:r w:rsidRPr="00EA4FCA">
        <w:t>(</w:t>
      </w:r>
      <w:r w:rsidRPr="00723B91">
        <w:fldChar w:fldCharType="begin"/>
      </w:r>
      <w:r w:rsidRPr="00723B91">
        <w:instrText xml:space="preserve"> REF _Ref173249539 \h  \* MERGEFORMAT </w:instrText>
      </w:r>
      <w:r w:rsidRPr="00723B91">
        <w:fldChar w:fldCharType="separate"/>
      </w:r>
      <w:r w:rsidR="00A0645F" w:rsidRPr="00646F60">
        <w:t xml:space="preserve">Table </w:t>
      </w:r>
      <w:r w:rsidR="00A0645F">
        <w:t>3</w:t>
      </w:r>
      <w:r w:rsidRPr="00723B91">
        <w:fldChar w:fldCharType="end"/>
      </w:r>
      <w:r w:rsidRPr="00EA4FCA">
        <w:t xml:space="preserve">). </w:t>
      </w:r>
    </w:p>
    <w:p w14:paraId="31A4D961" w14:textId="2FC5651A" w:rsidR="00F26BEC" w:rsidRDefault="00B93565" w:rsidP="00F26BEC">
      <w:pPr>
        <w:pStyle w:val="BodyText"/>
      </w:pPr>
      <w:r>
        <w:t>While</w:t>
      </w:r>
      <w:r w:rsidR="00F26BEC">
        <w:t xml:space="preserve"> fill rates in regional areas </w:t>
      </w:r>
      <w:r w:rsidR="00EC6BD9">
        <w:t xml:space="preserve">still </w:t>
      </w:r>
      <w:r w:rsidR="00F26BEC">
        <w:t>remained well below that of metropolitan areas</w:t>
      </w:r>
      <w:r w:rsidR="000851A7" w:rsidRPr="000851A7">
        <w:t xml:space="preserve"> </w:t>
      </w:r>
      <w:r w:rsidR="000851A7" w:rsidRPr="00771479">
        <w:t>in September quarter 2025</w:t>
      </w:r>
      <w:r w:rsidR="00F26BEC">
        <w:t>, t</w:t>
      </w:r>
      <w:r w:rsidR="00F26BEC" w:rsidRPr="00771479">
        <w:t>he gap narrowed to 4.4 percentage points</w:t>
      </w:r>
      <w:r w:rsidR="00E03DDC">
        <w:t xml:space="preserve">. This is </w:t>
      </w:r>
      <w:r w:rsidR="00E72663">
        <w:t xml:space="preserve">well below the average </w:t>
      </w:r>
      <w:r w:rsidR="00E03DDC">
        <w:t xml:space="preserve">gap </w:t>
      </w:r>
      <w:r w:rsidR="00E72663">
        <w:t>of 6.7% that prevailed in</w:t>
      </w:r>
      <w:r w:rsidR="00C640AD">
        <w:t xml:space="preserve"> the</w:t>
      </w:r>
      <w:r w:rsidR="00E72663">
        <w:t xml:space="preserve"> past 2 years</w:t>
      </w:r>
      <w:r w:rsidR="00E03DDC">
        <w:t xml:space="preserve"> prior to the September quarter 2025</w:t>
      </w:r>
      <w:r w:rsidR="00E72663">
        <w:t xml:space="preserve">. </w:t>
      </w:r>
    </w:p>
    <w:p w14:paraId="11247B43" w14:textId="54BB6158" w:rsidR="00635FFB" w:rsidRPr="00EA4FCA" w:rsidRDefault="00635FFB" w:rsidP="00635FFB">
      <w:pPr>
        <w:pStyle w:val="BodyText"/>
      </w:pPr>
      <w:r w:rsidRPr="00EA4FCA">
        <w:t xml:space="preserve">The direction of changes in </w:t>
      </w:r>
      <w:r w:rsidR="00384422">
        <w:t xml:space="preserve">the </w:t>
      </w:r>
      <w:r w:rsidR="0006625F">
        <w:t xml:space="preserve">three </w:t>
      </w:r>
      <w:r w:rsidRPr="00EA4FCA">
        <w:t>metrics</w:t>
      </w:r>
      <w:r w:rsidR="00E74999">
        <w:t xml:space="preserve"> shown</w:t>
      </w:r>
      <w:r w:rsidRPr="00EA4FCA">
        <w:t xml:space="preserve"> </w:t>
      </w:r>
      <w:r w:rsidR="00B93565">
        <w:t>in</w:t>
      </w:r>
      <w:r w:rsidR="00E74999">
        <w:t xml:space="preserve"> Table 3 for</w:t>
      </w:r>
      <w:r w:rsidR="00B93565">
        <w:t xml:space="preserve"> regional areas </w:t>
      </w:r>
      <w:r w:rsidRPr="00EA4FCA">
        <w:t xml:space="preserve">was </w:t>
      </w:r>
      <w:r w:rsidR="00384422">
        <w:t xml:space="preserve">similar </w:t>
      </w:r>
      <w:r w:rsidR="00365443">
        <w:t xml:space="preserve">to </w:t>
      </w:r>
      <w:r w:rsidRPr="00EA4FCA">
        <w:t>metro</w:t>
      </w:r>
      <w:r w:rsidR="00365443">
        <w:t xml:space="preserve">politan areas and </w:t>
      </w:r>
      <w:r w:rsidR="00D7438A">
        <w:t xml:space="preserve">to </w:t>
      </w:r>
      <w:r w:rsidR="00365443">
        <w:t>the national</w:t>
      </w:r>
      <w:r w:rsidRPr="00EA4FCA">
        <w:t xml:space="preserve"> </w:t>
      </w:r>
      <w:r w:rsidR="00365443">
        <w:t xml:space="preserve">level </w:t>
      </w:r>
      <w:r w:rsidRPr="00EA4FCA">
        <w:t>(</w:t>
      </w:r>
      <w:r w:rsidRPr="00AA3A1E">
        <w:fldChar w:fldCharType="begin"/>
      </w:r>
      <w:r w:rsidRPr="00AA3A1E">
        <w:instrText xml:space="preserve"> REF _Ref181718787 \h </w:instrText>
      </w:r>
      <w:r w:rsidRPr="00AA3A1E">
        <w:fldChar w:fldCharType="separate"/>
      </w:r>
      <w:r w:rsidR="00A0645F" w:rsidRPr="00646F60">
        <w:t xml:space="preserve">Table </w:t>
      </w:r>
      <w:r w:rsidR="00A0645F">
        <w:rPr>
          <w:noProof/>
        </w:rPr>
        <w:t>1</w:t>
      </w:r>
      <w:r w:rsidRPr="00AA3A1E">
        <w:fldChar w:fldCharType="end"/>
      </w:r>
      <w:r w:rsidRPr="00EA4FCA">
        <w:t>)</w:t>
      </w:r>
      <w:r w:rsidR="00365443">
        <w:t>.</w:t>
      </w:r>
    </w:p>
    <w:p w14:paraId="70F7F30F" w14:textId="12B5E0FE" w:rsidR="008B3E7C" w:rsidRDefault="008B3E7C">
      <w:pPr>
        <w:spacing w:before="0" w:after="200" w:line="276" w:lineRule="auto"/>
      </w:pPr>
      <w:r>
        <w:br w:type="page"/>
      </w:r>
    </w:p>
    <w:p w14:paraId="1A64A786" w14:textId="7D12FA1E" w:rsidR="00646F60" w:rsidRPr="00646F60" w:rsidRDefault="00646F60" w:rsidP="00646F60">
      <w:pPr>
        <w:pStyle w:val="Caption"/>
      </w:pPr>
      <w:r w:rsidRPr="00646F60">
        <w:lastRenderedPageBreak/>
        <w:t xml:space="preserve">Figure </w:t>
      </w:r>
      <w:r w:rsidRPr="00646F60">
        <w:fldChar w:fldCharType="begin"/>
      </w:r>
      <w:r w:rsidRPr="00646F60">
        <w:instrText xml:space="preserve"> SEQ Figure \* ARABIC </w:instrText>
      </w:r>
      <w:r w:rsidRPr="00646F60">
        <w:fldChar w:fldCharType="separate"/>
      </w:r>
      <w:r w:rsidR="00A0645F">
        <w:rPr>
          <w:noProof/>
        </w:rPr>
        <w:t>3</w:t>
      </w:r>
      <w:r w:rsidRPr="00646F60">
        <w:fldChar w:fldCharType="end"/>
      </w:r>
      <w:bookmarkEnd w:id="16"/>
      <w:r w:rsidRPr="00646F60">
        <w:t>: Regional fill rate (%) and total applicants, qualified, and suitable applicants per vacancy (no.)</w:t>
      </w:r>
    </w:p>
    <w:p w14:paraId="764B1A93" w14:textId="2BF077E3" w:rsidR="00365443" w:rsidRPr="006B22F2" w:rsidRDefault="00E24263" w:rsidP="006B22F2">
      <w:pPr>
        <w:pStyle w:val="Source"/>
      </w:pPr>
      <w:r w:rsidRPr="00E24263">
        <w:rPr>
          <w:noProof/>
        </w:rPr>
        <w:drawing>
          <wp:inline distT="0" distB="0" distL="0" distR="0" wp14:anchorId="7A2E03A3" wp14:editId="76D04E30">
            <wp:extent cx="5731200" cy="2952000"/>
            <wp:effectExtent l="0" t="0" r="3175" b="1270"/>
            <wp:docPr id="1449738734" name="Chart 1" descr="Figure 3 shows the quarterly fill rate and total, qualified and suitable applicants per vacancy, for regional Australia from September 2023 to September 2025. The regional fill rate increased by 1.3 percentage points to 67.1% in September quarter 2025 and by 4.3 percentage points compared to a year ago. Qualified and suitable applicants per vacancy have also increased in regional areas in the last 12 months, despite decreasing total applicants. ">
              <a:extLst xmlns:a="http://schemas.openxmlformats.org/drawingml/2006/main">
                <a:ext uri="{FF2B5EF4-FFF2-40B4-BE49-F238E27FC236}">
                  <a16:creationId xmlns:a16="http://schemas.microsoft.com/office/drawing/2014/main" id="{88E22F96-7AE0-4048-8E6C-EFF1CE152A20}"/>
                </a:ext>
                <a:ext uri="{147F2762-F138-4A5C-976F-8EAC2B608ADB}">
                  <a16:predDERef xmlns:a16="http://schemas.microsoft.com/office/drawing/2014/main" pred="{7DA80257-4A7D-4351-A93F-A03F897C64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00646F60" w:rsidRPr="00646F60">
        <w:t xml:space="preserve">Source: Jobs and Skills Australia, SERA. </w:t>
      </w:r>
    </w:p>
    <w:p w14:paraId="770BC59C" w14:textId="77777777" w:rsidR="00646F60" w:rsidRPr="002A1C3A" w:rsidRDefault="00646F60" w:rsidP="008110E5">
      <w:pPr>
        <w:pStyle w:val="Heading1"/>
        <w:rPr>
          <w:rStyle w:val="Emphasis"/>
          <w:i w:val="0"/>
          <w:iCs w:val="0"/>
          <w:sz w:val="48"/>
        </w:rPr>
      </w:pPr>
      <w:bookmarkStart w:id="17" w:name="_Toc199509251"/>
      <w:bookmarkStart w:id="18" w:name="_Toc207977954"/>
      <w:bookmarkStart w:id="19" w:name="_Toc214019399"/>
      <w:r w:rsidRPr="008110E5">
        <w:t>Results by</w:t>
      </w:r>
      <w:r w:rsidRPr="002A1C3A">
        <w:rPr>
          <w:rStyle w:val="Emphasis"/>
          <w:i w:val="0"/>
          <w:iCs w:val="0"/>
          <w:sz w:val="48"/>
        </w:rPr>
        <w:t xml:space="preserve"> Skill Level</w:t>
      </w:r>
      <w:bookmarkEnd w:id="17"/>
      <w:bookmarkEnd w:id="18"/>
      <w:bookmarkEnd w:id="19"/>
    </w:p>
    <w:p w14:paraId="73C675DC" w14:textId="3656B8B6" w:rsidR="00F914EA" w:rsidRPr="00F914EA" w:rsidRDefault="008C532D" w:rsidP="00246284">
      <w:pPr>
        <w:pStyle w:val="BodyText"/>
      </w:pPr>
      <w:r>
        <w:t>In September quarter 2025. t</w:t>
      </w:r>
      <w:r w:rsidR="00941FFF" w:rsidRPr="00941FFF">
        <w:t xml:space="preserve">he fill rate was </w:t>
      </w:r>
      <w:r w:rsidR="00903F72">
        <w:t xml:space="preserve">above 72% for </w:t>
      </w:r>
      <w:r w:rsidR="00941FFF" w:rsidRPr="00941FFF">
        <w:t xml:space="preserve">Skill Level </w:t>
      </w:r>
      <w:r w:rsidR="00903F72">
        <w:t>1 (</w:t>
      </w:r>
      <w:r w:rsidR="00DD6C92">
        <w:t>72.8%)</w:t>
      </w:r>
      <w:r w:rsidR="00903F72">
        <w:t xml:space="preserve">, </w:t>
      </w:r>
      <w:r w:rsidR="00941FFF" w:rsidRPr="00941FFF">
        <w:t xml:space="preserve">2 </w:t>
      </w:r>
      <w:r w:rsidR="00DD6C92">
        <w:t xml:space="preserve">(74.4%) </w:t>
      </w:r>
      <w:r w:rsidR="00903F72">
        <w:t xml:space="preserve">and 4 </w:t>
      </w:r>
      <w:r w:rsidR="00941FFF" w:rsidRPr="00941FFF">
        <w:t>(72.1%)</w:t>
      </w:r>
      <w:r w:rsidR="00336905">
        <w:t xml:space="preserve"> </w:t>
      </w:r>
      <w:r w:rsidR="00336905" w:rsidRPr="00941FFF">
        <w:t>occupation</w:t>
      </w:r>
      <w:r w:rsidR="00336905" w:rsidRPr="00336905">
        <w:t xml:space="preserve"> groups</w:t>
      </w:r>
      <w:r w:rsidR="00941FFF" w:rsidRPr="00941FFF">
        <w:t xml:space="preserve">. </w:t>
      </w:r>
      <w:r w:rsidR="00F914EA" w:rsidRPr="00F914EA">
        <w:t>Skill Level 3 occupations, however, had a significantly lower fill rate at 54.3%</w:t>
      </w:r>
      <w:r w:rsidR="00A91348">
        <w:t xml:space="preserve"> (Table </w:t>
      </w:r>
      <w:r w:rsidR="00EA2674">
        <w:t>4</w:t>
      </w:r>
      <w:r w:rsidR="00A91348">
        <w:t>)</w:t>
      </w:r>
      <w:r w:rsidR="00F914EA" w:rsidRPr="00F914EA">
        <w:t xml:space="preserve">. </w:t>
      </w:r>
    </w:p>
    <w:p w14:paraId="1FAED7EA" w14:textId="65BB4183" w:rsidR="001857AE" w:rsidRDefault="00026433" w:rsidP="00941FFF">
      <w:pPr>
        <w:pStyle w:val="BodyText"/>
      </w:pPr>
      <w:r>
        <w:t>The fill rate d</w:t>
      </w:r>
      <w:r w:rsidR="00F831BC">
        <w:t xml:space="preserve">ynamics </w:t>
      </w:r>
      <w:r w:rsidR="00122512">
        <w:t xml:space="preserve">over time varied by </w:t>
      </w:r>
      <w:r w:rsidR="0008535D">
        <w:t>skill level</w:t>
      </w:r>
      <w:r w:rsidR="00122512">
        <w:t>.</w:t>
      </w:r>
      <w:r w:rsidR="008C3366">
        <w:t xml:space="preserve"> </w:t>
      </w:r>
    </w:p>
    <w:p w14:paraId="4D681A65" w14:textId="1D2852CC" w:rsidR="001857AE" w:rsidRDefault="001857AE" w:rsidP="00246284">
      <w:pPr>
        <w:pStyle w:val="ListBullet"/>
      </w:pPr>
      <w:r>
        <w:t xml:space="preserve">Skill Level 1 occupations </w:t>
      </w:r>
      <w:r w:rsidR="002E47E0">
        <w:t xml:space="preserve">was the only group for which the fill rate </w:t>
      </w:r>
      <w:r w:rsidR="00226E9B">
        <w:t>continued to increase each quarter</w:t>
      </w:r>
      <w:r w:rsidR="00A371C2">
        <w:t xml:space="preserve"> and when compared to the past 12 months</w:t>
      </w:r>
      <w:r w:rsidR="00581982">
        <w:t>.</w:t>
      </w:r>
    </w:p>
    <w:p w14:paraId="36EC6360" w14:textId="00ECD2E4" w:rsidR="003822F3" w:rsidRDefault="00F831BC">
      <w:pPr>
        <w:pStyle w:val="ListBullet"/>
      </w:pPr>
      <w:r>
        <w:t>F</w:t>
      </w:r>
      <w:r w:rsidR="00581982">
        <w:t xml:space="preserve">or </w:t>
      </w:r>
      <w:r w:rsidR="003822F3">
        <w:t>skill level 2</w:t>
      </w:r>
      <w:r w:rsidR="00E92520">
        <w:t xml:space="preserve">, 3 and </w:t>
      </w:r>
      <w:r w:rsidR="0088711C">
        <w:t>4</w:t>
      </w:r>
      <w:r w:rsidR="00793958">
        <w:t xml:space="preserve"> </w:t>
      </w:r>
      <w:r w:rsidR="003822F3">
        <w:t xml:space="preserve">occupations, the fill rates </w:t>
      </w:r>
      <w:r w:rsidR="0085687B">
        <w:t>decreased slightly over the quarter.</w:t>
      </w:r>
      <w:r w:rsidR="00604560">
        <w:t xml:space="preserve"> Further, f</w:t>
      </w:r>
      <w:r w:rsidR="00581982">
        <w:t xml:space="preserve">or </w:t>
      </w:r>
      <w:r w:rsidR="00422880">
        <w:t xml:space="preserve">skill </w:t>
      </w:r>
      <w:r w:rsidR="00EA321F">
        <w:t xml:space="preserve">level 2 and 4 occupations, the fill rates were </w:t>
      </w:r>
      <w:r w:rsidR="004C6CD7">
        <w:t xml:space="preserve">also </w:t>
      </w:r>
      <w:r w:rsidR="00EA321F">
        <w:t xml:space="preserve">lower compared to </w:t>
      </w:r>
      <w:r w:rsidR="00604560">
        <w:t xml:space="preserve">12 months ago. </w:t>
      </w:r>
    </w:p>
    <w:p w14:paraId="3E66BC28" w14:textId="4FA53445" w:rsidR="00E42A92" w:rsidRDefault="00B84DB3" w:rsidP="00246284">
      <w:pPr>
        <w:pStyle w:val="ListBullet"/>
      </w:pPr>
      <w:r>
        <w:t xml:space="preserve">Skill Level 4 occupations </w:t>
      </w:r>
      <w:r w:rsidR="00A83750">
        <w:t xml:space="preserve">recorded the largest </w:t>
      </w:r>
      <w:r w:rsidR="00423EBA">
        <w:t xml:space="preserve">decrease in fill rate over the quarter and past 12 months. </w:t>
      </w:r>
    </w:p>
    <w:p w14:paraId="648ACD00" w14:textId="2E2AD1D6" w:rsidR="00E62540" w:rsidRDefault="008A2B9F" w:rsidP="00941FFF">
      <w:pPr>
        <w:pStyle w:val="BodyText"/>
      </w:pPr>
      <w:r>
        <w:t>Similar to that reported in previous sections of the report, Total a</w:t>
      </w:r>
      <w:r w:rsidR="00941FFF" w:rsidRPr="00941FFF">
        <w:t xml:space="preserve">pplicants per vacancy </w:t>
      </w:r>
      <w:r w:rsidR="00061E1D">
        <w:t xml:space="preserve">fell across the skill </w:t>
      </w:r>
      <w:r w:rsidR="00E62540">
        <w:t xml:space="preserve">level 1 to 4 groups over the quarter and past 12 months. </w:t>
      </w:r>
    </w:p>
    <w:p w14:paraId="411307D6" w14:textId="710B220F" w:rsidR="00E62540" w:rsidRDefault="00990236" w:rsidP="00941FFF">
      <w:pPr>
        <w:pStyle w:val="BodyText"/>
      </w:pPr>
      <w:r>
        <w:t>Qualified applicants per vacancy was largely stable for skill level 1 and 2 occupations</w:t>
      </w:r>
      <w:r w:rsidR="00C45967">
        <w:t xml:space="preserve"> but increased over the quarter for skill level 3 and 4 occupation groups. </w:t>
      </w:r>
    </w:p>
    <w:p w14:paraId="6DD2B945" w14:textId="77777777" w:rsidR="00AE5436" w:rsidRDefault="00C45967" w:rsidP="001C41DC">
      <w:pPr>
        <w:pStyle w:val="BodyText"/>
      </w:pPr>
      <w:r>
        <w:t xml:space="preserve">Suitable applicants per vacancy </w:t>
      </w:r>
      <w:r w:rsidR="00C3689A">
        <w:t xml:space="preserve">improved over the quarter and past 12 months across all the skill level occupations. </w:t>
      </w:r>
    </w:p>
    <w:p w14:paraId="3A3CAA94" w14:textId="77777777" w:rsidR="00AE5436" w:rsidRDefault="00AE5436">
      <w:pPr>
        <w:spacing w:before="0" w:after="200" w:line="276" w:lineRule="auto"/>
      </w:pPr>
      <w:r>
        <w:br w:type="page"/>
      </w:r>
    </w:p>
    <w:p w14:paraId="1C0946B1" w14:textId="1B82EBA7" w:rsidR="004D79B3" w:rsidRDefault="00E54E21" w:rsidP="00246284">
      <w:pPr>
        <w:pStyle w:val="Caption"/>
      </w:pPr>
      <w:r w:rsidRPr="00646F60">
        <w:lastRenderedPageBreak/>
        <w:t xml:space="preserve">Table </w:t>
      </w:r>
      <w:r w:rsidR="00FE1D59">
        <w:t>4</w:t>
      </w:r>
      <w:r w:rsidRPr="00646F60">
        <w:t xml:space="preserve">: </w:t>
      </w:r>
      <w:r w:rsidR="00252434">
        <w:t xml:space="preserve">ANZSCO </w:t>
      </w:r>
      <w:r w:rsidR="006B1AE2">
        <w:t>s</w:t>
      </w:r>
      <w:r>
        <w:t>kill level</w:t>
      </w:r>
      <w:r w:rsidRPr="00646F60">
        <w:t xml:space="preserve"> </w:t>
      </w:r>
      <w:r>
        <w:t>s</w:t>
      </w:r>
      <w:r w:rsidRPr="00646F60">
        <w:t>napshot</w:t>
      </w:r>
    </w:p>
    <w:tbl>
      <w:tblPr>
        <w:tblStyle w:val="CustomTablebasic"/>
        <w:tblW w:w="5091" w:type="pct"/>
        <w:tblLook w:val="04A0" w:firstRow="1" w:lastRow="0" w:firstColumn="1" w:lastColumn="0" w:noHBand="0" w:noVBand="1"/>
      </w:tblPr>
      <w:tblGrid>
        <w:gridCol w:w="1473"/>
        <w:gridCol w:w="3572"/>
        <w:gridCol w:w="1382"/>
        <w:gridCol w:w="1382"/>
        <w:gridCol w:w="1382"/>
      </w:tblGrid>
      <w:tr w:rsidR="004D79B3" w14:paraId="3F3B24C8" w14:textId="77777777">
        <w:trPr>
          <w:cnfStyle w:val="100000000000" w:firstRow="1" w:lastRow="0" w:firstColumn="0" w:lastColumn="0" w:oddVBand="0" w:evenVBand="0" w:oddHBand="0" w:evenHBand="0" w:firstRowFirstColumn="0" w:firstRowLastColumn="0" w:lastRowFirstColumn="0" w:lastRowLastColumn="0"/>
        </w:trPr>
        <w:tc>
          <w:tcPr>
            <w:tcW w:w="801" w:type="pct"/>
          </w:tcPr>
          <w:p w14:paraId="38FA7910" w14:textId="1166C52D" w:rsidR="004D79B3" w:rsidRPr="001C41DC" w:rsidRDefault="004D79B3" w:rsidP="001C41DC">
            <w:pPr>
              <w:pStyle w:val="TableHeading1"/>
            </w:pPr>
            <w:r w:rsidRPr="001C41DC">
              <w:t>Skill group</w:t>
            </w:r>
          </w:p>
        </w:tc>
        <w:tc>
          <w:tcPr>
            <w:tcW w:w="1943" w:type="pct"/>
          </w:tcPr>
          <w:p w14:paraId="7C031DA5" w14:textId="77777777" w:rsidR="004D79B3" w:rsidRPr="001C41DC" w:rsidRDefault="004D79B3" w:rsidP="001C41DC">
            <w:pPr>
              <w:pStyle w:val="TableHeading1"/>
            </w:pPr>
            <w:r w:rsidRPr="001C41DC">
              <w:t xml:space="preserve"> </w:t>
            </w:r>
          </w:p>
        </w:tc>
        <w:tc>
          <w:tcPr>
            <w:tcW w:w="752" w:type="pct"/>
          </w:tcPr>
          <w:p w14:paraId="1E954F82" w14:textId="77777777" w:rsidR="004D79B3" w:rsidRPr="001C41DC" w:rsidRDefault="004D79B3" w:rsidP="001C41DC">
            <w:pPr>
              <w:pStyle w:val="TableHeading1"/>
            </w:pPr>
            <w:r w:rsidRPr="001C41DC">
              <w:t>September quarter 2025</w:t>
            </w:r>
          </w:p>
        </w:tc>
        <w:tc>
          <w:tcPr>
            <w:tcW w:w="752" w:type="pct"/>
          </w:tcPr>
          <w:p w14:paraId="6117FEC6" w14:textId="77777777" w:rsidR="004D79B3" w:rsidRPr="001C41DC" w:rsidRDefault="004D79B3" w:rsidP="001C41DC">
            <w:pPr>
              <w:pStyle w:val="TableHeading1"/>
            </w:pPr>
            <w:r w:rsidRPr="001C41DC">
              <w:t xml:space="preserve">Change over the quarter </w:t>
            </w:r>
          </w:p>
        </w:tc>
        <w:tc>
          <w:tcPr>
            <w:tcW w:w="752" w:type="pct"/>
          </w:tcPr>
          <w:p w14:paraId="7095D5E2" w14:textId="77777777" w:rsidR="004D79B3" w:rsidRPr="001C41DC" w:rsidRDefault="004D79B3" w:rsidP="001C41DC">
            <w:pPr>
              <w:pStyle w:val="TableHeading1"/>
            </w:pPr>
            <w:r w:rsidRPr="001C41DC">
              <w:t xml:space="preserve">Change over 12 months </w:t>
            </w:r>
          </w:p>
        </w:tc>
      </w:tr>
      <w:tr w:rsidR="00E54E21" w14:paraId="0B8C8CFC" w14:textId="77777777" w:rsidTr="00246284">
        <w:tc>
          <w:tcPr>
            <w:tcW w:w="801" w:type="pct"/>
            <w:vMerge w:val="restart"/>
            <w:tcBorders>
              <w:bottom w:val="single" w:sz="4" w:space="0" w:color="auto"/>
            </w:tcBorders>
            <w:shd w:val="clear" w:color="auto" w:fill="FFFFFF" w:themeFill="background1"/>
          </w:tcPr>
          <w:p w14:paraId="5AFED2DD" w14:textId="499D0005" w:rsidR="00E54E21" w:rsidRPr="00E54E21" w:rsidRDefault="00E54E21" w:rsidP="00E54E21">
            <w:pPr>
              <w:pStyle w:val="TableBodyText"/>
            </w:pPr>
            <w:r>
              <w:t>S</w:t>
            </w:r>
            <w:r w:rsidRPr="00E54E21">
              <w:t>kill level 1</w:t>
            </w:r>
          </w:p>
        </w:tc>
        <w:tc>
          <w:tcPr>
            <w:tcW w:w="1943" w:type="pct"/>
          </w:tcPr>
          <w:p w14:paraId="7CEC49B0" w14:textId="77777777" w:rsidR="00E54E21" w:rsidRPr="00E54E21" w:rsidRDefault="00E54E21" w:rsidP="00E54E21">
            <w:pPr>
              <w:pStyle w:val="TableBodyText"/>
            </w:pPr>
            <w:r w:rsidRPr="002B66A4">
              <w:t xml:space="preserve">Vacancy fill rate (%) </w:t>
            </w:r>
          </w:p>
        </w:tc>
        <w:tc>
          <w:tcPr>
            <w:tcW w:w="752" w:type="pct"/>
            <w:vAlign w:val="bottom"/>
          </w:tcPr>
          <w:p w14:paraId="0FD3EA3D" w14:textId="60EBA2CC" w:rsidR="00E54E21" w:rsidRPr="00E54E21" w:rsidRDefault="00E54E21" w:rsidP="00E54E21">
            <w:pPr>
              <w:pStyle w:val="TableBodyTextright"/>
            </w:pPr>
            <w:r w:rsidRPr="00E54E21">
              <w:t>72.8%</w:t>
            </w:r>
          </w:p>
        </w:tc>
        <w:tc>
          <w:tcPr>
            <w:tcW w:w="752" w:type="pct"/>
            <w:vAlign w:val="center"/>
          </w:tcPr>
          <w:p w14:paraId="4FCDDF08" w14:textId="027E32AF" w:rsidR="00E54E21" w:rsidRPr="00E54E21" w:rsidRDefault="00E54E21" w:rsidP="00E54E21">
            <w:pPr>
              <w:pStyle w:val="TableBodyTextright"/>
            </w:pPr>
            <w:r w:rsidRPr="00B6242A">
              <w:t>▲</w:t>
            </w:r>
            <w:r w:rsidRPr="00E54E21">
              <w:t>0.4% pts</w:t>
            </w:r>
          </w:p>
        </w:tc>
        <w:tc>
          <w:tcPr>
            <w:tcW w:w="752" w:type="pct"/>
            <w:vAlign w:val="center"/>
          </w:tcPr>
          <w:p w14:paraId="27F20A94" w14:textId="0BB67FB1" w:rsidR="00E54E21" w:rsidRPr="00E54E21" w:rsidRDefault="00E54E21" w:rsidP="00E54E21">
            <w:pPr>
              <w:pStyle w:val="TableBodyTextright"/>
            </w:pPr>
            <w:r w:rsidRPr="00C71A91">
              <w:t>▲</w:t>
            </w:r>
            <w:r w:rsidRPr="00E54E21">
              <w:t>3.1% pts</w:t>
            </w:r>
          </w:p>
        </w:tc>
      </w:tr>
      <w:tr w:rsidR="00E54E21" w14:paraId="0EEDCD62" w14:textId="77777777" w:rsidTr="00246284">
        <w:trPr>
          <w:cnfStyle w:val="000000010000" w:firstRow="0" w:lastRow="0" w:firstColumn="0" w:lastColumn="0" w:oddVBand="0" w:evenVBand="0" w:oddHBand="0" w:evenHBand="1" w:firstRowFirstColumn="0" w:firstRowLastColumn="0" w:lastRowFirstColumn="0" w:lastRowLastColumn="0"/>
        </w:trPr>
        <w:tc>
          <w:tcPr>
            <w:tcW w:w="801" w:type="pct"/>
            <w:vMerge/>
            <w:tcBorders>
              <w:bottom w:val="single" w:sz="4" w:space="0" w:color="auto"/>
            </w:tcBorders>
            <w:shd w:val="clear" w:color="auto" w:fill="FFFFFF" w:themeFill="background1"/>
          </w:tcPr>
          <w:p w14:paraId="2A096262" w14:textId="77777777" w:rsidR="00E54E21" w:rsidRPr="002B66A4" w:rsidRDefault="00E54E21" w:rsidP="00E54E21">
            <w:pPr>
              <w:pStyle w:val="TableBodyText"/>
            </w:pPr>
          </w:p>
        </w:tc>
        <w:tc>
          <w:tcPr>
            <w:tcW w:w="1943" w:type="pct"/>
          </w:tcPr>
          <w:p w14:paraId="45102457" w14:textId="77777777" w:rsidR="00E54E21" w:rsidRPr="00E54E21" w:rsidRDefault="00E54E21" w:rsidP="00E54E21">
            <w:pPr>
              <w:pStyle w:val="TableBodyText"/>
            </w:pPr>
            <w:r w:rsidRPr="002B66A4">
              <w:t xml:space="preserve">Applicants per vacancy (no.) </w:t>
            </w:r>
          </w:p>
        </w:tc>
        <w:tc>
          <w:tcPr>
            <w:tcW w:w="752" w:type="pct"/>
            <w:vAlign w:val="bottom"/>
          </w:tcPr>
          <w:p w14:paraId="174EF62C" w14:textId="0A08C613" w:rsidR="00E54E21" w:rsidRPr="00E54E21" w:rsidRDefault="00E54E21" w:rsidP="00E54E21">
            <w:pPr>
              <w:pStyle w:val="TableBodyTextright"/>
            </w:pPr>
            <w:r w:rsidRPr="00E54E21">
              <w:t>24.5</w:t>
            </w:r>
          </w:p>
        </w:tc>
        <w:tc>
          <w:tcPr>
            <w:tcW w:w="752" w:type="pct"/>
            <w:vAlign w:val="bottom"/>
          </w:tcPr>
          <w:p w14:paraId="4B46C449" w14:textId="1F53D16E" w:rsidR="00E54E21" w:rsidRPr="00E54E21" w:rsidRDefault="00E54E21" w:rsidP="00E54E21">
            <w:pPr>
              <w:pStyle w:val="TableBodyTextright"/>
            </w:pPr>
            <w:r w:rsidRPr="00CB6115">
              <w:t>▼</w:t>
            </w:r>
            <w:r w:rsidRPr="00E54E21">
              <w:t>2.5</w:t>
            </w:r>
          </w:p>
        </w:tc>
        <w:tc>
          <w:tcPr>
            <w:tcW w:w="752" w:type="pct"/>
            <w:vAlign w:val="bottom"/>
          </w:tcPr>
          <w:p w14:paraId="74E4F73D" w14:textId="28B7BA5E" w:rsidR="00E54E21" w:rsidRPr="00E54E21" w:rsidRDefault="00E54E21" w:rsidP="00E54E21">
            <w:pPr>
              <w:pStyle w:val="TableBodyTextright"/>
            </w:pPr>
            <w:r w:rsidRPr="00CB6115">
              <w:t>▼</w:t>
            </w:r>
            <w:r w:rsidRPr="00E54E21">
              <w:t>6.5</w:t>
            </w:r>
          </w:p>
        </w:tc>
      </w:tr>
      <w:tr w:rsidR="00E54E21" w14:paraId="72CC8629" w14:textId="77777777" w:rsidTr="00246284">
        <w:tc>
          <w:tcPr>
            <w:tcW w:w="801" w:type="pct"/>
            <w:vMerge/>
            <w:tcBorders>
              <w:bottom w:val="single" w:sz="4" w:space="0" w:color="auto"/>
            </w:tcBorders>
            <w:shd w:val="clear" w:color="auto" w:fill="FFFFFF" w:themeFill="background1"/>
          </w:tcPr>
          <w:p w14:paraId="53ECE392" w14:textId="77777777" w:rsidR="00E54E21" w:rsidRPr="002B66A4" w:rsidRDefault="00E54E21" w:rsidP="00E54E21">
            <w:pPr>
              <w:pStyle w:val="TableBodyText"/>
            </w:pPr>
          </w:p>
        </w:tc>
        <w:tc>
          <w:tcPr>
            <w:tcW w:w="1943" w:type="pct"/>
          </w:tcPr>
          <w:p w14:paraId="41E33001" w14:textId="77777777" w:rsidR="00E54E21" w:rsidRPr="00E54E21" w:rsidRDefault="00E54E21" w:rsidP="00E54E21">
            <w:pPr>
              <w:pStyle w:val="TableBodyText"/>
            </w:pPr>
            <w:r w:rsidRPr="002B66A4">
              <w:t>Qualified applicants per vacancy (no.)</w:t>
            </w:r>
          </w:p>
        </w:tc>
        <w:tc>
          <w:tcPr>
            <w:tcW w:w="752" w:type="pct"/>
            <w:vAlign w:val="bottom"/>
          </w:tcPr>
          <w:p w14:paraId="43B579A5" w14:textId="55D86B07" w:rsidR="00E54E21" w:rsidRPr="00E54E21" w:rsidRDefault="00E54E21" w:rsidP="00E54E21">
            <w:pPr>
              <w:pStyle w:val="TableBodyTextright"/>
            </w:pPr>
            <w:r w:rsidRPr="00E54E21">
              <w:t>11.1</w:t>
            </w:r>
          </w:p>
        </w:tc>
        <w:tc>
          <w:tcPr>
            <w:tcW w:w="752" w:type="pct"/>
            <w:vAlign w:val="bottom"/>
          </w:tcPr>
          <w:p w14:paraId="24087C45" w14:textId="7FB2D385" w:rsidR="00E54E21" w:rsidRPr="00E54E21" w:rsidRDefault="00E54E21" w:rsidP="00E54E21">
            <w:pPr>
              <w:pStyle w:val="TableBodyTextright"/>
            </w:pPr>
            <w:r w:rsidRPr="00CB6115">
              <w:t>▼</w:t>
            </w:r>
            <w:r w:rsidRPr="00E54E21">
              <w:t>0.2</w:t>
            </w:r>
          </w:p>
        </w:tc>
        <w:tc>
          <w:tcPr>
            <w:tcW w:w="752" w:type="pct"/>
            <w:vAlign w:val="center"/>
          </w:tcPr>
          <w:p w14:paraId="749427EC" w14:textId="557C8F0E" w:rsidR="00E54E21" w:rsidRPr="00E54E21" w:rsidRDefault="00E54E21" w:rsidP="00E54E21">
            <w:pPr>
              <w:pStyle w:val="TableBodyTextright"/>
            </w:pPr>
            <w:r w:rsidRPr="00CB6115">
              <w:t>▼</w:t>
            </w:r>
            <w:r w:rsidRPr="00E54E21">
              <w:t>0.3</w:t>
            </w:r>
          </w:p>
        </w:tc>
      </w:tr>
      <w:tr w:rsidR="00E54E21" w14:paraId="432CFF26" w14:textId="77777777">
        <w:trPr>
          <w:cnfStyle w:val="000000010000" w:firstRow="0" w:lastRow="0" w:firstColumn="0" w:lastColumn="0" w:oddVBand="0" w:evenVBand="0" w:oddHBand="0" w:evenHBand="1" w:firstRowFirstColumn="0" w:firstRowLastColumn="0" w:lastRowFirstColumn="0" w:lastRowLastColumn="0"/>
        </w:trPr>
        <w:tc>
          <w:tcPr>
            <w:tcW w:w="801" w:type="pct"/>
            <w:vMerge/>
            <w:tcBorders>
              <w:bottom w:val="single" w:sz="4" w:space="0" w:color="D9D9D9" w:themeColor="background1" w:themeShade="D9"/>
            </w:tcBorders>
            <w:shd w:val="clear" w:color="auto" w:fill="FFFFFF" w:themeFill="background1"/>
          </w:tcPr>
          <w:p w14:paraId="2B43D5CC" w14:textId="77777777" w:rsidR="00E54E21" w:rsidRPr="002B66A4" w:rsidRDefault="00E54E21" w:rsidP="00E54E21">
            <w:pPr>
              <w:pStyle w:val="TableBodyText"/>
            </w:pPr>
          </w:p>
        </w:tc>
        <w:tc>
          <w:tcPr>
            <w:tcW w:w="1943" w:type="pct"/>
            <w:tcBorders>
              <w:bottom w:val="single" w:sz="4" w:space="0" w:color="D9D9D9" w:themeColor="background1" w:themeShade="D9"/>
            </w:tcBorders>
          </w:tcPr>
          <w:p w14:paraId="646DB32C" w14:textId="77777777" w:rsidR="00E54E21" w:rsidRPr="00E54E21" w:rsidRDefault="00E54E21" w:rsidP="00E54E21">
            <w:pPr>
              <w:pStyle w:val="TableBodyText"/>
            </w:pPr>
            <w:r w:rsidRPr="002B66A4">
              <w:t>Suitable applicants per vacancy (no.)</w:t>
            </w:r>
          </w:p>
        </w:tc>
        <w:tc>
          <w:tcPr>
            <w:tcW w:w="752" w:type="pct"/>
            <w:tcBorders>
              <w:bottom w:val="single" w:sz="4" w:space="0" w:color="D9D9D9" w:themeColor="background1" w:themeShade="D9"/>
            </w:tcBorders>
            <w:vAlign w:val="center"/>
          </w:tcPr>
          <w:p w14:paraId="5F7F8470" w14:textId="352C0AB2" w:rsidR="00E54E21" w:rsidRPr="00E54E21" w:rsidRDefault="00E54E21" w:rsidP="00E54E21">
            <w:pPr>
              <w:pStyle w:val="TableBodyTextright"/>
            </w:pPr>
            <w:r w:rsidRPr="00E54E21">
              <w:t>4.6</w:t>
            </w:r>
          </w:p>
        </w:tc>
        <w:tc>
          <w:tcPr>
            <w:tcW w:w="752" w:type="pct"/>
            <w:tcBorders>
              <w:bottom w:val="single" w:sz="4" w:space="0" w:color="D9D9D9" w:themeColor="background1" w:themeShade="D9"/>
            </w:tcBorders>
            <w:vAlign w:val="center"/>
          </w:tcPr>
          <w:p w14:paraId="3A089448" w14:textId="77B1AE9C" w:rsidR="00E54E21" w:rsidRPr="00E54E21" w:rsidRDefault="00E54E21" w:rsidP="00E54E21">
            <w:pPr>
              <w:pStyle w:val="TableBodyTextright"/>
            </w:pPr>
            <w:r w:rsidRPr="00B6242A">
              <w:t>▲</w:t>
            </w:r>
            <w:r w:rsidRPr="00E54E21">
              <w:t>0.</w:t>
            </w:r>
            <w:r w:rsidR="00C9074F">
              <w:t>3</w:t>
            </w:r>
          </w:p>
        </w:tc>
        <w:tc>
          <w:tcPr>
            <w:tcW w:w="752" w:type="pct"/>
            <w:tcBorders>
              <w:bottom w:val="single" w:sz="4" w:space="0" w:color="D9D9D9" w:themeColor="background1" w:themeShade="D9"/>
            </w:tcBorders>
            <w:vAlign w:val="center"/>
          </w:tcPr>
          <w:p w14:paraId="762D4E97" w14:textId="5E0D40B1" w:rsidR="00E54E21" w:rsidRPr="00E54E21" w:rsidRDefault="00E54E21" w:rsidP="00E54E21">
            <w:pPr>
              <w:pStyle w:val="TableBodyTextright"/>
            </w:pPr>
            <w:r w:rsidRPr="00B6242A">
              <w:t>▲</w:t>
            </w:r>
            <w:r w:rsidRPr="00E54E21">
              <w:t>1.</w:t>
            </w:r>
            <w:r w:rsidR="00AE5436">
              <w:t>3</w:t>
            </w:r>
          </w:p>
        </w:tc>
      </w:tr>
      <w:tr w:rsidR="00E54E21" w14:paraId="362EF60F" w14:textId="77777777" w:rsidTr="00246284">
        <w:tc>
          <w:tcPr>
            <w:tcW w:w="801" w:type="pct"/>
            <w:vMerge w:val="restart"/>
            <w:tcBorders>
              <w:top w:val="single" w:sz="4" w:space="0" w:color="D9D9D9" w:themeColor="background1" w:themeShade="D9"/>
            </w:tcBorders>
            <w:shd w:val="clear" w:color="auto" w:fill="FFFFFF" w:themeFill="background1"/>
          </w:tcPr>
          <w:p w14:paraId="30453E3B" w14:textId="0F46E9EA" w:rsidR="00E54E21" w:rsidRPr="00E54E21" w:rsidRDefault="00E54E21" w:rsidP="00E54E21">
            <w:pPr>
              <w:pStyle w:val="TableBodyText"/>
            </w:pPr>
            <w:r>
              <w:t>S</w:t>
            </w:r>
            <w:r w:rsidRPr="00E54E21">
              <w:t xml:space="preserve">kill level 2 </w:t>
            </w:r>
          </w:p>
        </w:tc>
        <w:tc>
          <w:tcPr>
            <w:tcW w:w="1943" w:type="pct"/>
            <w:tcBorders>
              <w:top w:val="single" w:sz="4" w:space="0" w:color="D9D9D9" w:themeColor="background1" w:themeShade="D9"/>
            </w:tcBorders>
          </w:tcPr>
          <w:p w14:paraId="6B7126B6" w14:textId="77777777" w:rsidR="00E54E21" w:rsidRPr="00E54E21" w:rsidRDefault="00E54E21" w:rsidP="00E54E21">
            <w:pPr>
              <w:pStyle w:val="TableBodyText"/>
            </w:pPr>
            <w:r w:rsidRPr="002B66A4">
              <w:t xml:space="preserve">Vacancy fill rate (%) </w:t>
            </w:r>
          </w:p>
        </w:tc>
        <w:tc>
          <w:tcPr>
            <w:tcW w:w="752" w:type="pct"/>
            <w:tcBorders>
              <w:top w:val="single" w:sz="4" w:space="0" w:color="D9D9D9" w:themeColor="background1" w:themeShade="D9"/>
            </w:tcBorders>
            <w:vAlign w:val="bottom"/>
          </w:tcPr>
          <w:p w14:paraId="6EE706AE" w14:textId="40E9C3F0" w:rsidR="00E54E21" w:rsidRPr="00E54E21" w:rsidRDefault="00E54E21" w:rsidP="00E54E21">
            <w:pPr>
              <w:pStyle w:val="TableBodyTextright"/>
            </w:pPr>
            <w:r w:rsidRPr="00E54E21">
              <w:t>74.4%</w:t>
            </w:r>
          </w:p>
        </w:tc>
        <w:tc>
          <w:tcPr>
            <w:tcW w:w="752" w:type="pct"/>
            <w:tcBorders>
              <w:top w:val="single" w:sz="4" w:space="0" w:color="D9D9D9" w:themeColor="background1" w:themeShade="D9"/>
            </w:tcBorders>
            <w:vAlign w:val="bottom"/>
          </w:tcPr>
          <w:p w14:paraId="2FF83713" w14:textId="6B37B22C" w:rsidR="00E54E21" w:rsidRPr="00E54E21" w:rsidRDefault="00E54E21" w:rsidP="00E54E21">
            <w:pPr>
              <w:pStyle w:val="TableBodyTextright"/>
            </w:pPr>
            <w:r w:rsidRPr="00CB6115">
              <w:t>▼</w:t>
            </w:r>
            <w:r w:rsidRPr="00E54E21">
              <w:t>0.7% pts</w:t>
            </w:r>
          </w:p>
        </w:tc>
        <w:tc>
          <w:tcPr>
            <w:tcW w:w="752" w:type="pct"/>
            <w:tcBorders>
              <w:top w:val="single" w:sz="4" w:space="0" w:color="D9D9D9" w:themeColor="background1" w:themeShade="D9"/>
            </w:tcBorders>
            <w:vAlign w:val="center"/>
          </w:tcPr>
          <w:p w14:paraId="6065A31A" w14:textId="3A3F2FC9" w:rsidR="00E54E21" w:rsidRPr="00E54E21" w:rsidRDefault="00E54E21" w:rsidP="00E54E21">
            <w:pPr>
              <w:pStyle w:val="TableBodyTextright"/>
            </w:pPr>
            <w:r w:rsidRPr="00CB6115">
              <w:t>▼</w:t>
            </w:r>
            <w:r w:rsidRPr="00E54E21">
              <w:t>0.6% pts</w:t>
            </w:r>
          </w:p>
        </w:tc>
      </w:tr>
      <w:tr w:rsidR="00E54E21" w14:paraId="3B7C6EBF" w14:textId="77777777">
        <w:trPr>
          <w:cnfStyle w:val="000000010000" w:firstRow="0" w:lastRow="0" w:firstColumn="0" w:lastColumn="0" w:oddVBand="0" w:evenVBand="0" w:oddHBand="0" w:evenHBand="1" w:firstRowFirstColumn="0" w:firstRowLastColumn="0" w:lastRowFirstColumn="0" w:lastRowLastColumn="0"/>
        </w:trPr>
        <w:tc>
          <w:tcPr>
            <w:tcW w:w="801" w:type="pct"/>
            <w:vMerge/>
            <w:shd w:val="clear" w:color="auto" w:fill="FFFFFF" w:themeFill="background1"/>
          </w:tcPr>
          <w:p w14:paraId="42A28094" w14:textId="77777777" w:rsidR="00E54E21" w:rsidRPr="002B66A4" w:rsidRDefault="00E54E21" w:rsidP="00E54E21">
            <w:pPr>
              <w:pStyle w:val="TableBodyText"/>
            </w:pPr>
          </w:p>
        </w:tc>
        <w:tc>
          <w:tcPr>
            <w:tcW w:w="1943" w:type="pct"/>
          </w:tcPr>
          <w:p w14:paraId="6F2B9384" w14:textId="77777777" w:rsidR="00E54E21" w:rsidRPr="00E54E21" w:rsidRDefault="00E54E21" w:rsidP="00E54E21">
            <w:pPr>
              <w:pStyle w:val="TableBodyText"/>
            </w:pPr>
            <w:r w:rsidRPr="002B66A4">
              <w:t xml:space="preserve">Applicants per vacancy (no.) </w:t>
            </w:r>
          </w:p>
        </w:tc>
        <w:tc>
          <w:tcPr>
            <w:tcW w:w="752" w:type="pct"/>
            <w:vAlign w:val="center"/>
          </w:tcPr>
          <w:p w14:paraId="75C7226A" w14:textId="333EC26C" w:rsidR="00E54E21" w:rsidRPr="00E54E21" w:rsidRDefault="00E54E21" w:rsidP="00E54E21">
            <w:pPr>
              <w:pStyle w:val="TableBodyTextright"/>
            </w:pPr>
            <w:r w:rsidRPr="00E54E21">
              <w:t>29.4</w:t>
            </w:r>
          </w:p>
        </w:tc>
        <w:tc>
          <w:tcPr>
            <w:tcW w:w="752" w:type="pct"/>
            <w:vAlign w:val="center"/>
          </w:tcPr>
          <w:p w14:paraId="73803943" w14:textId="0C93204B" w:rsidR="00E54E21" w:rsidRPr="00E54E21" w:rsidRDefault="00E54E21" w:rsidP="00E54E21">
            <w:pPr>
              <w:pStyle w:val="TableBodyTextright"/>
            </w:pPr>
            <w:r w:rsidRPr="00CB6115">
              <w:t>▼</w:t>
            </w:r>
            <w:r w:rsidRPr="00E54E21">
              <w:t>3.2</w:t>
            </w:r>
          </w:p>
        </w:tc>
        <w:tc>
          <w:tcPr>
            <w:tcW w:w="752" w:type="pct"/>
            <w:vAlign w:val="center"/>
          </w:tcPr>
          <w:p w14:paraId="1921A9D1" w14:textId="4352EE30" w:rsidR="00E54E21" w:rsidRPr="00E54E21" w:rsidRDefault="00E54E21" w:rsidP="00E54E21">
            <w:pPr>
              <w:pStyle w:val="TableBodyTextright"/>
            </w:pPr>
            <w:r w:rsidRPr="00CB6115">
              <w:t>▼</w:t>
            </w:r>
            <w:r w:rsidRPr="00E54E21">
              <w:t>3.6</w:t>
            </w:r>
          </w:p>
        </w:tc>
      </w:tr>
      <w:tr w:rsidR="00E54E21" w14:paraId="4FA68522" w14:textId="77777777" w:rsidTr="00246284">
        <w:tc>
          <w:tcPr>
            <w:tcW w:w="801" w:type="pct"/>
            <w:vMerge/>
            <w:shd w:val="clear" w:color="auto" w:fill="FFFFFF" w:themeFill="background1"/>
          </w:tcPr>
          <w:p w14:paraId="2FB17B97" w14:textId="77777777" w:rsidR="00E54E21" w:rsidRPr="002B66A4" w:rsidRDefault="00E54E21" w:rsidP="00E54E21">
            <w:pPr>
              <w:pStyle w:val="TableBodyText"/>
            </w:pPr>
          </w:p>
        </w:tc>
        <w:tc>
          <w:tcPr>
            <w:tcW w:w="1943" w:type="pct"/>
          </w:tcPr>
          <w:p w14:paraId="46DF2067" w14:textId="77777777" w:rsidR="00E54E21" w:rsidRPr="00E54E21" w:rsidRDefault="00E54E21" w:rsidP="00E54E21">
            <w:pPr>
              <w:pStyle w:val="TableBodyText"/>
            </w:pPr>
            <w:r w:rsidRPr="002B66A4">
              <w:t>Qualified applicants per vacancy (no.)</w:t>
            </w:r>
          </w:p>
        </w:tc>
        <w:tc>
          <w:tcPr>
            <w:tcW w:w="752" w:type="pct"/>
            <w:vAlign w:val="bottom"/>
          </w:tcPr>
          <w:p w14:paraId="78EAF35F" w14:textId="26FF29FC" w:rsidR="00E54E21" w:rsidRPr="00E54E21" w:rsidRDefault="00E54E21" w:rsidP="00E54E21">
            <w:pPr>
              <w:pStyle w:val="TableBodyTextright"/>
            </w:pPr>
            <w:r w:rsidRPr="00E54E21">
              <w:t>11.0</w:t>
            </w:r>
          </w:p>
        </w:tc>
        <w:tc>
          <w:tcPr>
            <w:tcW w:w="752" w:type="pct"/>
            <w:vAlign w:val="center"/>
          </w:tcPr>
          <w:p w14:paraId="68876930" w14:textId="161E7821" w:rsidR="00E54E21" w:rsidRPr="00E54E21" w:rsidRDefault="00E54E21" w:rsidP="00E54E21">
            <w:pPr>
              <w:pStyle w:val="TableBodyTextright"/>
            </w:pPr>
            <w:r w:rsidRPr="00CB6115">
              <w:t>▼</w:t>
            </w:r>
            <w:r w:rsidRPr="00E54E21">
              <w:t>0.2</w:t>
            </w:r>
          </w:p>
        </w:tc>
        <w:tc>
          <w:tcPr>
            <w:tcW w:w="752" w:type="pct"/>
            <w:vAlign w:val="center"/>
          </w:tcPr>
          <w:p w14:paraId="2DDB4303" w14:textId="31B9BE67" w:rsidR="00E54E21" w:rsidRPr="00E54E21" w:rsidRDefault="00E54E21" w:rsidP="00E54E21">
            <w:pPr>
              <w:pStyle w:val="TableBodyTextright"/>
            </w:pPr>
            <w:r w:rsidRPr="00B6242A">
              <w:t>▲</w:t>
            </w:r>
            <w:r w:rsidRPr="00E54E21">
              <w:t>1.5</w:t>
            </w:r>
          </w:p>
        </w:tc>
      </w:tr>
      <w:tr w:rsidR="00E54E21" w14:paraId="109FEB02" w14:textId="77777777">
        <w:trPr>
          <w:cnfStyle w:val="000000010000" w:firstRow="0" w:lastRow="0" w:firstColumn="0" w:lastColumn="0" w:oddVBand="0" w:evenVBand="0" w:oddHBand="0" w:evenHBand="1" w:firstRowFirstColumn="0" w:firstRowLastColumn="0" w:lastRowFirstColumn="0" w:lastRowLastColumn="0"/>
        </w:trPr>
        <w:tc>
          <w:tcPr>
            <w:tcW w:w="801" w:type="pct"/>
            <w:vMerge/>
            <w:tcBorders>
              <w:bottom w:val="single" w:sz="4" w:space="0" w:color="D9D9D9" w:themeColor="background1" w:themeShade="D9"/>
            </w:tcBorders>
            <w:shd w:val="clear" w:color="auto" w:fill="FFFFFF" w:themeFill="background1"/>
          </w:tcPr>
          <w:p w14:paraId="424E4849" w14:textId="77777777" w:rsidR="00E54E21" w:rsidRPr="002B66A4" w:rsidRDefault="00E54E21" w:rsidP="00E54E21">
            <w:pPr>
              <w:pStyle w:val="TableBodyText"/>
            </w:pPr>
          </w:p>
        </w:tc>
        <w:tc>
          <w:tcPr>
            <w:tcW w:w="1943" w:type="pct"/>
            <w:tcBorders>
              <w:bottom w:val="single" w:sz="4" w:space="0" w:color="D9D9D9" w:themeColor="background1" w:themeShade="D9"/>
            </w:tcBorders>
          </w:tcPr>
          <w:p w14:paraId="5037F7AE" w14:textId="77777777" w:rsidR="00E54E21" w:rsidRPr="00E54E21" w:rsidRDefault="00E54E21" w:rsidP="00E54E21">
            <w:pPr>
              <w:pStyle w:val="TableBodyText"/>
            </w:pPr>
            <w:r w:rsidRPr="002B66A4">
              <w:t>Suitable applicants per vacancy (no.)</w:t>
            </w:r>
          </w:p>
        </w:tc>
        <w:tc>
          <w:tcPr>
            <w:tcW w:w="752" w:type="pct"/>
            <w:tcBorders>
              <w:bottom w:val="single" w:sz="4" w:space="0" w:color="D9D9D9" w:themeColor="background1" w:themeShade="D9"/>
            </w:tcBorders>
            <w:vAlign w:val="center"/>
          </w:tcPr>
          <w:p w14:paraId="0E259BEA" w14:textId="1BB67B7E" w:rsidR="00E54E21" w:rsidRPr="00E54E21" w:rsidRDefault="00E54E21" w:rsidP="00E54E21">
            <w:pPr>
              <w:pStyle w:val="TableBodyTextright"/>
            </w:pPr>
            <w:r w:rsidRPr="00E54E21">
              <w:t>5.6</w:t>
            </w:r>
          </w:p>
        </w:tc>
        <w:tc>
          <w:tcPr>
            <w:tcW w:w="752" w:type="pct"/>
            <w:tcBorders>
              <w:bottom w:val="single" w:sz="4" w:space="0" w:color="D9D9D9" w:themeColor="background1" w:themeShade="D9"/>
            </w:tcBorders>
            <w:vAlign w:val="center"/>
          </w:tcPr>
          <w:p w14:paraId="53DB2158" w14:textId="30AD9DF1" w:rsidR="00E54E21" w:rsidRPr="00E54E21" w:rsidRDefault="00E54E21" w:rsidP="00E54E21">
            <w:pPr>
              <w:pStyle w:val="TableBodyTextright"/>
            </w:pPr>
            <w:r w:rsidRPr="00B6242A">
              <w:t>▲</w:t>
            </w:r>
            <w:r w:rsidRPr="00E54E21">
              <w:t>0.6</w:t>
            </w:r>
          </w:p>
        </w:tc>
        <w:tc>
          <w:tcPr>
            <w:tcW w:w="752" w:type="pct"/>
            <w:tcBorders>
              <w:bottom w:val="single" w:sz="4" w:space="0" w:color="D9D9D9" w:themeColor="background1" w:themeShade="D9"/>
            </w:tcBorders>
            <w:vAlign w:val="center"/>
          </w:tcPr>
          <w:p w14:paraId="189B15CC" w14:textId="39C5F228" w:rsidR="00E54E21" w:rsidRPr="00E54E21" w:rsidRDefault="00E54E21" w:rsidP="00E54E21">
            <w:pPr>
              <w:pStyle w:val="TableBodyTextright"/>
            </w:pPr>
            <w:r w:rsidRPr="00B6242A">
              <w:t>▲</w:t>
            </w:r>
            <w:r w:rsidRPr="00E54E21">
              <w:t>1.8</w:t>
            </w:r>
          </w:p>
        </w:tc>
      </w:tr>
      <w:tr w:rsidR="00E54E21" w14:paraId="688675BF" w14:textId="77777777" w:rsidTr="00246284">
        <w:tc>
          <w:tcPr>
            <w:tcW w:w="801" w:type="pct"/>
            <w:vMerge w:val="restart"/>
            <w:tcBorders>
              <w:top w:val="single" w:sz="4" w:space="0" w:color="D9D9D9" w:themeColor="background1" w:themeShade="D9"/>
            </w:tcBorders>
            <w:shd w:val="clear" w:color="auto" w:fill="FFFFFF" w:themeFill="background1"/>
          </w:tcPr>
          <w:p w14:paraId="62077288" w14:textId="5C441FC5" w:rsidR="00E54E21" w:rsidRPr="00E54E21" w:rsidRDefault="00E54E21" w:rsidP="00E54E21">
            <w:pPr>
              <w:pStyle w:val="TableBodyText"/>
            </w:pPr>
            <w:r>
              <w:t>S</w:t>
            </w:r>
            <w:r w:rsidRPr="00E54E21">
              <w:t>kill level 3</w:t>
            </w:r>
          </w:p>
        </w:tc>
        <w:tc>
          <w:tcPr>
            <w:tcW w:w="1943" w:type="pct"/>
            <w:tcBorders>
              <w:top w:val="single" w:sz="4" w:space="0" w:color="D9D9D9" w:themeColor="background1" w:themeShade="D9"/>
            </w:tcBorders>
          </w:tcPr>
          <w:p w14:paraId="52C1BE32" w14:textId="77777777" w:rsidR="00E54E21" w:rsidRPr="00E54E21" w:rsidRDefault="00E54E21" w:rsidP="00E54E21">
            <w:pPr>
              <w:pStyle w:val="TableBodyText"/>
            </w:pPr>
            <w:r w:rsidRPr="002B66A4">
              <w:t xml:space="preserve">Vacancy fill rate (%) </w:t>
            </w:r>
          </w:p>
        </w:tc>
        <w:tc>
          <w:tcPr>
            <w:tcW w:w="752" w:type="pct"/>
            <w:tcBorders>
              <w:top w:val="single" w:sz="4" w:space="0" w:color="D9D9D9" w:themeColor="background1" w:themeShade="D9"/>
            </w:tcBorders>
            <w:vAlign w:val="bottom"/>
          </w:tcPr>
          <w:p w14:paraId="6DAA687E" w14:textId="55962D8A" w:rsidR="00E54E21" w:rsidRPr="00E54E21" w:rsidRDefault="00E54E21" w:rsidP="00E54E21">
            <w:pPr>
              <w:pStyle w:val="TableBodyTextright"/>
            </w:pPr>
            <w:r w:rsidRPr="00E54E21">
              <w:t>54.3%</w:t>
            </w:r>
          </w:p>
        </w:tc>
        <w:tc>
          <w:tcPr>
            <w:tcW w:w="752" w:type="pct"/>
            <w:tcBorders>
              <w:top w:val="single" w:sz="4" w:space="0" w:color="D9D9D9" w:themeColor="background1" w:themeShade="D9"/>
            </w:tcBorders>
            <w:vAlign w:val="center"/>
          </w:tcPr>
          <w:p w14:paraId="3D778BEE" w14:textId="18EF753C" w:rsidR="00E54E21" w:rsidRPr="00E54E21" w:rsidRDefault="00E54E21" w:rsidP="00E54E21">
            <w:pPr>
              <w:pStyle w:val="TableBodyTextright"/>
            </w:pPr>
            <w:r w:rsidRPr="00CB6115">
              <w:t>▼</w:t>
            </w:r>
            <w:r w:rsidRPr="00E54E21">
              <w:t>0.9% pts</w:t>
            </w:r>
          </w:p>
        </w:tc>
        <w:tc>
          <w:tcPr>
            <w:tcW w:w="752" w:type="pct"/>
            <w:tcBorders>
              <w:top w:val="single" w:sz="4" w:space="0" w:color="D9D9D9" w:themeColor="background1" w:themeShade="D9"/>
            </w:tcBorders>
            <w:vAlign w:val="center"/>
          </w:tcPr>
          <w:p w14:paraId="2E400181" w14:textId="6796FEED" w:rsidR="00E54E21" w:rsidRPr="00E54E21" w:rsidRDefault="00E54E21" w:rsidP="00E54E21">
            <w:pPr>
              <w:pStyle w:val="TableBodyTextright"/>
            </w:pPr>
            <w:r w:rsidRPr="00B6242A">
              <w:t>▲</w:t>
            </w:r>
            <w:r w:rsidRPr="00E54E21">
              <w:t>0.3% pts</w:t>
            </w:r>
          </w:p>
        </w:tc>
      </w:tr>
      <w:tr w:rsidR="00E54E21" w14:paraId="583CFF91" w14:textId="77777777">
        <w:trPr>
          <w:cnfStyle w:val="000000010000" w:firstRow="0" w:lastRow="0" w:firstColumn="0" w:lastColumn="0" w:oddVBand="0" w:evenVBand="0" w:oddHBand="0" w:evenHBand="1" w:firstRowFirstColumn="0" w:firstRowLastColumn="0" w:lastRowFirstColumn="0" w:lastRowLastColumn="0"/>
        </w:trPr>
        <w:tc>
          <w:tcPr>
            <w:tcW w:w="801" w:type="pct"/>
            <w:vMerge/>
            <w:shd w:val="clear" w:color="auto" w:fill="FFFFFF" w:themeFill="background1"/>
          </w:tcPr>
          <w:p w14:paraId="09600FF5" w14:textId="77777777" w:rsidR="00E54E21" w:rsidRPr="002B66A4" w:rsidRDefault="00E54E21" w:rsidP="00E54E21">
            <w:pPr>
              <w:pStyle w:val="TableBodyText"/>
            </w:pPr>
          </w:p>
        </w:tc>
        <w:tc>
          <w:tcPr>
            <w:tcW w:w="1943" w:type="pct"/>
          </w:tcPr>
          <w:p w14:paraId="4550EF3D" w14:textId="77777777" w:rsidR="00E54E21" w:rsidRPr="00E54E21" w:rsidRDefault="00E54E21" w:rsidP="00E54E21">
            <w:pPr>
              <w:pStyle w:val="TableBodyText"/>
            </w:pPr>
            <w:r w:rsidRPr="002B66A4">
              <w:t>Applicants per vacancy (no.)</w:t>
            </w:r>
          </w:p>
        </w:tc>
        <w:tc>
          <w:tcPr>
            <w:tcW w:w="752" w:type="pct"/>
            <w:vAlign w:val="center"/>
          </w:tcPr>
          <w:p w14:paraId="4CF6CAB4" w14:textId="69EF4C6F" w:rsidR="00E54E21" w:rsidRPr="00E54E21" w:rsidRDefault="00E54E21" w:rsidP="00E54E21">
            <w:pPr>
              <w:pStyle w:val="TableBodyTextright"/>
            </w:pPr>
            <w:r w:rsidRPr="00E54E21">
              <w:t>15.5</w:t>
            </w:r>
          </w:p>
        </w:tc>
        <w:tc>
          <w:tcPr>
            <w:tcW w:w="752" w:type="pct"/>
            <w:vAlign w:val="center"/>
          </w:tcPr>
          <w:p w14:paraId="32CB4989" w14:textId="0D1A411F" w:rsidR="00E54E21" w:rsidRPr="00E54E21" w:rsidRDefault="00E54E21" w:rsidP="00E54E21">
            <w:pPr>
              <w:pStyle w:val="TableBodyTextright"/>
            </w:pPr>
            <w:r w:rsidRPr="00B668D6">
              <w:t>▼</w:t>
            </w:r>
            <w:r w:rsidRPr="00E54E21">
              <w:t>2.1</w:t>
            </w:r>
          </w:p>
        </w:tc>
        <w:tc>
          <w:tcPr>
            <w:tcW w:w="752" w:type="pct"/>
            <w:vAlign w:val="center"/>
          </w:tcPr>
          <w:p w14:paraId="3BD0E70F" w14:textId="4C7FE63C" w:rsidR="00E54E21" w:rsidRPr="00E54E21" w:rsidRDefault="00E54E21" w:rsidP="00E54E21">
            <w:pPr>
              <w:pStyle w:val="TableBodyTextright"/>
            </w:pPr>
            <w:r w:rsidRPr="00CB6115">
              <w:t>▼</w:t>
            </w:r>
            <w:r w:rsidRPr="00E54E21">
              <w:t>1.2</w:t>
            </w:r>
          </w:p>
        </w:tc>
      </w:tr>
      <w:tr w:rsidR="00E54E21" w14:paraId="459B49BE" w14:textId="77777777" w:rsidTr="00246284">
        <w:tc>
          <w:tcPr>
            <w:tcW w:w="801" w:type="pct"/>
            <w:vMerge/>
            <w:shd w:val="clear" w:color="auto" w:fill="FFFFFF" w:themeFill="background1"/>
          </w:tcPr>
          <w:p w14:paraId="372544B4" w14:textId="77777777" w:rsidR="00E54E21" w:rsidRPr="002B66A4" w:rsidRDefault="00E54E21" w:rsidP="00E54E21">
            <w:pPr>
              <w:pStyle w:val="TableBodyText"/>
            </w:pPr>
          </w:p>
        </w:tc>
        <w:tc>
          <w:tcPr>
            <w:tcW w:w="1943" w:type="pct"/>
          </w:tcPr>
          <w:p w14:paraId="2BC97DDD" w14:textId="77777777" w:rsidR="00E54E21" w:rsidRPr="00E54E21" w:rsidRDefault="00E54E21" w:rsidP="00E54E21">
            <w:pPr>
              <w:pStyle w:val="TableBodyText"/>
            </w:pPr>
            <w:r w:rsidRPr="002B66A4">
              <w:t>Qualified applicants per vacancy (no.)</w:t>
            </w:r>
          </w:p>
        </w:tc>
        <w:tc>
          <w:tcPr>
            <w:tcW w:w="752" w:type="pct"/>
            <w:vAlign w:val="bottom"/>
          </w:tcPr>
          <w:p w14:paraId="6BEE6445" w14:textId="786E0D91" w:rsidR="00E54E21" w:rsidRPr="00E54E21" w:rsidRDefault="00E54E21" w:rsidP="00E54E21">
            <w:pPr>
              <w:pStyle w:val="TableBodyTextright"/>
            </w:pPr>
            <w:r w:rsidRPr="00E54E21">
              <w:t>5.3</w:t>
            </w:r>
          </w:p>
        </w:tc>
        <w:tc>
          <w:tcPr>
            <w:tcW w:w="752" w:type="pct"/>
            <w:vAlign w:val="center"/>
          </w:tcPr>
          <w:p w14:paraId="338994DE" w14:textId="2C9DE2EE" w:rsidR="00E54E21" w:rsidRPr="00E54E21" w:rsidRDefault="00E54E21" w:rsidP="00E54E21">
            <w:pPr>
              <w:pStyle w:val="TableBodyTextright"/>
            </w:pPr>
            <w:r w:rsidRPr="00B6242A">
              <w:t>▲</w:t>
            </w:r>
            <w:r w:rsidRPr="00E54E21">
              <w:t>0.</w:t>
            </w:r>
            <w:r w:rsidR="00AE5436">
              <w:t>4</w:t>
            </w:r>
          </w:p>
        </w:tc>
        <w:tc>
          <w:tcPr>
            <w:tcW w:w="752" w:type="pct"/>
            <w:vAlign w:val="center"/>
          </w:tcPr>
          <w:p w14:paraId="4020CE68" w14:textId="3EBC40C5" w:rsidR="00E54E21" w:rsidRPr="00E54E21" w:rsidRDefault="00E54E21" w:rsidP="00E54E21">
            <w:pPr>
              <w:pStyle w:val="TableBodyTextright"/>
            </w:pPr>
            <w:r w:rsidRPr="00B6242A">
              <w:t>▲</w:t>
            </w:r>
            <w:r w:rsidRPr="00E54E21">
              <w:t>1.3</w:t>
            </w:r>
          </w:p>
        </w:tc>
      </w:tr>
      <w:tr w:rsidR="00E54E21" w14:paraId="719E4D44" w14:textId="77777777">
        <w:trPr>
          <w:cnfStyle w:val="000000010000" w:firstRow="0" w:lastRow="0" w:firstColumn="0" w:lastColumn="0" w:oddVBand="0" w:evenVBand="0" w:oddHBand="0" w:evenHBand="1" w:firstRowFirstColumn="0" w:firstRowLastColumn="0" w:lastRowFirstColumn="0" w:lastRowLastColumn="0"/>
        </w:trPr>
        <w:tc>
          <w:tcPr>
            <w:tcW w:w="801" w:type="pct"/>
            <w:vMerge/>
            <w:tcBorders>
              <w:bottom w:val="single" w:sz="4" w:space="0" w:color="D9D9D9" w:themeColor="background1" w:themeShade="D9"/>
            </w:tcBorders>
            <w:shd w:val="clear" w:color="auto" w:fill="FFFFFF" w:themeFill="background1"/>
          </w:tcPr>
          <w:p w14:paraId="7168CF51" w14:textId="77777777" w:rsidR="00E54E21" w:rsidRPr="002B66A4" w:rsidRDefault="00E54E21" w:rsidP="00E54E21">
            <w:pPr>
              <w:pStyle w:val="TableBodyText"/>
            </w:pPr>
          </w:p>
        </w:tc>
        <w:tc>
          <w:tcPr>
            <w:tcW w:w="1943" w:type="pct"/>
            <w:tcBorders>
              <w:bottom w:val="single" w:sz="4" w:space="0" w:color="D9D9D9" w:themeColor="background1" w:themeShade="D9"/>
            </w:tcBorders>
          </w:tcPr>
          <w:p w14:paraId="5CE659B3" w14:textId="77777777" w:rsidR="00E54E21" w:rsidRPr="00E54E21" w:rsidRDefault="00E54E21" w:rsidP="00E54E21">
            <w:pPr>
              <w:pStyle w:val="TableBodyText"/>
            </w:pPr>
            <w:r w:rsidRPr="002B66A4">
              <w:t>Suitable applicants per vacancy (no.)</w:t>
            </w:r>
          </w:p>
        </w:tc>
        <w:tc>
          <w:tcPr>
            <w:tcW w:w="752" w:type="pct"/>
            <w:tcBorders>
              <w:bottom w:val="single" w:sz="4" w:space="0" w:color="D9D9D9" w:themeColor="background1" w:themeShade="D9"/>
            </w:tcBorders>
            <w:vAlign w:val="center"/>
          </w:tcPr>
          <w:p w14:paraId="0C0C0ADC" w14:textId="794BE4DD" w:rsidR="00E54E21" w:rsidRPr="00E54E21" w:rsidRDefault="00E54E21" w:rsidP="00E54E21">
            <w:pPr>
              <w:pStyle w:val="TableBodyTextright"/>
            </w:pPr>
            <w:r w:rsidRPr="00E54E21">
              <w:t>2.7</w:t>
            </w:r>
          </w:p>
        </w:tc>
        <w:tc>
          <w:tcPr>
            <w:tcW w:w="752" w:type="pct"/>
            <w:tcBorders>
              <w:bottom w:val="single" w:sz="4" w:space="0" w:color="D9D9D9" w:themeColor="background1" w:themeShade="D9"/>
            </w:tcBorders>
            <w:vAlign w:val="center"/>
          </w:tcPr>
          <w:p w14:paraId="450963CD" w14:textId="104D6C6B" w:rsidR="00E54E21" w:rsidRPr="00E54E21" w:rsidRDefault="00E54E21" w:rsidP="00E54E21">
            <w:pPr>
              <w:pStyle w:val="TableBodyTextright"/>
            </w:pPr>
            <w:r w:rsidRPr="00B6242A">
              <w:t>▲</w:t>
            </w:r>
            <w:r w:rsidRPr="00E54E21">
              <w:t>0.</w:t>
            </w:r>
            <w:r w:rsidR="00AE5436">
              <w:t>3</w:t>
            </w:r>
          </w:p>
        </w:tc>
        <w:tc>
          <w:tcPr>
            <w:tcW w:w="752" w:type="pct"/>
            <w:tcBorders>
              <w:bottom w:val="single" w:sz="4" w:space="0" w:color="D9D9D9" w:themeColor="background1" w:themeShade="D9"/>
            </w:tcBorders>
            <w:vAlign w:val="center"/>
          </w:tcPr>
          <w:p w14:paraId="14468D10" w14:textId="62D13452" w:rsidR="00E54E21" w:rsidRPr="00E54E21" w:rsidRDefault="00E54E21" w:rsidP="00E54E21">
            <w:pPr>
              <w:pStyle w:val="TableBodyTextright"/>
            </w:pPr>
            <w:r w:rsidRPr="00B6242A">
              <w:t>▲</w:t>
            </w:r>
            <w:r w:rsidRPr="00E54E21">
              <w:t>0.6</w:t>
            </w:r>
          </w:p>
        </w:tc>
      </w:tr>
      <w:tr w:rsidR="00E54E21" w14:paraId="6FC9BE7D" w14:textId="77777777" w:rsidTr="00246284">
        <w:tc>
          <w:tcPr>
            <w:tcW w:w="801" w:type="pct"/>
            <w:vMerge w:val="restart"/>
            <w:tcBorders>
              <w:top w:val="single" w:sz="4" w:space="0" w:color="D9D9D9" w:themeColor="background1" w:themeShade="D9"/>
            </w:tcBorders>
            <w:shd w:val="clear" w:color="auto" w:fill="FFFFFF" w:themeFill="background1"/>
          </w:tcPr>
          <w:p w14:paraId="61071B38" w14:textId="7998749F" w:rsidR="00E54E21" w:rsidRPr="00E54E21" w:rsidRDefault="00E54E21" w:rsidP="00E54E21">
            <w:pPr>
              <w:pStyle w:val="TableBodyText"/>
            </w:pPr>
            <w:r>
              <w:t>S</w:t>
            </w:r>
            <w:r w:rsidRPr="00E54E21">
              <w:t>kill level 4</w:t>
            </w:r>
          </w:p>
        </w:tc>
        <w:tc>
          <w:tcPr>
            <w:tcW w:w="1943" w:type="pct"/>
            <w:tcBorders>
              <w:top w:val="single" w:sz="4" w:space="0" w:color="D9D9D9" w:themeColor="background1" w:themeShade="D9"/>
            </w:tcBorders>
          </w:tcPr>
          <w:p w14:paraId="68AC1460" w14:textId="77777777" w:rsidR="00E54E21" w:rsidRPr="00E54E21" w:rsidRDefault="00E54E21" w:rsidP="00E54E21">
            <w:pPr>
              <w:pStyle w:val="TableBodyText"/>
            </w:pPr>
            <w:r w:rsidRPr="002B66A4">
              <w:t xml:space="preserve">Vacancy fill rate (%) </w:t>
            </w:r>
          </w:p>
        </w:tc>
        <w:tc>
          <w:tcPr>
            <w:tcW w:w="752" w:type="pct"/>
            <w:tcBorders>
              <w:top w:val="single" w:sz="4" w:space="0" w:color="D9D9D9" w:themeColor="background1" w:themeShade="D9"/>
            </w:tcBorders>
            <w:vAlign w:val="bottom"/>
          </w:tcPr>
          <w:p w14:paraId="2C968955" w14:textId="4186AA46" w:rsidR="00E54E21" w:rsidRPr="00E54E21" w:rsidRDefault="00E54E21" w:rsidP="00E54E21">
            <w:pPr>
              <w:pStyle w:val="TableBodyTextright"/>
            </w:pPr>
            <w:r w:rsidRPr="00E54E21">
              <w:t>72.1%</w:t>
            </w:r>
          </w:p>
        </w:tc>
        <w:tc>
          <w:tcPr>
            <w:tcW w:w="752" w:type="pct"/>
            <w:tcBorders>
              <w:top w:val="single" w:sz="4" w:space="0" w:color="D9D9D9" w:themeColor="background1" w:themeShade="D9"/>
            </w:tcBorders>
            <w:vAlign w:val="center"/>
          </w:tcPr>
          <w:p w14:paraId="261F4F48" w14:textId="17B3AF62" w:rsidR="00E54E21" w:rsidRPr="00E54E21" w:rsidRDefault="00E54E21" w:rsidP="00E54E21">
            <w:pPr>
              <w:pStyle w:val="TableBodyTextright"/>
            </w:pPr>
            <w:r w:rsidRPr="00CB6115">
              <w:t>▼</w:t>
            </w:r>
            <w:r w:rsidRPr="00E54E21">
              <w:t>1.2% pts</w:t>
            </w:r>
          </w:p>
        </w:tc>
        <w:tc>
          <w:tcPr>
            <w:tcW w:w="752" w:type="pct"/>
            <w:tcBorders>
              <w:top w:val="single" w:sz="4" w:space="0" w:color="D9D9D9" w:themeColor="background1" w:themeShade="D9"/>
            </w:tcBorders>
            <w:vAlign w:val="center"/>
          </w:tcPr>
          <w:p w14:paraId="1A3148FC" w14:textId="270FCFDD" w:rsidR="00E54E21" w:rsidRPr="00E54E21" w:rsidRDefault="00E54E21" w:rsidP="00E54E21">
            <w:pPr>
              <w:pStyle w:val="TableBodyTextright"/>
            </w:pPr>
            <w:r w:rsidRPr="00CB6115">
              <w:t>▼</w:t>
            </w:r>
            <w:r w:rsidRPr="00E54E21">
              <w:t>2.6% pts</w:t>
            </w:r>
          </w:p>
        </w:tc>
      </w:tr>
      <w:tr w:rsidR="00E54E21" w14:paraId="49235F71" w14:textId="77777777">
        <w:trPr>
          <w:cnfStyle w:val="000000010000" w:firstRow="0" w:lastRow="0" w:firstColumn="0" w:lastColumn="0" w:oddVBand="0" w:evenVBand="0" w:oddHBand="0" w:evenHBand="1" w:firstRowFirstColumn="0" w:firstRowLastColumn="0" w:lastRowFirstColumn="0" w:lastRowLastColumn="0"/>
        </w:trPr>
        <w:tc>
          <w:tcPr>
            <w:tcW w:w="801" w:type="pct"/>
            <w:vMerge/>
            <w:shd w:val="clear" w:color="auto" w:fill="FFFFFF" w:themeFill="background1"/>
          </w:tcPr>
          <w:p w14:paraId="299DC489" w14:textId="77777777" w:rsidR="00E54E21" w:rsidRPr="002B66A4" w:rsidRDefault="00E54E21" w:rsidP="00E54E21">
            <w:pPr>
              <w:pStyle w:val="TableBodyText"/>
            </w:pPr>
          </w:p>
        </w:tc>
        <w:tc>
          <w:tcPr>
            <w:tcW w:w="1943" w:type="pct"/>
          </w:tcPr>
          <w:p w14:paraId="248990D1" w14:textId="77777777" w:rsidR="00E54E21" w:rsidRPr="00E54E21" w:rsidRDefault="00E54E21" w:rsidP="00E54E21">
            <w:pPr>
              <w:pStyle w:val="TableBodyText"/>
            </w:pPr>
            <w:r w:rsidRPr="002B66A4">
              <w:t>Applicants per vacancy (no.)</w:t>
            </w:r>
          </w:p>
        </w:tc>
        <w:tc>
          <w:tcPr>
            <w:tcW w:w="752" w:type="pct"/>
            <w:vAlign w:val="center"/>
          </w:tcPr>
          <w:p w14:paraId="4C855B9F" w14:textId="5CA28968" w:rsidR="00E54E21" w:rsidRPr="00E54E21" w:rsidRDefault="00E54E21" w:rsidP="00E54E21">
            <w:pPr>
              <w:pStyle w:val="TableBodyTextright"/>
            </w:pPr>
            <w:r w:rsidRPr="00E54E21">
              <w:t>26.2</w:t>
            </w:r>
          </w:p>
        </w:tc>
        <w:tc>
          <w:tcPr>
            <w:tcW w:w="752" w:type="pct"/>
            <w:vAlign w:val="center"/>
          </w:tcPr>
          <w:p w14:paraId="3318B75B" w14:textId="3B802274" w:rsidR="00E54E21" w:rsidRPr="00E54E21" w:rsidRDefault="00E54E21" w:rsidP="00E54E21">
            <w:pPr>
              <w:pStyle w:val="TableBodyTextright"/>
            </w:pPr>
            <w:r w:rsidRPr="00CB6115">
              <w:t>▼</w:t>
            </w:r>
            <w:r w:rsidRPr="00E54E21">
              <w:t>3.7</w:t>
            </w:r>
          </w:p>
        </w:tc>
        <w:tc>
          <w:tcPr>
            <w:tcW w:w="752" w:type="pct"/>
            <w:vAlign w:val="center"/>
          </w:tcPr>
          <w:p w14:paraId="563EFAAB" w14:textId="0931214B" w:rsidR="00E54E21" w:rsidRPr="00E54E21" w:rsidRDefault="00E54E21" w:rsidP="00E54E21">
            <w:pPr>
              <w:pStyle w:val="TableBodyTextright"/>
            </w:pPr>
            <w:r w:rsidRPr="00CB6115">
              <w:t>▼</w:t>
            </w:r>
            <w:r w:rsidRPr="00E54E21">
              <w:t>6.6</w:t>
            </w:r>
          </w:p>
        </w:tc>
      </w:tr>
      <w:tr w:rsidR="00E54E21" w14:paraId="012ACBA3" w14:textId="77777777" w:rsidTr="00246284">
        <w:tc>
          <w:tcPr>
            <w:tcW w:w="801" w:type="pct"/>
            <w:vMerge/>
            <w:shd w:val="clear" w:color="auto" w:fill="FFFFFF" w:themeFill="background1"/>
          </w:tcPr>
          <w:p w14:paraId="6D114C69" w14:textId="77777777" w:rsidR="00E54E21" w:rsidRPr="002B66A4" w:rsidRDefault="00E54E21" w:rsidP="00E54E21">
            <w:pPr>
              <w:pStyle w:val="TableBodyText"/>
            </w:pPr>
          </w:p>
        </w:tc>
        <w:tc>
          <w:tcPr>
            <w:tcW w:w="1943" w:type="pct"/>
          </w:tcPr>
          <w:p w14:paraId="4BAD5A98" w14:textId="77777777" w:rsidR="00E54E21" w:rsidRPr="00E54E21" w:rsidRDefault="00E54E21" w:rsidP="00E54E21">
            <w:pPr>
              <w:pStyle w:val="TableBodyText"/>
            </w:pPr>
            <w:r w:rsidRPr="002B66A4">
              <w:t>Qualified applicants per vacancy (no.)</w:t>
            </w:r>
          </w:p>
        </w:tc>
        <w:tc>
          <w:tcPr>
            <w:tcW w:w="752" w:type="pct"/>
            <w:vAlign w:val="bottom"/>
          </w:tcPr>
          <w:p w14:paraId="54795C33" w14:textId="4C38F17B" w:rsidR="00E54E21" w:rsidRPr="00E54E21" w:rsidRDefault="00E54E21" w:rsidP="00E54E21">
            <w:pPr>
              <w:pStyle w:val="TableBodyTextright"/>
            </w:pPr>
            <w:r w:rsidRPr="00E54E21">
              <w:t>7.7</w:t>
            </w:r>
          </w:p>
        </w:tc>
        <w:tc>
          <w:tcPr>
            <w:tcW w:w="752" w:type="pct"/>
            <w:vAlign w:val="center"/>
          </w:tcPr>
          <w:p w14:paraId="4ED2E858" w14:textId="04637DFF" w:rsidR="00E54E21" w:rsidRPr="00E54E21" w:rsidRDefault="00E54E21" w:rsidP="00E54E21">
            <w:pPr>
              <w:pStyle w:val="TableBodyTextright"/>
            </w:pPr>
            <w:r w:rsidRPr="00B6242A">
              <w:t>▲</w:t>
            </w:r>
            <w:r w:rsidRPr="00E54E21">
              <w:t>0.5</w:t>
            </w:r>
          </w:p>
        </w:tc>
        <w:tc>
          <w:tcPr>
            <w:tcW w:w="752" w:type="pct"/>
            <w:vAlign w:val="center"/>
          </w:tcPr>
          <w:p w14:paraId="0C284D51" w14:textId="48B68907" w:rsidR="00E54E21" w:rsidRPr="00E54E21" w:rsidRDefault="00E54E21" w:rsidP="00E54E21">
            <w:pPr>
              <w:pStyle w:val="TableBodyTextright"/>
            </w:pPr>
            <w:r w:rsidRPr="00CB6115">
              <w:t>▼</w:t>
            </w:r>
            <w:r w:rsidRPr="00E54E21">
              <w:t>0.3</w:t>
            </w:r>
          </w:p>
        </w:tc>
      </w:tr>
      <w:tr w:rsidR="00E54E21" w14:paraId="39ED2C2D" w14:textId="77777777">
        <w:trPr>
          <w:cnfStyle w:val="000000010000" w:firstRow="0" w:lastRow="0" w:firstColumn="0" w:lastColumn="0" w:oddVBand="0" w:evenVBand="0" w:oddHBand="0" w:evenHBand="1" w:firstRowFirstColumn="0" w:firstRowLastColumn="0" w:lastRowFirstColumn="0" w:lastRowLastColumn="0"/>
        </w:trPr>
        <w:tc>
          <w:tcPr>
            <w:tcW w:w="801" w:type="pct"/>
            <w:vMerge/>
            <w:tcBorders>
              <w:bottom w:val="single" w:sz="4" w:space="0" w:color="D9D9D9" w:themeColor="background1" w:themeShade="D9"/>
            </w:tcBorders>
            <w:shd w:val="clear" w:color="auto" w:fill="FFFFFF" w:themeFill="background1"/>
          </w:tcPr>
          <w:p w14:paraId="61D2C9F6" w14:textId="77777777" w:rsidR="00E54E21" w:rsidRPr="002B66A4" w:rsidRDefault="00E54E21" w:rsidP="00E54E21">
            <w:pPr>
              <w:pStyle w:val="TableBodyText"/>
            </w:pPr>
          </w:p>
        </w:tc>
        <w:tc>
          <w:tcPr>
            <w:tcW w:w="1943" w:type="pct"/>
            <w:tcBorders>
              <w:bottom w:val="single" w:sz="4" w:space="0" w:color="D9D9D9" w:themeColor="background1" w:themeShade="D9"/>
            </w:tcBorders>
          </w:tcPr>
          <w:p w14:paraId="6E9AC07A" w14:textId="77777777" w:rsidR="00E54E21" w:rsidRPr="00E54E21" w:rsidRDefault="00E54E21" w:rsidP="00E54E21">
            <w:pPr>
              <w:pStyle w:val="TableBodyText"/>
            </w:pPr>
            <w:r w:rsidRPr="002B66A4">
              <w:t>Suitable applicants per vacancy (no.)</w:t>
            </w:r>
          </w:p>
        </w:tc>
        <w:tc>
          <w:tcPr>
            <w:tcW w:w="752" w:type="pct"/>
            <w:tcBorders>
              <w:bottom w:val="single" w:sz="4" w:space="0" w:color="D9D9D9" w:themeColor="background1" w:themeShade="D9"/>
            </w:tcBorders>
            <w:vAlign w:val="center"/>
          </w:tcPr>
          <w:p w14:paraId="41D6F305" w14:textId="0A7A57CA" w:rsidR="00E54E21" w:rsidRPr="00E54E21" w:rsidRDefault="00E54E21" w:rsidP="00E54E21">
            <w:pPr>
              <w:pStyle w:val="TableBodyTextright"/>
            </w:pPr>
            <w:r w:rsidRPr="00E54E21">
              <w:t>5.5</w:t>
            </w:r>
          </w:p>
        </w:tc>
        <w:tc>
          <w:tcPr>
            <w:tcW w:w="752" w:type="pct"/>
            <w:tcBorders>
              <w:bottom w:val="single" w:sz="4" w:space="0" w:color="D9D9D9" w:themeColor="background1" w:themeShade="D9"/>
            </w:tcBorders>
            <w:vAlign w:val="center"/>
          </w:tcPr>
          <w:p w14:paraId="6E35D377" w14:textId="1B5C97A6" w:rsidR="00E54E21" w:rsidRPr="00E54E21" w:rsidRDefault="00E54E21" w:rsidP="00E54E21">
            <w:pPr>
              <w:pStyle w:val="TableBodyTextright"/>
            </w:pPr>
            <w:r w:rsidRPr="00B6242A">
              <w:t>▲</w:t>
            </w:r>
            <w:r w:rsidRPr="00E54E21">
              <w:t>0.4</w:t>
            </w:r>
          </w:p>
        </w:tc>
        <w:tc>
          <w:tcPr>
            <w:tcW w:w="752" w:type="pct"/>
            <w:tcBorders>
              <w:bottom w:val="single" w:sz="4" w:space="0" w:color="D9D9D9" w:themeColor="background1" w:themeShade="D9"/>
            </w:tcBorders>
            <w:vAlign w:val="center"/>
          </w:tcPr>
          <w:p w14:paraId="21FE7577" w14:textId="12B4E130" w:rsidR="00E54E21" w:rsidRPr="00E54E21" w:rsidRDefault="00E54E21" w:rsidP="00E54E21">
            <w:pPr>
              <w:pStyle w:val="TableBodyTextright"/>
            </w:pPr>
            <w:r w:rsidRPr="00B6242A">
              <w:t>▲</w:t>
            </w:r>
            <w:r w:rsidRPr="00E54E21">
              <w:t>1.4</w:t>
            </w:r>
          </w:p>
        </w:tc>
      </w:tr>
    </w:tbl>
    <w:p w14:paraId="455BCD82" w14:textId="1F6D026F" w:rsidR="009A4F60" w:rsidRPr="00631A5B" w:rsidRDefault="009A4F60" w:rsidP="009A4F60">
      <w:pPr>
        <w:pStyle w:val="Source"/>
      </w:pPr>
      <w:r w:rsidRPr="00631A5B">
        <w:t>Source: Jobs and Skills Australia, SERA.</w:t>
      </w:r>
    </w:p>
    <w:p w14:paraId="3D68CEB2" w14:textId="4E90AD6C" w:rsidR="00D500C2" w:rsidRPr="00646F60" w:rsidRDefault="00D500C2" w:rsidP="00D500C2">
      <w:pPr>
        <w:pStyle w:val="Caption"/>
      </w:pPr>
    </w:p>
    <w:p w14:paraId="1A2575A1" w14:textId="77777777" w:rsidR="00646F60" w:rsidRPr="00646F60" w:rsidRDefault="00646F60" w:rsidP="00646F60">
      <w:r w:rsidRPr="00646F60">
        <w:br w:type="page"/>
      </w:r>
    </w:p>
    <w:p w14:paraId="2A1E5B09" w14:textId="77777777" w:rsidR="00646F60" w:rsidRPr="00646F60" w:rsidRDefault="00646F60" w:rsidP="00646F60">
      <w:pPr>
        <w:pStyle w:val="Heading1"/>
      </w:pPr>
      <w:bookmarkStart w:id="20" w:name="_Toc207977955"/>
      <w:bookmarkStart w:id="21" w:name="_Toc214019400"/>
      <w:r w:rsidRPr="00646F60">
        <w:lastRenderedPageBreak/>
        <w:t>Results by major group</w:t>
      </w:r>
      <w:bookmarkEnd w:id="20"/>
      <w:bookmarkEnd w:id="21"/>
    </w:p>
    <w:p w14:paraId="69972EED" w14:textId="15C439F1" w:rsidR="00646F60" w:rsidRPr="00646F60" w:rsidRDefault="00646F60" w:rsidP="00646F60">
      <w:pPr>
        <w:pStyle w:val="Caption"/>
        <w:rPr>
          <w:rStyle w:val="Charactersuperscript"/>
        </w:rPr>
      </w:pPr>
      <w:bookmarkStart w:id="22" w:name="_Ref181719091"/>
      <w:r w:rsidRPr="00646F60">
        <w:t xml:space="preserve">Table </w:t>
      </w:r>
      <w:bookmarkEnd w:id="22"/>
      <w:r w:rsidR="00355319">
        <w:t>5</w:t>
      </w:r>
      <w:r w:rsidRPr="00646F60">
        <w:t>: ANZSCO major group snapshot</w:t>
      </w:r>
      <w:r w:rsidRPr="00646F60">
        <w:rPr>
          <w:rStyle w:val="Charactersuperscript"/>
        </w:rPr>
        <w:footnoteReference w:id="4"/>
      </w:r>
    </w:p>
    <w:tbl>
      <w:tblPr>
        <w:tblStyle w:val="CustomTablebasic"/>
        <w:tblW w:w="5091" w:type="pct"/>
        <w:tblLook w:val="04A0" w:firstRow="1" w:lastRow="0" w:firstColumn="1" w:lastColumn="0" w:noHBand="0" w:noVBand="1"/>
      </w:tblPr>
      <w:tblGrid>
        <w:gridCol w:w="1473"/>
        <w:gridCol w:w="3572"/>
        <w:gridCol w:w="1382"/>
        <w:gridCol w:w="1382"/>
        <w:gridCol w:w="1382"/>
      </w:tblGrid>
      <w:tr w:rsidR="00646F60" w14:paraId="788D8DBC" w14:textId="77777777">
        <w:trPr>
          <w:cnfStyle w:val="100000000000" w:firstRow="1" w:lastRow="0" w:firstColumn="0" w:lastColumn="0" w:oddVBand="0" w:evenVBand="0" w:oddHBand="0" w:evenHBand="0" w:firstRowFirstColumn="0" w:firstRowLastColumn="0" w:lastRowFirstColumn="0" w:lastRowLastColumn="0"/>
        </w:trPr>
        <w:tc>
          <w:tcPr>
            <w:tcW w:w="801" w:type="pct"/>
          </w:tcPr>
          <w:p w14:paraId="67F01EF3" w14:textId="77777777" w:rsidR="00646F60" w:rsidRPr="00646F60" w:rsidRDefault="00646F60" w:rsidP="00646F60">
            <w:pPr>
              <w:pStyle w:val="TableHeading1"/>
            </w:pPr>
            <w:r w:rsidRPr="00646F60">
              <w:t xml:space="preserve">Major group  </w:t>
            </w:r>
          </w:p>
        </w:tc>
        <w:tc>
          <w:tcPr>
            <w:tcW w:w="1943" w:type="pct"/>
          </w:tcPr>
          <w:p w14:paraId="01E03CDA" w14:textId="77777777" w:rsidR="00646F60" w:rsidRPr="00646F60" w:rsidRDefault="00646F60" w:rsidP="00646F60">
            <w:pPr>
              <w:pStyle w:val="TableHeading1"/>
            </w:pPr>
            <w:r w:rsidRPr="00646F60">
              <w:t xml:space="preserve"> </w:t>
            </w:r>
          </w:p>
        </w:tc>
        <w:tc>
          <w:tcPr>
            <w:tcW w:w="752" w:type="pct"/>
          </w:tcPr>
          <w:p w14:paraId="128B323E" w14:textId="7BE0FC20" w:rsidR="00646F60" w:rsidRPr="00646F60" w:rsidRDefault="008A0687" w:rsidP="00646F60">
            <w:pPr>
              <w:pStyle w:val="TableHeading1"/>
            </w:pPr>
            <w:r>
              <w:t>September</w:t>
            </w:r>
            <w:r w:rsidR="00646F60" w:rsidRPr="00646F60">
              <w:t xml:space="preserve"> quarter 2025</w:t>
            </w:r>
          </w:p>
        </w:tc>
        <w:tc>
          <w:tcPr>
            <w:tcW w:w="752" w:type="pct"/>
          </w:tcPr>
          <w:p w14:paraId="01132D1A" w14:textId="77777777" w:rsidR="00646F60" w:rsidRPr="00646F60" w:rsidRDefault="00646F60" w:rsidP="00646F60">
            <w:pPr>
              <w:pStyle w:val="TableHeading1"/>
            </w:pPr>
            <w:r w:rsidRPr="00646F60">
              <w:t xml:space="preserve">Change over the quarter </w:t>
            </w:r>
          </w:p>
        </w:tc>
        <w:tc>
          <w:tcPr>
            <w:tcW w:w="752" w:type="pct"/>
          </w:tcPr>
          <w:p w14:paraId="57B5E7E1" w14:textId="77777777" w:rsidR="00646F60" w:rsidRPr="00646F60" w:rsidRDefault="00646F60" w:rsidP="00646F60">
            <w:pPr>
              <w:pStyle w:val="TableHeading1"/>
            </w:pPr>
            <w:r w:rsidRPr="00646F60">
              <w:t xml:space="preserve">Change over 12 months </w:t>
            </w:r>
          </w:p>
        </w:tc>
      </w:tr>
      <w:tr w:rsidR="002B66A4" w14:paraId="4AFB2689" w14:textId="77777777">
        <w:tc>
          <w:tcPr>
            <w:tcW w:w="801" w:type="pct"/>
            <w:vMerge w:val="restart"/>
            <w:tcBorders>
              <w:bottom w:val="single" w:sz="4" w:space="0" w:color="auto"/>
            </w:tcBorders>
            <w:shd w:val="clear" w:color="auto" w:fill="FFFFFF" w:themeFill="background1"/>
          </w:tcPr>
          <w:p w14:paraId="69835949" w14:textId="77777777" w:rsidR="002B66A4" w:rsidRPr="002B66A4" w:rsidRDefault="002B66A4" w:rsidP="002B66A4">
            <w:pPr>
              <w:pStyle w:val="TableBodyText"/>
            </w:pPr>
            <w:r w:rsidRPr="002B66A4">
              <w:t xml:space="preserve">Managers </w:t>
            </w:r>
          </w:p>
        </w:tc>
        <w:tc>
          <w:tcPr>
            <w:tcW w:w="1943" w:type="pct"/>
          </w:tcPr>
          <w:p w14:paraId="6F052640" w14:textId="77777777" w:rsidR="002B66A4" w:rsidRPr="002B66A4" w:rsidRDefault="002B66A4" w:rsidP="002B66A4">
            <w:pPr>
              <w:pStyle w:val="TableBodyText"/>
            </w:pPr>
            <w:r w:rsidRPr="002B66A4">
              <w:t xml:space="preserve">Vacancy fill rate (%) </w:t>
            </w:r>
          </w:p>
        </w:tc>
        <w:tc>
          <w:tcPr>
            <w:tcW w:w="752" w:type="pct"/>
            <w:vAlign w:val="center"/>
          </w:tcPr>
          <w:p w14:paraId="33995232" w14:textId="12267869" w:rsidR="002B66A4" w:rsidRPr="002B66A4" w:rsidRDefault="002B66A4" w:rsidP="002B66A4">
            <w:pPr>
              <w:pStyle w:val="TableBodyTextright"/>
            </w:pPr>
            <w:r w:rsidRPr="002B66A4">
              <w:t>77.6%</w:t>
            </w:r>
          </w:p>
        </w:tc>
        <w:tc>
          <w:tcPr>
            <w:tcW w:w="752" w:type="pct"/>
            <w:vAlign w:val="center"/>
          </w:tcPr>
          <w:p w14:paraId="1BF32634" w14:textId="351319D2" w:rsidR="002B66A4" w:rsidRPr="002B66A4" w:rsidRDefault="00876FD9" w:rsidP="002B66A4">
            <w:pPr>
              <w:pStyle w:val="TableBodyTextright"/>
            </w:pPr>
            <w:r w:rsidRPr="00876FD9">
              <w:t>▼</w:t>
            </w:r>
            <w:r w:rsidR="002B66A4" w:rsidRPr="002B66A4">
              <w:t>0.5% pts</w:t>
            </w:r>
          </w:p>
        </w:tc>
        <w:tc>
          <w:tcPr>
            <w:tcW w:w="752" w:type="pct"/>
            <w:vAlign w:val="center"/>
          </w:tcPr>
          <w:p w14:paraId="5A0D4ACB" w14:textId="38D25C1D" w:rsidR="002B66A4" w:rsidRPr="002B66A4" w:rsidRDefault="00876FD9" w:rsidP="002B66A4">
            <w:pPr>
              <w:pStyle w:val="TableBodyTextright"/>
            </w:pPr>
            <w:r w:rsidRPr="00876FD9">
              <w:t>▼</w:t>
            </w:r>
            <w:r w:rsidR="002B66A4" w:rsidRPr="002B66A4">
              <w:t>5.0% pts</w:t>
            </w:r>
          </w:p>
        </w:tc>
      </w:tr>
      <w:tr w:rsidR="002B66A4" w14:paraId="6C52239A" w14:textId="77777777">
        <w:trPr>
          <w:cnfStyle w:val="000000010000" w:firstRow="0" w:lastRow="0" w:firstColumn="0" w:lastColumn="0" w:oddVBand="0" w:evenVBand="0" w:oddHBand="0" w:evenHBand="1" w:firstRowFirstColumn="0" w:firstRowLastColumn="0" w:lastRowFirstColumn="0" w:lastRowLastColumn="0"/>
        </w:trPr>
        <w:tc>
          <w:tcPr>
            <w:tcW w:w="801" w:type="pct"/>
            <w:vMerge/>
            <w:tcBorders>
              <w:bottom w:val="single" w:sz="4" w:space="0" w:color="auto"/>
            </w:tcBorders>
            <w:shd w:val="clear" w:color="auto" w:fill="FFFFFF" w:themeFill="background1"/>
          </w:tcPr>
          <w:p w14:paraId="200238FA" w14:textId="77777777" w:rsidR="002B66A4" w:rsidRPr="002B66A4" w:rsidRDefault="002B66A4" w:rsidP="002B66A4">
            <w:pPr>
              <w:pStyle w:val="TableBodyText"/>
            </w:pPr>
          </w:p>
        </w:tc>
        <w:tc>
          <w:tcPr>
            <w:tcW w:w="1943" w:type="pct"/>
          </w:tcPr>
          <w:p w14:paraId="1050952E" w14:textId="77777777" w:rsidR="002B66A4" w:rsidRPr="002B66A4" w:rsidRDefault="002B66A4" w:rsidP="002B66A4">
            <w:pPr>
              <w:pStyle w:val="TableBodyText"/>
            </w:pPr>
            <w:r w:rsidRPr="002B66A4">
              <w:t xml:space="preserve">Applicants per vacancy (no.) </w:t>
            </w:r>
          </w:p>
        </w:tc>
        <w:tc>
          <w:tcPr>
            <w:tcW w:w="752" w:type="pct"/>
            <w:vAlign w:val="center"/>
          </w:tcPr>
          <w:p w14:paraId="7E77CEB0" w14:textId="6E9798B3" w:rsidR="002B66A4" w:rsidRPr="002B66A4" w:rsidRDefault="002B66A4" w:rsidP="002B66A4">
            <w:pPr>
              <w:pStyle w:val="TableBodyTextright"/>
            </w:pPr>
            <w:r w:rsidRPr="002B66A4">
              <w:t>34.2</w:t>
            </w:r>
          </w:p>
        </w:tc>
        <w:tc>
          <w:tcPr>
            <w:tcW w:w="752" w:type="pct"/>
            <w:vAlign w:val="center"/>
          </w:tcPr>
          <w:p w14:paraId="554132FE" w14:textId="7924A1AB" w:rsidR="002B66A4" w:rsidRPr="002B66A4" w:rsidRDefault="00A8432C" w:rsidP="002B66A4">
            <w:pPr>
              <w:pStyle w:val="TableBodyTextright"/>
            </w:pPr>
            <w:r>
              <w:t>▼</w:t>
            </w:r>
            <w:r w:rsidR="002B66A4" w:rsidRPr="002B66A4">
              <w:t>2.0</w:t>
            </w:r>
          </w:p>
        </w:tc>
        <w:tc>
          <w:tcPr>
            <w:tcW w:w="752" w:type="pct"/>
            <w:vAlign w:val="center"/>
          </w:tcPr>
          <w:p w14:paraId="414E1A42" w14:textId="0D5B14DC" w:rsidR="002B66A4" w:rsidRPr="002B66A4" w:rsidRDefault="00A8432C" w:rsidP="002B66A4">
            <w:pPr>
              <w:pStyle w:val="TableBodyTextright"/>
            </w:pPr>
            <w:r>
              <w:t>▼</w:t>
            </w:r>
            <w:r w:rsidR="002B66A4" w:rsidRPr="002B66A4">
              <w:t>2.8</w:t>
            </w:r>
          </w:p>
        </w:tc>
      </w:tr>
      <w:tr w:rsidR="002B66A4" w14:paraId="12B301DA" w14:textId="77777777">
        <w:tc>
          <w:tcPr>
            <w:tcW w:w="801" w:type="pct"/>
            <w:vMerge/>
            <w:tcBorders>
              <w:bottom w:val="single" w:sz="4" w:space="0" w:color="auto"/>
            </w:tcBorders>
            <w:shd w:val="clear" w:color="auto" w:fill="FFFFFF" w:themeFill="background1"/>
          </w:tcPr>
          <w:p w14:paraId="262CABAE" w14:textId="77777777" w:rsidR="002B66A4" w:rsidRPr="002B66A4" w:rsidRDefault="002B66A4" w:rsidP="002B66A4">
            <w:pPr>
              <w:pStyle w:val="TableBodyText"/>
            </w:pPr>
          </w:p>
        </w:tc>
        <w:tc>
          <w:tcPr>
            <w:tcW w:w="1943" w:type="pct"/>
          </w:tcPr>
          <w:p w14:paraId="1AC2F8DF" w14:textId="77777777" w:rsidR="002B66A4" w:rsidRPr="002B66A4" w:rsidRDefault="002B66A4" w:rsidP="002B66A4">
            <w:pPr>
              <w:pStyle w:val="TableBodyText"/>
            </w:pPr>
            <w:r w:rsidRPr="002B66A4">
              <w:t>Qualified applicants per vacancy (no.)</w:t>
            </w:r>
          </w:p>
        </w:tc>
        <w:tc>
          <w:tcPr>
            <w:tcW w:w="752" w:type="pct"/>
            <w:vAlign w:val="center"/>
          </w:tcPr>
          <w:p w14:paraId="44D24180" w14:textId="3A268CA0" w:rsidR="002B66A4" w:rsidRPr="002B66A4" w:rsidRDefault="002B66A4" w:rsidP="002B66A4">
            <w:pPr>
              <w:pStyle w:val="TableBodyTextright"/>
            </w:pPr>
            <w:r w:rsidRPr="002B66A4">
              <w:t>13.7</w:t>
            </w:r>
          </w:p>
        </w:tc>
        <w:tc>
          <w:tcPr>
            <w:tcW w:w="752" w:type="pct"/>
            <w:vAlign w:val="center"/>
          </w:tcPr>
          <w:p w14:paraId="5127B812" w14:textId="7A3BF996" w:rsidR="002B66A4" w:rsidRPr="002B66A4" w:rsidRDefault="00EA6232" w:rsidP="002B66A4">
            <w:pPr>
              <w:pStyle w:val="TableBodyTextright"/>
            </w:pPr>
            <w:r>
              <w:t>▲</w:t>
            </w:r>
            <w:r w:rsidR="002B66A4" w:rsidRPr="002B66A4">
              <w:t>0.3</w:t>
            </w:r>
          </w:p>
        </w:tc>
        <w:tc>
          <w:tcPr>
            <w:tcW w:w="752" w:type="pct"/>
            <w:vAlign w:val="center"/>
          </w:tcPr>
          <w:p w14:paraId="7BCD6BF1" w14:textId="69E2DC23" w:rsidR="002B66A4" w:rsidRPr="002B66A4" w:rsidRDefault="00EA6232" w:rsidP="002B66A4">
            <w:pPr>
              <w:pStyle w:val="TableBodyTextright"/>
            </w:pPr>
            <w:r>
              <w:t>▲</w:t>
            </w:r>
            <w:r w:rsidR="002B66A4" w:rsidRPr="002B66A4">
              <w:t>1.9</w:t>
            </w:r>
          </w:p>
        </w:tc>
      </w:tr>
      <w:tr w:rsidR="002B66A4" w14:paraId="097174E9" w14:textId="77777777">
        <w:trPr>
          <w:cnfStyle w:val="000000010000" w:firstRow="0" w:lastRow="0" w:firstColumn="0" w:lastColumn="0" w:oddVBand="0" w:evenVBand="0" w:oddHBand="0" w:evenHBand="1" w:firstRowFirstColumn="0" w:firstRowLastColumn="0" w:lastRowFirstColumn="0" w:lastRowLastColumn="0"/>
        </w:trPr>
        <w:tc>
          <w:tcPr>
            <w:tcW w:w="801" w:type="pct"/>
            <w:vMerge/>
            <w:tcBorders>
              <w:bottom w:val="single" w:sz="4" w:space="0" w:color="D9D9D9" w:themeColor="background1" w:themeShade="D9"/>
            </w:tcBorders>
            <w:shd w:val="clear" w:color="auto" w:fill="FFFFFF" w:themeFill="background1"/>
          </w:tcPr>
          <w:p w14:paraId="785AC110" w14:textId="77777777" w:rsidR="002B66A4" w:rsidRPr="002B66A4" w:rsidRDefault="002B66A4" w:rsidP="002B66A4">
            <w:pPr>
              <w:pStyle w:val="TableBodyText"/>
            </w:pPr>
          </w:p>
        </w:tc>
        <w:tc>
          <w:tcPr>
            <w:tcW w:w="1943" w:type="pct"/>
            <w:tcBorders>
              <w:bottom w:val="single" w:sz="4" w:space="0" w:color="D9D9D9" w:themeColor="background1" w:themeShade="D9"/>
            </w:tcBorders>
          </w:tcPr>
          <w:p w14:paraId="4CAD7DD8" w14:textId="77777777" w:rsidR="002B66A4" w:rsidRPr="002B66A4" w:rsidRDefault="002B66A4" w:rsidP="002B66A4">
            <w:pPr>
              <w:pStyle w:val="TableBodyText"/>
            </w:pPr>
            <w:r w:rsidRPr="002B66A4">
              <w:t>Suitable applicants per vacancy (no.)</w:t>
            </w:r>
          </w:p>
        </w:tc>
        <w:tc>
          <w:tcPr>
            <w:tcW w:w="752" w:type="pct"/>
            <w:tcBorders>
              <w:bottom w:val="single" w:sz="4" w:space="0" w:color="D9D9D9" w:themeColor="background1" w:themeShade="D9"/>
            </w:tcBorders>
            <w:vAlign w:val="center"/>
          </w:tcPr>
          <w:p w14:paraId="36C1AB33" w14:textId="10DE76C0" w:rsidR="002B66A4" w:rsidRPr="002B66A4" w:rsidRDefault="002B66A4" w:rsidP="002B66A4">
            <w:pPr>
              <w:pStyle w:val="TableBodyTextright"/>
            </w:pPr>
            <w:r w:rsidRPr="002B66A4">
              <w:t>6.2</w:t>
            </w:r>
          </w:p>
        </w:tc>
        <w:tc>
          <w:tcPr>
            <w:tcW w:w="752" w:type="pct"/>
            <w:tcBorders>
              <w:bottom w:val="single" w:sz="4" w:space="0" w:color="D9D9D9" w:themeColor="background1" w:themeShade="D9"/>
            </w:tcBorders>
            <w:vAlign w:val="center"/>
          </w:tcPr>
          <w:p w14:paraId="3ED1944D" w14:textId="3F24133D" w:rsidR="002B66A4" w:rsidRPr="002B66A4" w:rsidRDefault="00EA6232" w:rsidP="002B66A4">
            <w:pPr>
              <w:pStyle w:val="TableBodyTextright"/>
            </w:pPr>
            <w:r>
              <w:t>▲</w:t>
            </w:r>
            <w:r w:rsidR="002B66A4" w:rsidRPr="002B66A4">
              <w:t>0.5</w:t>
            </w:r>
          </w:p>
        </w:tc>
        <w:tc>
          <w:tcPr>
            <w:tcW w:w="752" w:type="pct"/>
            <w:tcBorders>
              <w:bottom w:val="single" w:sz="4" w:space="0" w:color="D9D9D9" w:themeColor="background1" w:themeShade="D9"/>
            </w:tcBorders>
            <w:vAlign w:val="center"/>
          </w:tcPr>
          <w:p w14:paraId="09332079" w14:textId="6602F3E8" w:rsidR="002B66A4" w:rsidRPr="002B66A4" w:rsidRDefault="00EA6232" w:rsidP="002B66A4">
            <w:pPr>
              <w:pStyle w:val="TableBodyTextright"/>
            </w:pPr>
            <w:r>
              <w:t>▲</w:t>
            </w:r>
            <w:r w:rsidR="002B66A4" w:rsidRPr="002B66A4">
              <w:t>1.8</w:t>
            </w:r>
          </w:p>
        </w:tc>
      </w:tr>
      <w:tr w:rsidR="002B66A4" w14:paraId="606B6F01" w14:textId="77777777">
        <w:tc>
          <w:tcPr>
            <w:tcW w:w="801" w:type="pct"/>
            <w:vMerge w:val="restart"/>
            <w:tcBorders>
              <w:top w:val="single" w:sz="4" w:space="0" w:color="D9D9D9" w:themeColor="background1" w:themeShade="D9"/>
            </w:tcBorders>
            <w:shd w:val="clear" w:color="auto" w:fill="FFFFFF" w:themeFill="background1"/>
          </w:tcPr>
          <w:p w14:paraId="609ED5E6" w14:textId="77777777" w:rsidR="002B66A4" w:rsidRPr="002B66A4" w:rsidRDefault="002B66A4" w:rsidP="002B66A4">
            <w:pPr>
              <w:pStyle w:val="TableBodyText"/>
            </w:pPr>
            <w:r w:rsidRPr="002B66A4">
              <w:t xml:space="preserve">Professionals </w:t>
            </w:r>
          </w:p>
        </w:tc>
        <w:tc>
          <w:tcPr>
            <w:tcW w:w="1943" w:type="pct"/>
            <w:tcBorders>
              <w:top w:val="single" w:sz="4" w:space="0" w:color="D9D9D9" w:themeColor="background1" w:themeShade="D9"/>
            </w:tcBorders>
          </w:tcPr>
          <w:p w14:paraId="4880CECB" w14:textId="77777777" w:rsidR="002B66A4" w:rsidRPr="002B66A4" w:rsidRDefault="002B66A4" w:rsidP="002B66A4">
            <w:pPr>
              <w:pStyle w:val="TableBodyText"/>
            </w:pPr>
            <w:r w:rsidRPr="002B66A4">
              <w:t xml:space="preserve">Vacancy fill rate (%) </w:t>
            </w:r>
          </w:p>
        </w:tc>
        <w:tc>
          <w:tcPr>
            <w:tcW w:w="752" w:type="pct"/>
            <w:tcBorders>
              <w:top w:val="single" w:sz="4" w:space="0" w:color="D9D9D9" w:themeColor="background1" w:themeShade="D9"/>
            </w:tcBorders>
            <w:vAlign w:val="center"/>
          </w:tcPr>
          <w:p w14:paraId="108A0D5A" w14:textId="7256731A" w:rsidR="002B66A4" w:rsidRPr="002B66A4" w:rsidRDefault="002B66A4" w:rsidP="002B66A4">
            <w:pPr>
              <w:pStyle w:val="TableBodyTextright"/>
            </w:pPr>
            <w:r w:rsidRPr="002B66A4">
              <w:t>71.3%</w:t>
            </w:r>
          </w:p>
        </w:tc>
        <w:tc>
          <w:tcPr>
            <w:tcW w:w="752" w:type="pct"/>
            <w:tcBorders>
              <w:top w:val="single" w:sz="4" w:space="0" w:color="D9D9D9" w:themeColor="background1" w:themeShade="D9"/>
            </w:tcBorders>
            <w:vAlign w:val="center"/>
          </w:tcPr>
          <w:p w14:paraId="1B2EF3BD" w14:textId="1A5408F0" w:rsidR="002B66A4" w:rsidRPr="002B66A4" w:rsidRDefault="00EA6232" w:rsidP="002B66A4">
            <w:pPr>
              <w:pStyle w:val="TableBodyTextright"/>
            </w:pPr>
            <w:r>
              <w:t>▲</w:t>
            </w:r>
            <w:r w:rsidR="002B66A4" w:rsidRPr="002B66A4">
              <w:t>0.1% pts</w:t>
            </w:r>
          </w:p>
        </w:tc>
        <w:tc>
          <w:tcPr>
            <w:tcW w:w="752" w:type="pct"/>
            <w:tcBorders>
              <w:top w:val="single" w:sz="4" w:space="0" w:color="D9D9D9" w:themeColor="background1" w:themeShade="D9"/>
            </w:tcBorders>
            <w:vAlign w:val="center"/>
          </w:tcPr>
          <w:p w14:paraId="73495C6B" w14:textId="24E7AA1E" w:rsidR="002B66A4" w:rsidRPr="002B66A4" w:rsidRDefault="00EA6232" w:rsidP="002B66A4">
            <w:pPr>
              <w:pStyle w:val="TableBodyTextright"/>
            </w:pPr>
            <w:r>
              <w:t>▲</w:t>
            </w:r>
            <w:r w:rsidR="002B66A4" w:rsidRPr="002B66A4">
              <w:t>3.6% pts</w:t>
            </w:r>
          </w:p>
        </w:tc>
      </w:tr>
      <w:tr w:rsidR="002B66A4" w14:paraId="7B8BA079" w14:textId="77777777">
        <w:trPr>
          <w:cnfStyle w:val="000000010000" w:firstRow="0" w:lastRow="0" w:firstColumn="0" w:lastColumn="0" w:oddVBand="0" w:evenVBand="0" w:oddHBand="0" w:evenHBand="1" w:firstRowFirstColumn="0" w:firstRowLastColumn="0" w:lastRowFirstColumn="0" w:lastRowLastColumn="0"/>
        </w:trPr>
        <w:tc>
          <w:tcPr>
            <w:tcW w:w="801" w:type="pct"/>
            <w:vMerge/>
            <w:shd w:val="clear" w:color="auto" w:fill="FFFFFF" w:themeFill="background1"/>
          </w:tcPr>
          <w:p w14:paraId="148E5634" w14:textId="77777777" w:rsidR="002B66A4" w:rsidRPr="002B66A4" w:rsidRDefault="002B66A4" w:rsidP="002B66A4">
            <w:pPr>
              <w:pStyle w:val="TableBodyText"/>
            </w:pPr>
          </w:p>
        </w:tc>
        <w:tc>
          <w:tcPr>
            <w:tcW w:w="1943" w:type="pct"/>
          </w:tcPr>
          <w:p w14:paraId="338DBE64" w14:textId="77777777" w:rsidR="002B66A4" w:rsidRPr="002B66A4" w:rsidRDefault="002B66A4" w:rsidP="002B66A4">
            <w:pPr>
              <w:pStyle w:val="TableBodyText"/>
            </w:pPr>
            <w:r w:rsidRPr="002B66A4">
              <w:t xml:space="preserve">Applicants per vacancy (no.) </w:t>
            </w:r>
          </w:p>
        </w:tc>
        <w:tc>
          <w:tcPr>
            <w:tcW w:w="752" w:type="pct"/>
            <w:vAlign w:val="center"/>
          </w:tcPr>
          <w:p w14:paraId="5FCDD054" w14:textId="3BE4ABC1" w:rsidR="002B66A4" w:rsidRPr="002B66A4" w:rsidRDefault="002B66A4" w:rsidP="002B66A4">
            <w:pPr>
              <w:pStyle w:val="TableBodyTextright"/>
            </w:pPr>
            <w:r w:rsidRPr="002B66A4">
              <w:t>22.0</w:t>
            </w:r>
          </w:p>
        </w:tc>
        <w:tc>
          <w:tcPr>
            <w:tcW w:w="752" w:type="pct"/>
            <w:vAlign w:val="center"/>
          </w:tcPr>
          <w:p w14:paraId="75BE03B9" w14:textId="66760CF3" w:rsidR="002B66A4" w:rsidRPr="002B66A4" w:rsidRDefault="00A8432C" w:rsidP="002B66A4">
            <w:pPr>
              <w:pStyle w:val="TableBodyTextright"/>
            </w:pPr>
            <w:r>
              <w:t>▼</w:t>
            </w:r>
            <w:r w:rsidR="002B66A4" w:rsidRPr="002B66A4">
              <w:t>3.1</w:t>
            </w:r>
          </w:p>
        </w:tc>
        <w:tc>
          <w:tcPr>
            <w:tcW w:w="752" w:type="pct"/>
            <w:vAlign w:val="center"/>
          </w:tcPr>
          <w:p w14:paraId="15A1CEEA" w14:textId="59DBAE20" w:rsidR="002B66A4" w:rsidRPr="002B66A4" w:rsidRDefault="00A8432C" w:rsidP="002B66A4">
            <w:pPr>
              <w:pStyle w:val="TableBodyTextright"/>
            </w:pPr>
            <w:r>
              <w:t>▼</w:t>
            </w:r>
            <w:r w:rsidR="002B66A4" w:rsidRPr="002B66A4">
              <w:t>6.9</w:t>
            </w:r>
          </w:p>
        </w:tc>
      </w:tr>
      <w:tr w:rsidR="002B66A4" w14:paraId="40267952" w14:textId="77777777">
        <w:tc>
          <w:tcPr>
            <w:tcW w:w="801" w:type="pct"/>
            <w:vMerge/>
            <w:shd w:val="clear" w:color="auto" w:fill="FFFFFF" w:themeFill="background1"/>
          </w:tcPr>
          <w:p w14:paraId="36984E60" w14:textId="77777777" w:rsidR="002B66A4" w:rsidRPr="002B66A4" w:rsidRDefault="002B66A4" w:rsidP="002B66A4">
            <w:pPr>
              <w:pStyle w:val="TableBodyText"/>
            </w:pPr>
          </w:p>
        </w:tc>
        <w:tc>
          <w:tcPr>
            <w:tcW w:w="1943" w:type="pct"/>
          </w:tcPr>
          <w:p w14:paraId="0C037BA4" w14:textId="77777777" w:rsidR="002B66A4" w:rsidRPr="002B66A4" w:rsidRDefault="002B66A4" w:rsidP="002B66A4">
            <w:pPr>
              <w:pStyle w:val="TableBodyText"/>
            </w:pPr>
            <w:r w:rsidRPr="002B66A4">
              <w:t>Qualified applicants per vacancy (no.)</w:t>
            </w:r>
          </w:p>
        </w:tc>
        <w:tc>
          <w:tcPr>
            <w:tcW w:w="752" w:type="pct"/>
            <w:vAlign w:val="center"/>
          </w:tcPr>
          <w:p w14:paraId="7CAAEFFB" w14:textId="5D2DC9BF" w:rsidR="002B66A4" w:rsidRPr="002B66A4" w:rsidRDefault="002B66A4" w:rsidP="002B66A4">
            <w:pPr>
              <w:pStyle w:val="TableBodyTextright"/>
            </w:pPr>
            <w:r w:rsidRPr="002B66A4">
              <w:t>10.2</w:t>
            </w:r>
          </w:p>
        </w:tc>
        <w:tc>
          <w:tcPr>
            <w:tcW w:w="752" w:type="pct"/>
            <w:vAlign w:val="center"/>
          </w:tcPr>
          <w:p w14:paraId="44C5733C" w14:textId="5BB3F863" w:rsidR="002B66A4" w:rsidRPr="002B66A4" w:rsidRDefault="00A8432C" w:rsidP="002B66A4">
            <w:pPr>
              <w:pStyle w:val="TableBodyTextright"/>
            </w:pPr>
            <w:r>
              <w:t>▼</w:t>
            </w:r>
            <w:r w:rsidR="002B66A4" w:rsidRPr="002B66A4">
              <w:t>0.4</w:t>
            </w:r>
          </w:p>
        </w:tc>
        <w:tc>
          <w:tcPr>
            <w:tcW w:w="752" w:type="pct"/>
            <w:vAlign w:val="center"/>
          </w:tcPr>
          <w:p w14:paraId="65E292CC" w14:textId="224CC3FC" w:rsidR="002B66A4" w:rsidRPr="002B66A4" w:rsidRDefault="00A8432C" w:rsidP="002B66A4">
            <w:pPr>
              <w:pStyle w:val="TableBodyTextright"/>
            </w:pPr>
            <w:r>
              <w:t>▼</w:t>
            </w:r>
            <w:r w:rsidR="002B66A4" w:rsidRPr="002B66A4">
              <w:t>0.6</w:t>
            </w:r>
          </w:p>
        </w:tc>
      </w:tr>
      <w:tr w:rsidR="002B66A4" w14:paraId="3D4EC3ED" w14:textId="77777777">
        <w:trPr>
          <w:cnfStyle w:val="000000010000" w:firstRow="0" w:lastRow="0" w:firstColumn="0" w:lastColumn="0" w:oddVBand="0" w:evenVBand="0" w:oddHBand="0" w:evenHBand="1" w:firstRowFirstColumn="0" w:firstRowLastColumn="0" w:lastRowFirstColumn="0" w:lastRowLastColumn="0"/>
        </w:trPr>
        <w:tc>
          <w:tcPr>
            <w:tcW w:w="801" w:type="pct"/>
            <w:vMerge/>
            <w:tcBorders>
              <w:bottom w:val="single" w:sz="4" w:space="0" w:color="D9D9D9" w:themeColor="background1" w:themeShade="D9"/>
            </w:tcBorders>
            <w:shd w:val="clear" w:color="auto" w:fill="FFFFFF" w:themeFill="background1"/>
          </w:tcPr>
          <w:p w14:paraId="1F091722" w14:textId="77777777" w:rsidR="002B66A4" w:rsidRPr="002B66A4" w:rsidRDefault="002B66A4" w:rsidP="002B66A4">
            <w:pPr>
              <w:pStyle w:val="TableBodyText"/>
            </w:pPr>
          </w:p>
        </w:tc>
        <w:tc>
          <w:tcPr>
            <w:tcW w:w="1943" w:type="pct"/>
            <w:tcBorders>
              <w:bottom w:val="single" w:sz="4" w:space="0" w:color="D9D9D9" w:themeColor="background1" w:themeShade="D9"/>
            </w:tcBorders>
          </w:tcPr>
          <w:p w14:paraId="3AC92CBF" w14:textId="77777777" w:rsidR="002B66A4" w:rsidRPr="002B66A4" w:rsidRDefault="002B66A4" w:rsidP="002B66A4">
            <w:pPr>
              <w:pStyle w:val="TableBodyText"/>
            </w:pPr>
            <w:r w:rsidRPr="002B66A4">
              <w:t>Suitable applicants per vacancy (no.)</w:t>
            </w:r>
          </w:p>
        </w:tc>
        <w:tc>
          <w:tcPr>
            <w:tcW w:w="752" w:type="pct"/>
            <w:tcBorders>
              <w:bottom w:val="single" w:sz="4" w:space="0" w:color="D9D9D9" w:themeColor="background1" w:themeShade="D9"/>
            </w:tcBorders>
            <w:vAlign w:val="center"/>
          </w:tcPr>
          <w:p w14:paraId="52C67A78" w14:textId="0B3DEDE4" w:rsidR="002B66A4" w:rsidRPr="002B66A4" w:rsidRDefault="002B66A4" w:rsidP="002B66A4">
            <w:pPr>
              <w:pStyle w:val="TableBodyTextright"/>
            </w:pPr>
            <w:r w:rsidRPr="002B66A4">
              <w:t>4.2</w:t>
            </w:r>
          </w:p>
        </w:tc>
        <w:tc>
          <w:tcPr>
            <w:tcW w:w="752" w:type="pct"/>
            <w:tcBorders>
              <w:bottom w:val="single" w:sz="4" w:space="0" w:color="D9D9D9" w:themeColor="background1" w:themeShade="D9"/>
            </w:tcBorders>
            <w:vAlign w:val="center"/>
          </w:tcPr>
          <w:p w14:paraId="23553AB1" w14:textId="7607621A" w:rsidR="002B66A4" w:rsidRPr="002B66A4" w:rsidRDefault="00EA6232" w:rsidP="002B66A4">
            <w:pPr>
              <w:pStyle w:val="TableBodyTextright"/>
            </w:pPr>
            <w:r>
              <w:t>▲</w:t>
            </w:r>
            <w:r w:rsidR="002B66A4" w:rsidRPr="002B66A4">
              <w:t>0.2</w:t>
            </w:r>
          </w:p>
        </w:tc>
        <w:tc>
          <w:tcPr>
            <w:tcW w:w="752" w:type="pct"/>
            <w:tcBorders>
              <w:bottom w:val="single" w:sz="4" w:space="0" w:color="D9D9D9" w:themeColor="background1" w:themeShade="D9"/>
            </w:tcBorders>
            <w:vAlign w:val="center"/>
          </w:tcPr>
          <w:p w14:paraId="17B95DC3" w14:textId="144B6B32" w:rsidR="002B66A4" w:rsidRPr="002B66A4" w:rsidRDefault="00EA6232" w:rsidP="002B66A4">
            <w:pPr>
              <w:pStyle w:val="TableBodyTextright"/>
            </w:pPr>
            <w:r>
              <w:t>▲</w:t>
            </w:r>
            <w:r w:rsidR="002B66A4" w:rsidRPr="002B66A4">
              <w:t>1.1</w:t>
            </w:r>
          </w:p>
        </w:tc>
      </w:tr>
      <w:tr w:rsidR="002B66A4" w14:paraId="09FE552B" w14:textId="77777777">
        <w:tc>
          <w:tcPr>
            <w:tcW w:w="801" w:type="pct"/>
            <w:vMerge w:val="restart"/>
            <w:tcBorders>
              <w:top w:val="single" w:sz="4" w:space="0" w:color="D9D9D9" w:themeColor="background1" w:themeShade="D9"/>
            </w:tcBorders>
            <w:shd w:val="clear" w:color="auto" w:fill="FFFFFF" w:themeFill="background1"/>
          </w:tcPr>
          <w:p w14:paraId="11BF3CE2" w14:textId="77777777" w:rsidR="002B66A4" w:rsidRPr="002B66A4" w:rsidRDefault="002B66A4" w:rsidP="002B66A4">
            <w:pPr>
              <w:pStyle w:val="TableBodyText"/>
            </w:pPr>
            <w:r w:rsidRPr="002B66A4">
              <w:t xml:space="preserve">Technicians and Trades Workers </w:t>
            </w:r>
          </w:p>
        </w:tc>
        <w:tc>
          <w:tcPr>
            <w:tcW w:w="1943" w:type="pct"/>
            <w:tcBorders>
              <w:top w:val="single" w:sz="4" w:space="0" w:color="D9D9D9" w:themeColor="background1" w:themeShade="D9"/>
            </w:tcBorders>
          </w:tcPr>
          <w:p w14:paraId="708F5F26" w14:textId="77777777" w:rsidR="002B66A4" w:rsidRPr="002B66A4" w:rsidRDefault="002B66A4" w:rsidP="002B66A4">
            <w:pPr>
              <w:pStyle w:val="TableBodyText"/>
            </w:pPr>
            <w:r w:rsidRPr="002B66A4">
              <w:t xml:space="preserve">Vacancy fill rate (%) </w:t>
            </w:r>
          </w:p>
        </w:tc>
        <w:tc>
          <w:tcPr>
            <w:tcW w:w="752" w:type="pct"/>
            <w:tcBorders>
              <w:top w:val="single" w:sz="4" w:space="0" w:color="D9D9D9" w:themeColor="background1" w:themeShade="D9"/>
            </w:tcBorders>
            <w:vAlign w:val="center"/>
          </w:tcPr>
          <w:p w14:paraId="474225B9" w14:textId="14EE7E49" w:rsidR="002B66A4" w:rsidRPr="002B66A4" w:rsidRDefault="002B66A4" w:rsidP="002B66A4">
            <w:pPr>
              <w:pStyle w:val="TableBodyTextright"/>
            </w:pPr>
            <w:r w:rsidRPr="002B66A4">
              <w:t>55.3%</w:t>
            </w:r>
          </w:p>
        </w:tc>
        <w:tc>
          <w:tcPr>
            <w:tcW w:w="752" w:type="pct"/>
            <w:tcBorders>
              <w:top w:val="single" w:sz="4" w:space="0" w:color="D9D9D9" w:themeColor="background1" w:themeShade="D9"/>
            </w:tcBorders>
            <w:vAlign w:val="center"/>
          </w:tcPr>
          <w:p w14:paraId="4FADF9DB" w14:textId="2C5C186F" w:rsidR="002B66A4" w:rsidRPr="002B66A4" w:rsidRDefault="00A8432C" w:rsidP="002B66A4">
            <w:pPr>
              <w:pStyle w:val="TableBodyTextright"/>
            </w:pPr>
            <w:r>
              <w:t>▼</w:t>
            </w:r>
            <w:r w:rsidR="002B66A4" w:rsidRPr="002B66A4">
              <w:t>1.9% pts</w:t>
            </w:r>
          </w:p>
        </w:tc>
        <w:tc>
          <w:tcPr>
            <w:tcW w:w="752" w:type="pct"/>
            <w:tcBorders>
              <w:top w:val="single" w:sz="4" w:space="0" w:color="D9D9D9" w:themeColor="background1" w:themeShade="D9"/>
            </w:tcBorders>
            <w:vAlign w:val="center"/>
          </w:tcPr>
          <w:p w14:paraId="6057239E" w14:textId="642227CC" w:rsidR="002B66A4" w:rsidRPr="002B66A4" w:rsidRDefault="00EA6232" w:rsidP="002B66A4">
            <w:pPr>
              <w:pStyle w:val="TableBodyTextright"/>
            </w:pPr>
            <w:r>
              <w:t>▲</w:t>
            </w:r>
            <w:r w:rsidR="002B66A4" w:rsidRPr="002B66A4">
              <w:t>1.0% pts</w:t>
            </w:r>
          </w:p>
        </w:tc>
      </w:tr>
      <w:tr w:rsidR="002B66A4" w14:paraId="4C03ABAB" w14:textId="77777777">
        <w:trPr>
          <w:cnfStyle w:val="000000010000" w:firstRow="0" w:lastRow="0" w:firstColumn="0" w:lastColumn="0" w:oddVBand="0" w:evenVBand="0" w:oddHBand="0" w:evenHBand="1" w:firstRowFirstColumn="0" w:firstRowLastColumn="0" w:lastRowFirstColumn="0" w:lastRowLastColumn="0"/>
        </w:trPr>
        <w:tc>
          <w:tcPr>
            <w:tcW w:w="801" w:type="pct"/>
            <w:vMerge/>
            <w:shd w:val="clear" w:color="auto" w:fill="FFFFFF" w:themeFill="background1"/>
          </w:tcPr>
          <w:p w14:paraId="7D161441" w14:textId="77777777" w:rsidR="002B66A4" w:rsidRPr="002B66A4" w:rsidRDefault="002B66A4" w:rsidP="002B66A4">
            <w:pPr>
              <w:pStyle w:val="TableBodyText"/>
            </w:pPr>
          </w:p>
        </w:tc>
        <w:tc>
          <w:tcPr>
            <w:tcW w:w="1943" w:type="pct"/>
          </w:tcPr>
          <w:p w14:paraId="5314064F" w14:textId="77777777" w:rsidR="002B66A4" w:rsidRPr="002B66A4" w:rsidRDefault="002B66A4" w:rsidP="002B66A4">
            <w:pPr>
              <w:pStyle w:val="TableBodyText"/>
            </w:pPr>
            <w:r w:rsidRPr="002B66A4">
              <w:t>Applicants per vacancy (no.)</w:t>
            </w:r>
          </w:p>
        </w:tc>
        <w:tc>
          <w:tcPr>
            <w:tcW w:w="752" w:type="pct"/>
            <w:vAlign w:val="center"/>
          </w:tcPr>
          <w:p w14:paraId="4242F8EA" w14:textId="690F3A0C" w:rsidR="002B66A4" w:rsidRPr="002B66A4" w:rsidRDefault="002B66A4" w:rsidP="002B66A4">
            <w:pPr>
              <w:pStyle w:val="TableBodyTextright"/>
            </w:pPr>
            <w:r w:rsidRPr="002B66A4">
              <w:t>21.0</w:t>
            </w:r>
          </w:p>
        </w:tc>
        <w:tc>
          <w:tcPr>
            <w:tcW w:w="752" w:type="pct"/>
            <w:vAlign w:val="center"/>
          </w:tcPr>
          <w:p w14:paraId="1E53F849" w14:textId="0D5DB646" w:rsidR="002B66A4" w:rsidRPr="002B66A4" w:rsidRDefault="00A8432C" w:rsidP="002B66A4">
            <w:pPr>
              <w:pStyle w:val="TableBodyTextright"/>
            </w:pPr>
            <w:r>
              <w:t>▼</w:t>
            </w:r>
            <w:r w:rsidR="002B66A4" w:rsidRPr="002B66A4">
              <w:t>2.5</w:t>
            </w:r>
          </w:p>
        </w:tc>
        <w:tc>
          <w:tcPr>
            <w:tcW w:w="752" w:type="pct"/>
            <w:vAlign w:val="center"/>
          </w:tcPr>
          <w:p w14:paraId="1668C2BE" w14:textId="5F2643E4" w:rsidR="002B66A4" w:rsidRPr="002B66A4" w:rsidRDefault="00EA6232" w:rsidP="002B66A4">
            <w:pPr>
              <w:pStyle w:val="TableBodyTextright"/>
            </w:pPr>
            <w:r>
              <w:t>▲</w:t>
            </w:r>
            <w:r w:rsidR="002B66A4" w:rsidRPr="002B66A4">
              <w:t>0.4</w:t>
            </w:r>
          </w:p>
        </w:tc>
      </w:tr>
      <w:tr w:rsidR="002B66A4" w14:paraId="3C8E1568" w14:textId="77777777">
        <w:tc>
          <w:tcPr>
            <w:tcW w:w="801" w:type="pct"/>
            <w:vMerge/>
            <w:shd w:val="clear" w:color="auto" w:fill="FFFFFF" w:themeFill="background1"/>
          </w:tcPr>
          <w:p w14:paraId="43DDA540" w14:textId="77777777" w:rsidR="002B66A4" w:rsidRPr="002B66A4" w:rsidRDefault="002B66A4" w:rsidP="002B66A4">
            <w:pPr>
              <w:pStyle w:val="TableBodyText"/>
            </w:pPr>
          </w:p>
        </w:tc>
        <w:tc>
          <w:tcPr>
            <w:tcW w:w="1943" w:type="pct"/>
          </w:tcPr>
          <w:p w14:paraId="291951D5" w14:textId="77777777" w:rsidR="002B66A4" w:rsidRPr="002B66A4" w:rsidRDefault="002B66A4" w:rsidP="002B66A4">
            <w:pPr>
              <w:pStyle w:val="TableBodyText"/>
            </w:pPr>
            <w:r w:rsidRPr="002B66A4">
              <w:t>Qualified applicants per vacancy (no.)</w:t>
            </w:r>
          </w:p>
        </w:tc>
        <w:tc>
          <w:tcPr>
            <w:tcW w:w="752" w:type="pct"/>
            <w:vAlign w:val="center"/>
          </w:tcPr>
          <w:p w14:paraId="4B651A17" w14:textId="34A660B2" w:rsidR="002B66A4" w:rsidRPr="002B66A4" w:rsidRDefault="002B66A4" w:rsidP="002B66A4">
            <w:pPr>
              <w:pStyle w:val="TableBodyTextright"/>
            </w:pPr>
            <w:r w:rsidRPr="002B66A4">
              <w:t>7.9</w:t>
            </w:r>
          </w:p>
        </w:tc>
        <w:tc>
          <w:tcPr>
            <w:tcW w:w="752" w:type="pct"/>
            <w:vAlign w:val="center"/>
          </w:tcPr>
          <w:p w14:paraId="00A6C9AA" w14:textId="5A075EF6" w:rsidR="002B66A4" w:rsidRPr="002B66A4" w:rsidRDefault="00EA6232" w:rsidP="002B66A4">
            <w:pPr>
              <w:pStyle w:val="TableBodyTextright"/>
            </w:pPr>
            <w:r>
              <w:t>▲</w:t>
            </w:r>
            <w:r w:rsidR="002B66A4" w:rsidRPr="002B66A4">
              <w:t>0.5</w:t>
            </w:r>
          </w:p>
        </w:tc>
        <w:tc>
          <w:tcPr>
            <w:tcW w:w="752" w:type="pct"/>
            <w:vAlign w:val="center"/>
          </w:tcPr>
          <w:p w14:paraId="1993220D" w14:textId="67D2FB1A" w:rsidR="002B66A4" w:rsidRPr="002B66A4" w:rsidRDefault="00EA6232" w:rsidP="002B66A4">
            <w:pPr>
              <w:pStyle w:val="TableBodyTextright"/>
            </w:pPr>
            <w:r>
              <w:t>▲</w:t>
            </w:r>
            <w:r w:rsidR="002B66A4" w:rsidRPr="002B66A4">
              <w:t>2.2</w:t>
            </w:r>
          </w:p>
        </w:tc>
      </w:tr>
      <w:tr w:rsidR="002B66A4" w14:paraId="30EB72C3" w14:textId="77777777">
        <w:trPr>
          <w:cnfStyle w:val="000000010000" w:firstRow="0" w:lastRow="0" w:firstColumn="0" w:lastColumn="0" w:oddVBand="0" w:evenVBand="0" w:oddHBand="0" w:evenHBand="1" w:firstRowFirstColumn="0" w:firstRowLastColumn="0" w:lastRowFirstColumn="0" w:lastRowLastColumn="0"/>
        </w:trPr>
        <w:tc>
          <w:tcPr>
            <w:tcW w:w="801" w:type="pct"/>
            <w:vMerge/>
            <w:tcBorders>
              <w:bottom w:val="single" w:sz="4" w:space="0" w:color="D9D9D9" w:themeColor="background1" w:themeShade="D9"/>
            </w:tcBorders>
            <w:shd w:val="clear" w:color="auto" w:fill="FFFFFF" w:themeFill="background1"/>
          </w:tcPr>
          <w:p w14:paraId="31D7FD1A" w14:textId="77777777" w:rsidR="002B66A4" w:rsidRPr="002B66A4" w:rsidRDefault="002B66A4" w:rsidP="002B66A4">
            <w:pPr>
              <w:pStyle w:val="TableBodyText"/>
            </w:pPr>
          </w:p>
        </w:tc>
        <w:tc>
          <w:tcPr>
            <w:tcW w:w="1943" w:type="pct"/>
            <w:tcBorders>
              <w:bottom w:val="single" w:sz="4" w:space="0" w:color="D9D9D9" w:themeColor="background1" w:themeShade="D9"/>
            </w:tcBorders>
          </w:tcPr>
          <w:p w14:paraId="4615A729" w14:textId="77777777" w:rsidR="002B66A4" w:rsidRPr="002B66A4" w:rsidRDefault="002B66A4" w:rsidP="002B66A4">
            <w:pPr>
              <w:pStyle w:val="TableBodyText"/>
            </w:pPr>
            <w:r w:rsidRPr="002B66A4">
              <w:t>Suitable applicants per vacancy (no.)</w:t>
            </w:r>
          </w:p>
        </w:tc>
        <w:tc>
          <w:tcPr>
            <w:tcW w:w="752" w:type="pct"/>
            <w:tcBorders>
              <w:bottom w:val="single" w:sz="4" w:space="0" w:color="D9D9D9" w:themeColor="background1" w:themeShade="D9"/>
            </w:tcBorders>
            <w:vAlign w:val="center"/>
          </w:tcPr>
          <w:p w14:paraId="47BAAC22" w14:textId="0B18D200" w:rsidR="002B66A4" w:rsidRPr="002B66A4" w:rsidRDefault="002B66A4" w:rsidP="002B66A4">
            <w:pPr>
              <w:pStyle w:val="TableBodyTextright"/>
            </w:pPr>
            <w:r w:rsidRPr="002B66A4">
              <w:t>3.9</w:t>
            </w:r>
          </w:p>
        </w:tc>
        <w:tc>
          <w:tcPr>
            <w:tcW w:w="752" w:type="pct"/>
            <w:tcBorders>
              <w:bottom w:val="single" w:sz="4" w:space="0" w:color="D9D9D9" w:themeColor="background1" w:themeShade="D9"/>
            </w:tcBorders>
            <w:vAlign w:val="center"/>
          </w:tcPr>
          <w:p w14:paraId="5F6A5ED4" w14:textId="23F7F854" w:rsidR="002B66A4" w:rsidRPr="002B66A4" w:rsidRDefault="00EA6232" w:rsidP="002B66A4">
            <w:pPr>
              <w:pStyle w:val="TableBodyTextright"/>
            </w:pPr>
            <w:r>
              <w:t>▲</w:t>
            </w:r>
            <w:r w:rsidR="002B66A4" w:rsidRPr="002B66A4">
              <w:t>0.8</w:t>
            </w:r>
          </w:p>
        </w:tc>
        <w:tc>
          <w:tcPr>
            <w:tcW w:w="752" w:type="pct"/>
            <w:tcBorders>
              <w:bottom w:val="single" w:sz="4" w:space="0" w:color="D9D9D9" w:themeColor="background1" w:themeShade="D9"/>
            </w:tcBorders>
            <w:vAlign w:val="center"/>
          </w:tcPr>
          <w:p w14:paraId="0EC4D9FD" w14:textId="7AFE66DC" w:rsidR="002B66A4" w:rsidRPr="002B66A4" w:rsidRDefault="00EA6232" w:rsidP="002B66A4">
            <w:pPr>
              <w:pStyle w:val="TableBodyTextright"/>
            </w:pPr>
            <w:r>
              <w:t>▲</w:t>
            </w:r>
            <w:r w:rsidR="002B66A4" w:rsidRPr="002B66A4">
              <w:t>1.7</w:t>
            </w:r>
          </w:p>
        </w:tc>
      </w:tr>
      <w:tr w:rsidR="002B66A4" w14:paraId="7AC04BDA" w14:textId="77777777">
        <w:tc>
          <w:tcPr>
            <w:tcW w:w="801" w:type="pct"/>
            <w:vMerge w:val="restart"/>
            <w:tcBorders>
              <w:top w:val="single" w:sz="4" w:space="0" w:color="D9D9D9" w:themeColor="background1" w:themeShade="D9"/>
            </w:tcBorders>
            <w:shd w:val="clear" w:color="auto" w:fill="FFFFFF" w:themeFill="background1"/>
          </w:tcPr>
          <w:p w14:paraId="539E70FD" w14:textId="77777777" w:rsidR="002B66A4" w:rsidRPr="002B66A4" w:rsidRDefault="002B66A4" w:rsidP="002B66A4">
            <w:pPr>
              <w:pStyle w:val="TableBodyText"/>
            </w:pPr>
            <w:r w:rsidRPr="002B66A4">
              <w:t xml:space="preserve">Community and Personal Service Workers </w:t>
            </w:r>
          </w:p>
        </w:tc>
        <w:tc>
          <w:tcPr>
            <w:tcW w:w="1943" w:type="pct"/>
            <w:tcBorders>
              <w:top w:val="single" w:sz="4" w:space="0" w:color="D9D9D9" w:themeColor="background1" w:themeShade="D9"/>
            </w:tcBorders>
          </w:tcPr>
          <w:p w14:paraId="00618510" w14:textId="77777777" w:rsidR="002B66A4" w:rsidRPr="002B66A4" w:rsidRDefault="002B66A4" w:rsidP="002B66A4">
            <w:pPr>
              <w:pStyle w:val="TableBodyText"/>
            </w:pPr>
            <w:r w:rsidRPr="002B66A4">
              <w:t xml:space="preserve">Vacancy fill rate (%) </w:t>
            </w:r>
          </w:p>
        </w:tc>
        <w:tc>
          <w:tcPr>
            <w:tcW w:w="752" w:type="pct"/>
            <w:tcBorders>
              <w:top w:val="single" w:sz="4" w:space="0" w:color="D9D9D9" w:themeColor="background1" w:themeShade="D9"/>
            </w:tcBorders>
            <w:vAlign w:val="center"/>
          </w:tcPr>
          <w:p w14:paraId="383A608C" w14:textId="15A86B27" w:rsidR="002B66A4" w:rsidRPr="002B66A4" w:rsidRDefault="002B66A4" w:rsidP="002B66A4">
            <w:pPr>
              <w:pStyle w:val="TableBodyTextright"/>
            </w:pPr>
            <w:r w:rsidRPr="002B66A4">
              <w:t>67.8%</w:t>
            </w:r>
          </w:p>
        </w:tc>
        <w:tc>
          <w:tcPr>
            <w:tcW w:w="752" w:type="pct"/>
            <w:tcBorders>
              <w:top w:val="single" w:sz="4" w:space="0" w:color="D9D9D9" w:themeColor="background1" w:themeShade="D9"/>
            </w:tcBorders>
            <w:vAlign w:val="center"/>
          </w:tcPr>
          <w:p w14:paraId="3296BB5F" w14:textId="0CBCF68B" w:rsidR="002B66A4" w:rsidRPr="002B66A4" w:rsidRDefault="00A8432C" w:rsidP="002B66A4">
            <w:pPr>
              <w:pStyle w:val="TableBodyTextright"/>
            </w:pPr>
            <w:r>
              <w:t>▼</w:t>
            </w:r>
            <w:r w:rsidR="002B66A4" w:rsidRPr="002B66A4">
              <w:t>0.6% pts</w:t>
            </w:r>
          </w:p>
        </w:tc>
        <w:tc>
          <w:tcPr>
            <w:tcW w:w="752" w:type="pct"/>
            <w:tcBorders>
              <w:top w:val="single" w:sz="4" w:space="0" w:color="D9D9D9" w:themeColor="background1" w:themeShade="D9"/>
            </w:tcBorders>
            <w:vAlign w:val="center"/>
          </w:tcPr>
          <w:p w14:paraId="5B9EEB93" w14:textId="484AE645" w:rsidR="002B66A4" w:rsidRPr="002B66A4" w:rsidRDefault="00A8432C" w:rsidP="002B66A4">
            <w:pPr>
              <w:pStyle w:val="TableBodyTextright"/>
            </w:pPr>
            <w:r>
              <w:t>▼</w:t>
            </w:r>
            <w:r w:rsidR="002B66A4" w:rsidRPr="002B66A4">
              <w:t>6.7% pts</w:t>
            </w:r>
          </w:p>
        </w:tc>
      </w:tr>
      <w:tr w:rsidR="002B66A4" w14:paraId="3132DD9D" w14:textId="77777777">
        <w:trPr>
          <w:cnfStyle w:val="000000010000" w:firstRow="0" w:lastRow="0" w:firstColumn="0" w:lastColumn="0" w:oddVBand="0" w:evenVBand="0" w:oddHBand="0" w:evenHBand="1" w:firstRowFirstColumn="0" w:firstRowLastColumn="0" w:lastRowFirstColumn="0" w:lastRowLastColumn="0"/>
        </w:trPr>
        <w:tc>
          <w:tcPr>
            <w:tcW w:w="801" w:type="pct"/>
            <w:vMerge/>
            <w:shd w:val="clear" w:color="auto" w:fill="FFFFFF" w:themeFill="background1"/>
          </w:tcPr>
          <w:p w14:paraId="3E2AE826" w14:textId="77777777" w:rsidR="002B66A4" w:rsidRPr="002B66A4" w:rsidRDefault="002B66A4" w:rsidP="002B66A4">
            <w:pPr>
              <w:pStyle w:val="TableBodyText"/>
            </w:pPr>
          </w:p>
        </w:tc>
        <w:tc>
          <w:tcPr>
            <w:tcW w:w="1943" w:type="pct"/>
          </w:tcPr>
          <w:p w14:paraId="0F18E0AF" w14:textId="77777777" w:rsidR="002B66A4" w:rsidRPr="002B66A4" w:rsidRDefault="002B66A4" w:rsidP="002B66A4">
            <w:pPr>
              <w:pStyle w:val="TableBodyText"/>
            </w:pPr>
            <w:r w:rsidRPr="002B66A4">
              <w:t>Applicants per vacancy (no.)</w:t>
            </w:r>
          </w:p>
        </w:tc>
        <w:tc>
          <w:tcPr>
            <w:tcW w:w="752" w:type="pct"/>
            <w:vAlign w:val="center"/>
          </w:tcPr>
          <w:p w14:paraId="48705C1C" w14:textId="7859B60E" w:rsidR="002B66A4" w:rsidRPr="002B66A4" w:rsidRDefault="002B66A4" w:rsidP="002B66A4">
            <w:pPr>
              <w:pStyle w:val="TableBodyTextright"/>
            </w:pPr>
            <w:r w:rsidRPr="002B66A4">
              <w:t>16.3</w:t>
            </w:r>
          </w:p>
        </w:tc>
        <w:tc>
          <w:tcPr>
            <w:tcW w:w="752" w:type="pct"/>
            <w:vAlign w:val="center"/>
          </w:tcPr>
          <w:p w14:paraId="198A8367" w14:textId="7C70D29C" w:rsidR="002B66A4" w:rsidRPr="002B66A4" w:rsidRDefault="00A8432C" w:rsidP="002B66A4">
            <w:pPr>
              <w:pStyle w:val="TableBodyTextright"/>
            </w:pPr>
            <w:r>
              <w:t>▼</w:t>
            </w:r>
            <w:r w:rsidR="002B66A4" w:rsidRPr="002B66A4">
              <w:t>3.3</w:t>
            </w:r>
          </w:p>
        </w:tc>
        <w:tc>
          <w:tcPr>
            <w:tcW w:w="752" w:type="pct"/>
            <w:vAlign w:val="center"/>
          </w:tcPr>
          <w:p w14:paraId="71DFC91A" w14:textId="0F4C99F2" w:rsidR="002B66A4" w:rsidRPr="002B66A4" w:rsidRDefault="00A8432C" w:rsidP="002B66A4">
            <w:pPr>
              <w:pStyle w:val="TableBodyTextright"/>
            </w:pPr>
            <w:r>
              <w:t>▼</w:t>
            </w:r>
            <w:r w:rsidR="002B66A4" w:rsidRPr="002B66A4">
              <w:t>7.6</w:t>
            </w:r>
          </w:p>
        </w:tc>
      </w:tr>
      <w:tr w:rsidR="002B66A4" w14:paraId="29023A3B" w14:textId="77777777">
        <w:tc>
          <w:tcPr>
            <w:tcW w:w="801" w:type="pct"/>
            <w:vMerge/>
            <w:shd w:val="clear" w:color="auto" w:fill="FFFFFF" w:themeFill="background1"/>
          </w:tcPr>
          <w:p w14:paraId="076C8A8F" w14:textId="77777777" w:rsidR="002B66A4" w:rsidRPr="002B66A4" w:rsidRDefault="002B66A4" w:rsidP="002B66A4">
            <w:pPr>
              <w:pStyle w:val="TableBodyText"/>
            </w:pPr>
          </w:p>
        </w:tc>
        <w:tc>
          <w:tcPr>
            <w:tcW w:w="1943" w:type="pct"/>
          </w:tcPr>
          <w:p w14:paraId="6A0C3E1A" w14:textId="77777777" w:rsidR="002B66A4" w:rsidRPr="002B66A4" w:rsidRDefault="002B66A4" w:rsidP="002B66A4">
            <w:pPr>
              <w:pStyle w:val="TableBodyText"/>
            </w:pPr>
            <w:r w:rsidRPr="002B66A4">
              <w:t>Qualified applicants per vacancy (no.)</w:t>
            </w:r>
          </w:p>
        </w:tc>
        <w:tc>
          <w:tcPr>
            <w:tcW w:w="752" w:type="pct"/>
            <w:vAlign w:val="center"/>
          </w:tcPr>
          <w:p w14:paraId="72B76773" w14:textId="4C64EAC8" w:rsidR="002B66A4" w:rsidRPr="002B66A4" w:rsidRDefault="002B66A4" w:rsidP="002B66A4">
            <w:pPr>
              <w:pStyle w:val="TableBodyTextright"/>
            </w:pPr>
            <w:r w:rsidRPr="002B66A4">
              <w:t>6.1</w:t>
            </w:r>
          </w:p>
        </w:tc>
        <w:tc>
          <w:tcPr>
            <w:tcW w:w="752" w:type="pct"/>
            <w:vAlign w:val="center"/>
          </w:tcPr>
          <w:p w14:paraId="01089839" w14:textId="08BA825A" w:rsidR="002B66A4" w:rsidRPr="002B66A4" w:rsidRDefault="00EA6232" w:rsidP="002B66A4">
            <w:pPr>
              <w:pStyle w:val="TableBodyTextright"/>
            </w:pPr>
            <w:r>
              <w:t>▲</w:t>
            </w:r>
            <w:r w:rsidR="002B66A4" w:rsidRPr="002B66A4">
              <w:t>0.1</w:t>
            </w:r>
          </w:p>
        </w:tc>
        <w:tc>
          <w:tcPr>
            <w:tcW w:w="752" w:type="pct"/>
            <w:vAlign w:val="center"/>
          </w:tcPr>
          <w:p w14:paraId="41C4767C" w14:textId="76277B54" w:rsidR="002B66A4" w:rsidRPr="002B66A4" w:rsidRDefault="00A8432C" w:rsidP="002B66A4">
            <w:pPr>
              <w:pStyle w:val="TableBodyTextright"/>
            </w:pPr>
            <w:r>
              <w:t>▼</w:t>
            </w:r>
            <w:r w:rsidR="002B66A4" w:rsidRPr="002B66A4">
              <w:t>0.7</w:t>
            </w:r>
          </w:p>
        </w:tc>
      </w:tr>
      <w:tr w:rsidR="002B66A4" w14:paraId="6F6310A3" w14:textId="77777777">
        <w:trPr>
          <w:cnfStyle w:val="000000010000" w:firstRow="0" w:lastRow="0" w:firstColumn="0" w:lastColumn="0" w:oddVBand="0" w:evenVBand="0" w:oddHBand="0" w:evenHBand="1" w:firstRowFirstColumn="0" w:firstRowLastColumn="0" w:lastRowFirstColumn="0" w:lastRowLastColumn="0"/>
        </w:trPr>
        <w:tc>
          <w:tcPr>
            <w:tcW w:w="801" w:type="pct"/>
            <w:vMerge/>
            <w:tcBorders>
              <w:bottom w:val="single" w:sz="4" w:space="0" w:color="D9D9D9" w:themeColor="background1" w:themeShade="D9"/>
            </w:tcBorders>
            <w:shd w:val="clear" w:color="auto" w:fill="FFFFFF" w:themeFill="background1"/>
          </w:tcPr>
          <w:p w14:paraId="5580BDCD" w14:textId="77777777" w:rsidR="002B66A4" w:rsidRPr="002B66A4" w:rsidRDefault="002B66A4" w:rsidP="002B66A4">
            <w:pPr>
              <w:pStyle w:val="TableBodyText"/>
            </w:pPr>
          </w:p>
        </w:tc>
        <w:tc>
          <w:tcPr>
            <w:tcW w:w="1943" w:type="pct"/>
            <w:tcBorders>
              <w:bottom w:val="single" w:sz="4" w:space="0" w:color="D9D9D9" w:themeColor="background1" w:themeShade="D9"/>
            </w:tcBorders>
          </w:tcPr>
          <w:p w14:paraId="46FE4F8B" w14:textId="77777777" w:rsidR="002B66A4" w:rsidRPr="002B66A4" w:rsidRDefault="002B66A4" w:rsidP="002B66A4">
            <w:pPr>
              <w:pStyle w:val="TableBodyText"/>
            </w:pPr>
            <w:r w:rsidRPr="002B66A4">
              <w:t>Suitable applicants per vacancy (no.)</w:t>
            </w:r>
          </w:p>
        </w:tc>
        <w:tc>
          <w:tcPr>
            <w:tcW w:w="752" w:type="pct"/>
            <w:tcBorders>
              <w:bottom w:val="single" w:sz="4" w:space="0" w:color="D9D9D9" w:themeColor="background1" w:themeShade="D9"/>
            </w:tcBorders>
            <w:vAlign w:val="center"/>
          </w:tcPr>
          <w:p w14:paraId="253E5AD1" w14:textId="288D8079" w:rsidR="002B66A4" w:rsidRPr="002B66A4" w:rsidRDefault="002B66A4" w:rsidP="002B66A4">
            <w:pPr>
              <w:pStyle w:val="TableBodyTextright"/>
            </w:pPr>
            <w:r w:rsidRPr="002B66A4">
              <w:t>3.3</w:t>
            </w:r>
          </w:p>
        </w:tc>
        <w:tc>
          <w:tcPr>
            <w:tcW w:w="752" w:type="pct"/>
            <w:tcBorders>
              <w:bottom w:val="single" w:sz="4" w:space="0" w:color="D9D9D9" w:themeColor="background1" w:themeShade="D9"/>
            </w:tcBorders>
            <w:vAlign w:val="center"/>
          </w:tcPr>
          <w:p w14:paraId="642EDD2A" w14:textId="63B32E0A" w:rsidR="002B66A4" w:rsidRPr="002B66A4" w:rsidRDefault="00EA6232" w:rsidP="002B66A4">
            <w:pPr>
              <w:pStyle w:val="TableBodyTextright"/>
            </w:pPr>
            <w:r>
              <w:t>▲</w:t>
            </w:r>
            <w:r w:rsidR="002B66A4" w:rsidRPr="002B66A4">
              <w:t>0.3</w:t>
            </w:r>
          </w:p>
        </w:tc>
        <w:tc>
          <w:tcPr>
            <w:tcW w:w="752" w:type="pct"/>
            <w:tcBorders>
              <w:bottom w:val="single" w:sz="4" w:space="0" w:color="D9D9D9" w:themeColor="background1" w:themeShade="D9"/>
            </w:tcBorders>
            <w:vAlign w:val="center"/>
          </w:tcPr>
          <w:p w14:paraId="74E77AE8" w14:textId="6BFA1E75" w:rsidR="002B66A4" w:rsidRPr="002B66A4" w:rsidRDefault="00EA6232" w:rsidP="002B66A4">
            <w:pPr>
              <w:pStyle w:val="TableBodyTextright"/>
            </w:pPr>
            <w:r>
              <w:t>▲</w:t>
            </w:r>
            <w:r w:rsidR="002B66A4" w:rsidRPr="002B66A4">
              <w:t>0.2</w:t>
            </w:r>
          </w:p>
        </w:tc>
      </w:tr>
      <w:tr w:rsidR="002B66A4" w14:paraId="5BE58895" w14:textId="77777777">
        <w:tc>
          <w:tcPr>
            <w:tcW w:w="801" w:type="pct"/>
            <w:vMerge w:val="restart"/>
            <w:tcBorders>
              <w:top w:val="single" w:sz="4" w:space="0" w:color="D9D9D9" w:themeColor="background1" w:themeShade="D9"/>
            </w:tcBorders>
            <w:shd w:val="clear" w:color="auto" w:fill="FFFFFF" w:themeFill="background1"/>
          </w:tcPr>
          <w:p w14:paraId="46822EE2" w14:textId="77777777" w:rsidR="002B66A4" w:rsidRPr="002B66A4" w:rsidRDefault="002B66A4" w:rsidP="002B66A4">
            <w:pPr>
              <w:pStyle w:val="TableBodyText"/>
            </w:pPr>
            <w:r w:rsidRPr="002B66A4">
              <w:t xml:space="preserve">Clerical and Administrative Workers </w:t>
            </w:r>
          </w:p>
        </w:tc>
        <w:tc>
          <w:tcPr>
            <w:tcW w:w="1943" w:type="pct"/>
            <w:tcBorders>
              <w:top w:val="single" w:sz="4" w:space="0" w:color="D9D9D9" w:themeColor="background1" w:themeShade="D9"/>
            </w:tcBorders>
          </w:tcPr>
          <w:p w14:paraId="0B4D5CB6" w14:textId="77777777" w:rsidR="002B66A4" w:rsidRPr="002B66A4" w:rsidRDefault="002B66A4" w:rsidP="002B66A4">
            <w:pPr>
              <w:pStyle w:val="TableBodyText"/>
            </w:pPr>
            <w:r w:rsidRPr="002B66A4">
              <w:t>Vacancy fill rate (%)</w:t>
            </w:r>
          </w:p>
        </w:tc>
        <w:tc>
          <w:tcPr>
            <w:tcW w:w="752" w:type="pct"/>
            <w:tcBorders>
              <w:top w:val="single" w:sz="4" w:space="0" w:color="D9D9D9" w:themeColor="background1" w:themeShade="D9"/>
            </w:tcBorders>
            <w:vAlign w:val="center"/>
          </w:tcPr>
          <w:p w14:paraId="31EA65F8" w14:textId="25DA1BF2" w:rsidR="002B66A4" w:rsidRPr="002B66A4" w:rsidRDefault="002B66A4" w:rsidP="002B66A4">
            <w:pPr>
              <w:pStyle w:val="TableBodyTextright"/>
            </w:pPr>
            <w:r w:rsidRPr="002B66A4">
              <w:t>82.0%</w:t>
            </w:r>
          </w:p>
        </w:tc>
        <w:tc>
          <w:tcPr>
            <w:tcW w:w="752" w:type="pct"/>
            <w:tcBorders>
              <w:top w:val="single" w:sz="4" w:space="0" w:color="D9D9D9" w:themeColor="background1" w:themeShade="D9"/>
            </w:tcBorders>
            <w:vAlign w:val="center"/>
          </w:tcPr>
          <w:p w14:paraId="0856A93F" w14:textId="756F4CC3" w:rsidR="002B66A4" w:rsidRPr="002B66A4" w:rsidRDefault="00EA6232" w:rsidP="002B66A4">
            <w:pPr>
              <w:pStyle w:val="TableBodyTextright"/>
            </w:pPr>
            <w:r>
              <w:t>▲</w:t>
            </w:r>
            <w:r w:rsidR="002B66A4" w:rsidRPr="002B66A4">
              <w:t>0.2% pts</w:t>
            </w:r>
          </w:p>
        </w:tc>
        <w:tc>
          <w:tcPr>
            <w:tcW w:w="752" w:type="pct"/>
            <w:tcBorders>
              <w:top w:val="single" w:sz="4" w:space="0" w:color="D9D9D9" w:themeColor="background1" w:themeShade="D9"/>
            </w:tcBorders>
            <w:vAlign w:val="center"/>
          </w:tcPr>
          <w:p w14:paraId="7FA79AAB" w14:textId="49E0C229" w:rsidR="002B66A4" w:rsidRPr="002B66A4" w:rsidRDefault="00EA6232" w:rsidP="002B66A4">
            <w:pPr>
              <w:pStyle w:val="TableBodyTextright"/>
            </w:pPr>
            <w:r>
              <w:t>▲</w:t>
            </w:r>
            <w:r w:rsidR="002B66A4" w:rsidRPr="002B66A4">
              <w:t>0.6% pts</w:t>
            </w:r>
          </w:p>
        </w:tc>
      </w:tr>
      <w:tr w:rsidR="002B66A4" w14:paraId="1D1D712E" w14:textId="77777777">
        <w:trPr>
          <w:cnfStyle w:val="000000010000" w:firstRow="0" w:lastRow="0" w:firstColumn="0" w:lastColumn="0" w:oddVBand="0" w:evenVBand="0" w:oddHBand="0" w:evenHBand="1" w:firstRowFirstColumn="0" w:firstRowLastColumn="0" w:lastRowFirstColumn="0" w:lastRowLastColumn="0"/>
        </w:trPr>
        <w:tc>
          <w:tcPr>
            <w:tcW w:w="801" w:type="pct"/>
            <w:vMerge/>
            <w:shd w:val="clear" w:color="auto" w:fill="FFFFFF" w:themeFill="background1"/>
          </w:tcPr>
          <w:p w14:paraId="0FB59CB7" w14:textId="77777777" w:rsidR="002B66A4" w:rsidRPr="002B66A4" w:rsidRDefault="002B66A4" w:rsidP="002B66A4">
            <w:pPr>
              <w:pStyle w:val="TableBodyText"/>
            </w:pPr>
          </w:p>
        </w:tc>
        <w:tc>
          <w:tcPr>
            <w:tcW w:w="1943" w:type="pct"/>
          </w:tcPr>
          <w:p w14:paraId="4549D120" w14:textId="77777777" w:rsidR="002B66A4" w:rsidRPr="002B66A4" w:rsidRDefault="002B66A4" w:rsidP="002B66A4">
            <w:pPr>
              <w:pStyle w:val="TableBodyText"/>
            </w:pPr>
            <w:r w:rsidRPr="002B66A4">
              <w:t>Applicants per vacancy (no.)</w:t>
            </w:r>
          </w:p>
        </w:tc>
        <w:tc>
          <w:tcPr>
            <w:tcW w:w="752" w:type="pct"/>
            <w:vAlign w:val="center"/>
          </w:tcPr>
          <w:p w14:paraId="3BE89EC1" w14:textId="7D531B0C" w:rsidR="002B66A4" w:rsidRPr="002B66A4" w:rsidRDefault="002B66A4" w:rsidP="002B66A4">
            <w:pPr>
              <w:pStyle w:val="TableBodyTextright"/>
            </w:pPr>
            <w:r w:rsidRPr="002B66A4">
              <w:t>38.0</w:t>
            </w:r>
          </w:p>
        </w:tc>
        <w:tc>
          <w:tcPr>
            <w:tcW w:w="752" w:type="pct"/>
            <w:vAlign w:val="center"/>
          </w:tcPr>
          <w:p w14:paraId="661F1BB1" w14:textId="4E857955" w:rsidR="002B66A4" w:rsidRPr="002B66A4" w:rsidRDefault="00A8432C" w:rsidP="002B66A4">
            <w:pPr>
              <w:pStyle w:val="TableBodyTextright"/>
            </w:pPr>
            <w:r>
              <w:t>▼</w:t>
            </w:r>
            <w:r w:rsidR="002B66A4" w:rsidRPr="002B66A4">
              <w:t>2.7</w:t>
            </w:r>
          </w:p>
        </w:tc>
        <w:tc>
          <w:tcPr>
            <w:tcW w:w="752" w:type="pct"/>
            <w:vAlign w:val="center"/>
          </w:tcPr>
          <w:p w14:paraId="52763D60" w14:textId="718C94EE" w:rsidR="002B66A4" w:rsidRPr="002B66A4" w:rsidRDefault="00A8432C" w:rsidP="002B66A4">
            <w:pPr>
              <w:pStyle w:val="TableBodyTextright"/>
            </w:pPr>
            <w:r>
              <w:t>▼</w:t>
            </w:r>
            <w:r w:rsidR="002B66A4" w:rsidRPr="002B66A4">
              <w:t>14.5</w:t>
            </w:r>
          </w:p>
        </w:tc>
      </w:tr>
      <w:tr w:rsidR="002B66A4" w14:paraId="21D07EC0" w14:textId="77777777">
        <w:tc>
          <w:tcPr>
            <w:tcW w:w="801" w:type="pct"/>
            <w:vMerge/>
            <w:shd w:val="clear" w:color="auto" w:fill="FFFFFF" w:themeFill="background1"/>
          </w:tcPr>
          <w:p w14:paraId="0D8BBB5E" w14:textId="77777777" w:rsidR="002B66A4" w:rsidRPr="002B66A4" w:rsidRDefault="002B66A4" w:rsidP="002B66A4">
            <w:pPr>
              <w:pStyle w:val="TableBodyText"/>
            </w:pPr>
          </w:p>
        </w:tc>
        <w:tc>
          <w:tcPr>
            <w:tcW w:w="1943" w:type="pct"/>
          </w:tcPr>
          <w:p w14:paraId="449FCDD4" w14:textId="77777777" w:rsidR="002B66A4" w:rsidRPr="002B66A4" w:rsidRDefault="002B66A4" w:rsidP="002B66A4">
            <w:pPr>
              <w:pStyle w:val="TableBodyText"/>
            </w:pPr>
            <w:r w:rsidRPr="002B66A4">
              <w:t>Qualified applicants per vacancy (no.)</w:t>
            </w:r>
          </w:p>
        </w:tc>
        <w:tc>
          <w:tcPr>
            <w:tcW w:w="752" w:type="pct"/>
            <w:vAlign w:val="center"/>
          </w:tcPr>
          <w:p w14:paraId="41A81F33" w14:textId="59610FA0" w:rsidR="002B66A4" w:rsidRPr="002B66A4" w:rsidRDefault="002B66A4" w:rsidP="002B66A4">
            <w:pPr>
              <w:pStyle w:val="TableBodyTextright"/>
            </w:pPr>
            <w:r w:rsidRPr="002B66A4">
              <w:t>10.6</w:t>
            </w:r>
          </w:p>
        </w:tc>
        <w:tc>
          <w:tcPr>
            <w:tcW w:w="752" w:type="pct"/>
            <w:vAlign w:val="center"/>
          </w:tcPr>
          <w:p w14:paraId="69C1B18E" w14:textId="393A739C" w:rsidR="002B66A4" w:rsidRPr="002B66A4" w:rsidRDefault="00EA6232" w:rsidP="002B66A4">
            <w:pPr>
              <w:pStyle w:val="TableBodyTextright"/>
            </w:pPr>
            <w:r>
              <w:t>▲</w:t>
            </w:r>
            <w:r w:rsidR="002B66A4" w:rsidRPr="002B66A4">
              <w:t>0.7</w:t>
            </w:r>
          </w:p>
        </w:tc>
        <w:tc>
          <w:tcPr>
            <w:tcW w:w="752" w:type="pct"/>
            <w:vAlign w:val="center"/>
          </w:tcPr>
          <w:p w14:paraId="46C5801C" w14:textId="1271F8F9" w:rsidR="002B66A4" w:rsidRPr="002B66A4" w:rsidRDefault="00EA6232" w:rsidP="002B66A4">
            <w:pPr>
              <w:pStyle w:val="TableBodyTextright"/>
            </w:pPr>
            <w:r>
              <w:t>▲</w:t>
            </w:r>
            <w:r w:rsidR="002B66A4" w:rsidRPr="002B66A4">
              <w:t>1.4</w:t>
            </w:r>
          </w:p>
        </w:tc>
      </w:tr>
      <w:tr w:rsidR="002B66A4" w14:paraId="73294932" w14:textId="77777777">
        <w:trPr>
          <w:cnfStyle w:val="000000010000" w:firstRow="0" w:lastRow="0" w:firstColumn="0" w:lastColumn="0" w:oddVBand="0" w:evenVBand="0" w:oddHBand="0" w:evenHBand="1" w:firstRowFirstColumn="0" w:firstRowLastColumn="0" w:lastRowFirstColumn="0" w:lastRowLastColumn="0"/>
        </w:trPr>
        <w:tc>
          <w:tcPr>
            <w:tcW w:w="801" w:type="pct"/>
            <w:vMerge/>
            <w:tcBorders>
              <w:bottom w:val="single" w:sz="4" w:space="0" w:color="D9D9D9" w:themeColor="background1" w:themeShade="D9"/>
            </w:tcBorders>
            <w:shd w:val="clear" w:color="auto" w:fill="FFFFFF" w:themeFill="background1"/>
          </w:tcPr>
          <w:p w14:paraId="569B57A7" w14:textId="77777777" w:rsidR="002B66A4" w:rsidRPr="002B66A4" w:rsidRDefault="002B66A4" w:rsidP="002B66A4">
            <w:pPr>
              <w:pStyle w:val="TableBodyText"/>
            </w:pPr>
          </w:p>
        </w:tc>
        <w:tc>
          <w:tcPr>
            <w:tcW w:w="1943" w:type="pct"/>
            <w:tcBorders>
              <w:bottom w:val="single" w:sz="4" w:space="0" w:color="D9D9D9" w:themeColor="background1" w:themeShade="D9"/>
            </w:tcBorders>
          </w:tcPr>
          <w:p w14:paraId="207E7B96" w14:textId="77777777" w:rsidR="002B66A4" w:rsidRPr="002B66A4" w:rsidRDefault="002B66A4" w:rsidP="002B66A4">
            <w:pPr>
              <w:pStyle w:val="TableBodyText"/>
            </w:pPr>
            <w:r w:rsidRPr="002B66A4">
              <w:t>Suitable applicants per vacancy (no.)</w:t>
            </w:r>
          </w:p>
        </w:tc>
        <w:tc>
          <w:tcPr>
            <w:tcW w:w="752" w:type="pct"/>
            <w:tcBorders>
              <w:bottom w:val="single" w:sz="4" w:space="0" w:color="D9D9D9" w:themeColor="background1" w:themeShade="D9"/>
            </w:tcBorders>
            <w:vAlign w:val="center"/>
          </w:tcPr>
          <w:p w14:paraId="2F57DBC5" w14:textId="411C462D" w:rsidR="002B66A4" w:rsidRPr="002B66A4" w:rsidRDefault="002B66A4" w:rsidP="002B66A4">
            <w:pPr>
              <w:pStyle w:val="TableBodyTextright"/>
            </w:pPr>
            <w:r w:rsidRPr="002B66A4">
              <w:t>7.3</w:t>
            </w:r>
          </w:p>
        </w:tc>
        <w:tc>
          <w:tcPr>
            <w:tcW w:w="752" w:type="pct"/>
            <w:tcBorders>
              <w:bottom w:val="single" w:sz="4" w:space="0" w:color="D9D9D9" w:themeColor="background1" w:themeShade="D9"/>
            </w:tcBorders>
            <w:vAlign w:val="center"/>
          </w:tcPr>
          <w:p w14:paraId="5896E9D5" w14:textId="39691F01" w:rsidR="002B66A4" w:rsidRPr="002B66A4" w:rsidRDefault="00EA6232" w:rsidP="002B66A4">
            <w:pPr>
              <w:pStyle w:val="TableBodyTextright"/>
            </w:pPr>
            <w:r>
              <w:t>▲</w:t>
            </w:r>
            <w:r w:rsidR="002B66A4" w:rsidRPr="002B66A4">
              <w:t>0.5</w:t>
            </w:r>
          </w:p>
        </w:tc>
        <w:tc>
          <w:tcPr>
            <w:tcW w:w="752" w:type="pct"/>
            <w:tcBorders>
              <w:bottom w:val="single" w:sz="4" w:space="0" w:color="D9D9D9" w:themeColor="background1" w:themeShade="D9"/>
            </w:tcBorders>
            <w:vAlign w:val="center"/>
          </w:tcPr>
          <w:p w14:paraId="30958558" w14:textId="10D74C32" w:rsidR="002B66A4" w:rsidRPr="002B66A4" w:rsidRDefault="00EA6232" w:rsidP="002B66A4">
            <w:pPr>
              <w:pStyle w:val="TableBodyTextright"/>
            </w:pPr>
            <w:r>
              <w:t>▲</w:t>
            </w:r>
            <w:r w:rsidR="002B66A4" w:rsidRPr="002B66A4">
              <w:t>1.3</w:t>
            </w:r>
          </w:p>
        </w:tc>
      </w:tr>
      <w:tr w:rsidR="002B66A4" w14:paraId="30C48989" w14:textId="77777777">
        <w:tc>
          <w:tcPr>
            <w:tcW w:w="801" w:type="pct"/>
            <w:vMerge w:val="restart"/>
            <w:tcBorders>
              <w:top w:val="single" w:sz="4" w:space="0" w:color="D9D9D9" w:themeColor="background1" w:themeShade="D9"/>
            </w:tcBorders>
            <w:shd w:val="clear" w:color="auto" w:fill="FFFFFF" w:themeFill="background1"/>
          </w:tcPr>
          <w:p w14:paraId="11EA0744" w14:textId="77777777" w:rsidR="002B66A4" w:rsidRPr="002B66A4" w:rsidRDefault="002B66A4" w:rsidP="002B66A4">
            <w:pPr>
              <w:pStyle w:val="TableBodyText"/>
            </w:pPr>
            <w:r w:rsidRPr="002B66A4">
              <w:t xml:space="preserve">Sales Workers </w:t>
            </w:r>
          </w:p>
        </w:tc>
        <w:tc>
          <w:tcPr>
            <w:tcW w:w="1943" w:type="pct"/>
            <w:tcBorders>
              <w:top w:val="single" w:sz="4" w:space="0" w:color="D9D9D9" w:themeColor="background1" w:themeShade="D9"/>
            </w:tcBorders>
          </w:tcPr>
          <w:p w14:paraId="5A25782B" w14:textId="77777777" w:rsidR="002B66A4" w:rsidRPr="002B66A4" w:rsidRDefault="002B66A4" w:rsidP="002B66A4">
            <w:pPr>
              <w:pStyle w:val="TableBodyText"/>
            </w:pPr>
            <w:r w:rsidRPr="002B66A4">
              <w:t>Vacancy fill rate (%)</w:t>
            </w:r>
          </w:p>
        </w:tc>
        <w:tc>
          <w:tcPr>
            <w:tcW w:w="752" w:type="pct"/>
            <w:tcBorders>
              <w:top w:val="single" w:sz="4" w:space="0" w:color="D9D9D9" w:themeColor="background1" w:themeShade="D9"/>
            </w:tcBorders>
            <w:vAlign w:val="center"/>
          </w:tcPr>
          <w:p w14:paraId="6A7FF9DD" w14:textId="06C513C3" w:rsidR="002B66A4" w:rsidRPr="002B66A4" w:rsidRDefault="002B66A4" w:rsidP="002B66A4">
            <w:pPr>
              <w:pStyle w:val="TableBodyTextright"/>
            </w:pPr>
            <w:r w:rsidRPr="002B66A4">
              <w:t>70.6%</w:t>
            </w:r>
          </w:p>
        </w:tc>
        <w:tc>
          <w:tcPr>
            <w:tcW w:w="752" w:type="pct"/>
            <w:tcBorders>
              <w:top w:val="single" w:sz="4" w:space="0" w:color="D9D9D9" w:themeColor="background1" w:themeShade="D9"/>
            </w:tcBorders>
            <w:vAlign w:val="center"/>
          </w:tcPr>
          <w:p w14:paraId="4AA170DF" w14:textId="2E92E40B" w:rsidR="002B66A4" w:rsidRPr="002B66A4" w:rsidRDefault="00EA6232" w:rsidP="002B66A4">
            <w:pPr>
              <w:pStyle w:val="TableBodyTextright"/>
            </w:pPr>
            <w:r>
              <w:t>▲</w:t>
            </w:r>
            <w:r w:rsidR="002B66A4" w:rsidRPr="002B66A4">
              <w:t>0.8% pts</w:t>
            </w:r>
          </w:p>
        </w:tc>
        <w:tc>
          <w:tcPr>
            <w:tcW w:w="752" w:type="pct"/>
            <w:tcBorders>
              <w:top w:val="single" w:sz="4" w:space="0" w:color="D9D9D9" w:themeColor="background1" w:themeShade="D9"/>
            </w:tcBorders>
            <w:vAlign w:val="center"/>
          </w:tcPr>
          <w:p w14:paraId="2E73EFD5" w14:textId="54435795" w:rsidR="002B66A4" w:rsidRPr="002B66A4" w:rsidRDefault="00A8432C" w:rsidP="002B66A4">
            <w:pPr>
              <w:pStyle w:val="TableBodyTextright"/>
            </w:pPr>
            <w:r>
              <w:t>▼</w:t>
            </w:r>
            <w:r w:rsidR="002B66A4" w:rsidRPr="002B66A4">
              <w:t>1.0% pts</w:t>
            </w:r>
          </w:p>
        </w:tc>
      </w:tr>
      <w:tr w:rsidR="002B66A4" w14:paraId="28EF43BB" w14:textId="77777777">
        <w:trPr>
          <w:cnfStyle w:val="000000010000" w:firstRow="0" w:lastRow="0" w:firstColumn="0" w:lastColumn="0" w:oddVBand="0" w:evenVBand="0" w:oddHBand="0" w:evenHBand="1" w:firstRowFirstColumn="0" w:firstRowLastColumn="0" w:lastRowFirstColumn="0" w:lastRowLastColumn="0"/>
        </w:trPr>
        <w:tc>
          <w:tcPr>
            <w:tcW w:w="801" w:type="pct"/>
            <w:vMerge/>
            <w:shd w:val="clear" w:color="auto" w:fill="FFFFFF" w:themeFill="background1"/>
          </w:tcPr>
          <w:p w14:paraId="7EDD075C" w14:textId="77777777" w:rsidR="002B66A4" w:rsidRPr="002B66A4" w:rsidRDefault="002B66A4" w:rsidP="002B66A4">
            <w:pPr>
              <w:pStyle w:val="TableBodyText"/>
            </w:pPr>
          </w:p>
        </w:tc>
        <w:tc>
          <w:tcPr>
            <w:tcW w:w="1943" w:type="pct"/>
          </w:tcPr>
          <w:p w14:paraId="00705647" w14:textId="77777777" w:rsidR="002B66A4" w:rsidRPr="002B66A4" w:rsidRDefault="002B66A4" w:rsidP="002B66A4">
            <w:pPr>
              <w:pStyle w:val="TableBodyText"/>
            </w:pPr>
            <w:r w:rsidRPr="002B66A4">
              <w:t>Applicants per vacancy (no.)</w:t>
            </w:r>
          </w:p>
        </w:tc>
        <w:tc>
          <w:tcPr>
            <w:tcW w:w="752" w:type="pct"/>
            <w:vAlign w:val="center"/>
          </w:tcPr>
          <w:p w14:paraId="70AA8D06" w14:textId="1D5401E8" w:rsidR="002B66A4" w:rsidRPr="002B66A4" w:rsidRDefault="002B66A4" w:rsidP="002B66A4">
            <w:pPr>
              <w:pStyle w:val="TableBodyTextright"/>
            </w:pPr>
            <w:r w:rsidRPr="002B66A4">
              <w:t>26.2</w:t>
            </w:r>
          </w:p>
        </w:tc>
        <w:tc>
          <w:tcPr>
            <w:tcW w:w="752" w:type="pct"/>
            <w:vAlign w:val="center"/>
          </w:tcPr>
          <w:p w14:paraId="59F117F7" w14:textId="3683C3F3" w:rsidR="002B66A4" w:rsidRPr="002B66A4" w:rsidRDefault="00EA6232" w:rsidP="002B66A4">
            <w:pPr>
              <w:pStyle w:val="TableBodyTextright"/>
            </w:pPr>
            <w:r>
              <w:t>▲</w:t>
            </w:r>
            <w:r w:rsidR="002B66A4" w:rsidRPr="002B66A4">
              <w:t>1.1</w:t>
            </w:r>
          </w:p>
        </w:tc>
        <w:tc>
          <w:tcPr>
            <w:tcW w:w="752" w:type="pct"/>
            <w:vAlign w:val="center"/>
          </w:tcPr>
          <w:p w14:paraId="11313C9E" w14:textId="78010C6D" w:rsidR="002B66A4" w:rsidRPr="002B66A4" w:rsidRDefault="00A8432C" w:rsidP="002B66A4">
            <w:pPr>
              <w:pStyle w:val="TableBodyTextright"/>
            </w:pPr>
            <w:r>
              <w:t>▼</w:t>
            </w:r>
            <w:r w:rsidR="002B66A4" w:rsidRPr="002B66A4">
              <w:t>0.2</w:t>
            </w:r>
          </w:p>
        </w:tc>
      </w:tr>
      <w:tr w:rsidR="002B66A4" w14:paraId="7A55F9A2" w14:textId="77777777">
        <w:tc>
          <w:tcPr>
            <w:tcW w:w="801" w:type="pct"/>
            <w:vMerge/>
            <w:shd w:val="clear" w:color="auto" w:fill="FFFFFF" w:themeFill="background1"/>
          </w:tcPr>
          <w:p w14:paraId="7E061799" w14:textId="77777777" w:rsidR="002B66A4" w:rsidRPr="002B66A4" w:rsidRDefault="002B66A4" w:rsidP="002B66A4">
            <w:pPr>
              <w:pStyle w:val="TableBodyText"/>
            </w:pPr>
          </w:p>
        </w:tc>
        <w:tc>
          <w:tcPr>
            <w:tcW w:w="1943" w:type="pct"/>
          </w:tcPr>
          <w:p w14:paraId="4AC45167" w14:textId="77777777" w:rsidR="002B66A4" w:rsidRPr="002B66A4" w:rsidRDefault="002B66A4" w:rsidP="002B66A4">
            <w:pPr>
              <w:pStyle w:val="TableBodyText"/>
            </w:pPr>
            <w:r w:rsidRPr="002B66A4">
              <w:t>Qualified applicants per vacancy (no.)</w:t>
            </w:r>
          </w:p>
        </w:tc>
        <w:tc>
          <w:tcPr>
            <w:tcW w:w="752" w:type="pct"/>
            <w:vAlign w:val="center"/>
          </w:tcPr>
          <w:p w14:paraId="6873A9F7" w14:textId="2A33FB47" w:rsidR="002B66A4" w:rsidRPr="002B66A4" w:rsidRDefault="002B66A4" w:rsidP="002B66A4">
            <w:pPr>
              <w:pStyle w:val="TableBodyTextright"/>
            </w:pPr>
            <w:r w:rsidRPr="002B66A4">
              <w:t>6.2</w:t>
            </w:r>
          </w:p>
        </w:tc>
        <w:tc>
          <w:tcPr>
            <w:tcW w:w="752" w:type="pct"/>
            <w:vAlign w:val="center"/>
          </w:tcPr>
          <w:p w14:paraId="384C68DC" w14:textId="5B46B8EB" w:rsidR="002B66A4" w:rsidRPr="002B66A4" w:rsidRDefault="00EA6232" w:rsidP="002B66A4">
            <w:pPr>
              <w:pStyle w:val="TableBodyTextright"/>
            </w:pPr>
            <w:r>
              <w:t>▲</w:t>
            </w:r>
            <w:r w:rsidR="002B66A4" w:rsidRPr="002B66A4">
              <w:t>0.2</w:t>
            </w:r>
          </w:p>
        </w:tc>
        <w:tc>
          <w:tcPr>
            <w:tcW w:w="752" w:type="pct"/>
            <w:vAlign w:val="center"/>
          </w:tcPr>
          <w:p w14:paraId="665F8AA0" w14:textId="4330EB02" w:rsidR="002B66A4" w:rsidRPr="002B66A4" w:rsidRDefault="00EA6232" w:rsidP="002B66A4">
            <w:pPr>
              <w:pStyle w:val="TableBodyTextright"/>
            </w:pPr>
            <w:r>
              <w:t>▲</w:t>
            </w:r>
            <w:r w:rsidR="002B66A4" w:rsidRPr="002B66A4">
              <w:t>1.3</w:t>
            </w:r>
          </w:p>
        </w:tc>
      </w:tr>
      <w:tr w:rsidR="002B66A4" w14:paraId="28FD5C4E" w14:textId="77777777">
        <w:trPr>
          <w:cnfStyle w:val="000000010000" w:firstRow="0" w:lastRow="0" w:firstColumn="0" w:lastColumn="0" w:oddVBand="0" w:evenVBand="0" w:oddHBand="0" w:evenHBand="1" w:firstRowFirstColumn="0" w:firstRowLastColumn="0" w:lastRowFirstColumn="0" w:lastRowLastColumn="0"/>
        </w:trPr>
        <w:tc>
          <w:tcPr>
            <w:tcW w:w="801" w:type="pct"/>
            <w:vMerge/>
            <w:tcBorders>
              <w:bottom w:val="single" w:sz="4" w:space="0" w:color="D9D9D9" w:themeColor="background1" w:themeShade="D9"/>
            </w:tcBorders>
            <w:shd w:val="clear" w:color="auto" w:fill="FFFFFF" w:themeFill="background1"/>
          </w:tcPr>
          <w:p w14:paraId="4F56B011" w14:textId="77777777" w:rsidR="002B66A4" w:rsidRPr="002B66A4" w:rsidRDefault="002B66A4" w:rsidP="002B66A4">
            <w:pPr>
              <w:pStyle w:val="TableBodyText"/>
            </w:pPr>
          </w:p>
        </w:tc>
        <w:tc>
          <w:tcPr>
            <w:tcW w:w="1943" w:type="pct"/>
            <w:tcBorders>
              <w:bottom w:val="single" w:sz="4" w:space="0" w:color="D9D9D9" w:themeColor="background1" w:themeShade="D9"/>
            </w:tcBorders>
          </w:tcPr>
          <w:p w14:paraId="4BAD4B86" w14:textId="77777777" w:rsidR="002B66A4" w:rsidRPr="002B66A4" w:rsidRDefault="002B66A4" w:rsidP="002B66A4">
            <w:pPr>
              <w:pStyle w:val="TableBodyText"/>
            </w:pPr>
            <w:r w:rsidRPr="002B66A4">
              <w:t>Suitable applicants per vacancy (no.)</w:t>
            </w:r>
          </w:p>
        </w:tc>
        <w:tc>
          <w:tcPr>
            <w:tcW w:w="752" w:type="pct"/>
            <w:tcBorders>
              <w:bottom w:val="single" w:sz="4" w:space="0" w:color="D9D9D9" w:themeColor="background1" w:themeShade="D9"/>
            </w:tcBorders>
            <w:vAlign w:val="center"/>
          </w:tcPr>
          <w:p w14:paraId="52373B3B" w14:textId="7EAE45B9" w:rsidR="002B66A4" w:rsidRPr="002B66A4" w:rsidRDefault="002B66A4" w:rsidP="002B66A4">
            <w:pPr>
              <w:pStyle w:val="TableBodyTextright"/>
            </w:pPr>
            <w:r w:rsidRPr="002B66A4">
              <w:t>4.1</w:t>
            </w:r>
          </w:p>
        </w:tc>
        <w:tc>
          <w:tcPr>
            <w:tcW w:w="752" w:type="pct"/>
            <w:tcBorders>
              <w:bottom w:val="single" w:sz="4" w:space="0" w:color="D9D9D9" w:themeColor="background1" w:themeShade="D9"/>
            </w:tcBorders>
            <w:vAlign w:val="center"/>
          </w:tcPr>
          <w:p w14:paraId="2BE82153" w14:textId="46B48B2F" w:rsidR="002B66A4" w:rsidRPr="002B66A4" w:rsidRDefault="00EA6232" w:rsidP="002B66A4">
            <w:pPr>
              <w:pStyle w:val="TableBodyTextright"/>
            </w:pPr>
            <w:r>
              <w:t>▲</w:t>
            </w:r>
            <w:r w:rsidR="002B66A4" w:rsidRPr="002B66A4">
              <w:t>0.3</w:t>
            </w:r>
          </w:p>
        </w:tc>
        <w:tc>
          <w:tcPr>
            <w:tcW w:w="752" w:type="pct"/>
            <w:tcBorders>
              <w:bottom w:val="single" w:sz="4" w:space="0" w:color="D9D9D9" w:themeColor="background1" w:themeShade="D9"/>
            </w:tcBorders>
            <w:vAlign w:val="center"/>
          </w:tcPr>
          <w:p w14:paraId="03532D4C" w14:textId="174C73A7" w:rsidR="002B66A4" w:rsidRPr="002B66A4" w:rsidRDefault="00EA6232" w:rsidP="002B66A4">
            <w:pPr>
              <w:pStyle w:val="TableBodyTextright"/>
            </w:pPr>
            <w:r>
              <w:t>▲</w:t>
            </w:r>
            <w:r w:rsidR="002B66A4" w:rsidRPr="002B66A4">
              <w:t>1.0</w:t>
            </w:r>
          </w:p>
        </w:tc>
      </w:tr>
      <w:tr w:rsidR="002B66A4" w14:paraId="4ED561CA" w14:textId="77777777">
        <w:tc>
          <w:tcPr>
            <w:tcW w:w="801" w:type="pct"/>
            <w:vMerge w:val="restart"/>
            <w:tcBorders>
              <w:top w:val="single" w:sz="4" w:space="0" w:color="D9D9D9" w:themeColor="background1" w:themeShade="D9"/>
            </w:tcBorders>
            <w:shd w:val="clear" w:color="auto" w:fill="FFFFFF" w:themeFill="background1"/>
          </w:tcPr>
          <w:p w14:paraId="1ACAEFD0" w14:textId="77777777" w:rsidR="002B66A4" w:rsidRPr="002B66A4" w:rsidRDefault="002B66A4" w:rsidP="002B66A4">
            <w:pPr>
              <w:pStyle w:val="TableBodyText"/>
            </w:pPr>
            <w:r w:rsidRPr="002B66A4">
              <w:t xml:space="preserve">Machinery Operators and Drivers </w:t>
            </w:r>
          </w:p>
        </w:tc>
        <w:tc>
          <w:tcPr>
            <w:tcW w:w="1943" w:type="pct"/>
            <w:tcBorders>
              <w:top w:val="single" w:sz="4" w:space="0" w:color="D9D9D9" w:themeColor="background1" w:themeShade="D9"/>
            </w:tcBorders>
          </w:tcPr>
          <w:p w14:paraId="765EB003" w14:textId="77777777" w:rsidR="002B66A4" w:rsidRPr="002B66A4" w:rsidRDefault="002B66A4" w:rsidP="002B66A4">
            <w:pPr>
              <w:pStyle w:val="TableBodyText"/>
            </w:pPr>
            <w:r w:rsidRPr="002B66A4">
              <w:t>Vacancy fill rate (%)</w:t>
            </w:r>
          </w:p>
        </w:tc>
        <w:tc>
          <w:tcPr>
            <w:tcW w:w="752" w:type="pct"/>
            <w:tcBorders>
              <w:top w:val="single" w:sz="4" w:space="0" w:color="D9D9D9" w:themeColor="background1" w:themeShade="D9"/>
            </w:tcBorders>
            <w:vAlign w:val="center"/>
          </w:tcPr>
          <w:p w14:paraId="29935ECC" w14:textId="05C5274C" w:rsidR="002B66A4" w:rsidRPr="002B66A4" w:rsidRDefault="002B66A4" w:rsidP="002B66A4">
            <w:pPr>
              <w:pStyle w:val="TableBodyTextright"/>
            </w:pPr>
            <w:r w:rsidRPr="002B66A4">
              <w:t>66.6%</w:t>
            </w:r>
          </w:p>
        </w:tc>
        <w:tc>
          <w:tcPr>
            <w:tcW w:w="752" w:type="pct"/>
            <w:tcBorders>
              <w:top w:val="single" w:sz="4" w:space="0" w:color="D9D9D9" w:themeColor="background1" w:themeShade="D9"/>
            </w:tcBorders>
            <w:vAlign w:val="center"/>
          </w:tcPr>
          <w:p w14:paraId="15A88DC1" w14:textId="6AFD7E85" w:rsidR="002B66A4" w:rsidRPr="002B66A4" w:rsidRDefault="00A8432C" w:rsidP="002B66A4">
            <w:pPr>
              <w:pStyle w:val="TableBodyTextright"/>
            </w:pPr>
            <w:r>
              <w:t>▼</w:t>
            </w:r>
            <w:r w:rsidR="002B66A4" w:rsidRPr="002B66A4">
              <w:t>2.0% pts</w:t>
            </w:r>
          </w:p>
        </w:tc>
        <w:tc>
          <w:tcPr>
            <w:tcW w:w="752" w:type="pct"/>
            <w:tcBorders>
              <w:top w:val="single" w:sz="4" w:space="0" w:color="D9D9D9" w:themeColor="background1" w:themeShade="D9"/>
            </w:tcBorders>
            <w:vAlign w:val="center"/>
          </w:tcPr>
          <w:p w14:paraId="7E52F030" w14:textId="19EB9EA4" w:rsidR="002B66A4" w:rsidRPr="002B66A4" w:rsidRDefault="00A8432C" w:rsidP="002B66A4">
            <w:pPr>
              <w:pStyle w:val="TableBodyTextright"/>
            </w:pPr>
            <w:r>
              <w:t>▼</w:t>
            </w:r>
            <w:r w:rsidR="002B66A4" w:rsidRPr="002B66A4">
              <w:t>3.8% pts</w:t>
            </w:r>
          </w:p>
        </w:tc>
      </w:tr>
      <w:tr w:rsidR="002B66A4" w14:paraId="66C29479" w14:textId="77777777">
        <w:trPr>
          <w:cnfStyle w:val="000000010000" w:firstRow="0" w:lastRow="0" w:firstColumn="0" w:lastColumn="0" w:oddVBand="0" w:evenVBand="0" w:oddHBand="0" w:evenHBand="1" w:firstRowFirstColumn="0" w:firstRowLastColumn="0" w:lastRowFirstColumn="0" w:lastRowLastColumn="0"/>
        </w:trPr>
        <w:tc>
          <w:tcPr>
            <w:tcW w:w="801" w:type="pct"/>
            <w:vMerge/>
            <w:shd w:val="clear" w:color="auto" w:fill="FFFFFF" w:themeFill="background1"/>
          </w:tcPr>
          <w:p w14:paraId="6B156210" w14:textId="77777777" w:rsidR="002B66A4" w:rsidRPr="002B66A4" w:rsidRDefault="002B66A4" w:rsidP="002B66A4">
            <w:pPr>
              <w:pStyle w:val="TableBodyText"/>
            </w:pPr>
          </w:p>
        </w:tc>
        <w:tc>
          <w:tcPr>
            <w:tcW w:w="1943" w:type="pct"/>
          </w:tcPr>
          <w:p w14:paraId="2E5FFE4B" w14:textId="77777777" w:rsidR="002B66A4" w:rsidRPr="002B66A4" w:rsidRDefault="002B66A4" w:rsidP="002B66A4">
            <w:pPr>
              <w:pStyle w:val="TableBodyText"/>
            </w:pPr>
            <w:r w:rsidRPr="002B66A4">
              <w:t>Applicants per vacancy (no.)</w:t>
            </w:r>
          </w:p>
        </w:tc>
        <w:tc>
          <w:tcPr>
            <w:tcW w:w="752" w:type="pct"/>
            <w:vAlign w:val="center"/>
          </w:tcPr>
          <w:p w14:paraId="33AB4E1A" w14:textId="3F5B1476" w:rsidR="002B66A4" w:rsidRPr="002B66A4" w:rsidRDefault="002B66A4" w:rsidP="002B66A4">
            <w:pPr>
              <w:pStyle w:val="TableBodyTextright"/>
            </w:pPr>
            <w:r w:rsidRPr="002B66A4">
              <w:t>21.9</w:t>
            </w:r>
          </w:p>
        </w:tc>
        <w:tc>
          <w:tcPr>
            <w:tcW w:w="752" w:type="pct"/>
            <w:vAlign w:val="center"/>
          </w:tcPr>
          <w:p w14:paraId="4DE00087" w14:textId="7F31C9D3" w:rsidR="002B66A4" w:rsidRPr="002B66A4" w:rsidRDefault="00A8432C" w:rsidP="002B66A4">
            <w:pPr>
              <w:pStyle w:val="TableBodyTextright"/>
            </w:pPr>
            <w:r>
              <w:t>▼</w:t>
            </w:r>
            <w:r w:rsidR="002B66A4" w:rsidRPr="002B66A4">
              <w:t>4.8</w:t>
            </w:r>
          </w:p>
        </w:tc>
        <w:tc>
          <w:tcPr>
            <w:tcW w:w="752" w:type="pct"/>
            <w:vAlign w:val="center"/>
          </w:tcPr>
          <w:p w14:paraId="25812704" w14:textId="34189219" w:rsidR="002B66A4" w:rsidRPr="002B66A4" w:rsidRDefault="00A8432C" w:rsidP="002B66A4">
            <w:pPr>
              <w:pStyle w:val="TableBodyTextright"/>
            </w:pPr>
            <w:r>
              <w:t>▼</w:t>
            </w:r>
            <w:r w:rsidR="002B66A4" w:rsidRPr="002B66A4">
              <w:t>8.2</w:t>
            </w:r>
          </w:p>
        </w:tc>
      </w:tr>
      <w:tr w:rsidR="002B66A4" w14:paraId="5ACA1956" w14:textId="77777777">
        <w:tc>
          <w:tcPr>
            <w:tcW w:w="801" w:type="pct"/>
            <w:vMerge/>
            <w:shd w:val="clear" w:color="auto" w:fill="FFFFFF" w:themeFill="background1"/>
          </w:tcPr>
          <w:p w14:paraId="51C6E5DC" w14:textId="77777777" w:rsidR="002B66A4" w:rsidRPr="002B66A4" w:rsidRDefault="002B66A4" w:rsidP="002B66A4">
            <w:pPr>
              <w:pStyle w:val="TableBodyText"/>
            </w:pPr>
          </w:p>
        </w:tc>
        <w:tc>
          <w:tcPr>
            <w:tcW w:w="1943" w:type="pct"/>
          </w:tcPr>
          <w:p w14:paraId="566D0515" w14:textId="77777777" w:rsidR="002B66A4" w:rsidRPr="002B66A4" w:rsidRDefault="002B66A4" w:rsidP="002B66A4">
            <w:pPr>
              <w:pStyle w:val="TableBodyText"/>
            </w:pPr>
            <w:r w:rsidRPr="002B66A4">
              <w:t>Qualified applicants per vacancy (no.)</w:t>
            </w:r>
          </w:p>
        </w:tc>
        <w:tc>
          <w:tcPr>
            <w:tcW w:w="752" w:type="pct"/>
            <w:vAlign w:val="center"/>
          </w:tcPr>
          <w:p w14:paraId="2F68E081" w14:textId="7C25D121" w:rsidR="002B66A4" w:rsidRPr="002B66A4" w:rsidRDefault="002B66A4" w:rsidP="002B66A4">
            <w:pPr>
              <w:pStyle w:val="TableBodyTextright"/>
            </w:pPr>
            <w:r w:rsidRPr="002B66A4">
              <w:t>8.5</w:t>
            </w:r>
          </w:p>
        </w:tc>
        <w:tc>
          <w:tcPr>
            <w:tcW w:w="752" w:type="pct"/>
            <w:vAlign w:val="center"/>
          </w:tcPr>
          <w:p w14:paraId="65798197" w14:textId="5E609A7A" w:rsidR="002B66A4" w:rsidRPr="002B66A4" w:rsidRDefault="0035738E" w:rsidP="002B66A4">
            <w:pPr>
              <w:pStyle w:val="TableBodyTextright"/>
            </w:pPr>
            <w:r>
              <w:t>—</w:t>
            </w:r>
          </w:p>
        </w:tc>
        <w:tc>
          <w:tcPr>
            <w:tcW w:w="752" w:type="pct"/>
            <w:vAlign w:val="center"/>
          </w:tcPr>
          <w:p w14:paraId="016D57B3" w14:textId="3B131A9B" w:rsidR="002B66A4" w:rsidRPr="002B66A4" w:rsidRDefault="00A8432C" w:rsidP="002B66A4">
            <w:pPr>
              <w:pStyle w:val="TableBodyTextright"/>
            </w:pPr>
            <w:r>
              <w:t>▼</w:t>
            </w:r>
            <w:r w:rsidR="002B66A4" w:rsidRPr="002B66A4">
              <w:t>1.1</w:t>
            </w:r>
          </w:p>
        </w:tc>
      </w:tr>
      <w:tr w:rsidR="002B66A4" w14:paraId="07190478" w14:textId="77777777">
        <w:trPr>
          <w:cnfStyle w:val="000000010000" w:firstRow="0" w:lastRow="0" w:firstColumn="0" w:lastColumn="0" w:oddVBand="0" w:evenVBand="0" w:oddHBand="0" w:evenHBand="1" w:firstRowFirstColumn="0" w:firstRowLastColumn="0" w:lastRowFirstColumn="0" w:lastRowLastColumn="0"/>
        </w:trPr>
        <w:tc>
          <w:tcPr>
            <w:tcW w:w="801" w:type="pct"/>
            <w:vMerge/>
            <w:shd w:val="clear" w:color="auto" w:fill="FFFFFF" w:themeFill="background1"/>
          </w:tcPr>
          <w:p w14:paraId="163AD1A3" w14:textId="77777777" w:rsidR="002B66A4" w:rsidRPr="002B66A4" w:rsidRDefault="002B66A4" w:rsidP="002B66A4">
            <w:pPr>
              <w:pStyle w:val="TableBodyText"/>
            </w:pPr>
          </w:p>
        </w:tc>
        <w:tc>
          <w:tcPr>
            <w:tcW w:w="1943" w:type="pct"/>
          </w:tcPr>
          <w:p w14:paraId="69890D8A" w14:textId="77777777" w:rsidR="002B66A4" w:rsidRPr="002B66A4" w:rsidRDefault="002B66A4" w:rsidP="002B66A4">
            <w:pPr>
              <w:pStyle w:val="TableBodyText"/>
            </w:pPr>
            <w:r w:rsidRPr="002B66A4">
              <w:t>Suitable applicants per vacancy (no.)</w:t>
            </w:r>
          </w:p>
        </w:tc>
        <w:tc>
          <w:tcPr>
            <w:tcW w:w="752" w:type="pct"/>
            <w:vAlign w:val="center"/>
          </w:tcPr>
          <w:p w14:paraId="49D9513B" w14:textId="5A49D482" w:rsidR="002B66A4" w:rsidRPr="002B66A4" w:rsidRDefault="002B66A4" w:rsidP="002B66A4">
            <w:pPr>
              <w:pStyle w:val="TableBodyTextright"/>
            </w:pPr>
            <w:r w:rsidRPr="002B66A4">
              <w:t>5.0</w:t>
            </w:r>
          </w:p>
        </w:tc>
        <w:tc>
          <w:tcPr>
            <w:tcW w:w="752" w:type="pct"/>
            <w:vAlign w:val="center"/>
          </w:tcPr>
          <w:p w14:paraId="310E2611" w14:textId="66F06F71" w:rsidR="002B66A4" w:rsidRPr="002B66A4" w:rsidRDefault="00EA6232" w:rsidP="002B66A4">
            <w:pPr>
              <w:pStyle w:val="TableBodyTextright"/>
            </w:pPr>
            <w:r>
              <w:t>▲</w:t>
            </w:r>
            <w:r w:rsidR="002B66A4" w:rsidRPr="002B66A4">
              <w:t>0.3</w:t>
            </w:r>
          </w:p>
        </w:tc>
        <w:tc>
          <w:tcPr>
            <w:tcW w:w="752" w:type="pct"/>
            <w:vAlign w:val="center"/>
          </w:tcPr>
          <w:p w14:paraId="06D727A8" w14:textId="30F038AA" w:rsidR="002B66A4" w:rsidRPr="002B66A4" w:rsidRDefault="00EA6232" w:rsidP="002B66A4">
            <w:pPr>
              <w:pStyle w:val="TableBodyTextright"/>
            </w:pPr>
            <w:r>
              <w:t>▲</w:t>
            </w:r>
            <w:r w:rsidR="002B66A4" w:rsidRPr="002B66A4">
              <w:t>1.3</w:t>
            </w:r>
          </w:p>
        </w:tc>
      </w:tr>
    </w:tbl>
    <w:p w14:paraId="65CD180E" w14:textId="77777777" w:rsidR="00646F60" w:rsidRPr="00646F60" w:rsidRDefault="00646F60" w:rsidP="00646F60">
      <w:pPr>
        <w:pStyle w:val="Source"/>
      </w:pPr>
      <w:r w:rsidRPr="00646F60">
        <w:t>Source: Jobs and Skills Australia, SERA.</w:t>
      </w:r>
    </w:p>
    <w:tbl>
      <w:tblPr>
        <w:tblStyle w:val="CustomTablebasic"/>
        <w:tblW w:w="5091" w:type="pct"/>
        <w:tblLook w:val="04A0" w:firstRow="1" w:lastRow="0" w:firstColumn="1" w:lastColumn="0" w:noHBand="0" w:noVBand="1"/>
      </w:tblPr>
      <w:tblGrid>
        <w:gridCol w:w="1473"/>
        <w:gridCol w:w="3572"/>
        <w:gridCol w:w="1382"/>
        <w:gridCol w:w="1382"/>
        <w:gridCol w:w="1382"/>
      </w:tblGrid>
      <w:tr w:rsidR="00646F60" w14:paraId="2CC9BE4D" w14:textId="77777777">
        <w:trPr>
          <w:cnfStyle w:val="100000000000" w:firstRow="1" w:lastRow="0" w:firstColumn="0" w:lastColumn="0" w:oddVBand="0" w:evenVBand="0" w:oddHBand="0" w:evenHBand="0" w:firstRowFirstColumn="0" w:firstRowLastColumn="0" w:lastRowFirstColumn="0" w:lastRowLastColumn="0"/>
        </w:trPr>
        <w:tc>
          <w:tcPr>
            <w:tcW w:w="801" w:type="pct"/>
          </w:tcPr>
          <w:p w14:paraId="0820AE3A" w14:textId="77777777" w:rsidR="00646F60" w:rsidRPr="00646F60" w:rsidRDefault="00646F60" w:rsidP="00646F60">
            <w:pPr>
              <w:pStyle w:val="TableHeading1"/>
            </w:pPr>
            <w:r w:rsidRPr="00646F60">
              <w:lastRenderedPageBreak/>
              <w:t xml:space="preserve">Major group  </w:t>
            </w:r>
          </w:p>
        </w:tc>
        <w:tc>
          <w:tcPr>
            <w:tcW w:w="1943" w:type="pct"/>
          </w:tcPr>
          <w:p w14:paraId="68C89214" w14:textId="77777777" w:rsidR="00646F60" w:rsidRPr="00646F60" w:rsidRDefault="00646F60" w:rsidP="00646F60">
            <w:pPr>
              <w:pStyle w:val="TableHeading1"/>
            </w:pPr>
            <w:r w:rsidRPr="00646F60">
              <w:t xml:space="preserve"> </w:t>
            </w:r>
          </w:p>
        </w:tc>
        <w:tc>
          <w:tcPr>
            <w:tcW w:w="752" w:type="pct"/>
          </w:tcPr>
          <w:p w14:paraId="7198ED24" w14:textId="0307D366" w:rsidR="00646F60" w:rsidRPr="00646F60" w:rsidRDefault="008A0687" w:rsidP="00646F60">
            <w:pPr>
              <w:pStyle w:val="TableHeading1"/>
            </w:pPr>
            <w:r>
              <w:t>September</w:t>
            </w:r>
            <w:r w:rsidR="00646F60" w:rsidRPr="00646F60">
              <w:t xml:space="preserve"> quarter 2025</w:t>
            </w:r>
          </w:p>
        </w:tc>
        <w:tc>
          <w:tcPr>
            <w:tcW w:w="752" w:type="pct"/>
          </w:tcPr>
          <w:p w14:paraId="12CE8327" w14:textId="77777777" w:rsidR="00646F60" w:rsidRPr="00646F60" w:rsidRDefault="00646F60" w:rsidP="00646F60">
            <w:pPr>
              <w:pStyle w:val="TableHeading1"/>
            </w:pPr>
            <w:r w:rsidRPr="00646F60">
              <w:t xml:space="preserve">Change over the quarter </w:t>
            </w:r>
          </w:p>
        </w:tc>
        <w:tc>
          <w:tcPr>
            <w:tcW w:w="752" w:type="pct"/>
          </w:tcPr>
          <w:p w14:paraId="178A396D" w14:textId="77777777" w:rsidR="00646F60" w:rsidRPr="00646F60" w:rsidRDefault="00646F60" w:rsidP="00646F60">
            <w:pPr>
              <w:pStyle w:val="TableHeading1"/>
            </w:pPr>
            <w:r w:rsidRPr="00646F60">
              <w:t xml:space="preserve">Change over 12 months </w:t>
            </w:r>
          </w:p>
        </w:tc>
      </w:tr>
      <w:tr w:rsidR="001C3059" w14:paraId="411FF8F0" w14:textId="77777777">
        <w:tc>
          <w:tcPr>
            <w:tcW w:w="801" w:type="pct"/>
            <w:vMerge w:val="restart"/>
            <w:tcBorders>
              <w:bottom w:val="single" w:sz="4" w:space="0" w:color="auto"/>
            </w:tcBorders>
            <w:shd w:val="clear" w:color="auto" w:fill="FFFFFF" w:themeFill="background1"/>
          </w:tcPr>
          <w:p w14:paraId="5296502F" w14:textId="77777777" w:rsidR="001C3059" w:rsidRPr="001C3059" w:rsidRDefault="001C3059" w:rsidP="001C3059">
            <w:pPr>
              <w:pStyle w:val="TableBodyText"/>
            </w:pPr>
            <w:r w:rsidRPr="001C3059">
              <w:t xml:space="preserve">Labourers </w:t>
            </w:r>
          </w:p>
          <w:p w14:paraId="6B8F0E76" w14:textId="77777777" w:rsidR="001C3059" w:rsidRPr="001C3059" w:rsidRDefault="001C3059" w:rsidP="001C3059">
            <w:pPr>
              <w:pStyle w:val="TableBodyText"/>
            </w:pPr>
          </w:p>
        </w:tc>
        <w:tc>
          <w:tcPr>
            <w:tcW w:w="1943" w:type="pct"/>
          </w:tcPr>
          <w:p w14:paraId="6A2ABA94" w14:textId="77777777" w:rsidR="001C3059" w:rsidRPr="001C3059" w:rsidRDefault="001C3059" w:rsidP="001C3059">
            <w:pPr>
              <w:pStyle w:val="TableBodyText"/>
            </w:pPr>
            <w:r w:rsidRPr="001C3059">
              <w:t>Vacancy fill rate (%)</w:t>
            </w:r>
          </w:p>
        </w:tc>
        <w:tc>
          <w:tcPr>
            <w:tcW w:w="752" w:type="pct"/>
            <w:vAlign w:val="center"/>
          </w:tcPr>
          <w:p w14:paraId="0444A765" w14:textId="31EA4833" w:rsidR="001C3059" w:rsidRPr="001C3059" w:rsidRDefault="001C3059" w:rsidP="001C3059">
            <w:pPr>
              <w:pStyle w:val="TableBodyTextright"/>
            </w:pPr>
            <w:r w:rsidRPr="001C3059">
              <w:t>63.3%</w:t>
            </w:r>
          </w:p>
        </w:tc>
        <w:tc>
          <w:tcPr>
            <w:tcW w:w="752" w:type="pct"/>
            <w:vAlign w:val="center"/>
          </w:tcPr>
          <w:p w14:paraId="58D6892F" w14:textId="0ABA99D8" w:rsidR="001C3059" w:rsidRPr="001C3059" w:rsidRDefault="00A8432C" w:rsidP="001C3059">
            <w:pPr>
              <w:pStyle w:val="TableBodyTextright"/>
            </w:pPr>
            <w:r>
              <w:t>▼</w:t>
            </w:r>
            <w:r w:rsidR="001C3059" w:rsidRPr="001C3059">
              <w:t>2.2% pts</w:t>
            </w:r>
          </w:p>
        </w:tc>
        <w:tc>
          <w:tcPr>
            <w:tcW w:w="752" w:type="pct"/>
            <w:vAlign w:val="center"/>
          </w:tcPr>
          <w:p w14:paraId="3959B275" w14:textId="33AC9CE8" w:rsidR="001C3059" w:rsidRPr="001C3059" w:rsidRDefault="00EA6232" w:rsidP="001C3059">
            <w:pPr>
              <w:pStyle w:val="TableBodyTextright"/>
            </w:pPr>
            <w:r>
              <w:t>▲</w:t>
            </w:r>
            <w:r w:rsidR="001C3059" w:rsidRPr="001C3059">
              <w:t>4.6% pts</w:t>
            </w:r>
          </w:p>
        </w:tc>
      </w:tr>
      <w:tr w:rsidR="001C3059" w14:paraId="5426516B" w14:textId="77777777">
        <w:trPr>
          <w:cnfStyle w:val="000000010000" w:firstRow="0" w:lastRow="0" w:firstColumn="0" w:lastColumn="0" w:oddVBand="0" w:evenVBand="0" w:oddHBand="0" w:evenHBand="1" w:firstRowFirstColumn="0" w:firstRowLastColumn="0" w:lastRowFirstColumn="0" w:lastRowLastColumn="0"/>
        </w:trPr>
        <w:tc>
          <w:tcPr>
            <w:tcW w:w="801" w:type="pct"/>
            <w:vMerge/>
            <w:tcBorders>
              <w:bottom w:val="single" w:sz="4" w:space="0" w:color="auto"/>
            </w:tcBorders>
            <w:shd w:val="clear" w:color="auto" w:fill="FFFFFF" w:themeFill="background1"/>
          </w:tcPr>
          <w:p w14:paraId="029DDF24" w14:textId="77777777" w:rsidR="001C3059" w:rsidRPr="001C3059" w:rsidRDefault="001C3059" w:rsidP="001C3059">
            <w:pPr>
              <w:pStyle w:val="TableBodyText"/>
            </w:pPr>
          </w:p>
        </w:tc>
        <w:tc>
          <w:tcPr>
            <w:tcW w:w="1943" w:type="pct"/>
          </w:tcPr>
          <w:p w14:paraId="7D861448" w14:textId="77777777" w:rsidR="001C3059" w:rsidRPr="001C3059" w:rsidRDefault="001C3059" w:rsidP="001C3059">
            <w:pPr>
              <w:pStyle w:val="TableBodyText"/>
            </w:pPr>
            <w:r w:rsidRPr="001C3059">
              <w:t>Applicants per vacancy (no.)</w:t>
            </w:r>
          </w:p>
        </w:tc>
        <w:tc>
          <w:tcPr>
            <w:tcW w:w="752" w:type="pct"/>
            <w:vAlign w:val="center"/>
          </w:tcPr>
          <w:p w14:paraId="1BC514CF" w14:textId="094C7CAF" w:rsidR="001C3059" w:rsidRPr="001C3059" w:rsidRDefault="001C3059" w:rsidP="001C3059">
            <w:pPr>
              <w:pStyle w:val="TableBodyTextright"/>
            </w:pPr>
            <w:r w:rsidRPr="001C3059">
              <w:t>16.2</w:t>
            </w:r>
          </w:p>
        </w:tc>
        <w:tc>
          <w:tcPr>
            <w:tcW w:w="752" w:type="pct"/>
            <w:vAlign w:val="center"/>
          </w:tcPr>
          <w:p w14:paraId="72BBFCF9" w14:textId="000C34EB" w:rsidR="001C3059" w:rsidRPr="001C3059" w:rsidRDefault="00A8432C" w:rsidP="001C3059">
            <w:pPr>
              <w:pStyle w:val="TableBodyTextright"/>
            </w:pPr>
            <w:r>
              <w:t>▼</w:t>
            </w:r>
            <w:r w:rsidR="001C3059" w:rsidRPr="001C3059">
              <w:t>1.1</w:t>
            </w:r>
          </w:p>
        </w:tc>
        <w:tc>
          <w:tcPr>
            <w:tcW w:w="752" w:type="pct"/>
            <w:vAlign w:val="center"/>
          </w:tcPr>
          <w:p w14:paraId="30E4CA01" w14:textId="6F56DD88" w:rsidR="001C3059" w:rsidRPr="001C3059" w:rsidRDefault="00EA6232" w:rsidP="001C3059">
            <w:pPr>
              <w:pStyle w:val="TableBodyTextright"/>
            </w:pPr>
            <w:r>
              <w:t>▲</w:t>
            </w:r>
            <w:r w:rsidR="001C3059" w:rsidRPr="001C3059">
              <w:t>2.7</w:t>
            </w:r>
          </w:p>
        </w:tc>
      </w:tr>
      <w:tr w:rsidR="001C3059" w14:paraId="563B9C98" w14:textId="77777777">
        <w:tc>
          <w:tcPr>
            <w:tcW w:w="801" w:type="pct"/>
            <w:vMerge/>
            <w:tcBorders>
              <w:bottom w:val="single" w:sz="4" w:space="0" w:color="auto"/>
            </w:tcBorders>
            <w:shd w:val="clear" w:color="auto" w:fill="FFFFFF" w:themeFill="background1"/>
          </w:tcPr>
          <w:p w14:paraId="5D0E5388" w14:textId="77777777" w:rsidR="001C3059" w:rsidRPr="001C3059" w:rsidRDefault="001C3059" w:rsidP="001C3059">
            <w:pPr>
              <w:pStyle w:val="TableBodyText"/>
            </w:pPr>
          </w:p>
        </w:tc>
        <w:tc>
          <w:tcPr>
            <w:tcW w:w="1943" w:type="pct"/>
          </w:tcPr>
          <w:p w14:paraId="09A76432" w14:textId="77777777" w:rsidR="001C3059" w:rsidRPr="001C3059" w:rsidRDefault="001C3059" w:rsidP="001C3059">
            <w:pPr>
              <w:pStyle w:val="TableBodyText"/>
            </w:pPr>
            <w:r w:rsidRPr="001C3059">
              <w:t>Qualified applicants per vacancy (no.)</w:t>
            </w:r>
          </w:p>
        </w:tc>
        <w:tc>
          <w:tcPr>
            <w:tcW w:w="752" w:type="pct"/>
            <w:vAlign w:val="center"/>
          </w:tcPr>
          <w:p w14:paraId="75BB9931" w14:textId="4032EE77" w:rsidR="001C3059" w:rsidRPr="001C3059" w:rsidRDefault="001C3059" w:rsidP="001C3059">
            <w:pPr>
              <w:pStyle w:val="TableBodyTextright"/>
            </w:pPr>
            <w:r w:rsidRPr="001C3059">
              <w:t>5.6</w:t>
            </w:r>
          </w:p>
        </w:tc>
        <w:tc>
          <w:tcPr>
            <w:tcW w:w="752" w:type="pct"/>
            <w:vAlign w:val="center"/>
          </w:tcPr>
          <w:p w14:paraId="38F0F47F" w14:textId="727D9328" w:rsidR="001C3059" w:rsidRPr="001C3059" w:rsidRDefault="00EA6232" w:rsidP="001C3059">
            <w:pPr>
              <w:pStyle w:val="TableBodyTextright"/>
            </w:pPr>
            <w:r>
              <w:t>▲</w:t>
            </w:r>
            <w:r w:rsidR="001C3059" w:rsidRPr="001C3059">
              <w:t>0.7</w:t>
            </w:r>
          </w:p>
        </w:tc>
        <w:tc>
          <w:tcPr>
            <w:tcW w:w="752" w:type="pct"/>
            <w:vAlign w:val="center"/>
          </w:tcPr>
          <w:p w14:paraId="0EE0842E" w14:textId="56834A9C" w:rsidR="001C3059" w:rsidRPr="001C3059" w:rsidRDefault="00EA6232" w:rsidP="001C3059">
            <w:pPr>
              <w:pStyle w:val="TableBodyTextright"/>
            </w:pPr>
            <w:r>
              <w:t>▲</w:t>
            </w:r>
            <w:r w:rsidR="001C3059" w:rsidRPr="001C3059">
              <w:t>1.4</w:t>
            </w:r>
          </w:p>
        </w:tc>
      </w:tr>
      <w:tr w:rsidR="001C3059" w14:paraId="593B1AC2" w14:textId="77777777">
        <w:trPr>
          <w:cnfStyle w:val="000000010000" w:firstRow="0" w:lastRow="0" w:firstColumn="0" w:lastColumn="0" w:oddVBand="0" w:evenVBand="0" w:oddHBand="0" w:evenHBand="1" w:firstRowFirstColumn="0" w:firstRowLastColumn="0" w:lastRowFirstColumn="0" w:lastRowLastColumn="0"/>
        </w:trPr>
        <w:tc>
          <w:tcPr>
            <w:tcW w:w="801" w:type="pct"/>
            <w:vMerge/>
            <w:tcBorders>
              <w:bottom w:val="single" w:sz="4" w:space="0" w:color="D9D9D9" w:themeColor="background1" w:themeShade="D9"/>
            </w:tcBorders>
            <w:shd w:val="clear" w:color="auto" w:fill="FFFFFF" w:themeFill="background1"/>
          </w:tcPr>
          <w:p w14:paraId="47F362C9" w14:textId="77777777" w:rsidR="001C3059" w:rsidRPr="001C3059" w:rsidRDefault="001C3059" w:rsidP="001C3059">
            <w:pPr>
              <w:pStyle w:val="TableBodyText"/>
            </w:pPr>
          </w:p>
        </w:tc>
        <w:tc>
          <w:tcPr>
            <w:tcW w:w="1943" w:type="pct"/>
            <w:tcBorders>
              <w:bottom w:val="single" w:sz="4" w:space="0" w:color="D9D9D9" w:themeColor="background1" w:themeShade="D9"/>
            </w:tcBorders>
          </w:tcPr>
          <w:p w14:paraId="5F21A49D" w14:textId="77777777" w:rsidR="001C3059" w:rsidRPr="001C3059" w:rsidRDefault="001C3059" w:rsidP="001C3059">
            <w:pPr>
              <w:pStyle w:val="TableBodyText"/>
            </w:pPr>
            <w:r w:rsidRPr="001C3059">
              <w:t>Suitable applicants per vacancy (no.)</w:t>
            </w:r>
          </w:p>
        </w:tc>
        <w:tc>
          <w:tcPr>
            <w:tcW w:w="752" w:type="pct"/>
            <w:tcBorders>
              <w:bottom w:val="single" w:sz="4" w:space="0" w:color="D9D9D9" w:themeColor="background1" w:themeShade="D9"/>
            </w:tcBorders>
            <w:vAlign w:val="center"/>
          </w:tcPr>
          <w:p w14:paraId="28B514F2" w14:textId="4542052E" w:rsidR="001C3059" w:rsidRPr="001C3059" w:rsidRDefault="001C3059" w:rsidP="001C3059">
            <w:pPr>
              <w:pStyle w:val="TableBodyTextright"/>
            </w:pPr>
            <w:r w:rsidRPr="001C3059">
              <w:t>3.8</w:t>
            </w:r>
          </w:p>
        </w:tc>
        <w:tc>
          <w:tcPr>
            <w:tcW w:w="752" w:type="pct"/>
            <w:tcBorders>
              <w:bottom w:val="single" w:sz="4" w:space="0" w:color="D9D9D9" w:themeColor="background1" w:themeShade="D9"/>
            </w:tcBorders>
            <w:vAlign w:val="center"/>
          </w:tcPr>
          <w:p w14:paraId="45F14FB2" w14:textId="05D21DDD" w:rsidR="001C3059" w:rsidRPr="001C3059" w:rsidRDefault="00EA6232" w:rsidP="001C3059">
            <w:pPr>
              <w:pStyle w:val="TableBodyTextright"/>
            </w:pPr>
            <w:r>
              <w:t>▲</w:t>
            </w:r>
            <w:r w:rsidR="001C3059" w:rsidRPr="001C3059">
              <w:t>1.6</w:t>
            </w:r>
          </w:p>
        </w:tc>
        <w:tc>
          <w:tcPr>
            <w:tcW w:w="752" w:type="pct"/>
            <w:tcBorders>
              <w:bottom w:val="single" w:sz="4" w:space="0" w:color="D9D9D9" w:themeColor="background1" w:themeShade="D9"/>
            </w:tcBorders>
            <w:vAlign w:val="center"/>
          </w:tcPr>
          <w:p w14:paraId="558B39F4" w14:textId="68D05CEF" w:rsidR="001C3059" w:rsidRPr="001C3059" w:rsidRDefault="00EA6232" w:rsidP="001C3059">
            <w:pPr>
              <w:pStyle w:val="TableBodyTextright"/>
            </w:pPr>
            <w:r>
              <w:t>▲</w:t>
            </w:r>
            <w:r w:rsidR="001C3059" w:rsidRPr="001C3059">
              <w:t>1.6</w:t>
            </w:r>
          </w:p>
        </w:tc>
      </w:tr>
    </w:tbl>
    <w:p w14:paraId="4B7E6B81" w14:textId="77777777" w:rsidR="00646F60" w:rsidRPr="00646F60" w:rsidRDefault="00646F60" w:rsidP="00646F60">
      <w:pPr>
        <w:pStyle w:val="Source"/>
      </w:pPr>
      <w:r w:rsidRPr="00646F60">
        <w:t>Source: Jobs and Skills Australia, SERA.</w:t>
      </w:r>
    </w:p>
    <w:p w14:paraId="4E9C51B1" w14:textId="78FCC51A" w:rsidR="00E77785" w:rsidRDefault="007D6847" w:rsidP="00646F60">
      <w:pPr>
        <w:pStyle w:val="BodyText"/>
      </w:pPr>
      <w:r>
        <w:t xml:space="preserve">Fill rate movements varied by major groups </w:t>
      </w:r>
      <w:r w:rsidR="00E77785">
        <w:t xml:space="preserve">in </w:t>
      </w:r>
      <w:r w:rsidR="0031565C">
        <w:t xml:space="preserve">the </w:t>
      </w:r>
      <w:r w:rsidR="00E77785">
        <w:t xml:space="preserve">September quarter 2025 and over the past 12 months to the current quarter. </w:t>
      </w:r>
    </w:p>
    <w:p w14:paraId="0D1CFCB3" w14:textId="776F9B1A" w:rsidR="003F7505" w:rsidRDefault="00A745DD" w:rsidP="00246284">
      <w:pPr>
        <w:pStyle w:val="ListBullet"/>
      </w:pPr>
      <w:r>
        <w:t xml:space="preserve">For </w:t>
      </w:r>
      <w:r w:rsidRPr="009508AF">
        <w:t>Professionals</w:t>
      </w:r>
      <w:r>
        <w:t xml:space="preserve"> and </w:t>
      </w:r>
      <w:r w:rsidRPr="009508AF">
        <w:t>Clerical and Administrative Workers</w:t>
      </w:r>
      <w:r>
        <w:t>, f</w:t>
      </w:r>
      <w:r w:rsidR="00646F60" w:rsidRPr="00646F60">
        <w:t xml:space="preserve">ill rates increased in both </w:t>
      </w:r>
      <w:r w:rsidR="00F92DBC">
        <w:t xml:space="preserve">the current </w:t>
      </w:r>
      <w:r w:rsidR="00646F60" w:rsidRPr="00646F60">
        <w:t xml:space="preserve">quarter and over the past 12 months. </w:t>
      </w:r>
    </w:p>
    <w:p w14:paraId="75492648" w14:textId="707516FA" w:rsidR="00795F7F" w:rsidRDefault="00A745DD" w:rsidP="00246284">
      <w:pPr>
        <w:pStyle w:val="ListBullet"/>
      </w:pPr>
      <w:r>
        <w:t xml:space="preserve">For </w:t>
      </w:r>
      <w:r w:rsidRPr="00646F60">
        <w:t xml:space="preserve">Technicians and Trades Workers </w:t>
      </w:r>
      <w:r>
        <w:t>and Labourers, f</w:t>
      </w:r>
      <w:r w:rsidR="00A7378E">
        <w:t xml:space="preserve">ill rates </w:t>
      </w:r>
      <w:r w:rsidR="00046204">
        <w:t xml:space="preserve">decreased over the quarter but still improved over the past 12 months </w:t>
      </w:r>
    </w:p>
    <w:p w14:paraId="4FAB5227" w14:textId="10F81859" w:rsidR="00654130" w:rsidRDefault="00A51373" w:rsidP="00246284">
      <w:pPr>
        <w:pStyle w:val="ListBullet"/>
      </w:pPr>
      <w:r>
        <w:t>For Managers</w:t>
      </w:r>
      <w:r w:rsidR="003121E2">
        <w:t>, Community and Personal Service Workers</w:t>
      </w:r>
      <w:r w:rsidR="002762BD">
        <w:t xml:space="preserve"> and Machinery Operators and Drivers, the fill rates decreased over the </w:t>
      </w:r>
      <w:r w:rsidR="00A0235A">
        <w:t>quarter and past 12 months</w:t>
      </w:r>
      <w:r w:rsidR="006B2447">
        <w:t xml:space="preserve">. </w:t>
      </w:r>
    </w:p>
    <w:p w14:paraId="70FE9363" w14:textId="11D9BDD0" w:rsidR="00ED52DC" w:rsidRDefault="00654130" w:rsidP="00246284">
      <w:pPr>
        <w:pStyle w:val="ListBullet"/>
      </w:pPr>
      <w:r>
        <w:t xml:space="preserve">Sales Workers was the only major group where fill rates increased over the quarter but fell over the past 12 months. </w:t>
      </w:r>
    </w:p>
    <w:p w14:paraId="6FF89F41" w14:textId="49E754F7" w:rsidR="006A2BF5" w:rsidRDefault="001D5233" w:rsidP="00ED52DC">
      <w:pPr>
        <w:pStyle w:val="BodyText"/>
      </w:pPr>
      <w:r>
        <w:t>In the September quarter 2025, d</w:t>
      </w:r>
      <w:r w:rsidR="00F14E08">
        <w:t>espite some of the above movements</w:t>
      </w:r>
      <w:r w:rsidR="00977975">
        <w:t xml:space="preserve"> for Managers and Sales Workers</w:t>
      </w:r>
      <w:r w:rsidR="00F14E08">
        <w:t>, the fill rates remain</w:t>
      </w:r>
      <w:r w:rsidR="00D13BA8">
        <w:t>ed</w:t>
      </w:r>
      <w:r w:rsidR="00F14E08">
        <w:t xml:space="preserve"> high </w:t>
      </w:r>
      <w:r w:rsidR="00977975">
        <w:t>at 7</w:t>
      </w:r>
      <w:r w:rsidR="006A2BF5">
        <w:t>7.6</w:t>
      </w:r>
      <w:r w:rsidR="00977975">
        <w:t>%</w:t>
      </w:r>
      <w:r w:rsidR="006A2BF5">
        <w:t xml:space="preserve"> and 70.6%, respectively. </w:t>
      </w:r>
    </w:p>
    <w:p w14:paraId="7B8CE0B5" w14:textId="2013A3EA" w:rsidR="001D5233" w:rsidRDefault="001D5233" w:rsidP="00ED52DC">
      <w:pPr>
        <w:pStyle w:val="BodyText"/>
      </w:pPr>
      <w:r>
        <w:t>During the quarter, the fill rate was highest for Clerical and Administrative Workers at 82.0%.</w:t>
      </w:r>
    </w:p>
    <w:p w14:paraId="6F27E4FD" w14:textId="6AA58606" w:rsidR="00223C4D" w:rsidRDefault="00B71716" w:rsidP="00ED52DC">
      <w:pPr>
        <w:pStyle w:val="BodyText"/>
      </w:pPr>
      <w:r>
        <w:t xml:space="preserve">Total applicants per vacancy </w:t>
      </w:r>
      <w:r w:rsidR="00933940">
        <w:t>and Qualified applicants per vacancy results were mixed</w:t>
      </w:r>
      <w:r w:rsidR="0039010C">
        <w:t>, including being varied by</w:t>
      </w:r>
      <w:r w:rsidR="000675D4">
        <w:t xml:space="preserve"> </w:t>
      </w:r>
      <w:r w:rsidR="007965C7">
        <w:t>the major groups</w:t>
      </w:r>
      <w:r w:rsidR="0028263F">
        <w:t xml:space="preserve"> over both periods. But for Machinery Operators and Drivers</w:t>
      </w:r>
      <w:r w:rsidR="002C7374">
        <w:t xml:space="preserve">, Total applicants and Qualified applicants per vacancy fell </w:t>
      </w:r>
      <w:r w:rsidR="007965C7">
        <w:t>over the quarter and past 12 months</w:t>
      </w:r>
      <w:r w:rsidR="002C7374">
        <w:t>.</w:t>
      </w:r>
      <w:r w:rsidR="007965C7">
        <w:t xml:space="preserve"> </w:t>
      </w:r>
    </w:p>
    <w:p w14:paraId="402E6BFE" w14:textId="6EC0A286" w:rsidR="004B112B" w:rsidRDefault="004B112B" w:rsidP="00ED52DC">
      <w:pPr>
        <w:pStyle w:val="BodyText"/>
      </w:pPr>
      <w:r>
        <w:t xml:space="preserve">Suitable applications per vacancy improved over the quarter and past 12 months for all the major groups. </w:t>
      </w:r>
    </w:p>
    <w:p w14:paraId="0EE1DA1E" w14:textId="77777777" w:rsidR="00646F60" w:rsidRPr="00646F60" w:rsidRDefault="00646F60" w:rsidP="00646F60">
      <w:r w:rsidRPr="00646F60">
        <w:br w:type="page"/>
      </w:r>
    </w:p>
    <w:p w14:paraId="073ED1E1" w14:textId="50D37CF1" w:rsidR="00646F60" w:rsidRPr="00646F60" w:rsidRDefault="00646F60" w:rsidP="00646F60">
      <w:pPr>
        <w:pStyle w:val="Heading1"/>
        <w:rPr>
          <w:rFonts w:eastAsia="MS PGothic"/>
        </w:rPr>
      </w:pPr>
      <w:bookmarkStart w:id="23" w:name="_Toc214019401"/>
      <w:bookmarkStart w:id="24" w:name="_Toc207977956"/>
      <w:r w:rsidRPr="00646F60">
        <w:rPr>
          <w:rFonts w:eastAsia="MS PGothic"/>
        </w:rPr>
        <w:lastRenderedPageBreak/>
        <w:t xml:space="preserve">Spotlight </w:t>
      </w:r>
      <w:r w:rsidR="001502D5">
        <w:rPr>
          <w:rFonts w:eastAsia="MS PGothic"/>
        </w:rPr>
        <w:t>analysis</w:t>
      </w:r>
      <w:r w:rsidRPr="00646F60">
        <w:rPr>
          <w:rFonts w:eastAsia="MS PGothic"/>
        </w:rPr>
        <w:t xml:space="preserve">: </w:t>
      </w:r>
      <w:r w:rsidR="00B92B3B">
        <w:rPr>
          <w:rFonts w:eastAsia="MS PGothic"/>
        </w:rPr>
        <w:t xml:space="preserve">a deeper </w:t>
      </w:r>
      <w:r w:rsidR="009763F4">
        <w:rPr>
          <w:rFonts w:eastAsia="MS PGothic"/>
        </w:rPr>
        <w:t xml:space="preserve">look at </w:t>
      </w:r>
      <w:r>
        <w:rPr>
          <w:rFonts w:eastAsia="MS PGothic"/>
        </w:rPr>
        <w:t>Professional</w:t>
      </w:r>
      <w:r w:rsidR="00FC0ED2">
        <w:rPr>
          <w:rFonts w:eastAsia="MS PGothic"/>
        </w:rPr>
        <w:t>s</w:t>
      </w:r>
      <w:r>
        <w:rPr>
          <w:rFonts w:eastAsia="MS PGothic"/>
        </w:rPr>
        <w:t xml:space="preserve"> </w:t>
      </w:r>
      <w:r w:rsidR="009763F4">
        <w:rPr>
          <w:rFonts w:eastAsia="MS PGothic"/>
        </w:rPr>
        <w:t xml:space="preserve">in </w:t>
      </w:r>
      <w:r w:rsidR="00B92B3B">
        <w:rPr>
          <w:rFonts w:eastAsia="MS PGothic"/>
        </w:rPr>
        <w:t>the 2025 OSL</w:t>
      </w:r>
      <w:bookmarkEnd w:id="23"/>
      <w:r w:rsidR="00B92B3B">
        <w:rPr>
          <w:rFonts w:eastAsia="MS PGothic"/>
        </w:rPr>
        <w:t xml:space="preserve"> </w:t>
      </w:r>
      <w:bookmarkEnd w:id="24"/>
    </w:p>
    <w:p w14:paraId="42706E70" w14:textId="03146752" w:rsidR="006B0C6C" w:rsidRDefault="00C03355" w:rsidP="009D45EE">
      <w:pPr>
        <w:pStyle w:val="BodyText"/>
      </w:pPr>
      <w:r w:rsidRPr="00E75EFC">
        <w:t>T</w:t>
      </w:r>
      <w:r w:rsidR="001502D5" w:rsidRPr="00E75EFC">
        <w:t xml:space="preserve">he </w:t>
      </w:r>
      <w:hyperlink r:id="rId22" w:history="1">
        <w:r w:rsidR="001502D5" w:rsidRPr="003731C6">
          <w:rPr>
            <w:rStyle w:val="Hyperlink"/>
          </w:rPr>
          <w:t>2025 O</w:t>
        </w:r>
        <w:r w:rsidR="003731C6">
          <w:rPr>
            <w:rStyle w:val="Hyperlink"/>
          </w:rPr>
          <w:t xml:space="preserve">ccupation </w:t>
        </w:r>
        <w:r w:rsidR="001502D5" w:rsidRPr="003731C6">
          <w:rPr>
            <w:rStyle w:val="Hyperlink"/>
          </w:rPr>
          <w:t>S</w:t>
        </w:r>
        <w:r w:rsidR="003731C6">
          <w:rPr>
            <w:rStyle w:val="Hyperlink"/>
          </w:rPr>
          <w:t xml:space="preserve">hortage </w:t>
        </w:r>
        <w:r w:rsidR="001502D5" w:rsidRPr="003731C6">
          <w:rPr>
            <w:rStyle w:val="Hyperlink"/>
          </w:rPr>
          <w:t>L</w:t>
        </w:r>
        <w:r w:rsidR="003731C6">
          <w:rPr>
            <w:rStyle w:val="Hyperlink"/>
          </w:rPr>
          <w:t>ist</w:t>
        </w:r>
        <w:r w:rsidR="00C66532">
          <w:rPr>
            <w:rStyle w:val="Hyperlink"/>
          </w:rPr>
          <w:t xml:space="preserve"> (OSL)</w:t>
        </w:r>
        <w:r w:rsidR="001502D5" w:rsidRPr="003731C6">
          <w:rPr>
            <w:rStyle w:val="Hyperlink"/>
          </w:rPr>
          <w:t xml:space="preserve"> </w:t>
        </w:r>
      </w:hyperlink>
      <w:r w:rsidRPr="00E75EFC">
        <w:t xml:space="preserve">shows </w:t>
      </w:r>
      <w:r w:rsidR="00AE1D79">
        <w:t xml:space="preserve">that </w:t>
      </w:r>
      <w:r w:rsidR="00FD0649">
        <w:t xml:space="preserve">occupation shortages decreased </w:t>
      </w:r>
      <w:r w:rsidR="00AE1D79">
        <w:t xml:space="preserve">to 29% in 2025 </w:t>
      </w:r>
      <w:r w:rsidRPr="00E75EFC">
        <w:t>from 33% in 2024</w:t>
      </w:r>
      <w:r w:rsidR="00B350EE">
        <w:t xml:space="preserve"> and a peak of 36% in 2023</w:t>
      </w:r>
      <w:r w:rsidRPr="00E75EFC">
        <w:t>.</w:t>
      </w:r>
      <w:r w:rsidR="00B0318A" w:rsidRPr="00794FB0">
        <w:rPr>
          <w:rStyle w:val="Charactersuperscript"/>
        </w:rPr>
        <w:footnoteReference w:id="5"/>
      </w:r>
      <w:r w:rsidR="00BB4C76" w:rsidRPr="001678B8">
        <w:rPr>
          <w:rStyle w:val="Charactersuperscript"/>
        </w:rPr>
        <w:t>,</w:t>
      </w:r>
      <w:r w:rsidR="00BB4C76">
        <w:rPr>
          <w:rStyle w:val="FootnoteReference"/>
        </w:rPr>
        <w:footnoteReference w:id="6"/>
      </w:r>
    </w:p>
    <w:p w14:paraId="36846FEC" w14:textId="4FA08557" w:rsidR="00A7218B" w:rsidRDefault="00C276B6" w:rsidP="00A7218B">
      <w:pPr>
        <w:pStyle w:val="BodyText"/>
      </w:pPr>
      <w:r>
        <w:t>Th</w:t>
      </w:r>
      <w:r w:rsidR="006B0C6C">
        <w:t>e</w:t>
      </w:r>
      <w:r w:rsidR="005C4479">
        <w:t xml:space="preserve"> </w:t>
      </w:r>
      <w:r>
        <w:t>i</w:t>
      </w:r>
      <w:r w:rsidR="00291F29">
        <w:t>mprove</w:t>
      </w:r>
      <w:r w:rsidR="005C4479">
        <w:t>d outcome</w:t>
      </w:r>
      <w:r>
        <w:t xml:space="preserve"> was </w:t>
      </w:r>
      <w:r w:rsidR="00D96060">
        <w:t>mostly</w:t>
      </w:r>
      <w:r w:rsidR="00EF70B8">
        <w:t xml:space="preserve"> </w:t>
      </w:r>
      <w:r>
        <w:t xml:space="preserve">due to </w:t>
      </w:r>
      <w:r w:rsidR="00A00F0C">
        <w:t xml:space="preserve">a large drop in </w:t>
      </w:r>
      <w:r w:rsidR="006E1AD5">
        <w:t xml:space="preserve">occupation </w:t>
      </w:r>
      <w:r w:rsidR="005C4479">
        <w:t xml:space="preserve">shortages within the </w:t>
      </w:r>
      <w:r w:rsidR="00EA463D">
        <w:t>Professionals major group</w:t>
      </w:r>
      <w:r w:rsidR="007B79C4">
        <w:t>:</w:t>
      </w:r>
      <w:r w:rsidR="0054189A">
        <w:t xml:space="preserve"> </w:t>
      </w:r>
      <w:r w:rsidR="007B79C4">
        <w:t>o</w:t>
      </w:r>
      <w:r w:rsidR="0054189A">
        <w:t xml:space="preserve">f the 69 occupations that </w:t>
      </w:r>
      <w:r w:rsidR="006B0C6C">
        <w:t xml:space="preserve">transitioned to no </w:t>
      </w:r>
      <w:r w:rsidR="0054189A">
        <w:t>shortage</w:t>
      </w:r>
      <w:r w:rsidR="00A00F0C">
        <w:t xml:space="preserve"> in 2025</w:t>
      </w:r>
      <w:r w:rsidR="0054189A">
        <w:t xml:space="preserve">, 31 were </w:t>
      </w:r>
      <w:r w:rsidR="009D45EE">
        <w:t>professionals occupations</w:t>
      </w:r>
      <w:r w:rsidR="006B0C6C">
        <w:t xml:space="preserve">. </w:t>
      </w:r>
      <w:r w:rsidR="0065111F">
        <w:t xml:space="preserve">The </w:t>
      </w:r>
      <w:r w:rsidR="0049597E">
        <w:t>change was</w:t>
      </w:r>
      <w:r w:rsidR="0065111F">
        <w:t xml:space="preserve"> concentrated in </w:t>
      </w:r>
      <w:r w:rsidR="00EC388C">
        <w:t>Business and Finance</w:t>
      </w:r>
      <w:r w:rsidR="00EC388C" w:rsidRPr="00E75EFC">
        <w:t xml:space="preserve">, </w:t>
      </w:r>
      <w:r w:rsidR="00EC388C">
        <w:t>Engineering</w:t>
      </w:r>
      <w:r w:rsidR="00EC388C" w:rsidRPr="00E75EFC">
        <w:t xml:space="preserve">, </w:t>
      </w:r>
      <w:r w:rsidR="007751A9">
        <w:t>Health,</w:t>
      </w:r>
      <w:r w:rsidR="00F06640">
        <w:t xml:space="preserve"> </w:t>
      </w:r>
      <w:r w:rsidR="00EC388C" w:rsidRPr="00E75EFC">
        <w:t xml:space="preserve">and ICT </w:t>
      </w:r>
      <w:r w:rsidR="009D45EE">
        <w:t>sub majors</w:t>
      </w:r>
      <w:r w:rsidR="00EC388C" w:rsidRPr="00E75EFC">
        <w:t>.</w:t>
      </w:r>
      <w:r w:rsidR="00EC388C">
        <w:t xml:space="preserve"> </w:t>
      </w:r>
      <w:r w:rsidR="00A7218B">
        <w:t xml:space="preserve">Some examples within each sub-major include Financial Investment Advisor, Chemical Engineer, Nurse Educator and </w:t>
      </w:r>
      <w:r w:rsidR="00D24F0C">
        <w:t>Developer Programmer</w:t>
      </w:r>
      <w:r w:rsidR="00A7218B">
        <w:t>.</w:t>
      </w:r>
      <w:r w:rsidR="007F41BA">
        <w:rPr>
          <w:rStyle w:val="FootnoteReference"/>
        </w:rPr>
        <w:footnoteReference w:id="7"/>
      </w:r>
      <w:r w:rsidR="00A7218B">
        <w:t xml:space="preserve"> </w:t>
      </w:r>
    </w:p>
    <w:p w14:paraId="1F0DC567" w14:textId="6B13859E" w:rsidR="002D277E" w:rsidRDefault="002D4942" w:rsidP="00E75EFC">
      <w:pPr>
        <w:pStyle w:val="BodyText"/>
      </w:pPr>
      <w:r>
        <w:t>T</w:t>
      </w:r>
      <w:r w:rsidR="001502D5" w:rsidRPr="00E75EFC">
        <w:t xml:space="preserve">his </w:t>
      </w:r>
      <w:r w:rsidR="00E9061B">
        <w:t xml:space="preserve">section </w:t>
      </w:r>
      <w:r w:rsidR="00952317">
        <w:t xml:space="preserve">delves into some of the reasons </w:t>
      </w:r>
      <w:r w:rsidR="006F49C4">
        <w:t>for</w:t>
      </w:r>
      <w:r w:rsidR="00CB295D">
        <w:t xml:space="preserve"> </w:t>
      </w:r>
      <w:r w:rsidR="00D50D5E">
        <w:t xml:space="preserve">easing shortage pressures </w:t>
      </w:r>
      <w:r w:rsidR="00584DC9">
        <w:t xml:space="preserve">for the </w:t>
      </w:r>
      <w:r w:rsidR="00CE34EA">
        <w:t xml:space="preserve">specific </w:t>
      </w:r>
      <w:r w:rsidR="00584DC9">
        <w:t xml:space="preserve">cluster of occupations </w:t>
      </w:r>
      <w:r w:rsidR="00CE34EA">
        <w:t xml:space="preserve">that changed to no shortage in 2025 </w:t>
      </w:r>
      <w:r w:rsidR="00584DC9">
        <w:t xml:space="preserve">among the </w:t>
      </w:r>
      <w:r w:rsidR="007F41BA">
        <w:t>above sub-majors</w:t>
      </w:r>
      <w:r>
        <w:t>.</w:t>
      </w:r>
      <w:r w:rsidR="00D87B26" w:rsidRPr="00794FB0">
        <w:rPr>
          <w:rStyle w:val="Charactersuperscript"/>
        </w:rPr>
        <w:footnoteReference w:id="8"/>
      </w:r>
      <w:r w:rsidR="00CD089D" w:rsidRPr="00E75EFC">
        <w:rPr>
          <w:rStyle w:val="FootnoteReference"/>
        </w:rPr>
        <w:t xml:space="preserve"> </w:t>
      </w:r>
    </w:p>
    <w:p w14:paraId="6B89F02B" w14:textId="6128F86B" w:rsidR="00765AD6" w:rsidRDefault="00232AE0" w:rsidP="00765AD6">
      <w:pPr>
        <w:pStyle w:val="Heading3"/>
      </w:pPr>
      <w:bookmarkStart w:id="25" w:name="_Toc214019402"/>
      <w:r>
        <w:t xml:space="preserve">On going indications of </w:t>
      </w:r>
      <w:r w:rsidR="0091558D">
        <w:t xml:space="preserve">softening </w:t>
      </w:r>
      <w:r>
        <w:t>labour market conditions</w:t>
      </w:r>
      <w:bookmarkEnd w:id="25"/>
      <w:r>
        <w:t xml:space="preserve"> </w:t>
      </w:r>
    </w:p>
    <w:p w14:paraId="509073C6" w14:textId="483A59E3" w:rsidR="00E95806" w:rsidRDefault="00800DC0" w:rsidP="00765AD6">
      <w:pPr>
        <w:pStyle w:val="BodyText"/>
      </w:pPr>
      <w:r>
        <w:t>T</w:t>
      </w:r>
      <w:r w:rsidR="00EA4D01">
        <w:t xml:space="preserve">rends </w:t>
      </w:r>
      <w:r>
        <w:t xml:space="preserve">in demand, </w:t>
      </w:r>
      <w:r w:rsidR="00232AE0">
        <w:t xml:space="preserve">as measured by Jobs and Skills Australia's </w:t>
      </w:r>
      <w:r w:rsidR="00E95806" w:rsidRPr="00CF135F">
        <w:rPr>
          <w:rStyle w:val="Strong"/>
        </w:rPr>
        <w:t>Internet Vacancy Index (IVI)</w:t>
      </w:r>
      <w:r>
        <w:t>,</w:t>
      </w:r>
      <w:r w:rsidR="00E95806">
        <w:t xml:space="preserve"> </w:t>
      </w:r>
      <w:r w:rsidR="00C44B58">
        <w:t xml:space="preserve">can </w:t>
      </w:r>
      <w:r>
        <w:t>signal the direction of shortage pressures</w:t>
      </w:r>
      <w:r w:rsidR="005E17E1">
        <w:t>.</w:t>
      </w:r>
      <w:r w:rsidR="007D080C">
        <w:rPr>
          <w:rStyle w:val="FootnoteReference"/>
        </w:rPr>
        <w:footnoteReference w:id="9"/>
      </w:r>
      <w:r w:rsidR="005E17E1">
        <w:t xml:space="preserve"> </w:t>
      </w:r>
    </w:p>
    <w:p w14:paraId="28DEF4A5" w14:textId="73190C7E" w:rsidR="00765AD6" w:rsidRPr="00E75EFC" w:rsidRDefault="00CC4F45" w:rsidP="00CC4F45">
      <w:pPr>
        <w:pStyle w:val="Caption"/>
      </w:pPr>
      <w:bookmarkStart w:id="26" w:name="_Ref213856400"/>
      <w:r>
        <w:t>Figure</w:t>
      </w:r>
      <w:bookmarkEnd w:id="26"/>
      <w:r>
        <w:t xml:space="preserve"> </w:t>
      </w:r>
      <w:r>
        <w:fldChar w:fldCharType="begin"/>
      </w:r>
      <w:r>
        <w:instrText xml:space="preserve"> SEQ Figure \* ARABIC </w:instrText>
      </w:r>
      <w:r>
        <w:fldChar w:fldCharType="separate"/>
      </w:r>
      <w:r w:rsidR="00A0645F">
        <w:rPr>
          <w:noProof/>
        </w:rPr>
        <w:t>4</w:t>
      </w:r>
      <w:r>
        <w:fldChar w:fldCharType="end"/>
      </w:r>
      <w:r w:rsidR="00765AD6">
        <w:t>: I</w:t>
      </w:r>
      <w:r w:rsidR="00EE1917">
        <w:t>VI</w:t>
      </w:r>
      <w:r w:rsidR="00765AD6">
        <w:t xml:space="preserve">, </w:t>
      </w:r>
      <w:r w:rsidR="00084E23">
        <w:t>c</w:t>
      </w:r>
      <w:r w:rsidR="00765AD6">
        <w:t xml:space="preserve">hange </w:t>
      </w:r>
      <w:r w:rsidR="00EE1917">
        <w:t xml:space="preserve">from </w:t>
      </w:r>
      <w:r w:rsidR="00765AD6">
        <w:t>2021-22 to 2024-25</w:t>
      </w:r>
      <w:r w:rsidR="00A76163">
        <w:t xml:space="preserve"> </w:t>
      </w:r>
    </w:p>
    <w:p w14:paraId="44261B42" w14:textId="5C284201" w:rsidR="00765AD6" w:rsidRDefault="00854539" w:rsidP="007F4FCE">
      <w:pPr>
        <w:pStyle w:val="Source"/>
      </w:pPr>
      <w:r w:rsidRPr="00854539">
        <w:rPr>
          <w:noProof/>
        </w:rPr>
        <w:drawing>
          <wp:inline distT="0" distB="0" distL="0" distR="0" wp14:anchorId="0C5BB1DA" wp14:editId="708452F0">
            <wp:extent cx="5732145" cy="2952000"/>
            <wp:effectExtent l="0" t="0" r="1905" b="1270"/>
            <wp:docPr id="819474725" name="Chart 1" descr="Figure 5 shows that IVI declined from 2021-22 to 2024-25 financial years for the four clusters but was still rising for all professionals occupations and all occupations that remained in shortage. For all occupations, IVI declined by 2% over the same period.">
              <a:extLst xmlns:a="http://schemas.openxmlformats.org/drawingml/2006/main">
                <a:ext uri="{FF2B5EF4-FFF2-40B4-BE49-F238E27FC236}">
                  <a16:creationId xmlns:a16="http://schemas.microsoft.com/office/drawing/2014/main" id="{B531A60A-4E7E-48B8-BAA8-848957C38C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007975D7" w:rsidRPr="007975D7" w:rsidDel="0035165F">
        <w:t xml:space="preserve"> </w:t>
      </w:r>
      <w:r w:rsidR="007F4FCE">
        <w:br/>
      </w:r>
      <w:r w:rsidR="00765AD6">
        <w:t>Source: Jobs and Skills Australia, Internet Vacancy Index, 2025 June</w:t>
      </w:r>
      <w:r w:rsidR="007751A9">
        <w:t xml:space="preserve">. </w:t>
      </w:r>
    </w:p>
    <w:p w14:paraId="5EF3B166" w14:textId="77777777" w:rsidR="00D45F1A" w:rsidRDefault="00B63F63" w:rsidP="007F4FCE">
      <w:pPr>
        <w:pStyle w:val="BodyText"/>
      </w:pPr>
      <w:r>
        <w:lastRenderedPageBreak/>
        <w:t>F</w:t>
      </w:r>
      <w:r w:rsidR="007F4FCE" w:rsidRPr="00537958">
        <w:t>rom 202</w:t>
      </w:r>
      <w:r w:rsidR="00C97D09">
        <w:t>1</w:t>
      </w:r>
      <w:r w:rsidR="007F4FCE">
        <w:t>–2</w:t>
      </w:r>
      <w:r w:rsidR="00C97D09">
        <w:t>2</w:t>
      </w:r>
      <w:r w:rsidR="007F4FCE" w:rsidRPr="00537958">
        <w:t xml:space="preserve"> to </w:t>
      </w:r>
      <w:r w:rsidR="007F4FCE">
        <w:t>2024–</w:t>
      </w:r>
      <w:r w:rsidR="007F4FCE" w:rsidRPr="00537958">
        <w:t>2025</w:t>
      </w:r>
      <w:r w:rsidR="004D7CE5">
        <w:t xml:space="preserve">, IVI fell </w:t>
      </w:r>
      <w:r w:rsidR="00207EAA">
        <w:t>for occupations within the in-focus sub majors</w:t>
      </w:r>
      <w:r w:rsidR="00350B51">
        <w:t xml:space="preserve">. The fall was lower than </w:t>
      </w:r>
      <w:r w:rsidR="00704DB7">
        <w:t xml:space="preserve">the economy-wide average change in IVI </w:t>
      </w:r>
      <w:r w:rsidR="00C16CE4">
        <w:t>(</w:t>
      </w:r>
      <w:r w:rsidR="00704DB7">
        <w:t>-2%</w:t>
      </w:r>
      <w:r w:rsidR="00C16CE4">
        <w:t>)</w:t>
      </w:r>
      <w:r w:rsidR="0091093F">
        <w:t xml:space="preserve"> over the period. </w:t>
      </w:r>
    </w:p>
    <w:p w14:paraId="33789CA8" w14:textId="270B02D0" w:rsidR="00207EAA" w:rsidRDefault="0091093F" w:rsidP="007F4FCE">
      <w:pPr>
        <w:pStyle w:val="BodyText"/>
      </w:pPr>
      <w:r>
        <w:t xml:space="preserve">However, the average change in IVI increased </w:t>
      </w:r>
      <w:r w:rsidR="00EA4D01">
        <w:t xml:space="preserve">for </w:t>
      </w:r>
      <w:r w:rsidR="001F6AC3">
        <w:t xml:space="preserve">all occupations in shortage </w:t>
      </w:r>
      <w:r w:rsidR="00D83EB1">
        <w:t xml:space="preserve">(9%) </w:t>
      </w:r>
      <w:r w:rsidR="001F6AC3">
        <w:t>and all professionals occupations in shortage</w:t>
      </w:r>
      <w:r w:rsidR="00EA4D01">
        <w:t xml:space="preserve"> </w:t>
      </w:r>
      <w:r w:rsidR="005A0E24">
        <w:t xml:space="preserve">(24%) </w:t>
      </w:r>
      <w:r w:rsidR="00EA4D01">
        <w:t>(</w:t>
      </w:r>
      <w:r w:rsidR="00605DE8">
        <w:fldChar w:fldCharType="begin"/>
      </w:r>
      <w:r w:rsidR="00605DE8">
        <w:instrText xml:space="preserve"> REF _Ref213856400 \h </w:instrText>
      </w:r>
      <w:r w:rsidR="00605DE8">
        <w:fldChar w:fldCharType="separate"/>
      </w:r>
      <w:r w:rsidR="00A0645F">
        <w:t>Figure</w:t>
      </w:r>
      <w:r w:rsidR="00605DE8">
        <w:fldChar w:fldCharType="end"/>
      </w:r>
      <w:r w:rsidR="00605DE8">
        <w:t xml:space="preserve"> 5</w:t>
      </w:r>
      <w:r w:rsidR="00EA4D01">
        <w:t>).</w:t>
      </w:r>
    </w:p>
    <w:p w14:paraId="5612A365" w14:textId="66F9FEC0" w:rsidR="003F77C8" w:rsidRDefault="00781B82" w:rsidP="007F4FCE">
      <w:pPr>
        <w:pStyle w:val="BodyText"/>
      </w:pPr>
      <w:r>
        <w:t xml:space="preserve">The fall in demand was particularly large for ICT </w:t>
      </w:r>
      <w:r w:rsidR="00E072AE">
        <w:t>occupations, decreasing by 49% over the p</w:t>
      </w:r>
      <w:r w:rsidR="00384665">
        <w:t>eriod.</w:t>
      </w:r>
      <w:r w:rsidR="00E072AE">
        <w:t xml:space="preserve"> This is c</w:t>
      </w:r>
      <w:r w:rsidR="007F4FCE">
        <w:t xml:space="preserve">onsistent with </w:t>
      </w:r>
      <w:r w:rsidR="00E072AE">
        <w:t>developments in the sector</w:t>
      </w:r>
      <w:r w:rsidR="00CE54CE">
        <w:t xml:space="preserve">, including </w:t>
      </w:r>
      <w:r w:rsidR="00E072AE">
        <w:t xml:space="preserve">job </w:t>
      </w:r>
      <w:r w:rsidR="00CE54CE">
        <w:t>losses.</w:t>
      </w:r>
      <w:r w:rsidR="00CE54CE">
        <w:rPr>
          <w:rStyle w:val="FootnoteReference"/>
        </w:rPr>
        <w:footnoteReference w:id="10"/>
      </w:r>
    </w:p>
    <w:p w14:paraId="05018075" w14:textId="1B557533" w:rsidR="00750AB4" w:rsidRDefault="00F84341" w:rsidP="00AC2B28">
      <w:pPr>
        <w:pStyle w:val="Heading3"/>
      </w:pPr>
      <w:bookmarkStart w:id="27" w:name="_Toc214019403"/>
      <w:r>
        <w:t>Eas</w:t>
      </w:r>
      <w:r w:rsidR="0091558D">
        <w:t xml:space="preserve">ier </w:t>
      </w:r>
      <w:r>
        <w:t>ability to fill vacancies</w:t>
      </w:r>
      <w:r w:rsidR="0091558D">
        <w:t xml:space="preserve"> and recruit</w:t>
      </w:r>
      <w:bookmarkEnd w:id="27"/>
      <w:r>
        <w:t xml:space="preserve"> </w:t>
      </w:r>
    </w:p>
    <w:p w14:paraId="36415515" w14:textId="358DFCBC" w:rsidR="009913E4" w:rsidRDefault="00D647C2" w:rsidP="00AE5C06">
      <w:pPr>
        <w:pStyle w:val="BodyText"/>
      </w:pPr>
      <w:r w:rsidRPr="00CF135F">
        <w:rPr>
          <w:rStyle w:val="Strong"/>
        </w:rPr>
        <w:t>Occupation vacancy fill rates</w:t>
      </w:r>
      <w:r>
        <w:t xml:space="preserve"> </w:t>
      </w:r>
      <w:r w:rsidR="0011040A">
        <w:t xml:space="preserve">(fill rates) </w:t>
      </w:r>
      <w:r>
        <w:t xml:space="preserve">indicate the ability of employers to fill </w:t>
      </w:r>
      <w:r w:rsidR="007F6BD4">
        <w:t>vacant positions</w:t>
      </w:r>
      <w:r w:rsidR="003A3506">
        <w:t xml:space="preserve"> – a key proxy measure of shortage pressures used by Jobs and Skills Australia</w:t>
      </w:r>
      <w:r w:rsidR="007F6BD4">
        <w:t xml:space="preserve">. </w:t>
      </w:r>
      <w:r w:rsidR="005253B4">
        <w:t xml:space="preserve">In 2024–25, </w:t>
      </w:r>
      <w:r w:rsidR="005821BD">
        <w:t xml:space="preserve">the no shortage </w:t>
      </w:r>
      <w:r w:rsidR="005253B4">
        <w:t>o</w:t>
      </w:r>
      <w:r w:rsidR="00E72BCE">
        <w:t xml:space="preserve">ccupations within </w:t>
      </w:r>
      <w:r w:rsidR="00663E07">
        <w:t>Business and Finance</w:t>
      </w:r>
      <w:r w:rsidR="009559FE" w:rsidRPr="00AE5C06">
        <w:t xml:space="preserve">, </w:t>
      </w:r>
      <w:r w:rsidR="00B17A98">
        <w:t>E</w:t>
      </w:r>
      <w:r w:rsidR="00653A18">
        <w:t>ngineering</w:t>
      </w:r>
      <w:r w:rsidR="009559FE" w:rsidRPr="00AE5C06">
        <w:t xml:space="preserve">, Health and ICT, </w:t>
      </w:r>
      <w:r w:rsidR="00E72BCE">
        <w:t xml:space="preserve">had </w:t>
      </w:r>
      <w:r w:rsidR="00030229" w:rsidRPr="00AE5C06">
        <w:t xml:space="preserve">average </w:t>
      </w:r>
      <w:r w:rsidR="009559FE" w:rsidRPr="00AE5C06">
        <w:t>fill rates</w:t>
      </w:r>
      <w:r w:rsidR="00AE5C06" w:rsidRPr="00AE5C06">
        <w:t xml:space="preserve"> </w:t>
      </w:r>
      <w:r w:rsidR="00C53C94">
        <w:t xml:space="preserve">ranging from 77% to 82% and were </w:t>
      </w:r>
      <w:r w:rsidR="009913E4">
        <w:t>well above the:</w:t>
      </w:r>
    </w:p>
    <w:p w14:paraId="32368DEB" w14:textId="232584F3" w:rsidR="009913E4" w:rsidRDefault="006A0004" w:rsidP="009913E4">
      <w:pPr>
        <w:pStyle w:val="ListBullet"/>
      </w:pPr>
      <w:r>
        <w:t>economy-wide</w:t>
      </w:r>
      <w:r w:rsidR="00C53CEF">
        <w:t xml:space="preserve"> </w:t>
      </w:r>
      <w:r w:rsidR="009913E4">
        <w:t xml:space="preserve">average </w:t>
      </w:r>
      <w:r w:rsidR="007A7437">
        <w:t>(the dashed</w:t>
      </w:r>
      <w:r w:rsidR="003D74DE">
        <w:t xml:space="preserve"> </w:t>
      </w:r>
      <w:r w:rsidR="007A7437">
        <w:t>line)</w:t>
      </w:r>
      <w:r w:rsidR="00AC4655">
        <w:t xml:space="preserve"> of </w:t>
      </w:r>
      <w:r w:rsidR="009D0FA3">
        <w:t>69%</w:t>
      </w:r>
    </w:p>
    <w:p w14:paraId="6133BFA1" w14:textId="46E813BF" w:rsidR="00C53CEF" w:rsidRDefault="00C53CEF" w:rsidP="009913E4">
      <w:pPr>
        <w:pStyle w:val="ListBullet"/>
      </w:pPr>
      <w:r>
        <w:t>average for all occupations in shortage</w:t>
      </w:r>
      <w:r w:rsidR="00AC4655">
        <w:t xml:space="preserve"> of 57%</w:t>
      </w:r>
    </w:p>
    <w:p w14:paraId="6D56B754" w14:textId="448C987C" w:rsidR="00AE5C06" w:rsidRPr="00AE5C06" w:rsidRDefault="00C53CEF" w:rsidP="00CF135F">
      <w:pPr>
        <w:pStyle w:val="ListBullet"/>
      </w:pPr>
      <w:r>
        <w:t>average for all professionals</w:t>
      </w:r>
      <w:r w:rsidR="00AC4655">
        <w:t xml:space="preserve"> </w:t>
      </w:r>
      <w:r w:rsidR="00282930">
        <w:t xml:space="preserve">in shortage of </w:t>
      </w:r>
      <w:r w:rsidR="00AC4655">
        <w:t>59%</w:t>
      </w:r>
      <w:r w:rsidR="00D55AB1">
        <w:t xml:space="preserve"> (</w:t>
      </w:r>
      <w:r w:rsidR="00D55AB1">
        <w:fldChar w:fldCharType="begin"/>
      </w:r>
      <w:r w:rsidR="00D55AB1">
        <w:instrText xml:space="preserve"> REF _Ref213856430 \h </w:instrText>
      </w:r>
      <w:r w:rsidR="00D55AB1">
        <w:fldChar w:fldCharType="separate"/>
      </w:r>
      <w:r w:rsidR="00A0645F">
        <w:t xml:space="preserve">Figure </w:t>
      </w:r>
      <w:r w:rsidR="00A0645F">
        <w:rPr>
          <w:noProof/>
        </w:rPr>
        <w:t>5</w:t>
      </w:r>
      <w:r w:rsidR="00D55AB1">
        <w:fldChar w:fldCharType="end"/>
      </w:r>
      <w:r w:rsidR="00D55AB1">
        <w:t>)</w:t>
      </w:r>
      <w:r w:rsidR="00AE5C06" w:rsidRPr="00AE5C06">
        <w:t xml:space="preserve">. </w:t>
      </w:r>
    </w:p>
    <w:p w14:paraId="0BCD6D5A" w14:textId="1CC8DD25" w:rsidR="00750AB4" w:rsidRDefault="003824B8" w:rsidP="003824B8">
      <w:pPr>
        <w:pStyle w:val="Caption"/>
      </w:pPr>
      <w:bookmarkStart w:id="28" w:name="_Ref213856430"/>
      <w:r>
        <w:t xml:space="preserve">Figure </w:t>
      </w:r>
      <w:r>
        <w:fldChar w:fldCharType="begin"/>
      </w:r>
      <w:r>
        <w:instrText xml:space="preserve"> SEQ Figure \* ARABIC </w:instrText>
      </w:r>
      <w:r>
        <w:fldChar w:fldCharType="separate"/>
      </w:r>
      <w:r w:rsidR="00A0645F">
        <w:rPr>
          <w:noProof/>
        </w:rPr>
        <w:t>5</w:t>
      </w:r>
      <w:r>
        <w:fldChar w:fldCharType="end"/>
      </w:r>
      <w:bookmarkEnd w:id="28"/>
      <w:r w:rsidR="00750AB4">
        <w:t xml:space="preserve">: Fill rates, </w:t>
      </w:r>
      <w:r w:rsidR="008F1A66">
        <w:t>2024-</w:t>
      </w:r>
      <w:r w:rsidR="00750AB4">
        <w:t>25</w:t>
      </w:r>
    </w:p>
    <w:p w14:paraId="5D723275" w14:textId="037E339A" w:rsidR="00751B47" w:rsidRDefault="0093000F" w:rsidP="00CF135F">
      <w:pPr>
        <w:pStyle w:val="Source"/>
      </w:pPr>
      <w:r w:rsidRPr="0093000F">
        <w:rPr>
          <w:noProof/>
        </w:rPr>
        <w:drawing>
          <wp:inline distT="0" distB="0" distL="0" distR="0" wp14:anchorId="4F14546C" wp14:editId="3DFFFF42">
            <wp:extent cx="5732145" cy="2952000"/>
            <wp:effectExtent l="0" t="0" r="1905" b="1270"/>
            <wp:docPr id="1069188852" name="Chart 1" descr="Figure 6 shows that in 2024-25, fill rates were much higher for Business and Finance, Engineering, Health and ICT clusters than for all professionals occupations and all occupations that remained in shortage. Fill rates for the four clusters were also higher than the national average of all occupations at 69%. ">
              <a:extLst xmlns:a="http://schemas.openxmlformats.org/drawingml/2006/main">
                <a:ext uri="{FF2B5EF4-FFF2-40B4-BE49-F238E27FC236}">
                  <a16:creationId xmlns:a16="http://schemas.microsoft.com/office/drawing/2014/main" id="{336D5B41-B361-4860-BF9F-746C62B0D3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002F6EF3">
        <w:br/>
      </w:r>
      <w:r w:rsidR="009559FE">
        <w:t xml:space="preserve">Source: Jobs and Skills Australia, </w:t>
      </w:r>
      <w:r w:rsidR="005155D3">
        <w:t>SERA</w:t>
      </w:r>
      <w:r w:rsidR="00443EAE">
        <w:t>, 2025</w:t>
      </w:r>
      <w:r w:rsidR="005155D3">
        <w:t>.</w:t>
      </w:r>
      <w:r w:rsidR="004E50EB">
        <w:t xml:space="preserve"> </w:t>
      </w:r>
    </w:p>
    <w:p w14:paraId="6809908C" w14:textId="10238A59" w:rsidR="00EB5F97" w:rsidRDefault="00EB5F97" w:rsidP="00EB5F97">
      <w:pPr>
        <w:pStyle w:val="BodyText"/>
      </w:pPr>
      <w:r>
        <w:t>Further, the fill rates of the no shortage occupations from within the sub majors in 2024–25, were also significantly higher than their own respective average fill rate</w:t>
      </w:r>
      <w:r w:rsidR="009072BA">
        <w:t>s</w:t>
      </w:r>
      <w:r>
        <w:t xml:space="preserve"> from 2021–22 to 2024–25.</w:t>
      </w:r>
      <w:r>
        <w:rPr>
          <w:rStyle w:val="FootnoteReference"/>
        </w:rPr>
        <w:footnoteReference w:id="11"/>
      </w:r>
      <w:r>
        <w:t xml:space="preserve"> </w:t>
      </w:r>
    </w:p>
    <w:p w14:paraId="77A68272" w14:textId="77777777" w:rsidR="000F0C21" w:rsidRDefault="000F0C21">
      <w:pPr>
        <w:spacing w:before="0" w:after="200" w:line="276" w:lineRule="auto"/>
        <w:rPr>
          <w:rStyle w:val="Strong"/>
        </w:rPr>
      </w:pPr>
      <w:r>
        <w:rPr>
          <w:rStyle w:val="Strong"/>
        </w:rPr>
        <w:br w:type="page"/>
      </w:r>
    </w:p>
    <w:p w14:paraId="0AA55498" w14:textId="1C13FF4A" w:rsidR="005546F5" w:rsidRDefault="005546F5" w:rsidP="00CF135F">
      <w:pPr>
        <w:pStyle w:val="BodyText"/>
        <w:rPr>
          <w:b/>
          <w:bCs/>
          <w:color w:val="012749"/>
          <w:sz w:val="18"/>
          <w:szCs w:val="18"/>
        </w:rPr>
      </w:pPr>
      <w:r w:rsidRPr="00CF135F">
        <w:rPr>
          <w:rStyle w:val="Strong"/>
        </w:rPr>
        <w:lastRenderedPageBreak/>
        <w:t>Recruitment difficulty rates</w:t>
      </w:r>
      <w:r w:rsidRPr="003D2C7B">
        <w:t xml:space="preserve"> indicate challeng</w:t>
      </w:r>
      <w:r w:rsidR="00E978C9">
        <w:t xml:space="preserve">es experienced </w:t>
      </w:r>
      <w:r w:rsidR="00811432">
        <w:t>by</w:t>
      </w:r>
      <w:r w:rsidRPr="003D2C7B">
        <w:t xml:space="preserve"> employers</w:t>
      </w:r>
      <w:r w:rsidR="00811432">
        <w:t xml:space="preserve"> </w:t>
      </w:r>
      <w:r w:rsidR="00E978C9">
        <w:t xml:space="preserve">when </w:t>
      </w:r>
      <w:r w:rsidRPr="003D2C7B">
        <w:t>hiring.</w:t>
      </w:r>
      <w:r w:rsidR="00DE12A1">
        <w:t xml:space="preserve"> </w:t>
      </w:r>
    </w:p>
    <w:p w14:paraId="4756EED4" w14:textId="50B49046" w:rsidR="006C2026" w:rsidRDefault="003824B8" w:rsidP="003824B8">
      <w:pPr>
        <w:pStyle w:val="Caption"/>
      </w:pPr>
      <w:bookmarkStart w:id="29" w:name="_Ref213856441"/>
      <w:r>
        <w:t xml:space="preserve">Figure </w:t>
      </w:r>
      <w:r>
        <w:fldChar w:fldCharType="begin"/>
      </w:r>
      <w:r>
        <w:instrText xml:space="preserve"> SEQ Figure \* ARABIC </w:instrText>
      </w:r>
      <w:r>
        <w:fldChar w:fldCharType="separate"/>
      </w:r>
      <w:r w:rsidR="00A0645F">
        <w:rPr>
          <w:noProof/>
        </w:rPr>
        <w:t>6</w:t>
      </w:r>
      <w:r>
        <w:fldChar w:fldCharType="end"/>
      </w:r>
      <w:bookmarkEnd w:id="29"/>
      <w:r w:rsidR="006C2026">
        <w:t xml:space="preserve">: Recruitment difficulty rate (%), </w:t>
      </w:r>
      <w:r w:rsidR="00F61F43">
        <w:t>2024–</w:t>
      </w:r>
      <w:r w:rsidR="006C2026">
        <w:t>25</w:t>
      </w:r>
    </w:p>
    <w:p w14:paraId="5F298C12" w14:textId="69EEE9E9" w:rsidR="006C2026" w:rsidRDefault="00D136FB" w:rsidP="00CB404F">
      <w:pPr>
        <w:pStyle w:val="Source"/>
      </w:pPr>
      <w:r w:rsidRPr="00D136FB">
        <w:rPr>
          <w:noProof/>
        </w:rPr>
        <w:drawing>
          <wp:inline distT="0" distB="0" distL="0" distR="0" wp14:anchorId="2B720951" wp14:editId="5B84CA0C">
            <wp:extent cx="5732145" cy="2952000"/>
            <wp:effectExtent l="0" t="0" r="1905" b="1270"/>
            <wp:docPr id="143711534" name="Chart 1" descr="Figure 7 shows that recruitment difficulty rates were lower in the four clusters, particularly ICT professionals cluster, than those for all professionals and all occupations that remained in shortage. They were also below that for all occupations, shown in dashed-line at 50%. ">
              <a:extLst xmlns:a="http://schemas.openxmlformats.org/drawingml/2006/main">
                <a:ext uri="{FF2B5EF4-FFF2-40B4-BE49-F238E27FC236}">
                  <a16:creationId xmlns:a16="http://schemas.microsoft.com/office/drawing/2014/main" id="{FC2B88CE-F20E-4C93-8DF7-1E20957F8E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006C2026">
        <w:br/>
        <w:t>Source: Jobs and Skills Australia, REOS, 2025</w:t>
      </w:r>
      <w:r w:rsidR="008920F1">
        <w:t xml:space="preserve"> June</w:t>
      </w:r>
      <w:r w:rsidR="006C2026">
        <w:t xml:space="preserve">. </w:t>
      </w:r>
    </w:p>
    <w:p w14:paraId="11867C43" w14:textId="14342E6D" w:rsidR="00DE12A1" w:rsidRDefault="00DE12A1" w:rsidP="00580447">
      <w:pPr>
        <w:pStyle w:val="BodyText"/>
      </w:pPr>
      <w:r>
        <w:t xml:space="preserve">In 2024–25, the </w:t>
      </w:r>
      <w:r w:rsidR="00B01DC1">
        <w:t xml:space="preserve">recruitment difficulty rates for the </w:t>
      </w:r>
      <w:r>
        <w:t xml:space="preserve">no shortage occupations within </w:t>
      </w:r>
      <w:r w:rsidR="00811432">
        <w:t>the sub-majors</w:t>
      </w:r>
      <w:r w:rsidRPr="00AE5C06">
        <w:t xml:space="preserve"> </w:t>
      </w:r>
      <w:r w:rsidR="00B01DC1">
        <w:t xml:space="preserve">were </w:t>
      </w:r>
      <w:r>
        <w:t xml:space="preserve">below those of </w:t>
      </w:r>
      <w:r w:rsidR="00B01DC1">
        <w:t xml:space="preserve">in-shortage </w:t>
      </w:r>
      <w:r>
        <w:t>occupations</w:t>
      </w:r>
      <w:r w:rsidR="00B45281">
        <w:t xml:space="preserve">, </w:t>
      </w:r>
      <w:r w:rsidR="00B01DC1">
        <w:t>and</w:t>
      </w:r>
      <w:r w:rsidR="00B45281">
        <w:t xml:space="preserve"> economy-wide average</w:t>
      </w:r>
      <w:r w:rsidR="007C19E4">
        <w:t xml:space="preserve"> </w:t>
      </w:r>
      <w:r w:rsidR="00B01DC1">
        <w:t>rate</w:t>
      </w:r>
      <w:r w:rsidR="00EB72E7">
        <w:t xml:space="preserve"> </w:t>
      </w:r>
      <w:r w:rsidR="007C19E4">
        <w:t>(Figure 7)</w:t>
      </w:r>
      <w:r>
        <w:t xml:space="preserve">. </w:t>
      </w:r>
    </w:p>
    <w:p w14:paraId="0AFC7A8F" w14:textId="6B5C85E1" w:rsidR="00030229" w:rsidRDefault="00AB4052" w:rsidP="00AC2B28">
      <w:pPr>
        <w:pStyle w:val="Heading3"/>
      </w:pPr>
      <w:bookmarkStart w:id="30" w:name="_Toc214019404"/>
      <w:r>
        <w:t>More</w:t>
      </w:r>
      <w:r w:rsidR="004E50EB">
        <w:t xml:space="preserve"> </w:t>
      </w:r>
      <w:r w:rsidR="0091558D">
        <w:t xml:space="preserve">throughput of </w:t>
      </w:r>
      <w:r w:rsidR="004E50EB">
        <w:t xml:space="preserve">qualified </w:t>
      </w:r>
      <w:r w:rsidR="0091558D">
        <w:t xml:space="preserve">workers </w:t>
      </w:r>
      <w:r>
        <w:t xml:space="preserve">and shorter </w:t>
      </w:r>
      <w:r w:rsidR="0060292F">
        <w:t>duration of vacancies</w:t>
      </w:r>
      <w:bookmarkEnd w:id="30"/>
    </w:p>
    <w:p w14:paraId="3B1A1CF8" w14:textId="77777777" w:rsidR="00F84341" w:rsidRDefault="00C21D92" w:rsidP="00D12A7F">
      <w:pPr>
        <w:pStyle w:val="BodyText"/>
      </w:pPr>
      <w:r w:rsidRPr="00C21D92">
        <w:t xml:space="preserve">The number of </w:t>
      </w:r>
      <w:r w:rsidRPr="00337794">
        <w:rPr>
          <w:rStyle w:val="Characterbold"/>
        </w:rPr>
        <w:t>qualified applicants</w:t>
      </w:r>
      <w:r w:rsidRPr="00C21D92">
        <w:t xml:space="preserve"> </w:t>
      </w:r>
      <w:r w:rsidRPr="00E375F1">
        <w:rPr>
          <w:rStyle w:val="Characterbold"/>
        </w:rPr>
        <w:t>per vacancy</w:t>
      </w:r>
      <w:r w:rsidRPr="00C21D92">
        <w:t xml:space="preserve"> </w:t>
      </w:r>
      <w:r w:rsidR="00EF70F0">
        <w:t xml:space="preserve">serves as </w:t>
      </w:r>
      <w:r w:rsidR="002D6892">
        <w:t xml:space="preserve">a </w:t>
      </w:r>
      <w:r w:rsidR="002119D1">
        <w:t xml:space="preserve">proxy </w:t>
      </w:r>
      <w:r w:rsidR="00EF70F0">
        <w:t>for</w:t>
      </w:r>
      <w:r w:rsidR="002119D1">
        <w:t xml:space="preserve"> </w:t>
      </w:r>
      <w:r w:rsidRPr="00C21D92">
        <w:t>labour</w:t>
      </w:r>
      <w:r w:rsidR="00400856">
        <w:t xml:space="preserve"> market</w:t>
      </w:r>
      <w:r w:rsidRPr="00C21D92">
        <w:t xml:space="preserve"> supply.</w:t>
      </w:r>
      <w:r w:rsidR="00560D50">
        <w:t xml:space="preserve"> </w:t>
      </w:r>
      <w:r w:rsidR="00400856">
        <w:t xml:space="preserve">A </w:t>
      </w:r>
      <w:r w:rsidR="0097342F">
        <w:t xml:space="preserve">large figure, including </w:t>
      </w:r>
      <w:r w:rsidR="00400856">
        <w:t>i</w:t>
      </w:r>
      <w:r w:rsidR="00CE6510">
        <w:t>ncrease</w:t>
      </w:r>
      <w:r w:rsidR="0097342F">
        <w:t xml:space="preserve">s over time </w:t>
      </w:r>
      <w:r w:rsidR="00C43178">
        <w:t xml:space="preserve">reflects </w:t>
      </w:r>
      <w:r w:rsidR="0097342F">
        <w:t xml:space="preserve">improvement in the supply of workers. </w:t>
      </w:r>
    </w:p>
    <w:p w14:paraId="68242D7B" w14:textId="6D2C0307" w:rsidR="00030229" w:rsidRDefault="003824B8" w:rsidP="003824B8">
      <w:pPr>
        <w:pStyle w:val="Caption"/>
      </w:pPr>
      <w:bookmarkStart w:id="31" w:name="_Ref213856472"/>
      <w:r>
        <w:t xml:space="preserve">Figure </w:t>
      </w:r>
      <w:r>
        <w:fldChar w:fldCharType="begin"/>
      </w:r>
      <w:r>
        <w:instrText xml:space="preserve"> SEQ Figure \* ARABIC </w:instrText>
      </w:r>
      <w:r>
        <w:fldChar w:fldCharType="separate"/>
      </w:r>
      <w:r w:rsidR="00A0645F">
        <w:rPr>
          <w:noProof/>
        </w:rPr>
        <w:t>7</w:t>
      </w:r>
      <w:r>
        <w:fldChar w:fldCharType="end"/>
      </w:r>
      <w:bookmarkEnd w:id="31"/>
      <w:r w:rsidR="00030229">
        <w:t xml:space="preserve">: </w:t>
      </w:r>
      <w:r w:rsidR="00D8377A">
        <w:t>Q</w:t>
      </w:r>
      <w:r w:rsidR="00030229">
        <w:t>ualified applicants per vacancy</w:t>
      </w:r>
      <w:r w:rsidR="006908B2">
        <w:t>,</w:t>
      </w:r>
      <w:r w:rsidR="00030229">
        <w:t xml:space="preserve"> </w:t>
      </w:r>
      <w:r w:rsidR="008F1A66">
        <w:t>2024-</w:t>
      </w:r>
      <w:r w:rsidR="00030229">
        <w:t xml:space="preserve">25 </w:t>
      </w:r>
    </w:p>
    <w:p w14:paraId="600732C6" w14:textId="0FAF73D5" w:rsidR="00030229" w:rsidRDefault="00E96BA5" w:rsidP="00030229">
      <w:pPr>
        <w:pStyle w:val="Source"/>
      </w:pPr>
      <w:r w:rsidRPr="00E96BA5">
        <w:rPr>
          <w:noProof/>
        </w:rPr>
        <w:drawing>
          <wp:inline distT="0" distB="0" distL="0" distR="0" wp14:anchorId="2EBA91B3" wp14:editId="58F9AD9E">
            <wp:extent cx="5732145" cy="2952000"/>
            <wp:effectExtent l="0" t="0" r="1905" b="1270"/>
            <wp:docPr id="102771595" name="Chart 1" descr="Figure 8 shows that in the 2024-25 financial year, the occupations not in shortage in Business and Finance, Engineering, ICT had the number of qualified applicants per vacancy higher than that for all professionals and all occupations that remained in shortage. They are also higher than that for all occupations, averaged at 13.2. However, the health-based occupations saw a lower number of qualified applicants per vacancy, at 4.2. ">
              <a:extLst xmlns:a="http://schemas.openxmlformats.org/drawingml/2006/main">
                <a:ext uri="{FF2B5EF4-FFF2-40B4-BE49-F238E27FC236}">
                  <a16:creationId xmlns:a16="http://schemas.microsoft.com/office/drawing/2014/main" id="{4C91505F-2A70-4F4D-91B4-51B01838BD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008F5F51">
        <w:br/>
      </w:r>
      <w:r w:rsidR="00030229">
        <w:t xml:space="preserve">Source: Jobs and Skills Australia, SERA, 2025. </w:t>
      </w:r>
    </w:p>
    <w:p w14:paraId="1EAAA274" w14:textId="77777777" w:rsidR="00377A9A" w:rsidRDefault="00377A9A">
      <w:pPr>
        <w:spacing w:before="0" w:after="200" w:line="276" w:lineRule="auto"/>
      </w:pPr>
      <w:r>
        <w:br w:type="page"/>
      </w:r>
    </w:p>
    <w:p w14:paraId="55795839" w14:textId="77777777" w:rsidR="00A3609D" w:rsidRDefault="00A3609D" w:rsidP="00A3609D">
      <w:pPr>
        <w:pStyle w:val="BodyText"/>
      </w:pPr>
      <w:r>
        <w:lastRenderedPageBreak/>
        <w:t>In 2024–25</w:t>
      </w:r>
      <w:r w:rsidRPr="00C21D92">
        <w:t xml:space="preserve">, </w:t>
      </w:r>
      <w:r>
        <w:t>the number of qualified applicants per vacancy for no shortage occupations within Business and Finance, Engineering and ICT was above:</w:t>
      </w:r>
    </w:p>
    <w:p w14:paraId="2B3A7187" w14:textId="17DBE5A7" w:rsidR="00A3609D" w:rsidRDefault="00A3609D" w:rsidP="00A3609D">
      <w:pPr>
        <w:pStyle w:val="ListBullet"/>
        <w:numPr>
          <w:ilvl w:val="0"/>
          <w:numId w:val="4"/>
        </w:numPr>
      </w:pPr>
      <w:r>
        <w:t>economy-wide average (the dashed line) of 13.2</w:t>
      </w:r>
    </w:p>
    <w:p w14:paraId="7C221451" w14:textId="5653C9C7" w:rsidR="00A3609D" w:rsidRDefault="00A3609D" w:rsidP="00A3609D">
      <w:pPr>
        <w:pStyle w:val="ListBullet"/>
        <w:numPr>
          <w:ilvl w:val="0"/>
          <w:numId w:val="4"/>
        </w:numPr>
      </w:pPr>
      <w:r>
        <w:t xml:space="preserve">average for all occupations in shortage of </w:t>
      </w:r>
      <w:r w:rsidR="000E1EE3">
        <w:t>7.7</w:t>
      </w:r>
    </w:p>
    <w:p w14:paraId="4272642E" w14:textId="3E3D79B3" w:rsidR="00A3609D" w:rsidRPr="00AE5C06" w:rsidRDefault="00A3609D" w:rsidP="00CF135F">
      <w:pPr>
        <w:pStyle w:val="ListBullet"/>
        <w:numPr>
          <w:ilvl w:val="0"/>
          <w:numId w:val="4"/>
        </w:numPr>
      </w:pPr>
      <w:r>
        <w:t xml:space="preserve">average for all professionals in shortage of </w:t>
      </w:r>
      <w:r w:rsidR="000E1EE3">
        <w:t>8.9</w:t>
      </w:r>
      <w:r>
        <w:t xml:space="preserve"> (</w:t>
      </w:r>
      <w:r>
        <w:fldChar w:fldCharType="begin"/>
      </w:r>
      <w:r>
        <w:instrText xml:space="preserve"> REF _Ref213856472 \h </w:instrText>
      </w:r>
      <w:r>
        <w:fldChar w:fldCharType="separate"/>
      </w:r>
      <w:r w:rsidR="00A0645F">
        <w:t xml:space="preserve">Figure </w:t>
      </w:r>
      <w:r w:rsidR="00A0645F">
        <w:rPr>
          <w:noProof/>
        </w:rPr>
        <w:t>7</w:t>
      </w:r>
      <w:r>
        <w:fldChar w:fldCharType="end"/>
      </w:r>
      <w:r>
        <w:t>)</w:t>
      </w:r>
      <w:r w:rsidRPr="00AE5C06">
        <w:t xml:space="preserve">. </w:t>
      </w:r>
    </w:p>
    <w:p w14:paraId="092600E0" w14:textId="382025CC" w:rsidR="00A3609D" w:rsidRDefault="00D66880" w:rsidP="008F5F51">
      <w:pPr>
        <w:pStyle w:val="BodyText"/>
      </w:pPr>
      <w:r>
        <w:t>In addition to the above, average number of qualified applicants per vacancy improved strongly overtime</w:t>
      </w:r>
      <w:r w:rsidR="00944B3C">
        <w:t xml:space="preserve"> for the no-shortage occupations within the sub-majors</w:t>
      </w:r>
      <w:r w:rsidR="003061BD">
        <w:t>.</w:t>
      </w:r>
    </w:p>
    <w:p w14:paraId="367B0EB3" w14:textId="761DBE55" w:rsidR="008F5F51" w:rsidRDefault="004E4E1A" w:rsidP="008F5F51">
      <w:pPr>
        <w:pStyle w:val="BodyText"/>
        <w:rPr>
          <w:lang w:eastAsia="en-GB"/>
        </w:rPr>
      </w:pPr>
      <w:r>
        <w:t xml:space="preserve">The health-based occupations, however, </w:t>
      </w:r>
      <w:r w:rsidR="00266F5A">
        <w:t xml:space="preserve">still show a constrained supply pipeline. </w:t>
      </w:r>
      <w:r w:rsidR="006C374E">
        <w:t xml:space="preserve">This is likely due to </w:t>
      </w:r>
      <w:r w:rsidR="00615FDA">
        <w:t xml:space="preserve">limits related to education and training placements, coupled with lengthy lead times for training and education. </w:t>
      </w:r>
    </w:p>
    <w:p w14:paraId="00B60032" w14:textId="58E1A18F" w:rsidR="00165FCA" w:rsidRDefault="00165FCA" w:rsidP="008F5F51">
      <w:pPr>
        <w:pStyle w:val="BodyText"/>
      </w:pPr>
      <w:r>
        <w:t xml:space="preserve">Despite the lower stock of average </w:t>
      </w:r>
      <w:r w:rsidR="00F56368">
        <w:t>qualified applicants per vacancy,</w:t>
      </w:r>
      <w:r w:rsidR="00DD76A4">
        <w:t xml:space="preserve"> the health roles</w:t>
      </w:r>
      <w:r w:rsidR="00A731CD">
        <w:t xml:space="preserve"> </w:t>
      </w:r>
      <w:r w:rsidR="00596DCB">
        <w:t xml:space="preserve">still </w:t>
      </w:r>
      <w:r w:rsidR="00A731CD">
        <w:t xml:space="preserve">transitioned to no shortage in 2025 </w:t>
      </w:r>
      <w:r w:rsidR="0018060D">
        <w:t xml:space="preserve">owing </w:t>
      </w:r>
      <w:r w:rsidR="00A731CD">
        <w:t>to their</w:t>
      </w:r>
      <w:r w:rsidR="00F56368">
        <w:t xml:space="preserve"> high fill rates and lower demand</w:t>
      </w:r>
      <w:r w:rsidR="0018060D">
        <w:t>.</w:t>
      </w:r>
      <w:r>
        <w:t xml:space="preserve"> </w:t>
      </w:r>
    </w:p>
    <w:p w14:paraId="7ACD85D9" w14:textId="1C55E5AD" w:rsidR="00D22517" w:rsidRPr="002A3A7B" w:rsidRDefault="0060292F" w:rsidP="006441E9">
      <w:pPr>
        <w:pStyle w:val="BodyText"/>
      </w:pPr>
      <w:r>
        <w:rPr>
          <w:rStyle w:val="Characterbold"/>
        </w:rPr>
        <w:t xml:space="preserve">Duration of </w:t>
      </w:r>
      <w:r w:rsidR="00861EC8" w:rsidRPr="00AC12B7">
        <w:rPr>
          <w:rStyle w:val="Characterbold"/>
        </w:rPr>
        <w:t>advertis</w:t>
      </w:r>
      <w:r>
        <w:rPr>
          <w:rStyle w:val="Characterbold"/>
        </w:rPr>
        <w:t>ed vacancies</w:t>
      </w:r>
      <w:r w:rsidR="00861EC8" w:rsidRPr="00861EC8">
        <w:t xml:space="preserve"> reflects how quickly vacancies are filled, with shorter periods indicating roles are easier to fill and less likely to be in shortage.</w:t>
      </w:r>
      <w:r w:rsidR="006F77CB">
        <w:t xml:space="preserve"> </w:t>
      </w:r>
    </w:p>
    <w:p w14:paraId="3D2BD491" w14:textId="656C6D31" w:rsidR="00D412DA" w:rsidRDefault="003824B8" w:rsidP="003824B8">
      <w:pPr>
        <w:pStyle w:val="Caption"/>
      </w:pPr>
      <w:bookmarkStart w:id="32" w:name="_Ref213856506"/>
      <w:r>
        <w:t xml:space="preserve">Figure </w:t>
      </w:r>
      <w:r>
        <w:fldChar w:fldCharType="begin"/>
      </w:r>
      <w:r>
        <w:instrText xml:space="preserve"> SEQ Figure \* ARABIC </w:instrText>
      </w:r>
      <w:r>
        <w:fldChar w:fldCharType="separate"/>
      </w:r>
      <w:r w:rsidR="00A0645F">
        <w:rPr>
          <w:noProof/>
        </w:rPr>
        <w:t>8</w:t>
      </w:r>
      <w:r>
        <w:fldChar w:fldCharType="end"/>
      </w:r>
      <w:bookmarkEnd w:id="32"/>
      <w:r w:rsidR="00D412DA">
        <w:t xml:space="preserve">: </w:t>
      </w:r>
      <w:r w:rsidR="00BC6370">
        <w:t xml:space="preserve">Duration of </w:t>
      </w:r>
      <w:r w:rsidR="00D22517">
        <w:t>advertis</w:t>
      </w:r>
      <w:r w:rsidR="00BC6370">
        <w:t>ed vacancies</w:t>
      </w:r>
      <w:r w:rsidR="00096A2A">
        <w:t xml:space="preserve"> (weeks)</w:t>
      </w:r>
      <w:r w:rsidR="00D412DA">
        <w:t>, 202</w:t>
      </w:r>
      <w:r w:rsidR="008F1A66">
        <w:t xml:space="preserve">4-25 </w:t>
      </w:r>
    </w:p>
    <w:p w14:paraId="06048566" w14:textId="001BC4D5" w:rsidR="00D412DA" w:rsidRDefault="00E50A62" w:rsidP="00D412DA">
      <w:pPr>
        <w:pStyle w:val="Source"/>
      </w:pPr>
      <w:r w:rsidRPr="00E50A62">
        <w:rPr>
          <w:noProof/>
        </w:rPr>
        <w:drawing>
          <wp:inline distT="0" distB="0" distL="0" distR="0" wp14:anchorId="0A16DB62" wp14:editId="26AC25E6">
            <wp:extent cx="5732145" cy="2952000"/>
            <wp:effectExtent l="0" t="0" r="1905" b="1270"/>
            <wp:docPr id="505055386" name="Chart 1" descr="Figure 9 shows that duration of advertised vacancies were much shorter for all four clusters than for all professionals and all occupations that remained in shortage in 2024-25 financial year. Among them, ICT Professionals cluster had the shortest length for advertising, by 6.3 weeks. ">
              <a:extLst xmlns:a="http://schemas.openxmlformats.org/drawingml/2006/main">
                <a:ext uri="{FF2B5EF4-FFF2-40B4-BE49-F238E27FC236}">
                  <a16:creationId xmlns:a16="http://schemas.microsoft.com/office/drawing/2014/main" id="{C509E0C5-EEFD-492A-BC7E-69043C4B05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00420A2C">
        <w:br/>
      </w:r>
      <w:r w:rsidR="00D412DA">
        <w:t xml:space="preserve">Source: Jobs and Skills Australia, SERA, 2025. </w:t>
      </w:r>
    </w:p>
    <w:p w14:paraId="1A2557CF" w14:textId="5AFFED45" w:rsidR="00420A2C" w:rsidRDefault="00420A2C" w:rsidP="00420A2C">
      <w:pPr>
        <w:pStyle w:val="BodyText"/>
      </w:pPr>
      <w:r>
        <w:t xml:space="preserve">In 2024–25, </w:t>
      </w:r>
      <w:r w:rsidR="00393882">
        <w:t>the no-shortage</w:t>
      </w:r>
      <w:r>
        <w:t xml:space="preserve"> occupations within </w:t>
      </w:r>
      <w:r w:rsidR="00393882">
        <w:t>the in-focus sub-majors</w:t>
      </w:r>
      <w:r w:rsidRPr="00AE5C06">
        <w:t xml:space="preserve"> </w:t>
      </w:r>
      <w:r>
        <w:t xml:space="preserve">had </w:t>
      </w:r>
      <w:r w:rsidRPr="00AE5C06">
        <w:t xml:space="preserve">average </w:t>
      </w:r>
      <w:r>
        <w:t xml:space="preserve">advertising length </w:t>
      </w:r>
      <w:r w:rsidR="00AA66CD">
        <w:t>time</w:t>
      </w:r>
      <w:r>
        <w:t xml:space="preserve"> from 6.3 to 7.9 weeks </w:t>
      </w:r>
      <w:r w:rsidR="00AA66CD">
        <w:t>(</w:t>
      </w:r>
      <w:r w:rsidR="00AA66CD">
        <w:fldChar w:fldCharType="begin"/>
      </w:r>
      <w:r w:rsidR="00AA66CD">
        <w:instrText xml:space="preserve"> REF _Ref213856506 \h </w:instrText>
      </w:r>
      <w:r w:rsidR="00AA66CD">
        <w:fldChar w:fldCharType="separate"/>
      </w:r>
      <w:r w:rsidR="00A0645F">
        <w:t xml:space="preserve">Figure </w:t>
      </w:r>
      <w:r w:rsidR="00A0645F">
        <w:rPr>
          <w:noProof/>
        </w:rPr>
        <w:t>8</w:t>
      </w:r>
      <w:r w:rsidR="00AA66CD">
        <w:fldChar w:fldCharType="end"/>
      </w:r>
      <w:r w:rsidR="00AA66CD">
        <w:t>). This was well below the</w:t>
      </w:r>
      <w:r w:rsidR="0018744E">
        <w:t xml:space="preserve"> duration </w:t>
      </w:r>
      <w:r w:rsidR="000A61B3">
        <w:t xml:space="preserve">of vacancies </w:t>
      </w:r>
      <w:r w:rsidR="0018744E">
        <w:t>for professionals occupations in shortage (10.2</w:t>
      </w:r>
      <w:r w:rsidR="00680550">
        <w:t xml:space="preserve"> weeks</w:t>
      </w:r>
      <w:r w:rsidR="0018744E">
        <w:t>) and all occupations in shortage (9.8</w:t>
      </w:r>
      <w:r w:rsidR="00680550">
        <w:t xml:space="preserve"> weeks</w:t>
      </w:r>
      <w:r w:rsidR="0018744E">
        <w:t xml:space="preserve">). </w:t>
      </w:r>
    </w:p>
    <w:p w14:paraId="13EB7D44" w14:textId="165892FE" w:rsidR="00420A2C" w:rsidRPr="002A3A7B" w:rsidRDefault="008D7D6A" w:rsidP="00420A2C">
      <w:pPr>
        <w:pStyle w:val="BodyText"/>
      </w:pPr>
      <w:r>
        <w:t>The h</w:t>
      </w:r>
      <w:r w:rsidR="00420A2C" w:rsidRPr="002A3A7B">
        <w:t xml:space="preserve">ealth occupations with no shortage </w:t>
      </w:r>
      <w:r>
        <w:t>had</w:t>
      </w:r>
      <w:r w:rsidR="00420A2C" w:rsidRPr="002A3A7B">
        <w:t xml:space="preserve"> an average </w:t>
      </w:r>
      <w:r w:rsidR="00420A2C">
        <w:t>duration</w:t>
      </w:r>
      <w:r w:rsidR="00420A2C" w:rsidRPr="002A3A7B">
        <w:t xml:space="preserve"> of 9.0 weeks</w:t>
      </w:r>
      <w:r w:rsidR="00420A2C">
        <w:t xml:space="preserve">, </w:t>
      </w:r>
      <w:r w:rsidR="00420A2C" w:rsidRPr="002A3A7B">
        <w:t xml:space="preserve">slightly above the national average </w:t>
      </w:r>
      <w:r>
        <w:t xml:space="preserve">of 8.1. Worth remembering </w:t>
      </w:r>
      <w:r w:rsidR="000D0CF9">
        <w:t xml:space="preserve">is that the national average is </w:t>
      </w:r>
      <w:r w:rsidR="004C47DF">
        <w:t>weighed</w:t>
      </w:r>
      <w:r w:rsidR="000D0CF9">
        <w:t xml:space="preserve"> down by the</w:t>
      </w:r>
      <w:r>
        <w:t xml:space="preserve"> </w:t>
      </w:r>
      <w:r w:rsidR="004C47DF">
        <w:t>duration numbers for all occupations not</w:t>
      </w:r>
      <w:r w:rsidR="00420A2C" w:rsidRPr="002A3A7B">
        <w:t xml:space="preserve"> in shortage.</w:t>
      </w:r>
      <w:r w:rsidR="004C47DF">
        <w:t xml:space="preserve"> </w:t>
      </w:r>
    </w:p>
    <w:p w14:paraId="3AC1464A" w14:textId="77777777" w:rsidR="00A32516" w:rsidRDefault="00A32516">
      <w:pPr>
        <w:spacing w:before="0" w:after="200" w:line="276" w:lineRule="auto"/>
        <w:rPr>
          <w:rFonts w:eastAsia="Times New Roman" w:cs="Arial"/>
          <w:b/>
          <w:bCs/>
          <w:color w:val="4B0985"/>
          <w:sz w:val="48"/>
          <w:szCs w:val="30"/>
          <w:lang w:eastAsia="en-AU"/>
        </w:rPr>
      </w:pPr>
      <w:r>
        <w:br w:type="page"/>
      </w:r>
    </w:p>
    <w:p w14:paraId="6FCB1B2D" w14:textId="77777777" w:rsidR="00646F60" w:rsidRPr="00646F60" w:rsidRDefault="00646F60" w:rsidP="00646F60">
      <w:pPr>
        <w:pStyle w:val="Heading1"/>
      </w:pPr>
      <w:bookmarkStart w:id="33" w:name="_Toc199509259"/>
      <w:bookmarkStart w:id="34" w:name="_Toc207977957"/>
      <w:bookmarkStart w:id="35" w:name="_Toc214019405"/>
      <w:r w:rsidRPr="00646F60">
        <w:lastRenderedPageBreak/>
        <w:t>Explanatory Notes</w:t>
      </w:r>
      <w:bookmarkEnd w:id="33"/>
      <w:bookmarkEnd w:id="34"/>
      <w:bookmarkEnd w:id="35"/>
    </w:p>
    <w:p w14:paraId="5DDE72F3" w14:textId="7CF6894E" w:rsidR="00646F60" w:rsidRPr="00646F60" w:rsidRDefault="00646F60" w:rsidP="00646F60">
      <w:pPr>
        <w:pStyle w:val="BodyText"/>
      </w:pPr>
      <w:r w:rsidRPr="00646F60">
        <w:t>SERA is a monthly, telephone-based survey of employers with advertised vacancies online. The survey collects information on employers' recruitment experience. Annually, data is collected from over 1</w:t>
      </w:r>
      <w:r w:rsidR="00876013">
        <w:t>1</w:t>
      </w:r>
      <w:r w:rsidRPr="00646F60">
        <w:t xml:space="preserve">,000 employers and covers 577 occupations. Only those occupations with a sufficient quarterly sample size are included for analysis in this report. </w:t>
      </w:r>
    </w:p>
    <w:p w14:paraId="39ECB9CE" w14:textId="77777777" w:rsidR="00646F60" w:rsidRPr="00646F60" w:rsidRDefault="00646F60" w:rsidP="00646F60">
      <w:pPr>
        <w:pStyle w:val="BodyText"/>
      </w:pPr>
      <w:r w:rsidRPr="00646F60">
        <w:t xml:space="preserve">The survey covers skill level 1 to 4 occupations, as defined by </w:t>
      </w:r>
      <w:hyperlink r:id="rId28" w:history="1">
        <w:r w:rsidRPr="00646F60">
          <w:rPr>
            <w:rStyle w:val="Hyperlink"/>
          </w:rPr>
          <w:t>2022 Austr</w:t>
        </w:r>
        <w:bookmarkStart w:id="36" w:name="_Hlt207286477"/>
        <w:bookmarkStart w:id="37" w:name="_Hlt207286478"/>
        <w:r w:rsidRPr="00646F60">
          <w:rPr>
            <w:rStyle w:val="Hyperlink"/>
          </w:rPr>
          <w:t>a</w:t>
        </w:r>
        <w:bookmarkEnd w:id="36"/>
        <w:bookmarkEnd w:id="37"/>
        <w:r w:rsidRPr="00646F60">
          <w:rPr>
            <w:rStyle w:val="Hyperlink"/>
          </w:rPr>
          <w:t>lian and New Zealand Standard Classification of Occupations</w:t>
        </w:r>
      </w:hyperlink>
      <w:r w:rsidRPr="00646F60">
        <w:t xml:space="preserve">. As a result, the survey outcomes are reflective of occupations requiring post-school education and training. </w:t>
      </w:r>
    </w:p>
    <w:p w14:paraId="49A0F265" w14:textId="77777777" w:rsidR="00646F60" w:rsidRPr="00646F60" w:rsidRDefault="00646F60" w:rsidP="00646F60">
      <w:pPr>
        <w:pStyle w:val="Heading2"/>
      </w:pPr>
      <w:bookmarkStart w:id="38" w:name="_Toc199509260"/>
      <w:bookmarkStart w:id="39" w:name="_Toc207977958"/>
      <w:bookmarkStart w:id="40" w:name="_Toc214019406"/>
      <w:r w:rsidRPr="00646F60">
        <w:t>Definitions of metrics</w:t>
      </w:r>
      <w:bookmarkEnd w:id="38"/>
      <w:bookmarkEnd w:id="39"/>
      <w:bookmarkEnd w:id="40"/>
    </w:p>
    <w:p w14:paraId="3E7FEF5F" w14:textId="77777777" w:rsidR="00646F60" w:rsidRPr="00646F60" w:rsidRDefault="00646F60" w:rsidP="00646F60">
      <w:pPr>
        <w:pStyle w:val="BodyText"/>
      </w:pPr>
      <w:r w:rsidRPr="00646F60">
        <w:rPr>
          <w:rStyle w:val="Strong"/>
        </w:rPr>
        <w:t>The fill rate</w:t>
      </w:r>
      <w:r w:rsidRPr="00646F60">
        <w:t xml:space="preserve"> is the percentage of vacancies employers advertised that were filled. The metric is calculated by dividing the number of filled vacancies by total advertised vacancies. </w:t>
      </w:r>
    </w:p>
    <w:p w14:paraId="4D0EF1D1" w14:textId="77777777" w:rsidR="00646F60" w:rsidRPr="00646F60" w:rsidRDefault="00646F60" w:rsidP="00646F60">
      <w:pPr>
        <w:pStyle w:val="BodyText"/>
      </w:pPr>
      <w:r w:rsidRPr="00646F60">
        <w:rPr>
          <w:rStyle w:val="Strong"/>
        </w:rPr>
        <w:t>The average number of applicants per vacancy</w:t>
      </w:r>
      <w:r w:rsidRPr="00646F60">
        <w:t xml:space="preserve"> is calculated as the sum of the number of applicants divided by the sum of advertised vacancies. </w:t>
      </w:r>
    </w:p>
    <w:p w14:paraId="515FC4C1" w14:textId="77777777" w:rsidR="00646F60" w:rsidRPr="00646F60" w:rsidRDefault="00646F60" w:rsidP="00646F60">
      <w:pPr>
        <w:pStyle w:val="BodyText"/>
      </w:pPr>
      <w:r w:rsidRPr="00646F60">
        <w:rPr>
          <w:rStyle w:val="Strong"/>
        </w:rPr>
        <w:t>The average number of qualified applicants per vacancy</w:t>
      </w:r>
      <w:r w:rsidRPr="00646F60">
        <w:t xml:space="preserve"> is calculated as the sum of the number of qualified applicants divided by the sum of advertised vacancies. Qualified applicants are the applicants who are assessed by employers as meeting the required qualification criteria of an advertised vacancy. </w:t>
      </w:r>
    </w:p>
    <w:p w14:paraId="620BF42E" w14:textId="77777777" w:rsidR="00646F60" w:rsidRPr="00646F60" w:rsidRDefault="00646F60" w:rsidP="00646F60">
      <w:pPr>
        <w:pStyle w:val="BodyText"/>
      </w:pPr>
      <w:r w:rsidRPr="00646F60">
        <w:rPr>
          <w:rStyle w:val="Strong"/>
        </w:rPr>
        <w:t>The average number of suitable applicants per vacancy</w:t>
      </w:r>
      <w:r w:rsidRPr="00646F60">
        <w:t xml:space="preserve"> is calculated as the sum of the number of suitable applicants divided by the sum of advertised vacancies. Suitable applicants are those who are deemed by employers to be suitable for the job advertised. </w:t>
      </w:r>
    </w:p>
    <w:p w14:paraId="7FA38144" w14:textId="77777777" w:rsidR="00646F60" w:rsidRPr="00646F60" w:rsidRDefault="00646F60" w:rsidP="00646F60">
      <w:pPr>
        <w:pStyle w:val="BodyText"/>
      </w:pPr>
      <w:r w:rsidRPr="00646F60">
        <w:rPr>
          <w:rStyle w:val="Strong"/>
        </w:rPr>
        <w:t>The average years of labour market experience</w:t>
      </w:r>
      <w:r w:rsidRPr="00646F60">
        <w:t xml:space="preserve"> sought by employer is the average number of years that employers require applicants to have spent in relevant occupations and is calculated as the mean of the years required per employer.</w:t>
      </w:r>
    </w:p>
    <w:p w14:paraId="3EA317DF" w14:textId="77777777" w:rsidR="00646F60" w:rsidRPr="00646F60" w:rsidRDefault="00646F60" w:rsidP="00646F60">
      <w:pPr>
        <w:pStyle w:val="BodyText"/>
      </w:pPr>
      <w:r w:rsidRPr="00646F60">
        <w:rPr>
          <w:rStyle w:val="Strong"/>
        </w:rPr>
        <w:t>Metropolitan area</w:t>
      </w:r>
      <w:r w:rsidRPr="00646F60">
        <w:t xml:space="preserve"> refers to Capital City, while </w:t>
      </w:r>
      <w:r w:rsidRPr="00646F60">
        <w:rPr>
          <w:rStyle w:val="Strong"/>
        </w:rPr>
        <w:t>Regional area</w:t>
      </w:r>
      <w:r w:rsidRPr="00646F60">
        <w:t xml:space="preserve"> refers to Rest of State locations. Capital City and Rest of State areas are defined by the </w:t>
      </w:r>
      <w:hyperlink r:id="rId29" w:history="1">
        <w:r w:rsidRPr="00646F60">
          <w:rPr>
            <w:rStyle w:val="Hyperlink"/>
          </w:rPr>
          <w:t>Australian Statistical Geography Standard (ASGS) Edition 3, July 2021</w:t>
        </w:r>
      </w:hyperlink>
      <w:r w:rsidRPr="00646F60">
        <w:t>.</w:t>
      </w:r>
      <w:r w:rsidRPr="00646F60" w:rsidDel="00C32E1D">
        <w:rPr>
          <w:rStyle w:val="CommentReference"/>
        </w:rPr>
        <w:t xml:space="preserve"> </w:t>
      </w:r>
    </w:p>
    <w:p w14:paraId="237C57EF" w14:textId="5CDF6B76" w:rsidR="00646F60" w:rsidRDefault="00646F60" w:rsidP="00646F60">
      <w:pPr>
        <w:pStyle w:val="BodyText"/>
      </w:pPr>
      <w:r w:rsidRPr="00646F60">
        <w:t xml:space="preserve">For more information, contact </w:t>
      </w:r>
      <w:hyperlink r:id="rId30" w:history="1">
        <w:r w:rsidRPr="00646F60">
          <w:rPr>
            <w:rStyle w:val="Hyperlink"/>
          </w:rPr>
          <w:t>OccupationShortageList@jobsandskills.gov.au</w:t>
        </w:r>
      </w:hyperlink>
      <w:r>
        <w:t>.</w:t>
      </w:r>
    </w:p>
    <w:p w14:paraId="1847384D" w14:textId="77777777" w:rsidR="00646F60" w:rsidRDefault="00646F60" w:rsidP="008D7069">
      <w:pPr>
        <w:pStyle w:val="BodyText"/>
      </w:pPr>
    </w:p>
    <w:p w14:paraId="2D4B8BF0" w14:textId="77777777" w:rsidR="00646F60" w:rsidRPr="00FE2E1A" w:rsidRDefault="00646F60" w:rsidP="008D7069">
      <w:pPr>
        <w:pStyle w:val="BodyText"/>
      </w:pPr>
    </w:p>
    <w:sectPr w:rsidR="00646F60" w:rsidRPr="00FE2E1A" w:rsidSect="000F5CD2">
      <w:footerReference w:type="first" r:id="rId31"/>
      <w:pgSz w:w="11907" w:h="16839" w:code="9"/>
      <w:pgMar w:top="1270" w:right="1440" w:bottom="12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ED2B0" w14:textId="77777777" w:rsidR="00217624" w:rsidRDefault="00217624" w:rsidP="00E12845">
      <w:pPr>
        <w:spacing w:before="0" w:after="0"/>
      </w:pPr>
      <w:r>
        <w:separator/>
      </w:r>
    </w:p>
  </w:endnote>
  <w:endnote w:type="continuationSeparator" w:id="0">
    <w:p w14:paraId="7E126985" w14:textId="77777777" w:rsidR="00217624" w:rsidRDefault="00217624" w:rsidP="00E1284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707227"/>
      <w:docPartObj>
        <w:docPartGallery w:val="Page Numbers (Bottom of Page)"/>
        <w:docPartUnique/>
      </w:docPartObj>
    </w:sdtPr>
    <w:sdtEndPr>
      <w:rPr>
        <w:noProof/>
      </w:rPr>
    </w:sdtEndPr>
    <w:sdtContent>
      <w:p w14:paraId="0D4EB883" w14:textId="15D87D51" w:rsidR="00BA4D1C" w:rsidRDefault="00BA4D1C">
        <w:pPr>
          <w:pStyle w:val="Footer"/>
        </w:pPr>
        <w:r w:rsidRPr="00835A0D">
          <w:t>Jobs and Skills Australia –</w:t>
        </w:r>
        <w:r>
          <w:t xml:space="preserve"> </w:t>
        </w:r>
        <w:fldSimple w:instr=" STYLEREF  Title  \* MERGEFORMAT ">
          <w:r w:rsidR="00A0645F">
            <w:rPr>
              <w:noProof/>
            </w:rPr>
            <w:t>Occupation Shortage Report</w:t>
          </w:r>
        </w:fldSimple>
        <w:r w:rsidRPr="00A67B12">
          <w:t xml:space="preserve"> </w:t>
        </w:r>
        <w:r>
          <w:tab/>
        </w:r>
        <w:r>
          <w:fldChar w:fldCharType="begin"/>
        </w:r>
        <w:r>
          <w:instrText xml:space="preserve"> PAGE   \* MERGEFORMAT </w:instrText>
        </w:r>
        <w:r>
          <w:fldChar w:fldCharType="separate"/>
        </w:r>
        <w:r>
          <w:t>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7256760"/>
      <w:docPartObj>
        <w:docPartGallery w:val="Page Numbers (Bottom of Page)"/>
        <w:docPartUnique/>
      </w:docPartObj>
    </w:sdtPr>
    <w:sdtEndPr>
      <w:rPr>
        <w:noProof/>
      </w:rPr>
    </w:sdtEndPr>
    <w:sdtContent>
      <w:p w14:paraId="1CD042CE" w14:textId="41432CA7" w:rsidR="000F5CD2" w:rsidRDefault="000F5CD2">
        <w:pPr>
          <w:pStyle w:val="Footer"/>
        </w:pPr>
        <w:r w:rsidRPr="00835A0D">
          <w:t>Jobs and Skills Australia –</w:t>
        </w:r>
        <w:r>
          <w:t xml:space="preserve"> </w:t>
        </w:r>
        <w:fldSimple w:instr=" STYLEREF  Title  \* MERGEFORMAT ">
          <w:r w:rsidR="00A0645F">
            <w:rPr>
              <w:noProof/>
            </w:rPr>
            <w:t>Occupation Shortage Report</w:t>
          </w:r>
        </w:fldSimple>
        <w:r w:rsidRPr="00A67B12">
          <w:t xml:space="preserve"> </w:t>
        </w:r>
        <w:r>
          <w:tab/>
        </w:r>
        <w:r>
          <w:fldChar w:fldCharType="begin"/>
        </w:r>
        <w:r>
          <w:instrText xml:space="preserve"> PAGE   \* MERGEFORMAT </w:instrText>
        </w:r>
        <w:r>
          <w:fldChar w:fldCharType="separate"/>
        </w:r>
        <w: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6960270"/>
      <w:docPartObj>
        <w:docPartGallery w:val="Page Numbers (Bottom of Page)"/>
        <w:docPartUnique/>
      </w:docPartObj>
    </w:sdtPr>
    <w:sdtEndPr>
      <w:rPr>
        <w:noProof/>
      </w:rPr>
    </w:sdtEndPr>
    <w:sdtContent>
      <w:p w14:paraId="529F6E26" w14:textId="6D5E1EA1" w:rsidR="00A67B12" w:rsidRPr="00576BAF" w:rsidRDefault="00A67B12" w:rsidP="00576BAF">
        <w:pPr>
          <w:pStyle w:val="Footer"/>
        </w:pPr>
        <w:r w:rsidRPr="00835A0D">
          <w:t>Jobs and Skills Australia –</w:t>
        </w:r>
        <w:r>
          <w:t xml:space="preserve"> </w:t>
        </w:r>
        <w:fldSimple w:instr=" STYLEREF  Title  \* MERGEFORMAT ">
          <w:r w:rsidR="00A0645F">
            <w:rPr>
              <w:noProof/>
            </w:rPr>
            <w:t>Occupation Shortage Report</w:t>
          </w:r>
        </w:fldSimple>
        <w:r w:rsidRPr="00A67B12">
          <w:t xml:space="preserve"> </w:t>
        </w:r>
        <w:r>
          <w:tab/>
        </w:r>
        <w:r>
          <w:fldChar w:fldCharType="begin"/>
        </w:r>
        <w:r>
          <w:instrText xml:space="preserve"> PAGE   \* MERGEFORMAT </w:instrText>
        </w:r>
        <w:r>
          <w:fldChar w:fldCharType="separate"/>
        </w:r>
        <w:r>
          <w:t>3</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18DEA" w14:textId="77777777" w:rsidR="00FC728C" w:rsidRDefault="00FC728C" w:rsidP="00FC728C">
    <w:pPr>
      <w:pStyle w:val="Footer"/>
    </w:pPr>
    <w:r>
      <w:t>Footer</w:t>
    </w:r>
    <w:r>
      <w:tab/>
    </w:r>
    <w:r w:rsidRPr="00024595">
      <w:rPr>
        <w:rStyle w:val="PageNumber"/>
      </w:rPr>
      <w:fldChar w:fldCharType="begin"/>
    </w:r>
    <w:r w:rsidRPr="00024595">
      <w:rPr>
        <w:rStyle w:val="PageNumber"/>
      </w:rPr>
      <w:instrText xml:space="preserve"> PAGE   \* MERGEFORMAT </w:instrText>
    </w:r>
    <w:r w:rsidRPr="00024595">
      <w:rPr>
        <w:rStyle w:val="PageNumber"/>
      </w:rPr>
      <w:fldChar w:fldCharType="separate"/>
    </w:r>
    <w:r w:rsidR="00CC6CBC">
      <w:rPr>
        <w:rStyle w:val="PageNumber"/>
        <w:noProof/>
      </w:rPr>
      <w:t>3</w:t>
    </w:r>
    <w:r w:rsidRPr="0002459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3AADC" w14:textId="77777777" w:rsidR="00217624" w:rsidRDefault="00217624" w:rsidP="00E12845">
      <w:pPr>
        <w:spacing w:before="0" w:after="0"/>
      </w:pPr>
      <w:r>
        <w:separator/>
      </w:r>
    </w:p>
  </w:footnote>
  <w:footnote w:type="continuationSeparator" w:id="0">
    <w:p w14:paraId="34175CB5" w14:textId="77777777" w:rsidR="00217624" w:rsidRDefault="00217624" w:rsidP="00E12845">
      <w:pPr>
        <w:spacing w:before="0" w:after="0"/>
      </w:pPr>
      <w:r>
        <w:continuationSeparator/>
      </w:r>
    </w:p>
  </w:footnote>
  <w:footnote w:id="1">
    <w:p w14:paraId="0EF1D497" w14:textId="77777777" w:rsidR="00646F60" w:rsidRDefault="00646F60" w:rsidP="00646F60">
      <w:pPr>
        <w:pStyle w:val="FootnoteText"/>
      </w:pPr>
      <w:r>
        <w:rPr>
          <w:rStyle w:val="FootnoteReference"/>
        </w:rPr>
        <w:footnoteRef/>
      </w:r>
      <w:r>
        <w:t xml:space="preserve"> This metric shows the percentage of advertised vacancies that are filled by employers.</w:t>
      </w:r>
    </w:p>
  </w:footnote>
  <w:footnote w:id="2">
    <w:p w14:paraId="2D7CAE9D" w14:textId="77777777" w:rsidR="00646F60" w:rsidRDefault="00646F60" w:rsidP="00646F60">
      <w:pPr>
        <w:pStyle w:val="FootnoteText"/>
      </w:pPr>
      <w:r>
        <w:rPr>
          <w:rStyle w:val="FootnoteReference"/>
        </w:rPr>
        <w:footnoteRef/>
      </w:r>
      <w:r>
        <w:t xml:space="preserve"> </w:t>
      </w:r>
      <w:r w:rsidRPr="00640FEE">
        <w:t>The fill rate and other metrics in the table are based on a 12 month moving average up to the latest quarter. Using a rolling annual period, as opposed to the latest quarter itself, removes the impact of data volatility.</w:t>
      </w:r>
    </w:p>
  </w:footnote>
  <w:footnote w:id="3">
    <w:p w14:paraId="06A83CE4" w14:textId="0A290F5B" w:rsidR="00531537" w:rsidRDefault="00531537">
      <w:pPr>
        <w:pStyle w:val="FootnoteText"/>
      </w:pPr>
      <w:r>
        <w:rPr>
          <w:rStyle w:val="FootnoteReference"/>
        </w:rPr>
        <w:footnoteRef/>
      </w:r>
      <w:r>
        <w:t xml:space="preserve"> </w:t>
      </w:r>
      <w:r w:rsidR="00FE73CC">
        <w:t xml:space="preserve">The changes in the metrics could, in part, reflect the amendments to the SERA methodology. </w:t>
      </w:r>
      <w:r>
        <w:t xml:space="preserve">Since November 2024, SERA methodology has undergone </w:t>
      </w:r>
      <w:r w:rsidR="00DC3627">
        <w:t xml:space="preserve">significant </w:t>
      </w:r>
      <w:r>
        <w:t>change</w:t>
      </w:r>
      <w:r w:rsidR="00E12496">
        <w:t xml:space="preserve">, including the underlying source used to construct the </w:t>
      </w:r>
      <w:r w:rsidR="00702C2E">
        <w:t>population</w:t>
      </w:r>
      <w:r w:rsidR="00E12496">
        <w:t xml:space="preserve"> frame</w:t>
      </w:r>
      <w:r w:rsidR="00702C2E">
        <w:t xml:space="preserve">, survey samples, </w:t>
      </w:r>
      <w:r w:rsidR="00707548">
        <w:t xml:space="preserve">and </w:t>
      </w:r>
      <w:r w:rsidR="00702C2E">
        <w:t>data stratification</w:t>
      </w:r>
      <w:r w:rsidR="00707548">
        <w:t xml:space="preserve"> among others</w:t>
      </w:r>
      <w:r w:rsidR="00DC3627">
        <w:t xml:space="preserve">. </w:t>
      </w:r>
    </w:p>
  </w:footnote>
  <w:footnote w:id="4">
    <w:p w14:paraId="3315FAFA" w14:textId="77777777" w:rsidR="00646F60" w:rsidRPr="00640FEE" w:rsidRDefault="00646F60" w:rsidP="00646F60">
      <w:pPr>
        <w:pStyle w:val="FootnoteText"/>
      </w:pPr>
      <w:r w:rsidRPr="00640FEE">
        <w:rPr>
          <w:rStyle w:val="Charactersuperscript"/>
        </w:rPr>
        <w:footnoteRef/>
      </w:r>
      <w:r w:rsidRPr="00640FEE">
        <w:t xml:space="preserve"> A</w:t>
      </w:r>
      <w:r>
        <w:t xml:space="preserve">ustralian </w:t>
      </w:r>
      <w:r w:rsidRPr="00640FEE">
        <w:t>B</w:t>
      </w:r>
      <w:r>
        <w:t xml:space="preserve">ureau of </w:t>
      </w:r>
      <w:r w:rsidRPr="00640FEE">
        <w:t>S</w:t>
      </w:r>
      <w:r>
        <w:t>tatistics</w:t>
      </w:r>
      <w:r w:rsidRPr="00640FEE">
        <w:t>, Australian and New Zealand Standard Classification of Occupations, 2022 version.</w:t>
      </w:r>
    </w:p>
  </w:footnote>
  <w:footnote w:id="5">
    <w:p w14:paraId="103AAB5F" w14:textId="6617C80F" w:rsidR="00B0318A" w:rsidRDefault="00B0318A">
      <w:pPr>
        <w:pStyle w:val="FootnoteText"/>
      </w:pPr>
      <w:r>
        <w:rPr>
          <w:rStyle w:val="FootnoteReference"/>
        </w:rPr>
        <w:footnoteRef/>
      </w:r>
      <w:r>
        <w:t xml:space="preserve"> These figures are </w:t>
      </w:r>
      <w:r w:rsidR="001A1D3A">
        <w:t>on</w:t>
      </w:r>
      <w:r>
        <w:t xml:space="preserve"> 2024 OSCA</w:t>
      </w:r>
      <w:r w:rsidR="001A1D3A">
        <w:t xml:space="preserve"> basis</w:t>
      </w:r>
      <w:r>
        <w:t xml:space="preserve">. The corresponding 2022 ANZSCO </w:t>
      </w:r>
      <w:r w:rsidR="001A1D3A">
        <w:t xml:space="preserve">figures </w:t>
      </w:r>
      <w:r>
        <w:t xml:space="preserve">are 33% in 2024 and 30% in 2025. </w:t>
      </w:r>
    </w:p>
  </w:footnote>
  <w:footnote w:id="6">
    <w:p w14:paraId="62713E2A" w14:textId="77777777" w:rsidR="00BB4C76" w:rsidRDefault="00BB4C76" w:rsidP="00BB4C76">
      <w:pPr>
        <w:pStyle w:val="FootnoteText"/>
      </w:pPr>
      <w:r>
        <w:rPr>
          <w:rStyle w:val="FootnoteReference"/>
        </w:rPr>
        <w:footnoteRef/>
      </w:r>
      <w:r>
        <w:t xml:space="preserve"> As very little to no data exists on the </w:t>
      </w:r>
      <w:r w:rsidRPr="00E75EFC">
        <w:t>OSCA</w:t>
      </w:r>
      <w:r>
        <w:t xml:space="preserve"> framework</w:t>
      </w:r>
      <w:r w:rsidRPr="00E75EFC">
        <w:t xml:space="preserve">, the </w:t>
      </w:r>
      <w:r>
        <w:t xml:space="preserve">spotlight </w:t>
      </w:r>
      <w:r w:rsidRPr="00E75EFC">
        <w:t xml:space="preserve">analysis </w:t>
      </w:r>
      <w:r>
        <w:t xml:space="preserve">from here onwards </w:t>
      </w:r>
      <w:r w:rsidRPr="00E75EFC">
        <w:t xml:space="preserve">was </w:t>
      </w:r>
      <w:r>
        <w:t xml:space="preserve">based on </w:t>
      </w:r>
      <w:r w:rsidRPr="00E75EFC">
        <w:t>ANZSCO.</w:t>
      </w:r>
    </w:p>
  </w:footnote>
  <w:footnote w:id="7">
    <w:p w14:paraId="71A709CF" w14:textId="5E645A8C" w:rsidR="007F41BA" w:rsidRDefault="007F41BA">
      <w:pPr>
        <w:pStyle w:val="FootnoteText"/>
      </w:pPr>
      <w:r>
        <w:rPr>
          <w:rStyle w:val="FootnoteReference"/>
        </w:rPr>
        <w:footnoteRef/>
      </w:r>
      <w:r>
        <w:t xml:space="preserve"> </w:t>
      </w:r>
      <w:r w:rsidR="00407947">
        <w:t xml:space="preserve">Not all occupations within the said the sub-majors changed </w:t>
      </w:r>
      <w:r w:rsidR="00A56011">
        <w:t xml:space="preserve">from shortage </w:t>
      </w:r>
      <w:r w:rsidR="00407947">
        <w:t>to no shortage. Examples of occupations within the sub-majors that remain in shortage include</w:t>
      </w:r>
      <w:r w:rsidR="0087083F">
        <w:t xml:space="preserve"> Taxation Accountant, </w:t>
      </w:r>
      <w:r w:rsidR="005C521B">
        <w:t>Actuary,</w:t>
      </w:r>
      <w:r w:rsidR="003A5216">
        <w:t xml:space="preserve"> Civil Engineer, Surveyor, </w:t>
      </w:r>
      <w:r w:rsidR="00177847">
        <w:t xml:space="preserve">Sonographer, </w:t>
      </w:r>
      <w:r w:rsidR="004972B1">
        <w:t xml:space="preserve">General Practitioner, </w:t>
      </w:r>
      <w:r w:rsidR="00246E10">
        <w:t xml:space="preserve">Software Tester </w:t>
      </w:r>
      <w:r w:rsidR="00696704">
        <w:t xml:space="preserve">and Cyber Security </w:t>
      </w:r>
      <w:r w:rsidR="00BA21E4">
        <w:t>Engineer</w:t>
      </w:r>
      <w:r w:rsidR="00696704">
        <w:t xml:space="preserve">. </w:t>
      </w:r>
    </w:p>
  </w:footnote>
  <w:footnote w:id="8">
    <w:p w14:paraId="60B35695" w14:textId="35C3368B" w:rsidR="00D87B26" w:rsidRDefault="00D87B26">
      <w:pPr>
        <w:pStyle w:val="FootnoteText"/>
      </w:pPr>
      <w:r>
        <w:rPr>
          <w:rStyle w:val="FootnoteReference"/>
        </w:rPr>
        <w:footnoteRef/>
      </w:r>
      <w:r>
        <w:t xml:space="preserve"> </w:t>
      </w:r>
      <w:r w:rsidR="009A185C">
        <w:t>S</w:t>
      </w:r>
      <w:r>
        <w:t xml:space="preserve">hortage </w:t>
      </w:r>
      <w:r w:rsidR="00F93D68">
        <w:t xml:space="preserve">refers to </w:t>
      </w:r>
      <w:r>
        <w:t>shortage</w:t>
      </w:r>
      <w:r w:rsidR="00F93D68">
        <w:t>s</w:t>
      </w:r>
      <w:r>
        <w:t xml:space="preserve"> at</w:t>
      </w:r>
      <w:r w:rsidR="001703D3">
        <w:t xml:space="preserve"> the</w:t>
      </w:r>
      <w:r>
        <w:t xml:space="preserve"> national level, regional shortage and metro shortage. </w:t>
      </w:r>
    </w:p>
  </w:footnote>
  <w:footnote w:id="9">
    <w:p w14:paraId="3F097A29" w14:textId="0D291677" w:rsidR="007D080C" w:rsidRDefault="007D080C">
      <w:pPr>
        <w:pStyle w:val="FootnoteText"/>
      </w:pPr>
      <w:r>
        <w:rPr>
          <w:rStyle w:val="FootnoteReference"/>
        </w:rPr>
        <w:footnoteRef/>
      </w:r>
      <w:r>
        <w:t xml:space="preserve"> The </w:t>
      </w:r>
      <w:hyperlink r:id="rId1" w:history="1">
        <w:r w:rsidRPr="00CC2C2F">
          <w:rPr>
            <w:rStyle w:val="Hyperlink"/>
          </w:rPr>
          <w:t>2025 OSL Key Findings Report</w:t>
        </w:r>
      </w:hyperlink>
      <w:r>
        <w:t xml:space="preserve"> provides more details. </w:t>
      </w:r>
    </w:p>
  </w:footnote>
  <w:footnote w:id="10">
    <w:p w14:paraId="5B0C14F0" w14:textId="64D63386" w:rsidR="00CE54CE" w:rsidRDefault="00CE54CE">
      <w:pPr>
        <w:pStyle w:val="FootnoteText"/>
      </w:pPr>
      <w:r>
        <w:rPr>
          <w:rStyle w:val="FootnoteReference"/>
        </w:rPr>
        <w:footnoteRef/>
      </w:r>
      <w:r>
        <w:t xml:space="preserve"> </w:t>
      </w:r>
      <w:r w:rsidR="00FD3525">
        <w:t xml:space="preserve">Lynch, J </w:t>
      </w:r>
      <w:r w:rsidR="00A826B6">
        <w:t xml:space="preserve">2025, </w:t>
      </w:r>
      <w:r w:rsidR="00803252" w:rsidRPr="00803252">
        <w:t>Tech sector struggling to meet goal of creating 1.2 million jobs by 2030</w:t>
      </w:r>
      <w:r w:rsidR="00A826B6">
        <w:t xml:space="preserve">', </w:t>
      </w:r>
      <w:r w:rsidR="00A812F4">
        <w:t xml:space="preserve">The </w:t>
      </w:r>
      <w:r w:rsidR="00A826B6">
        <w:t>Australian, 1</w:t>
      </w:r>
      <w:r w:rsidR="007020E7">
        <w:t>2</w:t>
      </w:r>
      <w:r w:rsidR="00A826B6">
        <w:t xml:space="preserve"> November</w:t>
      </w:r>
      <w:r w:rsidR="007020E7">
        <w:t xml:space="preserve">, viewed 12 November 2025, </w:t>
      </w:r>
      <w:hyperlink r:id="rId2" w:history="1">
        <w:r w:rsidR="007020E7" w:rsidRPr="007020E7">
          <w:rPr>
            <w:rStyle w:val="Hyperlink"/>
          </w:rPr>
          <w:t>Australia’s bid to create 1.2 million tech jobs faces derailment, threatening nation’s digital future | The Australian</w:t>
        </w:r>
      </w:hyperlink>
      <w:r w:rsidR="00C00B90">
        <w:t xml:space="preserve">. </w:t>
      </w:r>
      <w:r w:rsidR="00EC367F">
        <w:t xml:space="preserve"> </w:t>
      </w:r>
    </w:p>
  </w:footnote>
  <w:footnote w:id="11">
    <w:p w14:paraId="1295D57D" w14:textId="77777777" w:rsidR="00EB5F97" w:rsidRDefault="00EB5F97" w:rsidP="00EB5F97">
      <w:pPr>
        <w:pStyle w:val="FootnoteText"/>
      </w:pPr>
      <w:r>
        <w:rPr>
          <w:rStyle w:val="FootnoteReference"/>
        </w:rPr>
        <w:footnoteRef/>
      </w:r>
      <w:r>
        <w:t xml:space="preserve"> To minimise clutter and for simplicity, the figures were not shown in Figure 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7F45D" w14:textId="77777777" w:rsidR="00A67B12" w:rsidRPr="0030592C" w:rsidRDefault="00A67B12" w:rsidP="00A67B12">
    <w:pPr>
      <w:pStyle w:val="Header"/>
    </w:pPr>
  </w:p>
  <w:p w14:paraId="3EF656D9" w14:textId="77777777" w:rsidR="00A67B12" w:rsidRDefault="00A67B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200BD" w14:textId="77777777" w:rsidR="00A67B12" w:rsidRPr="00A67B12" w:rsidRDefault="00A67B12" w:rsidP="00A67B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0299"/>
    <w:multiLevelType w:val="multilevel"/>
    <w:tmpl w:val="0D96AACA"/>
    <w:numStyleLink w:val="AppendixHeadingmaster"/>
  </w:abstractNum>
  <w:abstractNum w:abstractNumId="1" w15:restartNumberingAfterBreak="0">
    <w:nsid w:val="045550B2"/>
    <w:multiLevelType w:val="multilevel"/>
    <w:tmpl w:val="9F703E2E"/>
    <w:numStyleLink w:val="ListBulletmaster"/>
  </w:abstractNum>
  <w:abstractNum w:abstractNumId="2" w15:restartNumberingAfterBreak="0">
    <w:nsid w:val="084F7801"/>
    <w:multiLevelType w:val="multilevel"/>
    <w:tmpl w:val="EAA2F742"/>
    <w:numStyleLink w:val="TableListNumbermaster"/>
  </w:abstractNum>
  <w:abstractNum w:abstractNumId="3" w15:restartNumberingAfterBreak="0">
    <w:nsid w:val="0F167765"/>
    <w:multiLevelType w:val="multilevel"/>
    <w:tmpl w:val="0D96AACA"/>
    <w:styleLink w:val="AppendixHeadingmaster"/>
    <w:lvl w:ilvl="0">
      <w:start w:val="1"/>
      <w:numFmt w:val="upperLetter"/>
      <w:pStyle w:val="AppendixHeading1"/>
      <w:lvlText w:val="Appendix %1"/>
      <w:lvlJc w:val="left"/>
      <w:pPr>
        <w:ind w:left="2268" w:hanging="2268"/>
      </w:pPr>
      <w:rPr>
        <w:rFonts w:ascii="Arial Bold" w:hAnsi="Arial Bold" w:hint="default"/>
        <w:b/>
        <w:i w:val="0"/>
        <w:color w:val="4B0985"/>
        <w:sz w:val="56"/>
      </w:rPr>
    </w:lvl>
    <w:lvl w:ilvl="1">
      <w:start w:val="1"/>
      <w:numFmt w:val="decimal"/>
      <w:pStyle w:val="AppendixHeading2"/>
      <w:lvlText w:val="%1.%2."/>
      <w:lvlJc w:val="left"/>
      <w:pPr>
        <w:ind w:left="1021" w:hanging="1021"/>
      </w:pPr>
      <w:rPr>
        <w:rFonts w:hint="default"/>
      </w:rPr>
    </w:lvl>
    <w:lvl w:ilvl="2">
      <w:start w:val="1"/>
      <w:numFmt w:val="none"/>
      <w:lvlText w:val="%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32E010B"/>
    <w:multiLevelType w:val="multilevel"/>
    <w:tmpl w:val="0D96AACA"/>
    <w:numStyleLink w:val="AppendixHeadingmaster"/>
  </w:abstractNum>
  <w:abstractNum w:abstractNumId="5" w15:restartNumberingAfterBreak="0">
    <w:nsid w:val="14913431"/>
    <w:multiLevelType w:val="multilevel"/>
    <w:tmpl w:val="28F46D40"/>
    <w:numStyleLink w:val="ListNumbermaster"/>
  </w:abstractNum>
  <w:abstractNum w:abstractNumId="6" w15:restartNumberingAfterBreak="0">
    <w:nsid w:val="17A434C9"/>
    <w:multiLevelType w:val="multilevel"/>
    <w:tmpl w:val="113457F2"/>
    <w:numStyleLink w:val="Headingsmaster"/>
  </w:abstractNum>
  <w:abstractNum w:abstractNumId="7" w15:restartNumberingAfterBreak="0">
    <w:nsid w:val="1A753D77"/>
    <w:multiLevelType w:val="multilevel"/>
    <w:tmpl w:val="113457F2"/>
    <w:styleLink w:val="Headingsmaster"/>
    <w:lvl w:ilvl="0">
      <w:start w:val="1"/>
      <w:numFmt w:val="decimal"/>
      <w:lvlText w:val="Chapter %1"/>
      <w:lvlJc w:val="left"/>
      <w:pPr>
        <w:ind w:left="0" w:firstLine="0"/>
      </w:pPr>
      <w:rPr>
        <w:rFonts w:hint="default"/>
      </w:rPr>
    </w:lvl>
    <w:lvl w:ilvl="1">
      <w:start w:val="1"/>
      <w:numFmt w:val="decimal"/>
      <w:lvlText w:val="%1.%2"/>
      <w:lvlJc w:val="left"/>
      <w:pPr>
        <w:ind w:left="1072" w:hanging="1072"/>
      </w:pPr>
      <w:rPr>
        <w:rFonts w:hint="default"/>
      </w:rPr>
    </w:lvl>
    <w:lvl w:ilvl="2">
      <w:start w:val="1"/>
      <w:numFmt w:val="decimal"/>
      <w:lvlText w:val="%1.%2.%3"/>
      <w:lvlJc w:val="left"/>
      <w:pPr>
        <w:ind w:left="1072" w:hanging="1072"/>
      </w:pPr>
      <w:rPr>
        <w:rFonts w:hint="default"/>
      </w:rPr>
    </w:lvl>
    <w:lvl w:ilvl="3">
      <w:start w:val="1"/>
      <w:numFmt w:val="decimal"/>
      <w:lvlText w:val="%1.%2.%3.%4"/>
      <w:lvlJc w:val="left"/>
      <w:pPr>
        <w:ind w:left="1072" w:hanging="1072"/>
      </w:pPr>
      <w:rPr>
        <w:rFonts w:hint="default"/>
      </w:rPr>
    </w:lvl>
    <w:lvl w:ilvl="4">
      <w:start w:val="1"/>
      <w:numFmt w:val="decimal"/>
      <w:lvlText w:val="%1.%2.%3.%4.%5"/>
      <w:lvlJc w:val="left"/>
      <w:pPr>
        <w:ind w:left="1072" w:hanging="107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BB76778"/>
    <w:multiLevelType w:val="multilevel"/>
    <w:tmpl w:val="56043EA4"/>
    <w:numStyleLink w:val="TableListBulletmaster"/>
  </w:abstractNum>
  <w:abstractNum w:abstractNumId="9" w15:restartNumberingAfterBreak="0">
    <w:nsid w:val="1E1304D0"/>
    <w:multiLevelType w:val="multilevel"/>
    <w:tmpl w:val="56043EA4"/>
    <w:numStyleLink w:val="TableListBulletmaster"/>
  </w:abstractNum>
  <w:abstractNum w:abstractNumId="10" w15:restartNumberingAfterBreak="0">
    <w:nsid w:val="1F082FEE"/>
    <w:multiLevelType w:val="multilevel"/>
    <w:tmpl w:val="EAA2F742"/>
    <w:styleLink w:val="TableListNumbermaster"/>
    <w:lvl w:ilvl="0">
      <w:start w:val="1"/>
      <w:numFmt w:val="decimal"/>
      <w:pStyle w:val="TableListNumber"/>
      <w:lvlText w:val="%1."/>
      <w:lvlJc w:val="left"/>
      <w:pPr>
        <w:ind w:left="284" w:hanging="284"/>
      </w:pPr>
      <w:rPr>
        <w:rFonts w:hint="default"/>
        <w:color w:val="auto"/>
      </w:rPr>
    </w:lvl>
    <w:lvl w:ilvl="1">
      <w:start w:val="1"/>
      <w:numFmt w:val="lowerLetter"/>
      <w:pStyle w:val="TableListNumber2"/>
      <w:lvlText w:val="%2."/>
      <w:lvlJc w:val="left"/>
      <w:pPr>
        <w:ind w:left="567" w:hanging="283"/>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2695D78"/>
    <w:multiLevelType w:val="multilevel"/>
    <w:tmpl w:val="EAA2F742"/>
    <w:numStyleLink w:val="TableListNumbermaster"/>
  </w:abstractNum>
  <w:abstractNum w:abstractNumId="12" w15:restartNumberingAfterBreak="0">
    <w:nsid w:val="242839DB"/>
    <w:multiLevelType w:val="multilevel"/>
    <w:tmpl w:val="A1224394"/>
    <w:styleLink w:val="ListLegalmaster"/>
    <w:lvl w:ilvl="0">
      <w:start w:val="1"/>
      <w:numFmt w:val="decimal"/>
      <w:pStyle w:val="ListLegal"/>
      <w:lvlText w:val="%1."/>
      <w:lvlJc w:val="left"/>
      <w:pPr>
        <w:ind w:left="357" w:hanging="357"/>
      </w:pPr>
      <w:rPr>
        <w:rFonts w:ascii="Arial" w:hAnsi="Arial" w:hint="default"/>
        <w:b w:val="0"/>
        <w:i w:val="0"/>
        <w:color w:val="auto"/>
        <w:sz w:val="20"/>
      </w:rPr>
    </w:lvl>
    <w:lvl w:ilvl="1">
      <w:start w:val="1"/>
      <w:numFmt w:val="lowerLetter"/>
      <w:pStyle w:val="ListLegal2"/>
      <w:lvlText w:val="(%2)"/>
      <w:lvlJc w:val="left"/>
      <w:pPr>
        <w:tabs>
          <w:tab w:val="num" w:pos="720"/>
        </w:tabs>
        <w:ind w:left="714" w:hanging="357"/>
      </w:pPr>
      <w:rPr>
        <w:rFonts w:ascii="Arial" w:hAnsi="Arial" w:hint="default"/>
        <w:b w:val="0"/>
        <w:i w:val="0"/>
        <w:color w:val="auto"/>
        <w:sz w:val="20"/>
      </w:rPr>
    </w:lvl>
    <w:lvl w:ilvl="2">
      <w:start w:val="1"/>
      <w:numFmt w:val="lowerRoman"/>
      <w:pStyle w:val="ListLegal3"/>
      <w:lvlText w:val="(%3)"/>
      <w:lvlJc w:val="left"/>
      <w:pPr>
        <w:ind w:left="1435" w:hanging="721"/>
      </w:pPr>
      <w:rPr>
        <w:rFonts w:ascii="Arial" w:hAnsi="Arial"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C0E4DE9"/>
    <w:multiLevelType w:val="multilevel"/>
    <w:tmpl w:val="56043EA4"/>
    <w:numStyleLink w:val="TableListBulletmaster"/>
  </w:abstractNum>
  <w:abstractNum w:abstractNumId="14" w15:restartNumberingAfterBreak="0">
    <w:nsid w:val="2D9328E2"/>
    <w:multiLevelType w:val="multilevel"/>
    <w:tmpl w:val="28F46D40"/>
    <w:styleLink w:val="ListNumbermaster"/>
    <w:lvl w:ilvl="0">
      <w:start w:val="1"/>
      <w:numFmt w:val="decimal"/>
      <w:pStyle w:val="ListNumber"/>
      <w:lvlText w:val="%1."/>
      <w:lvlJc w:val="left"/>
      <w:pPr>
        <w:ind w:left="360" w:hanging="360"/>
      </w:pPr>
      <w:rPr>
        <w:rFonts w:ascii="Arial" w:hAnsi="Arial" w:hint="default"/>
        <w:color w:val="auto"/>
        <w:sz w:val="20"/>
      </w:rPr>
    </w:lvl>
    <w:lvl w:ilvl="1">
      <w:start w:val="1"/>
      <w:numFmt w:val="lowerLetter"/>
      <w:pStyle w:val="ListNumber2"/>
      <w:lvlText w:val="%2."/>
      <w:lvlJc w:val="left"/>
      <w:pPr>
        <w:ind w:left="720" w:hanging="360"/>
      </w:pPr>
      <w:rPr>
        <w:rFonts w:ascii="Arial" w:hAnsi="Arial" w:hint="default"/>
        <w:color w:val="auto"/>
        <w:sz w:val="20"/>
      </w:rPr>
    </w:lvl>
    <w:lvl w:ilvl="2">
      <w:start w:val="1"/>
      <w:numFmt w:val="lowerRoman"/>
      <w:pStyle w:val="ListNumber3"/>
      <w:lvlText w:val="%3."/>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0C415FF"/>
    <w:multiLevelType w:val="multilevel"/>
    <w:tmpl w:val="113457F2"/>
    <w:numStyleLink w:val="Headingsmaster"/>
  </w:abstractNum>
  <w:abstractNum w:abstractNumId="16" w15:restartNumberingAfterBreak="0">
    <w:nsid w:val="311066B6"/>
    <w:multiLevelType w:val="multilevel"/>
    <w:tmpl w:val="113457F2"/>
    <w:numStyleLink w:val="Headingsmaster"/>
  </w:abstractNum>
  <w:abstractNum w:abstractNumId="17" w15:restartNumberingAfterBreak="0">
    <w:nsid w:val="34666B61"/>
    <w:multiLevelType w:val="multilevel"/>
    <w:tmpl w:val="113457F2"/>
    <w:numStyleLink w:val="Headingsmaster"/>
  </w:abstractNum>
  <w:abstractNum w:abstractNumId="18" w15:restartNumberingAfterBreak="0">
    <w:nsid w:val="36B75813"/>
    <w:multiLevelType w:val="multilevel"/>
    <w:tmpl w:val="0D96AACA"/>
    <w:numStyleLink w:val="AppendixHeadingmaster"/>
  </w:abstractNum>
  <w:abstractNum w:abstractNumId="19" w15:restartNumberingAfterBreak="0">
    <w:nsid w:val="3C4729DA"/>
    <w:multiLevelType w:val="hybridMultilevel"/>
    <w:tmpl w:val="5122DBC6"/>
    <w:lvl w:ilvl="0" w:tplc="C7360788">
      <w:start w:val="5"/>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C9723CF"/>
    <w:multiLevelType w:val="multilevel"/>
    <w:tmpl w:val="56043EA4"/>
    <w:numStyleLink w:val="TableListBulletmaster"/>
  </w:abstractNum>
  <w:abstractNum w:abstractNumId="21" w15:restartNumberingAfterBreak="0">
    <w:nsid w:val="3C9F68FB"/>
    <w:multiLevelType w:val="multilevel"/>
    <w:tmpl w:val="113457F2"/>
    <w:numStyleLink w:val="Headingsmaster"/>
  </w:abstractNum>
  <w:abstractNum w:abstractNumId="22" w15:restartNumberingAfterBreak="0">
    <w:nsid w:val="47D50479"/>
    <w:multiLevelType w:val="multilevel"/>
    <w:tmpl w:val="28E66356"/>
    <w:styleLink w:val="ListAlphanumericmaster"/>
    <w:lvl w:ilvl="0">
      <w:start w:val="1"/>
      <w:numFmt w:val="lowerLetter"/>
      <w:lvlText w:val="%1)"/>
      <w:lvlJc w:val="left"/>
      <w:pPr>
        <w:ind w:left="357" w:hanging="357"/>
      </w:pPr>
      <w:rPr>
        <w:rFonts w:hint="default"/>
      </w:rPr>
    </w:lvl>
    <w:lvl w:ilvl="1">
      <w:start w:val="1"/>
      <w:numFmt w:val="lowerRoman"/>
      <w:lvlText w:val="%2)"/>
      <w:lvlJc w:val="left"/>
      <w:pPr>
        <w:ind w:left="714" w:hanging="357"/>
      </w:pPr>
      <w:rPr>
        <w:rFonts w:hint="default"/>
      </w:rPr>
    </w:lvl>
    <w:lvl w:ilvl="2">
      <w:start w:val="1"/>
      <w:numFmt w:val="lowerRoman"/>
      <w:lvlText w:val="(%3)"/>
      <w:lvlJc w:val="left"/>
      <w:pPr>
        <w:ind w:left="1361"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84D764C"/>
    <w:multiLevelType w:val="multilevel"/>
    <w:tmpl w:val="EAA2F742"/>
    <w:numStyleLink w:val="TableListNumbermaster"/>
  </w:abstractNum>
  <w:abstractNum w:abstractNumId="24" w15:restartNumberingAfterBreak="0">
    <w:nsid w:val="51910100"/>
    <w:multiLevelType w:val="multilevel"/>
    <w:tmpl w:val="113457F2"/>
    <w:numStyleLink w:val="Headingsmaster"/>
  </w:abstractNum>
  <w:abstractNum w:abstractNumId="25" w15:restartNumberingAfterBreak="0">
    <w:nsid w:val="51F55EB9"/>
    <w:multiLevelType w:val="multilevel"/>
    <w:tmpl w:val="4E5A47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7A51FC2"/>
    <w:multiLevelType w:val="multilevel"/>
    <w:tmpl w:val="56043EA4"/>
    <w:styleLink w:val="TableListBulletmaster"/>
    <w:lvl w:ilvl="0">
      <w:start w:val="1"/>
      <w:numFmt w:val="bullet"/>
      <w:pStyle w:val="TableListBullet"/>
      <w:lvlText w:val=""/>
      <w:lvlJc w:val="left"/>
      <w:pPr>
        <w:ind w:left="284" w:hanging="284"/>
      </w:pPr>
      <w:rPr>
        <w:rFonts w:ascii="Symbol" w:hAnsi="Symbol" w:hint="default"/>
        <w:color w:val="auto"/>
      </w:rPr>
    </w:lvl>
    <w:lvl w:ilvl="1">
      <w:start w:val="1"/>
      <w:numFmt w:val="bullet"/>
      <w:pStyle w:val="TableListBullet2"/>
      <w:lvlText w:val="̶"/>
      <w:lvlJc w:val="left"/>
      <w:pPr>
        <w:ind w:left="567" w:hanging="283"/>
      </w:pPr>
      <w:rPr>
        <w:rFonts w:ascii="Calibri" w:hAnsi="Calibri"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2047795"/>
    <w:multiLevelType w:val="multilevel"/>
    <w:tmpl w:val="B4C8D01E"/>
    <w:lvl w:ilvl="0">
      <w:start w:val="1"/>
      <w:numFmt w:val="decimal"/>
      <w:lvlText w:val="%1"/>
      <w:lvlJc w:val="left"/>
      <w:pPr>
        <w:tabs>
          <w:tab w:val="num" w:pos="1021"/>
        </w:tabs>
        <w:ind w:left="1021" w:hanging="1021"/>
      </w:pPr>
      <w:rPr>
        <w:rFonts w:hint="default"/>
      </w:rPr>
    </w:lvl>
    <w:lvl w:ilvl="1">
      <w:start w:val="1"/>
      <w:numFmt w:val="decimal"/>
      <w:lvlText w:val="%1.%2"/>
      <w:lvlJc w:val="left"/>
      <w:pPr>
        <w:tabs>
          <w:tab w:val="num" w:pos="1021"/>
        </w:tabs>
        <w:ind w:left="1021" w:hanging="1021"/>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021"/>
        </w:tabs>
        <w:ind w:left="1021" w:hanging="1021"/>
      </w:pPr>
      <w:rPr>
        <w:rFonts w:hint="default"/>
      </w:rPr>
    </w:lvl>
    <w:lvl w:ilvl="4">
      <w:start w:val="1"/>
      <w:numFmt w:val="none"/>
      <w:lvlText w:val=""/>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32D74CC"/>
    <w:multiLevelType w:val="multilevel"/>
    <w:tmpl w:val="0D96AACA"/>
    <w:numStyleLink w:val="AppendixHeadingmaster"/>
  </w:abstractNum>
  <w:abstractNum w:abstractNumId="29" w15:restartNumberingAfterBreak="0">
    <w:nsid w:val="648E6CBA"/>
    <w:multiLevelType w:val="multilevel"/>
    <w:tmpl w:val="9F703E2E"/>
    <w:styleLink w:val="ListBulletmaster"/>
    <w:lvl w:ilvl="0">
      <w:start w:val="1"/>
      <w:numFmt w:val="bullet"/>
      <w:pStyle w:val="ListBullet"/>
      <w:lvlText w:val=""/>
      <w:lvlJc w:val="left"/>
      <w:pPr>
        <w:tabs>
          <w:tab w:val="num" w:pos="360"/>
        </w:tabs>
        <w:ind w:left="360" w:hanging="360"/>
      </w:pPr>
      <w:rPr>
        <w:rFonts w:ascii="Symbol" w:hAnsi="Symbol" w:hint="default"/>
        <w:color w:val="auto"/>
      </w:rPr>
    </w:lvl>
    <w:lvl w:ilvl="1">
      <w:start w:val="1"/>
      <w:numFmt w:val="bullet"/>
      <w:pStyle w:val="ListBullet2"/>
      <w:lvlText w:val=""/>
      <w:lvlJc w:val="left"/>
      <w:pPr>
        <w:ind w:left="714" w:hanging="357"/>
      </w:pPr>
      <w:rPr>
        <w:rFonts w:ascii="Symbol" w:hAnsi="Symbol" w:hint="default"/>
        <w:color w:val="auto"/>
      </w:rPr>
    </w:lvl>
    <w:lvl w:ilvl="2">
      <w:start w:val="1"/>
      <w:numFmt w:val="bullet"/>
      <w:pStyle w:val="ListBullet3"/>
      <w:lvlText w:val="■"/>
      <w:lvlJc w:val="left"/>
      <w:pPr>
        <w:ind w:left="1072" w:hanging="358"/>
      </w:pPr>
      <w:rPr>
        <w:rFonts w:ascii="Arial" w:hAnsi="Aria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9E659CA"/>
    <w:multiLevelType w:val="multilevel"/>
    <w:tmpl w:val="9F703E2E"/>
    <w:numStyleLink w:val="ListBulletmaster"/>
  </w:abstractNum>
  <w:abstractNum w:abstractNumId="31" w15:restartNumberingAfterBreak="0">
    <w:nsid w:val="6B4C12B8"/>
    <w:multiLevelType w:val="multilevel"/>
    <w:tmpl w:val="113457F2"/>
    <w:numStyleLink w:val="Headingsmaster"/>
  </w:abstractNum>
  <w:abstractNum w:abstractNumId="32" w15:restartNumberingAfterBreak="0">
    <w:nsid w:val="6C3F031A"/>
    <w:multiLevelType w:val="multilevel"/>
    <w:tmpl w:val="A1224394"/>
    <w:numStyleLink w:val="ListLegalmaster"/>
  </w:abstractNum>
  <w:abstractNum w:abstractNumId="33" w15:restartNumberingAfterBreak="0">
    <w:nsid w:val="79F8707D"/>
    <w:multiLevelType w:val="multilevel"/>
    <w:tmpl w:val="A1224394"/>
    <w:numStyleLink w:val="ListLegalmaster"/>
  </w:abstractNum>
  <w:abstractNum w:abstractNumId="34" w15:restartNumberingAfterBreak="0">
    <w:nsid w:val="7D6D1012"/>
    <w:multiLevelType w:val="multilevel"/>
    <w:tmpl w:val="EAA2F742"/>
    <w:numStyleLink w:val="TableListNumbermaster"/>
  </w:abstractNum>
  <w:abstractNum w:abstractNumId="35" w15:restartNumberingAfterBreak="0">
    <w:nsid w:val="7D881735"/>
    <w:multiLevelType w:val="multilevel"/>
    <w:tmpl w:val="113457F2"/>
    <w:numStyleLink w:val="Headingsmaster"/>
  </w:abstractNum>
  <w:num w:numId="1" w16cid:durableId="328336156">
    <w:abstractNumId w:val="3"/>
  </w:num>
  <w:num w:numId="2" w16cid:durableId="1950045772">
    <w:abstractNumId w:val="27"/>
  </w:num>
  <w:num w:numId="3" w16cid:durableId="290287643">
    <w:abstractNumId w:val="7"/>
  </w:num>
  <w:num w:numId="4" w16cid:durableId="1869679674">
    <w:abstractNumId w:val="29"/>
  </w:num>
  <w:num w:numId="5" w16cid:durableId="2032871560">
    <w:abstractNumId w:val="14"/>
  </w:num>
  <w:num w:numId="6" w16cid:durableId="310910324">
    <w:abstractNumId w:val="26"/>
  </w:num>
  <w:num w:numId="7" w16cid:durableId="753476416">
    <w:abstractNumId w:val="10"/>
  </w:num>
  <w:num w:numId="8" w16cid:durableId="1722048815">
    <w:abstractNumId w:val="2"/>
  </w:num>
  <w:num w:numId="9" w16cid:durableId="1790736337">
    <w:abstractNumId w:val="22"/>
  </w:num>
  <w:num w:numId="10" w16cid:durableId="1926304350">
    <w:abstractNumId w:val="5"/>
  </w:num>
  <w:num w:numId="11" w16cid:durableId="874537139">
    <w:abstractNumId w:val="30"/>
  </w:num>
  <w:num w:numId="12" w16cid:durableId="759377971">
    <w:abstractNumId w:val="8"/>
  </w:num>
  <w:num w:numId="13" w16cid:durableId="107823657">
    <w:abstractNumId w:val="12"/>
  </w:num>
  <w:num w:numId="14" w16cid:durableId="1930505832">
    <w:abstractNumId w:val="33"/>
  </w:num>
  <w:num w:numId="15" w16cid:durableId="1858039008">
    <w:abstractNumId w:val="31"/>
  </w:num>
  <w:num w:numId="16" w16cid:durableId="1409770210">
    <w:abstractNumId w:val="28"/>
  </w:num>
  <w:num w:numId="17" w16cid:durableId="95685893">
    <w:abstractNumId w:val="32"/>
  </w:num>
  <w:num w:numId="18" w16cid:durableId="770515265">
    <w:abstractNumId w:val="12"/>
  </w:num>
  <w:num w:numId="19" w16cid:durableId="713041904">
    <w:abstractNumId w:val="32"/>
  </w:num>
  <w:num w:numId="20" w16cid:durableId="2057582421">
    <w:abstractNumId w:val="32"/>
  </w:num>
  <w:num w:numId="21" w16cid:durableId="2062821214">
    <w:abstractNumId w:val="24"/>
  </w:num>
  <w:num w:numId="22" w16cid:durableId="618410884">
    <w:abstractNumId w:val="35"/>
  </w:num>
  <w:num w:numId="23" w16cid:durableId="1320232845">
    <w:abstractNumId w:val="1"/>
  </w:num>
  <w:num w:numId="24" w16cid:durableId="1249077048">
    <w:abstractNumId w:val="9"/>
  </w:num>
  <w:num w:numId="25" w16cid:durableId="1552837590">
    <w:abstractNumId w:val="20"/>
  </w:num>
  <w:num w:numId="26" w16cid:durableId="734856478">
    <w:abstractNumId w:val="34"/>
  </w:num>
  <w:num w:numId="27" w16cid:durableId="1136530311">
    <w:abstractNumId w:val="23"/>
  </w:num>
  <w:num w:numId="28" w16cid:durableId="1221482542">
    <w:abstractNumId w:val="13"/>
  </w:num>
  <w:num w:numId="29" w16cid:durableId="2087678997">
    <w:abstractNumId w:val="11"/>
  </w:num>
  <w:num w:numId="30" w16cid:durableId="963854149">
    <w:abstractNumId w:val="0"/>
  </w:num>
  <w:num w:numId="31" w16cid:durableId="2035225280">
    <w:abstractNumId w:val="4"/>
  </w:num>
  <w:num w:numId="32" w16cid:durableId="1742405919">
    <w:abstractNumId w:val="18"/>
    <w:lvlOverride w:ilvl="0">
      <w:lvl w:ilvl="0">
        <w:start w:val="1"/>
        <w:numFmt w:val="upperLetter"/>
        <w:pStyle w:val="AppendixHeading1"/>
        <w:lvlText w:val="Appendix %1"/>
        <w:lvlJc w:val="left"/>
        <w:pPr>
          <w:ind w:left="2268" w:hanging="2268"/>
        </w:pPr>
      </w:lvl>
    </w:lvlOverride>
  </w:num>
  <w:num w:numId="33" w16cid:durableId="411391810">
    <w:abstractNumId w:val="21"/>
  </w:num>
  <w:num w:numId="34" w16cid:durableId="1442914095">
    <w:abstractNumId w:val="6"/>
  </w:num>
  <w:num w:numId="35" w16cid:durableId="691956747">
    <w:abstractNumId w:val="17"/>
  </w:num>
  <w:num w:numId="36" w16cid:durableId="1156337329">
    <w:abstractNumId w:val="15"/>
  </w:num>
  <w:num w:numId="37" w16cid:durableId="1349261214">
    <w:abstractNumId w:val="16"/>
  </w:num>
  <w:num w:numId="38" w16cid:durableId="634800952">
    <w:abstractNumId w:val="1"/>
  </w:num>
  <w:num w:numId="39" w16cid:durableId="10790551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95597827">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formatting="1"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wNzE3sTSzMDEyMjCyMDZU0lEKTi0uzszPAykwrgUA5MdhVywAAAA="/>
  </w:docVars>
  <w:rsids>
    <w:rsidRoot w:val="003063A6"/>
    <w:rsid w:val="00000939"/>
    <w:rsid w:val="00000B58"/>
    <w:rsid w:val="000018B5"/>
    <w:rsid w:val="0000346F"/>
    <w:rsid w:val="00003494"/>
    <w:rsid w:val="000038DA"/>
    <w:rsid w:val="00003D37"/>
    <w:rsid w:val="00003D54"/>
    <w:rsid w:val="00004687"/>
    <w:rsid w:val="00005231"/>
    <w:rsid w:val="00005530"/>
    <w:rsid w:val="00005ECE"/>
    <w:rsid w:val="00006426"/>
    <w:rsid w:val="00006622"/>
    <w:rsid w:val="0000782A"/>
    <w:rsid w:val="00010BC1"/>
    <w:rsid w:val="00010C5A"/>
    <w:rsid w:val="00011665"/>
    <w:rsid w:val="0001365E"/>
    <w:rsid w:val="00016101"/>
    <w:rsid w:val="00017F6E"/>
    <w:rsid w:val="00022CA2"/>
    <w:rsid w:val="00023468"/>
    <w:rsid w:val="0002346C"/>
    <w:rsid w:val="000239DB"/>
    <w:rsid w:val="000244B4"/>
    <w:rsid w:val="000246A1"/>
    <w:rsid w:val="00024B9A"/>
    <w:rsid w:val="00026433"/>
    <w:rsid w:val="0002650C"/>
    <w:rsid w:val="0002738A"/>
    <w:rsid w:val="000278B5"/>
    <w:rsid w:val="00030229"/>
    <w:rsid w:val="00030A7D"/>
    <w:rsid w:val="000315ED"/>
    <w:rsid w:val="00031DD5"/>
    <w:rsid w:val="00031EA4"/>
    <w:rsid w:val="000329B4"/>
    <w:rsid w:val="000362A7"/>
    <w:rsid w:val="00036D4C"/>
    <w:rsid w:val="00040C8B"/>
    <w:rsid w:val="000419F4"/>
    <w:rsid w:val="00041B44"/>
    <w:rsid w:val="00042BAA"/>
    <w:rsid w:val="000431F4"/>
    <w:rsid w:val="0004497B"/>
    <w:rsid w:val="0004528B"/>
    <w:rsid w:val="0004539B"/>
    <w:rsid w:val="00045405"/>
    <w:rsid w:val="00046204"/>
    <w:rsid w:val="00047458"/>
    <w:rsid w:val="0005008F"/>
    <w:rsid w:val="00050494"/>
    <w:rsid w:val="000504CE"/>
    <w:rsid w:val="00051941"/>
    <w:rsid w:val="0005265D"/>
    <w:rsid w:val="00054237"/>
    <w:rsid w:val="00054D80"/>
    <w:rsid w:val="00055FE1"/>
    <w:rsid w:val="00056583"/>
    <w:rsid w:val="00057642"/>
    <w:rsid w:val="000578B2"/>
    <w:rsid w:val="00057B17"/>
    <w:rsid w:val="00060E7B"/>
    <w:rsid w:val="00061171"/>
    <w:rsid w:val="00061E1D"/>
    <w:rsid w:val="0006217F"/>
    <w:rsid w:val="000625C8"/>
    <w:rsid w:val="00062A97"/>
    <w:rsid w:val="00063B52"/>
    <w:rsid w:val="00066189"/>
    <w:rsid w:val="0006625F"/>
    <w:rsid w:val="00066B58"/>
    <w:rsid w:val="0006755F"/>
    <w:rsid w:val="000675D4"/>
    <w:rsid w:val="000676CB"/>
    <w:rsid w:val="0007220A"/>
    <w:rsid w:val="00075087"/>
    <w:rsid w:val="000758B0"/>
    <w:rsid w:val="00076488"/>
    <w:rsid w:val="000768F7"/>
    <w:rsid w:val="0007755C"/>
    <w:rsid w:val="000778B5"/>
    <w:rsid w:val="00077B56"/>
    <w:rsid w:val="00077D9C"/>
    <w:rsid w:val="00080276"/>
    <w:rsid w:val="000803B6"/>
    <w:rsid w:val="0008202E"/>
    <w:rsid w:val="000828E6"/>
    <w:rsid w:val="00083ACE"/>
    <w:rsid w:val="00084E23"/>
    <w:rsid w:val="000851A7"/>
    <w:rsid w:val="0008535D"/>
    <w:rsid w:val="000869DB"/>
    <w:rsid w:val="00086AFA"/>
    <w:rsid w:val="000901A0"/>
    <w:rsid w:val="00091402"/>
    <w:rsid w:val="000918F2"/>
    <w:rsid w:val="00092076"/>
    <w:rsid w:val="0009232E"/>
    <w:rsid w:val="0009284C"/>
    <w:rsid w:val="00093021"/>
    <w:rsid w:val="00093286"/>
    <w:rsid w:val="000933CB"/>
    <w:rsid w:val="00093B0F"/>
    <w:rsid w:val="00093FA7"/>
    <w:rsid w:val="00094D2E"/>
    <w:rsid w:val="00095A6E"/>
    <w:rsid w:val="00095C94"/>
    <w:rsid w:val="0009644B"/>
    <w:rsid w:val="00096715"/>
    <w:rsid w:val="00096A2A"/>
    <w:rsid w:val="0009719B"/>
    <w:rsid w:val="000A301B"/>
    <w:rsid w:val="000A31B1"/>
    <w:rsid w:val="000A442F"/>
    <w:rsid w:val="000A4D2F"/>
    <w:rsid w:val="000A53F7"/>
    <w:rsid w:val="000A564D"/>
    <w:rsid w:val="000A61B3"/>
    <w:rsid w:val="000B0143"/>
    <w:rsid w:val="000B0839"/>
    <w:rsid w:val="000B09EA"/>
    <w:rsid w:val="000B12A3"/>
    <w:rsid w:val="000B297A"/>
    <w:rsid w:val="000B3178"/>
    <w:rsid w:val="000B3C15"/>
    <w:rsid w:val="000B4AFA"/>
    <w:rsid w:val="000B562B"/>
    <w:rsid w:val="000B57E2"/>
    <w:rsid w:val="000B5C7C"/>
    <w:rsid w:val="000B70B3"/>
    <w:rsid w:val="000B7EBF"/>
    <w:rsid w:val="000C0926"/>
    <w:rsid w:val="000C0A6A"/>
    <w:rsid w:val="000C1238"/>
    <w:rsid w:val="000C1A46"/>
    <w:rsid w:val="000C2C01"/>
    <w:rsid w:val="000C2CEA"/>
    <w:rsid w:val="000C3E1F"/>
    <w:rsid w:val="000C4E4C"/>
    <w:rsid w:val="000C5336"/>
    <w:rsid w:val="000C5443"/>
    <w:rsid w:val="000C629D"/>
    <w:rsid w:val="000C6871"/>
    <w:rsid w:val="000C7009"/>
    <w:rsid w:val="000C7655"/>
    <w:rsid w:val="000C7800"/>
    <w:rsid w:val="000C786A"/>
    <w:rsid w:val="000C7930"/>
    <w:rsid w:val="000C7FD1"/>
    <w:rsid w:val="000D02FA"/>
    <w:rsid w:val="000D0887"/>
    <w:rsid w:val="000D0CF9"/>
    <w:rsid w:val="000D2119"/>
    <w:rsid w:val="000D2297"/>
    <w:rsid w:val="000D4504"/>
    <w:rsid w:val="000D481C"/>
    <w:rsid w:val="000D48DE"/>
    <w:rsid w:val="000D4D94"/>
    <w:rsid w:val="000D4E40"/>
    <w:rsid w:val="000D67AE"/>
    <w:rsid w:val="000D77CF"/>
    <w:rsid w:val="000E098A"/>
    <w:rsid w:val="000E0D7C"/>
    <w:rsid w:val="000E131E"/>
    <w:rsid w:val="000E140C"/>
    <w:rsid w:val="000E1AF0"/>
    <w:rsid w:val="000E1D5A"/>
    <w:rsid w:val="000E1ECF"/>
    <w:rsid w:val="000E1EE3"/>
    <w:rsid w:val="000E2F91"/>
    <w:rsid w:val="000E323F"/>
    <w:rsid w:val="000E4219"/>
    <w:rsid w:val="000E5EFD"/>
    <w:rsid w:val="000E7403"/>
    <w:rsid w:val="000F0C21"/>
    <w:rsid w:val="000F1A1C"/>
    <w:rsid w:val="000F214E"/>
    <w:rsid w:val="000F420B"/>
    <w:rsid w:val="000F4310"/>
    <w:rsid w:val="000F5CD2"/>
    <w:rsid w:val="000F5D57"/>
    <w:rsid w:val="000F600E"/>
    <w:rsid w:val="000F71E6"/>
    <w:rsid w:val="000F7606"/>
    <w:rsid w:val="000F79D0"/>
    <w:rsid w:val="001002A9"/>
    <w:rsid w:val="00101170"/>
    <w:rsid w:val="0010127B"/>
    <w:rsid w:val="00102497"/>
    <w:rsid w:val="001027C0"/>
    <w:rsid w:val="00102A69"/>
    <w:rsid w:val="00104750"/>
    <w:rsid w:val="00104D11"/>
    <w:rsid w:val="001057A3"/>
    <w:rsid w:val="00106E26"/>
    <w:rsid w:val="00107001"/>
    <w:rsid w:val="00107CFB"/>
    <w:rsid w:val="00107F37"/>
    <w:rsid w:val="001100B3"/>
    <w:rsid w:val="0011040A"/>
    <w:rsid w:val="00110427"/>
    <w:rsid w:val="0011067D"/>
    <w:rsid w:val="001113A5"/>
    <w:rsid w:val="0011165A"/>
    <w:rsid w:val="00112605"/>
    <w:rsid w:val="001134AC"/>
    <w:rsid w:val="00114151"/>
    <w:rsid w:val="00114589"/>
    <w:rsid w:val="00114830"/>
    <w:rsid w:val="00115780"/>
    <w:rsid w:val="00115E1D"/>
    <w:rsid w:val="0011661F"/>
    <w:rsid w:val="00116804"/>
    <w:rsid w:val="00116AB7"/>
    <w:rsid w:val="001207FD"/>
    <w:rsid w:val="00120918"/>
    <w:rsid w:val="001212CA"/>
    <w:rsid w:val="001216FC"/>
    <w:rsid w:val="001217B7"/>
    <w:rsid w:val="00121950"/>
    <w:rsid w:val="00122512"/>
    <w:rsid w:val="00122E21"/>
    <w:rsid w:val="00124297"/>
    <w:rsid w:val="00124517"/>
    <w:rsid w:val="00124D00"/>
    <w:rsid w:val="0012532F"/>
    <w:rsid w:val="00125779"/>
    <w:rsid w:val="00127F9F"/>
    <w:rsid w:val="00130427"/>
    <w:rsid w:val="00131C8E"/>
    <w:rsid w:val="00131F2C"/>
    <w:rsid w:val="00132F0D"/>
    <w:rsid w:val="001336B4"/>
    <w:rsid w:val="00133A8C"/>
    <w:rsid w:val="00134115"/>
    <w:rsid w:val="001346AE"/>
    <w:rsid w:val="001354D5"/>
    <w:rsid w:val="00135743"/>
    <w:rsid w:val="00135D26"/>
    <w:rsid w:val="00136EF2"/>
    <w:rsid w:val="00136F40"/>
    <w:rsid w:val="00136FD7"/>
    <w:rsid w:val="001372CC"/>
    <w:rsid w:val="0013730B"/>
    <w:rsid w:val="00137491"/>
    <w:rsid w:val="001376EF"/>
    <w:rsid w:val="00137E20"/>
    <w:rsid w:val="001411D0"/>
    <w:rsid w:val="001438F4"/>
    <w:rsid w:val="001444B2"/>
    <w:rsid w:val="00144B2E"/>
    <w:rsid w:val="00144E45"/>
    <w:rsid w:val="0014544A"/>
    <w:rsid w:val="00145F64"/>
    <w:rsid w:val="0014770F"/>
    <w:rsid w:val="001502D5"/>
    <w:rsid w:val="00151912"/>
    <w:rsid w:val="00151B9A"/>
    <w:rsid w:val="0015312C"/>
    <w:rsid w:val="00153E1F"/>
    <w:rsid w:val="00154716"/>
    <w:rsid w:val="00155146"/>
    <w:rsid w:val="001558E7"/>
    <w:rsid w:val="00157CF2"/>
    <w:rsid w:val="00160752"/>
    <w:rsid w:val="001608CD"/>
    <w:rsid w:val="001611C0"/>
    <w:rsid w:val="00161CF0"/>
    <w:rsid w:val="00161FF8"/>
    <w:rsid w:val="0016316C"/>
    <w:rsid w:val="0016423B"/>
    <w:rsid w:val="001646CD"/>
    <w:rsid w:val="00164B8A"/>
    <w:rsid w:val="001653F9"/>
    <w:rsid w:val="00165FCA"/>
    <w:rsid w:val="00166136"/>
    <w:rsid w:val="00167257"/>
    <w:rsid w:val="00167720"/>
    <w:rsid w:val="001678B8"/>
    <w:rsid w:val="00167A0A"/>
    <w:rsid w:val="00167B63"/>
    <w:rsid w:val="001703D3"/>
    <w:rsid w:val="00170B7C"/>
    <w:rsid w:val="00172045"/>
    <w:rsid w:val="00172538"/>
    <w:rsid w:val="00172626"/>
    <w:rsid w:val="00172657"/>
    <w:rsid w:val="00172D7D"/>
    <w:rsid w:val="001736C0"/>
    <w:rsid w:val="001741E9"/>
    <w:rsid w:val="00174EDC"/>
    <w:rsid w:val="00175A98"/>
    <w:rsid w:val="0017605E"/>
    <w:rsid w:val="0017635E"/>
    <w:rsid w:val="001775F1"/>
    <w:rsid w:val="00177847"/>
    <w:rsid w:val="001800AF"/>
    <w:rsid w:val="0018060D"/>
    <w:rsid w:val="0018110C"/>
    <w:rsid w:val="001837FE"/>
    <w:rsid w:val="001852E7"/>
    <w:rsid w:val="00185364"/>
    <w:rsid w:val="001857AE"/>
    <w:rsid w:val="00186429"/>
    <w:rsid w:val="00186474"/>
    <w:rsid w:val="001873F9"/>
    <w:rsid w:val="0018744E"/>
    <w:rsid w:val="00190991"/>
    <w:rsid w:val="00192185"/>
    <w:rsid w:val="00192BDE"/>
    <w:rsid w:val="00192E54"/>
    <w:rsid w:val="0019328D"/>
    <w:rsid w:val="00193996"/>
    <w:rsid w:val="00195836"/>
    <w:rsid w:val="00197738"/>
    <w:rsid w:val="001A1420"/>
    <w:rsid w:val="001A1D3A"/>
    <w:rsid w:val="001A4880"/>
    <w:rsid w:val="001A49F5"/>
    <w:rsid w:val="001A6DC0"/>
    <w:rsid w:val="001A7A11"/>
    <w:rsid w:val="001A7E36"/>
    <w:rsid w:val="001B06A3"/>
    <w:rsid w:val="001B1697"/>
    <w:rsid w:val="001B237B"/>
    <w:rsid w:val="001B25F7"/>
    <w:rsid w:val="001B4A26"/>
    <w:rsid w:val="001B609C"/>
    <w:rsid w:val="001B60CD"/>
    <w:rsid w:val="001B6774"/>
    <w:rsid w:val="001B677D"/>
    <w:rsid w:val="001B6BDB"/>
    <w:rsid w:val="001B7244"/>
    <w:rsid w:val="001C0C0D"/>
    <w:rsid w:val="001C1CF7"/>
    <w:rsid w:val="001C225C"/>
    <w:rsid w:val="001C298D"/>
    <w:rsid w:val="001C3059"/>
    <w:rsid w:val="001C4183"/>
    <w:rsid w:val="001C41DC"/>
    <w:rsid w:val="001C4A75"/>
    <w:rsid w:val="001C570B"/>
    <w:rsid w:val="001C6A66"/>
    <w:rsid w:val="001C753C"/>
    <w:rsid w:val="001D11AE"/>
    <w:rsid w:val="001D11E2"/>
    <w:rsid w:val="001D1E20"/>
    <w:rsid w:val="001D1F31"/>
    <w:rsid w:val="001D2DD2"/>
    <w:rsid w:val="001D450D"/>
    <w:rsid w:val="001D4626"/>
    <w:rsid w:val="001D46FB"/>
    <w:rsid w:val="001D47B2"/>
    <w:rsid w:val="001D519D"/>
    <w:rsid w:val="001D5233"/>
    <w:rsid w:val="001D523C"/>
    <w:rsid w:val="001D5477"/>
    <w:rsid w:val="001D572A"/>
    <w:rsid w:val="001D5ECA"/>
    <w:rsid w:val="001D668F"/>
    <w:rsid w:val="001D7E10"/>
    <w:rsid w:val="001E065D"/>
    <w:rsid w:val="001E4224"/>
    <w:rsid w:val="001E5352"/>
    <w:rsid w:val="001E6449"/>
    <w:rsid w:val="001E65BB"/>
    <w:rsid w:val="001E6CB3"/>
    <w:rsid w:val="001E7C63"/>
    <w:rsid w:val="001F00AA"/>
    <w:rsid w:val="001F057C"/>
    <w:rsid w:val="001F1526"/>
    <w:rsid w:val="001F2223"/>
    <w:rsid w:val="001F2713"/>
    <w:rsid w:val="001F2A54"/>
    <w:rsid w:val="001F2FF7"/>
    <w:rsid w:val="001F33B3"/>
    <w:rsid w:val="001F36C2"/>
    <w:rsid w:val="001F434A"/>
    <w:rsid w:val="001F60C9"/>
    <w:rsid w:val="001F659E"/>
    <w:rsid w:val="001F67A7"/>
    <w:rsid w:val="001F6AC3"/>
    <w:rsid w:val="001F6ACD"/>
    <w:rsid w:val="00200398"/>
    <w:rsid w:val="00200E7E"/>
    <w:rsid w:val="0020139C"/>
    <w:rsid w:val="0020197F"/>
    <w:rsid w:val="00201E86"/>
    <w:rsid w:val="00202EDD"/>
    <w:rsid w:val="002030EA"/>
    <w:rsid w:val="002036DC"/>
    <w:rsid w:val="002039E4"/>
    <w:rsid w:val="00203BC1"/>
    <w:rsid w:val="0020586F"/>
    <w:rsid w:val="002059DF"/>
    <w:rsid w:val="00206109"/>
    <w:rsid w:val="002062E4"/>
    <w:rsid w:val="00207EAA"/>
    <w:rsid w:val="002114DF"/>
    <w:rsid w:val="002119D1"/>
    <w:rsid w:val="00212F32"/>
    <w:rsid w:val="0021450C"/>
    <w:rsid w:val="00214743"/>
    <w:rsid w:val="0021479F"/>
    <w:rsid w:val="002148F8"/>
    <w:rsid w:val="00214CA0"/>
    <w:rsid w:val="00216336"/>
    <w:rsid w:val="00216605"/>
    <w:rsid w:val="002169CC"/>
    <w:rsid w:val="00217624"/>
    <w:rsid w:val="00217655"/>
    <w:rsid w:val="00217F0D"/>
    <w:rsid w:val="002204B2"/>
    <w:rsid w:val="00220678"/>
    <w:rsid w:val="0022102A"/>
    <w:rsid w:val="00221146"/>
    <w:rsid w:val="002213F6"/>
    <w:rsid w:val="00223C4D"/>
    <w:rsid w:val="0022491F"/>
    <w:rsid w:val="00224B7D"/>
    <w:rsid w:val="00224BA2"/>
    <w:rsid w:val="00224D37"/>
    <w:rsid w:val="00226E9B"/>
    <w:rsid w:val="00226FC9"/>
    <w:rsid w:val="00227E0F"/>
    <w:rsid w:val="0023027A"/>
    <w:rsid w:val="00231E7A"/>
    <w:rsid w:val="00232AE0"/>
    <w:rsid w:val="00232DEC"/>
    <w:rsid w:val="00232EA8"/>
    <w:rsid w:val="0023301E"/>
    <w:rsid w:val="0023431F"/>
    <w:rsid w:val="00234D12"/>
    <w:rsid w:val="002365A6"/>
    <w:rsid w:val="00236A2F"/>
    <w:rsid w:val="0023754A"/>
    <w:rsid w:val="002407BF"/>
    <w:rsid w:val="00241524"/>
    <w:rsid w:val="002419DB"/>
    <w:rsid w:val="0024207C"/>
    <w:rsid w:val="00244030"/>
    <w:rsid w:val="0024529D"/>
    <w:rsid w:val="00245508"/>
    <w:rsid w:val="002461AE"/>
    <w:rsid w:val="00246284"/>
    <w:rsid w:val="00246557"/>
    <w:rsid w:val="00246A31"/>
    <w:rsid w:val="00246E10"/>
    <w:rsid w:val="002470FF"/>
    <w:rsid w:val="00247347"/>
    <w:rsid w:val="00247BD2"/>
    <w:rsid w:val="00247E22"/>
    <w:rsid w:val="002506FC"/>
    <w:rsid w:val="00251873"/>
    <w:rsid w:val="00252426"/>
    <w:rsid w:val="00252434"/>
    <w:rsid w:val="002528A8"/>
    <w:rsid w:val="002547C2"/>
    <w:rsid w:val="00255C68"/>
    <w:rsid w:val="002575E6"/>
    <w:rsid w:val="00261D10"/>
    <w:rsid w:val="002620AF"/>
    <w:rsid w:val="00263419"/>
    <w:rsid w:val="00264EA9"/>
    <w:rsid w:val="00265233"/>
    <w:rsid w:val="00265270"/>
    <w:rsid w:val="00265DCD"/>
    <w:rsid w:val="00266F5A"/>
    <w:rsid w:val="002677DF"/>
    <w:rsid w:val="00267C51"/>
    <w:rsid w:val="00271114"/>
    <w:rsid w:val="00272C75"/>
    <w:rsid w:val="002739A1"/>
    <w:rsid w:val="002743BA"/>
    <w:rsid w:val="002762BD"/>
    <w:rsid w:val="00276403"/>
    <w:rsid w:val="00276B9F"/>
    <w:rsid w:val="00277555"/>
    <w:rsid w:val="002800E1"/>
    <w:rsid w:val="00280260"/>
    <w:rsid w:val="00281D65"/>
    <w:rsid w:val="0028263F"/>
    <w:rsid w:val="00282930"/>
    <w:rsid w:val="00282A02"/>
    <w:rsid w:val="00282A09"/>
    <w:rsid w:val="00282C60"/>
    <w:rsid w:val="00283472"/>
    <w:rsid w:val="00283A02"/>
    <w:rsid w:val="00283ED6"/>
    <w:rsid w:val="00283FD4"/>
    <w:rsid w:val="00284B38"/>
    <w:rsid w:val="00284E11"/>
    <w:rsid w:val="00285276"/>
    <w:rsid w:val="0028539D"/>
    <w:rsid w:val="00285FAD"/>
    <w:rsid w:val="00286F8C"/>
    <w:rsid w:val="002872B8"/>
    <w:rsid w:val="00287BF3"/>
    <w:rsid w:val="002909A6"/>
    <w:rsid w:val="00290CDC"/>
    <w:rsid w:val="0029121E"/>
    <w:rsid w:val="00291313"/>
    <w:rsid w:val="00291496"/>
    <w:rsid w:val="00291F29"/>
    <w:rsid w:val="00294480"/>
    <w:rsid w:val="002952D8"/>
    <w:rsid w:val="00295D65"/>
    <w:rsid w:val="00295E8E"/>
    <w:rsid w:val="00296823"/>
    <w:rsid w:val="002A0187"/>
    <w:rsid w:val="002A1384"/>
    <w:rsid w:val="002A13A9"/>
    <w:rsid w:val="002A1456"/>
    <w:rsid w:val="002A1754"/>
    <w:rsid w:val="002A192D"/>
    <w:rsid w:val="002A1C3A"/>
    <w:rsid w:val="002A2517"/>
    <w:rsid w:val="002A2BAD"/>
    <w:rsid w:val="002A35EA"/>
    <w:rsid w:val="002A3A7B"/>
    <w:rsid w:val="002A50F4"/>
    <w:rsid w:val="002A51AF"/>
    <w:rsid w:val="002A51E7"/>
    <w:rsid w:val="002A562F"/>
    <w:rsid w:val="002A7C2C"/>
    <w:rsid w:val="002B162F"/>
    <w:rsid w:val="002B3BCD"/>
    <w:rsid w:val="002B5242"/>
    <w:rsid w:val="002B66A4"/>
    <w:rsid w:val="002B6AC3"/>
    <w:rsid w:val="002C0C38"/>
    <w:rsid w:val="002C1F33"/>
    <w:rsid w:val="002C213E"/>
    <w:rsid w:val="002C3A26"/>
    <w:rsid w:val="002C4079"/>
    <w:rsid w:val="002C43BA"/>
    <w:rsid w:val="002C43E4"/>
    <w:rsid w:val="002C4539"/>
    <w:rsid w:val="002C4CB9"/>
    <w:rsid w:val="002C666A"/>
    <w:rsid w:val="002C7374"/>
    <w:rsid w:val="002D010D"/>
    <w:rsid w:val="002D128E"/>
    <w:rsid w:val="002D21B5"/>
    <w:rsid w:val="002D21FF"/>
    <w:rsid w:val="002D277E"/>
    <w:rsid w:val="002D2875"/>
    <w:rsid w:val="002D2DC3"/>
    <w:rsid w:val="002D378F"/>
    <w:rsid w:val="002D39D4"/>
    <w:rsid w:val="002D487D"/>
    <w:rsid w:val="002D4942"/>
    <w:rsid w:val="002D51C9"/>
    <w:rsid w:val="002D565C"/>
    <w:rsid w:val="002D6892"/>
    <w:rsid w:val="002D6BC8"/>
    <w:rsid w:val="002D77A9"/>
    <w:rsid w:val="002E0D25"/>
    <w:rsid w:val="002E119A"/>
    <w:rsid w:val="002E16B6"/>
    <w:rsid w:val="002E1955"/>
    <w:rsid w:val="002E2640"/>
    <w:rsid w:val="002E3943"/>
    <w:rsid w:val="002E4188"/>
    <w:rsid w:val="002E47E0"/>
    <w:rsid w:val="002E5BAA"/>
    <w:rsid w:val="002E64BB"/>
    <w:rsid w:val="002E7FD0"/>
    <w:rsid w:val="002F03A4"/>
    <w:rsid w:val="002F27F0"/>
    <w:rsid w:val="002F2F2F"/>
    <w:rsid w:val="002F48F5"/>
    <w:rsid w:val="002F5118"/>
    <w:rsid w:val="002F6EF3"/>
    <w:rsid w:val="002F70AA"/>
    <w:rsid w:val="0030050F"/>
    <w:rsid w:val="00300713"/>
    <w:rsid w:val="00300CD2"/>
    <w:rsid w:val="00300DDF"/>
    <w:rsid w:val="0030101C"/>
    <w:rsid w:val="0030227F"/>
    <w:rsid w:val="00305171"/>
    <w:rsid w:val="00305721"/>
    <w:rsid w:val="0030592C"/>
    <w:rsid w:val="003061BD"/>
    <w:rsid w:val="003063A6"/>
    <w:rsid w:val="00307206"/>
    <w:rsid w:val="00307477"/>
    <w:rsid w:val="0030776B"/>
    <w:rsid w:val="00310511"/>
    <w:rsid w:val="00310A06"/>
    <w:rsid w:val="00310E78"/>
    <w:rsid w:val="00310F4B"/>
    <w:rsid w:val="003121E2"/>
    <w:rsid w:val="0031267B"/>
    <w:rsid w:val="00314D4A"/>
    <w:rsid w:val="0031565C"/>
    <w:rsid w:val="003171EB"/>
    <w:rsid w:val="00320B88"/>
    <w:rsid w:val="00323459"/>
    <w:rsid w:val="00323771"/>
    <w:rsid w:val="003254F1"/>
    <w:rsid w:val="00325FEC"/>
    <w:rsid w:val="00327EDD"/>
    <w:rsid w:val="0033173B"/>
    <w:rsid w:val="00331789"/>
    <w:rsid w:val="00332543"/>
    <w:rsid w:val="00332AD4"/>
    <w:rsid w:val="00332B89"/>
    <w:rsid w:val="00332D7E"/>
    <w:rsid w:val="00333644"/>
    <w:rsid w:val="003340B4"/>
    <w:rsid w:val="00335B1B"/>
    <w:rsid w:val="00336491"/>
    <w:rsid w:val="00336845"/>
    <w:rsid w:val="00336905"/>
    <w:rsid w:val="00337794"/>
    <w:rsid w:val="00337C55"/>
    <w:rsid w:val="0034010D"/>
    <w:rsid w:val="00340453"/>
    <w:rsid w:val="0034059A"/>
    <w:rsid w:val="00341678"/>
    <w:rsid w:val="0034199D"/>
    <w:rsid w:val="00343058"/>
    <w:rsid w:val="00343961"/>
    <w:rsid w:val="00343A46"/>
    <w:rsid w:val="00344020"/>
    <w:rsid w:val="00345C03"/>
    <w:rsid w:val="00347436"/>
    <w:rsid w:val="00347EB4"/>
    <w:rsid w:val="00347EF1"/>
    <w:rsid w:val="003500D1"/>
    <w:rsid w:val="00350363"/>
    <w:rsid w:val="00350837"/>
    <w:rsid w:val="00350B51"/>
    <w:rsid w:val="00351539"/>
    <w:rsid w:val="0035165F"/>
    <w:rsid w:val="003531B8"/>
    <w:rsid w:val="00353D48"/>
    <w:rsid w:val="003548E2"/>
    <w:rsid w:val="00355319"/>
    <w:rsid w:val="00355334"/>
    <w:rsid w:val="00355637"/>
    <w:rsid w:val="00355964"/>
    <w:rsid w:val="00356315"/>
    <w:rsid w:val="00356C38"/>
    <w:rsid w:val="0035738E"/>
    <w:rsid w:val="00357970"/>
    <w:rsid w:val="00360774"/>
    <w:rsid w:val="00360FEE"/>
    <w:rsid w:val="003616EC"/>
    <w:rsid w:val="00362834"/>
    <w:rsid w:val="00363152"/>
    <w:rsid w:val="003631FC"/>
    <w:rsid w:val="0036500A"/>
    <w:rsid w:val="00365443"/>
    <w:rsid w:val="00365611"/>
    <w:rsid w:val="00366419"/>
    <w:rsid w:val="00366A3A"/>
    <w:rsid w:val="00367434"/>
    <w:rsid w:val="003675D3"/>
    <w:rsid w:val="003712C7"/>
    <w:rsid w:val="00371324"/>
    <w:rsid w:val="0037165B"/>
    <w:rsid w:val="003716CA"/>
    <w:rsid w:val="003719F0"/>
    <w:rsid w:val="00371D65"/>
    <w:rsid w:val="00372577"/>
    <w:rsid w:val="00372A6E"/>
    <w:rsid w:val="00372AA9"/>
    <w:rsid w:val="003731C6"/>
    <w:rsid w:val="003732A5"/>
    <w:rsid w:val="003732A6"/>
    <w:rsid w:val="0037484A"/>
    <w:rsid w:val="00375379"/>
    <w:rsid w:val="00376759"/>
    <w:rsid w:val="00376AF2"/>
    <w:rsid w:val="00376EFC"/>
    <w:rsid w:val="00377A9A"/>
    <w:rsid w:val="00380116"/>
    <w:rsid w:val="00380305"/>
    <w:rsid w:val="00381AE9"/>
    <w:rsid w:val="003822F3"/>
    <w:rsid w:val="003824B8"/>
    <w:rsid w:val="003827FA"/>
    <w:rsid w:val="00382A97"/>
    <w:rsid w:val="003833AD"/>
    <w:rsid w:val="00383A76"/>
    <w:rsid w:val="00384297"/>
    <w:rsid w:val="00384310"/>
    <w:rsid w:val="00384422"/>
    <w:rsid w:val="00384665"/>
    <w:rsid w:val="00384DA2"/>
    <w:rsid w:val="00386A9C"/>
    <w:rsid w:val="0039010C"/>
    <w:rsid w:val="0039096B"/>
    <w:rsid w:val="00390BF5"/>
    <w:rsid w:val="00390FBE"/>
    <w:rsid w:val="00391342"/>
    <w:rsid w:val="003917E3"/>
    <w:rsid w:val="003918A1"/>
    <w:rsid w:val="00391973"/>
    <w:rsid w:val="00391B93"/>
    <w:rsid w:val="00391E61"/>
    <w:rsid w:val="0039261C"/>
    <w:rsid w:val="00393882"/>
    <w:rsid w:val="00395214"/>
    <w:rsid w:val="00396898"/>
    <w:rsid w:val="00396C56"/>
    <w:rsid w:val="00397028"/>
    <w:rsid w:val="003A0809"/>
    <w:rsid w:val="003A0A70"/>
    <w:rsid w:val="003A164B"/>
    <w:rsid w:val="003A1D65"/>
    <w:rsid w:val="003A1EDF"/>
    <w:rsid w:val="003A3506"/>
    <w:rsid w:val="003A3DC8"/>
    <w:rsid w:val="003A5049"/>
    <w:rsid w:val="003A5216"/>
    <w:rsid w:val="003A6A02"/>
    <w:rsid w:val="003A6BBD"/>
    <w:rsid w:val="003A78C0"/>
    <w:rsid w:val="003A7FC3"/>
    <w:rsid w:val="003B0002"/>
    <w:rsid w:val="003B0028"/>
    <w:rsid w:val="003B0474"/>
    <w:rsid w:val="003B11C7"/>
    <w:rsid w:val="003B17E1"/>
    <w:rsid w:val="003B21B9"/>
    <w:rsid w:val="003B27FF"/>
    <w:rsid w:val="003B4246"/>
    <w:rsid w:val="003B4E58"/>
    <w:rsid w:val="003B4F99"/>
    <w:rsid w:val="003B5CAA"/>
    <w:rsid w:val="003B5E91"/>
    <w:rsid w:val="003B5EAB"/>
    <w:rsid w:val="003B5ECF"/>
    <w:rsid w:val="003B7073"/>
    <w:rsid w:val="003C0570"/>
    <w:rsid w:val="003C0BD5"/>
    <w:rsid w:val="003C1100"/>
    <w:rsid w:val="003C19D5"/>
    <w:rsid w:val="003C2A8D"/>
    <w:rsid w:val="003C3025"/>
    <w:rsid w:val="003C337E"/>
    <w:rsid w:val="003C5ED3"/>
    <w:rsid w:val="003C655D"/>
    <w:rsid w:val="003C6B89"/>
    <w:rsid w:val="003C6FBA"/>
    <w:rsid w:val="003C7246"/>
    <w:rsid w:val="003D04B9"/>
    <w:rsid w:val="003D153D"/>
    <w:rsid w:val="003D20B9"/>
    <w:rsid w:val="003D2364"/>
    <w:rsid w:val="003D24EE"/>
    <w:rsid w:val="003D26AE"/>
    <w:rsid w:val="003D2811"/>
    <w:rsid w:val="003D2B56"/>
    <w:rsid w:val="003D2C7B"/>
    <w:rsid w:val="003D2E4E"/>
    <w:rsid w:val="003D2FA0"/>
    <w:rsid w:val="003D3591"/>
    <w:rsid w:val="003D44EF"/>
    <w:rsid w:val="003D510F"/>
    <w:rsid w:val="003D560F"/>
    <w:rsid w:val="003D5739"/>
    <w:rsid w:val="003D5765"/>
    <w:rsid w:val="003D6336"/>
    <w:rsid w:val="003D634E"/>
    <w:rsid w:val="003D65D3"/>
    <w:rsid w:val="003D6930"/>
    <w:rsid w:val="003D6B5E"/>
    <w:rsid w:val="003D6BF7"/>
    <w:rsid w:val="003D7223"/>
    <w:rsid w:val="003D74DE"/>
    <w:rsid w:val="003D75B9"/>
    <w:rsid w:val="003D7E33"/>
    <w:rsid w:val="003E078E"/>
    <w:rsid w:val="003E2DEF"/>
    <w:rsid w:val="003E3830"/>
    <w:rsid w:val="003E385C"/>
    <w:rsid w:val="003E6738"/>
    <w:rsid w:val="003E6856"/>
    <w:rsid w:val="003E7139"/>
    <w:rsid w:val="003E71C1"/>
    <w:rsid w:val="003E7A9B"/>
    <w:rsid w:val="003F076D"/>
    <w:rsid w:val="003F0B9B"/>
    <w:rsid w:val="003F1539"/>
    <w:rsid w:val="003F1CAC"/>
    <w:rsid w:val="003F212D"/>
    <w:rsid w:val="003F3086"/>
    <w:rsid w:val="003F3365"/>
    <w:rsid w:val="003F3467"/>
    <w:rsid w:val="003F3496"/>
    <w:rsid w:val="003F48D9"/>
    <w:rsid w:val="003F4E38"/>
    <w:rsid w:val="003F56F4"/>
    <w:rsid w:val="003F5BF6"/>
    <w:rsid w:val="003F6A6D"/>
    <w:rsid w:val="003F7505"/>
    <w:rsid w:val="003F77C8"/>
    <w:rsid w:val="003F7BC8"/>
    <w:rsid w:val="00400856"/>
    <w:rsid w:val="004028C9"/>
    <w:rsid w:val="00402A16"/>
    <w:rsid w:val="00402CB1"/>
    <w:rsid w:val="00402E7E"/>
    <w:rsid w:val="004033B4"/>
    <w:rsid w:val="00404A85"/>
    <w:rsid w:val="00405376"/>
    <w:rsid w:val="00407947"/>
    <w:rsid w:val="00411D84"/>
    <w:rsid w:val="004157D7"/>
    <w:rsid w:val="00416518"/>
    <w:rsid w:val="004168CB"/>
    <w:rsid w:val="0041696F"/>
    <w:rsid w:val="00416CE4"/>
    <w:rsid w:val="00417647"/>
    <w:rsid w:val="00417A45"/>
    <w:rsid w:val="00417CA8"/>
    <w:rsid w:val="004205D6"/>
    <w:rsid w:val="00420A2C"/>
    <w:rsid w:val="004224B3"/>
    <w:rsid w:val="00422523"/>
    <w:rsid w:val="00422880"/>
    <w:rsid w:val="00422F6E"/>
    <w:rsid w:val="00423390"/>
    <w:rsid w:val="0042347A"/>
    <w:rsid w:val="00423AB1"/>
    <w:rsid w:val="00423EBA"/>
    <w:rsid w:val="00423EC2"/>
    <w:rsid w:val="004249E2"/>
    <w:rsid w:val="00424A3F"/>
    <w:rsid w:val="00424E7D"/>
    <w:rsid w:val="004256A7"/>
    <w:rsid w:val="00425C92"/>
    <w:rsid w:val="00427243"/>
    <w:rsid w:val="004311AF"/>
    <w:rsid w:val="00431828"/>
    <w:rsid w:val="004328C4"/>
    <w:rsid w:val="00432E59"/>
    <w:rsid w:val="004335A1"/>
    <w:rsid w:val="00433BDC"/>
    <w:rsid w:val="00433FAC"/>
    <w:rsid w:val="004349FF"/>
    <w:rsid w:val="00434ACA"/>
    <w:rsid w:val="00434ACE"/>
    <w:rsid w:val="00435965"/>
    <w:rsid w:val="00435B62"/>
    <w:rsid w:val="00435F40"/>
    <w:rsid w:val="004360CB"/>
    <w:rsid w:val="0044126B"/>
    <w:rsid w:val="004412D3"/>
    <w:rsid w:val="00441DBA"/>
    <w:rsid w:val="00442382"/>
    <w:rsid w:val="00442D8D"/>
    <w:rsid w:val="00443EAE"/>
    <w:rsid w:val="0044425E"/>
    <w:rsid w:val="00444B69"/>
    <w:rsid w:val="004459D7"/>
    <w:rsid w:val="004463CA"/>
    <w:rsid w:val="00446B83"/>
    <w:rsid w:val="00447FC7"/>
    <w:rsid w:val="0045020D"/>
    <w:rsid w:val="004513CE"/>
    <w:rsid w:val="0045162D"/>
    <w:rsid w:val="00451919"/>
    <w:rsid w:val="00451AB2"/>
    <w:rsid w:val="00451BED"/>
    <w:rsid w:val="00452A9D"/>
    <w:rsid w:val="00453547"/>
    <w:rsid w:val="00454B02"/>
    <w:rsid w:val="00455B0C"/>
    <w:rsid w:val="00455C61"/>
    <w:rsid w:val="0045679B"/>
    <w:rsid w:val="00461C99"/>
    <w:rsid w:val="0046295B"/>
    <w:rsid w:val="00462FB5"/>
    <w:rsid w:val="0046315B"/>
    <w:rsid w:val="00463AA5"/>
    <w:rsid w:val="00463C5B"/>
    <w:rsid w:val="0046463F"/>
    <w:rsid w:val="004647CE"/>
    <w:rsid w:val="00466556"/>
    <w:rsid w:val="0046687D"/>
    <w:rsid w:val="004668A4"/>
    <w:rsid w:val="00466FCB"/>
    <w:rsid w:val="00467CF6"/>
    <w:rsid w:val="00470C14"/>
    <w:rsid w:val="00470C78"/>
    <w:rsid w:val="004714FB"/>
    <w:rsid w:val="00471E3F"/>
    <w:rsid w:val="00472CA2"/>
    <w:rsid w:val="00475689"/>
    <w:rsid w:val="004766CB"/>
    <w:rsid w:val="00476E32"/>
    <w:rsid w:val="00480741"/>
    <w:rsid w:val="0048083D"/>
    <w:rsid w:val="004819B0"/>
    <w:rsid w:val="004821C7"/>
    <w:rsid w:val="00482C65"/>
    <w:rsid w:val="0048317D"/>
    <w:rsid w:val="004832D1"/>
    <w:rsid w:val="00484A7C"/>
    <w:rsid w:val="00485474"/>
    <w:rsid w:val="0048562F"/>
    <w:rsid w:val="00485902"/>
    <w:rsid w:val="00486277"/>
    <w:rsid w:val="00490182"/>
    <w:rsid w:val="00490866"/>
    <w:rsid w:val="00491880"/>
    <w:rsid w:val="0049290B"/>
    <w:rsid w:val="0049342C"/>
    <w:rsid w:val="00495785"/>
    <w:rsid w:val="0049597E"/>
    <w:rsid w:val="00495987"/>
    <w:rsid w:val="00496195"/>
    <w:rsid w:val="0049620D"/>
    <w:rsid w:val="0049635B"/>
    <w:rsid w:val="0049693B"/>
    <w:rsid w:val="00496C10"/>
    <w:rsid w:val="004972B1"/>
    <w:rsid w:val="004A133B"/>
    <w:rsid w:val="004A275E"/>
    <w:rsid w:val="004A2F2B"/>
    <w:rsid w:val="004A3174"/>
    <w:rsid w:val="004A37CA"/>
    <w:rsid w:val="004A3E82"/>
    <w:rsid w:val="004A3FD8"/>
    <w:rsid w:val="004A5416"/>
    <w:rsid w:val="004A5C0C"/>
    <w:rsid w:val="004A69CF"/>
    <w:rsid w:val="004B112B"/>
    <w:rsid w:val="004B1650"/>
    <w:rsid w:val="004B2100"/>
    <w:rsid w:val="004B2435"/>
    <w:rsid w:val="004B257D"/>
    <w:rsid w:val="004B2AF4"/>
    <w:rsid w:val="004B339F"/>
    <w:rsid w:val="004B6544"/>
    <w:rsid w:val="004B77E7"/>
    <w:rsid w:val="004B7BE5"/>
    <w:rsid w:val="004C2510"/>
    <w:rsid w:val="004C2D7F"/>
    <w:rsid w:val="004C47DF"/>
    <w:rsid w:val="004C654E"/>
    <w:rsid w:val="004C69A7"/>
    <w:rsid w:val="004C6CD7"/>
    <w:rsid w:val="004C6E40"/>
    <w:rsid w:val="004C70F7"/>
    <w:rsid w:val="004C7276"/>
    <w:rsid w:val="004C7D33"/>
    <w:rsid w:val="004D0227"/>
    <w:rsid w:val="004D0399"/>
    <w:rsid w:val="004D1038"/>
    <w:rsid w:val="004D11C6"/>
    <w:rsid w:val="004D1A95"/>
    <w:rsid w:val="004D3A52"/>
    <w:rsid w:val="004D3CB9"/>
    <w:rsid w:val="004D5CB9"/>
    <w:rsid w:val="004D79B3"/>
    <w:rsid w:val="004D7C0C"/>
    <w:rsid w:val="004D7CE5"/>
    <w:rsid w:val="004E0C2B"/>
    <w:rsid w:val="004E0CD6"/>
    <w:rsid w:val="004E0D0F"/>
    <w:rsid w:val="004E15F8"/>
    <w:rsid w:val="004E20A6"/>
    <w:rsid w:val="004E2358"/>
    <w:rsid w:val="004E32D5"/>
    <w:rsid w:val="004E3604"/>
    <w:rsid w:val="004E4A4C"/>
    <w:rsid w:val="004E4E1A"/>
    <w:rsid w:val="004E50EB"/>
    <w:rsid w:val="004E59B5"/>
    <w:rsid w:val="004E5A05"/>
    <w:rsid w:val="004E6B79"/>
    <w:rsid w:val="004F16AC"/>
    <w:rsid w:val="004F19C2"/>
    <w:rsid w:val="004F1B57"/>
    <w:rsid w:val="004F2153"/>
    <w:rsid w:val="004F2967"/>
    <w:rsid w:val="004F2A8D"/>
    <w:rsid w:val="004F308D"/>
    <w:rsid w:val="004F4FF3"/>
    <w:rsid w:val="004F6CF7"/>
    <w:rsid w:val="00500026"/>
    <w:rsid w:val="005002B4"/>
    <w:rsid w:val="005012B2"/>
    <w:rsid w:val="0050142E"/>
    <w:rsid w:val="00502B70"/>
    <w:rsid w:val="00503878"/>
    <w:rsid w:val="005054C4"/>
    <w:rsid w:val="00506B40"/>
    <w:rsid w:val="00507747"/>
    <w:rsid w:val="00510263"/>
    <w:rsid w:val="00512BD7"/>
    <w:rsid w:val="005138AD"/>
    <w:rsid w:val="00513EEF"/>
    <w:rsid w:val="005141F4"/>
    <w:rsid w:val="005148A8"/>
    <w:rsid w:val="005155D3"/>
    <w:rsid w:val="00515BAD"/>
    <w:rsid w:val="00516209"/>
    <w:rsid w:val="005165C7"/>
    <w:rsid w:val="005168AB"/>
    <w:rsid w:val="00517725"/>
    <w:rsid w:val="00517B67"/>
    <w:rsid w:val="00520726"/>
    <w:rsid w:val="00522CAE"/>
    <w:rsid w:val="00522F97"/>
    <w:rsid w:val="00524D30"/>
    <w:rsid w:val="005253B4"/>
    <w:rsid w:val="00525FF6"/>
    <w:rsid w:val="0052680C"/>
    <w:rsid w:val="00527310"/>
    <w:rsid w:val="00527B40"/>
    <w:rsid w:val="005304F3"/>
    <w:rsid w:val="00530F69"/>
    <w:rsid w:val="00531537"/>
    <w:rsid w:val="00531BFC"/>
    <w:rsid w:val="00531D0C"/>
    <w:rsid w:val="0053288E"/>
    <w:rsid w:val="0053506D"/>
    <w:rsid w:val="00536006"/>
    <w:rsid w:val="005375F1"/>
    <w:rsid w:val="00537958"/>
    <w:rsid w:val="00537A7A"/>
    <w:rsid w:val="0054019E"/>
    <w:rsid w:val="00540EB9"/>
    <w:rsid w:val="0054126B"/>
    <w:rsid w:val="0054188B"/>
    <w:rsid w:val="0054189A"/>
    <w:rsid w:val="00542D9E"/>
    <w:rsid w:val="00543A3A"/>
    <w:rsid w:val="00543F02"/>
    <w:rsid w:val="0054454E"/>
    <w:rsid w:val="00544654"/>
    <w:rsid w:val="00544EC5"/>
    <w:rsid w:val="005460D3"/>
    <w:rsid w:val="005462E3"/>
    <w:rsid w:val="00546386"/>
    <w:rsid w:val="005466F2"/>
    <w:rsid w:val="0054672C"/>
    <w:rsid w:val="00547911"/>
    <w:rsid w:val="0055008E"/>
    <w:rsid w:val="005508B0"/>
    <w:rsid w:val="00550E0C"/>
    <w:rsid w:val="005516AA"/>
    <w:rsid w:val="005526A2"/>
    <w:rsid w:val="005527C6"/>
    <w:rsid w:val="00553049"/>
    <w:rsid w:val="005530A7"/>
    <w:rsid w:val="005534FA"/>
    <w:rsid w:val="005545E1"/>
    <w:rsid w:val="005546F5"/>
    <w:rsid w:val="00554AF5"/>
    <w:rsid w:val="00560D50"/>
    <w:rsid w:val="00561238"/>
    <w:rsid w:val="0056313F"/>
    <w:rsid w:val="00563260"/>
    <w:rsid w:val="005637D7"/>
    <w:rsid w:val="00563885"/>
    <w:rsid w:val="00565188"/>
    <w:rsid w:val="005653CF"/>
    <w:rsid w:val="00566BBB"/>
    <w:rsid w:val="00566FB1"/>
    <w:rsid w:val="00567674"/>
    <w:rsid w:val="00570493"/>
    <w:rsid w:val="005705D3"/>
    <w:rsid w:val="005705E3"/>
    <w:rsid w:val="0057061A"/>
    <w:rsid w:val="00570D98"/>
    <w:rsid w:val="0057184B"/>
    <w:rsid w:val="005739BA"/>
    <w:rsid w:val="005746DE"/>
    <w:rsid w:val="00575A77"/>
    <w:rsid w:val="00575DC6"/>
    <w:rsid w:val="00576BAF"/>
    <w:rsid w:val="005778A3"/>
    <w:rsid w:val="005803C3"/>
    <w:rsid w:val="00580447"/>
    <w:rsid w:val="00581330"/>
    <w:rsid w:val="00581982"/>
    <w:rsid w:val="005821BD"/>
    <w:rsid w:val="00582FAC"/>
    <w:rsid w:val="0058320C"/>
    <w:rsid w:val="00584B50"/>
    <w:rsid w:val="00584DC9"/>
    <w:rsid w:val="00584F30"/>
    <w:rsid w:val="00585610"/>
    <w:rsid w:val="00586678"/>
    <w:rsid w:val="00590596"/>
    <w:rsid w:val="00591B36"/>
    <w:rsid w:val="00592C0C"/>
    <w:rsid w:val="00592D54"/>
    <w:rsid w:val="0059333A"/>
    <w:rsid w:val="00594080"/>
    <w:rsid w:val="00594134"/>
    <w:rsid w:val="00594CA1"/>
    <w:rsid w:val="005950FD"/>
    <w:rsid w:val="00595307"/>
    <w:rsid w:val="0059534B"/>
    <w:rsid w:val="00596550"/>
    <w:rsid w:val="00596DCB"/>
    <w:rsid w:val="00597A86"/>
    <w:rsid w:val="005A003D"/>
    <w:rsid w:val="005A014B"/>
    <w:rsid w:val="005A0745"/>
    <w:rsid w:val="005A0E24"/>
    <w:rsid w:val="005A18B7"/>
    <w:rsid w:val="005A216D"/>
    <w:rsid w:val="005A254B"/>
    <w:rsid w:val="005A3964"/>
    <w:rsid w:val="005A3D04"/>
    <w:rsid w:val="005A554B"/>
    <w:rsid w:val="005A62F3"/>
    <w:rsid w:val="005A6EB7"/>
    <w:rsid w:val="005A7278"/>
    <w:rsid w:val="005A7A33"/>
    <w:rsid w:val="005B058C"/>
    <w:rsid w:val="005B1038"/>
    <w:rsid w:val="005B21DE"/>
    <w:rsid w:val="005B343F"/>
    <w:rsid w:val="005B37C1"/>
    <w:rsid w:val="005B391B"/>
    <w:rsid w:val="005B3B72"/>
    <w:rsid w:val="005B4190"/>
    <w:rsid w:val="005B429A"/>
    <w:rsid w:val="005B69E1"/>
    <w:rsid w:val="005B6A04"/>
    <w:rsid w:val="005C01BB"/>
    <w:rsid w:val="005C1D3E"/>
    <w:rsid w:val="005C23ED"/>
    <w:rsid w:val="005C263D"/>
    <w:rsid w:val="005C2B3C"/>
    <w:rsid w:val="005C4479"/>
    <w:rsid w:val="005C521B"/>
    <w:rsid w:val="005C5A54"/>
    <w:rsid w:val="005C603E"/>
    <w:rsid w:val="005C72AD"/>
    <w:rsid w:val="005D0D3D"/>
    <w:rsid w:val="005D1CF0"/>
    <w:rsid w:val="005D1E89"/>
    <w:rsid w:val="005D2021"/>
    <w:rsid w:val="005D2522"/>
    <w:rsid w:val="005D3D1C"/>
    <w:rsid w:val="005D6402"/>
    <w:rsid w:val="005D6768"/>
    <w:rsid w:val="005D70A0"/>
    <w:rsid w:val="005E02AC"/>
    <w:rsid w:val="005E105A"/>
    <w:rsid w:val="005E17E1"/>
    <w:rsid w:val="005E1A67"/>
    <w:rsid w:val="005E1AB0"/>
    <w:rsid w:val="005E20F1"/>
    <w:rsid w:val="005E215B"/>
    <w:rsid w:val="005E26EF"/>
    <w:rsid w:val="005E4071"/>
    <w:rsid w:val="005E486C"/>
    <w:rsid w:val="005E54A0"/>
    <w:rsid w:val="005E552E"/>
    <w:rsid w:val="005E5E7F"/>
    <w:rsid w:val="005E6374"/>
    <w:rsid w:val="005E673E"/>
    <w:rsid w:val="005E6BC1"/>
    <w:rsid w:val="005E6BD4"/>
    <w:rsid w:val="005E7061"/>
    <w:rsid w:val="005E72AB"/>
    <w:rsid w:val="005E7E0F"/>
    <w:rsid w:val="005F0859"/>
    <w:rsid w:val="005F2D97"/>
    <w:rsid w:val="005F3B47"/>
    <w:rsid w:val="005F4EE4"/>
    <w:rsid w:val="005F60CF"/>
    <w:rsid w:val="005F63F2"/>
    <w:rsid w:val="005F6723"/>
    <w:rsid w:val="005F6D06"/>
    <w:rsid w:val="005F7EA7"/>
    <w:rsid w:val="00600004"/>
    <w:rsid w:val="006015CF"/>
    <w:rsid w:val="006021A4"/>
    <w:rsid w:val="006026C6"/>
    <w:rsid w:val="0060292F"/>
    <w:rsid w:val="00604560"/>
    <w:rsid w:val="00605752"/>
    <w:rsid w:val="00605DE8"/>
    <w:rsid w:val="0060715A"/>
    <w:rsid w:val="00607A6A"/>
    <w:rsid w:val="006102C0"/>
    <w:rsid w:val="00610315"/>
    <w:rsid w:val="00610B03"/>
    <w:rsid w:val="00614772"/>
    <w:rsid w:val="00615AFD"/>
    <w:rsid w:val="00615FDA"/>
    <w:rsid w:val="0061611F"/>
    <w:rsid w:val="0061685B"/>
    <w:rsid w:val="00616938"/>
    <w:rsid w:val="00620724"/>
    <w:rsid w:val="00620D81"/>
    <w:rsid w:val="00622A6A"/>
    <w:rsid w:val="006248FE"/>
    <w:rsid w:val="0062540B"/>
    <w:rsid w:val="00626855"/>
    <w:rsid w:val="0063029A"/>
    <w:rsid w:val="006305E0"/>
    <w:rsid w:val="00630856"/>
    <w:rsid w:val="00631600"/>
    <w:rsid w:val="00631628"/>
    <w:rsid w:val="00631A5B"/>
    <w:rsid w:val="00631A6E"/>
    <w:rsid w:val="006322A7"/>
    <w:rsid w:val="006328AE"/>
    <w:rsid w:val="00632E82"/>
    <w:rsid w:val="00633E2D"/>
    <w:rsid w:val="00634430"/>
    <w:rsid w:val="00635FFB"/>
    <w:rsid w:val="0063740B"/>
    <w:rsid w:val="00640F8F"/>
    <w:rsid w:val="006421C8"/>
    <w:rsid w:val="00642D95"/>
    <w:rsid w:val="006441E9"/>
    <w:rsid w:val="00644859"/>
    <w:rsid w:val="00644B4E"/>
    <w:rsid w:val="00646B62"/>
    <w:rsid w:val="00646F60"/>
    <w:rsid w:val="00647BCB"/>
    <w:rsid w:val="0065111F"/>
    <w:rsid w:val="00651E04"/>
    <w:rsid w:val="006532ED"/>
    <w:rsid w:val="006539DB"/>
    <w:rsid w:val="00653A18"/>
    <w:rsid w:val="00654130"/>
    <w:rsid w:val="00654351"/>
    <w:rsid w:val="00654375"/>
    <w:rsid w:val="00655308"/>
    <w:rsid w:val="006568BE"/>
    <w:rsid w:val="00656F82"/>
    <w:rsid w:val="00657546"/>
    <w:rsid w:val="00657D3E"/>
    <w:rsid w:val="006611C0"/>
    <w:rsid w:val="006613BB"/>
    <w:rsid w:val="006614C6"/>
    <w:rsid w:val="00663E07"/>
    <w:rsid w:val="006640CC"/>
    <w:rsid w:val="00664A20"/>
    <w:rsid w:val="00664AC1"/>
    <w:rsid w:val="00664EA9"/>
    <w:rsid w:val="0066547A"/>
    <w:rsid w:val="006657ED"/>
    <w:rsid w:val="00666CDC"/>
    <w:rsid w:val="00670134"/>
    <w:rsid w:val="0067108B"/>
    <w:rsid w:val="006710CE"/>
    <w:rsid w:val="006722C0"/>
    <w:rsid w:val="00674FBA"/>
    <w:rsid w:val="006804C1"/>
    <w:rsid w:val="00680550"/>
    <w:rsid w:val="006819D3"/>
    <w:rsid w:val="00683189"/>
    <w:rsid w:val="00684E1A"/>
    <w:rsid w:val="00684FA2"/>
    <w:rsid w:val="00685565"/>
    <w:rsid w:val="00685DE6"/>
    <w:rsid w:val="00686262"/>
    <w:rsid w:val="006869DD"/>
    <w:rsid w:val="00686A12"/>
    <w:rsid w:val="00686EC1"/>
    <w:rsid w:val="0068797A"/>
    <w:rsid w:val="0069066D"/>
    <w:rsid w:val="00690867"/>
    <w:rsid w:val="006908B2"/>
    <w:rsid w:val="00690B2A"/>
    <w:rsid w:val="00690B77"/>
    <w:rsid w:val="006915F2"/>
    <w:rsid w:val="00691635"/>
    <w:rsid w:val="00693222"/>
    <w:rsid w:val="00694D6D"/>
    <w:rsid w:val="00695416"/>
    <w:rsid w:val="00695BC8"/>
    <w:rsid w:val="00695EAA"/>
    <w:rsid w:val="00696704"/>
    <w:rsid w:val="006978EE"/>
    <w:rsid w:val="00697DF5"/>
    <w:rsid w:val="006A0004"/>
    <w:rsid w:val="006A20F5"/>
    <w:rsid w:val="006A25BE"/>
    <w:rsid w:val="006A2942"/>
    <w:rsid w:val="006A2BF5"/>
    <w:rsid w:val="006A338E"/>
    <w:rsid w:val="006A3471"/>
    <w:rsid w:val="006A4E48"/>
    <w:rsid w:val="006A5609"/>
    <w:rsid w:val="006A604D"/>
    <w:rsid w:val="006A62C2"/>
    <w:rsid w:val="006A63BA"/>
    <w:rsid w:val="006A6615"/>
    <w:rsid w:val="006A72FF"/>
    <w:rsid w:val="006A744C"/>
    <w:rsid w:val="006A7722"/>
    <w:rsid w:val="006A7D4D"/>
    <w:rsid w:val="006B0550"/>
    <w:rsid w:val="006B0C6C"/>
    <w:rsid w:val="006B0CB5"/>
    <w:rsid w:val="006B1AE2"/>
    <w:rsid w:val="006B1B8D"/>
    <w:rsid w:val="006B1BF3"/>
    <w:rsid w:val="006B21E5"/>
    <w:rsid w:val="006B22F2"/>
    <w:rsid w:val="006B2447"/>
    <w:rsid w:val="006B4792"/>
    <w:rsid w:val="006B489E"/>
    <w:rsid w:val="006B4A4E"/>
    <w:rsid w:val="006B64E3"/>
    <w:rsid w:val="006B6927"/>
    <w:rsid w:val="006B6992"/>
    <w:rsid w:val="006B7026"/>
    <w:rsid w:val="006B74E3"/>
    <w:rsid w:val="006C0FA5"/>
    <w:rsid w:val="006C1D49"/>
    <w:rsid w:val="006C2026"/>
    <w:rsid w:val="006C374E"/>
    <w:rsid w:val="006C516D"/>
    <w:rsid w:val="006C554D"/>
    <w:rsid w:val="006C6828"/>
    <w:rsid w:val="006C6AE5"/>
    <w:rsid w:val="006D00B5"/>
    <w:rsid w:val="006D1072"/>
    <w:rsid w:val="006D1351"/>
    <w:rsid w:val="006D1DC6"/>
    <w:rsid w:val="006D26D8"/>
    <w:rsid w:val="006D2DCB"/>
    <w:rsid w:val="006D2EB5"/>
    <w:rsid w:val="006D4133"/>
    <w:rsid w:val="006D4D79"/>
    <w:rsid w:val="006D501B"/>
    <w:rsid w:val="006D6BEC"/>
    <w:rsid w:val="006D6DE2"/>
    <w:rsid w:val="006D7D28"/>
    <w:rsid w:val="006E0264"/>
    <w:rsid w:val="006E0873"/>
    <w:rsid w:val="006E0933"/>
    <w:rsid w:val="006E1187"/>
    <w:rsid w:val="006E17B6"/>
    <w:rsid w:val="006E1AD5"/>
    <w:rsid w:val="006E2394"/>
    <w:rsid w:val="006E2B46"/>
    <w:rsid w:val="006E38CD"/>
    <w:rsid w:val="006E3D83"/>
    <w:rsid w:val="006E3FB7"/>
    <w:rsid w:val="006E46A1"/>
    <w:rsid w:val="006E4F12"/>
    <w:rsid w:val="006E5B97"/>
    <w:rsid w:val="006E5C16"/>
    <w:rsid w:val="006E6712"/>
    <w:rsid w:val="006E6FD1"/>
    <w:rsid w:val="006E713F"/>
    <w:rsid w:val="006E71B8"/>
    <w:rsid w:val="006E79F9"/>
    <w:rsid w:val="006F034C"/>
    <w:rsid w:val="006F0434"/>
    <w:rsid w:val="006F239C"/>
    <w:rsid w:val="006F3DA2"/>
    <w:rsid w:val="006F46F3"/>
    <w:rsid w:val="006F49C4"/>
    <w:rsid w:val="006F527F"/>
    <w:rsid w:val="006F5656"/>
    <w:rsid w:val="006F57ED"/>
    <w:rsid w:val="006F77CB"/>
    <w:rsid w:val="006F7D12"/>
    <w:rsid w:val="006F7E1E"/>
    <w:rsid w:val="006F7EA7"/>
    <w:rsid w:val="00701D60"/>
    <w:rsid w:val="007020E7"/>
    <w:rsid w:val="00702C2E"/>
    <w:rsid w:val="007034F3"/>
    <w:rsid w:val="00704DB7"/>
    <w:rsid w:val="00705031"/>
    <w:rsid w:val="00705F87"/>
    <w:rsid w:val="007060EB"/>
    <w:rsid w:val="00706674"/>
    <w:rsid w:val="00706A82"/>
    <w:rsid w:val="00706D2D"/>
    <w:rsid w:val="00707548"/>
    <w:rsid w:val="00707CE9"/>
    <w:rsid w:val="00707F4B"/>
    <w:rsid w:val="00707F89"/>
    <w:rsid w:val="0071038D"/>
    <w:rsid w:val="007109ED"/>
    <w:rsid w:val="00711CF4"/>
    <w:rsid w:val="00711F4B"/>
    <w:rsid w:val="0071237B"/>
    <w:rsid w:val="00712E97"/>
    <w:rsid w:val="00713506"/>
    <w:rsid w:val="007135A4"/>
    <w:rsid w:val="007135EB"/>
    <w:rsid w:val="00713E71"/>
    <w:rsid w:val="00713F10"/>
    <w:rsid w:val="007164CB"/>
    <w:rsid w:val="00717BA2"/>
    <w:rsid w:val="00717C1F"/>
    <w:rsid w:val="00717D17"/>
    <w:rsid w:val="007202F2"/>
    <w:rsid w:val="007205E9"/>
    <w:rsid w:val="00720DED"/>
    <w:rsid w:val="007214A3"/>
    <w:rsid w:val="0072228C"/>
    <w:rsid w:val="007228F6"/>
    <w:rsid w:val="00723B91"/>
    <w:rsid w:val="00723E94"/>
    <w:rsid w:val="0072421C"/>
    <w:rsid w:val="007247AF"/>
    <w:rsid w:val="00725389"/>
    <w:rsid w:val="007253B5"/>
    <w:rsid w:val="0072595F"/>
    <w:rsid w:val="00725F4C"/>
    <w:rsid w:val="007267F5"/>
    <w:rsid w:val="00730E34"/>
    <w:rsid w:val="00731357"/>
    <w:rsid w:val="0073163A"/>
    <w:rsid w:val="00732227"/>
    <w:rsid w:val="00732448"/>
    <w:rsid w:val="00733B1D"/>
    <w:rsid w:val="00734E71"/>
    <w:rsid w:val="00735044"/>
    <w:rsid w:val="00735B41"/>
    <w:rsid w:val="007360B3"/>
    <w:rsid w:val="00736C47"/>
    <w:rsid w:val="007410A8"/>
    <w:rsid w:val="007410F1"/>
    <w:rsid w:val="00741FFC"/>
    <w:rsid w:val="007425A8"/>
    <w:rsid w:val="007431C0"/>
    <w:rsid w:val="007433EF"/>
    <w:rsid w:val="00743EE5"/>
    <w:rsid w:val="00744787"/>
    <w:rsid w:val="007507B5"/>
    <w:rsid w:val="00750AB4"/>
    <w:rsid w:val="00750F61"/>
    <w:rsid w:val="00751B47"/>
    <w:rsid w:val="00751C07"/>
    <w:rsid w:val="0075216C"/>
    <w:rsid w:val="00752FC1"/>
    <w:rsid w:val="00754229"/>
    <w:rsid w:val="0075514B"/>
    <w:rsid w:val="00755CB5"/>
    <w:rsid w:val="00757331"/>
    <w:rsid w:val="00757596"/>
    <w:rsid w:val="00757BE7"/>
    <w:rsid w:val="0076068C"/>
    <w:rsid w:val="007636E5"/>
    <w:rsid w:val="00763E32"/>
    <w:rsid w:val="00764044"/>
    <w:rsid w:val="007641F1"/>
    <w:rsid w:val="00765AD6"/>
    <w:rsid w:val="00765F93"/>
    <w:rsid w:val="007665C8"/>
    <w:rsid w:val="007670D1"/>
    <w:rsid w:val="00767707"/>
    <w:rsid w:val="007702A5"/>
    <w:rsid w:val="00770542"/>
    <w:rsid w:val="00771479"/>
    <w:rsid w:val="00773281"/>
    <w:rsid w:val="0077330F"/>
    <w:rsid w:val="007742C1"/>
    <w:rsid w:val="007751A9"/>
    <w:rsid w:val="0077546E"/>
    <w:rsid w:val="007759E9"/>
    <w:rsid w:val="0077634C"/>
    <w:rsid w:val="00776B62"/>
    <w:rsid w:val="00776EA3"/>
    <w:rsid w:val="00777423"/>
    <w:rsid w:val="00777DF3"/>
    <w:rsid w:val="0078095C"/>
    <w:rsid w:val="00781B82"/>
    <w:rsid w:val="00782797"/>
    <w:rsid w:val="00783BA9"/>
    <w:rsid w:val="00783E2D"/>
    <w:rsid w:val="0078435A"/>
    <w:rsid w:val="00785AB3"/>
    <w:rsid w:val="007860EA"/>
    <w:rsid w:val="0078655D"/>
    <w:rsid w:val="00786972"/>
    <w:rsid w:val="00791ACA"/>
    <w:rsid w:val="007921B4"/>
    <w:rsid w:val="00792390"/>
    <w:rsid w:val="007932E0"/>
    <w:rsid w:val="00793626"/>
    <w:rsid w:val="00793958"/>
    <w:rsid w:val="007941EB"/>
    <w:rsid w:val="007943C8"/>
    <w:rsid w:val="007948AE"/>
    <w:rsid w:val="00794DB5"/>
    <w:rsid w:val="00794FB0"/>
    <w:rsid w:val="007954D6"/>
    <w:rsid w:val="007955FB"/>
    <w:rsid w:val="00795879"/>
    <w:rsid w:val="007958E3"/>
    <w:rsid w:val="00795D65"/>
    <w:rsid w:val="00795F7F"/>
    <w:rsid w:val="007961E3"/>
    <w:rsid w:val="007965C7"/>
    <w:rsid w:val="007969E7"/>
    <w:rsid w:val="007975D7"/>
    <w:rsid w:val="007A033B"/>
    <w:rsid w:val="007A11E9"/>
    <w:rsid w:val="007A16B8"/>
    <w:rsid w:val="007A171C"/>
    <w:rsid w:val="007A1804"/>
    <w:rsid w:val="007A452E"/>
    <w:rsid w:val="007A4A5A"/>
    <w:rsid w:val="007A55EC"/>
    <w:rsid w:val="007A630C"/>
    <w:rsid w:val="007A7437"/>
    <w:rsid w:val="007A7C2F"/>
    <w:rsid w:val="007A7E5C"/>
    <w:rsid w:val="007B0C02"/>
    <w:rsid w:val="007B37CF"/>
    <w:rsid w:val="007B38A7"/>
    <w:rsid w:val="007B3CA1"/>
    <w:rsid w:val="007B5171"/>
    <w:rsid w:val="007B5C15"/>
    <w:rsid w:val="007B6726"/>
    <w:rsid w:val="007B75E1"/>
    <w:rsid w:val="007B79C4"/>
    <w:rsid w:val="007C10B9"/>
    <w:rsid w:val="007C19E4"/>
    <w:rsid w:val="007C1A44"/>
    <w:rsid w:val="007C1BF8"/>
    <w:rsid w:val="007C41BA"/>
    <w:rsid w:val="007C47D2"/>
    <w:rsid w:val="007C525F"/>
    <w:rsid w:val="007C53AB"/>
    <w:rsid w:val="007C5A7D"/>
    <w:rsid w:val="007C5ED8"/>
    <w:rsid w:val="007C7033"/>
    <w:rsid w:val="007C7814"/>
    <w:rsid w:val="007C7D7A"/>
    <w:rsid w:val="007D080C"/>
    <w:rsid w:val="007D1D7C"/>
    <w:rsid w:val="007D229A"/>
    <w:rsid w:val="007D31D3"/>
    <w:rsid w:val="007D38D6"/>
    <w:rsid w:val="007D3BD6"/>
    <w:rsid w:val="007D447F"/>
    <w:rsid w:val="007D4945"/>
    <w:rsid w:val="007D4F22"/>
    <w:rsid w:val="007D5328"/>
    <w:rsid w:val="007D6847"/>
    <w:rsid w:val="007D7A7D"/>
    <w:rsid w:val="007E24AE"/>
    <w:rsid w:val="007E464D"/>
    <w:rsid w:val="007E56E4"/>
    <w:rsid w:val="007E7383"/>
    <w:rsid w:val="007E7848"/>
    <w:rsid w:val="007F1A0E"/>
    <w:rsid w:val="007F22FC"/>
    <w:rsid w:val="007F2AC4"/>
    <w:rsid w:val="007F2B51"/>
    <w:rsid w:val="007F2CBB"/>
    <w:rsid w:val="007F2FCD"/>
    <w:rsid w:val="007F3631"/>
    <w:rsid w:val="007F41BA"/>
    <w:rsid w:val="007F4B6F"/>
    <w:rsid w:val="007F4FCE"/>
    <w:rsid w:val="007F5373"/>
    <w:rsid w:val="007F6BD4"/>
    <w:rsid w:val="007F6F6E"/>
    <w:rsid w:val="00800357"/>
    <w:rsid w:val="00800667"/>
    <w:rsid w:val="00800923"/>
    <w:rsid w:val="00800DC0"/>
    <w:rsid w:val="008011DF"/>
    <w:rsid w:val="00801204"/>
    <w:rsid w:val="00801470"/>
    <w:rsid w:val="008021A8"/>
    <w:rsid w:val="00803252"/>
    <w:rsid w:val="00803984"/>
    <w:rsid w:val="008039B9"/>
    <w:rsid w:val="00804302"/>
    <w:rsid w:val="00804497"/>
    <w:rsid w:val="00804802"/>
    <w:rsid w:val="008053EC"/>
    <w:rsid w:val="0080591B"/>
    <w:rsid w:val="0080744B"/>
    <w:rsid w:val="0080782A"/>
    <w:rsid w:val="008110E5"/>
    <w:rsid w:val="00811432"/>
    <w:rsid w:val="008114F5"/>
    <w:rsid w:val="00811966"/>
    <w:rsid w:val="008127C3"/>
    <w:rsid w:val="00812F26"/>
    <w:rsid w:val="008134C5"/>
    <w:rsid w:val="00813600"/>
    <w:rsid w:val="00813DB0"/>
    <w:rsid w:val="008140B5"/>
    <w:rsid w:val="00814229"/>
    <w:rsid w:val="00814AB3"/>
    <w:rsid w:val="00816219"/>
    <w:rsid w:val="00817068"/>
    <w:rsid w:val="0081776B"/>
    <w:rsid w:val="0081783E"/>
    <w:rsid w:val="0082152E"/>
    <w:rsid w:val="00821994"/>
    <w:rsid w:val="008220A4"/>
    <w:rsid w:val="00822986"/>
    <w:rsid w:val="00822A12"/>
    <w:rsid w:val="0082326F"/>
    <w:rsid w:val="00823425"/>
    <w:rsid w:val="00825E52"/>
    <w:rsid w:val="00826ACD"/>
    <w:rsid w:val="008278CC"/>
    <w:rsid w:val="00830410"/>
    <w:rsid w:val="00830C79"/>
    <w:rsid w:val="00830FEA"/>
    <w:rsid w:val="00831AB9"/>
    <w:rsid w:val="008324F1"/>
    <w:rsid w:val="00832F16"/>
    <w:rsid w:val="008331A3"/>
    <w:rsid w:val="00833547"/>
    <w:rsid w:val="008336C0"/>
    <w:rsid w:val="00833C26"/>
    <w:rsid w:val="008354AE"/>
    <w:rsid w:val="00835A0D"/>
    <w:rsid w:val="0083628B"/>
    <w:rsid w:val="008364A9"/>
    <w:rsid w:val="00836519"/>
    <w:rsid w:val="00836A7A"/>
    <w:rsid w:val="008378CB"/>
    <w:rsid w:val="00837AB4"/>
    <w:rsid w:val="008407DA"/>
    <w:rsid w:val="00840C50"/>
    <w:rsid w:val="00841246"/>
    <w:rsid w:val="0084162D"/>
    <w:rsid w:val="00842AFE"/>
    <w:rsid w:val="00842C5B"/>
    <w:rsid w:val="00843F12"/>
    <w:rsid w:val="008448A0"/>
    <w:rsid w:val="0084650C"/>
    <w:rsid w:val="00847A56"/>
    <w:rsid w:val="0085024D"/>
    <w:rsid w:val="0085313B"/>
    <w:rsid w:val="0085317B"/>
    <w:rsid w:val="0085380D"/>
    <w:rsid w:val="008538AA"/>
    <w:rsid w:val="0085412E"/>
    <w:rsid w:val="00854539"/>
    <w:rsid w:val="008556A5"/>
    <w:rsid w:val="0085687B"/>
    <w:rsid w:val="008574A1"/>
    <w:rsid w:val="0085763E"/>
    <w:rsid w:val="00860C1E"/>
    <w:rsid w:val="0086199A"/>
    <w:rsid w:val="00861EC8"/>
    <w:rsid w:val="008624EB"/>
    <w:rsid w:val="0086313F"/>
    <w:rsid w:val="00863467"/>
    <w:rsid w:val="00863532"/>
    <w:rsid w:val="008639BF"/>
    <w:rsid w:val="008640FB"/>
    <w:rsid w:val="00864BA2"/>
    <w:rsid w:val="00865B57"/>
    <w:rsid w:val="00865BAE"/>
    <w:rsid w:val="00866406"/>
    <w:rsid w:val="00866E58"/>
    <w:rsid w:val="00867B7A"/>
    <w:rsid w:val="00867BD3"/>
    <w:rsid w:val="008702A2"/>
    <w:rsid w:val="0087083F"/>
    <w:rsid w:val="00872B48"/>
    <w:rsid w:val="008746A3"/>
    <w:rsid w:val="00874A62"/>
    <w:rsid w:val="00874C55"/>
    <w:rsid w:val="00874D23"/>
    <w:rsid w:val="008755EA"/>
    <w:rsid w:val="00876013"/>
    <w:rsid w:val="00876B18"/>
    <w:rsid w:val="00876D5E"/>
    <w:rsid w:val="00876FD9"/>
    <w:rsid w:val="008803AC"/>
    <w:rsid w:val="00880F5C"/>
    <w:rsid w:val="00882BD0"/>
    <w:rsid w:val="00882FF8"/>
    <w:rsid w:val="008843DC"/>
    <w:rsid w:val="00884A11"/>
    <w:rsid w:val="00884F3F"/>
    <w:rsid w:val="008861E8"/>
    <w:rsid w:val="00886658"/>
    <w:rsid w:val="008868EC"/>
    <w:rsid w:val="00886CD1"/>
    <w:rsid w:val="0088702C"/>
    <w:rsid w:val="0088711C"/>
    <w:rsid w:val="00890276"/>
    <w:rsid w:val="00890316"/>
    <w:rsid w:val="0089077E"/>
    <w:rsid w:val="00891E50"/>
    <w:rsid w:val="008920F1"/>
    <w:rsid w:val="008924ED"/>
    <w:rsid w:val="00892F3F"/>
    <w:rsid w:val="0089308A"/>
    <w:rsid w:val="00893AB8"/>
    <w:rsid w:val="00893CC4"/>
    <w:rsid w:val="00894810"/>
    <w:rsid w:val="00895C67"/>
    <w:rsid w:val="00897F7F"/>
    <w:rsid w:val="008A0687"/>
    <w:rsid w:val="008A0DA6"/>
    <w:rsid w:val="008A0E6C"/>
    <w:rsid w:val="008A1429"/>
    <w:rsid w:val="008A153C"/>
    <w:rsid w:val="008A19E4"/>
    <w:rsid w:val="008A1CAD"/>
    <w:rsid w:val="008A1F8B"/>
    <w:rsid w:val="008A22BF"/>
    <w:rsid w:val="008A290A"/>
    <w:rsid w:val="008A2B9F"/>
    <w:rsid w:val="008A3996"/>
    <w:rsid w:val="008A40A3"/>
    <w:rsid w:val="008A4167"/>
    <w:rsid w:val="008A446D"/>
    <w:rsid w:val="008A476E"/>
    <w:rsid w:val="008A4B0A"/>
    <w:rsid w:val="008A4F01"/>
    <w:rsid w:val="008A76B9"/>
    <w:rsid w:val="008A7AC4"/>
    <w:rsid w:val="008B08E8"/>
    <w:rsid w:val="008B14A0"/>
    <w:rsid w:val="008B223A"/>
    <w:rsid w:val="008B333D"/>
    <w:rsid w:val="008B3C38"/>
    <w:rsid w:val="008B3D48"/>
    <w:rsid w:val="008B3E7C"/>
    <w:rsid w:val="008B3F5A"/>
    <w:rsid w:val="008B4DB4"/>
    <w:rsid w:val="008B5177"/>
    <w:rsid w:val="008B5E84"/>
    <w:rsid w:val="008B6B1E"/>
    <w:rsid w:val="008B6BED"/>
    <w:rsid w:val="008B719E"/>
    <w:rsid w:val="008B72AB"/>
    <w:rsid w:val="008B735F"/>
    <w:rsid w:val="008C05C8"/>
    <w:rsid w:val="008C06BE"/>
    <w:rsid w:val="008C21A3"/>
    <w:rsid w:val="008C21F6"/>
    <w:rsid w:val="008C22E0"/>
    <w:rsid w:val="008C3366"/>
    <w:rsid w:val="008C39B7"/>
    <w:rsid w:val="008C52A8"/>
    <w:rsid w:val="008C532D"/>
    <w:rsid w:val="008C5334"/>
    <w:rsid w:val="008C5CAE"/>
    <w:rsid w:val="008C643E"/>
    <w:rsid w:val="008C7436"/>
    <w:rsid w:val="008C7B00"/>
    <w:rsid w:val="008C7B5D"/>
    <w:rsid w:val="008D0396"/>
    <w:rsid w:val="008D06B2"/>
    <w:rsid w:val="008D0C63"/>
    <w:rsid w:val="008D1FB0"/>
    <w:rsid w:val="008D3263"/>
    <w:rsid w:val="008D51D3"/>
    <w:rsid w:val="008D66CD"/>
    <w:rsid w:val="008D6706"/>
    <w:rsid w:val="008D6C5B"/>
    <w:rsid w:val="008D7069"/>
    <w:rsid w:val="008D7116"/>
    <w:rsid w:val="008D7C92"/>
    <w:rsid w:val="008D7D6A"/>
    <w:rsid w:val="008E0F89"/>
    <w:rsid w:val="008E138E"/>
    <w:rsid w:val="008E15DF"/>
    <w:rsid w:val="008E275C"/>
    <w:rsid w:val="008E30F1"/>
    <w:rsid w:val="008E3115"/>
    <w:rsid w:val="008E51A4"/>
    <w:rsid w:val="008E5FD8"/>
    <w:rsid w:val="008E67C3"/>
    <w:rsid w:val="008E694A"/>
    <w:rsid w:val="008E73AE"/>
    <w:rsid w:val="008E770D"/>
    <w:rsid w:val="008E7DDC"/>
    <w:rsid w:val="008E7EDA"/>
    <w:rsid w:val="008F0940"/>
    <w:rsid w:val="008F18D8"/>
    <w:rsid w:val="008F1A66"/>
    <w:rsid w:val="008F2B18"/>
    <w:rsid w:val="008F3236"/>
    <w:rsid w:val="008F39AB"/>
    <w:rsid w:val="008F4F67"/>
    <w:rsid w:val="008F5F51"/>
    <w:rsid w:val="00900148"/>
    <w:rsid w:val="00900B49"/>
    <w:rsid w:val="009015B2"/>
    <w:rsid w:val="009017A6"/>
    <w:rsid w:val="00902827"/>
    <w:rsid w:val="00902917"/>
    <w:rsid w:val="00902D27"/>
    <w:rsid w:val="00903355"/>
    <w:rsid w:val="00903F72"/>
    <w:rsid w:val="00903FE5"/>
    <w:rsid w:val="009058B8"/>
    <w:rsid w:val="00905EB8"/>
    <w:rsid w:val="00905FBE"/>
    <w:rsid w:val="00906804"/>
    <w:rsid w:val="009072BA"/>
    <w:rsid w:val="009076EA"/>
    <w:rsid w:val="0091093F"/>
    <w:rsid w:val="00911550"/>
    <w:rsid w:val="009131AC"/>
    <w:rsid w:val="00913705"/>
    <w:rsid w:val="00913736"/>
    <w:rsid w:val="009141E9"/>
    <w:rsid w:val="00914296"/>
    <w:rsid w:val="009144E2"/>
    <w:rsid w:val="0091558D"/>
    <w:rsid w:val="0091582C"/>
    <w:rsid w:val="00915DEE"/>
    <w:rsid w:val="00917A9C"/>
    <w:rsid w:val="00917EC7"/>
    <w:rsid w:val="00920D5A"/>
    <w:rsid w:val="009213EF"/>
    <w:rsid w:val="00922BE7"/>
    <w:rsid w:val="00923D02"/>
    <w:rsid w:val="0092450C"/>
    <w:rsid w:val="00924A82"/>
    <w:rsid w:val="00924FAA"/>
    <w:rsid w:val="009250CC"/>
    <w:rsid w:val="009251D5"/>
    <w:rsid w:val="00925D48"/>
    <w:rsid w:val="009264DB"/>
    <w:rsid w:val="00927044"/>
    <w:rsid w:val="009279DF"/>
    <w:rsid w:val="00927E9A"/>
    <w:rsid w:val="00927F5E"/>
    <w:rsid w:val="0093000F"/>
    <w:rsid w:val="00931004"/>
    <w:rsid w:val="00932339"/>
    <w:rsid w:val="00933166"/>
    <w:rsid w:val="009338D3"/>
    <w:rsid w:val="00933940"/>
    <w:rsid w:val="00934470"/>
    <w:rsid w:val="009353E8"/>
    <w:rsid w:val="00936AE6"/>
    <w:rsid w:val="00941FFF"/>
    <w:rsid w:val="00943202"/>
    <w:rsid w:val="00943508"/>
    <w:rsid w:val="009438CB"/>
    <w:rsid w:val="0094392B"/>
    <w:rsid w:val="00943B58"/>
    <w:rsid w:val="00944B3C"/>
    <w:rsid w:val="00946380"/>
    <w:rsid w:val="009463D9"/>
    <w:rsid w:val="00946965"/>
    <w:rsid w:val="009503AD"/>
    <w:rsid w:val="009508AF"/>
    <w:rsid w:val="009508E1"/>
    <w:rsid w:val="009519B9"/>
    <w:rsid w:val="00952317"/>
    <w:rsid w:val="00952EB7"/>
    <w:rsid w:val="00953465"/>
    <w:rsid w:val="009542AD"/>
    <w:rsid w:val="00954414"/>
    <w:rsid w:val="009553BE"/>
    <w:rsid w:val="009559FE"/>
    <w:rsid w:val="009568CE"/>
    <w:rsid w:val="009568DE"/>
    <w:rsid w:val="009574A1"/>
    <w:rsid w:val="009579E4"/>
    <w:rsid w:val="009616A5"/>
    <w:rsid w:val="0096236E"/>
    <w:rsid w:val="0096246A"/>
    <w:rsid w:val="00963412"/>
    <w:rsid w:val="0096427B"/>
    <w:rsid w:val="0096676E"/>
    <w:rsid w:val="00966827"/>
    <w:rsid w:val="00967EA5"/>
    <w:rsid w:val="00970442"/>
    <w:rsid w:val="00970D7D"/>
    <w:rsid w:val="009714D4"/>
    <w:rsid w:val="00972393"/>
    <w:rsid w:val="0097342F"/>
    <w:rsid w:val="00973F1F"/>
    <w:rsid w:val="00975F4B"/>
    <w:rsid w:val="009763F4"/>
    <w:rsid w:val="00977063"/>
    <w:rsid w:val="009775AA"/>
    <w:rsid w:val="00977975"/>
    <w:rsid w:val="00977C91"/>
    <w:rsid w:val="0098067E"/>
    <w:rsid w:val="00980899"/>
    <w:rsid w:val="0098492B"/>
    <w:rsid w:val="00985003"/>
    <w:rsid w:val="0098508D"/>
    <w:rsid w:val="00985592"/>
    <w:rsid w:val="00985EAE"/>
    <w:rsid w:val="009864E7"/>
    <w:rsid w:val="00990236"/>
    <w:rsid w:val="00990DD2"/>
    <w:rsid w:val="009913E4"/>
    <w:rsid w:val="00991AA7"/>
    <w:rsid w:val="0099297A"/>
    <w:rsid w:val="00992A13"/>
    <w:rsid w:val="00993ADD"/>
    <w:rsid w:val="0099463D"/>
    <w:rsid w:val="0099523C"/>
    <w:rsid w:val="00995BCC"/>
    <w:rsid w:val="00996231"/>
    <w:rsid w:val="00997B99"/>
    <w:rsid w:val="009A0010"/>
    <w:rsid w:val="009A06CC"/>
    <w:rsid w:val="009A0BE6"/>
    <w:rsid w:val="009A13F1"/>
    <w:rsid w:val="009A151F"/>
    <w:rsid w:val="009A15D1"/>
    <w:rsid w:val="009A185C"/>
    <w:rsid w:val="009A299C"/>
    <w:rsid w:val="009A2C56"/>
    <w:rsid w:val="009A2DF7"/>
    <w:rsid w:val="009A3E19"/>
    <w:rsid w:val="009A445D"/>
    <w:rsid w:val="009A4CDD"/>
    <w:rsid w:val="009A4F60"/>
    <w:rsid w:val="009A63A1"/>
    <w:rsid w:val="009A755C"/>
    <w:rsid w:val="009B184B"/>
    <w:rsid w:val="009B3208"/>
    <w:rsid w:val="009B3EF6"/>
    <w:rsid w:val="009B41D0"/>
    <w:rsid w:val="009B61D3"/>
    <w:rsid w:val="009B684E"/>
    <w:rsid w:val="009B6BE7"/>
    <w:rsid w:val="009B75EA"/>
    <w:rsid w:val="009C0184"/>
    <w:rsid w:val="009C0901"/>
    <w:rsid w:val="009C18F8"/>
    <w:rsid w:val="009C33E4"/>
    <w:rsid w:val="009C3AA3"/>
    <w:rsid w:val="009C3CE4"/>
    <w:rsid w:val="009C3F54"/>
    <w:rsid w:val="009C471B"/>
    <w:rsid w:val="009C4E4B"/>
    <w:rsid w:val="009C5CDC"/>
    <w:rsid w:val="009C60F3"/>
    <w:rsid w:val="009C64E5"/>
    <w:rsid w:val="009C7E08"/>
    <w:rsid w:val="009D0209"/>
    <w:rsid w:val="009D0C4B"/>
    <w:rsid w:val="009D0D5A"/>
    <w:rsid w:val="009D0FA3"/>
    <w:rsid w:val="009D2291"/>
    <w:rsid w:val="009D2C76"/>
    <w:rsid w:val="009D45EE"/>
    <w:rsid w:val="009D47E8"/>
    <w:rsid w:val="009D7178"/>
    <w:rsid w:val="009D7CB5"/>
    <w:rsid w:val="009D7D41"/>
    <w:rsid w:val="009E049C"/>
    <w:rsid w:val="009E07D3"/>
    <w:rsid w:val="009E3691"/>
    <w:rsid w:val="009E4443"/>
    <w:rsid w:val="009E4983"/>
    <w:rsid w:val="009E5103"/>
    <w:rsid w:val="009E6181"/>
    <w:rsid w:val="009E61A1"/>
    <w:rsid w:val="009E7ED2"/>
    <w:rsid w:val="009F0467"/>
    <w:rsid w:val="009F0A62"/>
    <w:rsid w:val="009F0B34"/>
    <w:rsid w:val="009F1146"/>
    <w:rsid w:val="009F1802"/>
    <w:rsid w:val="009F53CE"/>
    <w:rsid w:val="009F59C4"/>
    <w:rsid w:val="009F5FC2"/>
    <w:rsid w:val="009F6BB7"/>
    <w:rsid w:val="009F6CC4"/>
    <w:rsid w:val="009F6F10"/>
    <w:rsid w:val="009F74A8"/>
    <w:rsid w:val="009F754F"/>
    <w:rsid w:val="00A00E7A"/>
    <w:rsid w:val="00A00F0C"/>
    <w:rsid w:val="00A010E5"/>
    <w:rsid w:val="00A016FE"/>
    <w:rsid w:val="00A01D16"/>
    <w:rsid w:val="00A022B7"/>
    <w:rsid w:val="00A0235A"/>
    <w:rsid w:val="00A03628"/>
    <w:rsid w:val="00A05539"/>
    <w:rsid w:val="00A0645F"/>
    <w:rsid w:val="00A06553"/>
    <w:rsid w:val="00A06973"/>
    <w:rsid w:val="00A06FEE"/>
    <w:rsid w:val="00A07C9C"/>
    <w:rsid w:val="00A1001F"/>
    <w:rsid w:val="00A10E81"/>
    <w:rsid w:val="00A12308"/>
    <w:rsid w:val="00A1244C"/>
    <w:rsid w:val="00A1478F"/>
    <w:rsid w:val="00A1657C"/>
    <w:rsid w:val="00A16DB9"/>
    <w:rsid w:val="00A16F98"/>
    <w:rsid w:val="00A20136"/>
    <w:rsid w:val="00A20161"/>
    <w:rsid w:val="00A20708"/>
    <w:rsid w:val="00A20C81"/>
    <w:rsid w:val="00A22475"/>
    <w:rsid w:val="00A237B0"/>
    <w:rsid w:val="00A2393D"/>
    <w:rsid w:val="00A243DE"/>
    <w:rsid w:val="00A25D35"/>
    <w:rsid w:val="00A268F5"/>
    <w:rsid w:val="00A26D02"/>
    <w:rsid w:val="00A273F9"/>
    <w:rsid w:val="00A27EE0"/>
    <w:rsid w:val="00A305D9"/>
    <w:rsid w:val="00A31FD1"/>
    <w:rsid w:val="00A323A3"/>
    <w:rsid w:val="00A32516"/>
    <w:rsid w:val="00A332E1"/>
    <w:rsid w:val="00A3333D"/>
    <w:rsid w:val="00A34784"/>
    <w:rsid w:val="00A3609D"/>
    <w:rsid w:val="00A366E7"/>
    <w:rsid w:val="00A36E8B"/>
    <w:rsid w:val="00A371C2"/>
    <w:rsid w:val="00A40A11"/>
    <w:rsid w:val="00A41D4E"/>
    <w:rsid w:val="00A42523"/>
    <w:rsid w:val="00A425B1"/>
    <w:rsid w:val="00A426DE"/>
    <w:rsid w:val="00A4291A"/>
    <w:rsid w:val="00A45166"/>
    <w:rsid w:val="00A45DE4"/>
    <w:rsid w:val="00A47C11"/>
    <w:rsid w:val="00A50A09"/>
    <w:rsid w:val="00A50DD0"/>
    <w:rsid w:val="00A51373"/>
    <w:rsid w:val="00A5192E"/>
    <w:rsid w:val="00A540C3"/>
    <w:rsid w:val="00A5417F"/>
    <w:rsid w:val="00A54434"/>
    <w:rsid w:val="00A55A56"/>
    <w:rsid w:val="00A55A67"/>
    <w:rsid w:val="00A56011"/>
    <w:rsid w:val="00A5601A"/>
    <w:rsid w:val="00A56542"/>
    <w:rsid w:val="00A6102B"/>
    <w:rsid w:val="00A61220"/>
    <w:rsid w:val="00A6224E"/>
    <w:rsid w:val="00A62250"/>
    <w:rsid w:val="00A623D6"/>
    <w:rsid w:val="00A62CBD"/>
    <w:rsid w:val="00A6422B"/>
    <w:rsid w:val="00A6425C"/>
    <w:rsid w:val="00A64526"/>
    <w:rsid w:val="00A664F9"/>
    <w:rsid w:val="00A6660A"/>
    <w:rsid w:val="00A66FE8"/>
    <w:rsid w:val="00A67108"/>
    <w:rsid w:val="00A672EE"/>
    <w:rsid w:val="00A67B12"/>
    <w:rsid w:val="00A67DBD"/>
    <w:rsid w:val="00A708E0"/>
    <w:rsid w:val="00A70B32"/>
    <w:rsid w:val="00A7218B"/>
    <w:rsid w:val="00A729B1"/>
    <w:rsid w:val="00A72FE5"/>
    <w:rsid w:val="00A731CD"/>
    <w:rsid w:val="00A7378E"/>
    <w:rsid w:val="00A745DD"/>
    <w:rsid w:val="00A74EFF"/>
    <w:rsid w:val="00A7518A"/>
    <w:rsid w:val="00A75CEE"/>
    <w:rsid w:val="00A76163"/>
    <w:rsid w:val="00A76DE2"/>
    <w:rsid w:val="00A77D2E"/>
    <w:rsid w:val="00A808BC"/>
    <w:rsid w:val="00A80D53"/>
    <w:rsid w:val="00A81284"/>
    <w:rsid w:val="00A812F4"/>
    <w:rsid w:val="00A82296"/>
    <w:rsid w:val="00A826B6"/>
    <w:rsid w:val="00A82941"/>
    <w:rsid w:val="00A8308C"/>
    <w:rsid w:val="00A83750"/>
    <w:rsid w:val="00A83907"/>
    <w:rsid w:val="00A8432C"/>
    <w:rsid w:val="00A85CB9"/>
    <w:rsid w:val="00A85ECA"/>
    <w:rsid w:val="00A86714"/>
    <w:rsid w:val="00A9065B"/>
    <w:rsid w:val="00A90A83"/>
    <w:rsid w:val="00A90AD1"/>
    <w:rsid w:val="00A91348"/>
    <w:rsid w:val="00A92BD8"/>
    <w:rsid w:val="00A947D2"/>
    <w:rsid w:val="00A958C0"/>
    <w:rsid w:val="00A95EA6"/>
    <w:rsid w:val="00A968B8"/>
    <w:rsid w:val="00A96D5B"/>
    <w:rsid w:val="00A97409"/>
    <w:rsid w:val="00A9784B"/>
    <w:rsid w:val="00A978D0"/>
    <w:rsid w:val="00A979FF"/>
    <w:rsid w:val="00AA040C"/>
    <w:rsid w:val="00AA1966"/>
    <w:rsid w:val="00AA3462"/>
    <w:rsid w:val="00AA39E0"/>
    <w:rsid w:val="00AA3A1E"/>
    <w:rsid w:val="00AA519A"/>
    <w:rsid w:val="00AA53FD"/>
    <w:rsid w:val="00AA5442"/>
    <w:rsid w:val="00AA5D45"/>
    <w:rsid w:val="00AA620F"/>
    <w:rsid w:val="00AA6322"/>
    <w:rsid w:val="00AA66CD"/>
    <w:rsid w:val="00AA6CDE"/>
    <w:rsid w:val="00AA79D8"/>
    <w:rsid w:val="00AA7A4C"/>
    <w:rsid w:val="00AB025E"/>
    <w:rsid w:val="00AB0505"/>
    <w:rsid w:val="00AB2AE4"/>
    <w:rsid w:val="00AB2BCA"/>
    <w:rsid w:val="00AB2E30"/>
    <w:rsid w:val="00AB3461"/>
    <w:rsid w:val="00AB4052"/>
    <w:rsid w:val="00AB4493"/>
    <w:rsid w:val="00AB6000"/>
    <w:rsid w:val="00AB666E"/>
    <w:rsid w:val="00AB66D0"/>
    <w:rsid w:val="00AB7066"/>
    <w:rsid w:val="00AC08B7"/>
    <w:rsid w:val="00AC0BC5"/>
    <w:rsid w:val="00AC0C77"/>
    <w:rsid w:val="00AC12B7"/>
    <w:rsid w:val="00AC22E6"/>
    <w:rsid w:val="00AC2B28"/>
    <w:rsid w:val="00AC33C3"/>
    <w:rsid w:val="00AC44CE"/>
    <w:rsid w:val="00AC4655"/>
    <w:rsid w:val="00AC498F"/>
    <w:rsid w:val="00AC4E5B"/>
    <w:rsid w:val="00AC5463"/>
    <w:rsid w:val="00AC5D4B"/>
    <w:rsid w:val="00AC6275"/>
    <w:rsid w:val="00AC74F2"/>
    <w:rsid w:val="00AC7AB5"/>
    <w:rsid w:val="00AD1633"/>
    <w:rsid w:val="00AD20FD"/>
    <w:rsid w:val="00AD294C"/>
    <w:rsid w:val="00AD2C1E"/>
    <w:rsid w:val="00AD434A"/>
    <w:rsid w:val="00AD4605"/>
    <w:rsid w:val="00AD5D4A"/>
    <w:rsid w:val="00AD5F60"/>
    <w:rsid w:val="00AD600D"/>
    <w:rsid w:val="00AD7068"/>
    <w:rsid w:val="00AD74EE"/>
    <w:rsid w:val="00AD78FD"/>
    <w:rsid w:val="00AD7EF3"/>
    <w:rsid w:val="00AE00AD"/>
    <w:rsid w:val="00AE0185"/>
    <w:rsid w:val="00AE15DB"/>
    <w:rsid w:val="00AE1D79"/>
    <w:rsid w:val="00AE2D9F"/>
    <w:rsid w:val="00AE2E36"/>
    <w:rsid w:val="00AE375D"/>
    <w:rsid w:val="00AE38F5"/>
    <w:rsid w:val="00AE3A66"/>
    <w:rsid w:val="00AE45D8"/>
    <w:rsid w:val="00AE5046"/>
    <w:rsid w:val="00AE52CE"/>
    <w:rsid w:val="00AE5436"/>
    <w:rsid w:val="00AE5C06"/>
    <w:rsid w:val="00AE5FCD"/>
    <w:rsid w:val="00AE71FB"/>
    <w:rsid w:val="00AE7760"/>
    <w:rsid w:val="00AE79AF"/>
    <w:rsid w:val="00AE7CE8"/>
    <w:rsid w:val="00AE7D44"/>
    <w:rsid w:val="00AF12ED"/>
    <w:rsid w:val="00AF2D42"/>
    <w:rsid w:val="00AF3BB5"/>
    <w:rsid w:val="00AF3DB0"/>
    <w:rsid w:val="00AF4320"/>
    <w:rsid w:val="00AF5B2C"/>
    <w:rsid w:val="00AF5C23"/>
    <w:rsid w:val="00AF6AD7"/>
    <w:rsid w:val="00B011E1"/>
    <w:rsid w:val="00B01494"/>
    <w:rsid w:val="00B01D2C"/>
    <w:rsid w:val="00B01DC1"/>
    <w:rsid w:val="00B02A27"/>
    <w:rsid w:val="00B0318A"/>
    <w:rsid w:val="00B034DE"/>
    <w:rsid w:val="00B036CB"/>
    <w:rsid w:val="00B03C63"/>
    <w:rsid w:val="00B048FB"/>
    <w:rsid w:val="00B0533F"/>
    <w:rsid w:val="00B062E5"/>
    <w:rsid w:val="00B0687A"/>
    <w:rsid w:val="00B0688E"/>
    <w:rsid w:val="00B06A03"/>
    <w:rsid w:val="00B06D6C"/>
    <w:rsid w:val="00B07288"/>
    <w:rsid w:val="00B07771"/>
    <w:rsid w:val="00B07D86"/>
    <w:rsid w:val="00B10554"/>
    <w:rsid w:val="00B11618"/>
    <w:rsid w:val="00B11DB6"/>
    <w:rsid w:val="00B13432"/>
    <w:rsid w:val="00B13900"/>
    <w:rsid w:val="00B141F5"/>
    <w:rsid w:val="00B151F9"/>
    <w:rsid w:val="00B15297"/>
    <w:rsid w:val="00B152E3"/>
    <w:rsid w:val="00B153AE"/>
    <w:rsid w:val="00B16381"/>
    <w:rsid w:val="00B17A98"/>
    <w:rsid w:val="00B17AB3"/>
    <w:rsid w:val="00B17D8A"/>
    <w:rsid w:val="00B2047F"/>
    <w:rsid w:val="00B214CA"/>
    <w:rsid w:val="00B2228A"/>
    <w:rsid w:val="00B223AB"/>
    <w:rsid w:val="00B22B8F"/>
    <w:rsid w:val="00B22EEB"/>
    <w:rsid w:val="00B23167"/>
    <w:rsid w:val="00B232F0"/>
    <w:rsid w:val="00B23555"/>
    <w:rsid w:val="00B2445C"/>
    <w:rsid w:val="00B24D96"/>
    <w:rsid w:val="00B25644"/>
    <w:rsid w:val="00B258F7"/>
    <w:rsid w:val="00B26AD5"/>
    <w:rsid w:val="00B271E8"/>
    <w:rsid w:val="00B30025"/>
    <w:rsid w:val="00B30131"/>
    <w:rsid w:val="00B31079"/>
    <w:rsid w:val="00B31431"/>
    <w:rsid w:val="00B31CC0"/>
    <w:rsid w:val="00B320F0"/>
    <w:rsid w:val="00B324CE"/>
    <w:rsid w:val="00B32B08"/>
    <w:rsid w:val="00B350EE"/>
    <w:rsid w:val="00B359DD"/>
    <w:rsid w:val="00B35CAF"/>
    <w:rsid w:val="00B36173"/>
    <w:rsid w:val="00B372B2"/>
    <w:rsid w:val="00B37CCE"/>
    <w:rsid w:val="00B40E5C"/>
    <w:rsid w:val="00B416EE"/>
    <w:rsid w:val="00B42B22"/>
    <w:rsid w:val="00B42B34"/>
    <w:rsid w:val="00B431A9"/>
    <w:rsid w:val="00B43492"/>
    <w:rsid w:val="00B4357A"/>
    <w:rsid w:val="00B43D0D"/>
    <w:rsid w:val="00B4480A"/>
    <w:rsid w:val="00B44914"/>
    <w:rsid w:val="00B4491F"/>
    <w:rsid w:val="00B45281"/>
    <w:rsid w:val="00B460EC"/>
    <w:rsid w:val="00B46B41"/>
    <w:rsid w:val="00B47258"/>
    <w:rsid w:val="00B472BC"/>
    <w:rsid w:val="00B47D37"/>
    <w:rsid w:val="00B50821"/>
    <w:rsid w:val="00B5194E"/>
    <w:rsid w:val="00B51C20"/>
    <w:rsid w:val="00B5257C"/>
    <w:rsid w:val="00B53908"/>
    <w:rsid w:val="00B56483"/>
    <w:rsid w:val="00B5668F"/>
    <w:rsid w:val="00B56807"/>
    <w:rsid w:val="00B57170"/>
    <w:rsid w:val="00B57A55"/>
    <w:rsid w:val="00B60215"/>
    <w:rsid w:val="00B60925"/>
    <w:rsid w:val="00B61580"/>
    <w:rsid w:val="00B6242A"/>
    <w:rsid w:val="00B62823"/>
    <w:rsid w:val="00B63ECE"/>
    <w:rsid w:val="00B63F63"/>
    <w:rsid w:val="00B6470D"/>
    <w:rsid w:val="00B65834"/>
    <w:rsid w:val="00B668D6"/>
    <w:rsid w:val="00B67490"/>
    <w:rsid w:val="00B708B8"/>
    <w:rsid w:val="00B71716"/>
    <w:rsid w:val="00B724E3"/>
    <w:rsid w:val="00B74938"/>
    <w:rsid w:val="00B74C8B"/>
    <w:rsid w:val="00B764B8"/>
    <w:rsid w:val="00B76792"/>
    <w:rsid w:val="00B7734A"/>
    <w:rsid w:val="00B77AA9"/>
    <w:rsid w:val="00B77F44"/>
    <w:rsid w:val="00B8029C"/>
    <w:rsid w:val="00B816B4"/>
    <w:rsid w:val="00B81A19"/>
    <w:rsid w:val="00B8242E"/>
    <w:rsid w:val="00B82524"/>
    <w:rsid w:val="00B83D70"/>
    <w:rsid w:val="00B842D5"/>
    <w:rsid w:val="00B84BC0"/>
    <w:rsid w:val="00B84DB3"/>
    <w:rsid w:val="00B85933"/>
    <w:rsid w:val="00B85AC6"/>
    <w:rsid w:val="00B85D79"/>
    <w:rsid w:val="00B85E05"/>
    <w:rsid w:val="00B8683E"/>
    <w:rsid w:val="00B86874"/>
    <w:rsid w:val="00B86C9F"/>
    <w:rsid w:val="00B86D31"/>
    <w:rsid w:val="00B91483"/>
    <w:rsid w:val="00B91B10"/>
    <w:rsid w:val="00B9215D"/>
    <w:rsid w:val="00B923CF"/>
    <w:rsid w:val="00B928E8"/>
    <w:rsid w:val="00B92B3B"/>
    <w:rsid w:val="00B92CCC"/>
    <w:rsid w:val="00B93565"/>
    <w:rsid w:val="00B942D9"/>
    <w:rsid w:val="00B94A56"/>
    <w:rsid w:val="00B953FA"/>
    <w:rsid w:val="00B95861"/>
    <w:rsid w:val="00B95943"/>
    <w:rsid w:val="00B95C0A"/>
    <w:rsid w:val="00B95C7A"/>
    <w:rsid w:val="00B95CA5"/>
    <w:rsid w:val="00B95D6E"/>
    <w:rsid w:val="00B95F10"/>
    <w:rsid w:val="00B96396"/>
    <w:rsid w:val="00B96727"/>
    <w:rsid w:val="00B97953"/>
    <w:rsid w:val="00BA1643"/>
    <w:rsid w:val="00BA21E4"/>
    <w:rsid w:val="00BA3B5E"/>
    <w:rsid w:val="00BA492E"/>
    <w:rsid w:val="00BA4D1C"/>
    <w:rsid w:val="00BA55D5"/>
    <w:rsid w:val="00BA580B"/>
    <w:rsid w:val="00BA5FED"/>
    <w:rsid w:val="00BA65E5"/>
    <w:rsid w:val="00BA6932"/>
    <w:rsid w:val="00BA6D30"/>
    <w:rsid w:val="00BA729D"/>
    <w:rsid w:val="00BA789F"/>
    <w:rsid w:val="00BA78AA"/>
    <w:rsid w:val="00BB06DE"/>
    <w:rsid w:val="00BB116E"/>
    <w:rsid w:val="00BB1D1F"/>
    <w:rsid w:val="00BB23E1"/>
    <w:rsid w:val="00BB24D5"/>
    <w:rsid w:val="00BB2AFD"/>
    <w:rsid w:val="00BB3A57"/>
    <w:rsid w:val="00BB3AE6"/>
    <w:rsid w:val="00BB4C76"/>
    <w:rsid w:val="00BB5051"/>
    <w:rsid w:val="00BB71FF"/>
    <w:rsid w:val="00BB7AEE"/>
    <w:rsid w:val="00BB7BA7"/>
    <w:rsid w:val="00BC1110"/>
    <w:rsid w:val="00BC16E9"/>
    <w:rsid w:val="00BC1B34"/>
    <w:rsid w:val="00BC2964"/>
    <w:rsid w:val="00BC2D2C"/>
    <w:rsid w:val="00BC321E"/>
    <w:rsid w:val="00BC4148"/>
    <w:rsid w:val="00BC4D30"/>
    <w:rsid w:val="00BC6313"/>
    <w:rsid w:val="00BC6370"/>
    <w:rsid w:val="00BC7B5D"/>
    <w:rsid w:val="00BD0E5D"/>
    <w:rsid w:val="00BD1ED0"/>
    <w:rsid w:val="00BD25C4"/>
    <w:rsid w:val="00BD2A2D"/>
    <w:rsid w:val="00BD34D9"/>
    <w:rsid w:val="00BD4CCA"/>
    <w:rsid w:val="00BD5AB7"/>
    <w:rsid w:val="00BE14E9"/>
    <w:rsid w:val="00BE1795"/>
    <w:rsid w:val="00BE1C6A"/>
    <w:rsid w:val="00BE364A"/>
    <w:rsid w:val="00BE3FB6"/>
    <w:rsid w:val="00BE5235"/>
    <w:rsid w:val="00BE74D4"/>
    <w:rsid w:val="00BF0494"/>
    <w:rsid w:val="00BF0E94"/>
    <w:rsid w:val="00BF1303"/>
    <w:rsid w:val="00BF2822"/>
    <w:rsid w:val="00BF319A"/>
    <w:rsid w:val="00BF3496"/>
    <w:rsid w:val="00BF4A7E"/>
    <w:rsid w:val="00BF633C"/>
    <w:rsid w:val="00BF780C"/>
    <w:rsid w:val="00C00B90"/>
    <w:rsid w:val="00C015D9"/>
    <w:rsid w:val="00C03355"/>
    <w:rsid w:val="00C04227"/>
    <w:rsid w:val="00C05E68"/>
    <w:rsid w:val="00C06327"/>
    <w:rsid w:val="00C06392"/>
    <w:rsid w:val="00C064A8"/>
    <w:rsid w:val="00C06FD8"/>
    <w:rsid w:val="00C072D5"/>
    <w:rsid w:val="00C07371"/>
    <w:rsid w:val="00C0785E"/>
    <w:rsid w:val="00C1016C"/>
    <w:rsid w:val="00C10187"/>
    <w:rsid w:val="00C10933"/>
    <w:rsid w:val="00C11D2D"/>
    <w:rsid w:val="00C1277D"/>
    <w:rsid w:val="00C12B13"/>
    <w:rsid w:val="00C13068"/>
    <w:rsid w:val="00C13339"/>
    <w:rsid w:val="00C13651"/>
    <w:rsid w:val="00C13883"/>
    <w:rsid w:val="00C14161"/>
    <w:rsid w:val="00C15D5E"/>
    <w:rsid w:val="00C16CE4"/>
    <w:rsid w:val="00C17547"/>
    <w:rsid w:val="00C17850"/>
    <w:rsid w:val="00C20C62"/>
    <w:rsid w:val="00C2193A"/>
    <w:rsid w:val="00C21D92"/>
    <w:rsid w:val="00C2261A"/>
    <w:rsid w:val="00C230E3"/>
    <w:rsid w:val="00C24003"/>
    <w:rsid w:val="00C261F7"/>
    <w:rsid w:val="00C270F9"/>
    <w:rsid w:val="00C276B6"/>
    <w:rsid w:val="00C27FC1"/>
    <w:rsid w:val="00C302FB"/>
    <w:rsid w:val="00C30835"/>
    <w:rsid w:val="00C31660"/>
    <w:rsid w:val="00C3218A"/>
    <w:rsid w:val="00C32EBF"/>
    <w:rsid w:val="00C3358A"/>
    <w:rsid w:val="00C33BA2"/>
    <w:rsid w:val="00C34637"/>
    <w:rsid w:val="00C346AE"/>
    <w:rsid w:val="00C362A6"/>
    <w:rsid w:val="00C3654F"/>
    <w:rsid w:val="00C3689A"/>
    <w:rsid w:val="00C36CD2"/>
    <w:rsid w:val="00C37F0E"/>
    <w:rsid w:val="00C401B2"/>
    <w:rsid w:val="00C40849"/>
    <w:rsid w:val="00C4097E"/>
    <w:rsid w:val="00C40E6E"/>
    <w:rsid w:val="00C41409"/>
    <w:rsid w:val="00C4171B"/>
    <w:rsid w:val="00C4198B"/>
    <w:rsid w:val="00C41A19"/>
    <w:rsid w:val="00C43178"/>
    <w:rsid w:val="00C43460"/>
    <w:rsid w:val="00C44395"/>
    <w:rsid w:val="00C4441F"/>
    <w:rsid w:val="00C44B58"/>
    <w:rsid w:val="00C45967"/>
    <w:rsid w:val="00C45CAE"/>
    <w:rsid w:val="00C46B57"/>
    <w:rsid w:val="00C4753B"/>
    <w:rsid w:val="00C50204"/>
    <w:rsid w:val="00C50271"/>
    <w:rsid w:val="00C51E9D"/>
    <w:rsid w:val="00C5206A"/>
    <w:rsid w:val="00C52D79"/>
    <w:rsid w:val="00C52DBB"/>
    <w:rsid w:val="00C53C94"/>
    <w:rsid w:val="00C53CEF"/>
    <w:rsid w:val="00C53D87"/>
    <w:rsid w:val="00C54909"/>
    <w:rsid w:val="00C554BF"/>
    <w:rsid w:val="00C5552C"/>
    <w:rsid w:val="00C55655"/>
    <w:rsid w:val="00C5714C"/>
    <w:rsid w:val="00C577E7"/>
    <w:rsid w:val="00C57B63"/>
    <w:rsid w:val="00C60F02"/>
    <w:rsid w:val="00C6119A"/>
    <w:rsid w:val="00C618B9"/>
    <w:rsid w:val="00C61CCE"/>
    <w:rsid w:val="00C62AD0"/>
    <w:rsid w:val="00C637AE"/>
    <w:rsid w:val="00C640AD"/>
    <w:rsid w:val="00C64974"/>
    <w:rsid w:val="00C65C9A"/>
    <w:rsid w:val="00C66532"/>
    <w:rsid w:val="00C66ED0"/>
    <w:rsid w:val="00C7129E"/>
    <w:rsid w:val="00C71A91"/>
    <w:rsid w:val="00C73388"/>
    <w:rsid w:val="00C7474C"/>
    <w:rsid w:val="00C75159"/>
    <w:rsid w:val="00C756ED"/>
    <w:rsid w:val="00C75F18"/>
    <w:rsid w:val="00C75F59"/>
    <w:rsid w:val="00C76581"/>
    <w:rsid w:val="00C77174"/>
    <w:rsid w:val="00C80162"/>
    <w:rsid w:val="00C80676"/>
    <w:rsid w:val="00C80FE3"/>
    <w:rsid w:val="00C81968"/>
    <w:rsid w:val="00C8228E"/>
    <w:rsid w:val="00C84F8F"/>
    <w:rsid w:val="00C85087"/>
    <w:rsid w:val="00C85A74"/>
    <w:rsid w:val="00C85F44"/>
    <w:rsid w:val="00C87ACB"/>
    <w:rsid w:val="00C9074F"/>
    <w:rsid w:val="00C93617"/>
    <w:rsid w:val="00C948E5"/>
    <w:rsid w:val="00C9504E"/>
    <w:rsid w:val="00C953CD"/>
    <w:rsid w:val="00C9629A"/>
    <w:rsid w:val="00C969AA"/>
    <w:rsid w:val="00C971BC"/>
    <w:rsid w:val="00C97D09"/>
    <w:rsid w:val="00CA15D2"/>
    <w:rsid w:val="00CA2CF4"/>
    <w:rsid w:val="00CA2EAA"/>
    <w:rsid w:val="00CA34A2"/>
    <w:rsid w:val="00CA3F4D"/>
    <w:rsid w:val="00CA539A"/>
    <w:rsid w:val="00CA55ED"/>
    <w:rsid w:val="00CA56AF"/>
    <w:rsid w:val="00CA65C4"/>
    <w:rsid w:val="00CA7879"/>
    <w:rsid w:val="00CB1682"/>
    <w:rsid w:val="00CB295D"/>
    <w:rsid w:val="00CB32F8"/>
    <w:rsid w:val="00CB36B4"/>
    <w:rsid w:val="00CB39F9"/>
    <w:rsid w:val="00CB3BEC"/>
    <w:rsid w:val="00CB3C0E"/>
    <w:rsid w:val="00CB3F38"/>
    <w:rsid w:val="00CB404F"/>
    <w:rsid w:val="00CB42B6"/>
    <w:rsid w:val="00CB4833"/>
    <w:rsid w:val="00CB577E"/>
    <w:rsid w:val="00CB5B3B"/>
    <w:rsid w:val="00CB6115"/>
    <w:rsid w:val="00CB6ACB"/>
    <w:rsid w:val="00CB6EA4"/>
    <w:rsid w:val="00CB75A2"/>
    <w:rsid w:val="00CB764A"/>
    <w:rsid w:val="00CC0959"/>
    <w:rsid w:val="00CC0ADD"/>
    <w:rsid w:val="00CC2C2F"/>
    <w:rsid w:val="00CC3334"/>
    <w:rsid w:val="00CC3D02"/>
    <w:rsid w:val="00CC466D"/>
    <w:rsid w:val="00CC4F45"/>
    <w:rsid w:val="00CC5000"/>
    <w:rsid w:val="00CC559C"/>
    <w:rsid w:val="00CC5B51"/>
    <w:rsid w:val="00CC6089"/>
    <w:rsid w:val="00CC6102"/>
    <w:rsid w:val="00CC6CBC"/>
    <w:rsid w:val="00CD089D"/>
    <w:rsid w:val="00CD26A2"/>
    <w:rsid w:val="00CD4713"/>
    <w:rsid w:val="00CD5646"/>
    <w:rsid w:val="00CD5DBE"/>
    <w:rsid w:val="00CD68A2"/>
    <w:rsid w:val="00CD6E8F"/>
    <w:rsid w:val="00CD72E9"/>
    <w:rsid w:val="00CD7DB7"/>
    <w:rsid w:val="00CE34EA"/>
    <w:rsid w:val="00CE392F"/>
    <w:rsid w:val="00CE49B6"/>
    <w:rsid w:val="00CE54CE"/>
    <w:rsid w:val="00CE6510"/>
    <w:rsid w:val="00CE71CF"/>
    <w:rsid w:val="00CF0082"/>
    <w:rsid w:val="00CF07AC"/>
    <w:rsid w:val="00CF0929"/>
    <w:rsid w:val="00CF0B95"/>
    <w:rsid w:val="00CF135F"/>
    <w:rsid w:val="00CF167F"/>
    <w:rsid w:val="00CF1A90"/>
    <w:rsid w:val="00CF2438"/>
    <w:rsid w:val="00CF28F6"/>
    <w:rsid w:val="00CF35A1"/>
    <w:rsid w:val="00CF3FF0"/>
    <w:rsid w:val="00CF40D7"/>
    <w:rsid w:val="00CF467F"/>
    <w:rsid w:val="00CF585F"/>
    <w:rsid w:val="00CF6974"/>
    <w:rsid w:val="00CF6A34"/>
    <w:rsid w:val="00CF7AFE"/>
    <w:rsid w:val="00D0085A"/>
    <w:rsid w:val="00D00E8B"/>
    <w:rsid w:val="00D01FC0"/>
    <w:rsid w:val="00D02555"/>
    <w:rsid w:val="00D025E4"/>
    <w:rsid w:val="00D04C70"/>
    <w:rsid w:val="00D0617E"/>
    <w:rsid w:val="00D061BF"/>
    <w:rsid w:val="00D064E2"/>
    <w:rsid w:val="00D079E7"/>
    <w:rsid w:val="00D10773"/>
    <w:rsid w:val="00D11DA5"/>
    <w:rsid w:val="00D12A7F"/>
    <w:rsid w:val="00D12D0B"/>
    <w:rsid w:val="00D136FB"/>
    <w:rsid w:val="00D13838"/>
    <w:rsid w:val="00D13BA8"/>
    <w:rsid w:val="00D141CE"/>
    <w:rsid w:val="00D152B0"/>
    <w:rsid w:val="00D15480"/>
    <w:rsid w:val="00D1581D"/>
    <w:rsid w:val="00D17DE9"/>
    <w:rsid w:val="00D21381"/>
    <w:rsid w:val="00D219EA"/>
    <w:rsid w:val="00D220D1"/>
    <w:rsid w:val="00D22517"/>
    <w:rsid w:val="00D22EBA"/>
    <w:rsid w:val="00D22F79"/>
    <w:rsid w:val="00D23032"/>
    <w:rsid w:val="00D231E1"/>
    <w:rsid w:val="00D24301"/>
    <w:rsid w:val="00D247F0"/>
    <w:rsid w:val="00D24D08"/>
    <w:rsid w:val="00D24F0C"/>
    <w:rsid w:val="00D258B6"/>
    <w:rsid w:val="00D26F1C"/>
    <w:rsid w:val="00D270D7"/>
    <w:rsid w:val="00D275FC"/>
    <w:rsid w:val="00D27C0C"/>
    <w:rsid w:val="00D30491"/>
    <w:rsid w:val="00D30860"/>
    <w:rsid w:val="00D30EB5"/>
    <w:rsid w:val="00D32C94"/>
    <w:rsid w:val="00D32F3C"/>
    <w:rsid w:val="00D33BDF"/>
    <w:rsid w:val="00D33FF9"/>
    <w:rsid w:val="00D34213"/>
    <w:rsid w:val="00D3568A"/>
    <w:rsid w:val="00D362DD"/>
    <w:rsid w:val="00D37869"/>
    <w:rsid w:val="00D37965"/>
    <w:rsid w:val="00D412DA"/>
    <w:rsid w:val="00D4169F"/>
    <w:rsid w:val="00D41A4E"/>
    <w:rsid w:val="00D41F49"/>
    <w:rsid w:val="00D4211E"/>
    <w:rsid w:val="00D423F8"/>
    <w:rsid w:val="00D43529"/>
    <w:rsid w:val="00D437E1"/>
    <w:rsid w:val="00D44ADD"/>
    <w:rsid w:val="00D45C20"/>
    <w:rsid w:val="00D45E2F"/>
    <w:rsid w:val="00D45F1A"/>
    <w:rsid w:val="00D464AE"/>
    <w:rsid w:val="00D500C2"/>
    <w:rsid w:val="00D50D5E"/>
    <w:rsid w:val="00D5174A"/>
    <w:rsid w:val="00D523CD"/>
    <w:rsid w:val="00D526AA"/>
    <w:rsid w:val="00D52E4F"/>
    <w:rsid w:val="00D53636"/>
    <w:rsid w:val="00D53EE5"/>
    <w:rsid w:val="00D54519"/>
    <w:rsid w:val="00D54A66"/>
    <w:rsid w:val="00D54B45"/>
    <w:rsid w:val="00D55AB1"/>
    <w:rsid w:val="00D55E03"/>
    <w:rsid w:val="00D56040"/>
    <w:rsid w:val="00D56224"/>
    <w:rsid w:val="00D577F2"/>
    <w:rsid w:val="00D60B01"/>
    <w:rsid w:val="00D60C95"/>
    <w:rsid w:val="00D634D3"/>
    <w:rsid w:val="00D634E2"/>
    <w:rsid w:val="00D638B9"/>
    <w:rsid w:val="00D63BF7"/>
    <w:rsid w:val="00D63CE6"/>
    <w:rsid w:val="00D647C2"/>
    <w:rsid w:val="00D64C7B"/>
    <w:rsid w:val="00D65781"/>
    <w:rsid w:val="00D66880"/>
    <w:rsid w:val="00D668A2"/>
    <w:rsid w:val="00D66A1F"/>
    <w:rsid w:val="00D67A0D"/>
    <w:rsid w:val="00D67DE1"/>
    <w:rsid w:val="00D67EDB"/>
    <w:rsid w:val="00D70D65"/>
    <w:rsid w:val="00D7100B"/>
    <w:rsid w:val="00D7107D"/>
    <w:rsid w:val="00D71639"/>
    <w:rsid w:val="00D7438A"/>
    <w:rsid w:val="00D74A8B"/>
    <w:rsid w:val="00D753C6"/>
    <w:rsid w:val="00D76096"/>
    <w:rsid w:val="00D760E9"/>
    <w:rsid w:val="00D77670"/>
    <w:rsid w:val="00D80BC5"/>
    <w:rsid w:val="00D819BE"/>
    <w:rsid w:val="00D81EB6"/>
    <w:rsid w:val="00D821FB"/>
    <w:rsid w:val="00D8377A"/>
    <w:rsid w:val="00D8397D"/>
    <w:rsid w:val="00D83EB1"/>
    <w:rsid w:val="00D84400"/>
    <w:rsid w:val="00D84BA3"/>
    <w:rsid w:val="00D85211"/>
    <w:rsid w:val="00D86B02"/>
    <w:rsid w:val="00D87B26"/>
    <w:rsid w:val="00D87BB1"/>
    <w:rsid w:val="00D9037A"/>
    <w:rsid w:val="00D90EB8"/>
    <w:rsid w:val="00D91607"/>
    <w:rsid w:val="00D91D8A"/>
    <w:rsid w:val="00D924AF"/>
    <w:rsid w:val="00D92686"/>
    <w:rsid w:val="00D93023"/>
    <w:rsid w:val="00D95A2D"/>
    <w:rsid w:val="00D95B26"/>
    <w:rsid w:val="00D95BB0"/>
    <w:rsid w:val="00D96060"/>
    <w:rsid w:val="00D96142"/>
    <w:rsid w:val="00D962F6"/>
    <w:rsid w:val="00D967D0"/>
    <w:rsid w:val="00D97682"/>
    <w:rsid w:val="00D9787C"/>
    <w:rsid w:val="00DA0014"/>
    <w:rsid w:val="00DA09A2"/>
    <w:rsid w:val="00DA1C53"/>
    <w:rsid w:val="00DA1DD3"/>
    <w:rsid w:val="00DA2832"/>
    <w:rsid w:val="00DA288B"/>
    <w:rsid w:val="00DA2CBD"/>
    <w:rsid w:val="00DA2CF7"/>
    <w:rsid w:val="00DA35D7"/>
    <w:rsid w:val="00DA3BA9"/>
    <w:rsid w:val="00DA3DCA"/>
    <w:rsid w:val="00DA41AA"/>
    <w:rsid w:val="00DA4AB2"/>
    <w:rsid w:val="00DA4E48"/>
    <w:rsid w:val="00DA76BA"/>
    <w:rsid w:val="00DA7A1C"/>
    <w:rsid w:val="00DB137D"/>
    <w:rsid w:val="00DB1978"/>
    <w:rsid w:val="00DB3A5B"/>
    <w:rsid w:val="00DB3B8C"/>
    <w:rsid w:val="00DB469F"/>
    <w:rsid w:val="00DB47FB"/>
    <w:rsid w:val="00DB587F"/>
    <w:rsid w:val="00DB6697"/>
    <w:rsid w:val="00DB66B5"/>
    <w:rsid w:val="00DB6829"/>
    <w:rsid w:val="00DB6F77"/>
    <w:rsid w:val="00DB72B7"/>
    <w:rsid w:val="00DC0DE0"/>
    <w:rsid w:val="00DC1B0E"/>
    <w:rsid w:val="00DC3627"/>
    <w:rsid w:val="00DC4E82"/>
    <w:rsid w:val="00DC514D"/>
    <w:rsid w:val="00DC578F"/>
    <w:rsid w:val="00DC5B1B"/>
    <w:rsid w:val="00DC5B85"/>
    <w:rsid w:val="00DC6D89"/>
    <w:rsid w:val="00DC6E1D"/>
    <w:rsid w:val="00DC6E37"/>
    <w:rsid w:val="00DD0378"/>
    <w:rsid w:val="00DD062F"/>
    <w:rsid w:val="00DD2837"/>
    <w:rsid w:val="00DD34CE"/>
    <w:rsid w:val="00DD35E1"/>
    <w:rsid w:val="00DD39C7"/>
    <w:rsid w:val="00DD6B4D"/>
    <w:rsid w:val="00DD6BC3"/>
    <w:rsid w:val="00DD6C92"/>
    <w:rsid w:val="00DD76A4"/>
    <w:rsid w:val="00DE040F"/>
    <w:rsid w:val="00DE069A"/>
    <w:rsid w:val="00DE0758"/>
    <w:rsid w:val="00DE09CB"/>
    <w:rsid w:val="00DE12A1"/>
    <w:rsid w:val="00DE137D"/>
    <w:rsid w:val="00DE20EF"/>
    <w:rsid w:val="00DE231D"/>
    <w:rsid w:val="00DE5D37"/>
    <w:rsid w:val="00DE65C4"/>
    <w:rsid w:val="00DE6C0C"/>
    <w:rsid w:val="00DE7B58"/>
    <w:rsid w:val="00DE7BB5"/>
    <w:rsid w:val="00DF0032"/>
    <w:rsid w:val="00DF077D"/>
    <w:rsid w:val="00DF0D08"/>
    <w:rsid w:val="00DF1D80"/>
    <w:rsid w:val="00DF2113"/>
    <w:rsid w:val="00DF2E4C"/>
    <w:rsid w:val="00DF42D0"/>
    <w:rsid w:val="00DF465E"/>
    <w:rsid w:val="00DF5CDD"/>
    <w:rsid w:val="00DF6151"/>
    <w:rsid w:val="00DF66FF"/>
    <w:rsid w:val="00DF68A4"/>
    <w:rsid w:val="00DF6907"/>
    <w:rsid w:val="00E000DD"/>
    <w:rsid w:val="00E00288"/>
    <w:rsid w:val="00E00DA4"/>
    <w:rsid w:val="00E0221E"/>
    <w:rsid w:val="00E02973"/>
    <w:rsid w:val="00E03432"/>
    <w:rsid w:val="00E039E7"/>
    <w:rsid w:val="00E03B0F"/>
    <w:rsid w:val="00E03CEE"/>
    <w:rsid w:val="00E03DDC"/>
    <w:rsid w:val="00E0418C"/>
    <w:rsid w:val="00E072AE"/>
    <w:rsid w:val="00E10257"/>
    <w:rsid w:val="00E10F68"/>
    <w:rsid w:val="00E11949"/>
    <w:rsid w:val="00E121DB"/>
    <w:rsid w:val="00E1220B"/>
    <w:rsid w:val="00E12496"/>
    <w:rsid w:val="00E12845"/>
    <w:rsid w:val="00E1398F"/>
    <w:rsid w:val="00E13A92"/>
    <w:rsid w:val="00E13E21"/>
    <w:rsid w:val="00E1410B"/>
    <w:rsid w:val="00E1423F"/>
    <w:rsid w:val="00E1428C"/>
    <w:rsid w:val="00E1467E"/>
    <w:rsid w:val="00E149F4"/>
    <w:rsid w:val="00E14AB5"/>
    <w:rsid w:val="00E14D2B"/>
    <w:rsid w:val="00E14D87"/>
    <w:rsid w:val="00E15084"/>
    <w:rsid w:val="00E1535E"/>
    <w:rsid w:val="00E16C87"/>
    <w:rsid w:val="00E20989"/>
    <w:rsid w:val="00E22E43"/>
    <w:rsid w:val="00E236EE"/>
    <w:rsid w:val="00E23922"/>
    <w:rsid w:val="00E23C2C"/>
    <w:rsid w:val="00E24263"/>
    <w:rsid w:val="00E2444D"/>
    <w:rsid w:val="00E24AC0"/>
    <w:rsid w:val="00E24F2A"/>
    <w:rsid w:val="00E2573F"/>
    <w:rsid w:val="00E2606C"/>
    <w:rsid w:val="00E26406"/>
    <w:rsid w:val="00E26980"/>
    <w:rsid w:val="00E275F1"/>
    <w:rsid w:val="00E27AB6"/>
    <w:rsid w:val="00E31850"/>
    <w:rsid w:val="00E319BE"/>
    <w:rsid w:val="00E31A3C"/>
    <w:rsid w:val="00E32222"/>
    <w:rsid w:val="00E325BC"/>
    <w:rsid w:val="00E3265B"/>
    <w:rsid w:val="00E328AA"/>
    <w:rsid w:val="00E332DF"/>
    <w:rsid w:val="00E3409D"/>
    <w:rsid w:val="00E347EB"/>
    <w:rsid w:val="00E357CE"/>
    <w:rsid w:val="00E375F1"/>
    <w:rsid w:val="00E41347"/>
    <w:rsid w:val="00E41669"/>
    <w:rsid w:val="00E41E09"/>
    <w:rsid w:val="00E41F7C"/>
    <w:rsid w:val="00E42A92"/>
    <w:rsid w:val="00E432BF"/>
    <w:rsid w:val="00E437B2"/>
    <w:rsid w:val="00E439CF"/>
    <w:rsid w:val="00E43A65"/>
    <w:rsid w:val="00E43F54"/>
    <w:rsid w:val="00E443F7"/>
    <w:rsid w:val="00E44ADA"/>
    <w:rsid w:val="00E454FC"/>
    <w:rsid w:val="00E45514"/>
    <w:rsid w:val="00E476FD"/>
    <w:rsid w:val="00E47793"/>
    <w:rsid w:val="00E47EE4"/>
    <w:rsid w:val="00E50A62"/>
    <w:rsid w:val="00E50AA1"/>
    <w:rsid w:val="00E53480"/>
    <w:rsid w:val="00E54E21"/>
    <w:rsid w:val="00E55980"/>
    <w:rsid w:val="00E55DE8"/>
    <w:rsid w:val="00E560CC"/>
    <w:rsid w:val="00E56C23"/>
    <w:rsid w:val="00E57245"/>
    <w:rsid w:val="00E60832"/>
    <w:rsid w:val="00E60B6F"/>
    <w:rsid w:val="00E60C9B"/>
    <w:rsid w:val="00E60FDB"/>
    <w:rsid w:val="00E61BAD"/>
    <w:rsid w:val="00E61F01"/>
    <w:rsid w:val="00E62540"/>
    <w:rsid w:val="00E630D4"/>
    <w:rsid w:val="00E637C8"/>
    <w:rsid w:val="00E64B5B"/>
    <w:rsid w:val="00E65AF7"/>
    <w:rsid w:val="00E65BED"/>
    <w:rsid w:val="00E677DE"/>
    <w:rsid w:val="00E72663"/>
    <w:rsid w:val="00E72BCE"/>
    <w:rsid w:val="00E74275"/>
    <w:rsid w:val="00E74468"/>
    <w:rsid w:val="00E74956"/>
    <w:rsid w:val="00E74999"/>
    <w:rsid w:val="00E75B82"/>
    <w:rsid w:val="00E75EFC"/>
    <w:rsid w:val="00E764A3"/>
    <w:rsid w:val="00E76D71"/>
    <w:rsid w:val="00E77087"/>
    <w:rsid w:val="00E7725B"/>
    <w:rsid w:val="00E77785"/>
    <w:rsid w:val="00E77B5D"/>
    <w:rsid w:val="00E80AFF"/>
    <w:rsid w:val="00E81516"/>
    <w:rsid w:val="00E8176A"/>
    <w:rsid w:val="00E82689"/>
    <w:rsid w:val="00E83196"/>
    <w:rsid w:val="00E831C1"/>
    <w:rsid w:val="00E83EEF"/>
    <w:rsid w:val="00E84123"/>
    <w:rsid w:val="00E84310"/>
    <w:rsid w:val="00E846FC"/>
    <w:rsid w:val="00E849F3"/>
    <w:rsid w:val="00E84D5D"/>
    <w:rsid w:val="00E85029"/>
    <w:rsid w:val="00E85597"/>
    <w:rsid w:val="00E85CF8"/>
    <w:rsid w:val="00E860CB"/>
    <w:rsid w:val="00E868B9"/>
    <w:rsid w:val="00E87D2D"/>
    <w:rsid w:val="00E9061B"/>
    <w:rsid w:val="00E90A79"/>
    <w:rsid w:val="00E90FE6"/>
    <w:rsid w:val="00E91C46"/>
    <w:rsid w:val="00E92520"/>
    <w:rsid w:val="00E926A5"/>
    <w:rsid w:val="00E932E9"/>
    <w:rsid w:val="00E951A2"/>
    <w:rsid w:val="00E95806"/>
    <w:rsid w:val="00E96109"/>
    <w:rsid w:val="00E96332"/>
    <w:rsid w:val="00E964CA"/>
    <w:rsid w:val="00E96BA5"/>
    <w:rsid w:val="00E9760C"/>
    <w:rsid w:val="00E978C9"/>
    <w:rsid w:val="00E97CDD"/>
    <w:rsid w:val="00EA16D9"/>
    <w:rsid w:val="00EA1B57"/>
    <w:rsid w:val="00EA1F8C"/>
    <w:rsid w:val="00EA2450"/>
    <w:rsid w:val="00EA2674"/>
    <w:rsid w:val="00EA321F"/>
    <w:rsid w:val="00EA4483"/>
    <w:rsid w:val="00EA463D"/>
    <w:rsid w:val="00EA4B0A"/>
    <w:rsid w:val="00EA4D01"/>
    <w:rsid w:val="00EA4FCA"/>
    <w:rsid w:val="00EA565C"/>
    <w:rsid w:val="00EA6232"/>
    <w:rsid w:val="00EA63B0"/>
    <w:rsid w:val="00EA7753"/>
    <w:rsid w:val="00EB0331"/>
    <w:rsid w:val="00EB0439"/>
    <w:rsid w:val="00EB1F06"/>
    <w:rsid w:val="00EB2373"/>
    <w:rsid w:val="00EB2D62"/>
    <w:rsid w:val="00EB33A5"/>
    <w:rsid w:val="00EB4131"/>
    <w:rsid w:val="00EB4E8C"/>
    <w:rsid w:val="00EB54D5"/>
    <w:rsid w:val="00EB5F97"/>
    <w:rsid w:val="00EB6C9E"/>
    <w:rsid w:val="00EB72E7"/>
    <w:rsid w:val="00EB7632"/>
    <w:rsid w:val="00EB7AA8"/>
    <w:rsid w:val="00EC0564"/>
    <w:rsid w:val="00EC098D"/>
    <w:rsid w:val="00EC2553"/>
    <w:rsid w:val="00EC34A4"/>
    <w:rsid w:val="00EC367F"/>
    <w:rsid w:val="00EC388C"/>
    <w:rsid w:val="00EC3C46"/>
    <w:rsid w:val="00EC4045"/>
    <w:rsid w:val="00EC43A2"/>
    <w:rsid w:val="00EC6AE0"/>
    <w:rsid w:val="00EC6BD9"/>
    <w:rsid w:val="00ED0641"/>
    <w:rsid w:val="00ED1514"/>
    <w:rsid w:val="00ED1BED"/>
    <w:rsid w:val="00ED1F93"/>
    <w:rsid w:val="00ED2C01"/>
    <w:rsid w:val="00ED3432"/>
    <w:rsid w:val="00ED4386"/>
    <w:rsid w:val="00ED4F78"/>
    <w:rsid w:val="00ED52DC"/>
    <w:rsid w:val="00ED5F51"/>
    <w:rsid w:val="00ED7457"/>
    <w:rsid w:val="00ED78AF"/>
    <w:rsid w:val="00EE0363"/>
    <w:rsid w:val="00EE0544"/>
    <w:rsid w:val="00EE05FF"/>
    <w:rsid w:val="00EE0BF3"/>
    <w:rsid w:val="00EE11FA"/>
    <w:rsid w:val="00EE1917"/>
    <w:rsid w:val="00EE1A81"/>
    <w:rsid w:val="00EE2558"/>
    <w:rsid w:val="00EE25DE"/>
    <w:rsid w:val="00EE2918"/>
    <w:rsid w:val="00EE2D02"/>
    <w:rsid w:val="00EE3DE5"/>
    <w:rsid w:val="00EE6475"/>
    <w:rsid w:val="00EE6C7F"/>
    <w:rsid w:val="00EF1A39"/>
    <w:rsid w:val="00EF1D23"/>
    <w:rsid w:val="00EF1F54"/>
    <w:rsid w:val="00EF27F6"/>
    <w:rsid w:val="00EF4D81"/>
    <w:rsid w:val="00EF671D"/>
    <w:rsid w:val="00EF6FE0"/>
    <w:rsid w:val="00EF70B8"/>
    <w:rsid w:val="00EF70F0"/>
    <w:rsid w:val="00EF76B2"/>
    <w:rsid w:val="00F03925"/>
    <w:rsid w:val="00F040BE"/>
    <w:rsid w:val="00F06478"/>
    <w:rsid w:val="00F06640"/>
    <w:rsid w:val="00F06686"/>
    <w:rsid w:val="00F07D24"/>
    <w:rsid w:val="00F121FF"/>
    <w:rsid w:val="00F12227"/>
    <w:rsid w:val="00F12285"/>
    <w:rsid w:val="00F12C83"/>
    <w:rsid w:val="00F138F2"/>
    <w:rsid w:val="00F13A04"/>
    <w:rsid w:val="00F14697"/>
    <w:rsid w:val="00F14C0D"/>
    <w:rsid w:val="00F14E08"/>
    <w:rsid w:val="00F15017"/>
    <w:rsid w:val="00F15480"/>
    <w:rsid w:val="00F16D5D"/>
    <w:rsid w:val="00F21492"/>
    <w:rsid w:val="00F21864"/>
    <w:rsid w:val="00F21D1D"/>
    <w:rsid w:val="00F21E8A"/>
    <w:rsid w:val="00F23AFE"/>
    <w:rsid w:val="00F23E37"/>
    <w:rsid w:val="00F2689D"/>
    <w:rsid w:val="00F26BEA"/>
    <w:rsid w:val="00F26BEC"/>
    <w:rsid w:val="00F2734F"/>
    <w:rsid w:val="00F27927"/>
    <w:rsid w:val="00F27F2C"/>
    <w:rsid w:val="00F301E3"/>
    <w:rsid w:val="00F301F0"/>
    <w:rsid w:val="00F32810"/>
    <w:rsid w:val="00F32E78"/>
    <w:rsid w:val="00F35CF5"/>
    <w:rsid w:val="00F35F3D"/>
    <w:rsid w:val="00F36862"/>
    <w:rsid w:val="00F37796"/>
    <w:rsid w:val="00F400C4"/>
    <w:rsid w:val="00F4051A"/>
    <w:rsid w:val="00F4121F"/>
    <w:rsid w:val="00F41365"/>
    <w:rsid w:val="00F4566D"/>
    <w:rsid w:val="00F459EF"/>
    <w:rsid w:val="00F4631B"/>
    <w:rsid w:val="00F4677A"/>
    <w:rsid w:val="00F467BA"/>
    <w:rsid w:val="00F4690C"/>
    <w:rsid w:val="00F4775A"/>
    <w:rsid w:val="00F50309"/>
    <w:rsid w:val="00F506D0"/>
    <w:rsid w:val="00F51436"/>
    <w:rsid w:val="00F519F8"/>
    <w:rsid w:val="00F52208"/>
    <w:rsid w:val="00F52954"/>
    <w:rsid w:val="00F52AC6"/>
    <w:rsid w:val="00F53107"/>
    <w:rsid w:val="00F550B8"/>
    <w:rsid w:val="00F55EA1"/>
    <w:rsid w:val="00F55EB4"/>
    <w:rsid w:val="00F56368"/>
    <w:rsid w:val="00F563DF"/>
    <w:rsid w:val="00F617E4"/>
    <w:rsid w:val="00F61F43"/>
    <w:rsid w:val="00F6355C"/>
    <w:rsid w:val="00F63769"/>
    <w:rsid w:val="00F63DF5"/>
    <w:rsid w:val="00F6403A"/>
    <w:rsid w:val="00F64267"/>
    <w:rsid w:val="00F651AE"/>
    <w:rsid w:val="00F658A8"/>
    <w:rsid w:val="00F65B73"/>
    <w:rsid w:val="00F67BEA"/>
    <w:rsid w:val="00F70DF1"/>
    <w:rsid w:val="00F70FF8"/>
    <w:rsid w:val="00F71868"/>
    <w:rsid w:val="00F71DA3"/>
    <w:rsid w:val="00F73A34"/>
    <w:rsid w:val="00F73CEF"/>
    <w:rsid w:val="00F73E26"/>
    <w:rsid w:val="00F75672"/>
    <w:rsid w:val="00F758C9"/>
    <w:rsid w:val="00F758EB"/>
    <w:rsid w:val="00F758FE"/>
    <w:rsid w:val="00F75FB0"/>
    <w:rsid w:val="00F76C3C"/>
    <w:rsid w:val="00F77EB7"/>
    <w:rsid w:val="00F812B8"/>
    <w:rsid w:val="00F81556"/>
    <w:rsid w:val="00F8204F"/>
    <w:rsid w:val="00F82203"/>
    <w:rsid w:val="00F82855"/>
    <w:rsid w:val="00F82D75"/>
    <w:rsid w:val="00F831BC"/>
    <w:rsid w:val="00F83431"/>
    <w:rsid w:val="00F83A9C"/>
    <w:rsid w:val="00F84341"/>
    <w:rsid w:val="00F86AD5"/>
    <w:rsid w:val="00F86F80"/>
    <w:rsid w:val="00F87342"/>
    <w:rsid w:val="00F87BF3"/>
    <w:rsid w:val="00F9041C"/>
    <w:rsid w:val="00F907C9"/>
    <w:rsid w:val="00F9092D"/>
    <w:rsid w:val="00F90B5F"/>
    <w:rsid w:val="00F9104B"/>
    <w:rsid w:val="00F914EA"/>
    <w:rsid w:val="00F92DBC"/>
    <w:rsid w:val="00F93306"/>
    <w:rsid w:val="00F93D68"/>
    <w:rsid w:val="00F94D62"/>
    <w:rsid w:val="00F9542E"/>
    <w:rsid w:val="00F95750"/>
    <w:rsid w:val="00F95A18"/>
    <w:rsid w:val="00F9605A"/>
    <w:rsid w:val="00F964B0"/>
    <w:rsid w:val="00F9688D"/>
    <w:rsid w:val="00F96A45"/>
    <w:rsid w:val="00F9748B"/>
    <w:rsid w:val="00F9767A"/>
    <w:rsid w:val="00F97B8A"/>
    <w:rsid w:val="00FA0327"/>
    <w:rsid w:val="00FA0A90"/>
    <w:rsid w:val="00FA0B70"/>
    <w:rsid w:val="00FA16D0"/>
    <w:rsid w:val="00FA1DEB"/>
    <w:rsid w:val="00FA230D"/>
    <w:rsid w:val="00FA2CC2"/>
    <w:rsid w:val="00FA312C"/>
    <w:rsid w:val="00FA31A7"/>
    <w:rsid w:val="00FA32CA"/>
    <w:rsid w:val="00FA3C51"/>
    <w:rsid w:val="00FA4CE5"/>
    <w:rsid w:val="00FA7B55"/>
    <w:rsid w:val="00FA7E8B"/>
    <w:rsid w:val="00FA7E90"/>
    <w:rsid w:val="00FB015F"/>
    <w:rsid w:val="00FB0478"/>
    <w:rsid w:val="00FB2282"/>
    <w:rsid w:val="00FB30F4"/>
    <w:rsid w:val="00FB3717"/>
    <w:rsid w:val="00FB3D83"/>
    <w:rsid w:val="00FB4E9E"/>
    <w:rsid w:val="00FB6136"/>
    <w:rsid w:val="00FB7655"/>
    <w:rsid w:val="00FB77F8"/>
    <w:rsid w:val="00FB7915"/>
    <w:rsid w:val="00FC0281"/>
    <w:rsid w:val="00FC02C8"/>
    <w:rsid w:val="00FC0A38"/>
    <w:rsid w:val="00FC0ED2"/>
    <w:rsid w:val="00FC2ADE"/>
    <w:rsid w:val="00FC3246"/>
    <w:rsid w:val="00FC33F2"/>
    <w:rsid w:val="00FC4611"/>
    <w:rsid w:val="00FC4781"/>
    <w:rsid w:val="00FC4E57"/>
    <w:rsid w:val="00FC5032"/>
    <w:rsid w:val="00FC556D"/>
    <w:rsid w:val="00FC592E"/>
    <w:rsid w:val="00FC5E4C"/>
    <w:rsid w:val="00FC65A5"/>
    <w:rsid w:val="00FC6988"/>
    <w:rsid w:val="00FC728C"/>
    <w:rsid w:val="00FC7B79"/>
    <w:rsid w:val="00FC7C6F"/>
    <w:rsid w:val="00FD0649"/>
    <w:rsid w:val="00FD111A"/>
    <w:rsid w:val="00FD272F"/>
    <w:rsid w:val="00FD2931"/>
    <w:rsid w:val="00FD3525"/>
    <w:rsid w:val="00FD38FF"/>
    <w:rsid w:val="00FD3EE1"/>
    <w:rsid w:val="00FD51A6"/>
    <w:rsid w:val="00FD5855"/>
    <w:rsid w:val="00FD656A"/>
    <w:rsid w:val="00FD6818"/>
    <w:rsid w:val="00FD6C4F"/>
    <w:rsid w:val="00FD6FC9"/>
    <w:rsid w:val="00FD71F6"/>
    <w:rsid w:val="00FD7246"/>
    <w:rsid w:val="00FE11A4"/>
    <w:rsid w:val="00FE164A"/>
    <w:rsid w:val="00FE1D59"/>
    <w:rsid w:val="00FE291B"/>
    <w:rsid w:val="00FE2E1A"/>
    <w:rsid w:val="00FE3867"/>
    <w:rsid w:val="00FE73CC"/>
    <w:rsid w:val="00FE7966"/>
    <w:rsid w:val="00FE7D6C"/>
    <w:rsid w:val="00FF018B"/>
    <w:rsid w:val="00FF085A"/>
    <w:rsid w:val="00FF1788"/>
    <w:rsid w:val="00FF1925"/>
    <w:rsid w:val="00FF29ED"/>
    <w:rsid w:val="00FF3B16"/>
    <w:rsid w:val="00FF3B80"/>
    <w:rsid w:val="00FF3F97"/>
    <w:rsid w:val="00FF47C0"/>
    <w:rsid w:val="00FF4B42"/>
    <w:rsid w:val="00FF559C"/>
    <w:rsid w:val="00FF5645"/>
    <w:rsid w:val="00FF5F80"/>
    <w:rsid w:val="00FF6765"/>
    <w:rsid w:val="00FF769C"/>
    <w:rsid w:val="00FF7D7F"/>
    <w:rsid w:val="00FF7F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18164"/>
  <w15:docId w15:val="{64AA6685-4827-4E87-BC0B-163A03562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4" w:qFormat="1"/>
    <w:lsdException w:name="heading 2" w:locked="0" w:uiPriority="4" w:qFormat="1"/>
    <w:lsdException w:name="heading 3" w:locked="0" w:uiPriority="4" w:qFormat="1"/>
    <w:lsdException w:name="heading 4" w:locked="0" w:uiPriority="4" w:qFormat="1"/>
    <w:lsdException w:name="heading 5" w:locked="0" w:uiPriority="4" w:qFormat="1"/>
    <w:lsdException w:name="heading 6" w:locked="0" w:uiPriority="9" w:qFormat="1"/>
    <w:lsdException w:name="heading 7" w:locked="0" w:semiHidden="1" w:uiPriority="9" w:qFormat="1"/>
    <w:lsdException w:name="heading 8" w:locked="0" w:semiHidden="1" w:uiPriority="9" w:qFormat="1"/>
    <w:lsdException w:name="heading 9" w:locked="0" w:semiHidden="1" w:uiPriority="9"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uiPriority="39" w:unhideWhenUsed="1"/>
    <w:lsdException w:name="toc 2" w:locked="0" w:uiPriority="39" w:unhideWhenUsed="1"/>
    <w:lsdException w:name="toc 3" w:locked="0" w:uiPriority="39" w:unhideWhenUsed="1"/>
    <w:lsdException w:name="toc 4" w:locked="0" w:semiHidden="1" w:uiPriority="39"/>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locked="0" w:semiHidden="1"/>
    <w:lsdException w:name="footnote text" w:locked="0" w:semiHidden="1"/>
    <w:lsdException w:name="annotation text" w:locked="0" w:semiHidden="1"/>
    <w:lsdException w:name="header" w:locked="0" w:uiPriority="29" w:unhideWhenUsed="1"/>
    <w:lsdException w:name="footer" w:locked="0" w:unhideWhenUsed="1"/>
    <w:lsdException w:name="index heading" w:locked="0" w:semiHidden="1"/>
    <w:lsdException w:name="caption" w:locked="0" w:uiPriority="35" w:unhideWhenUsed="1" w:qFormat="1"/>
    <w:lsdException w:name="table of figures" w:locked="0" w:unhideWhenUsed="1"/>
    <w:lsdException w:name="envelope address" w:locked="0" w:semiHidden="1"/>
    <w:lsdException w:name="envelope return" w:locked="0" w:semiHidden="1"/>
    <w:lsdException w:name="footnote reference" w:locked="0" w:semiHidden="1"/>
    <w:lsdException w:name="annotation reference" w:locked="0" w:semiHidden="1"/>
    <w:lsdException w:name="line number" w:locked="0" w:semiHidden="1"/>
    <w:lsdException w:name="page number" w:locked="0" w:unhideWhenUsed="1"/>
    <w:lsdException w:name="endnote reference" w:locked="0" w:semiHidden="1"/>
    <w:lsdException w:name="endnote text" w:locked="0" w:semiHidden="1"/>
    <w:lsdException w:name="table of authorities" w:semiHidden="1"/>
    <w:lsdException w:name="macro" w:locked="0" w:semiHidden="1"/>
    <w:lsdException w:name="toa heading" w:locked="0" w:semiHidden="1"/>
    <w:lsdException w:name="List" w:locked="0" w:semiHidden="1"/>
    <w:lsdException w:name="List Bullet" w:locked="0" w:semiHidden="1" w:uiPriority="4" w:unhideWhenUsed="1" w:qFormat="1"/>
    <w:lsdException w:name="List Number" w:locked="0" w:semiHidden="1" w:uiPriority="5" w:unhideWhenUsed="1" w:qFormat="1"/>
    <w:lsdException w:name="List 2" w:locked="0" w:semiHidden="1"/>
    <w:lsdException w:name="List 3" w:locked="0" w:semiHidden="1"/>
    <w:lsdException w:name="List 4" w:locked="0" w:semiHidden="1"/>
    <w:lsdException w:name="List 5" w:locked="0" w:semiHidden="1"/>
    <w:lsdException w:name="List Bullet 2" w:locked="0" w:semiHidden="1" w:uiPriority="4" w:unhideWhenUsed="1" w:qFormat="1"/>
    <w:lsdException w:name="List Bullet 3" w:locked="0" w:semiHidden="1" w:uiPriority="4" w:unhideWhenUsed="1" w:qFormat="1"/>
    <w:lsdException w:name="List Bullet 4" w:locked="0" w:semiHidden="1"/>
    <w:lsdException w:name="List Bullet 5" w:locked="0" w:semiHidden="1"/>
    <w:lsdException w:name="List Number 2" w:locked="0" w:semiHidden="1" w:uiPriority="5" w:unhideWhenUsed="1" w:qFormat="1"/>
    <w:lsdException w:name="List Number 3" w:locked="0" w:semiHidden="1" w:uiPriority="5" w:unhideWhenUsed="1" w:qFormat="1"/>
    <w:lsdException w:name="List Number 4" w:locked="0" w:semiHidden="1"/>
    <w:lsdException w:name="List Number 5" w:locked="0" w:semiHidden="1"/>
    <w:lsdException w:name="Title" w:locked="0" w:uiPriority="24"/>
    <w:lsdException w:name="Closing" w:locked="0" w:semiHidden="1"/>
    <w:lsdException w:name="Signature" w:locked="0" w:semiHidden="1" w:uiPriority="23"/>
    <w:lsdException w:name="Default Paragraph Font" w:locked="0" w:semiHidden="1" w:uiPriority="1" w:unhideWhenUsed="1"/>
    <w:lsdException w:name="Body Text" w:locked="0" w:uiPriority="0" w:unhideWhenUsed="1" w:qFormat="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uiPriority="24"/>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unhideWhenUsed="1" w:qFormat="1"/>
    <w:lsdException w:name="FollowedHyperlink" w:locked="0" w:semiHidden="1"/>
    <w:lsdException w:name="Strong" w:locked="0" w:semiHidden="1" w:uiPriority="22" w:qFormat="1"/>
    <w:lsdException w:name="Emphasis" w:locked="0" w:semiHidden="1" w:uiPriority="20" w:qFormat="1"/>
    <w:lsdException w:name="Document Map" w:locked="0" w:semiHidden="1"/>
    <w:lsdException w:name="Plain Text" w:locked="0" w:semiHidden="1"/>
    <w:lsdException w:name="E-mail Signature" w:locked="0" w:semiHidden="1"/>
    <w:lsdException w:name="HTML Top of Form" w:locked="0" w:semiHidden="1" w:unhideWhenUsed="1"/>
    <w:lsdException w:name="HTML Bottom of Form" w:locked="0" w:semiHidden="1" w:unhideWhenUsed="1"/>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unhideWhenUsed="1"/>
    <w:lsdException w:name="Normal Table" w:locked="0" w:semiHidden="1" w:unhideWhenUsed="1"/>
    <w:lsdException w:name="annotation subject" w:locked="0" w:semiHidden="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9" w:qFormat="1"/>
    <w:lsdException w:name="Intense Quote" w:locked="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qFormat="1"/>
    <w:lsdException w:name="Intense Emphasis" w:locked="0" w:semiHidden="1" w:qFormat="1"/>
    <w:lsdException w:name="Subtle Reference" w:locked="0" w:semiHidden="1" w:qFormat="1"/>
    <w:lsdException w:name="Intense Reference" w:locked="0" w:semiHidden="1" w:qFormat="1"/>
    <w:lsdException w:name="Book Title" w:locked="0" w:semiHidden="1" w:qFormat="1"/>
    <w:lsdException w:name="Bibliography" w:locked="0" w:semiHidden="1"/>
    <w:lsdException w:name="TOC Heading" w:locked="0" w:semiHidden="1" w:uiPriority="2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semiHidden/>
    <w:qFormat/>
    <w:rsid w:val="007665C8"/>
    <w:pPr>
      <w:spacing w:before="40" w:after="40" w:line="240" w:lineRule="auto"/>
    </w:pPr>
    <w:rPr>
      <w:rFonts w:ascii="Arial" w:hAnsi="Arial"/>
      <w:sz w:val="22"/>
      <w:lang w:val="en-AU"/>
    </w:rPr>
  </w:style>
  <w:style w:type="paragraph" w:styleId="Heading1">
    <w:name w:val="heading 1"/>
    <w:basedOn w:val="BodyText"/>
    <w:next w:val="BodyText"/>
    <w:link w:val="Heading1Char"/>
    <w:uiPriority w:val="9"/>
    <w:qFormat/>
    <w:rsid w:val="00B320F0"/>
    <w:pPr>
      <w:keepNext/>
      <w:spacing w:before="0" w:after="400"/>
      <w:outlineLvl w:val="0"/>
    </w:pPr>
    <w:rPr>
      <w:rFonts w:eastAsia="Times New Roman" w:cs="Arial"/>
      <w:b/>
      <w:bCs/>
      <w:color w:val="4B0985"/>
      <w:sz w:val="48"/>
      <w:szCs w:val="32"/>
      <w:lang w:eastAsia="en-AU"/>
    </w:rPr>
  </w:style>
  <w:style w:type="paragraph" w:styleId="Heading2">
    <w:name w:val="heading 2"/>
    <w:basedOn w:val="Heading1"/>
    <w:next w:val="BodyText"/>
    <w:link w:val="Heading2Char"/>
    <w:uiPriority w:val="9"/>
    <w:qFormat/>
    <w:rsid w:val="00B96396"/>
    <w:pPr>
      <w:numPr>
        <w:ilvl w:val="1"/>
      </w:numPr>
      <w:tabs>
        <w:tab w:val="clear" w:pos="357"/>
        <w:tab w:val="clear" w:pos="714"/>
        <w:tab w:val="clear" w:pos="1429"/>
      </w:tabs>
      <w:spacing w:before="240" w:after="0"/>
      <w:outlineLvl w:val="1"/>
    </w:pPr>
    <w:rPr>
      <w:bCs w:val="0"/>
      <w:iCs/>
      <w:color w:val="2F005F"/>
      <w:sz w:val="32"/>
      <w:szCs w:val="28"/>
    </w:rPr>
  </w:style>
  <w:style w:type="paragraph" w:styleId="Heading3">
    <w:name w:val="heading 3"/>
    <w:basedOn w:val="Heading1"/>
    <w:next w:val="BodyText"/>
    <w:link w:val="Heading3Char"/>
    <w:uiPriority w:val="9"/>
    <w:qFormat/>
    <w:rsid w:val="00925D48"/>
    <w:pPr>
      <w:numPr>
        <w:ilvl w:val="2"/>
      </w:numPr>
      <w:tabs>
        <w:tab w:val="clear" w:pos="357"/>
        <w:tab w:val="clear" w:pos="714"/>
        <w:tab w:val="clear" w:pos="1429"/>
      </w:tabs>
      <w:spacing w:before="240" w:after="0"/>
      <w:outlineLvl w:val="2"/>
    </w:pPr>
    <w:rPr>
      <w:bCs w:val="0"/>
      <w:sz w:val="26"/>
      <w:szCs w:val="26"/>
    </w:rPr>
  </w:style>
  <w:style w:type="paragraph" w:styleId="Heading4">
    <w:name w:val="heading 4"/>
    <w:basedOn w:val="Heading1"/>
    <w:next w:val="BodyText"/>
    <w:link w:val="Heading4Char"/>
    <w:uiPriority w:val="9"/>
    <w:qFormat/>
    <w:rsid w:val="00925D48"/>
    <w:pPr>
      <w:numPr>
        <w:ilvl w:val="3"/>
      </w:numPr>
      <w:tabs>
        <w:tab w:val="clear" w:pos="357"/>
        <w:tab w:val="clear" w:pos="714"/>
        <w:tab w:val="clear" w:pos="1429"/>
      </w:tabs>
      <w:spacing w:before="240" w:after="0"/>
      <w:outlineLvl w:val="3"/>
    </w:pPr>
    <w:rPr>
      <w:bCs w:val="0"/>
      <w:color w:val="012749"/>
      <w:sz w:val="22"/>
      <w:szCs w:val="21"/>
    </w:rPr>
  </w:style>
  <w:style w:type="paragraph" w:styleId="Heading5">
    <w:name w:val="heading 5"/>
    <w:basedOn w:val="Normal"/>
    <w:next w:val="Normal"/>
    <w:link w:val="Heading5Char"/>
    <w:uiPriority w:val="9"/>
    <w:qFormat/>
    <w:rsid w:val="00925D48"/>
    <w:pPr>
      <w:tabs>
        <w:tab w:val="left" w:pos="1072"/>
      </w:tabs>
      <w:spacing w:before="240" w:after="0" w:line="276" w:lineRule="auto"/>
      <w:outlineLvl w:val="4"/>
    </w:pPr>
    <w:rPr>
      <w:rFonts w:eastAsia="Times New Roman" w:cs="Times New Roman"/>
      <w:bCs/>
      <w:iCs/>
      <w:color w:val="4B0885"/>
      <w:lang w:val="en-GB" w:eastAsia="en-AU"/>
    </w:rPr>
  </w:style>
  <w:style w:type="paragraph" w:styleId="Heading6">
    <w:name w:val="heading 6"/>
    <w:basedOn w:val="Normal"/>
    <w:next w:val="Normal"/>
    <w:link w:val="Heading6Char"/>
    <w:uiPriority w:val="9"/>
    <w:semiHidden/>
    <w:qFormat/>
    <w:rsid w:val="003C7246"/>
    <w:pPr>
      <w:keepNext/>
      <w:keepLines/>
      <w:spacing w:before="240" w:after="0" w:line="276" w:lineRule="auto"/>
      <w:outlineLvl w:val="5"/>
    </w:pPr>
    <w:rPr>
      <w:rFonts w:eastAsiaTheme="majorEastAsia" w:cstheme="majorBidi"/>
      <w:color w:val="4B0885"/>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D26D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6D8"/>
    <w:rPr>
      <w:rFonts w:ascii="Tahoma" w:hAnsi="Tahoma" w:cs="Tahoma"/>
      <w:sz w:val="16"/>
      <w:szCs w:val="16"/>
    </w:rPr>
  </w:style>
  <w:style w:type="paragraph" w:styleId="ListBullet">
    <w:name w:val="List Bullet"/>
    <w:basedOn w:val="Normal"/>
    <w:uiPriority w:val="4"/>
    <w:qFormat/>
    <w:rsid w:val="005002B4"/>
    <w:pPr>
      <w:numPr>
        <w:numId w:val="23"/>
      </w:numPr>
      <w:spacing w:before="120" w:after="120" w:line="276" w:lineRule="auto"/>
      <w:ind w:left="357" w:hanging="357"/>
    </w:pPr>
    <w:rPr>
      <w:rFonts w:eastAsia="Times New Roman" w:cs="Times New Roman"/>
      <w:szCs w:val="24"/>
      <w:lang w:eastAsia="en-GB"/>
    </w:rPr>
  </w:style>
  <w:style w:type="numbering" w:customStyle="1" w:styleId="ListBulletmaster">
    <w:name w:val="List Bullet (master)"/>
    <w:rsid w:val="006E4F12"/>
    <w:pPr>
      <w:numPr>
        <w:numId w:val="4"/>
      </w:numPr>
    </w:pPr>
  </w:style>
  <w:style w:type="paragraph" w:styleId="ListBullet2">
    <w:name w:val="List Bullet 2"/>
    <w:basedOn w:val="Normal"/>
    <w:uiPriority w:val="4"/>
    <w:qFormat/>
    <w:rsid w:val="005002B4"/>
    <w:pPr>
      <w:numPr>
        <w:ilvl w:val="1"/>
        <w:numId w:val="23"/>
      </w:numPr>
      <w:spacing w:before="120" w:after="120" w:line="276" w:lineRule="auto"/>
    </w:pPr>
    <w:rPr>
      <w:rFonts w:eastAsia="Times New Roman" w:cs="Times New Roman"/>
      <w:szCs w:val="24"/>
      <w:lang w:eastAsia="en-GB"/>
    </w:rPr>
  </w:style>
  <w:style w:type="paragraph" w:styleId="ListBullet3">
    <w:name w:val="List Bullet 3"/>
    <w:basedOn w:val="Normal"/>
    <w:uiPriority w:val="4"/>
    <w:qFormat/>
    <w:rsid w:val="005002B4"/>
    <w:pPr>
      <w:numPr>
        <w:ilvl w:val="2"/>
        <w:numId w:val="23"/>
      </w:numPr>
      <w:spacing w:before="120" w:after="120" w:line="276" w:lineRule="auto"/>
      <w:ind w:left="1071" w:hanging="357"/>
    </w:pPr>
    <w:rPr>
      <w:rFonts w:eastAsia="Times New Roman" w:cs="Times New Roman"/>
      <w:szCs w:val="24"/>
      <w:lang w:eastAsia="en-GB"/>
    </w:rPr>
  </w:style>
  <w:style w:type="numbering" w:customStyle="1" w:styleId="ListNumbermaster">
    <w:name w:val="List Number (master)"/>
    <w:rsid w:val="000419F4"/>
    <w:pPr>
      <w:numPr>
        <w:numId w:val="5"/>
      </w:numPr>
    </w:pPr>
  </w:style>
  <w:style w:type="paragraph" w:styleId="ListNumber2">
    <w:name w:val="List Number 2"/>
    <w:basedOn w:val="Normal"/>
    <w:uiPriority w:val="5"/>
    <w:qFormat/>
    <w:rsid w:val="005002B4"/>
    <w:pPr>
      <w:numPr>
        <w:ilvl w:val="1"/>
        <w:numId w:val="10"/>
      </w:numPr>
      <w:spacing w:before="120" w:after="120" w:line="276" w:lineRule="auto"/>
      <w:ind w:left="714" w:hanging="357"/>
    </w:pPr>
    <w:rPr>
      <w:rFonts w:eastAsia="Times New Roman" w:cs="Times New Roman"/>
      <w:szCs w:val="24"/>
      <w:lang w:eastAsia="en-GB"/>
    </w:rPr>
  </w:style>
  <w:style w:type="paragraph" w:styleId="ListNumber3">
    <w:name w:val="List Number 3"/>
    <w:basedOn w:val="Normal"/>
    <w:uiPriority w:val="5"/>
    <w:qFormat/>
    <w:rsid w:val="005002B4"/>
    <w:pPr>
      <w:numPr>
        <w:ilvl w:val="2"/>
        <w:numId w:val="10"/>
      </w:numPr>
      <w:spacing w:before="120" w:after="120" w:line="276" w:lineRule="auto"/>
      <w:ind w:left="1077" w:hanging="357"/>
    </w:pPr>
    <w:rPr>
      <w:rFonts w:eastAsia="Times New Roman" w:cs="Times New Roman"/>
      <w:szCs w:val="24"/>
      <w:lang w:eastAsia="en-GB"/>
    </w:rPr>
  </w:style>
  <w:style w:type="paragraph" w:styleId="ListNumber">
    <w:name w:val="List Number"/>
    <w:basedOn w:val="Normal"/>
    <w:uiPriority w:val="5"/>
    <w:qFormat/>
    <w:rsid w:val="005002B4"/>
    <w:pPr>
      <w:numPr>
        <w:numId w:val="10"/>
      </w:numPr>
      <w:spacing w:before="120" w:after="120" w:line="276" w:lineRule="auto"/>
      <w:ind w:left="357" w:hanging="357"/>
    </w:pPr>
    <w:rPr>
      <w:rFonts w:eastAsia="Times New Roman" w:cs="Times New Roman"/>
      <w:szCs w:val="24"/>
      <w:lang w:eastAsia="en-GB"/>
    </w:rPr>
  </w:style>
  <w:style w:type="paragraph" w:styleId="NoSpacing">
    <w:name w:val="No Spacing"/>
    <w:link w:val="NoSpacingChar"/>
    <w:uiPriority w:val="1"/>
    <w:semiHidden/>
    <w:qFormat/>
    <w:rsid w:val="006722C0"/>
    <w:pPr>
      <w:spacing w:after="0" w:line="240" w:lineRule="auto"/>
    </w:pPr>
    <w:rPr>
      <w:rFonts w:ascii="Arial" w:eastAsia="Times New Roman" w:hAnsi="Arial" w:cs="Times New Roman"/>
      <w:sz w:val="2"/>
      <w:szCs w:val="24"/>
      <w:lang w:val="en-AU" w:eastAsia="en-GB"/>
    </w:rPr>
  </w:style>
  <w:style w:type="paragraph" w:customStyle="1" w:styleId="TableHeading1">
    <w:name w:val="Table Heading 1"/>
    <w:basedOn w:val="Normal"/>
    <w:uiPriority w:val="13"/>
    <w:qFormat/>
    <w:rsid w:val="0082152E"/>
    <w:pPr>
      <w:spacing w:before="80" w:after="80"/>
    </w:pPr>
    <w:rPr>
      <w:rFonts w:eastAsia="Times New Roman" w:cs="Times New Roman"/>
      <w:bCs/>
      <w:sz w:val="20"/>
      <w:szCs w:val="24"/>
      <w:lang w:eastAsia="en-GB"/>
    </w:rPr>
  </w:style>
  <w:style w:type="paragraph" w:customStyle="1" w:styleId="TableListBullet">
    <w:name w:val="Table List Bullet"/>
    <w:basedOn w:val="Normal"/>
    <w:uiPriority w:val="15"/>
    <w:qFormat/>
    <w:rsid w:val="0082152E"/>
    <w:pPr>
      <w:numPr>
        <w:numId w:val="28"/>
      </w:numPr>
      <w:spacing w:before="80" w:after="80"/>
    </w:pPr>
    <w:rPr>
      <w:rFonts w:eastAsia="Times New Roman" w:cs="Times New Roman"/>
      <w:bCs/>
      <w:sz w:val="20"/>
      <w:szCs w:val="24"/>
      <w:lang w:eastAsia="en-GB"/>
    </w:rPr>
  </w:style>
  <w:style w:type="numbering" w:customStyle="1" w:styleId="TableListBulletmaster">
    <w:name w:val="Table List Bullet (master)"/>
    <w:rsid w:val="00CF6974"/>
    <w:pPr>
      <w:numPr>
        <w:numId w:val="6"/>
      </w:numPr>
    </w:pPr>
  </w:style>
  <w:style w:type="paragraph" w:customStyle="1" w:styleId="TableListBullet2">
    <w:name w:val="Table List Bullet 2"/>
    <w:basedOn w:val="TableListBullet"/>
    <w:uiPriority w:val="15"/>
    <w:qFormat/>
    <w:rsid w:val="00544654"/>
    <w:pPr>
      <w:numPr>
        <w:ilvl w:val="1"/>
      </w:numPr>
      <w:ind w:left="568" w:hanging="284"/>
    </w:pPr>
  </w:style>
  <w:style w:type="paragraph" w:customStyle="1" w:styleId="TableListNumber">
    <w:name w:val="Table List Number"/>
    <w:basedOn w:val="Normal"/>
    <w:uiPriority w:val="15"/>
    <w:qFormat/>
    <w:rsid w:val="0082152E"/>
    <w:pPr>
      <w:numPr>
        <w:numId w:val="29"/>
      </w:numPr>
      <w:spacing w:before="80" w:after="80"/>
    </w:pPr>
    <w:rPr>
      <w:rFonts w:eastAsia="Times New Roman" w:cs="Times New Roman"/>
      <w:bCs/>
      <w:sz w:val="20"/>
      <w:szCs w:val="24"/>
      <w:lang w:eastAsia="en-GB"/>
    </w:rPr>
  </w:style>
  <w:style w:type="numbering" w:customStyle="1" w:styleId="TableListNumbermaster">
    <w:name w:val="Table List Number (master)"/>
    <w:rsid w:val="00CF6974"/>
    <w:pPr>
      <w:numPr>
        <w:numId w:val="7"/>
      </w:numPr>
    </w:pPr>
  </w:style>
  <w:style w:type="paragraph" w:customStyle="1" w:styleId="TableListNumber2">
    <w:name w:val="Table List Number 2"/>
    <w:basedOn w:val="TableListNumber"/>
    <w:uiPriority w:val="15"/>
    <w:qFormat/>
    <w:rsid w:val="0082152E"/>
    <w:pPr>
      <w:numPr>
        <w:ilvl w:val="1"/>
      </w:numPr>
      <w:ind w:left="568" w:hanging="284"/>
    </w:pPr>
  </w:style>
  <w:style w:type="paragraph" w:customStyle="1" w:styleId="TableBodyText">
    <w:name w:val="Table Body Text"/>
    <w:basedOn w:val="Normal"/>
    <w:uiPriority w:val="14"/>
    <w:qFormat/>
    <w:rsid w:val="0082152E"/>
    <w:pPr>
      <w:spacing w:before="80" w:after="80"/>
    </w:pPr>
    <w:rPr>
      <w:rFonts w:eastAsia="Times New Roman" w:cs="Times New Roman"/>
      <w:bCs/>
      <w:sz w:val="20"/>
      <w:szCs w:val="24"/>
      <w:lang w:eastAsia="en-GB"/>
    </w:rPr>
  </w:style>
  <w:style w:type="paragraph" w:customStyle="1" w:styleId="TableBodyTextsmall">
    <w:name w:val="Table Body Text (small)"/>
    <w:basedOn w:val="TableBodyText"/>
    <w:uiPriority w:val="16"/>
    <w:semiHidden/>
    <w:qFormat/>
    <w:rsid w:val="00544654"/>
    <w:pPr>
      <w:spacing w:before="20" w:after="20"/>
    </w:pPr>
    <w:rPr>
      <w:sz w:val="15"/>
    </w:rPr>
  </w:style>
  <w:style w:type="character" w:customStyle="1" w:styleId="Characterbold">
    <w:name w:val="Character (bold)"/>
    <w:basedOn w:val="DefaultParagraphFont"/>
    <w:uiPriority w:val="2"/>
    <w:qFormat/>
    <w:rsid w:val="005012B2"/>
    <w:rPr>
      <w:b/>
      <w:lang w:val="en-AU"/>
    </w:rPr>
  </w:style>
  <w:style w:type="character" w:customStyle="1" w:styleId="Characteritalic">
    <w:name w:val="Character (italic)"/>
    <w:basedOn w:val="DefaultParagraphFont"/>
    <w:uiPriority w:val="2"/>
    <w:qFormat/>
    <w:rsid w:val="005012B2"/>
    <w:rPr>
      <w:i/>
      <w:lang w:val="en-AU"/>
    </w:rPr>
  </w:style>
  <w:style w:type="character" w:customStyle="1" w:styleId="Charactersubscript">
    <w:name w:val="Character (subscript)"/>
    <w:basedOn w:val="DefaultParagraphFont"/>
    <w:uiPriority w:val="3"/>
    <w:qFormat/>
    <w:rsid w:val="005012B2"/>
    <w:rPr>
      <w:vertAlign w:val="subscript"/>
      <w:lang w:val="en-AU"/>
    </w:rPr>
  </w:style>
  <w:style w:type="character" w:customStyle="1" w:styleId="Charactersuperscript">
    <w:name w:val="Character (superscript)"/>
    <w:basedOn w:val="DefaultParagraphFont"/>
    <w:uiPriority w:val="3"/>
    <w:qFormat/>
    <w:rsid w:val="005012B2"/>
    <w:rPr>
      <w:vertAlign w:val="superscript"/>
      <w:lang w:val="en-AU"/>
    </w:rPr>
  </w:style>
  <w:style w:type="paragraph" w:styleId="ListParagraph">
    <w:name w:val="List Paragraph"/>
    <w:basedOn w:val="Normal"/>
    <w:uiPriority w:val="34"/>
    <w:qFormat/>
    <w:rsid w:val="0023754A"/>
    <w:pPr>
      <w:ind w:left="720"/>
      <w:contextualSpacing/>
    </w:pPr>
  </w:style>
  <w:style w:type="character" w:customStyle="1" w:styleId="Heading1Char">
    <w:name w:val="Heading 1 Char"/>
    <w:basedOn w:val="DefaultParagraphFont"/>
    <w:link w:val="Heading1"/>
    <w:uiPriority w:val="9"/>
    <w:rsid w:val="00B320F0"/>
    <w:rPr>
      <w:rFonts w:ascii="Arial" w:eastAsia="Times New Roman" w:hAnsi="Arial" w:cs="Arial"/>
      <w:b/>
      <w:bCs/>
      <w:color w:val="4B0985"/>
      <w:sz w:val="48"/>
      <w:szCs w:val="32"/>
      <w:lang w:val="en-AU" w:eastAsia="en-AU"/>
    </w:rPr>
  </w:style>
  <w:style w:type="character" w:customStyle="1" w:styleId="Heading2Char">
    <w:name w:val="Heading 2 Char"/>
    <w:basedOn w:val="DefaultParagraphFont"/>
    <w:link w:val="Heading2"/>
    <w:uiPriority w:val="9"/>
    <w:rsid w:val="00B96396"/>
    <w:rPr>
      <w:rFonts w:ascii="Arial" w:eastAsia="Times New Roman" w:hAnsi="Arial" w:cs="Arial"/>
      <w:b/>
      <w:iCs/>
      <w:color w:val="2F005F"/>
      <w:sz w:val="32"/>
      <w:szCs w:val="28"/>
      <w:lang w:val="en-AU" w:eastAsia="en-AU"/>
    </w:rPr>
  </w:style>
  <w:style w:type="character" w:customStyle="1" w:styleId="Heading3Char">
    <w:name w:val="Heading 3 Char"/>
    <w:basedOn w:val="DefaultParagraphFont"/>
    <w:link w:val="Heading3"/>
    <w:uiPriority w:val="9"/>
    <w:rsid w:val="00925D48"/>
    <w:rPr>
      <w:rFonts w:ascii="Arial" w:eastAsia="Times New Roman" w:hAnsi="Arial" w:cs="Arial"/>
      <w:b/>
      <w:color w:val="4B0985"/>
      <w:sz w:val="26"/>
      <w:szCs w:val="26"/>
      <w:lang w:val="en-AU" w:eastAsia="en-AU"/>
    </w:rPr>
  </w:style>
  <w:style w:type="character" w:customStyle="1" w:styleId="Heading4Char">
    <w:name w:val="Heading 4 Char"/>
    <w:basedOn w:val="DefaultParagraphFont"/>
    <w:link w:val="Heading4"/>
    <w:uiPriority w:val="9"/>
    <w:rsid w:val="00925D48"/>
    <w:rPr>
      <w:rFonts w:ascii="Arial" w:eastAsia="Times New Roman" w:hAnsi="Arial" w:cs="Arial"/>
      <w:b/>
      <w:color w:val="012749"/>
      <w:sz w:val="22"/>
      <w:szCs w:val="21"/>
      <w:lang w:val="en-AU" w:eastAsia="en-AU"/>
    </w:rPr>
  </w:style>
  <w:style w:type="character" w:customStyle="1" w:styleId="Heading5Char">
    <w:name w:val="Heading 5 Char"/>
    <w:basedOn w:val="DefaultParagraphFont"/>
    <w:link w:val="Heading5"/>
    <w:uiPriority w:val="9"/>
    <w:rsid w:val="00925D48"/>
    <w:rPr>
      <w:rFonts w:ascii="Arial" w:eastAsia="Times New Roman" w:hAnsi="Arial" w:cs="Times New Roman"/>
      <w:bCs/>
      <w:iCs/>
      <w:color w:val="4B0885"/>
      <w:sz w:val="22"/>
      <w:lang w:val="en-GB" w:eastAsia="en-AU"/>
    </w:rPr>
  </w:style>
  <w:style w:type="paragraph" w:customStyle="1" w:styleId="AppendixHeading1">
    <w:name w:val="Appendix Heading 1"/>
    <w:basedOn w:val="Heading1"/>
    <w:next w:val="BodyText"/>
    <w:uiPriority w:val="11"/>
    <w:qFormat/>
    <w:rsid w:val="009279DF"/>
    <w:pPr>
      <w:keepNext w:val="0"/>
      <w:numPr>
        <w:numId w:val="32"/>
      </w:numPr>
      <w:tabs>
        <w:tab w:val="left" w:pos="2268"/>
      </w:tabs>
      <w:suppressAutoHyphens/>
      <w:spacing w:after="800"/>
      <w:ind w:left="3402" w:hanging="3402"/>
    </w:pPr>
    <w:rPr>
      <w:szCs w:val="30"/>
    </w:rPr>
  </w:style>
  <w:style w:type="numbering" w:customStyle="1" w:styleId="AppendixHeadingmaster">
    <w:name w:val="Appendix Heading (master)"/>
    <w:uiPriority w:val="99"/>
    <w:rsid w:val="004A69CF"/>
    <w:pPr>
      <w:numPr>
        <w:numId w:val="1"/>
      </w:numPr>
    </w:pPr>
  </w:style>
  <w:style w:type="paragraph" w:styleId="BodyText">
    <w:name w:val="Body Text"/>
    <w:basedOn w:val="Normal"/>
    <w:link w:val="BodyTextChar"/>
    <w:qFormat/>
    <w:rsid w:val="00E77B5D"/>
    <w:pPr>
      <w:tabs>
        <w:tab w:val="left" w:pos="357"/>
        <w:tab w:val="left" w:pos="714"/>
        <w:tab w:val="left" w:pos="1072"/>
        <w:tab w:val="left" w:pos="1429"/>
      </w:tabs>
      <w:spacing w:before="120" w:after="120" w:line="276" w:lineRule="auto"/>
    </w:pPr>
  </w:style>
  <w:style w:type="character" w:customStyle="1" w:styleId="BodyTextChar">
    <w:name w:val="Body Text Char"/>
    <w:basedOn w:val="DefaultParagraphFont"/>
    <w:link w:val="BodyText"/>
    <w:rsid w:val="00E77B5D"/>
    <w:rPr>
      <w:rFonts w:ascii="Arial" w:hAnsi="Arial"/>
      <w:sz w:val="22"/>
      <w:lang w:val="en-AU"/>
    </w:rPr>
  </w:style>
  <w:style w:type="paragraph" w:customStyle="1" w:styleId="AppendixHeading2">
    <w:name w:val="Appendix Heading 2"/>
    <w:basedOn w:val="AppendixHeading1"/>
    <w:next w:val="BodyText"/>
    <w:uiPriority w:val="11"/>
    <w:qFormat/>
    <w:rsid w:val="00281D65"/>
    <w:pPr>
      <w:keepNext/>
      <w:numPr>
        <w:ilvl w:val="1"/>
      </w:numPr>
      <w:spacing w:after="120"/>
    </w:pPr>
    <w:rPr>
      <w:color w:val="012749"/>
      <w:sz w:val="28"/>
    </w:rPr>
  </w:style>
  <w:style w:type="paragraph" w:customStyle="1" w:styleId="AppendixHeading3">
    <w:name w:val="Appendix Heading 3"/>
    <w:basedOn w:val="Heading1"/>
    <w:next w:val="BodyText"/>
    <w:uiPriority w:val="11"/>
    <w:semiHidden/>
    <w:rsid w:val="000419F4"/>
    <w:pPr>
      <w:suppressAutoHyphens/>
      <w:spacing w:after="120" w:line="312" w:lineRule="auto"/>
    </w:pPr>
    <w:rPr>
      <w:b w:val="0"/>
      <w:color w:val="0C9FCD"/>
      <w:sz w:val="26"/>
      <w:szCs w:val="30"/>
    </w:rPr>
  </w:style>
  <w:style w:type="paragraph" w:customStyle="1" w:styleId="Heading1unnumbered">
    <w:name w:val="Heading 1 (unnumbered)"/>
    <w:basedOn w:val="Heading1"/>
    <w:next w:val="BodyText"/>
    <w:uiPriority w:val="10"/>
    <w:semiHidden/>
    <w:rsid w:val="00127F9F"/>
    <w:pPr>
      <w:spacing w:after="0"/>
    </w:pPr>
  </w:style>
  <w:style w:type="numbering" w:customStyle="1" w:styleId="Headingsmaster">
    <w:name w:val="Headings (master)"/>
    <w:uiPriority w:val="99"/>
    <w:rsid w:val="00E26406"/>
    <w:pPr>
      <w:numPr>
        <w:numId w:val="3"/>
      </w:numPr>
    </w:pPr>
  </w:style>
  <w:style w:type="paragraph" w:customStyle="1" w:styleId="Image">
    <w:name w:val="Image"/>
    <w:basedOn w:val="Normal"/>
    <w:next w:val="BodyText"/>
    <w:uiPriority w:val="19"/>
    <w:qFormat/>
    <w:rsid w:val="00891E50"/>
    <w:pPr>
      <w:spacing w:before="120" w:after="120" w:line="276" w:lineRule="auto"/>
    </w:pPr>
    <w:rPr>
      <w:rFonts w:eastAsia="Times New Roman" w:cs="Times New Roman"/>
      <w:szCs w:val="24"/>
      <w:lang w:eastAsia="en-AU"/>
    </w:rPr>
  </w:style>
  <w:style w:type="paragraph" w:customStyle="1" w:styleId="InstructionalText">
    <w:name w:val="Instructional Text"/>
    <w:basedOn w:val="Normal"/>
    <w:uiPriority w:val="40"/>
    <w:semiHidden/>
    <w:rsid w:val="000419F4"/>
    <w:pPr>
      <w:spacing w:after="80" w:line="288" w:lineRule="auto"/>
    </w:pPr>
    <w:rPr>
      <w:rFonts w:eastAsia="Times New Roman" w:cs="Times New Roman"/>
      <w:vanish/>
      <w:color w:val="FF0000"/>
      <w:sz w:val="16"/>
      <w:szCs w:val="24"/>
      <w:lang w:eastAsia="en-GB"/>
    </w:rPr>
  </w:style>
  <w:style w:type="paragraph" w:customStyle="1" w:styleId="Source">
    <w:name w:val="Source"/>
    <w:basedOn w:val="TableBodyText"/>
    <w:next w:val="BodyText"/>
    <w:qFormat/>
    <w:rsid w:val="002B3BCD"/>
    <w:pPr>
      <w:spacing w:line="200" w:lineRule="atLeast"/>
    </w:pPr>
    <w:rPr>
      <w:sz w:val="17"/>
    </w:rPr>
  </w:style>
  <w:style w:type="paragraph" w:customStyle="1" w:styleId="TableBodyTextright">
    <w:name w:val="Table Body Text (right)"/>
    <w:basedOn w:val="TableBodyText"/>
    <w:uiPriority w:val="14"/>
    <w:qFormat/>
    <w:rsid w:val="0082152E"/>
    <w:pPr>
      <w:jc w:val="right"/>
    </w:pPr>
  </w:style>
  <w:style w:type="table" w:styleId="TableGrid">
    <w:name w:val="Table Grid"/>
    <w:basedOn w:val="TableNormal"/>
    <w:uiPriority w:val="59"/>
    <w:locked/>
    <w:rsid w:val="00D32F3C"/>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val="0"/>
        <w:sz w:val="18"/>
      </w:rPr>
      <w:tblPr/>
      <w:trPr>
        <w:tblHeader/>
      </w:trPr>
      <w:tcPr>
        <w:shd w:val="clear" w:color="auto" w:fill="F2F2F2" w:themeFill="background1" w:themeFillShade="F2"/>
      </w:tcPr>
    </w:tblStylePr>
  </w:style>
  <w:style w:type="paragraph" w:styleId="Quote">
    <w:name w:val="Quote"/>
    <w:basedOn w:val="Normal"/>
    <w:link w:val="QuoteChar"/>
    <w:uiPriority w:val="18"/>
    <w:qFormat/>
    <w:rsid w:val="00B96396"/>
    <w:pPr>
      <w:spacing w:before="120" w:after="120" w:line="23" w:lineRule="atLeast"/>
      <w:ind w:left="714" w:right="714"/>
      <w:jc w:val="center"/>
    </w:pPr>
    <w:rPr>
      <w:i/>
      <w:iCs/>
      <w:color w:val="0F2532"/>
    </w:rPr>
  </w:style>
  <w:style w:type="character" w:customStyle="1" w:styleId="QuoteChar">
    <w:name w:val="Quote Char"/>
    <w:basedOn w:val="DefaultParagraphFont"/>
    <w:link w:val="Quote"/>
    <w:uiPriority w:val="18"/>
    <w:rsid w:val="00B96396"/>
    <w:rPr>
      <w:rFonts w:ascii="Arial" w:hAnsi="Arial"/>
      <w:i/>
      <w:iCs/>
      <w:color w:val="0F2532"/>
      <w:sz w:val="22"/>
      <w:lang w:val="en-AU"/>
    </w:rPr>
  </w:style>
  <w:style w:type="paragraph" w:styleId="Header">
    <w:name w:val="header"/>
    <w:basedOn w:val="Normal"/>
    <w:link w:val="HeaderChar"/>
    <w:uiPriority w:val="24"/>
    <w:rsid w:val="004714FB"/>
    <w:pPr>
      <w:tabs>
        <w:tab w:val="right" w:pos="0"/>
        <w:tab w:val="center" w:pos="4680"/>
        <w:tab w:val="right" w:pos="9360"/>
      </w:tabs>
      <w:spacing w:line="276" w:lineRule="auto"/>
    </w:pPr>
    <w:rPr>
      <w:sz w:val="16"/>
    </w:rPr>
  </w:style>
  <w:style w:type="character" w:customStyle="1" w:styleId="HeaderChar">
    <w:name w:val="Header Char"/>
    <w:basedOn w:val="DefaultParagraphFont"/>
    <w:link w:val="Header"/>
    <w:uiPriority w:val="24"/>
    <w:semiHidden/>
    <w:rsid w:val="003F3496"/>
    <w:rPr>
      <w:rFonts w:ascii="Arial" w:hAnsi="Arial"/>
      <w:sz w:val="16"/>
      <w:lang w:val="en-AU"/>
    </w:rPr>
  </w:style>
  <w:style w:type="paragraph" w:styleId="Footer">
    <w:name w:val="footer"/>
    <w:basedOn w:val="Normal"/>
    <w:link w:val="FooterChar"/>
    <w:uiPriority w:val="24"/>
    <w:semiHidden/>
    <w:rsid w:val="004714FB"/>
    <w:pPr>
      <w:tabs>
        <w:tab w:val="right" w:pos="14629"/>
      </w:tabs>
      <w:spacing w:line="276" w:lineRule="auto"/>
    </w:pPr>
    <w:rPr>
      <w:sz w:val="16"/>
    </w:rPr>
  </w:style>
  <w:style w:type="character" w:customStyle="1" w:styleId="FooterChar">
    <w:name w:val="Footer Char"/>
    <w:basedOn w:val="DefaultParagraphFont"/>
    <w:link w:val="Footer"/>
    <w:uiPriority w:val="24"/>
    <w:semiHidden/>
    <w:rsid w:val="003F3496"/>
    <w:rPr>
      <w:rFonts w:ascii="Arial" w:hAnsi="Arial"/>
      <w:sz w:val="16"/>
      <w:lang w:val="en-AU"/>
    </w:rPr>
  </w:style>
  <w:style w:type="character" w:styleId="PageNumber">
    <w:name w:val="page number"/>
    <w:basedOn w:val="DefaultParagraphFont"/>
    <w:uiPriority w:val="24"/>
    <w:semiHidden/>
    <w:rsid w:val="005012B2"/>
    <w:rPr>
      <w:lang w:val="en-AU"/>
    </w:rPr>
  </w:style>
  <w:style w:type="table" w:styleId="LightShading">
    <w:name w:val="Light Shading"/>
    <w:basedOn w:val="TableNormal"/>
    <w:uiPriority w:val="60"/>
    <w:locked/>
    <w:rsid w:val="009076E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9076EA"/>
    <w:pPr>
      <w:spacing w:after="0" w:line="240" w:lineRule="auto"/>
    </w:pPr>
    <w:rPr>
      <w:color w:val="4E1E92" w:themeColor="accent1" w:themeShade="BF"/>
    </w:rPr>
    <w:tblPr>
      <w:tblStyleRowBandSize w:val="1"/>
      <w:tblStyleColBandSize w:val="1"/>
      <w:tblBorders>
        <w:top w:val="single" w:sz="8" w:space="0" w:color="6929C4" w:themeColor="accent1"/>
        <w:bottom w:val="single" w:sz="8" w:space="0" w:color="6929C4" w:themeColor="accent1"/>
      </w:tblBorders>
    </w:tblPr>
    <w:tblStylePr w:type="firstRow">
      <w:pPr>
        <w:spacing w:before="0" w:after="0" w:line="240" w:lineRule="auto"/>
      </w:pPr>
      <w:rPr>
        <w:b/>
        <w:bCs/>
      </w:rPr>
      <w:tblPr/>
      <w:tcPr>
        <w:tcBorders>
          <w:top w:val="single" w:sz="8" w:space="0" w:color="6929C4" w:themeColor="accent1"/>
          <w:left w:val="nil"/>
          <w:bottom w:val="single" w:sz="8" w:space="0" w:color="6929C4" w:themeColor="accent1"/>
          <w:right w:val="nil"/>
          <w:insideH w:val="nil"/>
          <w:insideV w:val="nil"/>
        </w:tcBorders>
      </w:tcPr>
    </w:tblStylePr>
    <w:tblStylePr w:type="lastRow">
      <w:pPr>
        <w:spacing w:before="0" w:after="0" w:line="240" w:lineRule="auto"/>
      </w:pPr>
      <w:rPr>
        <w:b/>
        <w:bCs/>
      </w:rPr>
      <w:tblPr/>
      <w:tcPr>
        <w:tcBorders>
          <w:top w:val="single" w:sz="8" w:space="0" w:color="6929C4" w:themeColor="accent1"/>
          <w:left w:val="nil"/>
          <w:bottom w:val="single" w:sz="8" w:space="0" w:color="6929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C7F3" w:themeFill="accent1" w:themeFillTint="3F"/>
      </w:tcPr>
    </w:tblStylePr>
    <w:tblStylePr w:type="band1Horz">
      <w:tblPr/>
      <w:tcPr>
        <w:tcBorders>
          <w:left w:val="nil"/>
          <w:right w:val="nil"/>
          <w:insideH w:val="nil"/>
          <w:insideV w:val="nil"/>
        </w:tcBorders>
        <w:shd w:val="clear" w:color="auto" w:fill="D9C7F3" w:themeFill="accent1" w:themeFillTint="3F"/>
      </w:tcPr>
    </w:tblStylePr>
  </w:style>
  <w:style w:type="paragraph" w:styleId="Title">
    <w:name w:val="Title"/>
    <w:basedOn w:val="Normal"/>
    <w:next w:val="BodyText"/>
    <w:link w:val="TitleChar"/>
    <w:uiPriority w:val="24"/>
    <w:rsid w:val="00835A0D"/>
    <w:pPr>
      <w:spacing w:before="2600" w:after="400" w:line="276" w:lineRule="auto"/>
    </w:pPr>
    <w:rPr>
      <w:rFonts w:eastAsiaTheme="majorEastAsia" w:cs="Arial"/>
      <w:b/>
      <w:color w:val="FFFFFF" w:themeColor="background1"/>
      <w:kern w:val="28"/>
      <w:sz w:val="80"/>
      <w:szCs w:val="52"/>
    </w:rPr>
  </w:style>
  <w:style w:type="character" w:customStyle="1" w:styleId="TitleChar">
    <w:name w:val="Title Char"/>
    <w:basedOn w:val="DefaultParagraphFont"/>
    <w:link w:val="Title"/>
    <w:uiPriority w:val="24"/>
    <w:rsid w:val="00835A0D"/>
    <w:rPr>
      <w:rFonts w:ascii="Arial" w:eastAsiaTheme="majorEastAsia" w:hAnsi="Arial" w:cs="Arial"/>
      <w:b/>
      <w:color w:val="FFFFFF" w:themeColor="background1"/>
      <w:kern w:val="28"/>
      <w:sz w:val="80"/>
      <w:szCs w:val="52"/>
      <w:lang w:val="en-AU"/>
    </w:rPr>
  </w:style>
  <w:style w:type="paragraph" w:styleId="Subtitle">
    <w:name w:val="Subtitle"/>
    <w:basedOn w:val="Normal"/>
    <w:next w:val="BodyText"/>
    <w:link w:val="SubtitleChar"/>
    <w:uiPriority w:val="24"/>
    <w:rsid w:val="000803B6"/>
    <w:pPr>
      <w:numPr>
        <w:ilvl w:val="1"/>
      </w:numPr>
      <w:spacing w:before="480" w:after="240" w:line="276" w:lineRule="auto"/>
    </w:pPr>
    <w:rPr>
      <w:rFonts w:eastAsiaTheme="majorEastAsia" w:cstheme="majorBidi"/>
      <w:iCs/>
      <w:color w:val="FFFFFF" w:themeColor="background1"/>
      <w:sz w:val="48"/>
      <w:szCs w:val="24"/>
    </w:rPr>
  </w:style>
  <w:style w:type="character" w:customStyle="1" w:styleId="SubtitleChar">
    <w:name w:val="Subtitle Char"/>
    <w:basedOn w:val="DefaultParagraphFont"/>
    <w:link w:val="Subtitle"/>
    <w:uiPriority w:val="24"/>
    <w:rsid w:val="000803B6"/>
    <w:rPr>
      <w:rFonts w:ascii="Arial" w:eastAsiaTheme="majorEastAsia" w:hAnsi="Arial" w:cstheme="majorBidi"/>
      <w:iCs/>
      <w:color w:val="FFFFFF" w:themeColor="background1"/>
      <w:sz w:val="48"/>
      <w:szCs w:val="24"/>
      <w:lang w:val="en-AU"/>
    </w:rPr>
  </w:style>
  <w:style w:type="numbering" w:customStyle="1" w:styleId="ListAlphanumericmaster">
    <w:name w:val="List Alphanumeric (master)"/>
    <w:uiPriority w:val="99"/>
    <w:rsid w:val="003D2B56"/>
    <w:pPr>
      <w:numPr>
        <w:numId w:val="9"/>
      </w:numPr>
    </w:pPr>
  </w:style>
  <w:style w:type="paragraph" w:styleId="TOCHeading">
    <w:name w:val="TOC Heading"/>
    <w:basedOn w:val="Heading1"/>
    <w:next w:val="Normal"/>
    <w:uiPriority w:val="24"/>
    <w:rsid w:val="00F55EA1"/>
    <w:pPr>
      <w:keepLines/>
      <w:spacing w:after="0"/>
      <w:outlineLvl w:val="9"/>
    </w:pPr>
    <w:rPr>
      <w:rFonts w:eastAsiaTheme="majorEastAsia" w:cstheme="majorBidi"/>
      <w:szCs w:val="28"/>
      <w:lang w:eastAsia="en-US"/>
    </w:rPr>
  </w:style>
  <w:style w:type="paragraph" w:styleId="TOC1">
    <w:name w:val="toc 1"/>
    <w:basedOn w:val="Normal"/>
    <w:next w:val="Normal"/>
    <w:autoRedefine/>
    <w:uiPriority w:val="39"/>
    <w:rsid w:val="007665C8"/>
    <w:pPr>
      <w:tabs>
        <w:tab w:val="left" w:pos="440"/>
        <w:tab w:val="right" w:leader="dot" w:pos="9017"/>
      </w:tabs>
      <w:spacing w:after="100" w:line="276" w:lineRule="auto"/>
      <w:ind w:right="851"/>
    </w:pPr>
    <w:rPr>
      <w:b/>
      <w:color w:val="4B0985"/>
    </w:rPr>
  </w:style>
  <w:style w:type="paragraph" w:styleId="TOC2">
    <w:name w:val="toc 2"/>
    <w:basedOn w:val="Normal"/>
    <w:next w:val="Normal"/>
    <w:autoRedefine/>
    <w:uiPriority w:val="39"/>
    <w:rsid w:val="007665C8"/>
    <w:pPr>
      <w:tabs>
        <w:tab w:val="right" w:leader="dot" w:pos="9017"/>
      </w:tabs>
      <w:spacing w:after="100" w:line="276" w:lineRule="auto"/>
      <w:ind w:right="851"/>
    </w:pPr>
    <w:rPr>
      <w:b/>
    </w:rPr>
  </w:style>
  <w:style w:type="character" w:styleId="Hyperlink">
    <w:name w:val="Hyperlink"/>
    <w:basedOn w:val="DefaultParagraphFont"/>
    <w:uiPriority w:val="99"/>
    <w:qFormat/>
    <w:rsid w:val="003E6856"/>
    <w:rPr>
      <w:color w:val="215E9E"/>
      <w:u w:val="single"/>
    </w:rPr>
  </w:style>
  <w:style w:type="paragraph" w:styleId="TOC3">
    <w:name w:val="toc 3"/>
    <w:basedOn w:val="Normal"/>
    <w:next w:val="Normal"/>
    <w:autoRedefine/>
    <w:uiPriority w:val="39"/>
    <w:rsid w:val="007665C8"/>
    <w:pPr>
      <w:tabs>
        <w:tab w:val="right" w:leader="dot" w:pos="9017"/>
      </w:tabs>
      <w:spacing w:after="100" w:line="276" w:lineRule="auto"/>
      <w:ind w:right="851"/>
    </w:pPr>
  </w:style>
  <w:style w:type="paragraph" w:styleId="Caption">
    <w:name w:val="caption"/>
    <w:basedOn w:val="Normal"/>
    <w:next w:val="BodyText"/>
    <w:uiPriority w:val="35"/>
    <w:qFormat/>
    <w:rsid w:val="00783BA9"/>
    <w:pPr>
      <w:spacing w:before="120" w:line="276" w:lineRule="auto"/>
    </w:pPr>
    <w:rPr>
      <w:b/>
      <w:bCs/>
      <w:color w:val="012749"/>
      <w:sz w:val="18"/>
      <w:szCs w:val="18"/>
    </w:rPr>
  </w:style>
  <w:style w:type="paragraph" w:customStyle="1" w:styleId="Footerlandscape">
    <w:name w:val="Footer (landscape)"/>
    <w:basedOn w:val="Footer"/>
    <w:uiPriority w:val="24"/>
    <w:semiHidden/>
    <w:rsid w:val="008331A3"/>
    <w:pPr>
      <w:tabs>
        <w:tab w:val="right" w:pos="13608"/>
      </w:tabs>
    </w:pPr>
  </w:style>
  <w:style w:type="paragraph" w:customStyle="1" w:styleId="Headerlandscape">
    <w:name w:val="Header (landscape)"/>
    <w:basedOn w:val="Header"/>
    <w:uiPriority w:val="24"/>
    <w:semiHidden/>
    <w:rsid w:val="005012B2"/>
    <w:pPr>
      <w:tabs>
        <w:tab w:val="clear" w:pos="9360"/>
        <w:tab w:val="right" w:pos="13608"/>
      </w:tabs>
    </w:pPr>
  </w:style>
  <w:style w:type="paragraph" w:customStyle="1" w:styleId="ListLegal">
    <w:name w:val="List Legal"/>
    <w:basedOn w:val="ListNumber"/>
    <w:uiPriority w:val="8"/>
    <w:semiHidden/>
    <w:qFormat/>
    <w:rsid w:val="00291313"/>
    <w:pPr>
      <w:numPr>
        <w:numId w:val="20"/>
      </w:numPr>
    </w:pPr>
  </w:style>
  <w:style w:type="numbering" w:customStyle="1" w:styleId="ListLegalmaster">
    <w:name w:val="List Legal (master)"/>
    <w:uiPriority w:val="99"/>
    <w:rsid w:val="00291313"/>
    <w:pPr>
      <w:numPr>
        <w:numId w:val="13"/>
      </w:numPr>
    </w:pPr>
  </w:style>
  <w:style w:type="paragraph" w:customStyle="1" w:styleId="ListLegal2">
    <w:name w:val="List Legal 2"/>
    <w:basedOn w:val="ListNumber2"/>
    <w:uiPriority w:val="8"/>
    <w:semiHidden/>
    <w:qFormat/>
    <w:rsid w:val="00291313"/>
    <w:pPr>
      <w:numPr>
        <w:numId w:val="20"/>
      </w:numPr>
      <w:tabs>
        <w:tab w:val="left" w:pos="1077"/>
      </w:tabs>
    </w:pPr>
  </w:style>
  <w:style w:type="paragraph" w:customStyle="1" w:styleId="ListLegal3">
    <w:name w:val="List Legal 3"/>
    <w:basedOn w:val="ListLegal2"/>
    <w:uiPriority w:val="8"/>
    <w:semiHidden/>
    <w:qFormat/>
    <w:rsid w:val="00291313"/>
    <w:pPr>
      <w:numPr>
        <w:ilvl w:val="2"/>
      </w:numPr>
      <w:tabs>
        <w:tab w:val="clear" w:pos="1077"/>
        <w:tab w:val="left" w:pos="1435"/>
      </w:tabs>
    </w:pPr>
  </w:style>
  <w:style w:type="paragraph" w:customStyle="1" w:styleId="DocumentDetails">
    <w:name w:val="Document Details"/>
    <w:basedOn w:val="Normal"/>
    <w:next w:val="BodyText"/>
    <w:uiPriority w:val="24"/>
    <w:rsid w:val="005E26EF"/>
    <w:pPr>
      <w:spacing w:before="480" w:after="240" w:line="276" w:lineRule="auto"/>
    </w:pPr>
    <w:rPr>
      <w:rFonts w:ascii="Arial Bold" w:hAnsi="Arial Bold"/>
      <w:b/>
      <w:color w:val="FFFFFF" w:themeColor="background1"/>
      <w:spacing w:val="-10"/>
      <w:sz w:val="28"/>
    </w:rPr>
  </w:style>
  <w:style w:type="paragraph" w:customStyle="1" w:styleId="SingleSpace">
    <w:name w:val="Single Space"/>
    <w:basedOn w:val="BodyText"/>
    <w:uiPriority w:val="21"/>
    <w:rsid w:val="00891E50"/>
    <w:pPr>
      <w:spacing w:before="0" w:after="0" w:line="240" w:lineRule="auto"/>
    </w:pPr>
    <w:rPr>
      <w:sz w:val="2"/>
    </w:rPr>
  </w:style>
  <w:style w:type="character" w:customStyle="1" w:styleId="Characteryellowhighlight">
    <w:name w:val="Character (yellow highlight)"/>
    <w:basedOn w:val="DefaultParagraphFont"/>
    <w:uiPriority w:val="2"/>
    <w:semiHidden/>
    <w:qFormat/>
    <w:rsid w:val="005012B2"/>
    <w:rPr>
      <w:bdr w:val="none" w:sz="0" w:space="0" w:color="auto"/>
      <w:shd w:val="clear" w:color="auto" w:fill="FFFF00"/>
      <w:lang w:val="en-AU"/>
    </w:rPr>
  </w:style>
  <w:style w:type="paragraph" w:styleId="TableofFigures">
    <w:name w:val="table of figures"/>
    <w:basedOn w:val="Normal"/>
    <w:next w:val="Normal"/>
    <w:uiPriority w:val="39"/>
    <w:semiHidden/>
    <w:rsid w:val="00891E50"/>
    <w:pPr>
      <w:spacing w:after="100" w:line="276" w:lineRule="auto"/>
      <w:ind w:right="851"/>
    </w:pPr>
  </w:style>
  <w:style w:type="paragraph" w:customStyle="1" w:styleId="BodyTextindent">
    <w:name w:val="Body Text (indent)"/>
    <w:basedOn w:val="BodyText"/>
    <w:semiHidden/>
    <w:qFormat/>
    <w:rsid w:val="00010BC1"/>
    <w:pPr>
      <w:ind w:left="357"/>
    </w:pPr>
  </w:style>
  <w:style w:type="paragraph" w:customStyle="1" w:styleId="BodyTextindent2">
    <w:name w:val="Body Text (indent 2)"/>
    <w:basedOn w:val="BodyText"/>
    <w:uiPriority w:val="1"/>
    <w:semiHidden/>
    <w:qFormat/>
    <w:rsid w:val="001C4183"/>
    <w:pPr>
      <w:ind w:left="714"/>
    </w:pPr>
  </w:style>
  <w:style w:type="paragraph" w:customStyle="1" w:styleId="BodyTextindent3">
    <w:name w:val="Body Text (indent 3)"/>
    <w:basedOn w:val="BodyText"/>
    <w:uiPriority w:val="1"/>
    <w:semiHidden/>
    <w:qFormat/>
    <w:rsid w:val="001C4183"/>
    <w:pPr>
      <w:ind w:left="1077"/>
    </w:pPr>
  </w:style>
  <w:style w:type="character" w:customStyle="1" w:styleId="Charactersourcecode">
    <w:name w:val="Character (source code)"/>
    <w:basedOn w:val="DefaultParagraphFont"/>
    <w:uiPriority w:val="3"/>
    <w:semiHidden/>
    <w:qFormat/>
    <w:rsid w:val="00CA539A"/>
    <w:rPr>
      <w:rFonts w:ascii="Courier New" w:hAnsi="Courier New"/>
    </w:rPr>
  </w:style>
  <w:style w:type="paragraph" w:customStyle="1" w:styleId="EndNoteBibliography">
    <w:name w:val="EndNote Bibliography"/>
    <w:basedOn w:val="BodyText"/>
    <w:link w:val="EndNoteBibliographyChar"/>
    <w:uiPriority w:val="23"/>
    <w:semiHidden/>
    <w:rsid w:val="00402E7E"/>
    <w:pPr>
      <w:ind w:left="720" w:hanging="720"/>
    </w:pPr>
    <w:rPr>
      <w:rFonts w:cs="Calibri"/>
      <w:noProof/>
      <w:szCs w:val="22"/>
    </w:rPr>
  </w:style>
  <w:style w:type="character" w:customStyle="1" w:styleId="EndNoteBibliographyChar">
    <w:name w:val="EndNote Bibliography Char"/>
    <w:basedOn w:val="BodyTextChar"/>
    <w:link w:val="EndNoteBibliography"/>
    <w:uiPriority w:val="23"/>
    <w:semiHidden/>
    <w:rsid w:val="009E61A1"/>
    <w:rPr>
      <w:rFonts w:ascii="Arial" w:hAnsi="Arial" w:cs="Calibri"/>
      <w:noProof/>
      <w:sz w:val="22"/>
      <w:szCs w:val="22"/>
      <w:lang w:val="en-AU"/>
    </w:rPr>
  </w:style>
  <w:style w:type="paragraph" w:customStyle="1" w:styleId="EndNoteBibliographyTitle">
    <w:name w:val="EndNote Bibliography Title"/>
    <w:basedOn w:val="Heading1"/>
    <w:next w:val="EndNoteBibliography"/>
    <w:link w:val="EndNoteBibliographyTitleChar4"/>
    <w:uiPriority w:val="23"/>
    <w:semiHidden/>
    <w:rsid w:val="00402E7E"/>
    <w:pPr>
      <w:spacing w:before="120" w:after="120"/>
    </w:pPr>
    <w:rPr>
      <w:rFonts w:cs="Calibri"/>
      <w:i/>
      <w:noProof/>
      <w:sz w:val="20"/>
    </w:rPr>
  </w:style>
  <w:style w:type="character" w:customStyle="1" w:styleId="EndNoteBibliographyTitleChar4">
    <w:name w:val="EndNote Bibliography Title Char4"/>
    <w:basedOn w:val="BodyTextChar"/>
    <w:link w:val="EndNoteBibliographyTitle"/>
    <w:uiPriority w:val="23"/>
    <w:semiHidden/>
    <w:rsid w:val="009E61A1"/>
    <w:rPr>
      <w:rFonts w:ascii="Arial" w:eastAsia="Times New Roman" w:hAnsi="Arial" w:cs="Calibri"/>
      <w:bCs/>
      <w:i/>
      <w:noProof/>
      <w:sz w:val="22"/>
      <w:szCs w:val="32"/>
      <w:lang w:val="en-AU" w:eastAsia="en-AU"/>
    </w:rPr>
  </w:style>
  <w:style w:type="character" w:styleId="PlaceholderText">
    <w:name w:val="Placeholder Text"/>
    <w:basedOn w:val="DefaultParagraphFont"/>
    <w:uiPriority w:val="99"/>
    <w:rsid w:val="00706D2D"/>
    <w:rPr>
      <w:color w:val="C00000"/>
    </w:rPr>
  </w:style>
  <w:style w:type="paragraph" w:styleId="TOC4">
    <w:name w:val="toc 4"/>
    <w:basedOn w:val="TOC1"/>
    <w:next w:val="Normal"/>
    <w:autoRedefine/>
    <w:uiPriority w:val="39"/>
    <w:rsid w:val="00D92686"/>
    <w:pPr>
      <w:tabs>
        <w:tab w:val="left" w:pos="1418"/>
      </w:tabs>
    </w:pPr>
    <w:rPr>
      <w:noProof/>
    </w:rPr>
  </w:style>
  <w:style w:type="paragraph" w:customStyle="1" w:styleId="BodyTextindent4">
    <w:name w:val="Body Text (indent 4)"/>
    <w:basedOn w:val="BodyText"/>
    <w:uiPriority w:val="1"/>
    <w:semiHidden/>
    <w:qFormat/>
    <w:rsid w:val="00291313"/>
    <w:pPr>
      <w:ind w:left="1435"/>
    </w:pPr>
  </w:style>
  <w:style w:type="paragraph" w:styleId="FootnoteText">
    <w:name w:val="footnote text"/>
    <w:basedOn w:val="Normal"/>
    <w:link w:val="FootnoteTextChar"/>
    <w:uiPriority w:val="99"/>
    <w:rsid w:val="00E23C2C"/>
    <w:pPr>
      <w:spacing w:before="0" w:after="80"/>
      <w:ind w:left="113" w:hanging="113"/>
    </w:pPr>
    <w:rPr>
      <w:sz w:val="18"/>
    </w:rPr>
  </w:style>
  <w:style w:type="character" w:customStyle="1" w:styleId="FootnoteTextChar">
    <w:name w:val="Footnote Text Char"/>
    <w:basedOn w:val="DefaultParagraphFont"/>
    <w:link w:val="FootnoteText"/>
    <w:uiPriority w:val="99"/>
    <w:rsid w:val="00E23C2C"/>
    <w:rPr>
      <w:rFonts w:ascii="Arial" w:hAnsi="Arial"/>
      <w:sz w:val="18"/>
      <w:lang w:val="en-AU"/>
    </w:rPr>
  </w:style>
  <w:style w:type="character" w:styleId="FootnoteReference">
    <w:name w:val="footnote reference"/>
    <w:basedOn w:val="DefaultParagraphFont"/>
    <w:uiPriority w:val="99"/>
    <w:semiHidden/>
    <w:rsid w:val="00600004"/>
    <w:rPr>
      <w:vertAlign w:val="superscript"/>
    </w:rPr>
  </w:style>
  <w:style w:type="table" w:customStyle="1" w:styleId="CustomTableoption1">
    <w:name w:val="Custom Table (option 1)"/>
    <w:basedOn w:val="TableNormal"/>
    <w:uiPriority w:val="99"/>
    <w:rsid w:val="001646CD"/>
    <w:pPr>
      <w:spacing w:after="0" w:line="240" w:lineRule="auto"/>
    </w:pPr>
    <w:rPr>
      <w:rFonts w:ascii="Arial" w:hAnsi="Arial"/>
      <w:sz w:val="22"/>
    </w:rPr>
    <w:tblPr>
      <w:tblStyleRowBandSize w:val="1"/>
      <w:tblStyleColBandSize w:val="1"/>
      <w:tblBorders>
        <w:bottom w:val="single" w:sz="4" w:space="0" w:color="2F005F"/>
      </w:tblBorders>
    </w:tblPr>
    <w:trPr>
      <w:cantSplit/>
    </w:trPr>
    <w:tblStylePr w:type="firstRow">
      <w:rPr>
        <w:b w:val="0"/>
        <w:color w:val="FFFFFF" w:themeColor="background1"/>
      </w:rPr>
      <w:tblPr/>
      <w:tcPr>
        <w:shd w:val="clear" w:color="auto" w:fill="2F005F"/>
      </w:tcPr>
    </w:tblStylePr>
    <w:tblStylePr w:type="lastRow">
      <w:rPr>
        <w:b/>
      </w:rPr>
      <w:tblPr/>
      <w:tcPr>
        <w:shd w:val="clear" w:color="auto" w:fill="4B0985"/>
      </w:tcPr>
    </w:tblStylePr>
    <w:tblStylePr w:type="firstCol">
      <w:rPr>
        <w:b w:val="0"/>
        <w:color w:val="FFFFFF" w:themeColor="background1"/>
      </w:rPr>
      <w:tblPr/>
      <w:tcPr>
        <w:shd w:val="clear" w:color="auto" w:fill="2F005F"/>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table" w:customStyle="1" w:styleId="CustomTableoption2">
    <w:name w:val="Custom Table (option 2)"/>
    <w:basedOn w:val="TableNormal"/>
    <w:uiPriority w:val="99"/>
    <w:rsid w:val="001646CD"/>
    <w:pPr>
      <w:spacing w:after="0" w:line="240" w:lineRule="auto"/>
    </w:pPr>
    <w:rPr>
      <w:rFonts w:ascii="Arial" w:hAnsi="Arial"/>
      <w:sz w:val="22"/>
    </w:rPr>
    <w:tblPr>
      <w:tblStyleRowBandSize w:val="1"/>
      <w:tblStyleColBandSize w:val="1"/>
      <w:tblBorders>
        <w:bottom w:val="single" w:sz="4" w:space="0" w:color="012749"/>
      </w:tblBorders>
    </w:tblPr>
    <w:trPr>
      <w:cantSplit/>
    </w:trPr>
    <w:tblStylePr w:type="firstRow">
      <w:rPr>
        <w:b w:val="0"/>
        <w:color w:val="FFFFFF" w:themeColor="background1"/>
      </w:rPr>
      <w:tblPr/>
      <w:tcPr>
        <w:shd w:val="clear" w:color="auto" w:fill="012749"/>
      </w:tcPr>
    </w:tblStylePr>
    <w:tblStylePr w:type="lastRow">
      <w:rPr>
        <w:b/>
      </w:rPr>
      <w:tblPr/>
      <w:tcPr>
        <w:shd w:val="clear" w:color="auto" w:fill="4B0985"/>
      </w:tcPr>
    </w:tblStylePr>
    <w:tblStylePr w:type="firstCol">
      <w:rPr>
        <w:b w:val="0"/>
        <w:color w:val="auto"/>
      </w:rPr>
      <w:tblPr/>
      <w:tcPr>
        <w:shd w:val="clear" w:color="auto" w:fill="012749"/>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LargeSpace">
    <w:name w:val="Large Space"/>
    <w:basedOn w:val="SingleSpace"/>
    <w:uiPriority w:val="21"/>
    <w:rsid w:val="00A1478F"/>
    <w:pPr>
      <w:spacing w:after="6000"/>
    </w:pPr>
    <w:rPr>
      <w:sz w:val="96"/>
    </w:rPr>
  </w:style>
  <w:style w:type="table" w:customStyle="1" w:styleId="CustomTableplaceholder">
    <w:name w:val="Custom Table (placeholder)"/>
    <w:basedOn w:val="TableNormal"/>
    <w:uiPriority w:val="99"/>
    <w:rsid w:val="007C1A44"/>
    <w:pPr>
      <w:spacing w:after="0" w:line="240" w:lineRule="auto"/>
    </w:pPr>
    <w:rPr>
      <w:rFonts w:ascii="Arial" w:hAnsi="Arial"/>
    </w:rPr>
    <w:tblPr/>
  </w:style>
  <w:style w:type="paragraph" w:styleId="Signature">
    <w:name w:val="Signature"/>
    <w:basedOn w:val="Normal"/>
    <w:link w:val="SignatureChar"/>
    <w:uiPriority w:val="23"/>
    <w:semiHidden/>
    <w:rsid w:val="009E61A1"/>
    <w:pPr>
      <w:spacing w:before="360" w:after="360"/>
    </w:pPr>
    <w:rPr>
      <w:rFonts w:ascii="Segoe Script" w:hAnsi="Segoe Script"/>
      <w:color w:val="9630F1" w:themeColor="text2" w:themeTint="99"/>
      <w:sz w:val="24"/>
    </w:rPr>
  </w:style>
  <w:style w:type="character" w:customStyle="1" w:styleId="SignatureChar">
    <w:name w:val="Signature Char"/>
    <w:basedOn w:val="DefaultParagraphFont"/>
    <w:link w:val="Signature"/>
    <w:uiPriority w:val="23"/>
    <w:semiHidden/>
    <w:rsid w:val="009E61A1"/>
    <w:rPr>
      <w:rFonts w:ascii="Segoe Script" w:hAnsi="Segoe Script"/>
      <w:color w:val="9630F1" w:themeColor="text2" w:themeTint="99"/>
      <w:sz w:val="24"/>
      <w:lang w:val="en-AU"/>
    </w:rPr>
  </w:style>
  <w:style w:type="character" w:customStyle="1" w:styleId="NoSpacingChar">
    <w:name w:val="No Spacing Char"/>
    <w:basedOn w:val="DefaultParagraphFont"/>
    <w:link w:val="NoSpacing"/>
    <w:uiPriority w:val="1"/>
    <w:semiHidden/>
    <w:rsid w:val="00544EC5"/>
    <w:rPr>
      <w:rFonts w:ascii="Arial" w:eastAsia="Times New Roman" w:hAnsi="Arial" w:cs="Times New Roman"/>
      <w:sz w:val="2"/>
      <w:szCs w:val="24"/>
      <w:lang w:val="en-AU" w:eastAsia="en-GB"/>
    </w:rPr>
  </w:style>
  <w:style w:type="character" w:customStyle="1" w:styleId="Characterbolditalic">
    <w:name w:val="Character (bold italic)"/>
    <w:basedOn w:val="DefaultParagraphFont"/>
    <w:uiPriority w:val="2"/>
    <w:qFormat/>
    <w:rsid w:val="00137E20"/>
    <w:rPr>
      <w:b/>
      <w:i/>
    </w:rPr>
  </w:style>
  <w:style w:type="table" w:styleId="PlainTable4">
    <w:name w:val="Plain Table 4"/>
    <w:basedOn w:val="TableNormal"/>
    <w:uiPriority w:val="44"/>
    <w:locked/>
    <w:rsid w:val="00F23E37"/>
    <w:pPr>
      <w:spacing w:after="0" w:line="240" w:lineRule="auto"/>
    </w:pPr>
    <w:rPr>
      <w:rFonts w:ascii="Arial" w:hAnsi="Arial"/>
      <w:sz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E41E09"/>
    <w:rPr>
      <w:color w:val="605E5C"/>
      <w:shd w:val="clear" w:color="auto" w:fill="E1DFDD"/>
    </w:rPr>
  </w:style>
  <w:style w:type="table" w:customStyle="1" w:styleId="CustomTablestandard">
    <w:name w:val="Custom Table (standard)"/>
    <w:basedOn w:val="TableNormal"/>
    <w:uiPriority w:val="99"/>
    <w:locked/>
    <w:rsid w:val="00DD34CE"/>
    <w:pPr>
      <w:spacing w:after="0" w:line="240" w:lineRule="auto"/>
    </w:pPr>
    <w:rPr>
      <w:rFonts w:ascii="Arial" w:hAnsi="Arial"/>
      <w:sz w:val="18"/>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cantSplit/>
    </w:trPr>
    <w:tblStylePr w:type="firstRow">
      <w:rPr>
        <w:rFonts w:ascii="Arial" w:hAnsi="Arial"/>
        <w:b w:val="0"/>
        <w:color w:val="FFFFFF" w:themeColor="background1"/>
      </w:rPr>
      <w:tblPr/>
      <w:tcPr>
        <w:shd w:val="clear" w:color="auto" w:fill="404040" w:themeFill="text1" w:themeFillTint="BF"/>
      </w:tcPr>
    </w:tblStylePr>
  </w:style>
  <w:style w:type="table" w:customStyle="1" w:styleId="CustomTablebasic">
    <w:name w:val="Custom Table (basic)"/>
    <w:basedOn w:val="TableNormal"/>
    <w:uiPriority w:val="99"/>
    <w:rsid w:val="007A171C"/>
    <w:pPr>
      <w:spacing w:after="0" w:line="240" w:lineRule="auto"/>
    </w:pPr>
    <w:rPr>
      <w:rFonts w:ascii="Arial" w:hAnsi="Arial"/>
      <w:sz w:val="22"/>
    </w:rPr>
    <w:tblPr>
      <w:tblStyleRowBandSize w:val="1"/>
      <w:tblBorders>
        <w:bottom w:val="single" w:sz="4" w:space="0" w:color="2F005F"/>
      </w:tblBorders>
    </w:tblPr>
    <w:tblStylePr w:type="firstRow">
      <w:tblPr/>
      <w:tcPr>
        <w:tcBorders>
          <w:bottom w:val="nil"/>
        </w:tcBorders>
        <w:shd w:val="clear" w:color="auto" w:fill="2F005F"/>
      </w:tcPr>
    </w:tblStylePr>
    <w:tblStylePr w:type="band2Horz">
      <w:tblPr/>
      <w:tcPr>
        <w:shd w:val="clear" w:color="auto" w:fill="F2F2F2" w:themeFill="background1" w:themeFillShade="F2"/>
      </w:tcPr>
    </w:tblStylePr>
  </w:style>
  <w:style w:type="table" w:customStyle="1" w:styleId="CustomTablepulloutbox">
    <w:name w:val="Custom Table (pullout box)"/>
    <w:basedOn w:val="TableNormal"/>
    <w:uiPriority w:val="99"/>
    <w:rsid w:val="00AC33C3"/>
    <w:pPr>
      <w:spacing w:after="0" w:line="240" w:lineRule="auto"/>
    </w:pPr>
    <w:tblPr>
      <w:tblBorders>
        <w:left w:val="single" w:sz="24" w:space="0" w:color="4B0885"/>
      </w:tblBorders>
    </w:tblPr>
    <w:tcPr>
      <w:shd w:val="clear" w:color="auto" w:fill="F2F2F2" w:themeFill="background1" w:themeFillShade="F2"/>
      <w:tcMar>
        <w:top w:w="227" w:type="dxa"/>
        <w:left w:w="227" w:type="dxa"/>
        <w:bottom w:w="227" w:type="dxa"/>
        <w:right w:w="227" w:type="dxa"/>
      </w:tcMar>
    </w:tcPr>
  </w:style>
  <w:style w:type="table" w:customStyle="1" w:styleId="CustomTablekeythemes">
    <w:name w:val="Custom Table (key themes)"/>
    <w:basedOn w:val="TableNormal"/>
    <w:uiPriority w:val="99"/>
    <w:rsid w:val="006819D3"/>
    <w:pPr>
      <w:spacing w:after="0" w:line="240" w:lineRule="auto"/>
    </w:pPr>
    <w:tblPr>
      <w:tblBorders>
        <w:top w:val="double" w:sz="12" w:space="0" w:color="D9D9D9" w:themeColor="background1" w:themeShade="D9"/>
        <w:bottom w:val="double" w:sz="12" w:space="0" w:color="D9D9D9" w:themeColor="background1" w:themeShade="D9"/>
      </w:tblBorders>
    </w:tblPr>
    <w:tcPr>
      <w:shd w:val="clear" w:color="auto" w:fill="D9D9D9" w:themeFill="background1" w:themeFillShade="D9"/>
      <w:tcMar>
        <w:top w:w="227" w:type="dxa"/>
        <w:left w:w="227" w:type="dxa"/>
        <w:bottom w:w="227" w:type="dxa"/>
        <w:right w:w="227" w:type="dxa"/>
      </w:tcMar>
    </w:tcPr>
  </w:style>
  <w:style w:type="paragraph" w:customStyle="1" w:styleId="TableHeading1centre">
    <w:name w:val="Table Heading 1 (centre)"/>
    <w:basedOn w:val="TableHeading1"/>
    <w:uiPriority w:val="13"/>
    <w:qFormat/>
    <w:rsid w:val="005D70A0"/>
    <w:pPr>
      <w:jc w:val="center"/>
    </w:pPr>
    <w:rPr>
      <w:color w:val="FFFFFF" w:themeColor="background1"/>
    </w:rPr>
  </w:style>
  <w:style w:type="paragraph" w:customStyle="1" w:styleId="TableHeading1right">
    <w:name w:val="Table Heading 1 (right)"/>
    <w:basedOn w:val="TableHeading1"/>
    <w:uiPriority w:val="13"/>
    <w:qFormat/>
    <w:rsid w:val="005D70A0"/>
    <w:pPr>
      <w:jc w:val="right"/>
    </w:pPr>
    <w:rPr>
      <w:color w:val="FFFFFF" w:themeColor="background1"/>
    </w:rPr>
  </w:style>
  <w:style w:type="paragraph" w:customStyle="1" w:styleId="TableBodyTextcentre">
    <w:name w:val="Table Body Text (centre)"/>
    <w:basedOn w:val="TableBodyText"/>
    <w:uiPriority w:val="14"/>
    <w:qFormat/>
    <w:rsid w:val="005D70A0"/>
    <w:pPr>
      <w:jc w:val="center"/>
    </w:pPr>
  </w:style>
  <w:style w:type="character" w:customStyle="1" w:styleId="Heading6Char">
    <w:name w:val="Heading 6 Char"/>
    <w:basedOn w:val="DefaultParagraphFont"/>
    <w:link w:val="Heading6"/>
    <w:uiPriority w:val="9"/>
    <w:semiHidden/>
    <w:rsid w:val="0082152E"/>
    <w:rPr>
      <w:rFonts w:ascii="Arial" w:eastAsiaTheme="majorEastAsia" w:hAnsi="Arial" w:cstheme="majorBidi"/>
      <w:color w:val="4B0885"/>
      <w:sz w:val="19"/>
      <w:lang w:val="en-AU"/>
    </w:rPr>
  </w:style>
  <w:style w:type="paragraph" w:customStyle="1" w:styleId="Quotelarge">
    <w:name w:val="Quote (large)"/>
    <w:basedOn w:val="Quote"/>
    <w:uiPriority w:val="18"/>
    <w:qFormat/>
    <w:rsid w:val="00B74938"/>
    <w:rPr>
      <w:color w:val="4B0885"/>
      <w:sz w:val="28"/>
    </w:rPr>
  </w:style>
  <w:style w:type="paragraph" w:customStyle="1" w:styleId="BoxHeading">
    <w:name w:val="Box Heading"/>
    <w:basedOn w:val="BodyText"/>
    <w:uiPriority w:val="16"/>
    <w:qFormat/>
    <w:rsid w:val="00B96396"/>
    <w:pPr>
      <w:keepNext/>
    </w:pPr>
    <w:rPr>
      <w:b/>
      <w:color w:val="2F005F"/>
      <w:sz w:val="23"/>
      <w:lang w:eastAsia="en-GB"/>
    </w:rPr>
  </w:style>
  <w:style w:type="table" w:customStyle="1" w:styleId="CustomTablepulloutbox2">
    <w:name w:val="Custom Table (pullout box 2)"/>
    <w:basedOn w:val="CustomTablepulloutbox"/>
    <w:uiPriority w:val="99"/>
    <w:rsid w:val="00F4121F"/>
    <w:tblPr/>
    <w:tcPr>
      <w:shd w:val="clear" w:color="auto" w:fill="E0D1F5"/>
    </w:tcPr>
  </w:style>
  <w:style w:type="character" w:styleId="CommentReference">
    <w:name w:val="annotation reference"/>
    <w:basedOn w:val="DefaultParagraphFont"/>
    <w:uiPriority w:val="99"/>
    <w:semiHidden/>
    <w:unhideWhenUsed/>
    <w:rsid w:val="00646F60"/>
    <w:rPr>
      <w:sz w:val="16"/>
      <w:szCs w:val="16"/>
    </w:rPr>
  </w:style>
  <w:style w:type="character" w:styleId="Emphasis">
    <w:name w:val="Emphasis"/>
    <w:basedOn w:val="DefaultParagraphFont"/>
    <w:uiPriority w:val="20"/>
    <w:qFormat/>
    <w:rsid w:val="00646F60"/>
    <w:rPr>
      <w:rFonts w:ascii="Arial" w:hAnsi="Arial"/>
      <w:i/>
      <w:iCs/>
      <w:sz w:val="22"/>
    </w:rPr>
  </w:style>
  <w:style w:type="character" w:styleId="Strong">
    <w:name w:val="Strong"/>
    <w:basedOn w:val="DefaultParagraphFont"/>
    <w:uiPriority w:val="22"/>
    <w:qFormat/>
    <w:rsid w:val="00646F60"/>
    <w:rPr>
      <w:rFonts w:ascii="Arial" w:hAnsi="Arial"/>
      <w:b/>
      <w:bCs/>
      <w:sz w:val="22"/>
    </w:rPr>
  </w:style>
  <w:style w:type="paragraph" w:styleId="CommentText">
    <w:name w:val="annotation text"/>
    <w:basedOn w:val="Normal"/>
    <w:link w:val="CommentTextChar"/>
    <w:uiPriority w:val="99"/>
    <w:semiHidden/>
    <w:rsid w:val="001502D5"/>
    <w:rPr>
      <w:sz w:val="20"/>
    </w:rPr>
  </w:style>
  <w:style w:type="character" w:customStyle="1" w:styleId="CommentTextChar">
    <w:name w:val="Comment Text Char"/>
    <w:basedOn w:val="DefaultParagraphFont"/>
    <w:link w:val="CommentText"/>
    <w:uiPriority w:val="99"/>
    <w:semiHidden/>
    <w:rsid w:val="001502D5"/>
    <w:rPr>
      <w:rFonts w:ascii="Arial" w:hAnsi="Arial"/>
      <w:lang w:val="en-AU"/>
    </w:rPr>
  </w:style>
  <w:style w:type="paragraph" w:styleId="CommentSubject">
    <w:name w:val="annotation subject"/>
    <w:basedOn w:val="CommentText"/>
    <w:next w:val="CommentText"/>
    <w:link w:val="CommentSubjectChar"/>
    <w:uiPriority w:val="99"/>
    <w:semiHidden/>
    <w:rsid w:val="001502D5"/>
    <w:rPr>
      <w:b/>
      <w:bCs/>
    </w:rPr>
  </w:style>
  <w:style w:type="character" w:customStyle="1" w:styleId="CommentSubjectChar">
    <w:name w:val="Comment Subject Char"/>
    <w:basedOn w:val="CommentTextChar"/>
    <w:link w:val="CommentSubject"/>
    <w:uiPriority w:val="99"/>
    <w:semiHidden/>
    <w:rsid w:val="001502D5"/>
    <w:rPr>
      <w:rFonts w:ascii="Arial" w:hAnsi="Arial"/>
      <w:b/>
      <w:bCs/>
      <w:lang w:val="en-AU"/>
    </w:rPr>
  </w:style>
  <w:style w:type="paragraph" w:styleId="Revision">
    <w:name w:val="Revision"/>
    <w:hidden/>
    <w:uiPriority w:val="99"/>
    <w:semiHidden/>
    <w:rsid w:val="00C072D5"/>
    <w:pPr>
      <w:spacing w:after="0" w:line="240" w:lineRule="auto"/>
    </w:pPr>
    <w:rPr>
      <w:rFonts w:ascii="Arial" w:hAnsi="Arial"/>
      <w:sz w:val="22"/>
      <w:lang w:val="en-AU"/>
    </w:rPr>
  </w:style>
  <w:style w:type="character" w:styleId="FollowedHyperlink">
    <w:name w:val="FollowedHyperlink"/>
    <w:basedOn w:val="DefaultParagraphFont"/>
    <w:uiPriority w:val="99"/>
    <w:semiHidden/>
    <w:rsid w:val="006B0550"/>
    <w:rPr>
      <w:color w:val="800080" w:themeColor="followedHyperlink"/>
      <w:u w:val="single"/>
    </w:rPr>
  </w:style>
  <w:style w:type="character" w:styleId="Mention">
    <w:name w:val="Mention"/>
    <w:basedOn w:val="DefaultParagraphFont"/>
    <w:uiPriority w:val="99"/>
    <w:unhideWhenUsed/>
    <w:rsid w:val="00EE05F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310209">
      <w:bodyDiv w:val="1"/>
      <w:marLeft w:val="0"/>
      <w:marRight w:val="0"/>
      <w:marTop w:val="0"/>
      <w:marBottom w:val="0"/>
      <w:divBdr>
        <w:top w:val="none" w:sz="0" w:space="0" w:color="auto"/>
        <w:left w:val="none" w:sz="0" w:space="0" w:color="auto"/>
        <w:bottom w:val="none" w:sz="0" w:space="0" w:color="auto"/>
        <w:right w:val="none" w:sz="0" w:space="0" w:color="auto"/>
      </w:divBdr>
    </w:div>
    <w:div w:id="522591990">
      <w:bodyDiv w:val="1"/>
      <w:marLeft w:val="0"/>
      <w:marRight w:val="0"/>
      <w:marTop w:val="0"/>
      <w:marBottom w:val="0"/>
      <w:divBdr>
        <w:top w:val="none" w:sz="0" w:space="0" w:color="auto"/>
        <w:left w:val="none" w:sz="0" w:space="0" w:color="auto"/>
        <w:bottom w:val="none" w:sz="0" w:space="0" w:color="auto"/>
        <w:right w:val="none" w:sz="0" w:space="0" w:color="auto"/>
      </w:divBdr>
    </w:div>
    <w:div w:id="562252493">
      <w:bodyDiv w:val="1"/>
      <w:marLeft w:val="0"/>
      <w:marRight w:val="0"/>
      <w:marTop w:val="0"/>
      <w:marBottom w:val="0"/>
      <w:divBdr>
        <w:top w:val="none" w:sz="0" w:space="0" w:color="auto"/>
        <w:left w:val="none" w:sz="0" w:space="0" w:color="auto"/>
        <w:bottom w:val="none" w:sz="0" w:space="0" w:color="auto"/>
        <w:right w:val="none" w:sz="0" w:space="0" w:color="auto"/>
      </w:divBdr>
    </w:div>
    <w:div w:id="714623433">
      <w:bodyDiv w:val="1"/>
      <w:marLeft w:val="0"/>
      <w:marRight w:val="0"/>
      <w:marTop w:val="0"/>
      <w:marBottom w:val="0"/>
      <w:divBdr>
        <w:top w:val="none" w:sz="0" w:space="0" w:color="auto"/>
        <w:left w:val="none" w:sz="0" w:space="0" w:color="auto"/>
        <w:bottom w:val="none" w:sz="0" w:space="0" w:color="auto"/>
        <w:right w:val="none" w:sz="0" w:space="0" w:color="auto"/>
      </w:divBdr>
    </w:div>
    <w:div w:id="891425776">
      <w:bodyDiv w:val="1"/>
      <w:marLeft w:val="0"/>
      <w:marRight w:val="0"/>
      <w:marTop w:val="0"/>
      <w:marBottom w:val="0"/>
      <w:divBdr>
        <w:top w:val="none" w:sz="0" w:space="0" w:color="auto"/>
        <w:left w:val="none" w:sz="0" w:space="0" w:color="auto"/>
        <w:bottom w:val="none" w:sz="0" w:space="0" w:color="auto"/>
        <w:right w:val="none" w:sz="0" w:space="0" w:color="auto"/>
      </w:divBdr>
    </w:div>
    <w:div w:id="1067262913">
      <w:bodyDiv w:val="1"/>
      <w:marLeft w:val="0"/>
      <w:marRight w:val="0"/>
      <w:marTop w:val="0"/>
      <w:marBottom w:val="0"/>
      <w:divBdr>
        <w:top w:val="none" w:sz="0" w:space="0" w:color="auto"/>
        <w:left w:val="none" w:sz="0" w:space="0" w:color="auto"/>
        <w:bottom w:val="none" w:sz="0" w:space="0" w:color="auto"/>
        <w:right w:val="none" w:sz="0" w:space="0" w:color="auto"/>
      </w:divBdr>
    </w:div>
    <w:div w:id="1285455281">
      <w:bodyDiv w:val="1"/>
      <w:marLeft w:val="0"/>
      <w:marRight w:val="0"/>
      <w:marTop w:val="0"/>
      <w:marBottom w:val="0"/>
      <w:divBdr>
        <w:top w:val="none" w:sz="0" w:space="0" w:color="auto"/>
        <w:left w:val="none" w:sz="0" w:space="0" w:color="auto"/>
        <w:bottom w:val="none" w:sz="0" w:space="0" w:color="auto"/>
        <w:right w:val="none" w:sz="0" w:space="0" w:color="auto"/>
      </w:divBdr>
    </w:div>
    <w:div w:id="1470174321">
      <w:bodyDiv w:val="1"/>
      <w:marLeft w:val="0"/>
      <w:marRight w:val="0"/>
      <w:marTop w:val="0"/>
      <w:marBottom w:val="0"/>
      <w:divBdr>
        <w:top w:val="none" w:sz="0" w:space="0" w:color="auto"/>
        <w:left w:val="none" w:sz="0" w:space="0" w:color="auto"/>
        <w:bottom w:val="none" w:sz="0" w:space="0" w:color="auto"/>
        <w:right w:val="none" w:sz="0" w:space="0" w:color="auto"/>
      </w:divBdr>
    </w:div>
    <w:div w:id="173127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chart" Target="charts/chart7.xml"/><Relationship Id="rId3" Type="http://schemas.openxmlformats.org/officeDocument/2006/relationships/customXml" Target="../customXml/item3.xml"/><Relationship Id="rId21" Type="http://schemas.openxmlformats.org/officeDocument/2006/relationships/chart" Target="charts/chart3.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2.xml"/><Relationship Id="rId25" Type="http://schemas.openxmlformats.org/officeDocument/2006/relationships/chart" Target="charts/chart6.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chart" Target="charts/chart2.xml"/><Relationship Id="rId29" Type="http://schemas.openxmlformats.org/officeDocument/2006/relationships/hyperlink" Target="https://www.abs.gov.au/statistics/standards/australian-statistical-geography-standard-asgs-edition-3/jul2021-jun2026/main-structure-and-greater-capital-city-statistical-areas/greater-capital-city-statistical-are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chart" Target="charts/chart5.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svg"/><Relationship Id="rId23" Type="http://schemas.openxmlformats.org/officeDocument/2006/relationships/chart" Target="charts/chart4.xml"/><Relationship Id="rId28" Type="http://schemas.openxmlformats.org/officeDocument/2006/relationships/hyperlink" Target="https://www.abs.gov.au/statistics/classifications/anzsco-australian-and-new-zealand-standard-classification-occupations/2022" TargetMode="External"/><Relationship Id="rId10" Type="http://schemas.openxmlformats.org/officeDocument/2006/relationships/endnotes" Target="endnotes.xml"/><Relationship Id="rId19" Type="http://schemas.openxmlformats.org/officeDocument/2006/relationships/chart" Target="charts/chart1.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view.officeapps.live.com/op/view.aspx?src=https%3A%2F%2Fwww.jobsandskills.gov.au%2Fsites%2Fdefault%2Ffiles%2F2025-10%2F2025%2520OSL%2520Key%2520Findings%2520Report_0.docx&amp;wdOrigin=BROWSELINK" TargetMode="External"/><Relationship Id="rId27" Type="http://schemas.openxmlformats.org/officeDocument/2006/relationships/chart" Target="charts/chart8.xml"/><Relationship Id="rId30" Type="http://schemas.openxmlformats.org/officeDocument/2006/relationships/hyperlink" Target="mailto:OccupationShortageList@jobsandskills.gov.au"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theaustralian.com.au/business/technology/tech-sector-struggling-to-meet-goal-of-creating-12-million-jobs-by-2030/news-story/7631f0345ee17c1b48e00c3035d3bab9?btr=67113feb180c71dbbc88c760f73c6087" TargetMode="External"/><Relationship Id="rId1" Type="http://schemas.openxmlformats.org/officeDocument/2006/relationships/hyperlink" Target="https://www.jobsandskills.gov.au/data/occupation-shortages-analysis"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https://sharedservicescentre.sharepoint.com/sites/DESE-Workforce-Analysis-TEAM/Shared%20Documents/General/06.%20OSR%20(SSQ)/2025/Q3%20-%20September%202025/OSR%20-%20Workbook%20September%202025%20-%20Draft%20V.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sharedservicescentre.sharepoint.com/sites/DESE-Workforce-Analysis-TEAM/Shared%20Documents/General/06.%20OSR%20(SSQ)/2025/Q3%20-%20September%202025/OSR%20-%20Workbook%20September%202025%20-%20Draft%20V.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sharedservicescentre.sharepoint.com/sites/DESE-Workforce-Analysis-TEAM/Shared%20Documents/General/06.%20OSR%20(SSQ)/2025/Q3%20-%20September%202025/OSR%20-%20Workbook%20September%202025%20-%20Draft%20V.3.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https://sharedservicescentre.sharepoint.com/sites/DESE-Workforce-Analysis-TEAM/Shared%20Documents/General/06.%20OSR%20(SSQ)/2025/Q3%20-%20September%202025/collated%20data%20-%20ANZSCO2022%20-%20AW%20QA.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5.xml.rels><?xml version="1.0" encoding="UTF-8" standalone="yes"?>
<Relationships xmlns="http://schemas.openxmlformats.org/package/2006/relationships"><Relationship Id="rId3" Type="http://schemas.openxmlformats.org/officeDocument/2006/relationships/oleObject" Target="https://sharedservicescentre.sharepoint.com/sites/DESE-Workforce-Analysis-TEAM/Shared%20Documents/General/06.%20OSR%20(SSQ)/2025/Q3%20-%20September%202025/collated%20data%20-%20ANZSCO2022%20-%20AW%20QA.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6.xml.rels><?xml version="1.0" encoding="UTF-8" standalone="yes"?>
<Relationships xmlns="http://schemas.openxmlformats.org/package/2006/relationships"><Relationship Id="rId3" Type="http://schemas.openxmlformats.org/officeDocument/2006/relationships/oleObject" Target="https://sharedservicescentre.sharepoint.com/sites/DESE-Workforce-Analysis-TEAM/Shared%20Documents/General/06.%20OSR%20(SSQ)/2025/Q3%20-%20September%202025/collated%20data%20-%20ANZSCO2022%20-%20AW%20QA.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_rels/chart7.xml.rels><?xml version="1.0" encoding="UTF-8" standalone="yes"?>
<Relationships xmlns="http://schemas.openxmlformats.org/package/2006/relationships"><Relationship Id="rId3" Type="http://schemas.openxmlformats.org/officeDocument/2006/relationships/oleObject" Target="https://sharedservicescentre.sharepoint.com/sites/DESE-Workforce-Analysis-TEAM/Shared%20Documents/General/06.%20OSR%20(SSQ)/2025/Q3%20-%20September%202025/collated%20data%20-%20ANZSCO2022%20-%20AW%20QA.xlsx"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4.xml"/></Relationships>
</file>

<file path=word/charts/_rels/chart8.xml.rels><?xml version="1.0" encoding="UTF-8" standalone="yes"?>
<Relationships xmlns="http://schemas.openxmlformats.org/package/2006/relationships"><Relationship Id="rId3" Type="http://schemas.openxmlformats.org/officeDocument/2006/relationships/oleObject" Target="https://sharedservicescentre.sharepoint.com/sites/DESE-Workforce-Analysis-TEAM/Shared%20Documents/General/06.%20OSR%20(SSQ)/2025/Q3%20-%20September%202025/collated%20data%20-%20ANZSCO2022%20-%20AW%20QA.xlsx" TargetMode="Externa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9631375327440966E-2"/>
          <c:y val="5.9298433048433061E-2"/>
          <c:w val="0.96131147806324901"/>
          <c:h val="0.72619502107691081"/>
        </c:manualLayout>
      </c:layout>
      <c:barChart>
        <c:barDir val="col"/>
        <c:grouping val="clustered"/>
        <c:varyColors val="0"/>
        <c:ser>
          <c:idx val="1"/>
          <c:order val="1"/>
          <c:tx>
            <c:strRef>
              <c:f>'F1- Fill + Apps.'!$C$4</c:f>
              <c:strCache>
                <c:ptCount val="1"/>
                <c:pt idx="0">
                  <c:v>Applicants per vacancy</c:v>
                </c:pt>
              </c:strCache>
            </c:strRef>
          </c:tx>
          <c:spPr>
            <a:solidFill>
              <a:srgbClr val="6929C4"/>
            </a:solidFill>
            <a:ln w="28575">
              <a:noFill/>
            </a:ln>
            <a:effectLst/>
          </c:spPr>
          <c:invertIfNegative val="0"/>
          <c:dLbls>
            <c:spPr>
              <a:noFill/>
              <a:ln>
                <a:noFill/>
              </a:ln>
              <a:effectLst/>
            </c:spPr>
            <c:txPr>
              <a:bodyPr rot="0" vert="horz"/>
              <a:lstStyle/>
              <a:p>
                <a:pPr>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'F1- Fill + Apps.'!$A$5:$A$13</c:f>
              <c:numCache>
                <c:formatCode>mmm\ yy</c:formatCode>
                <c:ptCount val="9"/>
                <c:pt idx="0">
                  <c:v>45170</c:v>
                </c:pt>
                <c:pt idx="1">
                  <c:v>45261</c:v>
                </c:pt>
                <c:pt idx="2">
                  <c:v>45352</c:v>
                </c:pt>
                <c:pt idx="3">
                  <c:v>45444</c:v>
                </c:pt>
                <c:pt idx="4">
                  <c:v>45536</c:v>
                </c:pt>
                <c:pt idx="5">
                  <c:v>45627</c:v>
                </c:pt>
                <c:pt idx="6">
                  <c:v>45717</c:v>
                </c:pt>
                <c:pt idx="7">
                  <c:v>45809</c:v>
                </c:pt>
                <c:pt idx="8">
                  <c:v>45901</c:v>
                </c:pt>
              </c:numCache>
            </c:numRef>
          </c:cat>
          <c:val>
            <c:numRef>
              <c:f>'F1- Fill + Apps.'!$C$5:$C$13</c:f>
              <c:numCache>
                <c:formatCode>0.0</c:formatCode>
                <c:ptCount val="9"/>
                <c:pt idx="0">
                  <c:v>17.007598466364588</c:v>
                </c:pt>
                <c:pt idx="1">
                  <c:v>18.281003937007874</c:v>
                </c:pt>
                <c:pt idx="2">
                  <c:v>21.073929961089494</c:v>
                </c:pt>
                <c:pt idx="3">
                  <c:v>24.163023607026467</c:v>
                </c:pt>
                <c:pt idx="4">
                  <c:v>28.483599532528242</c:v>
                </c:pt>
                <c:pt idx="5">
                  <c:v>29.957211361121356</c:v>
                </c:pt>
                <c:pt idx="6">
                  <c:v>29.271258118109046</c:v>
                </c:pt>
                <c:pt idx="7">
                  <c:v>27.333592095977416</c:v>
                </c:pt>
                <c:pt idx="8">
                  <c:v>24.569425332547016</c:v>
                </c:pt>
              </c:numCache>
            </c:numRef>
          </c:val>
          <c:extLst>
            <c:ext xmlns:c16="http://schemas.microsoft.com/office/drawing/2014/chart" uri="{C3380CC4-5D6E-409C-BE32-E72D297353CC}">
              <c16:uniqueId val="{00000000-C976-4DD3-B351-AC7E803F61F1}"/>
            </c:ext>
          </c:extLst>
        </c:ser>
        <c:ser>
          <c:idx val="2"/>
          <c:order val="2"/>
          <c:tx>
            <c:strRef>
              <c:f>'F1- Fill + Apps.'!$D$4</c:f>
              <c:strCache>
                <c:ptCount val="1"/>
                <c:pt idx="0">
                  <c:v>Qualified applicants per vacancy</c:v>
                </c:pt>
              </c:strCache>
            </c:strRef>
          </c:tx>
          <c:spPr>
            <a:solidFill>
              <a:srgbClr val="009D9A"/>
            </a:solidFill>
            <a:ln>
              <a:noFill/>
            </a:ln>
            <a:effectLst/>
          </c:spPr>
          <c:invertIfNegative val="0"/>
          <c:dLbls>
            <c:spPr>
              <a:noFill/>
              <a:ln>
                <a:noFill/>
              </a:ln>
              <a:effectLst/>
            </c:spPr>
            <c:txPr>
              <a:bodyPr rot="0" vert="horz"/>
              <a:lstStyle/>
              <a:p>
                <a:pPr>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numRef>
              <c:f>'F1- Fill + Apps.'!$A$5:$A$13</c:f>
              <c:numCache>
                <c:formatCode>mmm\ yy</c:formatCode>
                <c:ptCount val="9"/>
                <c:pt idx="0">
                  <c:v>45170</c:v>
                </c:pt>
                <c:pt idx="1">
                  <c:v>45261</c:v>
                </c:pt>
                <c:pt idx="2">
                  <c:v>45352</c:v>
                </c:pt>
                <c:pt idx="3">
                  <c:v>45444</c:v>
                </c:pt>
                <c:pt idx="4">
                  <c:v>45536</c:v>
                </c:pt>
                <c:pt idx="5">
                  <c:v>45627</c:v>
                </c:pt>
                <c:pt idx="6">
                  <c:v>45717</c:v>
                </c:pt>
                <c:pt idx="7">
                  <c:v>45809</c:v>
                </c:pt>
                <c:pt idx="8">
                  <c:v>45901</c:v>
                </c:pt>
              </c:numCache>
            </c:numRef>
          </c:cat>
          <c:val>
            <c:numRef>
              <c:f>'F1- Fill + Apps.'!$D$5:$D$13</c:f>
              <c:numCache>
                <c:formatCode>0.0</c:formatCode>
                <c:ptCount val="9"/>
                <c:pt idx="0">
                  <c:v>5.8268340056775738</c:v>
                </c:pt>
                <c:pt idx="1">
                  <c:v>6.1332317073170728</c:v>
                </c:pt>
                <c:pt idx="2">
                  <c:v>6.910053324968632</c:v>
                </c:pt>
                <c:pt idx="3">
                  <c:v>7.6264059525869525</c:v>
                </c:pt>
                <c:pt idx="4">
                  <c:v>8.6802052159042322</c:v>
                </c:pt>
                <c:pt idx="5">
                  <c:v>9.224857919446503</c:v>
                </c:pt>
                <c:pt idx="6">
                  <c:v>9.3699520876112246</c:v>
                </c:pt>
                <c:pt idx="7">
                  <c:v>9.2630595499228203</c:v>
                </c:pt>
                <c:pt idx="8">
                  <c:v>9.2601182355616185</c:v>
                </c:pt>
              </c:numCache>
            </c:numRef>
          </c:val>
          <c:extLst>
            <c:ext xmlns:c16="http://schemas.microsoft.com/office/drawing/2014/chart" uri="{C3380CC4-5D6E-409C-BE32-E72D297353CC}">
              <c16:uniqueId val="{00000001-C976-4DD3-B351-AC7E803F61F1}"/>
            </c:ext>
          </c:extLst>
        </c:ser>
        <c:ser>
          <c:idx val="3"/>
          <c:order val="3"/>
          <c:tx>
            <c:strRef>
              <c:f>'F1- Fill + Apps.'!$E$4</c:f>
              <c:strCache>
                <c:ptCount val="1"/>
                <c:pt idx="0">
                  <c:v>Suitable applicants per vacancy</c:v>
                </c:pt>
              </c:strCache>
            </c:strRef>
          </c:tx>
          <c:spPr>
            <a:solidFill>
              <a:srgbClr val="012749"/>
            </a:solidFill>
            <a:ln>
              <a:noFill/>
            </a:ln>
            <a:effectLst/>
          </c:spPr>
          <c:invertIfNegative val="0"/>
          <c:dLbls>
            <c:spPr>
              <a:noFill/>
              <a:ln>
                <a:noFill/>
              </a:ln>
              <a:effectLst/>
            </c:spPr>
            <c:txPr>
              <a:bodyPr rot="0" vert="horz"/>
              <a:lstStyle/>
              <a:p>
                <a:pPr>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numRef>
              <c:f>'F1- Fill + Apps.'!$A$5:$A$13</c:f>
              <c:numCache>
                <c:formatCode>mmm\ yy</c:formatCode>
                <c:ptCount val="9"/>
                <c:pt idx="0">
                  <c:v>45170</c:v>
                </c:pt>
                <c:pt idx="1">
                  <c:v>45261</c:v>
                </c:pt>
                <c:pt idx="2">
                  <c:v>45352</c:v>
                </c:pt>
                <c:pt idx="3">
                  <c:v>45444</c:v>
                </c:pt>
                <c:pt idx="4">
                  <c:v>45536</c:v>
                </c:pt>
                <c:pt idx="5">
                  <c:v>45627</c:v>
                </c:pt>
                <c:pt idx="6">
                  <c:v>45717</c:v>
                </c:pt>
                <c:pt idx="7">
                  <c:v>45809</c:v>
                </c:pt>
                <c:pt idx="8">
                  <c:v>45901</c:v>
                </c:pt>
              </c:numCache>
            </c:numRef>
          </c:cat>
          <c:val>
            <c:numRef>
              <c:f>'F1- Fill + Apps.'!$E$5:$E$13</c:f>
              <c:numCache>
                <c:formatCode>0.0</c:formatCode>
                <c:ptCount val="9"/>
                <c:pt idx="0">
                  <c:v>2.6365284071104913</c:v>
                </c:pt>
                <c:pt idx="1">
                  <c:v>2.6612064116985379</c:v>
                </c:pt>
                <c:pt idx="2">
                  <c:v>2.8367920449632513</c:v>
                </c:pt>
                <c:pt idx="3">
                  <c:v>2.9799697957237106</c:v>
                </c:pt>
                <c:pt idx="4">
                  <c:v>3.2732372419166342</c:v>
                </c:pt>
                <c:pt idx="5">
                  <c:v>3.6191073404647733</c:v>
                </c:pt>
                <c:pt idx="6">
                  <c:v>3.9622413532698988</c:v>
                </c:pt>
                <c:pt idx="7">
                  <c:v>4.3095977417078331</c:v>
                </c:pt>
                <c:pt idx="8">
                  <c:v>4.7575519297555857</c:v>
                </c:pt>
              </c:numCache>
            </c:numRef>
          </c:val>
          <c:extLst>
            <c:ext xmlns:c16="http://schemas.microsoft.com/office/drawing/2014/chart" uri="{C3380CC4-5D6E-409C-BE32-E72D297353CC}">
              <c16:uniqueId val="{00000002-C976-4DD3-B351-AC7E803F61F1}"/>
            </c:ext>
          </c:extLst>
        </c:ser>
        <c:dLbls>
          <c:showLegendKey val="0"/>
          <c:showVal val="0"/>
          <c:showCatName val="0"/>
          <c:showSerName val="0"/>
          <c:showPercent val="0"/>
          <c:showBubbleSize val="0"/>
        </c:dLbls>
        <c:gapWidth val="72"/>
        <c:overlap val="-5"/>
        <c:axId val="574728255"/>
        <c:axId val="574724895"/>
      </c:barChart>
      <c:lineChart>
        <c:grouping val="standard"/>
        <c:varyColors val="0"/>
        <c:ser>
          <c:idx val="0"/>
          <c:order val="0"/>
          <c:tx>
            <c:strRef>
              <c:f>'F1- Fill + Apps.'!$B$4</c:f>
              <c:strCache>
                <c:ptCount val="1"/>
                <c:pt idx="0">
                  <c:v>Fill rate</c:v>
                </c:pt>
              </c:strCache>
            </c:strRef>
          </c:tx>
          <c:spPr>
            <a:ln w="28575" cap="rnd">
              <a:noFill/>
              <a:round/>
            </a:ln>
            <a:effectLst/>
          </c:spPr>
          <c:marker>
            <c:symbol val="dash"/>
            <c:size val="17"/>
            <c:spPr>
              <a:solidFill>
                <a:srgbClr val="EE538B"/>
              </a:solidFill>
              <a:ln w="9525">
                <a:solidFill>
                  <a:srgbClr val="EE538B"/>
                </a:solidFill>
              </a:ln>
              <a:effectLst/>
            </c:spPr>
          </c:marker>
          <c:dLbls>
            <c:dLbl>
              <c:idx val="5"/>
              <c:layout>
                <c:manualLayout>
                  <c:x val="-5.0417899613497422E-2"/>
                  <c:y val="-5.884509270513785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976-4DD3-B351-AC7E803F61F1}"/>
                </c:ext>
              </c:extLst>
            </c:dLbl>
            <c:spPr>
              <a:noFill/>
              <a:ln>
                <a:noFill/>
              </a:ln>
              <a:effectLst/>
            </c:spPr>
            <c:txPr>
              <a:bodyPr rot="0" vert="horz"/>
              <a:lstStyle/>
              <a:p>
                <a:pPr>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'F1- Fill + Apps.'!$A$5:$A$13</c:f>
              <c:numCache>
                <c:formatCode>mmm\ yy</c:formatCode>
                <c:ptCount val="9"/>
                <c:pt idx="0">
                  <c:v>45170</c:v>
                </c:pt>
                <c:pt idx="1">
                  <c:v>45261</c:v>
                </c:pt>
                <c:pt idx="2">
                  <c:v>45352</c:v>
                </c:pt>
                <c:pt idx="3">
                  <c:v>45444</c:v>
                </c:pt>
                <c:pt idx="4">
                  <c:v>45536</c:v>
                </c:pt>
                <c:pt idx="5">
                  <c:v>45627</c:v>
                </c:pt>
                <c:pt idx="6">
                  <c:v>45717</c:v>
                </c:pt>
                <c:pt idx="7">
                  <c:v>45809</c:v>
                </c:pt>
                <c:pt idx="8">
                  <c:v>45901</c:v>
                </c:pt>
              </c:numCache>
            </c:numRef>
          </c:cat>
          <c:val>
            <c:numRef>
              <c:f>'F1- Fill + Apps.'!$B$5:$B$13</c:f>
              <c:numCache>
                <c:formatCode>0.0%</c:formatCode>
                <c:ptCount val="9"/>
                <c:pt idx="0">
                  <c:v>0.62063436737539213</c:v>
                </c:pt>
                <c:pt idx="1">
                  <c:v>0.63456130483689543</c:v>
                </c:pt>
                <c:pt idx="2">
                  <c:v>0.6446894365182303</c:v>
                </c:pt>
                <c:pt idx="3">
                  <c:v>0.6607582863047452</c:v>
                </c:pt>
                <c:pt idx="4">
                  <c:v>0.68056096610829764</c:v>
                </c:pt>
                <c:pt idx="5">
                  <c:v>0.68565105127259318</c:v>
                </c:pt>
                <c:pt idx="6">
                  <c:v>0.69619392840960581</c:v>
                </c:pt>
                <c:pt idx="7">
                  <c:v>0.70515172900494005</c:v>
                </c:pt>
                <c:pt idx="8">
                  <c:v>0.70244413865408561</c:v>
                </c:pt>
              </c:numCache>
            </c:numRef>
          </c:val>
          <c:smooth val="0"/>
          <c:extLst>
            <c:ext xmlns:c16="http://schemas.microsoft.com/office/drawing/2014/chart" uri="{C3380CC4-5D6E-409C-BE32-E72D297353CC}">
              <c16:uniqueId val="{00000004-C976-4DD3-B351-AC7E803F61F1}"/>
            </c:ext>
          </c:extLst>
        </c:ser>
        <c:dLbls>
          <c:showLegendKey val="0"/>
          <c:showVal val="0"/>
          <c:showCatName val="0"/>
          <c:showSerName val="0"/>
          <c:showPercent val="0"/>
          <c:showBubbleSize val="0"/>
        </c:dLbls>
        <c:marker val="1"/>
        <c:smooth val="0"/>
        <c:axId val="685136015"/>
        <c:axId val="685136975"/>
      </c:lineChart>
      <c:catAx>
        <c:axId val="574728255"/>
        <c:scaling>
          <c:orientation val="minMax"/>
        </c:scaling>
        <c:delete val="0"/>
        <c:axPos val="b"/>
        <c:numFmt formatCode="mmm\ yy" sourceLinked="1"/>
        <c:majorTickMark val="out"/>
        <c:minorTickMark val="none"/>
        <c:tickLblPos val="nextTo"/>
        <c:spPr>
          <a:noFill/>
          <a:ln w="9525" cap="flat" cmpd="sng" algn="ctr">
            <a:noFill/>
            <a:round/>
          </a:ln>
          <a:effectLst/>
        </c:spPr>
        <c:txPr>
          <a:bodyPr rot="-60000000" vert="horz"/>
          <a:lstStyle/>
          <a:p>
            <a:pPr>
              <a:defRPr/>
            </a:pPr>
            <a:endParaRPr lang="en-US"/>
          </a:p>
        </c:txPr>
        <c:crossAx val="574724895"/>
        <c:crosses val="autoZero"/>
        <c:auto val="0"/>
        <c:lblAlgn val="ctr"/>
        <c:lblOffset val="100"/>
        <c:tickLblSkip val="1"/>
        <c:noMultiLvlLbl val="0"/>
      </c:catAx>
      <c:valAx>
        <c:axId val="574724895"/>
        <c:scaling>
          <c:orientation val="minMax"/>
          <c:max val="40"/>
          <c:min val="0"/>
        </c:scaling>
        <c:delete val="0"/>
        <c:axPos val="l"/>
        <c:numFmt formatCode="0" sourceLinked="0"/>
        <c:majorTickMark val="out"/>
        <c:minorTickMark val="none"/>
        <c:tickLblPos val="nextTo"/>
        <c:spPr>
          <a:noFill/>
          <a:ln>
            <a:noFill/>
          </a:ln>
          <a:effectLst/>
        </c:spPr>
        <c:txPr>
          <a:bodyPr rot="-60000000" vert="horz"/>
          <a:lstStyle/>
          <a:p>
            <a:pPr>
              <a:defRPr sz="100">
                <a:noFill/>
              </a:defRPr>
            </a:pPr>
            <a:endParaRPr lang="en-US"/>
          </a:p>
        </c:txPr>
        <c:crossAx val="574728255"/>
        <c:crosses val="autoZero"/>
        <c:crossBetween val="between"/>
      </c:valAx>
      <c:valAx>
        <c:axId val="685136975"/>
        <c:scaling>
          <c:orientation val="minMax"/>
          <c:min val="0"/>
        </c:scaling>
        <c:delete val="0"/>
        <c:axPos val="r"/>
        <c:numFmt formatCode="0%" sourceLinked="0"/>
        <c:majorTickMark val="out"/>
        <c:minorTickMark val="none"/>
        <c:tickLblPos val="nextTo"/>
        <c:spPr>
          <a:noFill/>
          <a:ln>
            <a:noFill/>
          </a:ln>
          <a:effectLst/>
        </c:spPr>
        <c:txPr>
          <a:bodyPr rot="-60000000" vert="horz"/>
          <a:lstStyle/>
          <a:p>
            <a:pPr>
              <a:defRPr sz="100">
                <a:noFill/>
              </a:defRPr>
            </a:pPr>
            <a:endParaRPr lang="en-US"/>
          </a:p>
        </c:txPr>
        <c:crossAx val="685136015"/>
        <c:crosses val="max"/>
        <c:crossBetween val="between"/>
      </c:valAx>
      <c:dateAx>
        <c:axId val="685136015"/>
        <c:scaling>
          <c:orientation val="minMax"/>
        </c:scaling>
        <c:delete val="1"/>
        <c:axPos val="b"/>
        <c:numFmt formatCode="mmm\ yy" sourceLinked="1"/>
        <c:majorTickMark val="out"/>
        <c:minorTickMark val="none"/>
        <c:tickLblPos val="nextTo"/>
        <c:crossAx val="685136975"/>
        <c:crosses val="autoZero"/>
        <c:auto val="1"/>
        <c:lblOffset val="100"/>
        <c:baseTimeUnit val="months"/>
      </c:dateAx>
      <c:spPr>
        <a:noFill/>
        <a:ln>
          <a:noFill/>
        </a:ln>
        <a:effectLst/>
      </c:spPr>
    </c:plotArea>
    <c:legend>
      <c:legendPos val="b"/>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6189032087645223E-2"/>
          <c:y val="3.3543808030101832E-2"/>
          <c:w val="0.96931227625701033"/>
          <c:h val="0.73842323157844003"/>
        </c:manualLayout>
      </c:layout>
      <c:barChart>
        <c:barDir val="col"/>
        <c:grouping val="clustered"/>
        <c:varyColors val="0"/>
        <c:ser>
          <c:idx val="1"/>
          <c:order val="1"/>
          <c:tx>
            <c:strRef>
              <c:f>'F3- M. Fill + Apps.'!$C$3</c:f>
              <c:strCache>
                <c:ptCount val="1"/>
                <c:pt idx="0">
                  <c:v>Applicants per vacancy</c:v>
                </c:pt>
              </c:strCache>
            </c:strRef>
          </c:tx>
          <c:spPr>
            <a:solidFill>
              <a:srgbClr val="6929C4"/>
            </a:solidFill>
            <a:ln w="19050">
              <a:noFill/>
            </a:ln>
            <a:effectLst/>
          </c:spPr>
          <c:invertIfNegative val="0"/>
          <c:dLbls>
            <c:spPr>
              <a:noFill/>
              <a:ln>
                <a:noFill/>
              </a:ln>
              <a:effectLst/>
            </c:spPr>
            <c:txPr>
              <a:bodyPr rot="0" vert="horz"/>
              <a:lstStyle/>
              <a:p>
                <a:pPr>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'F3- M. Fill + Apps.'!$A$4:$A$12</c:f>
              <c:numCache>
                <c:formatCode>mmm\ yy</c:formatCode>
                <c:ptCount val="9"/>
                <c:pt idx="0">
                  <c:v>45170</c:v>
                </c:pt>
                <c:pt idx="1">
                  <c:v>45261</c:v>
                </c:pt>
                <c:pt idx="2">
                  <c:v>45352</c:v>
                </c:pt>
                <c:pt idx="3">
                  <c:v>45444</c:v>
                </c:pt>
                <c:pt idx="4">
                  <c:v>45536</c:v>
                </c:pt>
                <c:pt idx="5">
                  <c:v>45627</c:v>
                </c:pt>
                <c:pt idx="6">
                  <c:v>45717</c:v>
                </c:pt>
                <c:pt idx="7">
                  <c:v>45809</c:v>
                </c:pt>
                <c:pt idx="8">
                  <c:v>45901</c:v>
                </c:pt>
              </c:numCache>
            </c:numRef>
          </c:cat>
          <c:val>
            <c:numRef>
              <c:f>'F3- M. Fill + Apps.'!$C$4:$C$12</c:f>
              <c:numCache>
                <c:formatCode>0.0</c:formatCode>
                <c:ptCount val="9"/>
                <c:pt idx="0">
                  <c:v>19.954587109255677</c:v>
                </c:pt>
                <c:pt idx="1">
                  <c:v>21.416246267888397</c:v>
                </c:pt>
                <c:pt idx="2">
                  <c:v>24.409119431081365</c:v>
                </c:pt>
                <c:pt idx="3">
                  <c:v>28.162181055574973</c:v>
                </c:pt>
                <c:pt idx="4">
                  <c:v>32.994354747657219</c:v>
                </c:pt>
                <c:pt idx="5">
                  <c:v>34.912003417343016</c:v>
                </c:pt>
                <c:pt idx="6">
                  <c:v>34.867326287384756</c:v>
                </c:pt>
                <c:pt idx="7">
                  <c:v>32.654000846740054</c:v>
                </c:pt>
                <c:pt idx="8">
                  <c:v>29.583417695889857</c:v>
                </c:pt>
              </c:numCache>
            </c:numRef>
          </c:val>
          <c:extLst>
            <c:ext xmlns:c16="http://schemas.microsoft.com/office/drawing/2014/chart" uri="{C3380CC4-5D6E-409C-BE32-E72D297353CC}">
              <c16:uniqueId val="{00000000-4E2C-494C-922D-536173964A11}"/>
            </c:ext>
          </c:extLst>
        </c:ser>
        <c:ser>
          <c:idx val="2"/>
          <c:order val="2"/>
          <c:tx>
            <c:strRef>
              <c:f>'F3- M. Fill + Apps.'!$D$3</c:f>
              <c:strCache>
                <c:ptCount val="1"/>
                <c:pt idx="0">
                  <c:v>Qualified applicants per vacancy</c:v>
                </c:pt>
              </c:strCache>
            </c:strRef>
          </c:tx>
          <c:spPr>
            <a:solidFill>
              <a:srgbClr val="009D9A"/>
            </a:solidFill>
            <a:ln>
              <a:noFill/>
            </a:ln>
            <a:effectLst/>
          </c:spPr>
          <c:invertIfNegative val="0"/>
          <c:dLbls>
            <c:spPr>
              <a:noFill/>
              <a:ln>
                <a:noFill/>
              </a:ln>
              <a:effectLst/>
            </c:spPr>
            <c:txPr>
              <a:bodyPr rot="0" vert="horz"/>
              <a:lstStyle/>
              <a:p>
                <a:pPr>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numRef>
              <c:f>'F3- M. Fill + Apps.'!$A$4:$A$12</c:f>
              <c:numCache>
                <c:formatCode>mmm\ yy</c:formatCode>
                <c:ptCount val="9"/>
                <c:pt idx="0">
                  <c:v>45170</c:v>
                </c:pt>
                <c:pt idx="1">
                  <c:v>45261</c:v>
                </c:pt>
                <c:pt idx="2">
                  <c:v>45352</c:v>
                </c:pt>
                <c:pt idx="3">
                  <c:v>45444</c:v>
                </c:pt>
                <c:pt idx="4">
                  <c:v>45536</c:v>
                </c:pt>
                <c:pt idx="5">
                  <c:v>45627</c:v>
                </c:pt>
                <c:pt idx="6">
                  <c:v>45717</c:v>
                </c:pt>
                <c:pt idx="7">
                  <c:v>45809</c:v>
                </c:pt>
                <c:pt idx="8">
                  <c:v>45901</c:v>
                </c:pt>
              </c:numCache>
            </c:numRef>
          </c:cat>
          <c:val>
            <c:numRef>
              <c:f>'F3- M. Fill + Apps.'!$D$4:$D$12</c:f>
              <c:numCache>
                <c:formatCode>0.0</c:formatCode>
                <c:ptCount val="9"/>
                <c:pt idx="0">
                  <c:v>6.9587211212088036</c:v>
                </c:pt>
                <c:pt idx="1">
                  <c:v>7.3271597967250139</c:v>
                </c:pt>
                <c:pt idx="2">
                  <c:v>8.0690766751093719</c:v>
                </c:pt>
                <c:pt idx="3">
                  <c:v>9.0034659820282421</c:v>
                </c:pt>
                <c:pt idx="4">
                  <c:v>10.217063042657607</c:v>
                </c:pt>
                <c:pt idx="5">
                  <c:v>10.871751684311839</c:v>
                </c:pt>
                <c:pt idx="6">
                  <c:v>11.307563242127001</c:v>
                </c:pt>
                <c:pt idx="7">
                  <c:v>11.219298245614034</c:v>
                </c:pt>
                <c:pt idx="8">
                  <c:v>11.318742586002372</c:v>
                </c:pt>
              </c:numCache>
            </c:numRef>
          </c:val>
          <c:extLst>
            <c:ext xmlns:c16="http://schemas.microsoft.com/office/drawing/2014/chart" uri="{C3380CC4-5D6E-409C-BE32-E72D297353CC}">
              <c16:uniqueId val="{00000001-4E2C-494C-922D-536173964A11}"/>
            </c:ext>
          </c:extLst>
        </c:ser>
        <c:ser>
          <c:idx val="3"/>
          <c:order val="3"/>
          <c:tx>
            <c:strRef>
              <c:f>'F3- M. Fill + Apps.'!$E$3</c:f>
              <c:strCache>
                <c:ptCount val="1"/>
                <c:pt idx="0">
                  <c:v>Suitable applicants per vacancy</c:v>
                </c:pt>
              </c:strCache>
            </c:strRef>
          </c:tx>
          <c:spPr>
            <a:solidFill>
              <a:srgbClr val="012749"/>
            </a:solidFill>
            <a:ln>
              <a:noFill/>
            </a:ln>
            <a:effectLst/>
          </c:spPr>
          <c:invertIfNegative val="0"/>
          <c:dLbls>
            <c:dLbl>
              <c:idx val="0"/>
              <c:spPr>
                <a:noFill/>
                <a:ln w="19050">
                  <a:noFill/>
                </a:ln>
                <a:effectLst/>
              </c:spPr>
              <c:txPr>
                <a:bodyPr rot="0" vert="horz"/>
                <a:lstStyle/>
                <a:p>
                  <a:pPr>
                    <a:defRPr/>
                  </a:pPr>
                  <a:endParaRPr lang="en-US"/>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2-4E2C-494C-922D-536173964A11}"/>
                </c:ext>
              </c:extLst>
            </c:dLbl>
            <c:spPr>
              <a:noFill/>
              <a:ln>
                <a:noFill/>
              </a:ln>
              <a:effectLst/>
            </c:spPr>
            <c:txPr>
              <a:bodyPr rot="0" vert="horz"/>
              <a:lstStyle/>
              <a:p>
                <a:pPr>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numRef>
              <c:f>'F3- M. Fill + Apps.'!$A$4:$A$12</c:f>
              <c:numCache>
                <c:formatCode>mmm\ yy</c:formatCode>
                <c:ptCount val="9"/>
                <c:pt idx="0">
                  <c:v>45170</c:v>
                </c:pt>
                <c:pt idx="1">
                  <c:v>45261</c:v>
                </c:pt>
                <c:pt idx="2">
                  <c:v>45352</c:v>
                </c:pt>
                <c:pt idx="3">
                  <c:v>45444</c:v>
                </c:pt>
                <c:pt idx="4">
                  <c:v>45536</c:v>
                </c:pt>
                <c:pt idx="5">
                  <c:v>45627</c:v>
                </c:pt>
                <c:pt idx="6">
                  <c:v>45717</c:v>
                </c:pt>
                <c:pt idx="7">
                  <c:v>45809</c:v>
                </c:pt>
                <c:pt idx="8">
                  <c:v>45901</c:v>
                </c:pt>
              </c:numCache>
            </c:numRef>
          </c:cat>
          <c:val>
            <c:numRef>
              <c:f>'F3- M. Fill + Apps.'!$E$4:$E$12</c:f>
              <c:numCache>
                <c:formatCode>0.0</c:formatCode>
                <c:ptCount val="9"/>
                <c:pt idx="0">
                  <c:v>2.9552998676305875</c:v>
                </c:pt>
                <c:pt idx="1">
                  <c:v>3.0096777514671058</c:v>
                </c:pt>
                <c:pt idx="2">
                  <c:v>3.1787282995189292</c:v>
                </c:pt>
                <c:pt idx="3">
                  <c:v>3.3653734125597112</c:v>
                </c:pt>
                <c:pt idx="4">
                  <c:v>3.6324940724850401</c:v>
                </c:pt>
                <c:pt idx="5">
                  <c:v>4.050192225544639</c:v>
                </c:pt>
                <c:pt idx="6">
                  <c:v>4.4727906453789075</c:v>
                </c:pt>
                <c:pt idx="7">
                  <c:v>4.9301439458086369</c:v>
                </c:pt>
                <c:pt idx="8">
                  <c:v>5.4960518323547278</c:v>
                </c:pt>
              </c:numCache>
            </c:numRef>
          </c:val>
          <c:extLst>
            <c:ext xmlns:c16="http://schemas.microsoft.com/office/drawing/2014/chart" uri="{C3380CC4-5D6E-409C-BE32-E72D297353CC}">
              <c16:uniqueId val="{00000003-4E2C-494C-922D-536173964A11}"/>
            </c:ext>
          </c:extLst>
        </c:ser>
        <c:dLbls>
          <c:showLegendKey val="0"/>
          <c:showVal val="0"/>
          <c:showCatName val="0"/>
          <c:showSerName val="0"/>
          <c:showPercent val="0"/>
          <c:showBubbleSize val="0"/>
        </c:dLbls>
        <c:gapWidth val="72"/>
        <c:overlap val="-5"/>
        <c:axId val="574728255"/>
        <c:axId val="574724895"/>
      </c:barChart>
      <c:lineChart>
        <c:grouping val="standard"/>
        <c:varyColors val="0"/>
        <c:ser>
          <c:idx val="0"/>
          <c:order val="0"/>
          <c:tx>
            <c:strRef>
              <c:f>'F3- M. Fill + Apps.'!$B$3</c:f>
              <c:strCache>
                <c:ptCount val="1"/>
                <c:pt idx="0">
                  <c:v>Fill rate</c:v>
                </c:pt>
              </c:strCache>
            </c:strRef>
          </c:tx>
          <c:spPr>
            <a:ln w="28575" cap="rnd">
              <a:noFill/>
              <a:round/>
            </a:ln>
            <a:effectLst/>
          </c:spPr>
          <c:marker>
            <c:symbol val="dash"/>
            <c:size val="17"/>
            <c:spPr>
              <a:solidFill>
                <a:srgbClr val="EE538B"/>
              </a:solidFill>
              <a:ln w="9525">
                <a:solidFill>
                  <a:srgbClr val="EE538B"/>
                </a:solidFill>
              </a:ln>
              <a:effectLst/>
            </c:spPr>
          </c:marker>
          <c:dLbls>
            <c:spPr>
              <a:noFill/>
              <a:ln>
                <a:noFill/>
              </a:ln>
              <a:effectLst/>
            </c:spPr>
            <c:txPr>
              <a:bodyPr rot="0" vert="horz"/>
              <a:lstStyle/>
              <a:p>
                <a:pPr>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'F3- M. Fill + Apps.'!$A$4:$A$12</c:f>
              <c:numCache>
                <c:formatCode>mmm\ yy</c:formatCode>
                <c:ptCount val="9"/>
                <c:pt idx="0">
                  <c:v>45170</c:v>
                </c:pt>
                <c:pt idx="1">
                  <c:v>45261</c:v>
                </c:pt>
                <c:pt idx="2">
                  <c:v>45352</c:v>
                </c:pt>
                <c:pt idx="3">
                  <c:v>45444</c:v>
                </c:pt>
                <c:pt idx="4">
                  <c:v>45536</c:v>
                </c:pt>
                <c:pt idx="5">
                  <c:v>45627</c:v>
                </c:pt>
                <c:pt idx="6">
                  <c:v>45717</c:v>
                </c:pt>
                <c:pt idx="7">
                  <c:v>45809</c:v>
                </c:pt>
                <c:pt idx="8">
                  <c:v>45901</c:v>
                </c:pt>
              </c:numCache>
            </c:numRef>
          </c:cat>
          <c:val>
            <c:numRef>
              <c:f>'F3- M. Fill + Apps.'!$B$4:$B$12</c:f>
              <c:numCache>
                <c:formatCode>0.0%</c:formatCode>
                <c:ptCount val="9"/>
                <c:pt idx="0">
                  <c:v>0.64270440891966196</c:v>
                </c:pt>
                <c:pt idx="1">
                  <c:v>0.65623391331205605</c:v>
                </c:pt>
                <c:pt idx="2">
                  <c:v>0.66293662413720977</c:v>
                </c:pt>
                <c:pt idx="3">
                  <c:v>0.67971571711522782</c:v>
                </c:pt>
                <c:pt idx="4">
                  <c:v>0.69730156938015131</c:v>
                </c:pt>
                <c:pt idx="5">
                  <c:v>0.70044852627082443</c:v>
                </c:pt>
                <c:pt idx="6">
                  <c:v>0.71531369462559025</c:v>
                </c:pt>
                <c:pt idx="7">
                  <c:v>0.72163420829805247</c:v>
                </c:pt>
                <c:pt idx="8">
                  <c:v>0.71471957886211779</c:v>
                </c:pt>
              </c:numCache>
            </c:numRef>
          </c:val>
          <c:smooth val="0"/>
          <c:extLst>
            <c:ext xmlns:c16="http://schemas.microsoft.com/office/drawing/2014/chart" uri="{C3380CC4-5D6E-409C-BE32-E72D297353CC}">
              <c16:uniqueId val="{00000004-4E2C-494C-922D-536173964A11}"/>
            </c:ext>
          </c:extLst>
        </c:ser>
        <c:dLbls>
          <c:showLegendKey val="0"/>
          <c:showVal val="0"/>
          <c:showCatName val="0"/>
          <c:showSerName val="0"/>
          <c:showPercent val="0"/>
          <c:showBubbleSize val="0"/>
        </c:dLbls>
        <c:marker val="1"/>
        <c:smooth val="0"/>
        <c:axId val="685181119"/>
        <c:axId val="685184959"/>
        <c:extLst/>
      </c:lineChart>
      <c:catAx>
        <c:axId val="574728255"/>
        <c:scaling>
          <c:orientation val="minMax"/>
        </c:scaling>
        <c:delete val="0"/>
        <c:axPos val="b"/>
        <c:numFmt formatCode="mmm\ yy" sourceLinked="1"/>
        <c:majorTickMark val="out"/>
        <c:minorTickMark val="none"/>
        <c:tickLblPos val="nextTo"/>
        <c:spPr>
          <a:noFill/>
          <a:ln w="9525" cap="flat" cmpd="sng" algn="ctr">
            <a:noFill/>
            <a:round/>
          </a:ln>
          <a:effectLst/>
        </c:spPr>
        <c:txPr>
          <a:bodyPr rot="-60000000" vert="horz"/>
          <a:lstStyle/>
          <a:p>
            <a:pPr>
              <a:defRPr/>
            </a:pPr>
            <a:endParaRPr lang="en-US"/>
          </a:p>
        </c:txPr>
        <c:crossAx val="574724895"/>
        <c:crosses val="autoZero"/>
        <c:auto val="0"/>
        <c:lblAlgn val="ctr"/>
        <c:lblOffset val="100"/>
        <c:tickLblSkip val="1"/>
        <c:noMultiLvlLbl val="0"/>
      </c:catAx>
      <c:valAx>
        <c:axId val="574724895"/>
        <c:scaling>
          <c:orientation val="minMax"/>
          <c:max val="45"/>
          <c:min val="0"/>
        </c:scaling>
        <c:delete val="0"/>
        <c:axPos val="l"/>
        <c:numFmt formatCode="0" sourceLinked="0"/>
        <c:majorTickMark val="out"/>
        <c:minorTickMark val="none"/>
        <c:tickLblPos val="none"/>
        <c:spPr>
          <a:noFill/>
          <a:ln>
            <a:noFill/>
          </a:ln>
          <a:effectLst/>
        </c:spPr>
        <c:txPr>
          <a:bodyPr rot="-60000000" vert="horz"/>
          <a:lstStyle/>
          <a:p>
            <a:pPr>
              <a:defRPr/>
            </a:pPr>
            <a:endParaRPr lang="en-US"/>
          </a:p>
        </c:txPr>
        <c:crossAx val="574728255"/>
        <c:crosses val="autoZero"/>
        <c:crossBetween val="between"/>
      </c:valAx>
      <c:valAx>
        <c:axId val="685184959"/>
        <c:scaling>
          <c:orientation val="minMax"/>
          <c:min val="0"/>
        </c:scaling>
        <c:delete val="0"/>
        <c:axPos val="r"/>
        <c:numFmt formatCode="0%" sourceLinked="0"/>
        <c:majorTickMark val="none"/>
        <c:minorTickMark val="none"/>
        <c:tickLblPos val="none"/>
        <c:spPr>
          <a:noFill/>
          <a:ln>
            <a:noFill/>
          </a:ln>
          <a:effectLst/>
        </c:spPr>
        <c:txPr>
          <a:bodyPr rot="-60000000" vert="horz"/>
          <a:lstStyle/>
          <a:p>
            <a:pPr>
              <a:defRPr/>
            </a:pPr>
            <a:endParaRPr lang="en-US"/>
          </a:p>
        </c:txPr>
        <c:crossAx val="685181119"/>
        <c:crosses val="max"/>
        <c:crossBetween val="between"/>
      </c:valAx>
      <c:dateAx>
        <c:axId val="685181119"/>
        <c:scaling>
          <c:orientation val="minMax"/>
        </c:scaling>
        <c:delete val="1"/>
        <c:axPos val="b"/>
        <c:numFmt formatCode="mmm\ yy" sourceLinked="1"/>
        <c:majorTickMark val="out"/>
        <c:minorTickMark val="none"/>
        <c:tickLblPos val="nextTo"/>
        <c:crossAx val="685184959"/>
        <c:crosses val="autoZero"/>
        <c:auto val="1"/>
        <c:lblOffset val="100"/>
        <c:baseTimeUnit val="months"/>
        <c:majorUnit val="1"/>
        <c:minorUnit val="1"/>
      </c:dateAx>
      <c:spPr>
        <a:noFill/>
        <a:ln>
          <a:noFill/>
        </a:ln>
        <a:effectLst/>
      </c:spPr>
    </c:plotArea>
    <c:legend>
      <c:legendPos val="b"/>
      <c:layout>
        <c:manualLayout>
          <c:xMode val="edge"/>
          <c:yMode val="edge"/>
          <c:x val="6.2148238918194813E-2"/>
          <c:y val="0.86254986327545879"/>
          <c:w val="0.86629532343345361"/>
          <c:h val="0.12223542856048976"/>
        </c:manualLayout>
      </c:layout>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5787475330853002E-3"/>
          <c:y val="5.7317500635001267E-2"/>
          <c:w val="0.97920203816305962"/>
          <c:h val="0.7160750257459717"/>
        </c:manualLayout>
      </c:layout>
      <c:barChart>
        <c:barDir val="col"/>
        <c:grouping val="clustered"/>
        <c:varyColors val="0"/>
        <c:ser>
          <c:idx val="1"/>
          <c:order val="1"/>
          <c:tx>
            <c:strRef>
              <c:f>'F4- R. Fill + Apps'!$C$3</c:f>
              <c:strCache>
                <c:ptCount val="1"/>
                <c:pt idx="0">
                  <c:v>Applicants per vacancy</c:v>
                </c:pt>
              </c:strCache>
            </c:strRef>
          </c:tx>
          <c:spPr>
            <a:solidFill>
              <a:srgbClr val="6929C4"/>
            </a:solidFill>
            <a:ln w="28575">
              <a:noFill/>
            </a:ln>
            <a:effectLst/>
          </c:spPr>
          <c:invertIfNegative val="0"/>
          <c:dLbls>
            <c:spPr>
              <a:noFill/>
              <a:ln>
                <a:noFill/>
              </a:ln>
              <a:effectLst/>
            </c:spPr>
            <c:txPr>
              <a:bodyPr rot="0" spcFirstLastPara="1" vertOverflow="ellipsis" vert="horz" wrap="square" anchor="ctr" anchorCtr="1"/>
              <a:lstStyle/>
              <a:p>
                <a:pPr>
                  <a:defRPr lang="en-US"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numRef>
              <c:f>'F4- R. Fill + Apps'!$A$4:$A$12</c:f>
              <c:numCache>
                <c:formatCode>mmm\ yy</c:formatCode>
                <c:ptCount val="9"/>
                <c:pt idx="0">
                  <c:v>45170</c:v>
                </c:pt>
                <c:pt idx="1">
                  <c:v>45261</c:v>
                </c:pt>
                <c:pt idx="2">
                  <c:v>45352</c:v>
                </c:pt>
                <c:pt idx="3">
                  <c:v>45444</c:v>
                </c:pt>
                <c:pt idx="4">
                  <c:v>45536</c:v>
                </c:pt>
                <c:pt idx="5">
                  <c:v>45627</c:v>
                </c:pt>
                <c:pt idx="6">
                  <c:v>45717</c:v>
                </c:pt>
                <c:pt idx="7">
                  <c:v>45809</c:v>
                </c:pt>
                <c:pt idx="8">
                  <c:v>45901</c:v>
                </c:pt>
              </c:numCache>
            </c:numRef>
          </c:cat>
          <c:val>
            <c:numRef>
              <c:f>'F4- R. Fill + Apps'!$C$4:$C$12</c:f>
              <c:numCache>
                <c:formatCode>0.0</c:formatCode>
                <c:ptCount val="9"/>
                <c:pt idx="0">
                  <c:v>10.380224909823891</c:v>
                </c:pt>
                <c:pt idx="1">
                  <c:v>11.103528417494189</c:v>
                </c:pt>
                <c:pt idx="2">
                  <c:v>12.823352003446789</c:v>
                </c:pt>
                <c:pt idx="3">
                  <c:v>14.694294435313454</c:v>
                </c:pt>
                <c:pt idx="4">
                  <c:v>17.426422190879173</c:v>
                </c:pt>
                <c:pt idx="5">
                  <c:v>18.073369565217391</c:v>
                </c:pt>
                <c:pt idx="6">
                  <c:v>17.467306404820352</c:v>
                </c:pt>
                <c:pt idx="7">
                  <c:v>16.280694586312563</c:v>
                </c:pt>
                <c:pt idx="8">
                  <c:v>14.92991575551174</c:v>
                </c:pt>
              </c:numCache>
            </c:numRef>
          </c:val>
          <c:extLst>
            <c:ext xmlns:c16="http://schemas.microsoft.com/office/drawing/2014/chart" uri="{C3380CC4-5D6E-409C-BE32-E72D297353CC}">
              <c16:uniqueId val="{00000000-9931-47C9-8671-A38E1C556D0A}"/>
            </c:ext>
          </c:extLst>
        </c:ser>
        <c:ser>
          <c:idx val="2"/>
          <c:order val="2"/>
          <c:tx>
            <c:strRef>
              <c:f>'F4- R. Fill + Apps'!$D$3</c:f>
              <c:strCache>
                <c:ptCount val="1"/>
                <c:pt idx="0">
                  <c:v>Qualified applicants per vacancy</c:v>
                </c:pt>
              </c:strCache>
            </c:strRef>
          </c:tx>
          <c:spPr>
            <a:solidFill>
              <a:srgbClr val="009D9A"/>
            </a:solidFill>
            <a:ln>
              <a:noFill/>
            </a:ln>
            <a:effectLst/>
          </c:spPr>
          <c:invertIfNegative val="0"/>
          <c:dLbls>
            <c:spPr>
              <a:noFill/>
              <a:ln>
                <a:noFill/>
              </a:ln>
              <a:effectLst/>
            </c:spPr>
            <c:txPr>
              <a:bodyPr rot="0" spcFirstLastPara="1" vertOverflow="ellipsis" vert="horz" wrap="square" lIns="108000" rIns="36000" anchor="ctr" anchorCtr="1"/>
              <a:lstStyle/>
              <a:p>
                <a:pPr>
                  <a:defRPr lang="en-US"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numRef>
              <c:f>'F4- R. Fill + Apps'!$A$4:$A$12</c:f>
              <c:numCache>
                <c:formatCode>mmm\ yy</c:formatCode>
                <c:ptCount val="9"/>
                <c:pt idx="0">
                  <c:v>45170</c:v>
                </c:pt>
                <c:pt idx="1">
                  <c:v>45261</c:v>
                </c:pt>
                <c:pt idx="2">
                  <c:v>45352</c:v>
                </c:pt>
                <c:pt idx="3">
                  <c:v>45444</c:v>
                </c:pt>
                <c:pt idx="4">
                  <c:v>45536</c:v>
                </c:pt>
                <c:pt idx="5">
                  <c:v>45627</c:v>
                </c:pt>
                <c:pt idx="6">
                  <c:v>45717</c:v>
                </c:pt>
                <c:pt idx="7">
                  <c:v>45809</c:v>
                </c:pt>
                <c:pt idx="8">
                  <c:v>45901</c:v>
                </c:pt>
              </c:numCache>
            </c:numRef>
          </c:cat>
          <c:val>
            <c:numRef>
              <c:f>'F4- R. Fill + Apps'!$D$4:$D$12</c:f>
              <c:numCache>
                <c:formatCode>0.0</c:formatCode>
                <c:ptCount val="9"/>
                <c:pt idx="0">
                  <c:v>3.3044951434379941</c:v>
                </c:pt>
                <c:pt idx="1">
                  <c:v>3.5575839531214783</c:v>
                </c:pt>
                <c:pt idx="2">
                  <c:v>4.2105020727775218</c:v>
                </c:pt>
                <c:pt idx="3">
                  <c:v>4.5765267655189747</c:v>
                </c:pt>
                <c:pt idx="4">
                  <c:v>5.2790639154504282</c:v>
                </c:pt>
                <c:pt idx="5">
                  <c:v>5.4879131721756291</c:v>
                </c:pt>
                <c:pt idx="6">
                  <c:v>5.5210539276040382</c:v>
                </c:pt>
                <c:pt idx="7">
                  <c:v>5.4321297989031079</c:v>
                </c:pt>
                <c:pt idx="8">
                  <c:v>5.4470111448834855</c:v>
                </c:pt>
              </c:numCache>
            </c:numRef>
          </c:val>
          <c:extLst>
            <c:ext xmlns:c16="http://schemas.microsoft.com/office/drawing/2014/chart" uri="{C3380CC4-5D6E-409C-BE32-E72D297353CC}">
              <c16:uniqueId val="{00000001-9931-47C9-8671-A38E1C556D0A}"/>
            </c:ext>
          </c:extLst>
        </c:ser>
        <c:ser>
          <c:idx val="3"/>
          <c:order val="3"/>
          <c:tx>
            <c:strRef>
              <c:f>'F4- R. Fill + Apps'!$E$3</c:f>
              <c:strCache>
                <c:ptCount val="1"/>
                <c:pt idx="0">
                  <c:v>Suitable applicants per vacancy</c:v>
                </c:pt>
              </c:strCache>
            </c:strRef>
          </c:tx>
          <c:spPr>
            <a:solidFill>
              <a:srgbClr val="012749"/>
            </a:solidFill>
            <a:ln>
              <a:noFill/>
            </a:ln>
            <a:effectLst/>
          </c:spPr>
          <c:invertIfNegative val="0"/>
          <c:dLbls>
            <c:spPr>
              <a:noFill/>
              <a:ln>
                <a:noFill/>
              </a:ln>
              <a:effectLst/>
            </c:spPr>
            <c:txPr>
              <a:bodyPr rot="0" spcFirstLastPara="1" vertOverflow="ellipsis" vert="horz" wrap="square" lIns="108000" rIns="36000" anchor="ctr" anchorCtr="1"/>
              <a:lstStyle/>
              <a:p>
                <a:pPr>
                  <a:defRPr lang="en-US"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numRef>
              <c:f>'F4- R. Fill + Apps'!$A$4:$A$12</c:f>
              <c:numCache>
                <c:formatCode>mmm\ yy</c:formatCode>
                <c:ptCount val="9"/>
                <c:pt idx="0">
                  <c:v>45170</c:v>
                </c:pt>
                <c:pt idx="1">
                  <c:v>45261</c:v>
                </c:pt>
                <c:pt idx="2">
                  <c:v>45352</c:v>
                </c:pt>
                <c:pt idx="3">
                  <c:v>45444</c:v>
                </c:pt>
                <c:pt idx="4">
                  <c:v>45536</c:v>
                </c:pt>
                <c:pt idx="5">
                  <c:v>45627</c:v>
                </c:pt>
                <c:pt idx="6">
                  <c:v>45717</c:v>
                </c:pt>
                <c:pt idx="7">
                  <c:v>45809</c:v>
                </c:pt>
                <c:pt idx="8">
                  <c:v>45901</c:v>
                </c:pt>
              </c:numCache>
            </c:numRef>
          </c:cat>
          <c:val>
            <c:numRef>
              <c:f>'F4- R. Fill + Apps'!$E$4:$E$12</c:f>
              <c:numCache>
                <c:formatCode>0.0</c:formatCode>
                <c:ptCount val="9"/>
                <c:pt idx="0">
                  <c:v>1.916613621896881</c:v>
                </c:pt>
                <c:pt idx="1">
                  <c:v>1.8573843228396365</c:v>
                </c:pt>
                <c:pt idx="2">
                  <c:v>1.9829814735028004</c:v>
                </c:pt>
                <c:pt idx="3">
                  <c:v>2.0643343507865697</c:v>
                </c:pt>
                <c:pt idx="4">
                  <c:v>2.3591913493182886</c:v>
                </c:pt>
                <c:pt idx="5">
                  <c:v>2.5536684782608696</c:v>
                </c:pt>
                <c:pt idx="6">
                  <c:v>2.8475786654764561</c:v>
                </c:pt>
                <c:pt idx="7">
                  <c:v>2.9816138917262514</c:v>
                </c:pt>
                <c:pt idx="8">
                  <c:v>3.3088367090876503</c:v>
                </c:pt>
              </c:numCache>
            </c:numRef>
          </c:val>
          <c:extLst>
            <c:ext xmlns:c16="http://schemas.microsoft.com/office/drawing/2014/chart" uri="{C3380CC4-5D6E-409C-BE32-E72D297353CC}">
              <c16:uniqueId val="{00000002-9931-47C9-8671-A38E1C556D0A}"/>
            </c:ext>
          </c:extLst>
        </c:ser>
        <c:dLbls>
          <c:showLegendKey val="0"/>
          <c:showVal val="0"/>
          <c:showCatName val="0"/>
          <c:showSerName val="0"/>
          <c:showPercent val="0"/>
          <c:showBubbleSize val="0"/>
        </c:dLbls>
        <c:gapWidth val="72"/>
        <c:overlap val="-5"/>
        <c:axId val="574728255"/>
        <c:axId val="574724895"/>
      </c:barChart>
      <c:lineChart>
        <c:grouping val="standard"/>
        <c:varyColors val="0"/>
        <c:ser>
          <c:idx val="0"/>
          <c:order val="0"/>
          <c:tx>
            <c:strRef>
              <c:f>'F4- R. Fill + Apps'!$B$3</c:f>
              <c:strCache>
                <c:ptCount val="1"/>
                <c:pt idx="0">
                  <c:v>Fill rate</c:v>
                </c:pt>
              </c:strCache>
            </c:strRef>
          </c:tx>
          <c:spPr>
            <a:ln w="25400" cap="rnd">
              <a:noFill/>
              <a:round/>
            </a:ln>
            <a:effectLst/>
          </c:spPr>
          <c:marker>
            <c:symbol val="dash"/>
            <c:size val="17"/>
            <c:spPr>
              <a:solidFill>
                <a:srgbClr val="EE538B"/>
              </a:solidFill>
              <a:ln w="9525">
                <a:solidFill>
                  <a:srgbClr val="EE538B"/>
                </a:solidFill>
              </a:ln>
              <a:effectLst/>
            </c:spPr>
          </c:marker>
          <c:dLbls>
            <c:spPr>
              <a:noFill/>
              <a:ln>
                <a:noFill/>
              </a:ln>
              <a:effectLst/>
            </c:spPr>
            <c:txPr>
              <a:bodyPr rot="0" spcFirstLastPara="1" vertOverflow="ellipsis" vert="horz" wrap="square" anchor="ctr" anchorCtr="1"/>
              <a:lstStyle/>
              <a:p>
                <a:pPr>
                  <a:defRPr lang="en-US"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'F4- R. Fill + Apps'!$A$4:$A$12</c:f>
              <c:numCache>
                <c:formatCode>mmm\ yy</c:formatCode>
                <c:ptCount val="9"/>
                <c:pt idx="0">
                  <c:v>45170</c:v>
                </c:pt>
                <c:pt idx="1">
                  <c:v>45261</c:v>
                </c:pt>
                <c:pt idx="2">
                  <c:v>45352</c:v>
                </c:pt>
                <c:pt idx="3">
                  <c:v>45444</c:v>
                </c:pt>
                <c:pt idx="4">
                  <c:v>45536</c:v>
                </c:pt>
                <c:pt idx="5">
                  <c:v>45627</c:v>
                </c:pt>
                <c:pt idx="6">
                  <c:v>45717</c:v>
                </c:pt>
                <c:pt idx="7">
                  <c:v>45809</c:v>
                </c:pt>
                <c:pt idx="8">
                  <c:v>45901</c:v>
                </c:pt>
              </c:numCache>
            </c:numRef>
          </c:cat>
          <c:val>
            <c:numRef>
              <c:f>'F4- R. Fill + Apps'!$B$4:$B$12</c:f>
              <c:numCache>
                <c:formatCode>0.0%</c:formatCode>
                <c:ptCount val="9"/>
                <c:pt idx="0">
                  <c:v>0.58094631869297686</c:v>
                </c:pt>
                <c:pt idx="1">
                  <c:v>0.58863300232410731</c:v>
                </c:pt>
                <c:pt idx="2">
                  <c:v>0.59737182249030585</c:v>
                </c:pt>
                <c:pt idx="3">
                  <c:v>0.61141112937309228</c:v>
                </c:pt>
                <c:pt idx="4">
                  <c:v>0.62858486130700519</c:v>
                </c:pt>
                <c:pt idx="5">
                  <c:v>0.63043478260869568</c:v>
                </c:pt>
                <c:pt idx="6">
                  <c:v>0.64360633787101096</c:v>
                </c:pt>
                <c:pt idx="7">
                  <c:v>0.65801838610827379</c:v>
                </c:pt>
                <c:pt idx="8">
                  <c:v>0.67108800860369244</c:v>
                </c:pt>
              </c:numCache>
            </c:numRef>
          </c:val>
          <c:smooth val="0"/>
          <c:extLst>
            <c:ext xmlns:c16="http://schemas.microsoft.com/office/drawing/2014/chart" uri="{C3380CC4-5D6E-409C-BE32-E72D297353CC}">
              <c16:uniqueId val="{00000003-9931-47C9-8671-A38E1C556D0A}"/>
            </c:ext>
          </c:extLst>
        </c:ser>
        <c:dLbls>
          <c:showLegendKey val="0"/>
          <c:showVal val="0"/>
          <c:showCatName val="0"/>
          <c:showSerName val="0"/>
          <c:showPercent val="0"/>
          <c:showBubbleSize val="0"/>
        </c:dLbls>
        <c:marker val="1"/>
        <c:smooth val="0"/>
        <c:axId val="685136015"/>
        <c:axId val="685136975"/>
        <c:extLst>
          <c:ext xmlns:c15="http://schemas.microsoft.com/office/drawing/2012/chart" uri="{02D57815-91ED-43cb-92C2-25804820EDAC}">
            <c15:filteredLineSeries>
              <c15:ser>
                <c:idx val="4"/>
                <c:order val="4"/>
                <c:tx>
                  <c:strRef>
                    <c:extLst>
                      <c:ext uri="{02D57815-91ED-43cb-92C2-25804820EDAC}">
                        <c15:formulaRef>
                          <c15:sqref>'F4- R. Fill + Apps'!$F$3</c15:sqref>
                        </c15:formulaRef>
                      </c:ext>
                    </c:extLst>
                    <c:strCache>
                      <c:ptCount val="1"/>
                      <c:pt idx="0">
                        <c:v>Suitability gap</c:v>
                      </c:pt>
                    </c:strCache>
                  </c:strRef>
                </c:tx>
                <c:spPr>
                  <a:ln w="25400" cap="rnd">
                    <a:noFill/>
                    <a:round/>
                  </a:ln>
                  <a:effectLst/>
                </c:spPr>
                <c:marker>
                  <c:symbol val="circle"/>
                  <c:size val="5"/>
                  <c:spPr>
                    <a:solidFill>
                      <a:schemeClr val="accent5"/>
                    </a:solidFill>
                    <a:ln w="9525">
                      <a:solidFill>
                        <a:schemeClr val="accent5"/>
                      </a:solidFill>
                    </a:ln>
                    <a:effectLst/>
                  </c:spPr>
                </c:marker>
                <c:cat>
                  <c:numRef>
                    <c:extLst>
                      <c:ext uri="{02D57815-91ED-43cb-92C2-25804820EDAC}">
                        <c15:formulaRef>
                          <c15:sqref>'F4- R. Fill + Apps'!$A$4:$A$12</c15:sqref>
                        </c15:formulaRef>
                      </c:ext>
                    </c:extLst>
                    <c:numCache>
                      <c:formatCode>mmm\ yy</c:formatCode>
                      <c:ptCount val="9"/>
                      <c:pt idx="0">
                        <c:v>45170</c:v>
                      </c:pt>
                      <c:pt idx="1">
                        <c:v>45261</c:v>
                      </c:pt>
                      <c:pt idx="2">
                        <c:v>45352</c:v>
                      </c:pt>
                      <c:pt idx="3">
                        <c:v>45444</c:v>
                      </c:pt>
                      <c:pt idx="4">
                        <c:v>45536</c:v>
                      </c:pt>
                      <c:pt idx="5">
                        <c:v>45627</c:v>
                      </c:pt>
                      <c:pt idx="6">
                        <c:v>45717</c:v>
                      </c:pt>
                      <c:pt idx="7">
                        <c:v>45809</c:v>
                      </c:pt>
                      <c:pt idx="8">
                        <c:v>45901</c:v>
                      </c:pt>
                    </c:numCache>
                  </c:numRef>
                </c:cat>
                <c:val>
                  <c:numRef>
                    <c:extLst>
                      <c:ext uri="{02D57815-91ED-43cb-92C2-25804820EDAC}">
                        <c15:formulaRef>
                          <c15:sqref>'F4- R. Fill + Apps'!$F$4:$F$12</c15:sqref>
                        </c15:formulaRef>
                      </c:ext>
                    </c:extLst>
                    <c:numCache>
                      <c:formatCode>0.0%</c:formatCode>
                      <c:ptCount val="9"/>
                      <c:pt idx="0">
                        <c:v>0.41999805153206016</c:v>
                      </c:pt>
                      <c:pt idx="1">
                        <c:v>0.47790850551539643</c:v>
                      </c:pt>
                      <c:pt idx="2">
                        <c:v>0.52903918838479602</c:v>
                      </c:pt>
                      <c:pt idx="3">
                        <c:v>0.54892990764526295</c:v>
                      </c:pt>
                      <c:pt idx="4">
                        <c:v>0.55310422697979511</c:v>
                      </c:pt>
                      <c:pt idx="5">
                        <c:v>0.53467403762722199</c:v>
                      </c:pt>
                      <c:pt idx="6">
                        <c:v>0.48423277460863079</c:v>
                      </c:pt>
                      <c:pt idx="7">
                        <c:v>0.45111512388229036</c:v>
                      </c:pt>
                      <c:pt idx="8">
                        <c:v>0.3925408593673021</c:v>
                      </c:pt>
                    </c:numCache>
                  </c:numRef>
                </c:val>
                <c:smooth val="0"/>
                <c:extLst>
                  <c:ext xmlns:c16="http://schemas.microsoft.com/office/drawing/2014/chart" uri="{C3380CC4-5D6E-409C-BE32-E72D297353CC}">
                    <c16:uniqueId val="{00000004-9931-47C9-8671-A38E1C556D0A}"/>
                  </c:ext>
                </c:extLst>
              </c15:ser>
            </c15:filteredLineSeries>
          </c:ext>
        </c:extLst>
      </c:lineChart>
      <c:catAx>
        <c:axId val="574728255"/>
        <c:scaling>
          <c:orientation val="minMax"/>
        </c:scaling>
        <c:delete val="0"/>
        <c:axPos val="b"/>
        <c:numFmt formatCode="mmm\ yy" sourceLinked="1"/>
        <c:majorTickMark val="out"/>
        <c:minorTickMark val="none"/>
        <c:tickLblPos val="nextTo"/>
        <c:spPr>
          <a:noFill/>
          <a:ln w="9525" cap="flat" cmpd="sng" algn="ctr">
            <a:noFill/>
            <a:round/>
          </a:ln>
          <a:effectLst/>
        </c:spPr>
        <c:txPr>
          <a:bodyPr rot="-60000000" spcFirstLastPara="1" vertOverflow="ellipsis" vert="horz" wrap="square" anchor="ctr" anchorCtr="1"/>
          <a:lstStyle/>
          <a:p>
            <a:pPr>
              <a:defRPr lang="en-US"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74724895"/>
        <c:crossesAt val="0"/>
        <c:auto val="0"/>
        <c:lblAlgn val="ctr"/>
        <c:lblOffset val="100"/>
        <c:tickLblSkip val="1"/>
        <c:noMultiLvlLbl val="0"/>
      </c:catAx>
      <c:valAx>
        <c:axId val="574724895"/>
        <c:scaling>
          <c:orientation val="minMax"/>
          <c:max val="45"/>
          <c:min val="0"/>
        </c:scaling>
        <c:delete val="0"/>
        <c:axPos val="l"/>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lang="en-US" sz="100" b="0" i="0" u="none" strike="noStrike" kern="1200" baseline="0">
                <a:noFill/>
                <a:latin typeface="Arial" panose="020B0604020202020204" pitchFamily="34" charset="0"/>
                <a:ea typeface="+mn-ea"/>
                <a:cs typeface="Arial" panose="020B0604020202020204" pitchFamily="34" charset="0"/>
              </a:defRPr>
            </a:pPr>
            <a:endParaRPr lang="en-US"/>
          </a:p>
        </c:txPr>
        <c:crossAx val="574728255"/>
        <c:crosses val="autoZero"/>
        <c:crossBetween val="between"/>
      </c:valAx>
      <c:valAx>
        <c:axId val="685136975"/>
        <c:scaling>
          <c:orientation val="minMax"/>
          <c:max val="0.8"/>
          <c:min val="0"/>
        </c:scaling>
        <c:delete val="0"/>
        <c:axPos val="r"/>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lang="en-US" sz="100" b="0" i="0" u="none" strike="noStrike" kern="1200" baseline="0">
                <a:noFill/>
                <a:latin typeface="Arial" panose="020B0604020202020204" pitchFamily="34" charset="0"/>
                <a:ea typeface="+mn-ea"/>
                <a:cs typeface="Arial" panose="020B0604020202020204" pitchFamily="34" charset="0"/>
              </a:defRPr>
            </a:pPr>
            <a:endParaRPr lang="en-US"/>
          </a:p>
        </c:txPr>
        <c:crossAx val="685136015"/>
        <c:crosses val="max"/>
        <c:crossBetween val="between"/>
      </c:valAx>
      <c:dateAx>
        <c:axId val="685136015"/>
        <c:scaling>
          <c:orientation val="minMax"/>
        </c:scaling>
        <c:delete val="1"/>
        <c:axPos val="b"/>
        <c:numFmt formatCode="mmm\ yy" sourceLinked="1"/>
        <c:majorTickMark val="out"/>
        <c:minorTickMark val="none"/>
        <c:tickLblPos val="nextTo"/>
        <c:crossAx val="685136975"/>
        <c:crosses val="autoZero"/>
        <c:auto val="1"/>
        <c:lblOffset val="100"/>
        <c:baseTimeUnit val="months"/>
      </c:dateAx>
      <c:spPr>
        <a:noFill/>
        <a:ln>
          <a:noFill/>
        </a:ln>
        <a:effectLst/>
      </c:spPr>
    </c:plotArea>
    <c:legend>
      <c:legendPos val="b"/>
      <c:layout>
        <c:manualLayout>
          <c:xMode val="edge"/>
          <c:yMode val="edge"/>
          <c:x val="3.2836346980173188E-2"/>
          <c:y val="0.86558896826021292"/>
          <c:w val="0.91596623552249878"/>
          <c:h val="0.13441103173978708"/>
        </c:manualLayout>
      </c:layout>
      <c:overlay val="0"/>
      <c:spPr>
        <a:noFill/>
        <a:ln>
          <a:noFill/>
        </a:ln>
        <a:effectLst/>
      </c:spPr>
      <c:txPr>
        <a:bodyPr rot="0" spcFirstLastPara="1" vertOverflow="ellipsis" vert="horz" wrap="square" anchor="ctr" anchorCtr="1"/>
        <a:lstStyle/>
        <a:p>
          <a:pPr>
            <a:defRPr lang="en-US"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lgn="ctr">
        <a:defRPr lang="en-US"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8155989100817438E-2"/>
          <c:y val="4.1430787885109316E-2"/>
          <c:w val="0.90748215803814714"/>
          <c:h val="0.77493813478663343"/>
        </c:manualLayout>
      </c:layout>
      <c:barChart>
        <c:barDir val="col"/>
        <c:grouping val="clustered"/>
        <c:varyColors val="0"/>
        <c:ser>
          <c:idx val="0"/>
          <c:order val="0"/>
          <c:tx>
            <c:strRef>
              <c:f>'Selected variables'!$P$3</c:f>
              <c:strCache>
                <c:ptCount val="1"/>
                <c:pt idx="0">
                  <c:v>IVI (change from 2021-22 fy to 2024-25 fy)</c:v>
                </c:pt>
              </c:strCache>
            </c:strRef>
          </c:tx>
          <c:spPr>
            <a:solidFill>
              <a:srgbClr val="6929C4"/>
            </a:solidFill>
            <a:ln>
              <a:noFill/>
            </a:ln>
            <a:effectLst/>
          </c:spPr>
          <c:invertIfNegative val="0"/>
          <c:dPt>
            <c:idx val="4"/>
            <c:invertIfNegative val="0"/>
            <c:bubble3D val="0"/>
            <c:spPr>
              <a:solidFill>
                <a:srgbClr val="009D9A"/>
              </a:solidFill>
              <a:ln>
                <a:noFill/>
              </a:ln>
              <a:effectLst/>
            </c:spPr>
            <c:extLst>
              <c:ext xmlns:c16="http://schemas.microsoft.com/office/drawing/2014/chart" uri="{C3380CC4-5D6E-409C-BE32-E72D297353CC}">
                <c16:uniqueId val="{00000001-A185-41EE-A9DC-21E0A469D4C1}"/>
              </c:ext>
            </c:extLst>
          </c:dPt>
          <c:dPt>
            <c:idx val="5"/>
            <c:invertIfNegative val="0"/>
            <c:bubble3D val="0"/>
            <c:spPr>
              <a:solidFill>
                <a:srgbClr val="012749"/>
              </a:solidFill>
              <a:ln>
                <a:noFill/>
              </a:ln>
              <a:effectLst/>
            </c:spPr>
            <c:extLst>
              <c:ext xmlns:c16="http://schemas.microsoft.com/office/drawing/2014/chart" uri="{C3380CC4-5D6E-409C-BE32-E72D297353CC}">
                <c16:uniqueId val="{00000003-A185-41EE-A9DC-21E0A469D4C1}"/>
              </c:ext>
            </c:extLst>
          </c:dPt>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'Selected variables'!$C$4:$D$9</c:f>
              <c:multiLvlStrCache>
                <c:ptCount val="6"/>
                <c:lvl>
                  <c:pt idx="0">
                    <c:v>Business and Finance 
</c:v>
                  </c:pt>
                  <c:pt idx="1">
                    <c:v>Engineering</c:v>
                  </c:pt>
                  <c:pt idx="2">
                    <c:v>Health</c:v>
                  </c:pt>
                  <c:pt idx="3">
                    <c:v>ICT</c:v>
                  </c:pt>
                  <c:pt idx="4">
                    <c:v>Professionals 
</c:v>
                  </c:pt>
                  <c:pt idx="5">
                    <c:v>All occupations 
</c:v>
                  </c:pt>
                </c:lvl>
                <c:lvl>
                  <c:pt idx="0">
                    <c:v>Not in shortage occupations</c:v>
                  </c:pt>
                  <c:pt idx="4">
                    <c:v>In shortage occupations</c:v>
                  </c:pt>
                </c:lvl>
              </c:multiLvlStrCache>
            </c:multiLvlStrRef>
          </c:cat>
          <c:val>
            <c:numRef>
              <c:f>'Selected variables'!$P$4:$P$9</c:f>
              <c:numCache>
                <c:formatCode>0%</c:formatCode>
                <c:ptCount val="6"/>
                <c:pt idx="0">
                  <c:v>-0.28798400836533816</c:v>
                </c:pt>
                <c:pt idx="1">
                  <c:v>-0.16334665077276991</c:v>
                </c:pt>
                <c:pt idx="2">
                  <c:v>-0.17518858511242436</c:v>
                </c:pt>
                <c:pt idx="3">
                  <c:v>-0.48841356420026344</c:v>
                </c:pt>
                <c:pt idx="4">
                  <c:v>0.24194664431603505</c:v>
                </c:pt>
                <c:pt idx="5">
                  <c:v>9.0860012127662426E-2</c:v>
                </c:pt>
              </c:numCache>
            </c:numRef>
          </c:val>
          <c:extLst>
            <c:ext xmlns:c16="http://schemas.microsoft.com/office/drawing/2014/chart" uri="{C3380CC4-5D6E-409C-BE32-E72D297353CC}">
              <c16:uniqueId val="{00000004-A185-41EE-A9DC-21E0A469D4C1}"/>
            </c:ext>
          </c:extLst>
        </c:ser>
        <c:dLbls>
          <c:dLblPos val="outEnd"/>
          <c:showLegendKey val="0"/>
          <c:showVal val="1"/>
          <c:showCatName val="0"/>
          <c:showSerName val="0"/>
          <c:showPercent val="0"/>
          <c:showBubbleSize val="0"/>
        </c:dLbls>
        <c:gapWidth val="219"/>
        <c:overlap val="-27"/>
        <c:axId val="1779439647"/>
        <c:axId val="1779423327"/>
      </c:barChart>
      <c:catAx>
        <c:axId val="1779439647"/>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779423327"/>
        <c:crosses val="autoZero"/>
        <c:auto val="1"/>
        <c:lblAlgn val="ctr"/>
        <c:lblOffset val="100"/>
        <c:noMultiLvlLbl val="0"/>
      </c:catAx>
      <c:valAx>
        <c:axId val="1779423327"/>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77943964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8155989100817438E-2"/>
          <c:y val="7.7858902984393519E-2"/>
          <c:w val="0.88166371154888046"/>
          <c:h val="0.67558872997040376"/>
        </c:manualLayout>
      </c:layout>
      <c:barChart>
        <c:barDir val="col"/>
        <c:grouping val="clustered"/>
        <c:varyColors val="0"/>
        <c:ser>
          <c:idx val="0"/>
          <c:order val="0"/>
          <c:tx>
            <c:strRef>
              <c:f>'Selected variables'!$F$3</c:f>
              <c:strCache>
                <c:ptCount val="1"/>
                <c:pt idx="0">
                  <c:v>Fill rate (2025) 
(P2 Dashboard data, SERA/Similarity score blended)</c:v>
                </c:pt>
              </c:strCache>
            </c:strRef>
          </c:tx>
          <c:spPr>
            <a:solidFill>
              <a:srgbClr val="6929C4"/>
            </a:solidFill>
            <a:ln>
              <a:noFill/>
            </a:ln>
            <a:effectLst/>
          </c:spPr>
          <c:invertIfNegative val="0"/>
          <c:dPt>
            <c:idx val="4"/>
            <c:invertIfNegative val="0"/>
            <c:bubble3D val="0"/>
            <c:spPr>
              <a:solidFill>
                <a:srgbClr val="009D9A"/>
              </a:solidFill>
              <a:ln>
                <a:noFill/>
              </a:ln>
              <a:effectLst/>
            </c:spPr>
            <c:extLst>
              <c:ext xmlns:c16="http://schemas.microsoft.com/office/drawing/2014/chart" uri="{C3380CC4-5D6E-409C-BE32-E72D297353CC}">
                <c16:uniqueId val="{00000001-2418-4E6B-B453-A2905E01F36E}"/>
              </c:ext>
            </c:extLst>
          </c:dPt>
          <c:dPt>
            <c:idx val="5"/>
            <c:invertIfNegative val="0"/>
            <c:bubble3D val="0"/>
            <c:spPr>
              <a:solidFill>
                <a:srgbClr val="012749"/>
              </a:solidFill>
              <a:ln>
                <a:noFill/>
              </a:ln>
              <a:effectLst/>
            </c:spPr>
            <c:extLst>
              <c:ext xmlns:c16="http://schemas.microsoft.com/office/drawing/2014/chart" uri="{C3380CC4-5D6E-409C-BE32-E72D297353CC}">
                <c16:uniqueId val="{00000003-2418-4E6B-B453-A2905E01F36E}"/>
              </c:ext>
            </c:extLst>
          </c:dPt>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'Selected variables'!$C$4:$D$9</c:f>
              <c:multiLvlStrCache>
                <c:ptCount val="6"/>
                <c:lvl>
                  <c:pt idx="0">
                    <c:v>Business and Finance 
</c:v>
                  </c:pt>
                  <c:pt idx="1">
                    <c:v>Engineering</c:v>
                  </c:pt>
                  <c:pt idx="2">
                    <c:v>Health</c:v>
                  </c:pt>
                  <c:pt idx="3">
                    <c:v>ICT</c:v>
                  </c:pt>
                  <c:pt idx="4">
                    <c:v>Professionals 
</c:v>
                  </c:pt>
                  <c:pt idx="5">
                    <c:v>All occupations 
</c:v>
                  </c:pt>
                </c:lvl>
                <c:lvl>
                  <c:pt idx="0">
                    <c:v>Not in shortage occupations</c:v>
                  </c:pt>
                  <c:pt idx="4">
                    <c:v>In shortage occupations</c:v>
                  </c:pt>
                </c:lvl>
              </c:multiLvlStrCache>
            </c:multiLvlStrRef>
          </c:cat>
          <c:val>
            <c:numRef>
              <c:f>'Selected variables'!$F$4:$F$9</c:f>
              <c:numCache>
                <c:formatCode>0%</c:formatCode>
                <c:ptCount val="6"/>
                <c:pt idx="0">
                  <c:v>0.79036195509877716</c:v>
                </c:pt>
                <c:pt idx="1">
                  <c:v>0.77471840219892452</c:v>
                </c:pt>
                <c:pt idx="2">
                  <c:v>0.81736111111111143</c:v>
                </c:pt>
                <c:pt idx="3">
                  <c:v>0.76955811703965737</c:v>
                </c:pt>
                <c:pt idx="4">
                  <c:v>0.58923550978391304</c:v>
                </c:pt>
                <c:pt idx="5">
                  <c:v>0.57106294319987716</c:v>
                </c:pt>
              </c:numCache>
            </c:numRef>
          </c:val>
          <c:extLst>
            <c:ext xmlns:c16="http://schemas.microsoft.com/office/drawing/2014/chart" uri="{C3380CC4-5D6E-409C-BE32-E72D297353CC}">
              <c16:uniqueId val="{00000004-2418-4E6B-B453-A2905E01F36E}"/>
            </c:ext>
          </c:extLst>
        </c:ser>
        <c:dLbls>
          <c:dLblPos val="outEnd"/>
          <c:showLegendKey val="0"/>
          <c:showVal val="1"/>
          <c:showCatName val="0"/>
          <c:showSerName val="0"/>
          <c:showPercent val="0"/>
          <c:showBubbleSize val="0"/>
        </c:dLbls>
        <c:gapWidth val="219"/>
        <c:overlap val="-27"/>
        <c:axId val="1779439647"/>
        <c:axId val="1779423327"/>
      </c:barChart>
      <c:catAx>
        <c:axId val="17794396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779423327"/>
        <c:crosses val="autoZero"/>
        <c:auto val="1"/>
        <c:lblAlgn val="ctr"/>
        <c:lblOffset val="100"/>
        <c:noMultiLvlLbl val="0"/>
      </c:catAx>
      <c:valAx>
        <c:axId val="1779423327"/>
        <c:scaling>
          <c:orientation val="minMax"/>
          <c:max val="1"/>
          <c:min val="0.30000000000000004"/>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77943964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8155989100817438E-2"/>
          <c:y val="5.2340778993322727E-2"/>
          <c:w val="0.89900312540423699"/>
          <c:h val="0.76325634405001852"/>
        </c:manualLayout>
      </c:layout>
      <c:barChart>
        <c:barDir val="col"/>
        <c:grouping val="clustered"/>
        <c:varyColors val="0"/>
        <c:ser>
          <c:idx val="0"/>
          <c:order val="0"/>
          <c:tx>
            <c:strRef>
              <c:f>'Selected variables'!$K$3</c:f>
              <c:strCache>
                <c:ptCount val="1"/>
                <c:pt idx="0">
                  <c:v>Recruitment difficulty rate (weighted by responses),  2025</c:v>
                </c:pt>
              </c:strCache>
            </c:strRef>
          </c:tx>
          <c:spPr>
            <a:solidFill>
              <a:srgbClr val="6929C4"/>
            </a:solidFill>
            <a:ln>
              <a:noFill/>
            </a:ln>
            <a:effectLst/>
          </c:spPr>
          <c:invertIfNegative val="0"/>
          <c:dPt>
            <c:idx val="4"/>
            <c:invertIfNegative val="0"/>
            <c:bubble3D val="0"/>
            <c:spPr>
              <a:solidFill>
                <a:srgbClr val="009D9A"/>
              </a:solidFill>
              <a:ln>
                <a:noFill/>
              </a:ln>
              <a:effectLst/>
            </c:spPr>
            <c:extLst>
              <c:ext xmlns:c16="http://schemas.microsoft.com/office/drawing/2014/chart" uri="{C3380CC4-5D6E-409C-BE32-E72D297353CC}">
                <c16:uniqueId val="{00000001-5326-415F-9059-F6192B3F602E}"/>
              </c:ext>
            </c:extLst>
          </c:dPt>
          <c:dPt>
            <c:idx val="5"/>
            <c:invertIfNegative val="0"/>
            <c:bubble3D val="0"/>
            <c:spPr>
              <a:solidFill>
                <a:srgbClr val="012749"/>
              </a:solidFill>
              <a:ln>
                <a:noFill/>
              </a:ln>
              <a:effectLst/>
            </c:spPr>
            <c:extLst>
              <c:ext xmlns:c16="http://schemas.microsoft.com/office/drawing/2014/chart" uri="{C3380CC4-5D6E-409C-BE32-E72D297353CC}">
                <c16:uniqueId val="{00000003-5326-415F-9059-F6192B3F602E}"/>
              </c:ext>
            </c:extLst>
          </c:dPt>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'Selected variables'!$C$4:$D$9</c:f>
              <c:multiLvlStrCache>
                <c:ptCount val="6"/>
                <c:lvl>
                  <c:pt idx="0">
                    <c:v>Business and Finance 
</c:v>
                  </c:pt>
                  <c:pt idx="1">
                    <c:v>Engineering</c:v>
                  </c:pt>
                  <c:pt idx="2">
                    <c:v>Health</c:v>
                  </c:pt>
                  <c:pt idx="3">
                    <c:v>ICT</c:v>
                  </c:pt>
                  <c:pt idx="4">
                    <c:v>Professionals 
</c:v>
                  </c:pt>
                  <c:pt idx="5">
                    <c:v>All occupations 
</c:v>
                  </c:pt>
                </c:lvl>
                <c:lvl>
                  <c:pt idx="0">
                    <c:v>Not in shortage occupations</c:v>
                  </c:pt>
                  <c:pt idx="4">
                    <c:v>In shortage occupations</c:v>
                  </c:pt>
                </c:lvl>
              </c:multiLvlStrCache>
            </c:multiLvlStrRef>
          </c:cat>
          <c:val>
            <c:numRef>
              <c:f>'Selected variables'!$K$4:$K$9</c:f>
              <c:numCache>
                <c:formatCode>0%</c:formatCode>
                <c:ptCount val="6"/>
                <c:pt idx="0">
                  <c:v>0.35484416710919792</c:v>
                </c:pt>
                <c:pt idx="1">
                  <c:v>0.43720296502724709</c:v>
                </c:pt>
                <c:pt idx="2">
                  <c:v>0.39448652464526074</c:v>
                </c:pt>
                <c:pt idx="3">
                  <c:v>0.225612267333896</c:v>
                </c:pt>
                <c:pt idx="4">
                  <c:v>0.53511858906361698</c:v>
                </c:pt>
                <c:pt idx="5">
                  <c:v>0.56980924403612454</c:v>
                </c:pt>
              </c:numCache>
            </c:numRef>
          </c:val>
          <c:extLst>
            <c:ext xmlns:c16="http://schemas.microsoft.com/office/drawing/2014/chart" uri="{C3380CC4-5D6E-409C-BE32-E72D297353CC}">
              <c16:uniqueId val="{00000004-5326-415F-9059-F6192B3F602E}"/>
            </c:ext>
          </c:extLst>
        </c:ser>
        <c:dLbls>
          <c:dLblPos val="outEnd"/>
          <c:showLegendKey val="0"/>
          <c:showVal val="1"/>
          <c:showCatName val="0"/>
          <c:showSerName val="0"/>
          <c:showPercent val="0"/>
          <c:showBubbleSize val="0"/>
        </c:dLbls>
        <c:gapWidth val="219"/>
        <c:overlap val="-27"/>
        <c:axId val="1779439647"/>
        <c:axId val="1779423327"/>
      </c:barChart>
      <c:catAx>
        <c:axId val="17794396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779423327"/>
        <c:crosses val="autoZero"/>
        <c:auto val="1"/>
        <c:lblAlgn val="ctr"/>
        <c:lblOffset val="100"/>
        <c:noMultiLvlLbl val="0"/>
      </c:catAx>
      <c:valAx>
        <c:axId val="1779423327"/>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77943964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8155989100817438E-2"/>
          <c:y val="5.6591739591873046E-2"/>
          <c:w val="0.90748215803814714"/>
          <c:h val="0.76788087929686755"/>
        </c:manualLayout>
      </c:layout>
      <c:barChart>
        <c:barDir val="col"/>
        <c:grouping val="clustered"/>
        <c:varyColors val="0"/>
        <c:ser>
          <c:idx val="0"/>
          <c:order val="0"/>
          <c:tx>
            <c:strRef>
              <c:f>'Selected variables'!$G$3</c:f>
              <c:strCache>
                <c:ptCount val="1"/>
                <c:pt idx="0">
                  <c:v>Qualified applicant per vacancy (2025)</c:v>
                </c:pt>
              </c:strCache>
            </c:strRef>
          </c:tx>
          <c:spPr>
            <a:solidFill>
              <a:srgbClr val="6929C4"/>
            </a:solidFill>
            <a:ln>
              <a:noFill/>
            </a:ln>
            <a:effectLst/>
          </c:spPr>
          <c:invertIfNegative val="0"/>
          <c:dPt>
            <c:idx val="4"/>
            <c:invertIfNegative val="0"/>
            <c:bubble3D val="0"/>
            <c:spPr>
              <a:solidFill>
                <a:srgbClr val="009D9A"/>
              </a:solidFill>
              <a:ln>
                <a:noFill/>
              </a:ln>
              <a:effectLst/>
            </c:spPr>
            <c:extLst>
              <c:ext xmlns:c16="http://schemas.microsoft.com/office/drawing/2014/chart" uri="{C3380CC4-5D6E-409C-BE32-E72D297353CC}">
                <c16:uniqueId val="{00000001-D06A-462F-856F-4AEBD46586E5}"/>
              </c:ext>
            </c:extLst>
          </c:dPt>
          <c:dPt>
            <c:idx val="5"/>
            <c:invertIfNegative val="0"/>
            <c:bubble3D val="0"/>
            <c:spPr>
              <a:solidFill>
                <a:srgbClr val="012749"/>
              </a:solidFill>
              <a:ln>
                <a:noFill/>
              </a:ln>
              <a:effectLst/>
            </c:spPr>
            <c:extLst>
              <c:ext xmlns:c16="http://schemas.microsoft.com/office/drawing/2014/chart" uri="{C3380CC4-5D6E-409C-BE32-E72D297353CC}">
                <c16:uniqueId val="{00000003-D06A-462F-856F-4AEBD46586E5}"/>
              </c:ext>
            </c:extLst>
          </c:dPt>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'Selected variables'!$C$4:$D$9</c:f>
              <c:multiLvlStrCache>
                <c:ptCount val="6"/>
                <c:lvl>
                  <c:pt idx="0">
                    <c:v>Business and Finance 
</c:v>
                  </c:pt>
                  <c:pt idx="1">
                    <c:v>Engineering</c:v>
                  </c:pt>
                  <c:pt idx="2">
                    <c:v>Health</c:v>
                  </c:pt>
                  <c:pt idx="3">
                    <c:v>ICT</c:v>
                  </c:pt>
                  <c:pt idx="4">
                    <c:v>Professionals 
</c:v>
                  </c:pt>
                  <c:pt idx="5">
                    <c:v>All occupations 
</c:v>
                  </c:pt>
                </c:lvl>
                <c:lvl>
                  <c:pt idx="0">
                    <c:v>Not in shortage occupations</c:v>
                  </c:pt>
                  <c:pt idx="4">
                    <c:v>In shortage occupations</c:v>
                  </c:pt>
                </c:lvl>
              </c:multiLvlStrCache>
            </c:multiLvlStrRef>
          </c:cat>
          <c:val>
            <c:numRef>
              <c:f>'Selected variables'!$G$4:$G$9</c:f>
              <c:numCache>
                <c:formatCode>0.0</c:formatCode>
                <c:ptCount val="6"/>
                <c:pt idx="0">
                  <c:v>13.27443100370655</c:v>
                </c:pt>
                <c:pt idx="1">
                  <c:v>32.374725698035249</c:v>
                </c:pt>
                <c:pt idx="2">
                  <c:v>4.2006578947368398</c:v>
                </c:pt>
                <c:pt idx="3">
                  <c:v>34.304684586090652</c:v>
                </c:pt>
                <c:pt idx="4">
                  <c:v>8.9189738457283489</c:v>
                </c:pt>
                <c:pt idx="5">
                  <c:v>7.7110821862004437</c:v>
                </c:pt>
              </c:numCache>
            </c:numRef>
          </c:val>
          <c:extLst>
            <c:ext xmlns:c16="http://schemas.microsoft.com/office/drawing/2014/chart" uri="{C3380CC4-5D6E-409C-BE32-E72D297353CC}">
              <c16:uniqueId val="{00000004-D06A-462F-856F-4AEBD46586E5}"/>
            </c:ext>
          </c:extLst>
        </c:ser>
        <c:dLbls>
          <c:dLblPos val="outEnd"/>
          <c:showLegendKey val="0"/>
          <c:showVal val="1"/>
          <c:showCatName val="0"/>
          <c:showSerName val="0"/>
          <c:showPercent val="0"/>
          <c:showBubbleSize val="0"/>
        </c:dLbls>
        <c:gapWidth val="219"/>
        <c:overlap val="-27"/>
        <c:axId val="1779439647"/>
        <c:axId val="1779423327"/>
      </c:barChart>
      <c:catAx>
        <c:axId val="17794396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779423327"/>
        <c:crosses val="autoZero"/>
        <c:auto val="1"/>
        <c:lblAlgn val="ctr"/>
        <c:lblOffset val="100"/>
        <c:noMultiLvlLbl val="0"/>
      </c:catAx>
      <c:valAx>
        <c:axId val="1779423327"/>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77943964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userShapes r:id="rId4"/>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7519825491626471E-2"/>
          <c:y val="5.8980228367408814E-2"/>
          <c:w val="0.88811832578487959"/>
          <c:h val="0.72526659705614871"/>
        </c:manualLayout>
      </c:layout>
      <c:barChart>
        <c:barDir val="col"/>
        <c:grouping val="clustered"/>
        <c:varyColors val="0"/>
        <c:ser>
          <c:idx val="0"/>
          <c:order val="0"/>
          <c:tx>
            <c:strRef>
              <c:f>'Selected variables'!$J$3</c:f>
              <c:strCache>
                <c:ptCount val="1"/>
                <c:pt idx="0">
                  <c:v>Duration of advertised vacancy (weeks) (2025)</c:v>
                </c:pt>
              </c:strCache>
            </c:strRef>
          </c:tx>
          <c:spPr>
            <a:solidFill>
              <a:srgbClr val="6929C4"/>
            </a:solidFill>
            <a:ln>
              <a:noFill/>
            </a:ln>
            <a:effectLst/>
          </c:spPr>
          <c:invertIfNegative val="0"/>
          <c:dPt>
            <c:idx val="4"/>
            <c:invertIfNegative val="0"/>
            <c:bubble3D val="0"/>
            <c:spPr>
              <a:solidFill>
                <a:srgbClr val="009D9A"/>
              </a:solidFill>
              <a:ln>
                <a:noFill/>
              </a:ln>
              <a:effectLst/>
            </c:spPr>
            <c:extLst>
              <c:ext xmlns:c16="http://schemas.microsoft.com/office/drawing/2014/chart" uri="{C3380CC4-5D6E-409C-BE32-E72D297353CC}">
                <c16:uniqueId val="{00000001-69D6-477A-9CDA-49F2E6158099}"/>
              </c:ext>
            </c:extLst>
          </c:dPt>
          <c:dPt>
            <c:idx val="5"/>
            <c:invertIfNegative val="0"/>
            <c:bubble3D val="0"/>
            <c:spPr>
              <a:solidFill>
                <a:srgbClr val="012749"/>
              </a:solidFill>
              <a:ln>
                <a:noFill/>
              </a:ln>
              <a:effectLst/>
            </c:spPr>
            <c:extLst>
              <c:ext xmlns:c16="http://schemas.microsoft.com/office/drawing/2014/chart" uri="{C3380CC4-5D6E-409C-BE32-E72D297353CC}">
                <c16:uniqueId val="{00000003-69D6-477A-9CDA-49F2E6158099}"/>
              </c:ext>
            </c:extLst>
          </c:dPt>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'Selected variables'!$C$4:$D$9</c:f>
              <c:multiLvlStrCache>
                <c:ptCount val="6"/>
                <c:lvl>
                  <c:pt idx="0">
                    <c:v>Business and Finance 
</c:v>
                  </c:pt>
                  <c:pt idx="1">
                    <c:v>Engineering</c:v>
                  </c:pt>
                  <c:pt idx="2">
                    <c:v>Health</c:v>
                  </c:pt>
                  <c:pt idx="3">
                    <c:v>ICT</c:v>
                  </c:pt>
                  <c:pt idx="4">
                    <c:v>Professionals 
</c:v>
                  </c:pt>
                  <c:pt idx="5">
                    <c:v>All occupations 
</c:v>
                  </c:pt>
                </c:lvl>
                <c:lvl>
                  <c:pt idx="0">
                    <c:v>Not in shortage occupations</c:v>
                  </c:pt>
                  <c:pt idx="4">
                    <c:v>In shortage occupations</c:v>
                  </c:pt>
                </c:lvl>
              </c:multiLvlStrCache>
            </c:multiLvlStrRef>
          </c:cat>
          <c:val>
            <c:numRef>
              <c:f>'Selected variables'!$J$4:$J$9</c:f>
              <c:numCache>
                <c:formatCode>0.0</c:formatCode>
                <c:ptCount val="6"/>
                <c:pt idx="0">
                  <c:v>7.2850804102298072</c:v>
                </c:pt>
                <c:pt idx="1">
                  <c:v>7.8810866911412445</c:v>
                </c:pt>
                <c:pt idx="2">
                  <c:v>8.9839015151515138</c:v>
                </c:pt>
                <c:pt idx="3">
                  <c:v>6.3361644900822549</c:v>
                </c:pt>
                <c:pt idx="4">
                  <c:v>10.155001477724209</c:v>
                </c:pt>
                <c:pt idx="5">
                  <c:v>9.8203377315497793</c:v>
                </c:pt>
              </c:numCache>
            </c:numRef>
          </c:val>
          <c:extLst>
            <c:ext xmlns:c16="http://schemas.microsoft.com/office/drawing/2014/chart" uri="{C3380CC4-5D6E-409C-BE32-E72D297353CC}">
              <c16:uniqueId val="{00000004-69D6-477A-9CDA-49F2E6158099}"/>
            </c:ext>
          </c:extLst>
        </c:ser>
        <c:dLbls>
          <c:dLblPos val="outEnd"/>
          <c:showLegendKey val="0"/>
          <c:showVal val="1"/>
          <c:showCatName val="0"/>
          <c:showSerName val="0"/>
          <c:showPercent val="0"/>
          <c:showBubbleSize val="0"/>
        </c:dLbls>
        <c:gapWidth val="219"/>
        <c:overlap val="-27"/>
        <c:axId val="1779439647"/>
        <c:axId val="1779423327"/>
      </c:barChart>
      <c:catAx>
        <c:axId val="17794396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779423327"/>
        <c:crosses val="autoZero"/>
        <c:auto val="1"/>
        <c:lblAlgn val="ctr"/>
        <c:lblOffset val="100"/>
        <c:noMultiLvlLbl val="0"/>
      </c:catAx>
      <c:valAx>
        <c:axId val="1779423327"/>
        <c:scaling>
          <c:orientation val="minMax"/>
        </c:scaling>
        <c:delete val="0"/>
        <c:axPos val="l"/>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77943964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0.07768</cdr:x>
      <cdr:y>0.31842</cdr:y>
    </cdr:from>
    <cdr:to>
      <cdr:x>0.97595</cdr:x>
      <cdr:y>0.41031</cdr:y>
    </cdr:to>
    <cdr:grpSp>
      <cdr:nvGrpSpPr>
        <cdr:cNvPr id="2" name="Group 1">
          <a:extLst xmlns:a="http://schemas.openxmlformats.org/drawingml/2006/main">
            <a:ext uri="{FF2B5EF4-FFF2-40B4-BE49-F238E27FC236}">
              <a16:creationId xmlns:a16="http://schemas.microsoft.com/office/drawing/2014/main" id="{969160A6-217E-1BAE-1F9B-331C3335ABDF}"/>
            </a:ext>
          </a:extLst>
        </cdr:cNvPr>
        <cdr:cNvGrpSpPr/>
      </cdr:nvGrpSpPr>
      <cdr:grpSpPr>
        <a:xfrm xmlns:a="http://schemas.openxmlformats.org/drawingml/2006/main">
          <a:off x="445246" y="939822"/>
          <a:ext cx="5149014" cy="271211"/>
          <a:chOff x="0" y="222666"/>
          <a:chExt cx="5251358" cy="348113"/>
        </a:xfrm>
      </cdr:grpSpPr>
      <cdr:cxnSp macro="">
        <cdr:nvCxnSpPr>
          <cdr:cNvPr id="3" name="Straight Connector 2">
            <a:extLst xmlns:a="http://schemas.openxmlformats.org/drawingml/2006/main">
              <a:ext uri="{FF2B5EF4-FFF2-40B4-BE49-F238E27FC236}">
                <a16:creationId xmlns:a16="http://schemas.microsoft.com/office/drawing/2014/main" id="{B649F0DE-5B71-04E1-EC3B-96BB08692ECB}"/>
              </a:ext>
            </a:extLst>
          </cdr:cNvPr>
          <cdr:cNvCxnSpPr/>
        </cdr:nvCxnSpPr>
        <cdr:spPr>
          <a:xfrm xmlns:a="http://schemas.openxmlformats.org/drawingml/2006/main" flipV="1">
            <a:off x="0" y="222666"/>
            <a:ext cx="5213625" cy="12545"/>
          </a:xfrm>
          <a:prstGeom xmlns:a="http://schemas.openxmlformats.org/drawingml/2006/main" prst="line">
            <a:avLst/>
          </a:prstGeom>
          <a:ln xmlns:a="http://schemas.openxmlformats.org/drawingml/2006/main" w="12700" cap="flat" cmpd="sng" algn="ctr">
            <a:solidFill>
              <a:srgbClr val="1192E8"/>
            </a:solidFill>
            <a:prstDash val="dash"/>
            <a:round/>
            <a:headEnd type="none" w="med" len="med"/>
            <a:tailEnd type="none" w="med" len="med"/>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cxnSp>
      <cdr:sp macro="" textlink="">
        <cdr:nvSpPr>
          <cdr:cNvPr id="4" name="TextBox 3">
            <a:extLst xmlns:a="http://schemas.openxmlformats.org/drawingml/2006/main">
              <a:ext uri="{FF2B5EF4-FFF2-40B4-BE49-F238E27FC236}">
                <a16:creationId xmlns:a16="http://schemas.microsoft.com/office/drawing/2014/main" id="{D0D12399-829A-1DD0-3224-CCDE4D8AE381}"/>
              </a:ext>
            </a:extLst>
          </cdr:cNvPr>
          <cdr:cNvSpPr txBox="1"/>
        </cdr:nvSpPr>
        <cdr:spPr>
          <a:xfrm xmlns:a="http://schemas.openxmlformats.org/drawingml/2006/main">
            <a:off x="4845714" y="297934"/>
            <a:ext cx="405644" cy="272845"/>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900" kern="1200">
                <a:solidFill>
                  <a:srgbClr val="1192E8"/>
                </a:solidFill>
              </a:rPr>
              <a:t>-2%</a:t>
            </a:r>
          </a:p>
        </cdr:txBody>
      </cdr:sp>
    </cdr:grpSp>
  </cdr:relSizeAnchor>
</c:userShapes>
</file>

<file path=word/drawings/drawing2.xml><?xml version="1.0" encoding="utf-8"?>
<c:userShapes xmlns:c="http://schemas.openxmlformats.org/drawingml/2006/chart">
  <cdr:relSizeAnchor xmlns:cdr="http://schemas.openxmlformats.org/drawingml/2006/chartDrawing">
    <cdr:from>
      <cdr:x>0.07327</cdr:x>
      <cdr:y>0.3153</cdr:y>
    </cdr:from>
    <cdr:to>
      <cdr:x>0.9778</cdr:x>
      <cdr:y>0.38793</cdr:y>
    </cdr:to>
    <cdr:grpSp>
      <cdr:nvGrpSpPr>
        <cdr:cNvPr id="2" name="Group 1">
          <a:extLst xmlns:a="http://schemas.openxmlformats.org/drawingml/2006/main">
            <a:ext uri="{FF2B5EF4-FFF2-40B4-BE49-F238E27FC236}">
              <a16:creationId xmlns:a16="http://schemas.microsoft.com/office/drawing/2014/main" id="{288D6331-66FE-0BD4-DEA2-4100CF464140}"/>
            </a:ext>
          </a:extLst>
        </cdr:cNvPr>
        <cdr:cNvGrpSpPr/>
      </cdr:nvGrpSpPr>
      <cdr:grpSpPr>
        <a:xfrm xmlns:a="http://schemas.openxmlformats.org/drawingml/2006/main">
          <a:off x="420005" y="930605"/>
          <a:ext cx="5184874" cy="214359"/>
          <a:chOff x="708930" y="1263235"/>
          <a:chExt cx="7500370" cy="241108"/>
        </a:xfrm>
      </cdr:grpSpPr>
      <cdr:cxnSp macro="">
        <cdr:nvCxnSpPr>
          <cdr:cNvPr id="3" name="Straight Connector 2">
            <a:extLst xmlns:a="http://schemas.openxmlformats.org/drawingml/2006/main">
              <a:ext uri="{FF2B5EF4-FFF2-40B4-BE49-F238E27FC236}">
                <a16:creationId xmlns:a16="http://schemas.microsoft.com/office/drawing/2014/main" id="{BB5E81AE-57D6-59D2-9222-A5CD82735D2F}"/>
              </a:ext>
            </a:extLst>
          </cdr:cNvPr>
          <cdr:cNvCxnSpPr/>
        </cdr:nvCxnSpPr>
        <cdr:spPr>
          <a:xfrm xmlns:a="http://schemas.openxmlformats.org/drawingml/2006/main" flipV="1">
            <a:off x="708930" y="1476387"/>
            <a:ext cx="7139653" cy="8905"/>
          </a:xfrm>
          <a:prstGeom xmlns:a="http://schemas.openxmlformats.org/drawingml/2006/main" prst="line">
            <a:avLst/>
          </a:prstGeom>
          <a:ln xmlns:a="http://schemas.openxmlformats.org/drawingml/2006/main" w="12700" cap="flat" cmpd="sng" algn="ctr">
            <a:solidFill>
              <a:srgbClr val="1192E8"/>
            </a:solidFill>
            <a:prstDash val="dash"/>
            <a:round/>
            <a:headEnd type="none" w="med" len="med"/>
            <a:tailEnd type="none" w="med" len="med"/>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cxnSp>
      <cdr:sp macro="" textlink="">
        <cdr:nvSpPr>
          <cdr:cNvPr id="7" name="TextBox 6">
            <a:extLst xmlns:a="http://schemas.openxmlformats.org/drawingml/2006/main">
              <a:ext uri="{FF2B5EF4-FFF2-40B4-BE49-F238E27FC236}">
                <a16:creationId xmlns:a16="http://schemas.microsoft.com/office/drawing/2014/main" id="{5A1F2C76-6845-B754-96EB-4CB973DB0A57}"/>
              </a:ext>
            </a:extLst>
          </cdr:cNvPr>
          <cdr:cNvSpPr txBox="1"/>
        </cdr:nvSpPr>
        <cdr:spPr>
          <a:xfrm xmlns:a="http://schemas.openxmlformats.org/drawingml/2006/main">
            <a:off x="7549950" y="1263235"/>
            <a:ext cx="659350" cy="24110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AU" sz="900" kern="1200">
                <a:solidFill>
                  <a:srgbClr val="1192E8"/>
                </a:solidFill>
              </a:rPr>
              <a:t>69%</a:t>
            </a:r>
          </a:p>
        </cdr:txBody>
      </cdr:sp>
    </cdr:grpSp>
  </cdr:relSizeAnchor>
</c:userShapes>
</file>

<file path=word/drawings/drawing3.xml><?xml version="1.0" encoding="utf-8"?>
<c:userShapes xmlns:c="http://schemas.openxmlformats.org/drawingml/2006/chart">
  <cdr:relSizeAnchor xmlns:cdr="http://schemas.openxmlformats.org/drawingml/2006/chartDrawing">
    <cdr:from>
      <cdr:x>0.08694</cdr:x>
      <cdr:y>0.111</cdr:y>
    </cdr:from>
    <cdr:to>
      <cdr:x>0.98374</cdr:x>
      <cdr:y>0.18215</cdr:y>
    </cdr:to>
    <cdr:grpSp>
      <cdr:nvGrpSpPr>
        <cdr:cNvPr id="2" name="Group 1">
          <a:extLst xmlns:a="http://schemas.openxmlformats.org/drawingml/2006/main">
            <a:ext uri="{FF2B5EF4-FFF2-40B4-BE49-F238E27FC236}">
              <a16:creationId xmlns:a16="http://schemas.microsoft.com/office/drawing/2014/main" id="{36AF7D0E-3E45-761E-0B9C-F81544BE7D5E}"/>
            </a:ext>
          </a:extLst>
        </cdr:cNvPr>
        <cdr:cNvGrpSpPr/>
      </cdr:nvGrpSpPr>
      <cdr:grpSpPr>
        <a:xfrm xmlns:a="http://schemas.openxmlformats.org/drawingml/2006/main">
          <a:off x="498373" y="327612"/>
          <a:ext cx="5140588" cy="209997"/>
          <a:chOff x="-50312" y="74179"/>
          <a:chExt cx="5219916" cy="268898"/>
        </a:xfrm>
      </cdr:grpSpPr>
      <cdr:cxnSp macro="">
        <cdr:nvCxnSpPr>
          <cdr:cNvPr id="3" name="Straight Connector 2">
            <a:extLst xmlns:a="http://schemas.openxmlformats.org/drawingml/2006/main">
              <a:ext uri="{FF2B5EF4-FFF2-40B4-BE49-F238E27FC236}">
                <a16:creationId xmlns:a16="http://schemas.microsoft.com/office/drawing/2014/main" id="{76FE4FF2-91CC-0770-45E9-A60CA2097A33}"/>
              </a:ext>
            </a:extLst>
          </cdr:cNvPr>
          <cdr:cNvCxnSpPr/>
        </cdr:nvCxnSpPr>
        <cdr:spPr>
          <a:xfrm xmlns:a="http://schemas.openxmlformats.org/drawingml/2006/main">
            <a:off x="-50312" y="335564"/>
            <a:ext cx="5127378" cy="7513"/>
          </a:xfrm>
          <a:prstGeom xmlns:a="http://schemas.openxmlformats.org/drawingml/2006/main" prst="line">
            <a:avLst/>
          </a:prstGeom>
          <a:ln xmlns:a="http://schemas.openxmlformats.org/drawingml/2006/main" w="12700" cap="flat" cmpd="sng" algn="ctr">
            <a:solidFill>
              <a:srgbClr val="1192E8"/>
            </a:solidFill>
            <a:prstDash val="dash"/>
            <a:round/>
            <a:headEnd type="none" w="med" len="med"/>
            <a:tailEnd type="none" w="med" len="med"/>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cxnSp>
      <cdr:sp macro="" textlink="">
        <cdr:nvSpPr>
          <cdr:cNvPr id="4" name="TextBox 3">
            <a:extLst xmlns:a="http://schemas.openxmlformats.org/drawingml/2006/main">
              <a:ext uri="{FF2B5EF4-FFF2-40B4-BE49-F238E27FC236}">
                <a16:creationId xmlns:a16="http://schemas.microsoft.com/office/drawing/2014/main" id="{A2DE48C5-64CE-55A0-F73D-CD42550273F7}"/>
              </a:ext>
            </a:extLst>
          </cdr:cNvPr>
          <cdr:cNvSpPr txBox="1"/>
        </cdr:nvSpPr>
        <cdr:spPr>
          <a:xfrm xmlns:a="http://schemas.openxmlformats.org/drawingml/2006/main">
            <a:off x="4707914" y="74179"/>
            <a:ext cx="461690" cy="23520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900" kern="1200">
                <a:solidFill>
                  <a:srgbClr val="1192E8"/>
                </a:solidFill>
              </a:rPr>
              <a:t>50%</a:t>
            </a:r>
          </a:p>
        </cdr:txBody>
      </cdr:sp>
    </cdr:grpSp>
  </cdr:relSizeAnchor>
</c:userShapes>
</file>

<file path=word/drawings/drawing4.xml><?xml version="1.0" encoding="utf-8"?>
<c:userShapes xmlns:c="http://schemas.openxmlformats.org/drawingml/2006/chart">
  <cdr:relSizeAnchor xmlns:cdr="http://schemas.openxmlformats.org/drawingml/2006/chartDrawing">
    <cdr:from>
      <cdr:x>0.09425</cdr:x>
      <cdr:y>0.50659</cdr:y>
    </cdr:from>
    <cdr:to>
      <cdr:x>0.99026</cdr:x>
      <cdr:y>0.58149</cdr:y>
    </cdr:to>
    <cdr:grpSp>
      <cdr:nvGrpSpPr>
        <cdr:cNvPr id="2" name="Group 1">
          <a:extLst xmlns:a="http://schemas.openxmlformats.org/drawingml/2006/main">
            <a:ext uri="{FF2B5EF4-FFF2-40B4-BE49-F238E27FC236}">
              <a16:creationId xmlns:a16="http://schemas.microsoft.com/office/drawing/2014/main" id="{EFDECE3A-ED32-A606-FE2C-F3A292BBC75F}"/>
            </a:ext>
          </a:extLst>
        </cdr:cNvPr>
        <cdr:cNvGrpSpPr/>
      </cdr:nvGrpSpPr>
      <cdr:grpSpPr>
        <a:xfrm xmlns:a="http://schemas.openxmlformats.org/drawingml/2006/main">
          <a:off x="540272" y="1495197"/>
          <a:ext cx="5136041" cy="221061"/>
          <a:chOff x="0" y="-256567"/>
          <a:chExt cx="3688308" cy="491750"/>
        </a:xfrm>
      </cdr:grpSpPr>
      <cdr:cxnSp macro="">
        <cdr:nvCxnSpPr>
          <cdr:cNvPr id="3" name="Straight Connector 2">
            <a:extLst xmlns:a="http://schemas.openxmlformats.org/drawingml/2006/main">
              <a:ext uri="{FF2B5EF4-FFF2-40B4-BE49-F238E27FC236}">
                <a16:creationId xmlns:a16="http://schemas.microsoft.com/office/drawing/2014/main" id="{C585FD08-F24A-63C5-CE7E-D2B7D3342929}"/>
              </a:ext>
            </a:extLst>
          </cdr:cNvPr>
          <cdr:cNvCxnSpPr/>
        </cdr:nvCxnSpPr>
        <cdr:spPr>
          <a:xfrm xmlns:a="http://schemas.openxmlformats.org/drawingml/2006/main">
            <a:off x="0" y="216601"/>
            <a:ext cx="3587613" cy="18582"/>
          </a:xfrm>
          <a:prstGeom xmlns:a="http://schemas.openxmlformats.org/drawingml/2006/main" prst="line">
            <a:avLst/>
          </a:prstGeom>
          <a:ln xmlns:a="http://schemas.openxmlformats.org/drawingml/2006/main" w="12700" cap="flat" cmpd="sng" algn="ctr">
            <a:solidFill>
              <a:srgbClr val="1192E8"/>
            </a:solidFill>
            <a:prstDash val="dash"/>
            <a:round/>
            <a:headEnd type="none" w="med" len="med"/>
            <a:tailEnd type="none" w="med" len="med"/>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cxnSp>
      <cdr:sp macro="" textlink="">
        <cdr:nvSpPr>
          <cdr:cNvPr id="4" name="TextBox 3">
            <a:extLst xmlns:a="http://schemas.openxmlformats.org/drawingml/2006/main">
              <a:ext uri="{FF2B5EF4-FFF2-40B4-BE49-F238E27FC236}">
                <a16:creationId xmlns:a16="http://schemas.microsoft.com/office/drawing/2014/main" id="{A519CADB-BB90-F570-895C-C66FE077BD46}"/>
              </a:ext>
            </a:extLst>
          </cdr:cNvPr>
          <cdr:cNvSpPr txBox="1"/>
        </cdr:nvSpPr>
        <cdr:spPr>
          <a:xfrm xmlns:a="http://schemas.openxmlformats.org/drawingml/2006/main">
            <a:off x="3371281" y="-256567"/>
            <a:ext cx="317027" cy="37285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900" kern="1200">
                <a:solidFill>
                  <a:srgbClr val="1192E8"/>
                </a:solidFill>
              </a:rPr>
              <a:t>13.2</a:t>
            </a:r>
          </a:p>
        </cdr:txBody>
      </cdr:sp>
    </cdr:grpSp>
  </cdr:relSizeAnchor>
</c:userShapes>
</file>

<file path=word/drawings/drawing5.xml><?xml version="1.0" encoding="utf-8"?>
<c:userShapes xmlns:c="http://schemas.openxmlformats.org/drawingml/2006/chart">
  <cdr:relSizeAnchor xmlns:cdr="http://schemas.openxmlformats.org/drawingml/2006/chartDrawing">
    <cdr:from>
      <cdr:x>0.10846</cdr:x>
      <cdr:y>0.22048</cdr:y>
    </cdr:from>
    <cdr:to>
      <cdr:x>0.98658</cdr:x>
      <cdr:y>0.29551</cdr:y>
    </cdr:to>
    <cdr:grpSp>
      <cdr:nvGrpSpPr>
        <cdr:cNvPr id="3" name="Group 2">
          <a:extLst xmlns:a="http://schemas.openxmlformats.org/drawingml/2006/main">
            <a:ext uri="{FF2B5EF4-FFF2-40B4-BE49-F238E27FC236}">
              <a16:creationId xmlns:a16="http://schemas.microsoft.com/office/drawing/2014/main" id="{9C1CFACF-0077-B2E6-3BDD-126160528C08}"/>
            </a:ext>
          </a:extLst>
        </cdr:cNvPr>
        <cdr:cNvGrpSpPr/>
      </cdr:nvGrpSpPr>
      <cdr:grpSpPr>
        <a:xfrm xmlns:a="http://schemas.openxmlformats.org/drawingml/2006/main">
          <a:off x="621681" y="650755"/>
          <a:ext cx="5033531" cy="221441"/>
          <a:chOff x="0" y="0"/>
          <a:chExt cx="5092224" cy="267160"/>
        </a:xfrm>
      </cdr:grpSpPr>
      <cdr:cxnSp macro="">
        <cdr:nvCxnSpPr>
          <cdr:cNvPr id="4" name="Straight Connector 3">
            <a:extLst xmlns:a="http://schemas.openxmlformats.org/drawingml/2006/main">
              <a:ext uri="{FF2B5EF4-FFF2-40B4-BE49-F238E27FC236}">
                <a16:creationId xmlns:a16="http://schemas.microsoft.com/office/drawing/2014/main" id="{863DBD0B-9A6C-A117-3275-814991FB3E7C}"/>
              </a:ext>
            </a:extLst>
          </cdr:cNvPr>
          <cdr:cNvCxnSpPr/>
        </cdr:nvCxnSpPr>
        <cdr:spPr>
          <a:xfrm xmlns:a="http://schemas.openxmlformats.org/drawingml/2006/main" flipV="1">
            <a:off x="0" y="263899"/>
            <a:ext cx="5051470" cy="3261"/>
          </a:xfrm>
          <a:prstGeom xmlns:a="http://schemas.openxmlformats.org/drawingml/2006/main" prst="line">
            <a:avLst/>
          </a:prstGeom>
          <a:ln xmlns:a="http://schemas.openxmlformats.org/drawingml/2006/main" w="12700" cap="flat" cmpd="sng" algn="ctr">
            <a:solidFill>
              <a:srgbClr val="1192E8"/>
            </a:solidFill>
            <a:prstDash val="dash"/>
            <a:round/>
            <a:headEnd type="none" w="med" len="med"/>
            <a:tailEnd type="none" w="med" len="med"/>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cxnSp>
      <cdr:sp macro="" textlink="">
        <cdr:nvSpPr>
          <cdr:cNvPr id="5" name="TextBox 3">
            <a:extLst xmlns:a="http://schemas.openxmlformats.org/drawingml/2006/main">
              <a:ext uri="{FF2B5EF4-FFF2-40B4-BE49-F238E27FC236}">
                <a16:creationId xmlns:a16="http://schemas.microsoft.com/office/drawing/2014/main" id="{BB21FB9D-C84A-3839-3B7A-31B497C71884}"/>
              </a:ext>
            </a:extLst>
          </cdr:cNvPr>
          <cdr:cNvSpPr txBox="1"/>
        </cdr:nvSpPr>
        <cdr:spPr>
          <a:xfrm xmlns:a="http://schemas.openxmlformats.org/drawingml/2006/main">
            <a:off x="4704211" y="0"/>
            <a:ext cx="388013" cy="24759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900" kern="1200">
                <a:solidFill>
                  <a:srgbClr val="1192E8"/>
                </a:solidFill>
              </a:rPr>
              <a:t>8.1</a:t>
            </a:r>
          </a:p>
        </cdr:txBody>
      </cdr:sp>
    </cdr:grpSp>
  </cdr:relSizeAnchor>
</c:userShape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770C0BF8334F28990E1DD14A9EF10D"/>
        <w:category>
          <w:name w:val="General"/>
          <w:gallery w:val="placeholder"/>
        </w:category>
        <w:types>
          <w:type w:val="bbPlcHdr"/>
        </w:types>
        <w:behaviors>
          <w:behavior w:val="content"/>
        </w:behaviors>
        <w:guid w:val="{D2455786-E384-4D96-BE43-ED3A12A1F053}"/>
      </w:docPartPr>
      <w:docPartBody>
        <w:p w:rsidR="006371E6" w:rsidRDefault="006371E6">
          <w:pPr>
            <w:pStyle w:val="59770C0BF8334F28990E1DD14A9EF10D"/>
          </w:pPr>
          <w:r w:rsidRPr="004C16A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1E6"/>
    <w:rsid w:val="00006622"/>
    <w:rsid w:val="00036525"/>
    <w:rsid w:val="000429EE"/>
    <w:rsid w:val="00091465"/>
    <w:rsid w:val="00092E3E"/>
    <w:rsid w:val="000C2AFD"/>
    <w:rsid w:val="000E5A39"/>
    <w:rsid w:val="00134115"/>
    <w:rsid w:val="0016423B"/>
    <w:rsid w:val="00164B8A"/>
    <w:rsid w:val="001D47B2"/>
    <w:rsid w:val="00222C2D"/>
    <w:rsid w:val="00247E22"/>
    <w:rsid w:val="002800E1"/>
    <w:rsid w:val="002A192D"/>
    <w:rsid w:val="00363152"/>
    <w:rsid w:val="003A30F9"/>
    <w:rsid w:val="003B05BB"/>
    <w:rsid w:val="003B7073"/>
    <w:rsid w:val="004E6B79"/>
    <w:rsid w:val="004F0886"/>
    <w:rsid w:val="00522415"/>
    <w:rsid w:val="005375F1"/>
    <w:rsid w:val="00566BBB"/>
    <w:rsid w:val="005A369E"/>
    <w:rsid w:val="005C4B44"/>
    <w:rsid w:val="005E0F75"/>
    <w:rsid w:val="005E486C"/>
    <w:rsid w:val="006371E6"/>
    <w:rsid w:val="00643F00"/>
    <w:rsid w:val="00654351"/>
    <w:rsid w:val="006D00B5"/>
    <w:rsid w:val="006F30A6"/>
    <w:rsid w:val="007360B3"/>
    <w:rsid w:val="00764A49"/>
    <w:rsid w:val="007A16B8"/>
    <w:rsid w:val="008134C5"/>
    <w:rsid w:val="00842C5B"/>
    <w:rsid w:val="0086252D"/>
    <w:rsid w:val="00884A11"/>
    <w:rsid w:val="00896042"/>
    <w:rsid w:val="008B48F1"/>
    <w:rsid w:val="009329AE"/>
    <w:rsid w:val="00972E09"/>
    <w:rsid w:val="00991B2C"/>
    <w:rsid w:val="009B41D0"/>
    <w:rsid w:val="00A305D9"/>
    <w:rsid w:val="00B06CEC"/>
    <w:rsid w:val="00B10CEB"/>
    <w:rsid w:val="00B2047F"/>
    <w:rsid w:val="00B369B8"/>
    <w:rsid w:val="00B40E5C"/>
    <w:rsid w:val="00B86D31"/>
    <w:rsid w:val="00BC4148"/>
    <w:rsid w:val="00BD7E66"/>
    <w:rsid w:val="00DE1C8B"/>
    <w:rsid w:val="00E27C42"/>
    <w:rsid w:val="00E53480"/>
    <w:rsid w:val="00E711D2"/>
    <w:rsid w:val="00EC43A2"/>
    <w:rsid w:val="00ED78AF"/>
    <w:rsid w:val="00EF105F"/>
    <w:rsid w:val="00F83431"/>
    <w:rsid w:val="00FC4997"/>
    <w:rsid w:val="00FD19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C00000"/>
    </w:rPr>
  </w:style>
  <w:style w:type="paragraph" w:customStyle="1" w:styleId="59770C0BF8334F28990E1DD14A9EF10D">
    <w:name w:val="59770C0BF8334F28990E1DD14A9EF1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JSA">
      <a:dk1>
        <a:sysClr val="windowText" lastClr="000000"/>
      </a:dk1>
      <a:lt1>
        <a:sysClr val="window" lastClr="FFFFFF"/>
      </a:lt1>
      <a:dk2>
        <a:srgbClr val="4B0985"/>
      </a:dk2>
      <a:lt2>
        <a:srgbClr val="D5A3F9"/>
      </a:lt2>
      <a:accent1>
        <a:srgbClr val="6929C4"/>
      </a:accent1>
      <a:accent2>
        <a:srgbClr val="009D9A"/>
      </a:accent2>
      <a:accent3>
        <a:srgbClr val="012749"/>
      </a:accent3>
      <a:accent4>
        <a:srgbClr val="EE538B"/>
      </a:accent4>
      <a:accent5>
        <a:srgbClr val="1192E8"/>
      </a:accent5>
      <a:accent6>
        <a:srgbClr val="9F1853"/>
      </a:accent6>
      <a:hlink>
        <a:srgbClr val="215E9E"/>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794EC4C31997F4DAF6EF5F96F729AC4" ma:contentTypeVersion="18" ma:contentTypeDescription="Create a new document." ma:contentTypeScope="" ma:versionID="d3be7fcd075529bd948c03e805d0ca39">
  <xsd:schema xmlns:xsd="http://www.w3.org/2001/XMLSchema" xmlns:xs="http://www.w3.org/2001/XMLSchema" xmlns:p="http://schemas.microsoft.com/office/2006/metadata/properties" xmlns:ns2="88bdf61f-9621-4102-acf0-32ab8de1ada4" xmlns:ns3="2346c79d-bae1-4214-a8f2-95f62bc64ea6" targetNamespace="http://schemas.microsoft.com/office/2006/metadata/properties" ma:root="true" ma:fieldsID="900c910030c64295a06883de1987d3c3" ns2:_="" ns3:_="">
    <xsd:import namespace="88bdf61f-9621-4102-acf0-32ab8de1ada4"/>
    <xsd:import namespace="2346c79d-bae1-4214-a8f2-95f62bc64e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df61f-9621-4102-acf0-32ab8de1ad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46c79d-bae1-4214-a8f2-95f62bc64ea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e12ceef-ae3b-4855-a9a7-3d2a1cbc952b}" ma:internalName="TaxCatchAll" ma:showField="CatchAllData" ma:web="2346c79d-bae1-4214-a8f2-95f62bc64ea6">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8bdf61f-9621-4102-acf0-32ab8de1ada4">
      <Terms xmlns="http://schemas.microsoft.com/office/infopath/2007/PartnerControls"/>
    </lcf76f155ced4ddcb4097134ff3c332f>
    <TaxCatchAll xmlns="2346c79d-bae1-4214-a8f2-95f62bc64ea6" xsi:nil="true"/>
  </documentManagement>
</p:properties>
</file>

<file path=customXml/itemProps1.xml><?xml version="1.0" encoding="utf-8"?>
<ds:datastoreItem xmlns:ds="http://schemas.openxmlformats.org/officeDocument/2006/customXml" ds:itemID="{38144F5A-3C7F-42D8-939D-C2DE9E746D7D}">
  <ds:schemaRefs>
    <ds:schemaRef ds:uri="http://schemas.openxmlformats.org/officeDocument/2006/bibliography"/>
  </ds:schemaRefs>
</ds:datastoreItem>
</file>

<file path=customXml/itemProps2.xml><?xml version="1.0" encoding="utf-8"?>
<ds:datastoreItem xmlns:ds="http://schemas.openxmlformats.org/officeDocument/2006/customXml" ds:itemID="{70907CA9-F9DE-429A-82DD-B528780E60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bdf61f-9621-4102-acf0-32ab8de1ada4"/>
    <ds:schemaRef ds:uri="2346c79d-bae1-4214-a8f2-95f62bc64e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5A4668-93F0-4A51-9EF3-DA6E28784F8C}">
  <ds:schemaRefs>
    <ds:schemaRef ds:uri="http://schemas.microsoft.com/sharepoint/v3/contenttype/forms"/>
  </ds:schemaRefs>
</ds:datastoreItem>
</file>

<file path=customXml/itemProps4.xml><?xml version="1.0" encoding="utf-8"?>
<ds:datastoreItem xmlns:ds="http://schemas.openxmlformats.org/officeDocument/2006/customXml" ds:itemID="{5A182D10-4BE8-46F5-AB3D-A190D07974C1}">
  <ds:schemaRefs>
    <ds:schemaRef ds:uri="http://schemas.microsoft.com/office/2006/metadata/properties"/>
    <ds:schemaRef ds:uri="http://schemas.microsoft.com/office/infopath/2007/PartnerControls"/>
    <ds:schemaRef ds:uri="88bdf61f-9621-4102-acf0-32ab8de1ada4"/>
    <ds:schemaRef ds:uri="2346c79d-bae1-4214-a8f2-95f62bc64ea6"/>
  </ds:schemaRefs>
</ds:datastoreItem>
</file>

<file path=docProps/app.xml><?xml version="1.0" encoding="utf-8"?>
<Properties xmlns="http://schemas.openxmlformats.org/officeDocument/2006/extended-properties" xmlns:vt="http://schemas.openxmlformats.org/officeDocument/2006/docPropsVTypes">
  <Template>Normal.dotm</Template>
  <TotalTime>8459</TotalTime>
  <Pages>14</Pages>
  <Words>3011</Words>
  <Characters>16084</Characters>
  <Application>Microsoft Office Word</Application>
  <DocSecurity>0</DocSecurity>
  <Lines>670</Lines>
  <Paragraphs>516</Paragraphs>
  <ScaleCrop>false</ScaleCrop>
  <HeadingPairs>
    <vt:vector size="2" baseType="variant">
      <vt:variant>
        <vt:lpstr>Title</vt:lpstr>
      </vt:variant>
      <vt:variant>
        <vt:i4>1</vt:i4>
      </vt:variant>
    </vt:vector>
  </HeadingPairs>
  <TitlesOfParts>
    <vt:vector size="1" baseType="lpstr">
      <vt:lpstr>Occupation Shortage Report</vt:lpstr>
    </vt:vector>
  </TitlesOfParts>
  <Company/>
  <LinksUpToDate>false</LinksUpToDate>
  <CharactersWithSpaces>18579</CharactersWithSpaces>
  <SharedDoc>false</SharedDoc>
  <HLinks>
    <vt:vector size="114" baseType="variant">
      <vt:variant>
        <vt:i4>4915248</vt:i4>
      </vt:variant>
      <vt:variant>
        <vt:i4>147</vt:i4>
      </vt:variant>
      <vt:variant>
        <vt:i4>0</vt:i4>
      </vt:variant>
      <vt:variant>
        <vt:i4>5</vt:i4>
      </vt:variant>
      <vt:variant>
        <vt:lpwstr>mailto:OccupationShortageList@jobsandskills.gov.au</vt:lpwstr>
      </vt:variant>
      <vt:variant>
        <vt:lpwstr/>
      </vt:variant>
      <vt:variant>
        <vt:i4>720964</vt:i4>
      </vt:variant>
      <vt:variant>
        <vt:i4>144</vt:i4>
      </vt:variant>
      <vt:variant>
        <vt:i4>0</vt:i4>
      </vt:variant>
      <vt:variant>
        <vt:i4>5</vt:i4>
      </vt:variant>
      <vt:variant>
        <vt:lpwstr>https://www.abs.gov.au/statistics/standards/australian-statistical-geography-standard-asgs-edition-3/jul2021-jun2026/main-structure-and-greater-capital-city-statistical-areas/greater-capital-city-statistical-areas</vt:lpwstr>
      </vt:variant>
      <vt:variant>
        <vt:lpwstr/>
      </vt:variant>
      <vt:variant>
        <vt:i4>5636108</vt:i4>
      </vt:variant>
      <vt:variant>
        <vt:i4>141</vt:i4>
      </vt:variant>
      <vt:variant>
        <vt:i4>0</vt:i4>
      </vt:variant>
      <vt:variant>
        <vt:i4>5</vt:i4>
      </vt:variant>
      <vt:variant>
        <vt:lpwstr>https://www.abs.gov.au/statistics/classifications/anzsco-australian-and-new-zealand-standard-classification-occupations/2022</vt:lpwstr>
      </vt:variant>
      <vt:variant>
        <vt:lpwstr/>
      </vt:variant>
      <vt:variant>
        <vt:i4>4653107</vt:i4>
      </vt:variant>
      <vt:variant>
        <vt:i4>111</vt:i4>
      </vt:variant>
      <vt:variant>
        <vt:i4>0</vt:i4>
      </vt:variant>
      <vt:variant>
        <vt:i4>5</vt:i4>
      </vt:variant>
      <vt:variant>
        <vt:lpwstr>https://view.officeapps.live.com/op/view.aspx?src=https%3A%2F%2Fwww.jobsandskills.gov.au%2Fsites%2Fdefault%2Ffiles%2F2025-10%2F2025%2520OSL%2520Key%2520Findings%2520Report_0.docx&amp;wdOrigin=BROWSELINK</vt:lpwstr>
      </vt:variant>
      <vt:variant>
        <vt:lpwstr/>
      </vt:variant>
      <vt:variant>
        <vt:i4>6946934</vt:i4>
      </vt:variant>
      <vt:variant>
        <vt:i4>75</vt:i4>
      </vt:variant>
      <vt:variant>
        <vt:i4>0</vt:i4>
      </vt:variant>
      <vt:variant>
        <vt:i4>5</vt:i4>
      </vt:variant>
      <vt:variant>
        <vt:lpwstr/>
      </vt:variant>
      <vt:variant>
        <vt:lpwstr>_Explanatory_Notes</vt:lpwstr>
      </vt:variant>
      <vt:variant>
        <vt:i4>2031667</vt:i4>
      </vt:variant>
      <vt:variant>
        <vt:i4>68</vt:i4>
      </vt:variant>
      <vt:variant>
        <vt:i4>0</vt:i4>
      </vt:variant>
      <vt:variant>
        <vt:i4>5</vt:i4>
      </vt:variant>
      <vt:variant>
        <vt:lpwstr/>
      </vt:variant>
      <vt:variant>
        <vt:lpwstr>_Toc214019406</vt:lpwstr>
      </vt:variant>
      <vt:variant>
        <vt:i4>2031667</vt:i4>
      </vt:variant>
      <vt:variant>
        <vt:i4>62</vt:i4>
      </vt:variant>
      <vt:variant>
        <vt:i4>0</vt:i4>
      </vt:variant>
      <vt:variant>
        <vt:i4>5</vt:i4>
      </vt:variant>
      <vt:variant>
        <vt:lpwstr/>
      </vt:variant>
      <vt:variant>
        <vt:lpwstr>_Toc214019405</vt:lpwstr>
      </vt:variant>
      <vt:variant>
        <vt:i4>2031667</vt:i4>
      </vt:variant>
      <vt:variant>
        <vt:i4>56</vt:i4>
      </vt:variant>
      <vt:variant>
        <vt:i4>0</vt:i4>
      </vt:variant>
      <vt:variant>
        <vt:i4>5</vt:i4>
      </vt:variant>
      <vt:variant>
        <vt:lpwstr/>
      </vt:variant>
      <vt:variant>
        <vt:lpwstr>_Toc214019404</vt:lpwstr>
      </vt:variant>
      <vt:variant>
        <vt:i4>2031667</vt:i4>
      </vt:variant>
      <vt:variant>
        <vt:i4>50</vt:i4>
      </vt:variant>
      <vt:variant>
        <vt:i4>0</vt:i4>
      </vt:variant>
      <vt:variant>
        <vt:i4>5</vt:i4>
      </vt:variant>
      <vt:variant>
        <vt:lpwstr/>
      </vt:variant>
      <vt:variant>
        <vt:lpwstr>_Toc214019403</vt:lpwstr>
      </vt:variant>
      <vt:variant>
        <vt:i4>2031667</vt:i4>
      </vt:variant>
      <vt:variant>
        <vt:i4>44</vt:i4>
      </vt:variant>
      <vt:variant>
        <vt:i4>0</vt:i4>
      </vt:variant>
      <vt:variant>
        <vt:i4>5</vt:i4>
      </vt:variant>
      <vt:variant>
        <vt:lpwstr/>
      </vt:variant>
      <vt:variant>
        <vt:lpwstr>_Toc214019402</vt:lpwstr>
      </vt:variant>
      <vt:variant>
        <vt:i4>2031667</vt:i4>
      </vt:variant>
      <vt:variant>
        <vt:i4>38</vt:i4>
      </vt:variant>
      <vt:variant>
        <vt:i4>0</vt:i4>
      </vt:variant>
      <vt:variant>
        <vt:i4>5</vt:i4>
      </vt:variant>
      <vt:variant>
        <vt:lpwstr/>
      </vt:variant>
      <vt:variant>
        <vt:lpwstr>_Toc214019401</vt:lpwstr>
      </vt:variant>
      <vt:variant>
        <vt:i4>2031667</vt:i4>
      </vt:variant>
      <vt:variant>
        <vt:i4>32</vt:i4>
      </vt:variant>
      <vt:variant>
        <vt:i4>0</vt:i4>
      </vt:variant>
      <vt:variant>
        <vt:i4>5</vt:i4>
      </vt:variant>
      <vt:variant>
        <vt:lpwstr/>
      </vt:variant>
      <vt:variant>
        <vt:lpwstr>_Toc214019400</vt:lpwstr>
      </vt:variant>
      <vt:variant>
        <vt:i4>1441844</vt:i4>
      </vt:variant>
      <vt:variant>
        <vt:i4>26</vt:i4>
      </vt:variant>
      <vt:variant>
        <vt:i4>0</vt:i4>
      </vt:variant>
      <vt:variant>
        <vt:i4>5</vt:i4>
      </vt:variant>
      <vt:variant>
        <vt:lpwstr/>
      </vt:variant>
      <vt:variant>
        <vt:lpwstr>_Toc214019399</vt:lpwstr>
      </vt:variant>
      <vt:variant>
        <vt:i4>1441844</vt:i4>
      </vt:variant>
      <vt:variant>
        <vt:i4>20</vt:i4>
      </vt:variant>
      <vt:variant>
        <vt:i4>0</vt:i4>
      </vt:variant>
      <vt:variant>
        <vt:i4>5</vt:i4>
      </vt:variant>
      <vt:variant>
        <vt:lpwstr/>
      </vt:variant>
      <vt:variant>
        <vt:lpwstr>_Toc214019398</vt:lpwstr>
      </vt:variant>
      <vt:variant>
        <vt:i4>1441844</vt:i4>
      </vt:variant>
      <vt:variant>
        <vt:i4>14</vt:i4>
      </vt:variant>
      <vt:variant>
        <vt:i4>0</vt:i4>
      </vt:variant>
      <vt:variant>
        <vt:i4>5</vt:i4>
      </vt:variant>
      <vt:variant>
        <vt:lpwstr/>
      </vt:variant>
      <vt:variant>
        <vt:lpwstr>_Toc214019397</vt:lpwstr>
      </vt:variant>
      <vt:variant>
        <vt:i4>1441844</vt:i4>
      </vt:variant>
      <vt:variant>
        <vt:i4>8</vt:i4>
      </vt:variant>
      <vt:variant>
        <vt:i4>0</vt:i4>
      </vt:variant>
      <vt:variant>
        <vt:i4>5</vt:i4>
      </vt:variant>
      <vt:variant>
        <vt:lpwstr/>
      </vt:variant>
      <vt:variant>
        <vt:lpwstr>_Toc214019396</vt:lpwstr>
      </vt:variant>
      <vt:variant>
        <vt:i4>1441844</vt:i4>
      </vt:variant>
      <vt:variant>
        <vt:i4>2</vt:i4>
      </vt:variant>
      <vt:variant>
        <vt:i4>0</vt:i4>
      </vt:variant>
      <vt:variant>
        <vt:i4>5</vt:i4>
      </vt:variant>
      <vt:variant>
        <vt:lpwstr/>
      </vt:variant>
      <vt:variant>
        <vt:lpwstr>_Toc214019395</vt:lpwstr>
      </vt:variant>
      <vt:variant>
        <vt:i4>458833</vt:i4>
      </vt:variant>
      <vt:variant>
        <vt:i4>3</vt:i4>
      </vt:variant>
      <vt:variant>
        <vt:i4>0</vt:i4>
      </vt:variant>
      <vt:variant>
        <vt:i4>5</vt:i4>
      </vt:variant>
      <vt:variant>
        <vt:lpwstr>https://www.theaustralian.com.au/business/technology/tech-sector-struggling-to-meet-goal-of-creating-12-million-jobs-by-2030/news-story/7631f0345ee17c1b48e00c3035d3bab9?btr=67113feb180c71dbbc88c760f73c6087</vt:lpwstr>
      </vt:variant>
      <vt:variant>
        <vt:lpwstr/>
      </vt:variant>
      <vt:variant>
        <vt:i4>7667822</vt:i4>
      </vt:variant>
      <vt:variant>
        <vt:i4>0</vt:i4>
      </vt:variant>
      <vt:variant>
        <vt:i4>0</vt:i4>
      </vt:variant>
      <vt:variant>
        <vt:i4>5</vt:i4>
      </vt:variant>
      <vt:variant>
        <vt:lpwstr>https://www.jobsandskills.gov.au/data/occupation-shortages-analysis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 Shortage Report</dc:title>
  <dc:subject/>
  <dc:creator>WEI,Annie</dc:creator>
  <cp:keywords/>
  <dc:description/>
  <cp:lastModifiedBy>WEI,Annie</cp:lastModifiedBy>
  <cp:revision>1297</cp:revision>
  <cp:lastPrinted>2025-12-05T00:11:00Z</cp:lastPrinted>
  <dcterms:created xsi:type="dcterms:W3CDTF">2025-10-23T10:31:00Z</dcterms:created>
  <dcterms:modified xsi:type="dcterms:W3CDTF">2025-12-05T00:11:00Z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0x010100F794EC4C31997F4DAF6EF5F96F729AC4</vt:lpwstr>
  </property>
  <property fmtid="{D5CDD505-2E9C-101B-9397-08002B2CF9AE}" pid="3" name="MediaServiceImageTags">
    <vt:lpwstr/>
  </property>
  <property fmtid="{D5CDD505-2E9C-101B-9397-08002B2CF9AE}" pid="4" name="MSIP_Label_79d889eb-932f-4752-8739-64d25806ef64_Enabled">
    <vt:lpwstr>true</vt:lpwstr>
  </property>
  <property fmtid="{D5CDD505-2E9C-101B-9397-08002B2CF9AE}" pid="5" name="MSIP_Label_79d889eb-932f-4752-8739-64d25806ef64_SetDate">
    <vt:lpwstr>2024-12-18T22:26:14Z</vt:lpwstr>
  </property>
  <property fmtid="{D5CDD505-2E9C-101B-9397-08002B2CF9AE}" pid="6" name="MSIP_Label_79d889eb-932f-4752-8739-64d25806ef64_Method">
    <vt:lpwstr>Privileged</vt:lpwstr>
  </property>
  <property fmtid="{D5CDD505-2E9C-101B-9397-08002B2CF9AE}" pid="7" name="MSIP_Label_79d889eb-932f-4752-8739-64d25806ef64_Name">
    <vt:lpwstr>79d889eb-932f-4752-8739-64d25806ef64</vt:lpwstr>
  </property>
  <property fmtid="{D5CDD505-2E9C-101B-9397-08002B2CF9AE}" pid="8" name="MSIP_Label_79d889eb-932f-4752-8739-64d25806ef64_SiteId">
    <vt:lpwstr>dd0cfd15-4558-4b12-8bad-ea26984fc417</vt:lpwstr>
  </property>
  <property fmtid="{D5CDD505-2E9C-101B-9397-08002B2CF9AE}" pid="9" name="MSIP_Label_79d889eb-932f-4752-8739-64d25806ef64_ActionId">
    <vt:lpwstr>ffc2b767-32c1-4b3d-8dd7-6d1f1a1e82a3</vt:lpwstr>
  </property>
  <property fmtid="{D5CDD505-2E9C-101B-9397-08002B2CF9AE}" pid="10" name="MSIP_Label_79d889eb-932f-4752-8739-64d25806ef64_ContentBits">
    <vt:lpwstr>0</vt:lpwstr>
  </property>
</Properties>
</file>