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0.xml" ContentType="application/vnd.openxmlformats-officedocument.wordprocessingml.header+xml"/>
  <Override PartName="/word/footer1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5.xml" ContentType="application/vnd.openxmlformats-officedocument.wordprocessingml.header+xml"/>
  <Override PartName="/word/footer22.xml" ContentType="application/vnd.openxmlformats-officedocument.wordprocessingml.footer+xml"/>
  <Override PartName="/word/header16.xml" ContentType="application/vnd.openxmlformats-officedocument.wordprocessingml.header+xml"/>
  <Override PartName="/word/footer2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19.xml" ContentType="application/vnd.openxmlformats-officedocument.wordprocessingml.header+xml"/>
  <Override PartName="/word/footer26.xml" ContentType="application/vnd.openxmlformats-officedocument.wordprocessingml.footer+xml"/>
  <Override PartName="/word/header20.xml" ContentType="application/vnd.openxmlformats-officedocument.wordprocessingml.header+xml"/>
  <Override PartName="/word/footer2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3.xml" ContentType="application/vnd.openxmlformats-officedocument.wordprocessingml.header+xml"/>
  <Override PartName="/word/footer30.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24.xml" ContentType="application/vnd.openxmlformats-officedocument.wordprocessingml.header+xml"/>
  <Override PartName="/word/header25.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26.xml" ContentType="application/vnd.openxmlformats-officedocument.wordprocessingml.header+xml"/>
  <Override PartName="/word/footer33.xml" ContentType="application/vnd.openxmlformats-officedocument.wordprocessingml.footer+xml"/>
  <Override PartName="/word/header27.xml" ContentType="application/vnd.openxmlformats-officedocument.wordprocessingml.header+xml"/>
  <Override PartName="/word/footer34.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0.xml" ContentType="application/vnd.openxmlformats-officedocument.wordprocessingml.header+xml"/>
  <Override PartName="/word/footer37.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6300A" w14:textId="6ED6AC7A" w:rsidR="00934D95" w:rsidRPr="00987272" w:rsidRDefault="008821BF" w:rsidP="00EB0D4E">
      <w:pPr>
        <w:pStyle w:val="Title"/>
        <w:rPr>
          <w:color w:val="FF0000"/>
        </w:rPr>
      </w:pPr>
      <w:r w:rsidRPr="00987272">
        <w:rPr>
          <w:noProof/>
          <w:color w:val="FF0000"/>
        </w:rPr>
        <w:drawing>
          <wp:anchor distT="0" distB="0" distL="114300" distR="114300" simplePos="0" relativeHeight="251658240" behindDoc="0" locked="0" layoutInCell="1" allowOverlap="1" wp14:anchorId="5279D1D0" wp14:editId="747BCB9E">
            <wp:simplePos x="0" y="0"/>
            <wp:positionH relativeFrom="page">
              <wp:align>left</wp:align>
            </wp:positionH>
            <wp:positionV relativeFrom="page">
              <wp:align>top</wp:align>
            </wp:positionV>
            <wp:extent cx="7560000" cy="10692000"/>
            <wp:effectExtent l="0" t="0" r="3175" b="0"/>
            <wp:wrapNone/>
            <wp:docPr id="37728585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855" name="Picture 1">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EB0D4E" w:rsidRPr="00987272">
        <w:rPr>
          <w:color w:val="FF0000"/>
        </w:rPr>
        <w:t>Connecting for impact</w:t>
      </w:r>
    </w:p>
    <w:p w14:paraId="18BA9532" w14:textId="14E34B91" w:rsidR="002F606B" w:rsidRPr="00987272" w:rsidRDefault="00906C25" w:rsidP="002F606B">
      <w:pPr>
        <w:pStyle w:val="Subtitle"/>
        <w:rPr>
          <w:color w:val="FF0000"/>
        </w:rPr>
      </w:pPr>
      <w:r w:rsidRPr="00987272">
        <w:rPr>
          <w:color w:val="FF0000"/>
        </w:rPr>
        <w:t>Alig</w:t>
      </w:r>
      <w:r w:rsidR="00514F50" w:rsidRPr="00987272">
        <w:rPr>
          <w:color w:val="FF0000"/>
        </w:rPr>
        <w:t xml:space="preserve">ning </w:t>
      </w:r>
      <w:r w:rsidR="00750F2C" w:rsidRPr="00987272">
        <w:rPr>
          <w:color w:val="FF0000"/>
        </w:rPr>
        <w:t>p</w:t>
      </w:r>
      <w:r w:rsidR="00514F50" w:rsidRPr="00987272">
        <w:rPr>
          <w:color w:val="FF0000"/>
        </w:rPr>
        <w:t xml:space="preserve">roductivity, </w:t>
      </w:r>
      <w:r w:rsidR="00750F2C" w:rsidRPr="00987272">
        <w:rPr>
          <w:color w:val="FF0000"/>
        </w:rPr>
        <w:t>p</w:t>
      </w:r>
      <w:r w:rsidR="00514F50" w:rsidRPr="00987272">
        <w:rPr>
          <w:color w:val="FF0000"/>
        </w:rPr>
        <w:t xml:space="preserve">articipation and </w:t>
      </w:r>
      <w:r w:rsidR="00750F2C" w:rsidRPr="00987272">
        <w:rPr>
          <w:color w:val="FF0000"/>
        </w:rPr>
        <w:t>s</w:t>
      </w:r>
      <w:r w:rsidR="00514F50" w:rsidRPr="00987272">
        <w:rPr>
          <w:color w:val="FF0000"/>
        </w:rPr>
        <w:t>kills</w:t>
      </w:r>
    </w:p>
    <w:p w14:paraId="48FA67EB" w14:textId="6BCE36F1" w:rsidR="00317D56" w:rsidRPr="00987272" w:rsidRDefault="00630E95" w:rsidP="00317D56">
      <w:pPr>
        <w:pStyle w:val="DocumentDetails"/>
        <w:rPr>
          <w:color w:val="FF0000"/>
        </w:rPr>
      </w:pPr>
      <w:r w:rsidRPr="00987272">
        <w:rPr>
          <w:color w:val="FF0000"/>
        </w:rPr>
        <w:t>Jobs and Skills Report 2025</w:t>
      </w:r>
    </w:p>
    <w:p w14:paraId="49718A85" w14:textId="77777777" w:rsidR="00317D56" w:rsidRPr="00987272" w:rsidRDefault="00317D56" w:rsidP="00317D56">
      <w:pPr>
        <w:pStyle w:val="DocumentDetails"/>
        <w:rPr>
          <w:color w:val="FF0000"/>
        </w:rPr>
        <w:sectPr w:rsidR="00317D56" w:rsidRPr="00987272" w:rsidSect="005828D7">
          <w:footerReference w:type="even" r:id="rId9"/>
          <w:footerReference w:type="default" r:id="rId10"/>
          <w:type w:val="continuous"/>
          <w:pgSz w:w="11907" w:h="16839" w:code="9"/>
          <w:pgMar w:top="1440" w:right="1440" w:bottom="1440" w:left="1440" w:header="720" w:footer="720" w:gutter="0"/>
          <w:cols w:space="720"/>
          <w:titlePg/>
          <w:docGrid w:linePitch="360"/>
        </w:sectPr>
      </w:pPr>
    </w:p>
    <w:p w14:paraId="12431DC2" w14:textId="2BE4FBEC" w:rsidR="00E73054" w:rsidRPr="00987272" w:rsidRDefault="00E73054" w:rsidP="00E74956">
      <w:pPr>
        <w:pStyle w:val="Image"/>
        <w:rPr>
          <w:color w:val="FF0000"/>
        </w:rPr>
        <w:sectPr w:rsidR="00E73054" w:rsidRPr="00987272" w:rsidSect="004B3CB3">
          <w:footerReference w:type="first" r:id="rId11"/>
          <w:pgSz w:w="11907" w:h="16839" w:code="9"/>
          <w:pgMar w:top="1440" w:right="1270" w:bottom="1440" w:left="1270" w:header="720" w:footer="720" w:gutter="0"/>
          <w:pgNumType w:fmt="lowerRoman" w:start="1"/>
          <w:cols w:space="720"/>
          <w:titlePg/>
          <w:docGrid w:linePitch="360"/>
        </w:sectPr>
      </w:pPr>
      <w:r w:rsidRPr="00987272">
        <w:rPr>
          <w:noProof/>
          <w:color w:val="FF0000"/>
        </w:rPr>
        <w:lastRenderedPageBreak/>
        <w:drawing>
          <wp:anchor distT="0" distB="0" distL="114300" distR="114300" simplePos="0" relativeHeight="251659264" behindDoc="1" locked="0" layoutInCell="1" allowOverlap="1" wp14:anchorId="0AA16621" wp14:editId="54110685">
            <wp:simplePos x="0" y="0"/>
            <wp:positionH relativeFrom="page">
              <wp:align>left</wp:align>
            </wp:positionH>
            <wp:positionV relativeFrom="page">
              <wp:align>top</wp:align>
            </wp:positionV>
            <wp:extent cx="7558767" cy="10691998"/>
            <wp:effectExtent l="0" t="0" r="4445" b="0"/>
            <wp:wrapNone/>
            <wp:docPr id="153363219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632198" name="Picture 2">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7558767" cy="10691998"/>
                    </a:xfrm>
                    <a:prstGeom prst="rect">
                      <a:avLst/>
                    </a:prstGeom>
                  </pic:spPr>
                </pic:pic>
              </a:graphicData>
            </a:graphic>
            <wp14:sizeRelH relativeFrom="page">
              <wp14:pctWidth>0</wp14:pctWidth>
            </wp14:sizeRelH>
            <wp14:sizeRelV relativeFrom="page">
              <wp14:pctHeight>0</wp14:pctHeight>
            </wp14:sizeRelV>
          </wp:anchor>
        </w:drawing>
      </w:r>
    </w:p>
    <w:p w14:paraId="23DBFC97" w14:textId="77777777" w:rsidR="00E74956" w:rsidRPr="00E74956" w:rsidRDefault="00E74956" w:rsidP="00E74956">
      <w:pPr>
        <w:pStyle w:val="Image"/>
      </w:pPr>
      <w:r>
        <w:rPr>
          <w:noProof/>
        </w:rPr>
        <w:lastRenderedPageBreak/>
        <w:drawing>
          <wp:inline distT="0" distB="0" distL="0" distR="0" wp14:anchorId="151B49E3" wp14:editId="5695B0EC">
            <wp:extent cx="1227411" cy="429442"/>
            <wp:effectExtent l="0" t="0" r="0" b="8890"/>
            <wp:docPr id="206089087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890878" name="Picture 1">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975F264" w14:textId="77777777" w:rsidR="00E74956" w:rsidRPr="00E74956" w:rsidRDefault="00E74956" w:rsidP="00E74956">
      <w:pPr>
        <w:pStyle w:val="BodyText"/>
      </w:pPr>
      <w:r w:rsidRPr="00E74956">
        <w:t>All content is provided under a Creative Commons Attribution 4.0 International Licence with the exception of:</w:t>
      </w:r>
    </w:p>
    <w:p w14:paraId="4CE0AF62" w14:textId="77777777" w:rsidR="00E74956" w:rsidRPr="00E74956" w:rsidRDefault="00E74956" w:rsidP="00E74956">
      <w:pPr>
        <w:pStyle w:val="ListBullet"/>
      </w:pPr>
      <w:r w:rsidRPr="00E74956">
        <w:t>content supplied by third parties</w:t>
      </w:r>
    </w:p>
    <w:p w14:paraId="62B52043" w14:textId="77777777" w:rsidR="00E74956" w:rsidRPr="00E74956" w:rsidRDefault="00E74956" w:rsidP="00E74956">
      <w:pPr>
        <w:pStyle w:val="ListBullet"/>
      </w:pPr>
      <w:r w:rsidRPr="00E74956">
        <w:t>the Commonwealth Coat of Arms</w:t>
      </w:r>
    </w:p>
    <w:p w14:paraId="59A38620" w14:textId="77777777" w:rsidR="00E74956" w:rsidRPr="00E74956" w:rsidRDefault="00E74956" w:rsidP="00E74956">
      <w:pPr>
        <w:pStyle w:val="ListBullet"/>
      </w:pPr>
      <w:r w:rsidRPr="00E74956">
        <w:t>material protected by a trade mark</w:t>
      </w:r>
    </w:p>
    <w:p w14:paraId="715D6705" w14:textId="77777777" w:rsidR="00E74956" w:rsidRPr="00E74956" w:rsidRDefault="00E74956" w:rsidP="00E74956">
      <w:pPr>
        <w:pStyle w:val="ListBullet"/>
      </w:pPr>
      <w:r w:rsidRPr="00E74956">
        <w:t>any images and/or photographs.</w:t>
      </w:r>
    </w:p>
    <w:p w14:paraId="27460C26" w14:textId="4638B00A" w:rsidR="00E74956" w:rsidRPr="00E74956" w:rsidRDefault="00E74956" w:rsidP="00E74956">
      <w:pPr>
        <w:pStyle w:val="BodyText"/>
      </w:pPr>
      <w:r w:rsidRPr="00E74956">
        <w:t xml:space="preserve">Details of the Creative Commons BY 4.0 licence are available on the </w:t>
      </w:r>
      <w:hyperlink r:id="rId14" w:history="1">
        <w:r w:rsidRPr="00E74956">
          <w:rPr>
            <w:rStyle w:val="Hyperlink"/>
          </w:rPr>
          <w:t>Creative Commons website</w:t>
        </w:r>
      </w:hyperlink>
      <w:r w:rsidRPr="00E74956">
        <w:t>.</w:t>
      </w:r>
    </w:p>
    <w:p w14:paraId="454CE5D8" w14:textId="77777777" w:rsidR="00E74956" w:rsidRPr="00E74956" w:rsidRDefault="00E74956" w:rsidP="00E74956">
      <w:pPr>
        <w:pStyle w:val="BodyText"/>
      </w:pPr>
      <w:r w:rsidRPr="00E74956">
        <w:t>Use of all or part of any material on this website must include the following attribution:</w:t>
      </w:r>
    </w:p>
    <w:p w14:paraId="321A79B8" w14:textId="77777777" w:rsidR="00E74956" w:rsidRPr="00E74956" w:rsidRDefault="00E74956" w:rsidP="00E74956">
      <w:pPr>
        <w:pStyle w:val="BodyText"/>
      </w:pPr>
      <w:r w:rsidRPr="00E74956">
        <w:t>© Commonwealth of Australia</w:t>
      </w:r>
    </w:p>
    <w:p w14:paraId="3CBC510D" w14:textId="5FCC184C" w:rsidR="00E74956" w:rsidRPr="00E74956" w:rsidRDefault="00E74956" w:rsidP="00E74956">
      <w:pPr>
        <w:pStyle w:val="BodyText"/>
      </w:pPr>
      <w:r w:rsidRPr="00E74956">
        <w:t xml:space="preserve">Terms under which the Commonwealth Coat of Arms can be used are set out on the </w:t>
      </w:r>
      <w:hyperlink r:id="rId15" w:history="1">
        <w:r w:rsidRPr="00E74956">
          <w:rPr>
            <w:rStyle w:val="Hyperlink"/>
          </w:rPr>
          <w:t>Department of the Prime Minister and Cabinet website</w:t>
        </w:r>
      </w:hyperlink>
      <w:r w:rsidRPr="00E74956">
        <w:t>.</w:t>
      </w:r>
    </w:p>
    <w:p w14:paraId="1F7E24F5" w14:textId="77777777" w:rsidR="00E74956" w:rsidRPr="00E74956" w:rsidRDefault="00E74956" w:rsidP="00E74956">
      <w:pPr>
        <w:pStyle w:val="BodyText"/>
        <w:rPr>
          <w:rStyle w:val="Characterbold"/>
        </w:rPr>
      </w:pPr>
      <w:r w:rsidRPr="00E74956">
        <w:rPr>
          <w:rStyle w:val="Characterbold"/>
        </w:rPr>
        <w:t>Attribution</w:t>
      </w:r>
    </w:p>
    <w:p w14:paraId="455C9E8D" w14:textId="77777777" w:rsidR="00E74956" w:rsidRPr="00E74956" w:rsidRDefault="00E74956" w:rsidP="004B3CB3">
      <w:pPr>
        <w:pStyle w:val="BodyText"/>
        <w:rPr>
          <w:lang w:val="en-US"/>
        </w:rPr>
      </w:pPr>
      <w:r w:rsidRPr="00E74956">
        <w:t xml:space="preserve">You may link to this website at your full expense and responsibility. In doing so you must not alter any of the website's contents, frame or </w:t>
      </w:r>
      <w:r w:rsidRPr="004B3CB3">
        <w:t>reformat</w:t>
      </w:r>
      <w:r w:rsidRPr="00E74956">
        <w:t xml:space="preserve"> the files, pages, images, information and materials from this website on any other website. We reserve the right to prevent linking.</w:t>
      </w:r>
    </w:p>
    <w:p w14:paraId="0D3B4F02" w14:textId="77777777" w:rsidR="00E74956" w:rsidRPr="00E74956" w:rsidRDefault="00E74956" w:rsidP="00E74956">
      <w:pPr>
        <w:pStyle w:val="BodyText"/>
        <w:rPr>
          <w:rStyle w:val="Characterbold"/>
        </w:rPr>
      </w:pPr>
      <w:r w:rsidRPr="00E74956">
        <w:rPr>
          <w:rStyle w:val="Characterbold"/>
        </w:rPr>
        <w:t>Other use</w:t>
      </w:r>
    </w:p>
    <w:p w14:paraId="3752B3A7" w14:textId="77777777" w:rsidR="00E74956" w:rsidRPr="00E74956" w:rsidRDefault="00E74956" w:rsidP="00E74956">
      <w:pPr>
        <w:pStyle w:val="BodyText"/>
        <w:rPr>
          <w:lang w:val="en-US"/>
        </w:rPr>
      </w:pPr>
      <w:r w:rsidRPr="00E74956">
        <w:t xml:space="preserve">If you want to use material on this website in a way that is beyond the scope of the terms of use that apply to it, ask us for authorisation. You could infringe our copyright if you use anything on this website in a way that is not permitted or otherwise allowed under the </w:t>
      </w:r>
      <w:r w:rsidRPr="00E74956">
        <w:rPr>
          <w:rStyle w:val="Characteritalic"/>
        </w:rPr>
        <w:t>Copyright Act 1968</w:t>
      </w:r>
      <w:r w:rsidRPr="00E74956">
        <w:t xml:space="preserve"> (Cth).</w:t>
      </w:r>
    </w:p>
    <w:p w14:paraId="7AC2E2C9" w14:textId="59B485A7" w:rsidR="00E74956" w:rsidRPr="00E74956" w:rsidRDefault="00E74956" w:rsidP="00E74956">
      <w:pPr>
        <w:pStyle w:val="BodyText"/>
      </w:pPr>
      <w:r w:rsidRPr="00E74956">
        <w:t xml:space="preserve">Please email </w:t>
      </w:r>
      <w:hyperlink r:id="rId16" w:history="1">
        <w:r w:rsidRPr="00E74956">
          <w:rPr>
            <w:rStyle w:val="Hyperlink"/>
          </w:rPr>
          <w:t>copyright@dewr.gov.au</w:t>
        </w:r>
      </w:hyperlink>
      <w:r w:rsidRPr="00E74956">
        <w:t xml:space="preserve"> or address requests and enquiries to:</w:t>
      </w:r>
    </w:p>
    <w:p w14:paraId="2183200C" w14:textId="77777777" w:rsidR="00E74956" w:rsidRPr="00E74956" w:rsidRDefault="00E74956" w:rsidP="00E74956">
      <w:pPr>
        <w:pStyle w:val="BodyText"/>
      </w:pPr>
      <w:r w:rsidRPr="00E74956">
        <w:t>The Copyright Officer</w:t>
      </w:r>
      <w:r w:rsidRPr="00E74956">
        <w:br/>
        <w:t>Department of Employment and Workplace Relations</w:t>
      </w:r>
      <w:r w:rsidRPr="00E74956">
        <w:br/>
        <w:t>GPO Box 9828 Canberra ACT 2601.</w:t>
      </w:r>
    </w:p>
    <w:p w14:paraId="3E713CE8" w14:textId="77777777" w:rsidR="00E74956" w:rsidRPr="00E74956" w:rsidRDefault="00E74956" w:rsidP="00E74956">
      <w:pPr>
        <w:pStyle w:val="BodyText"/>
      </w:pPr>
    </w:p>
    <w:p w14:paraId="6BDFF388" w14:textId="77777777" w:rsidR="00524A7D" w:rsidRDefault="00524A7D">
      <w:pPr>
        <w:spacing w:after="200" w:line="276" w:lineRule="auto"/>
        <w:rPr>
          <w:rStyle w:val="Characterbold"/>
        </w:rPr>
      </w:pPr>
      <w:r>
        <w:rPr>
          <w:rStyle w:val="Characterbold"/>
        </w:rPr>
        <w:br w:type="page"/>
      </w:r>
    </w:p>
    <w:p w14:paraId="09E65902" w14:textId="78D36EFA" w:rsidR="00CD7DAD" w:rsidRDefault="00CD7DAD">
      <w:pPr>
        <w:spacing w:after="200" w:line="276" w:lineRule="auto"/>
        <w:rPr>
          <w:rStyle w:val="Characterbold"/>
        </w:rPr>
      </w:pPr>
      <w:r>
        <w:rPr>
          <w:rStyle w:val="Characterbold"/>
          <w:noProof/>
        </w:rPr>
        <w:drawing>
          <wp:anchor distT="0" distB="0" distL="114300" distR="114300" simplePos="0" relativeHeight="251665408" behindDoc="0" locked="0" layoutInCell="1" allowOverlap="1" wp14:anchorId="4EEC57C6" wp14:editId="4F0C257D">
            <wp:simplePos x="0" y="0"/>
            <wp:positionH relativeFrom="page">
              <wp:align>left</wp:align>
            </wp:positionH>
            <wp:positionV relativeFrom="page">
              <wp:align>top</wp:align>
            </wp:positionV>
            <wp:extent cx="8024400" cy="10692000"/>
            <wp:effectExtent l="0" t="0" r="0" b="0"/>
            <wp:wrapNone/>
            <wp:docPr id="194089022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890220" name="Picture 1">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24400" cy="10692000"/>
                    </a:xfrm>
                    <a:prstGeom prst="rect">
                      <a:avLst/>
                    </a:prstGeom>
                    <a:noFill/>
                  </pic:spPr>
                </pic:pic>
              </a:graphicData>
            </a:graphic>
            <wp14:sizeRelH relativeFrom="margin">
              <wp14:pctWidth>0</wp14:pctWidth>
            </wp14:sizeRelH>
            <wp14:sizeRelV relativeFrom="margin">
              <wp14:pctHeight>0</wp14:pctHeight>
            </wp14:sizeRelV>
          </wp:anchor>
        </w:drawing>
      </w:r>
      <w:r w:rsidR="00BF301B">
        <w:rPr>
          <w:rStyle w:val="Characterbold"/>
        </w:rPr>
        <w:t>Acknowledgement of Country</w:t>
      </w:r>
    </w:p>
    <w:p w14:paraId="456CA211" w14:textId="77777777" w:rsidR="00627533" w:rsidRPr="00627533" w:rsidRDefault="00627533" w:rsidP="00627533">
      <w:pPr>
        <w:spacing w:after="200" w:line="276" w:lineRule="auto"/>
        <w:rPr>
          <w:rStyle w:val="Characterbold"/>
          <w:b w:val="0"/>
          <w:bCs/>
        </w:rPr>
      </w:pPr>
      <w:r w:rsidRPr="00627533">
        <w:rPr>
          <w:rStyle w:val="Characterbold"/>
          <w:b w:val="0"/>
          <w:bCs/>
        </w:rPr>
        <w:t>Jobs and Skills Australia acknowledges the Traditional Owners of Country throughout Australia and recognises the continuing connection to lands, waters and communities. We pay our respects to Aboriginal and Torres Strait Islander cultures, and to Elders past and present.</w:t>
      </w:r>
    </w:p>
    <w:p w14:paraId="1F0BAEFF" w14:textId="73923C91" w:rsidR="00BF301B" w:rsidRPr="00BF301B" w:rsidRDefault="00627533" w:rsidP="00627533">
      <w:pPr>
        <w:spacing w:after="200" w:line="276" w:lineRule="auto"/>
        <w:rPr>
          <w:rStyle w:val="Characterbold"/>
          <w:b w:val="0"/>
          <w:bCs/>
        </w:rPr>
      </w:pPr>
      <w:r w:rsidRPr="00627533">
        <w:rPr>
          <w:rStyle w:val="Characterbold"/>
          <w:b w:val="0"/>
          <w:bCs/>
        </w:rPr>
        <w:t>The background image is an aerial view of the country of the Nhanda people, showing Pink Lake at Port Gregory.</w:t>
      </w:r>
    </w:p>
    <w:p w14:paraId="2C3354BF" w14:textId="15F35DA8" w:rsidR="00A118A6" w:rsidRDefault="00A118A6">
      <w:pPr>
        <w:rPr>
          <w:lang w:eastAsia="en-AU"/>
        </w:rPr>
      </w:pPr>
      <w:r>
        <w:rPr>
          <w:noProof/>
          <w:lang w:eastAsia="en-AU"/>
        </w:rPr>
        <mc:AlternateContent>
          <mc:Choice Requires="wps">
            <w:drawing>
              <wp:anchor distT="45720" distB="45720" distL="114300" distR="114300" simplePos="0" relativeHeight="251666432" behindDoc="0" locked="0" layoutInCell="1" allowOverlap="1" wp14:anchorId="48562620" wp14:editId="37BBD335">
                <wp:simplePos x="0" y="0"/>
                <wp:positionH relativeFrom="page">
                  <wp:align>left</wp:align>
                </wp:positionH>
                <wp:positionV relativeFrom="page">
                  <wp:posOffset>6459220</wp:posOffset>
                </wp:positionV>
                <wp:extent cx="52848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4800" cy="1404620"/>
                        </a:xfrm>
                        <a:prstGeom prst="rect">
                          <a:avLst/>
                        </a:prstGeom>
                        <a:solidFill>
                          <a:srgbClr val="FFFFFF"/>
                        </a:solidFill>
                        <a:ln w="9525">
                          <a:noFill/>
                          <a:miter lim="800000"/>
                          <a:headEnd/>
                          <a:tailEnd/>
                        </a:ln>
                      </wps:spPr>
                      <wps:txbx>
                        <w:txbxContent>
                          <w:p w14:paraId="4D8AD27A" w14:textId="3C8EB435" w:rsidR="00CD7DAD" w:rsidRPr="00CD7DAD" w:rsidRDefault="00CD7DAD" w:rsidP="00CD7DAD">
                            <w:pPr>
                              <w:pStyle w:val="BodyText"/>
                              <w:spacing w:before="360"/>
                              <w:ind w:left="1270" w:right="851"/>
                              <w:rPr>
                                <w:rStyle w:val="Characterbold"/>
                                <w:sz w:val="32"/>
                                <w:szCs w:val="32"/>
                              </w:rPr>
                            </w:pPr>
                            <w:r w:rsidRPr="00CD7DAD">
                              <w:rPr>
                                <w:rStyle w:val="Characterbold"/>
                                <w:sz w:val="32"/>
                                <w:szCs w:val="32"/>
                              </w:rPr>
                              <w:t>Acknowledgement of Country</w:t>
                            </w:r>
                          </w:p>
                          <w:p w14:paraId="61B96617" w14:textId="77777777" w:rsidR="00CD7DAD" w:rsidRDefault="00CD7DAD" w:rsidP="00CD7DAD">
                            <w:pPr>
                              <w:pStyle w:val="BodyText"/>
                              <w:ind w:left="1270" w:right="851"/>
                            </w:pPr>
                            <w:r>
                              <w:t>Jobs and Skills Australia acknowledges the Traditional Owners of Country throughout Australia and recognises the continuing connection to lands, waters and communities. We pay our respects to Aboriginal and Torres Strait Islander cultures, and to Elders past and present.</w:t>
                            </w:r>
                          </w:p>
                          <w:p w14:paraId="77FA6ED4" w14:textId="20AD89DD" w:rsidR="00CD7DAD" w:rsidRDefault="00CD7DAD" w:rsidP="00CD7DAD">
                            <w:pPr>
                              <w:pStyle w:val="BodyText"/>
                              <w:spacing w:after="360"/>
                              <w:ind w:left="1270" w:right="851"/>
                            </w:pPr>
                            <w:r>
                              <w:t>The background image is an aerial view of the country of the Nhanda people, showing Pink Lake at Port Gregory.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562620" id="_x0000_t202" coordsize="21600,21600" o:spt="202" path="m,l,21600r21600,l21600,xe">
                <v:stroke joinstyle="miter"/>
                <v:path gradientshapeok="t" o:connecttype="rect"/>
              </v:shapetype>
              <v:shape id="Text Box 2" o:spid="_x0000_s1026" type="#_x0000_t202" style="position:absolute;margin-left:0;margin-top:508.6pt;width:416.15pt;height:110.6pt;z-index:251666432;visibility:visible;mso-wrap-style:square;mso-width-percent:0;mso-height-percent:200;mso-wrap-distance-left:9pt;mso-wrap-distance-top:3.6pt;mso-wrap-distance-right:9pt;mso-wrap-distance-bottom:3.6pt;mso-position-horizontal:left;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" stroked="f">
                <v:textbox style="mso-fit-shape-to-text:t">
                  <w:txbxContent>
                    <w:p w14:paraId="4D8AD27A" w14:textId="3C8EB435" w:rsidR="00CD7DAD" w:rsidRPr="00CD7DAD" w:rsidRDefault="00CD7DAD" w:rsidP="00CD7DAD">
                      <w:pPr>
                        <w:pStyle w:val="BodyText"/>
                        <w:spacing w:before="360"/>
                        <w:ind w:left="1270" w:right="851"/>
                        <w:rPr>
                          <w:rStyle w:val="Characterbold"/>
                          <w:sz w:val="32"/>
                          <w:szCs w:val="32"/>
                        </w:rPr>
                      </w:pPr>
                      <w:r w:rsidRPr="00CD7DAD">
                        <w:rPr>
                          <w:rStyle w:val="Characterbold"/>
                          <w:sz w:val="32"/>
                          <w:szCs w:val="32"/>
                        </w:rPr>
                        <w:t>Acknowledgement of Country</w:t>
                      </w:r>
                    </w:p>
                    <w:p w14:paraId="61B96617" w14:textId="77777777" w:rsidR="00CD7DAD" w:rsidRDefault="00CD7DAD" w:rsidP="00CD7DAD">
                      <w:pPr>
                        <w:pStyle w:val="BodyText"/>
                        <w:ind w:left="1270" w:right="851"/>
                      </w:pPr>
                      <w:r>
                        <w:t>Jobs and Skills Australia acknowledges the Traditional Owners of Country throughout Australia and recognises the continuing connection to lands, waters and communities. We pay our respects to Aboriginal and Torres Strait Islander cultures, and to Elders past and present.</w:t>
                      </w:r>
                    </w:p>
                    <w:p w14:paraId="77FA6ED4" w14:textId="20AD89DD" w:rsidR="00CD7DAD" w:rsidRDefault="00CD7DAD" w:rsidP="00CD7DAD">
                      <w:pPr>
                        <w:pStyle w:val="BodyText"/>
                        <w:spacing w:after="360"/>
                        <w:ind w:left="1270" w:right="851"/>
                      </w:pPr>
                      <w:r>
                        <w:t>The background image is an aerial view of the country of the Nhanda people, showing Pink Lake at Port Gregory.</w:t>
                      </w:r>
                    </w:p>
                  </w:txbxContent>
                </v:textbox>
                <w10:wrap anchorx="page" anchory="page"/>
              </v:shape>
            </w:pict>
          </mc:Fallback>
        </mc:AlternateContent>
      </w:r>
      <w:r>
        <w:rPr>
          <w:lang w:eastAsia="en-AU"/>
        </w:rPr>
        <w:br w:type="page"/>
      </w:r>
      <w:r>
        <w:rPr>
          <w:lang w:eastAsia="en-AU"/>
        </w:rPr>
        <w:br w:type="page"/>
      </w:r>
    </w:p>
    <w:p w14:paraId="3075688F" w14:textId="66818DEB" w:rsidR="00CD7DAD" w:rsidRDefault="00CD7DAD">
      <w:pPr>
        <w:spacing w:after="200" w:line="276" w:lineRule="auto"/>
        <w:rPr>
          <w:lang w:eastAsia="en-AU"/>
        </w:rPr>
        <w:sectPr w:rsidR="00CD7DAD" w:rsidSect="00864548">
          <w:footerReference w:type="even" r:id="rId18"/>
          <w:footerReference w:type="default" r:id="rId19"/>
          <w:footerReference w:type="first" r:id="rId20"/>
          <w:pgSz w:w="11907" w:h="16839" w:code="9"/>
          <w:pgMar w:top="1440" w:right="1270" w:bottom="1440" w:left="1270" w:header="720" w:footer="720" w:gutter="0"/>
          <w:pgNumType w:fmt="lowerRoman"/>
          <w:cols w:space="720"/>
          <w:titlePg/>
          <w:docGrid w:linePitch="360"/>
        </w:sectPr>
      </w:pPr>
    </w:p>
    <w:p w14:paraId="69C08CA3" w14:textId="7DFC8ED6" w:rsidR="00802B85" w:rsidRPr="00802B85" w:rsidRDefault="00660BD4" w:rsidP="00802B85">
      <w:pPr>
        <w:pStyle w:val="Heading1"/>
        <w:numPr>
          <w:ilvl w:val="0"/>
          <w:numId w:val="0"/>
        </w:numPr>
      </w:pPr>
      <w:bookmarkStart w:id="0" w:name="_Toc211586976"/>
      <w:r>
        <w:rPr>
          <w:noProof/>
        </w:rPr>
        <w:drawing>
          <wp:anchor distT="0" distB="0" distL="114300" distR="114300" simplePos="0" relativeHeight="251663360" behindDoc="0" locked="0" layoutInCell="1" allowOverlap="1" wp14:anchorId="4364CB14" wp14:editId="0E0BDF7F">
            <wp:simplePos x="0" y="0"/>
            <wp:positionH relativeFrom="margin">
              <wp:align>left</wp:align>
            </wp:positionH>
            <wp:positionV relativeFrom="paragraph">
              <wp:posOffset>767410</wp:posOffset>
            </wp:positionV>
            <wp:extent cx="1814195" cy="2720975"/>
            <wp:effectExtent l="0" t="0" r="0" b="3175"/>
            <wp:wrapSquare wrapText="bothSides"/>
            <wp:docPr id="772466265"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466265" name="Picture 4">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Lst>
                    </a:blip>
                    <a:stretch>
                      <a:fillRect/>
                    </a:stretch>
                  </pic:blipFill>
                  <pic:spPr>
                    <a:xfrm>
                      <a:off x="0" y="0"/>
                      <a:ext cx="1877224" cy="2815180"/>
                    </a:xfrm>
                    <a:prstGeom prst="rect">
                      <a:avLst/>
                    </a:prstGeom>
                  </pic:spPr>
                </pic:pic>
              </a:graphicData>
            </a:graphic>
            <wp14:sizeRelH relativeFrom="margin">
              <wp14:pctWidth>0</wp14:pctWidth>
            </wp14:sizeRelH>
            <wp14:sizeRelV relativeFrom="margin">
              <wp14:pctHeight>0</wp14:pctHeight>
            </wp14:sizeRelV>
          </wp:anchor>
        </w:drawing>
      </w:r>
      <w:r w:rsidR="00802B85" w:rsidRPr="00802B85">
        <w:t>Commissioner’s Foreword</w:t>
      </w:r>
      <w:bookmarkEnd w:id="0"/>
    </w:p>
    <w:p w14:paraId="27A1743D" w14:textId="392C927D" w:rsidR="00802B85" w:rsidRPr="00802B85" w:rsidRDefault="00802B85" w:rsidP="00802B85">
      <w:pPr>
        <w:pStyle w:val="BodyText"/>
      </w:pPr>
      <w:r w:rsidRPr="00802B85">
        <w:t xml:space="preserve">Australia’s labour market is undergoing </w:t>
      </w:r>
      <w:r w:rsidR="007A24F2" w:rsidRPr="00802B85">
        <w:t>significant</w:t>
      </w:r>
      <w:r w:rsidRPr="00802B85">
        <w:t xml:space="preserve"> transformation, shaped by shifting economic demands, evolving worker priorities, and rapid technological advancement. In this dynamic environment, our shared focus must be on building a more productive, inclusive, and resilient workforce – one that empowers all Australians to participate fully and meaningfully in the economy.</w:t>
      </w:r>
    </w:p>
    <w:p w14:paraId="77F50260" w14:textId="3E6AD331" w:rsidR="00802B85" w:rsidRPr="00802B85" w:rsidRDefault="00802B85" w:rsidP="00802B85">
      <w:pPr>
        <w:pStyle w:val="BodyText"/>
      </w:pPr>
      <w:r w:rsidRPr="00802B85">
        <w:t xml:space="preserve">Over the past year, </w:t>
      </w:r>
      <w:r w:rsidR="0067438D">
        <w:t>Jobs and Skills Australia (</w:t>
      </w:r>
      <w:r w:rsidRPr="00802B85">
        <w:t>JSA</w:t>
      </w:r>
      <w:r w:rsidR="0067438D">
        <w:t>)</w:t>
      </w:r>
      <w:r w:rsidRPr="00802B85">
        <w:t xml:space="preserve"> has deepened </w:t>
      </w:r>
      <w:r w:rsidR="00575ACA">
        <w:t>our</w:t>
      </w:r>
      <w:r w:rsidRPr="00802B85">
        <w:t xml:space="preserve"> contribution to this mission. Through rigorous analysis and forward</w:t>
      </w:r>
      <w:r w:rsidR="00736FAB">
        <w:noBreakHyphen/>
      </w:r>
      <w:r w:rsidRPr="00802B85">
        <w:t xml:space="preserve">looking insights, we have delivered a suite of reports and data products that capture important perspectives, challenge conventional </w:t>
      </w:r>
      <w:r w:rsidR="00736FAB">
        <w:t>approaches</w:t>
      </w:r>
      <w:r w:rsidRPr="00802B85">
        <w:t>, and offer new ways of thinking about and strengthening Australia’s skills system.</w:t>
      </w:r>
    </w:p>
    <w:p w14:paraId="0D692240" w14:textId="6EAF671B" w:rsidR="00802B85" w:rsidRDefault="00802B85" w:rsidP="00802B85">
      <w:pPr>
        <w:pStyle w:val="BodyText"/>
      </w:pPr>
      <w:r w:rsidRPr="00802B85">
        <w:t>Productivity remains a central concern for policymakers. While technically it is a measure of output per hour of work – it is a reflection of match efficiency, job quality, and the design of roles and qualifications</w:t>
      </w:r>
      <w:r w:rsidR="00DC408B">
        <w:t xml:space="preserve"> to make the best use of </w:t>
      </w:r>
      <w:r w:rsidR="003A7397">
        <w:t>capital investments, such as investments in technology</w:t>
      </w:r>
      <w:r w:rsidRPr="00802B85">
        <w:t xml:space="preserve">. Participation in the labour market is key for both economic output and social inclusion. </w:t>
      </w:r>
      <w:r w:rsidR="00B405EB" w:rsidRPr="00B405EB">
        <w:t>I note that the Government’s Economic Reform Roundtable highlighted the criticality of skills to Australia’s future economic and productivity growth</w:t>
      </w:r>
      <w:r w:rsidR="003C5E66">
        <w:t xml:space="preserve">, by </w:t>
      </w:r>
      <w:r w:rsidR="003C5E66" w:rsidRPr="00802B85">
        <w:t>lifting both productivity and participation and ensur</w:t>
      </w:r>
      <w:r w:rsidR="003C5E66">
        <w:t>ing</w:t>
      </w:r>
      <w:r w:rsidR="003C5E66" w:rsidRPr="00802B85">
        <w:t xml:space="preserve"> that a well-functioning labour market delivers for people and the economy</w:t>
      </w:r>
      <w:r w:rsidR="00B405EB" w:rsidRPr="00B405EB">
        <w:t>.</w:t>
      </w:r>
    </w:p>
    <w:p w14:paraId="768FEBF0" w14:textId="2274B4A0" w:rsidR="00771FCB" w:rsidRPr="00802B85" w:rsidRDefault="00771FCB" w:rsidP="00802B85">
      <w:pPr>
        <w:pStyle w:val="BodyText"/>
      </w:pPr>
      <w:r w:rsidRPr="00771FCB">
        <w:t>Australia’s long-term pr</w:t>
      </w:r>
      <w:r w:rsidR="001372A7">
        <w:t>odu</w:t>
      </w:r>
      <w:r w:rsidRPr="00771FCB">
        <w:t xml:space="preserve">ctivity depends on how well our tertiary system equips people with the right mix of skills at the right time. This was a key focus at </w:t>
      </w:r>
      <w:r w:rsidR="003A1304">
        <w:t xml:space="preserve">both </w:t>
      </w:r>
      <w:r w:rsidRPr="00771FCB">
        <w:t xml:space="preserve">the </w:t>
      </w:r>
      <w:r w:rsidR="004C27AB">
        <w:t>Government's</w:t>
      </w:r>
      <w:r w:rsidRPr="00771FCB">
        <w:t xml:space="preserve"> Tertiary Productivity Roundtable and Economic Reform Roundtable. To deliver on this promise requires a national skills system that is more joined-up, more agile, inclusive and productive. </w:t>
      </w:r>
    </w:p>
    <w:p w14:paraId="3821BB6B" w14:textId="77777777" w:rsidR="00660BD4" w:rsidRDefault="00660BD4" w:rsidP="00802B85">
      <w:pPr>
        <w:pStyle w:val="BodyText"/>
        <w:sectPr w:rsidR="00660BD4" w:rsidSect="00660BD4">
          <w:headerReference w:type="default" r:id="rId22"/>
          <w:footerReference w:type="default" r:id="rId23"/>
          <w:headerReference w:type="first" r:id="rId24"/>
          <w:footerReference w:type="first" r:id="rId25"/>
          <w:type w:val="oddPage"/>
          <w:pgSz w:w="11907" w:h="16839" w:code="9"/>
          <w:pgMar w:top="1440" w:right="1270" w:bottom="1440" w:left="3402" w:header="720" w:footer="720" w:gutter="0"/>
          <w:pgNumType w:fmt="lowerRoman"/>
          <w:cols w:space="720"/>
          <w:titlePg/>
          <w:docGrid w:linePitch="360"/>
        </w:sectPr>
      </w:pPr>
    </w:p>
    <w:p w14:paraId="1553B104" w14:textId="227175A8" w:rsidR="00802B85" w:rsidRPr="00802B85" w:rsidRDefault="00802B85" w:rsidP="00802B85">
      <w:pPr>
        <w:pStyle w:val="BodyText"/>
      </w:pPr>
      <w:r w:rsidRPr="00802B85">
        <w:t xml:space="preserve">Technology, particularly generative </w:t>
      </w:r>
      <w:r w:rsidR="00F64595">
        <w:t>a</w:t>
      </w:r>
      <w:r w:rsidR="002657B5">
        <w:t xml:space="preserve">rtificial intelligence </w:t>
      </w:r>
      <w:r w:rsidR="00F64595">
        <w:t>(</w:t>
      </w:r>
      <w:r w:rsidR="001B151E">
        <w:t>G</w:t>
      </w:r>
      <w:r w:rsidR="00F64595">
        <w:t>en A</w:t>
      </w:r>
      <w:r w:rsidRPr="00802B85">
        <w:t>I</w:t>
      </w:r>
      <w:r w:rsidR="00F64595">
        <w:t>)</w:t>
      </w:r>
      <w:r w:rsidRPr="00802B85">
        <w:t xml:space="preserve">, is reshaping the way we live, learn, and work. It presents both challenges and opportunities, and JSA has taken a leading role in exploring its implications. Our research this year has focused on how these innovations can empower – not replace – Australian workers. We are committed to ensuring that technological progress enhances human capability and supports inclusive growth. </w:t>
      </w:r>
    </w:p>
    <w:p w14:paraId="46BAB008" w14:textId="51587725" w:rsidR="00802B85" w:rsidRPr="00802B85" w:rsidRDefault="00802B85" w:rsidP="00802B85">
      <w:pPr>
        <w:pStyle w:val="BodyText"/>
      </w:pPr>
      <w:r w:rsidRPr="00802B85">
        <w:t>We have also examined more deeply this year how gender influences education choices and labour market outcomes, and how these patterns intersect with the composition of industries across Australia. This work is vital to understanding and addressing structural inequalities. JSA continues to harness the power of data and analytics to support evidence-based strategies that promote inclusive participation. We are confronting long-standing inequities by prioritising people-centred analysis and policy design.</w:t>
      </w:r>
    </w:p>
    <w:p w14:paraId="03000AFC" w14:textId="5E72138D" w:rsidR="00802B85" w:rsidRPr="00802B85" w:rsidRDefault="00802B85" w:rsidP="00802B85">
      <w:pPr>
        <w:pStyle w:val="BodyText"/>
      </w:pPr>
      <w:r w:rsidRPr="00802B85">
        <w:t>To build a truly inclusive workforce, we must invest in lifelong learning, upskilling, and career mobility. Labour market policy must reflect not only industry demand, but also the aspirations and lived experiences of workers. A more balanced post-secondary education system – one that supports the care economy, the clean energy transformation, early childhood learning, and emerging technologies – is essential to Australia’s future.</w:t>
      </w:r>
    </w:p>
    <w:p w14:paraId="33B2247D" w14:textId="16D20BE1" w:rsidR="00802B85" w:rsidRPr="00802B85" w:rsidRDefault="00802B85" w:rsidP="00802B85">
      <w:pPr>
        <w:pStyle w:val="BodyText"/>
      </w:pPr>
      <w:r w:rsidRPr="00802B85">
        <w:t xml:space="preserve">JSA’s skills forecasting capabilities have provided policymakers, educators, and communities with deeper insights into emerging trends. Our work </w:t>
      </w:r>
      <w:r w:rsidR="00221D6E">
        <w:t>also</w:t>
      </w:r>
      <w:r w:rsidRPr="00802B85">
        <w:t xml:space="preserve"> shows that skill shortages are not merely a function of high demand – they reflect deeper systemic misalignments. By addressing these, we can unlock new opportunities for reform and growth.</w:t>
      </w:r>
    </w:p>
    <w:p w14:paraId="542E9911" w14:textId="77777777" w:rsidR="00802B85" w:rsidRPr="00802B85" w:rsidRDefault="00802B85" w:rsidP="00802B85">
      <w:pPr>
        <w:pStyle w:val="BodyText"/>
      </w:pPr>
      <w:r w:rsidRPr="00802B85">
        <w:t>A key part of our mission is to foster informed dialogue across the national skills system. We are building trust, strengthening connections, and convening stakeholders to ensure that system outcomes are effective, equitable, and future-ready.</w:t>
      </w:r>
    </w:p>
    <w:p w14:paraId="1AB300DD" w14:textId="15C8612F" w:rsidR="00802B85" w:rsidRPr="00802B85" w:rsidRDefault="00EF2E12" w:rsidP="00802B85">
      <w:pPr>
        <w:pStyle w:val="BodyText"/>
      </w:pPr>
      <w:r>
        <w:rPr>
          <w:noProof/>
        </w:rPr>
        <w:drawing>
          <wp:anchor distT="0" distB="0" distL="114300" distR="114300" simplePos="0" relativeHeight="251664384" behindDoc="0" locked="0" layoutInCell="1" allowOverlap="1" wp14:anchorId="15208991" wp14:editId="0FC20FA9">
            <wp:simplePos x="0" y="0"/>
            <wp:positionH relativeFrom="margin">
              <wp:align>left</wp:align>
            </wp:positionH>
            <wp:positionV relativeFrom="paragraph">
              <wp:posOffset>718081</wp:posOffset>
            </wp:positionV>
            <wp:extent cx="2530549" cy="942033"/>
            <wp:effectExtent l="0" t="0" r="0" b="0"/>
            <wp:wrapNone/>
            <wp:docPr id="1364756941"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756941" name="Picture 6">
                      <a:extLst>
                        <a:ext uri="{C183D7F6-B498-43B3-948B-1728B52AA6E4}">
                          <adec:decorative xmlns:adec="http://schemas.microsoft.com/office/drawing/2017/decorative" val="1"/>
                        </a:ext>
                      </a:extLst>
                    </pic:cNvPr>
                    <pic:cNvPicPr/>
                  </pic:nvPicPr>
                  <pic:blipFill>
                    <a:blip r:embed="rId26">
                      <a:extLst>
                        <a:ext uri="{28A0092B-C50C-407E-A947-70E740481C1C}">
                          <a14:useLocalDpi xmlns:a14="http://schemas.microsoft.com/office/drawing/2010/main" val="0"/>
                        </a:ext>
                      </a:extLst>
                    </a:blip>
                    <a:stretch>
                      <a:fillRect/>
                    </a:stretch>
                  </pic:blipFill>
                  <pic:spPr>
                    <a:xfrm>
                      <a:off x="0" y="0"/>
                      <a:ext cx="2530549" cy="942033"/>
                    </a:xfrm>
                    <a:prstGeom prst="rect">
                      <a:avLst/>
                    </a:prstGeom>
                  </pic:spPr>
                </pic:pic>
              </a:graphicData>
            </a:graphic>
            <wp14:sizeRelH relativeFrom="margin">
              <wp14:pctWidth>0</wp14:pctWidth>
            </wp14:sizeRelH>
            <wp14:sizeRelV relativeFrom="margin">
              <wp14:pctHeight>0</wp14:pctHeight>
            </wp14:sizeRelV>
          </wp:anchor>
        </w:drawing>
      </w:r>
      <w:r w:rsidR="00802B85" w:rsidRPr="00802B85">
        <w:t>Our vision is clear: a labour market where opportunity is shared, skills are recognised, and every Australian has a fair chance to thrive. I am proud of JSA’s role in shaping this future – one where the benefits of productivity are broadly and fairly distributed, and where the contributions of workers are valued as the foundation of our national prosperity.</w:t>
      </w:r>
    </w:p>
    <w:p w14:paraId="6EB6A3F9" w14:textId="77777777" w:rsidR="00EF2E12" w:rsidRDefault="00EF2E12" w:rsidP="00802B85">
      <w:pPr>
        <w:pStyle w:val="BodyText"/>
      </w:pPr>
    </w:p>
    <w:p w14:paraId="5443D924" w14:textId="20527111" w:rsidR="00EF2E12" w:rsidRDefault="00EF2E12" w:rsidP="00802B85">
      <w:pPr>
        <w:pStyle w:val="BodyText"/>
      </w:pPr>
    </w:p>
    <w:p w14:paraId="4C25FF90" w14:textId="35678629" w:rsidR="00EF2E12" w:rsidRDefault="00EF2E12" w:rsidP="00802B85">
      <w:pPr>
        <w:pStyle w:val="BodyText"/>
      </w:pPr>
    </w:p>
    <w:p w14:paraId="651DDA7C" w14:textId="49EE0AED" w:rsidR="00802B85" w:rsidRPr="00802B85" w:rsidRDefault="00802B85" w:rsidP="00802B85">
      <w:pPr>
        <w:pStyle w:val="BodyText"/>
      </w:pPr>
      <w:r w:rsidRPr="00802B85">
        <w:t>Professor Barney Glover AO</w:t>
      </w:r>
    </w:p>
    <w:p w14:paraId="4553B27E" w14:textId="77777777" w:rsidR="00802B85" w:rsidRPr="00802B85" w:rsidRDefault="00802B85" w:rsidP="00802B85">
      <w:pPr>
        <w:pStyle w:val="BodyText"/>
      </w:pPr>
      <w:r w:rsidRPr="00802B85">
        <w:t xml:space="preserve">Commissioner </w:t>
      </w:r>
    </w:p>
    <w:p w14:paraId="3D056F1E" w14:textId="36F377BF" w:rsidR="00802B85" w:rsidRDefault="00802B85" w:rsidP="00802B85">
      <w:pPr>
        <w:pStyle w:val="BodyText"/>
      </w:pPr>
      <w:r w:rsidRPr="00802B85">
        <w:t>Jobs and Skills Australia</w:t>
      </w:r>
      <w:r>
        <w:br w:type="page"/>
      </w:r>
    </w:p>
    <w:p w14:paraId="73E8FDD1" w14:textId="77777777" w:rsidR="00DF1D80" w:rsidRDefault="00DF1D80" w:rsidP="00B53908">
      <w:pPr>
        <w:pStyle w:val="BodyText"/>
        <w:sectPr w:rsidR="00DF1D80" w:rsidSect="00660BD4">
          <w:headerReference w:type="first" r:id="rId27"/>
          <w:footerReference w:type="first" r:id="rId28"/>
          <w:pgSz w:w="11907" w:h="16839" w:code="9"/>
          <w:pgMar w:top="1440" w:right="1270" w:bottom="1440" w:left="1270" w:header="720" w:footer="720" w:gutter="0"/>
          <w:pgNumType w:fmt="lowerRoman"/>
          <w:cols w:space="720"/>
          <w:titlePg/>
          <w:docGrid w:linePitch="360"/>
        </w:sectPr>
      </w:pPr>
    </w:p>
    <w:p w14:paraId="4C5E4013" w14:textId="77777777" w:rsidR="00452A9D" w:rsidRDefault="00452A9D" w:rsidP="00104750">
      <w:pPr>
        <w:pStyle w:val="TOCHeading"/>
      </w:pPr>
      <w:r>
        <w:t>Contents</w:t>
      </w:r>
    </w:p>
    <w:p w14:paraId="2F8968BE" w14:textId="281BA5B9" w:rsidR="001B151E" w:rsidRDefault="00EF2E12">
      <w:pPr>
        <w:pStyle w:val="TOC1"/>
        <w:rPr>
          <w:rFonts w:asciiTheme="minorHAnsi" w:eastAsiaTheme="minorEastAsia" w:hAnsiTheme="minorHAnsi"/>
          <w:b w:val="0"/>
          <w:noProof/>
          <w:color w:val="auto"/>
          <w:kern w:val="2"/>
          <w:sz w:val="24"/>
          <w:szCs w:val="24"/>
          <w:lang w:eastAsia="en-AU"/>
          <w14:ligatures w14:val="standardContextual"/>
        </w:rPr>
      </w:pPr>
      <w:r>
        <w:rPr>
          <w:color w:val="6929C4"/>
        </w:rPr>
        <w:fldChar w:fldCharType="begin"/>
      </w:r>
      <w:r>
        <w:rPr>
          <w:color w:val="6929C4"/>
        </w:rPr>
        <w:instrText xml:space="preserve"> TOC \o "2-3" \h \z \t "Heading 1,1,Heading 1 (unnumbered),1" </w:instrText>
      </w:r>
      <w:r>
        <w:rPr>
          <w:color w:val="6929C4"/>
        </w:rPr>
        <w:fldChar w:fldCharType="separate"/>
      </w:r>
      <w:hyperlink w:anchor="_Toc211586976" w:history="1">
        <w:r w:rsidR="001B151E" w:rsidRPr="003531E5">
          <w:rPr>
            <w:rStyle w:val="Hyperlink"/>
            <w:noProof/>
          </w:rPr>
          <w:t>Commissioner’s Foreword</w:t>
        </w:r>
        <w:r w:rsidR="001B151E">
          <w:rPr>
            <w:noProof/>
            <w:webHidden/>
          </w:rPr>
          <w:tab/>
        </w:r>
        <w:r w:rsidR="001B151E">
          <w:rPr>
            <w:noProof/>
            <w:webHidden/>
          </w:rPr>
          <w:fldChar w:fldCharType="begin"/>
        </w:r>
        <w:r w:rsidR="001B151E">
          <w:rPr>
            <w:noProof/>
            <w:webHidden/>
          </w:rPr>
          <w:instrText xml:space="preserve"> PAGEREF _Toc211586976 \h </w:instrText>
        </w:r>
        <w:r w:rsidR="001B151E">
          <w:rPr>
            <w:noProof/>
            <w:webHidden/>
          </w:rPr>
        </w:r>
        <w:r w:rsidR="001B151E">
          <w:rPr>
            <w:noProof/>
            <w:webHidden/>
          </w:rPr>
          <w:fldChar w:fldCharType="separate"/>
        </w:r>
        <w:r w:rsidR="009E6E1D">
          <w:rPr>
            <w:noProof/>
            <w:webHidden/>
          </w:rPr>
          <w:t>v</w:t>
        </w:r>
        <w:r w:rsidR="001B151E">
          <w:rPr>
            <w:noProof/>
            <w:webHidden/>
          </w:rPr>
          <w:fldChar w:fldCharType="end"/>
        </w:r>
      </w:hyperlink>
    </w:p>
    <w:p w14:paraId="4583FE64" w14:textId="322FA48A" w:rsidR="001B151E" w:rsidRDefault="001B151E">
      <w:pPr>
        <w:pStyle w:val="TOC1"/>
        <w:rPr>
          <w:rFonts w:asciiTheme="minorHAnsi" w:eastAsiaTheme="minorEastAsia" w:hAnsiTheme="minorHAnsi"/>
          <w:b w:val="0"/>
          <w:noProof/>
          <w:color w:val="auto"/>
          <w:kern w:val="2"/>
          <w:sz w:val="24"/>
          <w:szCs w:val="24"/>
          <w:lang w:eastAsia="en-AU"/>
          <w14:ligatures w14:val="standardContextual"/>
        </w:rPr>
      </w:pPr>
      <w:hyperlink w:anchor="_Toc211586977" w:history="1">
        <w:r w:rsidRPr="003531E5">
          <w:rPr>
            <w:rStyle w:val="Hyperlink"/>
            <w:noProof/>
          </w:rPr>
          <w:t>Executive summary</w:t>
        </w:r>
        <w:r>
          <w:rPr>
            <w:noProof/>
            <w:webHidden/>
          </w:rPr>
          <w:tab/>
        </w:r>
        <w:r>
          <w:rPr>
            <w:noProof/>
            <w:webHidden/>
          </w:rPr>
          <w:fldChar w:fldCharType="begin"/>
        </w:r>
        <w:r>
          <w:rPr>
            <w:noProof/>
            <w:webHidden/>
          </w:rPr>
          <w:instrText xml:space="preserve"> PAGEREF _Toc211586977 \h </w:instrText>
        </w:r>
        <w:r>
          <w:rPr>
            <w:noProof/>
            <w:webHidden/>
          </w:rPr>
        </w:r>
        <w:r>
          <w:rPr>
            <w:noProof/>
            <w:webHidden/>
          </w:rPr>
          <w:fldChar w:fldCharType="separate"/>
        </w:r>
        <w:r w:rsidR="009E6E1D">
          <w:rPr>
            <w:noProof/>
            <w:webHidden/>
          </w:rPr>
          <w:t>4</w:t>
        </w:r>
        <w:r>
          <w:rPr>
            <w:noProof/>
            <w:webHidden/>
          </w:rPr>
          <w:fldChar w:fldCharType="end"/>
        </w:r>
      </w:hyperlink>
    </w:p>
    <w:p w14:paraId="73C31319" w14:textId="5F9294E1"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6978" w:history="1">
        <w:r w:rsidRPr="003531E5">
          <w:rPr>
            <w:rStyle w:val="Hyperlink"/>
            <w:noProof/>
          </w:rPr>
          <w:t>Inclusive participation</w:t>
        </w:r>
        <w:r>
          <w:rPr>
            <w:noProof/>
            <w:webHidden/>
          </w:rPr>
          <w:tab/>
        </w:r>
        <w:r>
          <w:rPr>
            <w:noProof/>
            <w:webHidden/>
          </w:rPr>
          <w:fldChar w:fldCharType="begin"/>
        </w:r>
        <w:r>
          <w:rPr>
            <w:noProof/>
            <w:webHidden/>
          </w:rPr>
          <w:instrText xml:space="preserve"> PAGEREF _Toc211586978 \h </w:instrText>
        </w:r>
        <w:r>
          <w:rPr>
            <w:noProof/>
            <w:webHidden/>
          </w:rPr>
        </w:r>
        <w:r>
          <w:rPr>
            <w:noProof/>
            <w:webHidden/>
          </w:rPr>
          <w:fldChar w:fldCharType="separate"/>
        </w:r>
        <w:r w:rsidR="009E6E1D">
          <w:rPr>
            <w:noProof/>
            <w:webHidden/>
          </w:rPr>
          <w:t>5</w:t>
        </w:r>
        <w:r>
          <w:rPr>
            <w:noProof/>
            <w:webHidden/>
          </w:rPr>
          <w:fldChar w:fldCharType="end"/>
        </w:r>
      </w:hyperlink>
    </w:p>
    <w:p w14:paraId="1DC09EF2" w14:textId="12863996"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6979" w:history="1">
        <w:r w:rsidRPr="003531E5">
          <w:rPr>
            <w:rStyle w:val="Hyperlink"/>
            <w:noProof/>
          </w:rPr>
          <w:t>Barriers to productivity and participation in today’s labour market</w:t>
        </w:r>
        <w:r>
          <w:rPr>
            <w:noProof/>
            <w:webHidden/>
          </w:rPr>
          <w:tab/>
        </w:r>
        <w:r>
          <w:rPr>
            <w:noProof/>
            <w:webHidden/>
          </w:rPr>
          <w:fldChar w:fldCharType="begin"/>
        </w:r>
        <w:r>
          <w:rPr>
            <w:noProof/>
            <w:webHidden/>
          </w:rPr>
          <w:instrText xml:space="preserve"> PAGEREF _Toc211586979 \h </w:instrText>
        </w:r>
        <w:r>
          <w:rPr>
            <w:noProof/>
            <w:webHidden/>
          </w:rPr>
        </w:r>
        <w:r>
          <w:rPr>
            <w:noProof/>
            <w:webHidden/>
          </w:rPr>
          <w:fldChar w:fldCharType="separate"/>
        </w:r>
        <w:r w:rsidR="009E6E1D">
          <w:rPr>
            <w:noProof/>
            <w:webHidden/>
          </w:rPr>
          <w:t>6</w:t>
        </w:r>
        <w:r>
          <w:rPr>
            <w:noProof/>
            <w:webHidden/>
          </w:rPr>
          <w:fldChar w:fldCharType="end"/>
        </w:r>
      </w:hyperlink>
    </w:p>
    <w:p w14:paraId="019E5CF2" w14:textId="5BD1223C"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6980" w:history="1">
        <w:r w:rsidRPr="003531E5">
          <w:rPr>
            <w:rStyle w:val="Hyperlink"/>
            <w:noProof/>
          </w:rPr>
          <w:t>The future labour market</w:t>
        </w:r>
        <w:r>
          <w:rPr>
            <w:noProof/>
            <w:webHidden/>
          </w:rPr>
          <w:tab/>
        </w:r>
        <w:r>
          <w:rPr>
            <w:noProof/>
            <w:webHidden/>
          </w:rPr>
          <w:fldChar w:fldCharType="begin"/>
        </w:r>
        <w:r>
          <w:rPr>
            <w:noProof/>
            <w:webHidden/>
          </w:rPr>
          <w:instrText xml:space="preserve"> PAGEREF _Toc211586980 \h </w:instrText>
        </w:r>
        <w:r>
          <w:rPr>
            <w:noProof/>
            <w:webHidden/>
          </w:rPr>
        </w:r>
        <w:r>
          <w:rPr>
            <w:noProof/>
            <w:webHidden/>
          </w:rPr>
          <w:fldChar w:fldCharType="separate"/>
        </w:r>
        <w:r w:rsidR="009E6E1D">
          <w:rPr>
            <w:noProof/>
            <w:webHidden/>
          </w:rPr>
          <w:t>7</w:t>
        </w:r>
        <w:r>
          <w:rPr>
            <w:noProof/>
            <w:webHidden/>
          </w:rPr>
          <w:fldChar w:fldCharType="end"/>
        </w:r>
      </w:hyperlink>
    </w:p>
    <w:p w14:paraId="336057C7" w14:textId="0FB5B911"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6981" w:history="1">
        <w:r w:rsidRPr="003531E5">
          <w:rPr>
            <w:rStyle w:val="Hyperlink"/>
            <w:noProof/>
          </w:rPr>
          <w:t>Improved matching and the skills system</w:t>
        </w:r>
        <w:r>
          <w:rPr>
            <w:noProof/>
            <w:webHidden/>
          </w:rPr>
          <w:tab/>
        </w:r>
        <w:r>
          <w:rPr>
            <w:noProof/>
            <w:webHidden/>
          </w:rPr>
          <w:fldChar w:fldCharType="begin"/>
        </w:r>
        <w:r>
          <w:rPr>
            <w:noProof/>
            <w:webHidden/>
          </w:rPr>
          <w:instrText xml:space="preserve"> PAGEREF _Toc211586981 \h </w:instrText>
        </w:r>
        <w:r>
          <w:rPr>
            <w:noProof/>
            <w:webHidden/>
          </w:rPr>
        </w:r>
        <w:r>
          <w:rPr>
            <w:noProof/>
            <w:webHidden/>
          </w:rPr>
          <w:fldChar w:fldCharType="separate"/>
        </w:r>
        <w:r w:rsidR="009E6E1D">
          <w:rPr>
            <w:noProof/>
            <w:webHidden/>
          </w:rPr>
          <w:t>8</w:t>
        </w:r>
        <w:r>
          <w:rPr>
            <w:noProof/>
            <w:webHidden/>
          </w:rPr>
          <w:fldChar w:fldCharType="end"/>
        </w:r>
      </w:hyperlink>
    </w:p>
    <w:p w14:paraId="1214390D" w14:textId="37FCB6F9"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6982" w:history="1">
        <w:r w:rsidRPr="003531E5">
          <w:rPr>
            <w:rStyle w:val="Hyperlink"/>
            <w:noProof/>
          </w:rPr>
          <w:t>Activating an informed dialogue</w:t>
        </w:r>
        <w:r>
          <w:rPr>
            <w:noProof/>
            <w:webHidden/>
          </w:rPr>
          <w:tab/>
        </w:r>
        <w:r>
          <w:rPr>
            <w:noProof/>
            <w:webHidden/>
          </w:rPr>
          <w:fldChar w:fldCharType="begin"/>
        </w:r>
        <w:r>
          <w:rPr>
            <w:noProof/>
            <w:webHidden/>
          </w:rPr>
          <w:instrText xml:space="preserve"> PAGEREF _Toc211586982 \h </w:instrText>
        </w:r>
        <w:r>
          <w:rPr>
            <w:noProof/>
            <w:webHidden/>
          </w:rPr>
        </w:r>
        <w:r>
          <w:rPr>
            <w:noProof/>
            <w:webHidden/>
          </w:rPr>
          <w:fldChar w:fldCharType="separate"/>
        </w:r>
        <w:r w:rsidR="009E6E1D">
          <w:rPr>
            <w:noProof/>
            <w:webHidden/>
          </w:rPr>
          <w:t>9</w:t>
        </w:r>
        <w:r>
          <w:rPr>
            <w:noProof/>
            <w:webHidden/>
          </w:rPr>
          <w:fldChar w:fldCharType="end"/>
        </w:r>
      </w:hyperlink>
    </w:p>
    <w:p w14:paraId="2CDD58D7" w14:textId="3FFD414A"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6983" w:history="1">
        <w:r w:rsidRPr="003531E5">
          <w:rPr>
            <w:rStyle w:val="Hyperlink"/>
            <w:noProof/>
          </w:rPr>
          <w:t>Recommendations</w:t>
        </w:r>
        <w:r>
          <w:rPr>
            <w:noProof/>
            <w:webHidden/>
          </w:rPr>
          <w:tab/>
        </w:r>
        <w:r>
          <w:rPr>
            <w:noProof/>
            <w:webHidden/>
          </w:rPr>
          <w:fldChar w:fldCharType="begin"/>
        </w:r>
        <w:r>
          <w:rPr>
            <w:noProof/>
            <w:webHidden/>
          </w:rPr>
          <w:instrText xml:space="preserve"> PAGEREF _Toc211586983 \h </w:instrText>
        </w:r>
        <w:r>
          <w:rPr>
            <w:noProof/>
            <w:webHidden/>
          </w:rPr>
        </w:r>
        <w:r>
          <w:rPr>
            <w:noProof/>
            <w:webHidden/>
          </w:rPr>
          <w:fldChar w:fldCharType="separate"/>
        </w:r>
        <w:r w:rsidR="009E6E1D">
          <w:rPr>
            <w:noProof/>
            <w:webHidden/>
          </w:rPr>
          <w:t>11</w:t>
        </w:r>
        <w:r>
          <w:rPr>
            <w:noProof/>
            <w:webHidden/>
          </w:rPr>
          <w:fldChar w:fldCharType="end"/>
        </w:r>
      </w:hyperlink>
    </w:p>
    <w:p w14:paraId="42A5F946" w14:textId="38272EAC" w:rsidR="001B151E" w:rsidRDefault="001B151E">
      <w:pPr>
        <w:pStyle w:val="TOC1"/>
        <w:rPr>
          <w:rFonts w:asciiTheme="minorHAnsi" w:eastAsiaTheme="minorEastAsia" w:hAnsiTheme="minorHAnsi"/>
          <w:b w:val="0"/>
          <w:noProof/>
          <w:color w:val="auto"/>
          <w:kern w:val="2"/>
          <w:sz w:val="24"/>
          <w:szCs w:val="24"/>
          <w:lang w:eastAsia="en-AU"/>
          <w14:ligatures w14:val="standardContextual"/>
        </w:rPr>
      </w:pPr>
      <w:hyperlink w:anchor="_Toc211586984" w:history="1">
        <w:r w:rsidRPr="003531E5">
          <w:rPr>
            <w:rStyle w:val="Hyperlink"/>
            <w:noProof/>
          </w:rPr>
          <w:t>Chapter 1</w:t>
        </w:r>
        <w:r>
          <w:rPr>
            <w:rFonts w:asciiTheme="minorHAnsi" w:eastAsiaTheme="minorEastAsia" w:hAnsiTheme="minorHAnsi"/>
            <w:b w:val="0"/>
            <w:noProof/>
            <w:color w:val="auto"/>
            <w:kern w:val="2"/>
            <w:sz w:val="24"/>
            <w:szCs w:val="24"/>
            <w:lang w:eastAsia="en-AU"/>
            <w14:ligatures w14:val="standardContextual"/>
          </w:rPr>
          <w:tab/>
        </w:r>
        <w:r w:rsidRPr="003531E5">
          <w:rPr>
            <w:rStyle w:val="Hyperlink"/>
            <w:noProof/>
          </w:rPr>
          <w:t>Productivity, participation and skills</w:t>
        </w:r>
        <w:r>
          <w:rPr>
            <w:noProof/>
            <w:webHidden/>
          </w:rPr>
          <w:tab/>
        </w:r>
        <w:r>
          <w:rPr>
            <w:noProof/>
            <w:webHidden/>
          </w:rPr>
          <w:fldChar w:fldCharType="begin"/>
        </w:r>
        <w:r>
          <w:rPr>
            <w:noProof/>
            <w:webHidden/>
          </w:rPr>
          <w:instrText xml:space="preserve"> PAGEREF _Toc211586984 \h </w:instrText>
        </w:r>
        <w:r>
          <w:rPr>
            <w:noProof/>
            <w:webHidden/>
          </w:rPr>
        </w:r>
        <w:r>
          <w:rPr>
            <w:noProof/>
            <w:webHidden/>
          </w:rPr>
          <w:fldChar w:fldCharType="separate"/>
        </w:r>
        <w:r w:rsidR="009E6E1D">
          <w:rPr>
            <w:noProof/>
            <w:webHidden/>
          </w:rPr>
          <w:t>13</w:t>
        </w:r>
        <w:r>
          <w:rPr>
            <w:noProof/>
            <w:webHidden/>
          </w:rPr>
          <w:fldChar w:fldCharType="end"/>
        </w:r>
      </w:hyperlink>
    </w:p>
    <w:p w14:paraId="7458C75C" w14:textId="0602A936"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6985" w:history="1">
        <w:r w:rsidRPr="003531E5">
          <w:rPr>
            <w:rStyle w:val="Hyperlink"/>
            <w:noProof/>
          </w:rPr>
          <w:t>1.1</w:t>
        </w:r>
        <w:r>
          <w:rPr>
            <w:rFonts w:asciiTheme="minorHAnsi" w:eastAsiaTheme="minorEastAsia" w:hAnsiTheme="minorHAnsi"/>
            <w:b w:val="0"/>
            <w:noProof/>
            <w:kern w:val="2"/>
            <w:sz w:val="24"/>
            <w:szCs w:val="24"/>
            <w:lang w:eastAsia="en-AU"/>
            <w14:ligatures w14:val="standardContextual"/>
          </w:rPr>
          <w:tab/>
        </w:r>
        <w:r w:rsidRPr="003531E5">
          <w:rPr>
            <w:rStyle w:val="Hyperlink"/>
            <w:noProof/>
          </w:rPr>
          <w:t>Productivity in Australia</w:t>
        </w:r>
        <w:r>
          <w:rPr>
            <w:noProof/>
            <w:webHidden/>
          </w:rPr>
          <w:tab/>
        </w:r>
        <w:r>
          <w:rPr>
            <w:noProof/>
            <w:webHidden/>
          </w:rPr>
          <w:fldChar w:fldCharType="begin"/>
        </w:r>
        <w:r>
          <w:rPr>
            <w:noProof/>
            <w:webHidden/>
          </w:rPr>
          <w:instrText xml:space="preserve"> PAGEREF _Toc211586985 \h </w:instrText>
        </w:r>
        <w:r>
          <w:rPr>
            <w:noProof/>
            <w:webHidden/>
          </w:rPr>
        </w:r>
        <w:r>
          <w:rPr>
            <w:noProof/>
            <w:webHidden/>
          </w:rPr>
          <w:fldChar w:fldCharType="separate"/>
        </w:r>
        <w:r w:rsidR="009E6E1D">
          <w:rPr>
            <w:noProof/>
            <w:webHidden/>
          </w:rPr>
          <w:t>14</w:t>
        </w:r>
        <w:r>
          <w:rPr>
            <w:noProof/>
            <w:webHidden/>
          </w:rPr>
          <w:fldChar w:fldCharType="end"/>
        </w:r>
      </w:hyperlink>
    </w:p>
    <w:p w14:paraId="0CE4FD2D" w14:textId="4FB28256"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6986" w:history="1">
        <w:r w:rsidRPr="003531E5">
          <w:rPr>
            <w:rStyle w:val="Hyperlink"/>
            <w:noProof/>
          </w:rPr>
          <w:t>1.1.1</w:t>
        </w:r>
        <w:r>
          <w:rPr>
            <w:rFonts w:asciiTheme="minorHAnsi" w:eastAsiaTheme="minorEastAsia" w:hAnsiTheme="minorHAnsi"/>
            <w:noProof/>
            <w:kern w:val="2"/>
            <w:sz w:val="24"/>
            <w:szCs w:val="24"/>
            <w:lang w:eastAsia="en-AU"/>
            <w14:ligatures w14:val="standardContextual"/>
          </w:rPr>
          <w:tab/>
        </w:r>
        <w:r w:rsidRPr="003531E5">
          <w:rPr>
            <w:rStyle w:val="Hyperlink"/>
            <w:noProof/>
          </w:rPr>
          <w:t>What drives productivity?</w:t>
        </w:r>
        <w:r>
          <w:rPr>
            <w:noProof/>
            <w:webHidden/>
          </w:rPr>
          <w:tab/>
        </w:r>
        <w:r>
          <w:rPr>
            <w:noProof/>
            <w:webHidden/>
          </w:rPr>
          <w:fldChar w:fldCharType="begin"/>
        </w:r>
        <w:r>
          <w:rPr>
            <w:noProof/>
            <w:webHidden/>
          </w:rPr>
          <w:instrText xml:space="preserve"> PAGEREF _Toc211586986 \h </w:instrText>
        </w:r>
        <w:r>
          <w:rPr>
            <w:noProof/>
            <w:webHidden/>
          </w:rPr>
        </w:r>
        <w:r>
          <w:rPr>
            <w:noProof/>
            <w:webHidden/>
          </w:rPr>
          <w:fldChar w:fldCharType="separate"/>
        </w:r>
        <w:r w:rsidR="009E6E1D">
          <w:rPr>
            <w:noProof/>
            <w:webHidden/>
          </w:rPr>
          <w:t>15</w:t>
        </w:r>
        <w:r>
          <w:rPr>
            <w:noProof/>
            <w:webHidden/>
          </w:rPr>
          <w:fldChar w:fldCharType="end"/>
        </w:r>
      </w:hyperlink>
    </w:p>
    <w:p w14:paraId="47D1586D" w14:textId="20A531C9"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6987" w:history="1">
        <w:r w:rsidRPr="003531E5">
          <w:rPr>
            <w:rStyle w:val="Hyperlink"/>
            <w:noProof/>
          </w:rPr>
          <w:t>1.2</w:t>
        </w:r>
        <w:r>
          <w:rPr>
            <w:rFonts w:asciiTheme="minorHAnsi" w:eastAsiaTheme="minorEastAsia" w:hAnsiTheme="minorHAnsi"/>
            <w:b w:val="0"/>
            <w:noProof/>
            <w:kern w:val="2"/>
            <w:sz w:val="24"/>
            <w:szCs w:val="24"/>
            <w:lang w:eastAsia="en-AU"/>
            <w14:ligatures w14:val="standardContextual"/>
          </w:rPr>
          <w:tab/>
        </w:r>
        <w:r w:rsidRPr="003531E5">
          <w:rPr>
            <w:rStyle w:val="Hyperlink"/>
            <w:noProof/>
          </w:rPr>
          <w:t>The importance of participation</w:t>
        </w:r>
        <w:r>
          <w:rPr>
            <w:noProof/>
            <w:webHidden/>
          </w:rPr>
          <w:tab/>
        </w:r>
        <w:r>
          <w:rPr>
            <w:noProof/>
            <w:webHidden/>
          </w:rPr>
          <w:fldChar w:fldCharType="begin"/>
        </w:r>
        <w:r>
          <w:rPr>
            <w:noProof/>
            <w:webHidden/>
          </w:rPr>
          <w:instrText xml:space="preserve"> PAGEREF _Toc211586987 \h </w:instrText>
        </w:r>
        <w:r>
          <w:rPr>
            <w:noProof/>
            <w:webHidden/>
          </w:rPr>
        </w:r>
        <w:r>
          <w:rPr>
            <w:noProof/>
            <w:webHidden/>
          </w:rPr>
          <w:fldChar w:fldCharType="separate"/>
        </w:r>
        <w:r w:rsidR="009E6E1D">
          <w:rPr>
            <w:noProof/>
            <w:webHidden/>
          </w:rPr>
          <w:t>16</w:t>
        </w:r>
        <w:r>
          <w:rPr>
            <w:noProof/>
            <w:webHidden/>
          </w:rPr>
          <w:fldChar w:fldCharType="end"/>
        </w:r>
      </w:hyperlink>
    </w:p>
    <w:p w14:paraId="453A2676" w14:textId="7DF0B7D1"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6988" w:history="1">
        <w:r w:rsidRPr="003531E5">
          <w:rPr>
            <w:rStyle w:val="Hyperlink"/>
            <w:noProof/>
          </w:rPr>
          <w:t>1.2.1</w:t>
        </w:r>
        <w:r>
          <w:rPr>
            <w:rFonts w:asciiTheme="minorHAnsi" w:eastAsiaTheme="minorEastAsia" w:hAnsiTheme="minorHAnsi"/>
            <w:noProof/>
            <w:kern w:val="2"/>
            <w:sz w:val="24"/>
            <w:szCs w:val="24"/>
            <w:lang w:eastAsia="en-AU"/>
            <w14:ligatures w14:val="standardContextual"/>
          </w:rPr>
          <w:tab/>
        </w:r>
        <w:r w:rsidRPr="003531E5">
          <w:rPr>
            <w:rStyle w:val="Hyperlink"/>
            <w:noProof/>
          </w:rPr>
          <w:t>Participation in Australia</w:t>
        </w:r>
        <w:r>
          <w:rPr>
            <w:noProof/>
            <w:webHidden/>
          </w:rPr>
          <w:tab/>
        </w:r>
        <w:r>
          <w:rPr>
            <w:noProof/>
            <w:webHidden/>
          </w:rPr>
          <w:fldChar w:fldCharType="begin"/>
        </w:r>
        <w:r>
          <w:rPr>
            <w:noProof/>
            <w:webHidden/>
          </w:rPr>
          <w:instrText xml:space="preserve"> PAGEREF _Toc211586988 \h </w:instrText>
        </w:r>
        <w:r>
          <w:rPr>
            <w:noProof/>
            <w:webHidden/>
          </w:rPr>
        </w:r>
        <w:r>
          <w:rPr>
            <w:noProof/>
            <w:webHidden/>
          </w:rPr>
          <w:fldChar w:fldCharType="separate"/>
        </w:r>
        <w:r w:rsidR="009E6E1D">
          <w:rPr>
            <w:noProof/>
            <w:webHidden/>
          </w:rPr>
          <w:t>17</w:t>
        </w:r>
        <w:r>
          <w:rPr>
            <w:noProof/>
            <w:webHidden/>
          </w:rPr>
          <w:fldChar w:fldCharType="end"/>
        </w:r>
      </w:hyperlink>
    </w:p>
    <w:p w14:paraId="62E2670A" w14:textId="31F92B26"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6989" w:history="1">
        <w:r w:rsidRPr="003531E5">
          <w:rPr>
            <w:rStyle w:val="Hyperlink"/>
            <w:noProof/>
          </w:rPr>
          <w:t>1.2.2</w:t>
        </w:r>
        <w:r>
          <w:rPr>
            <w:rFonts w:asciiTheme="minorHAnsi" w:eastAsiaTheme="minorEastAsia" w:hAnsiTheme="minorHAnsi"/>
            <w:noProof/>
            <w:kern w:val="2"/>
            <w:sz w:val="24"/>
            <w:szCs w:val="24"/>
            <w:lang w:eastAsia="en-AU"/>
            <w14:ligatures w14:val="standardContextual"/>
          </w:rPr>
          <w:tab/>
        </w:r>
        <w:r w:rsidRPr="003531E5">
          <w:rPr>
            <w:rStyle w:val="Hyperlink"/>
            <w:noProof/>
          </w:rPr>
          <w:t>Participation is uneven</w:t>
        </w:r>
        <w:r>
          <w:rPr>
            <w:noProof/>
            <w:webHidden/>
          </w:rPr>
          <w:tab/>
        </w:r>
        <w:r>
          <w:rPr>
            <w:noProof/>
            <w:webHidden/>
          </w:rPr>
          <w:fldChar w:fldCharType="begin"/>
        </w:r>
        <w:r>
          <w:rPr>
            <w:noProof/>
            <w:webHidden/>
          </w:rPr>
          <w:instrText xml:space="preserve"> PAGEREF _Toc211586989 \h </w:instrText>
        </w:r>
        <w:r>
          <w:rPr>
            <w:noProof/>
            <w:webHidden/>
          </w:rPr>
        </w:r>
        <w:r>
          <w:rPr>
            <w:noProof/>
            <w:webHidden/>
          </w:rPr>
          <w:fldChar w:fldCharType="separate"/>
        </w:r>
        <w:r w:rsidR="009E6E1D">
          <w:rPr>
            <w:noProof/>
            <w:webHidden/>
          </w:rPr>
          <w:t>18</w:t>
        </w:r>
        <w:r>
          <w:rPr>
            <w:noProof/>
            <w:webHidden/>
          </w:rPr>
          <w:fldChar w:fldCharType="end"/>
        </w:r>
      </w:hyperlink>
    </w:p>
    <w:p w14:paraId="2297D33C" w14:textId="755F0AB5"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6990" w:history="1">
        <w:r w:rsidRPr="003531E5">
          <w:rPr>
            <w:rStyle w:val="Hyperlink"/>
            <w:noProof/>
          </w:rPr>
          <w:t>1.3</w:t>
        </w:r>
        <w:r>
          <w:rPr>
            <w:rFonts w:asciiTheme="minorHAnsi" w:eastAsiaTheme="minorEastAsia" w:hAnsiTheme="minorHAnsi"/>
            <w:b w:val="0"/>
            <w:noProof/>
            <w:kern w:val="2"/>
            <w:sz w:val="24"/>
            <w:szCs w:val="24"/>
            <w:lang w:eastAsia="en-AU"/>
            <w14:ligatures w14:val="standardContextual"/>
          </w:rPr>
          <w:tab/>
        </w:r>
        <w:r w:rsidRPr="003531E5">
          <w:rPr>
            <w:rStyle w:val="Hyperlink"/>
            <w:noProof/>
          </w:rPr>
          <w:t>Improved matching as an enabler</w:t>
        </w:r>
        <w:r>
          <w:rPr>
            <w:noProof/>
            <w:webHidden/>
          </w:rPr>
          <w:tab/>
        </w:r>
        <w:r>
          <w:rPr>
            <w:noProof/>
            <w:webHidden/>
          </w:rPr>
          <w:fldChar w:fldCharType="begin"/>
        </w:r>
        <w:r>
          <w:rPr>
            <w:noProof/>
            <w:webHidden/>
          </w:rPr>
          <w:instrText xml:space="preserve"> PAGEREF _Toc211586990 \h </w:instrText>
        </w:r>
        <w:r>
          <w:rPr>
            <w:noProof/>
            <w:webHidden/>
          </w:rPr>
        </w:r>
        <w:r>
          <w:rPr>
            <w:noProof/>
            <w:webHidden/>
          </w:rPr>
          <w:fldChar w:fldCharType="separate"/>
        </w:r>
        <w:r w:rsidR="009E6E1D">
          <w:rPr>
            <w:noProof/>
            <w:webHidden/>
          </w:rPr>
          <w:t>19</w:t>
        </w:r>
        <w:r>
          <w:rPr>
            <w:noProof/>
            <w:webHidden/>
          </w:rPr>
          <w:fldChar w:fldCharType="end"/>
        </w:r>
      </w:hyperlink>
    </w:p>
    <w:p w14:paraId="358F6E27" w14:textId="36487B34"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6991" w:history="1">
        <w:r w:rsidRPr="003531E5">
          <w:rPr>
            <w:rStyle w:val="Hyperlink"/>
            <w:noProof/>
          </w:rPr>
          <w:t>1.3.1</w:t>
        </w:r>
        <w:r>
          <w:rPr>
            <w:rFonts w:asciiTheme="minorHAnsi" w:eastAsiaTheme="minorEastAsia" w:hAnsiTheme="minorHAnsi"/>
            <w:noProof/>
            <w:kern w:val="2"/>
            <w:sz w:val="24"/>
            <w:szCs w:val="24"/>
            <w:lang w:eastAsia="en-AU"/>
            <w14:ligatures w14:val="standardContextual"/>
          </w:rPr>
          <w:tab/>
        </w:r>
        <w:r w:rsidRPr="003531E5">
          <w:rPr>
            <w:rStyle w:val="Hyperlink"/>
            <w:noProof/>
          </w:rPr>
          <w:t xml:space="preserve">How efficient is matching between people and jobs in the </w:t>
        </w:r>
        <w:r>
          <w:rPr>
            <w:rStyle w:val="Hyperlink"/>
            <w:noProof/>
          </w:rPr>
          <w:br/>
        </w:r>
        <w:r w:rsidRPr="003531E5">
          <w:rPr>
            <w:rStyle w:val="Hyperlink"/>
            <w:noProof/>
          </w:rPr>
          <w:t>Australian labour market?</w:t>
        </w:r>
        <w:r>
          <w:rPr>
            <w:noProof/>
            <w:webHidden/>
          </w:rPr>
          <w:tab/>
        </w:r>
        <w:r>
          <w:rPr>
            <w:noProof/>
            <w:webHidden/>
          </w:rPr>
          <w:fldChar w:fldCharType="begin"/>
        </w:r>
        <w:r>
          <w:rPr>
            <w:noProof/>
            <w:webHidden/>
          </w:rPr>
          <w:instrText xml:space="preserve"> PAGEREF _Toc211586991 \h </w:instrText>
        </w:r>
        <w:r>
          <w:rPr>
            <w:noProof/>
            <w:webHidden/>
          </w:rPr>
        </w:r>
        <w:r>
          <w:rPr>
            <w:noProof/>
            <w:webHidden/>
          </w:rPr>
          <w:fldChar w:fldCharType="separate"/>
        </w:r>
        <w:r w:rsidR="009E6E1D">
          <w:rPr>
            <w:noProof/>
            <w:webHidden/>
          </w:rPr>
          <w:t>20</w:t>
        </w:r>
        <w:r>
          <w:rPr>
            <w:noProof/>
            <w:webHidden/>
          </w:rPr>
          <w:fldChar w:fldCharType="end"/>
        </w:r>
      </w:hyperlink>
    </w:p>
    <w:p w14:paraId="5A81A156" w14:textId="649ECDCF"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6992" w:history="1">
        <w:r w:rsidRPr="003531E5">
          <w:rPr>
            <w:rStyle w:val="Hyperlink"/>
            <w:noProof/>
          </w:rPr>
          <w:t>1.3.2</w:t>
        </w:r>
        <w:r>
          <w:rPr>
            <w:rFonts w:asciiTheme="minorHAnsi" w:eastAsiaTheme="minorEastAsia" w:hAnsiTheme="minorHAnsi"/>
            <w:noProof/>
            <w:kern w:val="2"/>
            <w:sz w:val="24"/>
            <w:szCs w:val="24"/>
            <w:lang w:eastAsia="en-AU"/>
            <w14:ligatures w14:val="standardContextual"/>
          </w:rPr>
          <w:tab/>
        </w:r>
        <w:r w:rsidRPr="003531E5">
          <w:rPr>
            <w:rStyle w:val="Hyperlink"/>
            <w:noProof/>
          </w:rPr>
          <w:t>How JSA contributes to improved matching efforts</w:t>
        </w:r>
        <w:r>
          <w:rPr>
            <w:noProof/>
            <w:webHidden/>
          </w:rPr>
          <w:tab/>
        </w:r>
        <w:r>
          <w:rPr>
            <w:noProof/>
            <w:webHidden/>
          </w:rPr>
          <w:fldChar w:fldCharType="begin"/>
        </w:r>
        <w:r>
          <w:rPr>
            <w:noProof/>
            <w:webHidden/>
          </w:rPr>
          <w:instrText xml:space="preserve"> PAGEREF _Toc211586992 \h </w:instrText>
        </w:r>
        <w:r>
          <w:rPr>
            <w:noProof/>
            <w:webHidden/>
          </w:rPr>
        </w:r>
        <w:r>
          <w:rPr>
            <w:noProof/>
            <w:webHidden/>
          </w:rPr>
          <w:fldChar w:fldCharType="separate"/>
        </w:r>
        <w:r w:rsidR="009E6E1D">
          <w:rPr>
            <w:noProof/>
            <w:webHidden/>
          </w:rPr>
          <w:t>23</w:t>
        </w:r>
        <w:r>
          <w:rPr>
            <w:noProof/>
            <w:webHidden/>
          </w:rPr>
          <w:fldChar w:fldCharType="end"/>
        </w:r>
      </w:hyperlink>
    </w:p>
    <w:p w14:paraId="3A1751E9" w14:textId="2F429C3E"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6993" w:history="1">
        <w:r w:rsidRPr="003531E5">
          <w:rPr>
            <w:rStyle w:val="Hyperlink"/>
            <w:noProof/>
          </w:rPr>
          <w:t>1.4</w:t>
        </w:r>
        <w:r>
          <w:rPr>
            <w:rFonts w:asciiTheme="minorHAnsi" w:eastAsiaTheme="minorEastAsia" w:hAnsiTheme="minorHAnsi"/>
            <w:b w:val="0"/>
            <w:noProof/>
            <w:kern w:val="2"/>
            <w:sz w:val="24"/>
            <w:szCs w:val="24"/>
            <w:lang w:eastAsia="en-AU"/>
            <w14:ligatures w14:val="standardContextual"/>
          </w:rPr>
          <w:tab/>
        </w:r>
        <w:r w:rsidRPr="003531E5">
          <w:rPr>
            <w:rStyle w:val="Hyperlink"/>
            <w:noProof/>
          </w:rPr>
          <w:t>Key points from chapter one</w:t>
        </w:r>
        <w:r>
          <w:rPr>
            <w:noProof/>
            <w:webHidden/>
          </w:rPr>
          <w:tab/>
        </w:r>
        <w:r>
          <w:rPr>
            <w:noProof/>
            <w:webHidden/>
          </w:rPr>
          <w:fldChar w:fldCharType="begin"/>
        </w:r>
        <w:r>
          <w:rPr>
            <w:noProof/>
            <w:webHidden/>
          </w:rPr>
          <w:instrText xml:space="preserve"> PAGEREF _Toc211586993 \h </w:instrText>
        </w:r>
        <w:r>
          <w:rPr>
            <w:noProof/>
            <w:webHidden/>
          </w:rPr>
        </w:r>
        <w:r>
          <w:rPr>
            <w:noProof/>
            <w:webHidden/>
          </w:rPr>
          <w:fldChar w:fldCharType="separate"/>
        </w:r>
        <w:r w:rsidR="009E6E1D">
          <w:rPr>
            <w:noProof/>
            <w:webHidden/>
          </w:rPr>
          <w:t>24</w:t>
        </w:r>
        <w:r>
          <w:rPr>
            <w:noProof/>
            <w:webHidden/>
          </w:rPr>
          <w:fldChar w:fldCharType="end"/>
        </w:r>
      </w:hyperlink>
    </w:p>
    <w:p w14:paraId="2BAE202D" w14:textId="68C26846" w:rsidR="001B151E" w:rsidRDefault="001B151E">
      <w:pPr>
        <w:pStyle w:val="TOC1"/>
        <w:rPr>
          <w:rFonts w:asciiTheme="minorHAnsi" w:eastAsiaTheme="minorEastAsia" w:hAnsiTheme="minorHAnsi"/>
          <w:b w:val="0"/>
          <w:noProof/>
          <w:color w:val="auto"/>
          <w:kern w:val="2"/>
          <w:sz w:val="24"/>
          <w:szCs w:val="24"/>
          <w:lang w:eastAsia="en-AU"/>
          <w14:ligatures w14:val="standardContextual"/>
        </w:rPr>
      </w:pPr>
      <w:hyperlink w:anchor="_Toc211586994" w:history="1">
        <w:r w:rsidRPr="003531E5">
          <w:rPr>
            <w:rStyle w:val="Hyperlink"/>
            <w:noProof/>
          </w:rPr>
          <w:t>Chapter 2</w:t>
        </w:r>
        <w:r>
          <w:rPr>
            <w:rFonts w:asciiTheme="minorHAnsi" w:eastAsiaTheme="minorEastAsia" w:hAnsiTheme="minorHAnsi"/>
            <w:b w:val="0"/>
            <w:noProof/>
            <w:color w:val="auto"/>
            <w:kern w:val="2"/>
            <w:sz w:val="24"/>
            <w:szCs w:val="24"/>
            <w:lang w:eastAsia="en-AU"/>
            <w14:ligatures w14:val="standardContextual"/>
          </w:rPr>
          <w:tab/>
        </w:r>
        <w:r w:rsidRPr="003531E5">
          <w:rPr>
            <w:rStyle w:val="Hyperlink"/>
            <w:noProof/>
          </w:rPr>
          <w:t>Inclusive participation</w:t>
        </w:r>
        <w:r>
          <w:rPr>
            <w:noProof/>
            <w:webHidden/>
          </w:rPr>
          <w:tab/>
        </w:r>
        <w:r>
          <w:rPr>
            <w:noProof/>
            <w:webHidden/>
          </w:rPr>
          <w:fldChar w:fldCharType="begin"/>
        </w:r>
        <w:r>
          <w:rPr>
            <w:noProof/>
            <w:webHidden/>
          </w:rPr>
          <w:instrText xml:space="preserve"> PAGEREF _Toc211586994 \h </w:instrText>
        </w:r>
        <w:r>
          <w:rPr>
            <w:noProof/>
            <w:webHidden/>
          </w:rPr>
        </w:r>
        <w:r>
          <w:rPr>
            <w:noProof/>
            <w:webHidden/>
          </w:rPr>
          <w:fldChar w:fldCharType="separate"/>
        </w:r>
        <w:r w:rsidR="009E6E1D">
          <w:rPr>
            <w:noProof/>
            <w:webHidden/>
          </w:rPr>
          <w:t>27</w:t>
        </w:r>
        <w:r>
          <w:rPr>
            <w:noProof/>
            <w:webHidden/>
          </w:rPr>
          <w:fldChar w:fldCharType="end"/>
        </w:r>
      </w:hyperlink>
    </w:p>
    <w:p w14:paraId="52153198" w14:textId="4AFB33D0"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6995" w:history="1">
        <w:r w:rsidRPr="003531E5">
          <w:rPr>
            <w:rStyle w:val="Hyperlink"/>
            <w:noProof/>
          </w:rPr>
          <w:t>2.1</w:t>
        </w:r>
        <w:r>
          <w:rPr>
            <w:rFonts w:asciiTheme="minorHAnsi" w:eastAsiaTheme="minorEastAsia" w:hAnsiTheme="minorHAnsi"/>
            <w:b w:val="0"/>
            <w:noProof/>
            <w:kern w:val="2"/>
            <w:sz w:val="24"/>
            <w:szCs w:val="24"/>
            <w:lang w:eastAsia="en-AU"/>
            <w14:ligatures w14:val="standardContextual"/>
          </w:rPr>
          <w:tab/>
        </w:r>
        <w:r w:rsidRPr="003531E5">
          <w:rPr>
            <w:rStyle w:val="Hyperlink"/>
            <w:noProof/>
          </w:rPr>
          <w:t>First Nations people</w:t>
        </w:r>
        <w:r>
          <w:rPr>
            <w:noProof/>
            <w:webHidden/>
          </w:rPr>
          <w:tab/>
        </w:r>
        <w:r>
          <w:rPr>
            <w:noProof/>
            <w:webHidden/>
          </w:rPr>
          <w:fldChar w:fldCharType="begin"/>
        </w:r>
        <w:r>
          <w:rPr>
            <w:noProof/>
            <w:webHidden/>
          </w:rPr>
          <w:instrText xml:space="preserve"> PAGEREF _Toc211586995 \h </w:instrText>
        </w:r>
        <w:r>
          <w:rPr>
            <w:noProof/>
            <w:webHidden/>
          </w:rPr>
        </w:r>
        <w:r>
          <w:rPr>
            <w:noProof/>
            <w:webHidden/>
          </w:rPr>
          <w:fldChar w:fldCharType="separate"/>
        </w:r>
        <w:r w:rsidR="009E6E1D">
          <w:rPr>
            <w:noProof/>
            <w:webHidden/>
          </w:rPr>
          <w:t>28</w:t>
        </w:r>
        <w:r>
          <w:rPr>
            <w:noProof/>
            <w:webHidden/>
          </w:rPr>
          <w:fldChar w:fldCharType="end"/>
        </w:r>
      </w:hyperlink>
    </w:p>
    <w:p w14:paraId="121C667E" w14:textId="6463B575"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6996" w:history="1">
        <w:r w:rsidRPr="003531E5">
          <w:rPr>
            <w:rStyle w:val="Hyperlink"/>
            <w:noProof/>
          </w:rPr>
          <w:t>2.2</w:t>
        </w:r>
        <w:r>
          <w:rPr>
            <w:rFonts w:asciiTheme="minorHAnsi" w:eastAsiaTheme="minorEastAsia" w:hAnsiTheme="minorHAnsi"/>
            <w:b w:val="0"/>
            <w:noProof/>
            <w:kern w:val="2"/>
            <w:sz w:val="24"/>
            <w:szCs w:val="24"/>
            <w:lang w:eastAsia="en-AU"/>
            <w14:ligatures w14:val="standardContextual"/>
          </w:rPr>
          <w:tab/>
        </w:r>
        <w:r w:rsidRPr="003531E5">
          <w:rPr>
            <w:rStyle w:val="Hyperlink"/>
            <w:noProof/>
          </w:rPr>
          <w:t>People with disability</w:t>
        </w:r>
        <w:r>
          <w:rPr>
            <w:noProof/>
            <w:webHidden/>
          </w:rPr>
          <w:tab/>
        </w:r>
        <w:r>
          <w:rPr>
            <w:noProof/>
            <w:webHidden/>
          </w:rPr>
          <w:fldChar w:fldCharType="begin"/>
        </w:r>
        <w:r>
          <w:rPr>
            <w:noProof/>
            <w:webHidden/>
          </w:rPr>
          <w:instrText xml:space="preserve"> PAGEREF _Toc211586996 \h </w:instrText>
        </w:r>
        <w:r>
          <w:rPr>
            <w:noProof/>
            <w:webHidden/>
          </w:rPr>
        </w:r>
        <w:r>
          <w:rPr>
            <w:noProof/>
            <w:webHidden/>
          </w:rPr>
          <w:fldChar w:fldCharType="separate"/>
        </w:r>
        <w:r w:rsidR="009E6E1D">
          <w:rPr>
            <w:noProof/>
            <w:webHidden/>
          </w:rPr>
          <w:t>30</w:t>
        </w:r>
        <w:r>
          <w:rPr>
            <w:noProof/>
            <w:webHidden/>
          </w:rPr>
          <w:fldChar w:fldCharType="end"/>
        </w:r>
      </w:hyperlink>
    </w:p>
    <w:p w14:paraId="6694B42E" w14:textId="7556ED92"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6997" w:history="1">
        <w:r w:rsidRPr="003531E5">
          <w:rPr>
            <w:rStyle w:val="Hyperlink"/>
            <w:noProof/>
          </w:rPr>
          <w:t>2.3</w:t>
        </w:r>
        <w:r>
          <w:rPr>
            <w:rFonts w:asciiTheme="minorHAnsi" w:eastAsiaTheme="minorEastAsia" w:hAnsiTheme="minorHAnsi"/>
            <w:b w:val="0"/>
            <w:noProof/>
            <w:kern w:val="2"/>
            <w:sz w:val="24"/>
            <w:szCs w:val="24"/>
            <w:lang w:eastAsia="en-AU"/>
            <w14:ligatures w14:val="standardContextual"/>
          </w:rPr>
          <w:tab/>
        </w:r>
        <w:r w:rsidRPr="003531E5">
          <w:rPr>
            <w:rStyle w:val="Hyperlink"/>
            <w:noProof/>
          </w:rPr>
          <w:t>Women’s workforce participation</w:t>
        </w:r>
        <w:r>
          <w:rPr>
            <w:noProof/>
            <w:webHidden/>
          </w:rPr>
          <w:tab/>
        </w:r>
        <w:r>
          <w:rPr>
            <w:noProof/>
            <w:webHidden/>
          </w:rPr>
          <w:fldChar w:fldCharType="begin"/>
        </w:r>
        <w:r>
          <w:rPr>
            <w:noProof/>
            <w:webHidden/>
          </w:rPr>
          <w:instrText xml:space="preserve"> PAGEREF _Toc211586997 \h </w:instrText>
        </w:r>
        <w:r>
          <w:rPr>
            <w:noProof/>
            <w:webHidden/>
          </w:rPr>
        </w:r>
        <w:r>
          <w:rPr>
            <w:noProof/>
            <w:webHidden/>
          </w:rPr>
          <w:fldChar w:fldCharType="separate"/>
        </w:r>
        <w:r w:rsidR="009E6E1D">
          <w:rPr>
            <w:noProof/>
            <w:webHidden/>
          </w:rPr>
          <w:t>32</w:t>
        </w:r>
        <w:r>
          <w:rPr>
            <w:noProof/>
            <w:webHidden/>
          </w:rPr>
          <w:fldChar w:fldCharType="end"/>
        </w:r>
      </w:hyperlink>
    </w:p>
    <w:p w14:paraId="71D142B1" w14:textId="469FFFFD"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6998" w:history="1">
        <w:r w:rsidRPr="003531E5">
          <w:rPr>
            <w:rStyle w:val="Hyperlink"/>
            <w:noProof/>
          </w:rPr>
          <w:t>2.3.1</w:t>
        </w:r>
        <w:r>
          <w:rPr>
            <w:rFonts w:asciiTheme="minorHAnsi" w:eastAsiaTheme="minorEastAsia" w:hAnsiTheme="minorHAnsi"/>
            <w:noProof/>
            <w:kern w:val="2"/>
            <w:sz w:val="24"/>
            <w:szCs w:val="24"/>
            <w:lang w:eastAsia="en-AU"/>
            <w14:ligatures w14:val="standardContextual"/>
          </w:rPr>
          <w:tab/>
        </w:r>
        <w:r w:rsidRPr="003531E5">
          <w:rPr>
            <w:rStyle w:val="Hyperlink"/>
            <w:noProof/>
          </w:rPr>
          <w:t>Occupational segregation</w:t>
        </w:r>
        <w:r>
          <w:rPr>
            <w:noProof/>
            <w:webHidden/>
          </w:rPr>
          <w:tab/>
        </w:r>
        <w:r>
          <w:rPr>
            <w:noProof/>
            <w:webHidden/>
          </w:rPr>
          <w:fldChar w:fldCharType="begin"/>
        </w:r>
        <w:r>
          <w:rPr>
            <w:noProof/>
            <w:webHidden/>
          </w:rPr>
          <w:instrText xml:space="preserve"> PAGEREF _Toc211586998 \h </w:instrText>
        </w:r>
        <w:r>
          <w:rPr>
            <w:noProof/>
            <w:webHidden/>
          </w:rPr>
        </w:r>
        <w:r>
          <w:rPr>
            <w:noProof/>
            <w:webHidden/>
          </w:rPr>
          <w:fldChar w:fldCharType="separate"/>
        </w:r>
        <w:r w:rsidR="009E6E1D">
          <w:rPr>
            <w:noProof/>
            <w:webHidden/>
          </w:rPr>
          <w:t>33</w:t>
        </w:r>
        <w:r>
          <w:rPr>
            <w:noProof/>
            <w:webHidden/>
          </w:rPr>
          <w:fldChar w:fldCharType="end"/>
        </w:r>
      </w:hyperlink>
    </w:p>
    <w:p w14:paraId="03F8756B" w14:textId="5BE42919"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6999" w:history="1">
        <w:r w:rsidRPr="003531E5">
          <w:rPr>
            <w:rStyle w:val="Hyperlink"/>
            <w:noProof/>
          </w:rPr>
          <w:t>2.3.2</w:t>
        </w:r>
        <w:r>
          <w:rPr>
            <w:rFonts w:asciiTheme="minorHAnsi" w:eastAsiaTheme="minorEastAsia" w:hAnsiTheme="minorHAnsi"/>
            <w:noProof/>
            <w:kern w:val="2"/>
            <w:sz w:val="24"/>
            <w:szCs w:val="24"/>
            <w:lang w:eastAsia="en-AU"/>
            <w14:ligatures w14:val="standardContextual"/>
          </w:rPr>
          <w:tab/>
        </w:r>
        <w:r w:rsidRPr="003531E5">
          <w:rPr>
            <w:rStyle w:val="Hyperlink"/>
            <w:noProof/>
          </w:rPr>
          <w:t>Gender pay gaps</w:t>
        </w:r>
        <w:r>
          <w:rPr>
            <w:noProof/>
            <w:webHidden/>
          </w:rPr>
          <w:tab/>
        </w:r>
        <w:r>
          <w:rPr>
            <w:noProof/>
            <w:webHidden/>
          </w:rPr>
          <w:fldChar w:fldCharType="begin"/>
        </w:r>
        <w:r>
          <w:rPr>
            <w:noProof/>
            <w:webHidden/>
          </w:rPr>
          <w:instrText xml:space="preserve"> PAGEREF _Toc211586999 \h </w:instrText>
        </w:r>
        <w:r>
          <w:rPr>
            <w:noProof/>
            <w:webHidden/>
          </w:rPr>
        </w:r>
        <w:r>
          <w:rPr>
            <w:noProof/>
            <w:webHidden/>
          </w:rPr>
          <w:fldChar w:fldCharType="separate"/>
        </w:r>
        <w:r w:rsidR="009E6E1D">
          <w:rPr>
            <w:noProof/>
            <w:webHidden/>
          </w:rPr>
          <w:t>34</w:t>
        </w:r>
        <w:r>
          <w:rPr>
            <w:noProof/>
            <w:webHidden/>
          </w:rPr>
          <w:fldChar w:fldCharType="end"/>
        </w:r>
      </w:hyperlink>
    </w:p>
    <w:p w14:paraId="6DBD39BF" w14:textId="18D9F0C3"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7000" w:history="1">
        <w:r w:rsidRPr="003531E5">
          <w:rPr>
            <w:rStyle w:val="Hyperlink"/>
            <w:noProof/>
          </w:rPr>
          <w:t>2.4</w:t>
        </w:r>
        <w:r>
          <w:rPr>
            <w:rFonts w:asciiTheme="minorHAnsi" w:eastAsiaTheme="minorEastAsia" w:hAnsiTheme="minorHAnsi"/>
            <w:b w:val="0"/>
            <w:noProof/>
            <w:kern w:val="2"/>
            <w:sz w:val="24"/>
            <w:szCs w:val="24"/>
            <w:lang w:eastAsia="en-AU"/>
            <w14:ligatures w14:val="standardContextual"/>
          </w:rPr>
          <w:tab/>
        </w:r>
        <w:r w:rsidRPr="003531E5">
          <w:rPr>
            <w:rStyle w:val="Hyperlink"/>
            <w:noProof/>
          </w:rPr>
          <w:t>Youth and mature age employment</w:t>
        </w:r>
        <w:r>
          <w:rPr>
            <w:noProof/>
            <w:webHidden/>
          </w:rPr>
          <w:tab/>
        </w:r>
        <w:r>
          <w:rPr>
            <w:noProof/>
            <w:webHidden/>
          </w:rPr>
          <w:fldChar w:fldCharType="begin"/>
        </w:r>
        <w:r>
          <w:rPr>
            <w:noProof/>
            <w:webHidden/>
          </w:rPr>
          <w:instrText xml:space="preserve"> PAGEREF _Toc211587000 \h </w:instrText>
        </w:r>
        <w:r>
          <w:rPr>
            <w:noProof/>
            <w:webHidden/>
          </w:rPr>
        </w:r>
        <w:r>
          <w:rPr>
            <w:noProof/>
            <w:webHidden/>
          </w:rPr>
          <w:fldChar w:fldCharType="separate"/>
        </w:r>
        <w:r w:rsidR="009E6E1D">
          <w:rPr>
            <w:noProof/>
            <w:webHidden/>
          </w:rPr>
          <w:t>36</w:t>
        </w:r>
        <w:r>
          <w:rPr>
            <w:noProof/>
            <w:webHidden/>
          </w:rPr>
          <w:fldChar w:fldCharType="end"/>
        </w:r>
      </w:hyperlink>
    </w:p>
    <w:p w14:paraId="0F5D5737" w14:textId="2D584DB3"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01" w:history="1">
        <w:r w:rsidRPr="003531E5">
          <w:rPr>
            <w:rStyle w:val="Hyperlink"/>
            <w:noProof/>
          </w:rPr>
          <w:t>2.4.1</w:t>
        </w:r>
        <w:r>
          <w:rPr>
            <w:rFonts w:asciiTheme="minorHAnsi" w:eastAsiaTheme="minorEastAsia" w:hAnsiTheme="minorHAnsi"/>
            <w:noProof/>
            <w:kern w:val="2"/>
            <w:sz w:val="24"/>
            <w:szCs w:val="24"/>
            <w:lang w:eastAsia="en-AU"/>
            <w14:ligatures w14:val="standardContextual"/>
          </w:rPr>
          <w:tab/>
        </w:r>
        <w:r w:rsidRPr="003531E5">
          <w:rPr>
            <w:rStyle w:val="Hyperlink"/>
            <w:noProof/>
          </w:rPr>
          <w:t>Employers’ experiences of young job applicants</w:t>
        </w:r>
        <w:r>
          <w:rPr>
            <w:noProof/>
            <w:webHidden/>
          </w:rPr>
          <w:tab/>
        </w:r>
        <w:r>
          <w:rPr>
            <w:noProof/>
            <w:webHidden/>
          </w:rPr>
          <w:fldChar w:fldCharType="begin"/>
        </w:r>
        <w:r>
          <w:rPr>
            <w:noProof/>
            <w:webHidden/>
          </w:rPr>
          <w:instrText xml:space="preserve"> PAGEREF _Toc211587001 \h </w:instrText>
        </w:r>
        <w:r>
          <w:rPr>
            <w:noProof/>
            <w:webHidden/>
          </w:rPr>
        </w:r>
        <w:r>
          <w:rPr>
            <w:noProof/>
            <w:webHidden/>
          </w:rPr>
          <w:fldChar w:fldCharType="separate"/>
        </w:r>
        <w:r w:rsidR="009E6E1D">
          <w:rPr>
            <w:noProof/>
            <w:webHidden/>
          </w:rPr>
          <w:t>39</w:t>
        </w:r>
        <w:r>
          <w:rPr>
            <w:noProof/>
            <w:webHidden/>
          </w:rPr>
          <w:fldChar w:fldCharType="end"/>
        </w:r>
      </w:hyperlink>
    </w:p>
    <w:p w14:paraId="0AE79228" w14:textId="19950F9A"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7002" w:history="1">
        <w:r w:rsidRPr="003531E5">
          <w:rPr>
            <w:rStyle w:val="Hyperlink"/>
            <w:noProof/>
          </w:rPr>
          <w:t>2.5</w:t>
        </w:r>
        <w:r>
          <w:rPr>
            <w:rFonts w:asciiTheme="minorHAnsi" w:eastAsiaTheme="minorEastAsia" w:hAnsiTheme="minorHAnsi"/>
            <w:b w:val="0"/>
            <w:noProof/>
            <w:kern w:val="2"/>
            <w:sz w:val="24"/>
            <w:szCs w:val="24"/>
            <w:lang w:eastAsia="en-AU"/>
            <w14:ligatures w14:val="standardContextual"/>
          </w:rPr>
          <w:tab/>
        </w:r>
        <w:r w:rsidRPr="003531E5">
          <w:rPr>
            <w:rStyle w:val="Hyperlink"/>
            <w:noProof/>
          </w:rPr>
          <w:t>The role of foundation skills</w:t>
        </w:r>
        <w:r>
          <w:rPr>
            <w:noProof/>
            <w:webHidden/>
          </w:rPr>
          <w:tab/>
        </w:r>
        <w:r>
          <w:rPr>
            <w:noProof/>
            <w:webHidden/>
          </w:rPr>
          <w:fldChar w:fldCharType="begin"/>
        </w:r>
        <w:r>
          <w:rPr>
            <w:noProof/>
            <w:webHidden/>
          </w:rPr>
          <w:instrText xml:space="preserve"> PAGEREF _Toc211587002 \h </w:instrText>
        </w:r>
        <w:r>
          <w:rPr>
            <w:noProof/>
            <w:webHidden/>
          </w:rPr>
        </w:r>
        <w:r>
          <w:rPr>
            <w:noProof/>
            <w:webHidden/>
          </w:rPr>
          <w:fldChar w:fldCharType="separate"/>
        </w:r>
        <w:r w:rsidR="009E6E1D">
          <w:rPr>
            <w:noProof/>
            <w:webHidden/>
          </w:rPr>
          <w:t>41</w:t>
        </w:r>
        <w:r>
          <w:rPr>
            <w:noProof/>
            <w:webHidden/>
          </w:rPr>
          <w:fldChar w:fldCharType="end"/>
        </w:r>
      </w:hyperlink>
    </w:p>
    <w:p w14:paraId="70DEAC58" w14:textId="18F8DBF6"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7003" w:history="1">
        <w:r w:rsidRPr="003531E5">
          <w:rPr>
            <w:rStyle w:val="Hyperlink"/>
            <w:noProof/>
          </w:rPr>
          <w:t>2.6</w:t>
        </w:r>
        <w:r>
          <w:rPr>
            <w:rFonts w:asciiTheme="minorHAnsi" w:eastAsiaTheme="minorEastAsia" w:hAnsiTheme="minorHAnsi"/>
            <w:b w:val="0"/>
            <w:noProof/>
            <w:kern w:val="2"/>
            <w:sz w:val="24"/>
            <w:szCs w:val="24"/>
            <w:lang w:eastAsia="en-AU"/>
            <w14:ligatures w14:val="standardContextual"/>
          </w:rPr>
          <w:tab/>
        </w:r>
        <w:r w:rsidRPr="003531E5">
          <w:rPr>
            <w:rStyle w:val="Hyperlink"/>
            <w:noProof/>
          </w:rPr>
          <w:t>Inclusivity and shortage pressures</w:t>
        </w:r>
        <w:r>
          <w:rPr>
            <w:noProof/>
            <w:webHidden/>
          </w:rPr>
          <w:tab/>
        </w:r>
        <w:r>
          <w:rPr>
            <w:noProof/>
            <w:webHidden/>
          </w:rPr>
          <w:fldChar w:fldCharType="begin"/>
        </w:r>
        <w:r>
          <w:rPr>
            <w:noProof/>
            <w:webHidden/>
          </w:rPr>
          <w:instrText xml:space="preserve"> PAGEREF _Toc211587003 \h </w:instrText>
        </w:r>
        <w:r>
          <w:rPr>
            <w:noProof/>
            <w:webHidden/>
          </w:rPr>
        </w:r>
        <w:r>
          <w:rPr>
            <w:noProof/>
            <w:webHidden/>
          </w:rPr>
          <w:fldChar w:fldCharType="separate"/>
        </w:r>
        <w:r w:rsidR="009E6E1D">
          <w:rPr>
            <w:noProof/>
            <w:webHidden/>
          </w:rPr>
          <w:t>43</w:t>
        </w:r>
        <w:r>
          <w:rPr>
            <w:noProof/>
            <w:webHidden/>
          </w:rPr>
          <w:fldChar w:fldCharType="end"/>
        </w:r>
      </w:hyperlink>
    </w:p>
    <w:p w14:paraId="2986A56E" w14:textId="148CD185"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04" w:history="1">
        <w:r w:rsidRPr="003531E5">
          <w:rPr>
            <w:rStyle w:val="Hyperlink"/>
            <w:noProof/>
          </w:rPr>
          <w:t>2.6.1</w:t>
        </w:r>
        <w:r>
          <w:rPr>
            <w:rFonts w:asciiTheme="minorHAnsi" w:eastAsiaTheme="minorEastAsia" w:hAnsiTheme="minorHAnsi"/>
            <w:noProof/>
            <w:kern w:val="2"/>
            <w:sz w:val="24"/>
            <w:szCs w:val="24"/>
            <w:lang w:eastAsia="en-AU"/>
            <w14:ligatures w14:val="standardContextual"/>
          </w:rPr>
          <w:tab/>
        </w:r>
        <w:r w:rsidRPr="003531E5">
          <w:rPr>
            <w:rStyle w:val="Hyperlink"/>
            <w:noProof/>
          </w:rPr>
          <w:t>First Nations people</w:t>
        </w:r>
        <w:r>
          <w:rPr>
            <w:noProof/>
            <w:webHidden/>
          </w:rPr>
          <w:tab/>
        </w:r>
        <w:r>
          <w:rPr>
            <w:noProof/>
            <w:webHidden/>
          </w:rPr>
          <w:fldChar w:fldCharType="begin"/>
        </w:r>
        <w:r>
          <w:rPr>
            <w:noProof/>
            <w:webHidden/>
          </w:rPr>
          <w:instrText xml:space="preserve"> PAGEREF _Toc211587004 \h </w:instrText>
        </w:r>
        <w:r>
          <w:rPr>
            <w:noProof/>
            <w:webHidden/>
          </w:rPr>
        </w:r>
        <w:r>
          <w:rPr>
            <w:noProof/>
            <w:webHidden/>
          </w:rPr>
          <w:fldChar w:fldCharType="separate"/>
        </w:r>
        <w:r w:rsidR="009E6E1D">
          <w:rPr>
            <w:noProof/>
            <w:webHidden/>
          </w:rPr>
          <w:t>43</w:t>
        </w:r>
        <w:r>
          <w:rPr>
            <w:noProof/>
            <w:webHidden/>
          </w:rPr>
          <w:fldChar w:fldCharType="end"/>
        </w:r>
      </w:hyperlink>
    </w:p>
    <w:p w14:paraId="2D85315F" w14:textId="561F0F8A"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05" w:history="1">
        <w:r w:rsidRPr="003531E5">
          <w:rPr>
            <w:rStyle w:val="Hyperlink"/>
            <w:noProof/>
          </w:rPr>
          <w:t>2.6.2</w:t>
        </w:r>
        <w:r>
          <w:rPr>
            <w:rFonts w:asciiTheme="minorHAnsi" w:eastAsiaTheme="minorEastAsia" w:hAnsiTheme="minorHAnsi"/>
            <w:noProof/>
            <w:kern w:val="2"/>
            <w:sz w:val="24"/>
            <w:szCs w:val="24"/>
            <w:lang w:eastAsia="en-AU"/>
            <w14:ligatures w14:val="standardContextual"/>
          </w:rPr>
          <w:tab/>
        </w:r>
        <w:r w:rsidRPr="003531E5">
          <w:rPr>
            <w:rStyle w:val="Hyperlink"/>
            <w:noProof/>
          </w:rPr>
          <w:t>People with disability</w:t>
        </w:r>
        <w:r>
          <w:rPr>
            <w:noProof/>
            <w:webHidden/>
          </w:rPr>
          <w:tab/>
        </w:r>
        <w:r>
          <w:rPr>
            <w:noProof/>
            <w:webHidden/>
          </w:rPr>
          <w:fldChar w:fldCharType="begin"/>
        </w:r>
        <w:r>
          <w:rPr>
            <w:noProof/>
            <w:webHidden/>
          </w:rPr>
          <w:instrText xml:space="preserve"> PAGEREF _Toc211587005 \h </w:instrText>
        </w:r>
        <w:r>
          <w:rPr>
            <w:noProof/>
            <w:webHidden/>
          </w:rPr>
        </w:r>
        <w:r>
          <w:rPr>
            <w:noProof/>
            <w:webHidden/>
          </w:rPr>
          <w:fldChar w:fldCharType="separate"/>
        </w:r>
        <w:r w:rsidR="009E6E1D">
          <w:rPr>
            <w:noProof/>
            <w:webHidden/>
          </w:rPr>
          <w:t>45</w:t>
        </w:r>
        <w:r>
          <w:rPr>
            <w:noProof/>
            <w:webHidden/>
          </w:rPr>
          <w:fldChar w:fldCharType="end"/>
        </w:r>
      </w:hyperlink>
    </w:p>
    <w:p w14:paraId="69C3DD21" w14:textId="2C8703A6"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06" w:history="1">
        <w:r w:rsidRPr="003531E5">
          <w:rPr>
            <w:rStyle w:val="Hyperlink"/>
            <w:noProof/>
          </w:rPr>
          <w:t>2.6.3</w:t>
        </w:r>
        <w:r>
          <w:rPr>
            <w:rFonts w:asciiTheme="minorHAnsi" w:eastAsiaTheme="minorEastAsia" w:hAnsiTheme="minorHAnsi"/>
            <w:noProof/>
            <w:kern w:val="2"/>
            <w:sz w:val="24"/>
            <w:szCs w:val="24"/>
            <w:lang w:eastAsia="en-AU"/>
            <w14:ligatures w14:val="standardContextual"/>
          </w:rPr>
          <w:tab/>
        </w:r>
        <w:r w:rsidRPr="003531E5">
          <w:rPr>
            <w:rStyle w:val="Hyperlink"/>
            <w:noProof/>
          </w:rPr>
          <w:t>Younger and older workers</w:t>
        </w:r>
        <w:r>
          <w:rPr>
            <w:noProof/>
            <w:webHidden/>
          </w:rPr>
          <w:tab/>
        </w:r>
        <w:r>
          <w:rPr>
            <w:noProof/>
            <w:webHidden/>
          </w:rPr>
          <w:fldChar w:fldCharType="begin"/>
        </w:r>
        <w:r>
          <w:rPr>
            <w:noProof/>
            <w:webHidden/>
          </w:rPr>
          <w:instrText xml:space="preserve"> PAGEREF _Toc211587006 \h </w:instrText>
        </w:r>
        <w:r>
          <w:rPr>
            <w:noProof/>
            <w:webHidden/>
          </w:rPr>
        </w:r>
        <w:r>
          <w:rPr>
            <w:noProof/>
            <w:webHidden/>
          </w:rPr>
          <w:fldChar w:fldCharType="separate"/>
        </w:r>
        <w:r w:rsidR="009E6E1D">
          <w:rPr>
            <w:noProof/>
            <w:webHidden/>
          </w:rPr>
          <w:t>45</w:t>
        </w:r>
        <w:r>
          <w:rPr>
            <w:noProof/>
            <w:webHidden/>
          </w:rPr>
          <w:fldChar w:fldCharType="end"/>
        </w:r>
      </w:hyperlink>
    </w:p>
    <w:p w14:paraId="1A07301B" w14:textId="70E91DA1"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07" w:history="1">
        <w:r w:rsidRPr="003531E5">
          <w:rPr>
            <w:rStyle w:val="Hyperlink"/>
            <w:noProof/>
          </w:rPr>
          <w:t>2.6.4</w:t>
        </w:r>
        <w:r>
          <w:rPr>
            <w:rFonts w:asciiTheme="minorHAnsi" w:eastAsiaTheme="minorEastAsia" w:hAnsiTheme="minorHAnsi"/>
            <w:noProof/>
            <w:kern w:val="2"/>
            <w:sz w:val="24"/>
            <w:szCs w:val="24"/>
            <w:lang w:eastAsia="en-AU"/>
            <w14:ligatures w14:val="standardContextual"/>
          </w:rPr>
          <w:tab/>
        </w:r>
        <w:r w:rsidRPr="003531E5">
          <w:rPr>
            <w:rStyle w:val="Hyperlink"/>
            <w:noProof/>
          </w:rPr>
          <w:t>In summary</w:t>
        </w:r>
        <w:r>
          <w:rPr>
            <w:noProof/>
            <w:webHidden/>
          </w:rPr>
          <w:tab/>
        </w:r>
        <w:r>
          <w:rPr>
            <w:noProof/>
            <w:webHidden/>
          </w:rPr>
          <w:tab/>
        </w:r>
        <w:r>
          <w:rPr>
            <w:noProof/>
            <w:webHidden/>
          </w:rPr>
          <w:fldChar w:fldCharType="begin"/>
        </w:r>
        <w:r>
          <w:rPr>
            <w:noProof/>
            <w:webHidden/>
          </w:rPr>
          <w:instrText xml:space="preserve"> PAGEREF _Toc211587007 \h </w:instrText>
        </w:r>
        <w:r>
          <w:rPr>
            <w:noProof/>
            <w:webHidden/>
          </w:rPr>
        </w:r>
        <w:r>
          <w:rPr>
            <w:noProof/>
            <w:webHidden/>
          </w:rPr>
          <w:fldChar w:fldCharType="separate"/>
        </w:r>
        <w:r w:rsidR="009E6E1D">
          <w:rPr>
            <w:noProof/>
            <w:webHidden/>
          </w:rPr>
          <w:t>46</w:t>
        </w:r>
        <w:r>
          <w:rPr>
            <w:noProof/>
            <w:webHidden/>
          </w:rPr>
          <w:fldChar w:fldCharType="end"/>
        </w:r>
      </w:hyperlink>
    </w:p>
    <w:p w14:paraId="20CD2B9D" w14:textId="5EFFDB2E"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7008" w:history="1">
        <w:r w:rsidRPr="003531E5">
          <w:rPr>
            <w:rStyle w:val="Hyperlink"/>
            <w:noProof/>
          </w:rPr>
          <w:t>2.7</w:t>
        </w:r>
        <w:r>
          <w:rPr>
            <w:rFonts w:asciiTheme="minorHAnsi" w:eastAsiaTheme="minorEastAsia" w:hAnsiTheme="minorHAnsi"/>
            <w:b w:val="0"/>
            <w:noProof/>
            <w:kern w:val="2"/>
            <w:sz w:val="24"/>
            <w:szCs w:val="24"/>
            <w:lang w:eastAsia="en-AU"/>
            <w14:ligatures w14:val="standardContextual"/>
          </w:rPr>
          <w:tab/>
        </w:r>
        <w:r w:rsidRPr="003531E5">
          <w:rPr>
            <w:rStyle w:val="Hyperlink"/>
            <w:noProof/>
          </w:rPr>
          <w:t>Key points from chapter two</w:t>
        </w:r>
        <w:r>
          <w:rPr>
            <w:noProof/>
            <w:webHidden/>
          </w:rPr>
          <w:tab/>
        </w:r>
        <w:r>
          <w:rPr>
            <w:noProof/>
            <w:webHidden/>
          </w:rPr>
          <w:fldChar w:fldCharType="begin"/>
        </w:r>
        <w:r>
          <w:rPr>
            <w:noProof/>
            <w:webHidden/>
          </w:rPr>
          <w:instrText xml:space="preserve"> PAGEREF _Toc211587008 \h </w:instrText>
        </w:r>
        <w:r>
          <w:rPr>
            <w:noProof/>
            <w:webHidden/>
          </w:rPr>
        </w:r>
        <w:r>
          <w:rPr>
            <w:noProof/>
            <w:webHidden/>
          </w:rPr>
          <w:fldChar w:fldCharType="separate"/>
        </w:r>
        <w:r w:rsidR="009E6E1D">
          <w:rPr>
            <w:noProof/>
            <w:webHidden/>
          </w:rPr>
          <w:t>47</w:t>
        </w:r>
        <w:r>
          <w:rPr>
            <w:noProof/>
            <w:webHidden/>
          </w:rPr>
          <w:fldChar w:fldCharType="end"/>
        </w:r>
      </w:hyperlink>
    </w:p>
    <w:p w14:paraId="7A0EFB86" w14:textId="44555AE1" w:rsidR="001B151E" w:rsidRDefault="001B151E">
      <w:pPr>
        <w:pStyle w:val="TOC1"/>
        <w:rPr>
          <w:rFonts w:asciiTheme="minorHAnsi" w:eastAsiaTheme="minorEastAsia" w:hAnsiTheme="minorHAnsi"/>
          <w:b w:val="0"/>
          <w:noProof/>
          <w:color w:val="auto"/>
          <w:kern w:val="2"/>
          <w:sz w:val="24"/>
          <w:szCs w:val="24"/>
          <w:lang w:eastAsia="en-AU"/>
          <w14:ligatures w14:val="standardContextual"/>
        </w:rPr>
      </w:pPr>
      <w:hyperlink w:anchor="_Toc211587009" w:history="1">
        <w:r w:rsidRPr="003531E5">
          <w:rPr>
            <w:rStyle w:val="Hyperlink"/>
            <w:noProof/>
          </w:rPr>
          <w:t>Chapter 3</w:t>
        </w:r>
        <w:r>
          <w:rPr>
            <w:rFonts w:asciiTheme="minorHAnsi" w:eastAsiaTheme="minorEastAsia" w:hAnsiTheme="minorHAnsi"/>
            <w:b w:val="0"/>
            <w:noProof/>
            <w:color w:val="auto"/>
            <w:kern w:val="2"/>
            <w:sz w:val="24"/>
            <w:szCs w:val="24"/>
            <w:lang w:eastAsia="en-AU"/>
            <w14:ligatures w14:val="standardContextual"/>
          </w:rPr>
          <w:tab/>
        </w:r>
        <w:r w:rsidRPr="003531E5">
          <w:rPr>
            <w:rStyle w:val="Hyperlink"/>
            <w:noProof/>
          </w:rPr>
          <w:t>The barriers to productivity and participation in today’s labour market</w:t>
        </w:r>
        <w:r>
          <w:rPr>
            <w:noProof/>
            <w:webHidden/>
          </w:rPr>
          <w:tab/>
        </w:r>
        <w:r>
          <w:rPr>
            <w:noProof/>
            <w:webHidden/>
          </w:rPr>
          <w:fldChar w:fldCharType="begin"/>
        </w:r>
        <w:r>
          <w:rPr>
            <w:noProof/>
            <w:webHidden/>
          </w:rPr>
          <w:instrText xml:space="preserve"> PAGEREF _Toc211587009 \h </w:instrText>
        </w:r>
        <w:r>
          <w:rPr>
            <w:noProof/>
            <w:webHidden/>
          </w:rPr>
        </w:r>
        <w:r>
          <w:rPr>
            <w:noProof/>
            <w:webHidden/>
          </w:rPr>
          <w:fldChar w:fldCharType="separate"/>
        </w:r>
        <w:r w:rsidR="009E6E1D">
          <w:rPr>
            <w:noProof/>
            <w:webHidden/>
          </w:rPr>
          <w:t>49</w:t>
        </w:r>
        <w:r>
          <w:rPr>
            <w:noProof/>
            <w:webHidden/>
          </w:rPr>
          <w:fldChar w:fldCharType="end"/>
        </w:r>
      </w:hyperlink>
    </w:p>
    <w:p w14:paraId="2BD44D8D" w14:textId="369EA434"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7010" w:history="1">
        <w:r w:rsidRPr="003531E5">
          <w:rPr>
            <w:rStyle w:val="Hyperlink"/>
            <w:noProof/>
          </w:rPr>
          <w:t>3.1</w:t>
        </w:r>
        <w:r>
          <w:rPr>
            <w:rFonts w:asciiTheme="minorHAnsi" w:eastAsiaTheme="minorEastAsia" w:hAnsiTheme="minorHAnsi"/>
            <w:b w:val="0"/>
            <w:noProof/>
            <w:kern w:val="2"/>
            <w:sz w:val="24"/>
            <w:szCs w:val="24"/>
            <w:lang w:eastAsia="en-AU"/>
            <w14:ligatures w14:val="standardContextual"/>
          </w:rPr>
          <w:tab/>
        </w:r>
        <w:r w:rsidRPr="003531E5">
          <w:rPr>
            <w:rStyle w:val="Hyperlink"/>
            <w:noProof/>
          </w:rPr>
          <w:t>The occupational perspective – shortage analysis</w:t>
        </w:r>
        <w:r>
          <w:rPr>
            <w:noProof/>
            <w:webHidden/>
          </w:rPr>
          <w:tab/>
        </w:r>
        <w:r>
          <w:rPr>
            <w:noProof/>
            <w:webHidden/>
          </w:rPr>
          <w:fldChar w:fldCharType="begin"/>
        </w:r>
        <w:r>
          <w:rPr>
            <w:noProof/>
            <w:webHidden/>
          </w:rPr>
          <w:instrText xml:space="preserve"> PAGEREF _Toc211587010 \h </w:instrText>
        </w:r>
        <w:r>
          <w:rPr>
            <w:noProof/>
            <w:webHidden/>
          </w:rPr>
        </w:r>
        <w:r>
          <w:rPr>
            <w:noProof/>
            <w:webHidden/>
          </w:rPr>
          <w:fldChar w:fldCharType="separate"/>
        </w:r>
        <w:r w:rsidR="009E6E1D">
          <w:rPr>
            <w:noProof/>
            <w:webHidden/>
          </w:rPr>
          <w:t>50</w:t>
        </w:r>
        <w:r>
          <w:rPr>
            <w:noProof/>
            <w:webHidden/>
          </w:rPr>
          <w:fldChar w:fldCharType="end"/>
        </w:r>
      </w:hyperlink>
    </w:p>
    <w:p w14:paraId="0AAFD618" w14:textId="5EBA5A14"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11" w:history="1">
        <w:r w:rsidRPr="003531E5">
          <w:rPr>
            <w:rStyle w:val="Hyperlink"/>
            <w:noProof/>
          </w:rPr>
          <w:t>3.1.1</w:t>
        </w:r>
        <w:r>
          <w:rPr>
            <w:rFonts w:asciiTheme="minorHAnsi" w:eastAsiaTheme="minorEastAsia" w:hAnsiTheme="minorHAnsi"/>
            <w:noProof/>
            <w:kern w:val="2"/>
            <w:sz w:val="24"/>
            <w:szCs w:val="24"/>
            <w:lang w:eastAsia="en-AU"/>
            <w14:ligatures w14:val="standardContextual"/>
          </w:rPr>
          <w:tab/>
        </w:r>
        <w:r w:rsidRPr="003531E5">
          <w:rPr>
            <w:rStyle w:val="Hyperlink"/>
            <w:noProof/>
          </w:rPr>
          <w:t>Occupation shortage drivers</w:t>
        </w:r>
        <w:r>
          <w:rPr>
            <w:noProof/>
            <w:webHidden/>
          </w:rPr>
          <w:tab/>
        </w:r>
        <w:r>
          <w:rPr>
            <w:noProof/>
            <w:webHidden/>
          </w:rPr>
          <w:fldChar w:fldCharType="begin"/>
        </w:r>
        <w:r>
          <w:rPr>
            <w:noProof/>
            <w:webHidden/>
          </w:rPr>
          <w:instrText xml:space="preserve"> PAGEREF _Toc211587011 \h </w:instrText>
        </w:r>
        <w:r>
          <w:rPr>
            <w:noProof/>
            <w:webHidden/>
          </w:rPr>
        </w:r>
        <w:r>
          <w:rPr>
            <w:noProof/>
            <w:webHidden/>
          </w:rPr>
          <w:fldChar w:fldCharType="separate"/>
        </w:r>
        <w:r w:rsidR="009E6E1D">
          <w:rPr>
            <w:noProof/>
            <w:webHidden/>
          </w:rPr>
          <w:t>50</w:t>
        </w:r>
        <w:r>
          <w:rPr>
            <w:noProof/>
            <w:webHidden/>
          </w:rPr>
          <w:fldChar w:fldCharType="end"/>
        </w:r>
      </w:hyperlink>
    </w:p>
    <w:p w14:paraId="16B50F38" w14:textId="68C4EEB2"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12" w:history="1">
        <w:r w:rsidRPr="003531E5">
          <w:rPr>
            <w:rStyle w:val="Hyperlink"/>
            <w:noProof/>
          </w:rPr>
          <w:t>3.1.2</w:t>
        </w:r>
        <w:r>
          <w:rPr>
            <w:rFonts w:asciiTheme="minorHAnsi" w:eastAsiaTheme="minorEastAsia" w:hAnsiTheme="minorHAnsi"/>
            <w:noProof/>
            <w:kern w:val="2"/>
            <w:sz w:val="24"/>
            <w:szCs w:val="24"/>
            <w:lang w:eastAsia="en-AU"/>
            <w14:ligatures w14:val="standardContextual"/>
          </w:rPr>
          <w:tab/>
        </w:r>
        <w:r w:rsidRPr="003531E5">
          <w:rPr>
            <w:rStyle w:val="Hyperlink"/>
            <w:noProof/>
          </w:rPr>
          <w:t>Persistent labour market shortages</w:t>
        </w:r>
        <w:r>
          <w:rPr>
            <w:noProof/>
            <w:webHidden/>
          </w:rPr>
          <w:tab/>
        </w:r>
        <w:r>
          <w:rPr>
            <w:noProof/>
            <w:webHidden/>
          </w:rPr>
          <w:fldChar w:fldCharType="begin"/>
        </w:r>
        <w:r>
          <w:rPr>
            <w:noProof/>
            <w:webHidden/>
          </w:rPr>
          <w:instrText xml:space="preserve"> PAGEREF _Toc211587012 \h </w:instrText>
        </w:r>
        <w:r>
          <w:rPr>
            <w:noProof/>
            <w:webHidden/>
          </w:rPr>
        </w:r>
        <w:r>
          <w:rPr>
            <w:noProof/>
            <w:webHidden/>
          </w:rPr>
          <w:fldChar w:fldCharType="separate"/>
        </w:r>
        <w:r w:rsidR="009E6E1D">
          <w:rPr>
            <w:noProof/>
            <w:webHidden/>
          </w:rPr>
          <w:t>53</w:t>
        </w:r>
        <w:r>
          <w:rPr>
            <w:noProof/>
            <w:webHidden/>
          </w:rPr>
          <w:fldChar w:fldCharType="end"/>
        </w:r>
      </w:hyperlink>
    </w:p>
    <w:p w14:paraId="3B15892C" w14:textId="143AF2E9"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13" w:history="1">
        <w:r w:rsidRPr="003531E5">
          <w:rPr>
            <w:rStyle w:val="Hyperlink"/>
            <w:noProof/>
          </w:rPr>
          <w:t>3.1.3</w:t>
        </w:r>
        <w:r>
          <w:rPr>
            <w:rFonts w:asciiTheme="minorHAnsi" w:eastAsiaTheme="minorEastAsia" w:hAnsiTheme="minorHAnsi"/>
            <w:noProof/>
            <w:kern w:val="2"/>
            <w:sz w:val="24"/>
            <w:szCs w:val="24"/>
            <w:lang w:eastAsia="en-AU"/>
            <w14:ligatures w14:val="standardContextual"/>
          </w:rPr>
          <w:tab/>
        </w:r>
        <w:r w:rsidRPr="003531E5">
          <w:rPr>
            <w:rStyle w:val="Hyperlink"/>
            <w:noProof/>
          </w:rPr>
          <w:t>Addressing occupation shortages</w:t>
        </w:r>
        <w:r>
          <w:rPr>
            <w:noProof/>
            <w:webHidden/>
          </w:rPr>
          <w:tab/>
        </w:r>
        <w:r>
          <w:rPr>
            <w:noProof/>
            <w:webHidden/>
          </w:rPr>
          <w:fldChar w:fldCharType="begin"/>
        </w:r>
        <w:r>
          <w:rPr>
            <w:noProof/>
            <w:webHidden/>
          </w:rPr>
          <w:instrText xml:space="preserve"> PAGEREF _Toc211587013 \h </w:instrText>
        </w:r>
        <w:r>
          <w:rPr>
            <w:noProof/>
            <w:webHidden/>
          </w:rPr>
        </w:r>
        <w:r>
          <w:rPr>
            <w:noProof/>
            <w:webHidden/>
          </w:rPr>
          <w:fldChar w:fldCharType="separate"/>
        </w:r>
        <w:r w:rsidR="009E6E1D">
          <w:rPr>
            <w:noProof/>
            <w:webHidden/>
          </w:rPr>
          <w:t>54</w:t>
        </w:r>
        <w:r>
          <w:rPr>
            <w:noProof/>
            <w:webHidden/>
          </w:rPr>
          <w:fldChar w:fldCharType="end"/>
        </w:r>
      </w:hyperlink>
    </w:p>
    <w:p w14:paraId="443C2ECE" w14:textId="028D15E3"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14" w:history="1">
        <w:r w:rsidRPr="003531E5">
          <w:rPr>
            <w:rStyle w:val="Hyperlink"/>
            <w:noProof/>
          </w:rPr>
          <w:t>3.1.4</w:t>
        </w:r>
        <w:r>
          <w:rPr>
            <w:rFonts w:asciiTheme="minorHAnsi" w:eastAsiaTheme="minorEastAsia" w:hAnsiTheme="minorHAnsi"/>
            <w:noProof/>
            <w:kern w:val="2"/>
            <w:sz w:val="24"/>
            <w:szCs w:val="24"/>
            <w:lang w:eastAsia="en-AU"/>
            <w14:ligatures w14:val="standardContextual"/>
          </w:rPr>
          <w:tab/>
        </w:r>
        <w:r w:rsidRPr="003531E5">
          <w:rPr>
            <w:rStyle w:val="Hyperlink"/>
            <w:noProof/>
          </w:rPr>
          <w:t>Workforce shortage and labour productivity growth</w:t>
        </w:r>
        <w:r>
          <w:rPr>
            <w:noProof/>
            <w:webHidden/>
          </w:rPr>
          <w:tab/>
        </w:r>
        <w:r>
          <w:rPr>
            <w:noProof/>
            <w:webHidden/>
          </w:rPr>
          <w:fldChar w:fldCharType="begin"/>
        </w:r>
        <w:r>
          <w:rPr>
            <w:noProof/>
            <w:webHidden/>
          </w:rPr>
          <w:instrText xml:space="preserve"> PAGEREF _Toc211587014 \h </w:instrText>
        </w:r>
        <w:r>
          <w:rPr>
            <w:noProof/>
            <w:webHidden/>
          </w:rPr>
        </w:r>
        <w:r>
          <w:rPr>
            <w:noProof/>
            <w:webHidden/>
          </w:rPr>
          <w:fldChar w:fldCharType="separate"/>
        </w:r>
        <w:r w:rsidR="009E6E1D">
          <w:rPr>
            <w:noProof/>
            <w:webHidden/>
          </w:rPr>
          <w:t>54</w:t>
        </w:r>
        <w:r>
          <w:rPr>
            <w:noProof/>
            <w:webHidden/>
          </w:rPr>
          <w:fldChar w:fldCharType="end"/>
        </w:r>
      </w:hyperlink>
    </w:p>
    <w:p w14:paraId="53DC7C29" w14:textId="3B8C0A67"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15" w:history="1">
        <w:r w:rsidRPr="003531E5">
          <w:rPr>
            <w:rStyle w:val="Hyperlink"/>
            <w:noProof/>
          </w:rPr>
          <w:t>3.1.5</w:t>
        </w:r>
        <w:r>
          <w:rPr>
            <w:rFonts w:asciiTheme="minorHAnsi" w:eastAsiaTheme="minorEastAsia" w:hAnsiTheme="minorHAnsi"/>
            <w:noProof/>
            <w:kern w:val="2"/>
            <w:sz w:val="24"/>
            <w:szCs w:val="24"/>
            <w:lang w:eastAsia="en-AU"/>
            <w14:ligatures w14:val="standardContextual"/>
          </w:rPr>
          <w:tab/>
        </w:r>
        <w:r w:rsidRPr="003531E5">
          <w:rPr>
            <w:rStyle w:val="Hyperlink"/>
            <w:noProof/>
          </w:rPr>
          <w:t>In focus – Veterinarians</w:t>
        </w:r>
        <w:r>
          <w:rPr>
            <w:noProof/>
            <w:webHidden/>
          </w:rPr>
          <w:tab/>
        </w:r>
        <w:r>
          <w:rPr>
            <w:noProof/>
            <w:webHidden/>
          </w:rPr>
          <w:fldChar w:fldCharType="begin"/>
        </w:r>
        <w:r>
          <w:rPr>
            <w:noProof/>
            <w:webHidden/>
          </w:rPr>
          <w:instrText xml:space="preserve"> PAGEREF _Toc211587015 \h </w:instrText>
        </w:r>
        <w:r>
          <w:rPr>
            <w:noProof/>
            <w:webHidden/>
          </w:rPr>
        </w:r>
        <w:r>
          <w:rPr>
            <w:noProof/>
            <w:webHidden/>
          </w:rPr>
          <w:fldChar w:fldCharType="separate"/>
        </w:r>
        <w:r w:rsidR="009E6E1D">
          <w:rPr>
            <w:noProof/>
            <w:webHidden/>
          </w:rPr>
          <w:t>55</w:t>
        </w:r>
        <w:r>
          <w:rPr>
            <w:noProof/>
            <w:webHidden/>
          </w:rPr>
          <w:fldChar w:fldCharType="end"/>
        </w:r>
      </w:hyperlink>
    </w:p>
    <w:p w14:paraId="4C941D3E" w14:textId="406F6153"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7016" w:history="1">
        <w:r w:rsidRPr="003531E5">
          <w:rPr>
            <w:rStyle w:val="Hyperlink"/>
            <w:noProof/>
          </w:rPr>
          <w:t>3.2</w:t>
        </w:r>
        <w:r>
          <w:rPr>
            <w:rFonts w:asciiTheme="minorHAnsi" w:eastAsiaTheme="minorEastAsia" w:hAnsiTheme="minorHAnsi"/>
            <w:b w:val="0"/>
            <w:noProof/>
            <w:kern w:val="2"/>
            <w:sz w:val="24"/>
            <w:szCs w:val="24"/>
            <w:lang w:eastAsia="en-AU"/>
            <w14:ligatures w14:val="standardContextual"/>
          </w:rPr>
          <w:tab/>
        </w:r>
        <w:r w:rsidRPr="003531E5">
          <w:rPr>
            <w:rStyle w:val="Hyperlink"/>
            <w:noProof/>
          </w:rPr>
          <w:t>Spotlight – expanding our understanding of job vacancies</w:t>
        </w:r>
        <w:r>
          <w:rPr>
            <w:noProof/>
            <w:webHidden/>
          </w:rPr>
          <w:tab/>
        </w:r>
        <w:r>
          <w:rPr>
            <w:noProof/>
            <w:webHidden/>
          </w:rPr>
          <w:fldChar w:fldCharType="begin"/>
        </w:r>
        <w:r>
          <w:rPr>
            <w:noProof/>
            <w:webHidden/>
          </w:rPr>
          <w:instrText xml:space="preserve"> PAGEREF _Toc211587016 \h </w:instrText>
        </w:r>
        <w:r>
          <w:rPr>
            <w:noProof/>
            <w:webHidden/>
          </w:rPr>
        </w:r>
        <w:r>
          <w:rPr>
            <w:noProof/>
            <w:webHidden/>
          </w:rPr>
          <w:fldChar w:fldCharType="separate"/>
        </w:r>
        <w:r w:rsidR="009E6E1D">
          <w:rPr>
            <w:noProof/>
            <w:webHidden/>
          </w:rPr>
          <w:t>57</w:t>
        </w:r>
        <w:r>
          <w:rPr>
            <w:noProof/>
            <w:webHidden/>
          </w:rPr>
          <w:fldChar w:fldCharType="end"/>
        </w:r>
      </w:hyperlink>
    </w:p>
    <w:p w14:paraId="6932A006" w14:textId="627FB004"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7017" w:history="1">
        <w:r w:rsidRPr="003531E5">
          <w:rPr>
            <w:rStyle w:val="Hyperlink"/>
            <w:noProof/>
          </w:rPr>
          <w:t>3.3</w:t>
        </w:r>
        <w:r>
          <w:rPr>
            <w:rFonts w:asciiTheme="minorHAnsi" w:eastAsiaTheme="minorEastAsia" w:hAnsiTheme="minorHAnsi"/>
            <w:b w:val="0"/>
            <w:noProof/>
            <w:kern w:val="2"/>
            <w:sz w:val="24"/>
            <w:szCs w:val="24"/>
            <w:lang w:eastAsia="en-AU"/>
            <w14:ligatures w14:val="standardContextual"/>
          </w:rPr>
          <w:tab/>
        </w:r>
        <w:r w:rsidRPr="003531E5">
          <w:rPr>
            <w:rStyle w:val="Hyperlink"/>
            <w:noProof/>
          </w:rPr>
          <w:t>The employer perspective – retention issues</w:t>
        </w:r>
        <w:r>
          <w:rPr>
            <w:noProof/>
            <w:webHidden/>
          </w:rPr>
          <w:tab/>
        </w:r>
        <w:r>
          <w:rPr>
            <w:noProof/>
            <w:webHidden/>
          </w:rPr>
          <w:fldChar w:fldCharType="begin"/>
        </w:r>
        <w:r>
          <w:rPr>
            <w:noProof/>
            <w:webHidden/>
          </w:rPr>
          <w:instrText xml:space="preserve"> PAGEREF _Toc211587017 \h </w:instrText>
        </w:r>
        <w:r>
          <w:rPr>
            <w:noProof/>
            <w:webHidden/>
          </w:rPr>
        </w:r>
        <w:r>
          <w:rPr>
            <w:noProof/>
            <w:webHidden/>
          </w:rPr>
          <w:fldChar w:fldCharType="separate"/>
        </w:r>
        <w:r w:rsidR="009E6E1D">
          <w:rPr>
            <w:noProof/>
            <w:webHidden/>
          </w:rPr>
          <w:t>58</w:t>
        </w:r>
        <w:r>
          <w:rPr>
            <w:noProof/>
            <w:webHidden/>
          </w:rPr>
          <w:fldChar w:fldCharType="end"/>
        </w:r>
      </w:hyperlink>
    </w:p>
    <w:p w14:paraId="5631F17A" w14:textId="5CDB9C46"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18" w:history="1">
        <w:r w:rsidRPr="003531E5">
          <w:rPr>
            <w:rStyle w:val="Hyperlink"/>
            <w:noProof/>
          </w:rPr>
          <w:t>3.3.1</w:t>
        </w:r>
        <w:r>
          <w:rPr>
            <w:rFonts w:asciiTheme="minorHAnsi" w:eastAsiaTheme="minorEastAsia" w:hAnsiTheme="minorHAnsi"/>
            <w:noProof/>
            <w:kern w:val="2"/>
            <w:sz w:val="24"/>
            <w:szCs w:val="24"/>
            <w:lang w:eastAsia="en-AU"/>
            <w14:ligatures w14:val="standardContextual"/>
          </w:rPr>
          <w:tab/>
        </w:r>
        <w:r w:rsidRPr="003531E5">
          <w:rPr>
            <w:rStyle w:val="Hyperlink"/>
            <w:noProof/>
          </w:rPr>
          <w:t>Frequency of staff replacement</w:t>
        </w:r>
        <w:r>
          <w:rPr>
            <w:noProof/>
            <w:webHidden/>
          </w:rPr>
          <w:tab/>
        </w:r>
        <w:r>
          <w:rPr>
            <w:noProof/>
            <w:webHidden/>
          </w:rPr>
          <w:fldChar w:fldCharType="begin"/>
        </w:r>
        <w:r>
          <w:rPr>
            <w:noProof/>
            <w:webHidden/>
          </w:rPr>
          <w:instrText xml:space="preserve"> PAGEREF _Toc211587018 \h </w:instrText>
        </w:r>
        <w:r>
          <w:rPr>
            <w:noProof/>
            <w:webHidden/>
          </w:rPr>
        </w:r>
        <w:r>
          <w:rPr>
            <w:noProof/>
            <w:webHidden/>
          </w:rPr>
          <w:fldChar w:fldCharType="separate"/>
        </w:r>
        <w:r w:rsidR="009E6E1D">
          <w:rPr>
            <w:noProof/>
            <w:webHidden/>
          </w:rPr>
          <w:t>58</w:t>
        </w:r>
        <w:r>
          <w:rPr>
            <w:noProof/>
            <w:webHidden/>
          </w:rPr>
          <w:fldChar w:fldCharType="end"/>
        </w:r>
      </w:hyperlink>
    </w:p>
    <w:p w14:paraId="5509B35B" w14:textId="5A5FA55B"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19" w:history="1">
        <w:r w:rsidRPr="003531E5">
          <w:rPr>
            <w:rStyle w:val="Hyperlink"/>
            <w:noProof/>
          </w:rPr>
          <w:t>3.3.2</w:t>
        </w:r>
        <w:r>
          <w:rPr>
            <w:rFonts w:asciiTheme="minorHAnsi" w:eastAsiaTheme="minorEastAsia" w:hAnsiTheme="minorHAnsi"/>
            <w:noProof/>
            <w:kern w:val="2"/>
            <w:sz w:val="24"/>
            <w:szCs w:val="24"/>
            <w:lang w:eastAsia="en-AU"/>
            <w14:ligatures w14:val="standardContextual"/>
          </w:rPr>
          <w:tab/>
        </w:r>
        <w:r w:rsidRPr="003531E5">
          <w:rPr>
            <w:rStyle w:val="Hyperlink"/>
            <w:noProof/>
          </w:rPr>
          <w:t>Reasons for staff replacement</w:t>
        </w:r>
        <w:r>
          <w:rPr>
            <w:noProof/>
            <w:webHidden/>
          </w:rPr>
          <w:tab/>
        </w:r>
        <w:r>
          <w:rPr>
            <w:noProof/>
            <w:webHidden/>
          </w:rPr>
          <w:fldChar w:fldCharType="begin"/>
        </w:r>
        <w:r>
          <w:rPr>
            <w:noProof/>
            <w:webHidden/>
          </w:rPr>
          <w:instrText xml:space="preserve"> PAGEREF _Toc211587019 \h </w:instrText>
        </w:r>
        <w:r>
          <w:rPr>
            <w:noProof/>
            <w:webHidden/>
          </w:rPr>
        </w:r>
        <w:r>
          <w:rPr>
            <w:noProof/>
            <w:webHidden/>
          </w:rPr>
          <w:fldChar w:fldCharType="separate"/>
        </w:r>
        <w:r w:rsidR="009E6E1D">
          <w:rPr>
            <w:noProof/>
            <w:webHidden/>
          </w:rPr>
          <w:t>59</w:t>
        </w:r>
        <w:r>
          <w:rPr>
            <w:noProof/>
            <w:webHidden/>
          </w:rPr>
          <w:fldChar w:fldCharType="end"/>
        </w:r>
      </w:hyperlink>
    </w:p>
    <w:p w14:paraId="70328252" w14:textId="0F92DD0F"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20" w:history="1">
        <w:r w:rsidRPr="003531E5">
          <w:rPr>
            <w:rStyle w:val="Hyperlink"/>
            <w:noProof/>
          </w:rPr>
          <w:t>3.3.3</w:t>
        </w:r>
        <w:r>
          <w:rPr>
            <w:rFonts w:asciiTheme="minorHAnsi" w:eastAsiaTheme="minorEastAsia" w:hAnsiTheme="minorHAnsi"/>
            <w:noProof/>
            <w:kern w:val="2"/>
            <w:sz w:val="24"/>
            <w:szCs w:val="24"/>
            <w:lang w:eastAsia="en-AU"/>
            <w14:ligatures w14:val="standardContextual"/>
          </w:rPr>
          <w:tab/>
        </w:r>
        <w:r w:rsidRPr="003531E5">
          <w:rPr>
            <w:rStyle w:val="Hyperlink"/>
            <w:noProof/>
          </w:rPr>
          <w:t>Business impact</w:t>
        </w:r>
        <w:r>
          <w:rPr>
            <w:noProof/>
            <w:webHidden/>
          </w:rPr>
          <w:tab/>
        </w:r>
        <w:r>
          <w:rPr>
            <w:noProof/>
            <w:webHidden/>
          </w:rPr>
          <w:fldChar w:fldCharType="begin"/>
        </w:r>
        <w:r>
          <w:rPr>
            <w:noProof/>
            <w:webHidden/>
          </w:rPr>
          <w:instrText xml:space="preserve"> PAGEREF _Toc211587020 \h </w:instrText>
        </w:r>
        <w:r>
          <w:rPr>
            <w:noProof/>
            <w:webHidden/>
          </w:rPr>
        </w:r>
        <w:r>
          <w:rPr>
            <w:noProof/>
            <w:webHidden/>
          </w:rPr>
          <w:fldChar w:fldCharType="separate"/>
        </w:r>
        <w:r w:rsidR="009E6E1D">
          <w:rPr>
            <w:noProof/>
            <w:webHidden/>
          </w:rPr>
          <w:t>60</w:t>
        </w:r>
        <w:r>
          <w:rPr>
            <w:noProof/>
            <w:webHidden/>
          </w:rPr>
          <w:fldChar w:fldCharType="end"/>
        </w:r>
      </w:hyperlink>
    </w:p>
    <w:p w14:paraId="5CBE82F1" w14:textId="303C9934"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21" w:history="1">
        <w:r w:rsidRPr="003531E5">
          <w:rPr>
            <w:rStyle w:val="Hyperlink"/>
            <w:noProof/>
          </w:rPr>
          <w:t>3.3.4</w:t>
        </w:r>
        <w:r>
          <w:rPr>
            <w:rFonts w:asciiTheme="minorHAnsi" w:eastAsiaTheme="minorEastAsia" w:hAnsiTheme="minorHAnsi"/>
            <w:noProof/>
            <w:kern w:val="2"/>
            <w:sz w:val="24"/>
            <w:szCs w:val="24"/>
            <w:lang w:eastAsia="en-AU"/>
            <w14:ligatures w14:val="standardContextual"/>
          </w:rPr>
          <w:tab/>
        </w:r>
        <w:r w:rsidRPr="003531E5">
          <w:rPr>
            <w:rStyle w:val="Hyperlink"/>
            <w:noProof/>
          </w:rPr>
          <w:t>Strategies used to retain staff</w:t>
        </w:r>
        <w:r>
          <w:rPr>
            <w:noProof/>
            <w:webHidden/>
          </w:rPr>
          <w:tab/>
        </w:r>
        <w:r>
          <w:rPr>
            <w:noProof/>
            <w:webHidden/>
          </w:rPr>
          <w:fldChar w:fldCharType="begin"/>
        </w:r>
        <w:r>
          <w:rPr>
            <w:noProof/>
            <w:webHidden/>
          </w:rPr>
          <w:instrText xml:space="preserve"> PAGEREF _Toc211587021 \h </w:instrText>
        </w:r>
        <w:r>
          <w:rPr>
            <w:noProof/>
            <w:webHidden/>
          </w:rPr>
        </w:r>
        <w:r>
          <w:rPr>
            <w:noProof/>
            <w:webHidden/>
          </w:rPr>
          <w:fldChar w:fldCharType="separate"/>
        </w:r>
        <w:r w:rsidR="009E6E1D">
          <w:rPr>
            <w:noProof/>
            <w:webHidden/>
          </w:rPr>
          <w:t>61</w:t>
        </w:r>
        <w:r>
          <w:rPr>
            <w:noProof/>
            <w:webHidden/>
          </w:rPr>
          <w:fldChar w:fldCharType="end"/>
        </w:r>
      </w:hyperlink>
    </w:p>
    <w:p w14:paraId="13B23AD5" w14:textId="45500F31"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7022" w:history="1">
        <w:r w:rsidRPr="003531E5">
          <w:rPr>
            <w:rStyle w:val="Hyperlink"/>
            <w:noProof/>
          </w:rPr>
          <w:t>3.4</w:t>
        </w:r>
        <w:r>
          <w:rPr>
            <w:rFonts w:asciiTheme="minorHAnsi" w:eastAsiaTheme="minorEastAsia" w:hAnsiTheme="minorHAnsi"/>
            <w:b w:val="0"/>
            <w:noProof/>
            <w:kern w:val="2"/>
            <w:sz w:val="24"/>
            <w:szCs w:val="24"/>
            <w:lang w:eastAsia="en-AU"/>
            <w14:ligatures w14:val="standardContextual"/>
          </w:rPr>
          <w:tab/>
        </w:r>
        <w:r w:rsidRPr="003531E5">
          <w:rPr>
            <w:rStyle w:val="Hyperlink"/>
            <w:noProof/>
          </w:rPr>
          <w:t>The regional perspective – the picture across Australia</w:t>
        </w:r>
        <w:r>
          <w:rPr>
            <w:noProof/>
            <w:webHidden/>
          </w:rPr>
          <w:tab/>
        </w:r>
        <w:r>
          <w:rPr>
            <w:noProof/>
            <w:webHidden/>
          </w:rPr>
          <w:fldChar w:fldCharType="begin"/>
        </w:r>
        <w:r>
          <w:rPr>
            <w:noProof/>
            <w:webHidden/>
          </w:rPr>
          <w:instrText xml:space="preserve"> PAGEREF _Toc211587022 \h </w:instrText>
        </w:r>
        <w:r>
          <w:rPr>
            <w:noProof/>
            <w:webHidden/>
          </w:rPr>
        </w:r>
        <w:r>
          <w:rPr>
            <w:noProof/>
            <w:webHidden/>
          </w:rPr>
          <w:fldChar w:fldCharType="separate"/>
        </w:r>
        <w:r w:rsidR="009E6E1D">
          <w:rPr>
            <w:noProof/>
            <w:webHidden/>
          </w:rPr>
          <w:t>62</w:t>
        </w:r>
        <w:r>
          <w:rPr>
            <w:noProof/>
            <w:webHidden/>
          </w:rPr>
          <w:fldChar w:fldCharType="end"/>
        </w:r>
      </w:hyperlink>
    </w:p>
    <w:p w14:paraId="3787CAB5" w14:textId="29793033"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23" w:history="1">
        <w:r w:rsidRPr="003531E5">
          <w:rPr>
            <w:rStyle w:val="Hyperlink"/>
            <w:noProof/>
          </w:rPr>
          <w:t>3.4.1</w:t>
        </w:r>
        <w:r>
          <w:rPr>
            <w:rFonts w:asciiTheme="minorHAnsi" w:eastAsiaTheme="minorEastAsia" w:hAnsiTheme="minorHAnsi"/>
            <w:noProof/>
            <w:kern w:val="2"/>
            <w:sz w:val="24"/>
            <w:szCs w:val="24"/>
            <w:lang w:eastAsia="en-AU"/>
            <w14:ligatures w14:val="standardContextual"/>
          </w:rPr>
          <w:tab/>
        </w:r>
        <w:r w:rsidRPr="003531E5">
          <w:rPr>
            <w:rStyle w:val="Hyperlink"/>
            <w:noProof/>
          </w:rPr>
          <w:t>Roadmap for Regional Australia</w:t>
        </w:r>
        <w:r>
          <w:rPr>
            <w:noProof/>
            <w:webHidden/>
          </w:rPr>
          <w:tab/>
        </w:r>
        <w:r>
          <w:rPr>
            <w:noProof/>
            <w:webHidden/>
          </w:rPr>
          <w:fldChar w:fldCharType="begin"/>
        </w:r>
        <w:r>
          <w:rPr>
            <w:noProof/>
            <w:webHidden/>
          </w:rPr>
          <w:instrText xml:space="preserve"> PAGEREF _Toc211587023 \h </w:instrText>
        </w:r>
        <w:r>
          <w:rPr>
            <w:noProof/>
            <w:webHidden/>
          </w:rPr>
        </w:r>
        <w:r>
          <w:rPr>
            <w:noProof/>
            <w:webHidden/>
          </w:rPr>
          <w:fldChar w:fldCharType="separate"/>
        </w:r>
        <w:r w:rsidR="009E6E1D">
          <w:rPr>
            <w:noProof/>
            <w:webHidden/>
          </w:rPr>
          <w:t>62</w:t>
        </w:r>
        <w:r>
          <w:rPr>
            <w:noProof/>
            <w:webHidden/>
          </w:rPr>
          <w:fldChar w:fldCharType="end"/>
        </w:r>
      </w:hyperlink>
    </w:p>
    <w:p w14:paraId="6F78469C" w14:textId="51C980FF"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7024" w:history="1">
        <w:r w:rsidRPr="003531E5">
          <w:rPr>
            <w:rStyle w:val="Hyperlink"/>
            <w:noProof/>
          </w:rPr>
          <w:t>3.5</w:t>
        </w:r>
        <w:r>
          <w:rPr>
            <w:rFonts w:asciiTheme="minorHAnsi" w:eastAsiaTheme="minorEastAsia" w:hAnsiTheme="minorHAnsi"/>
            <w:b w:val="0"/>
            <w:noProof/>
            <w:kern w:val="2"/>
            <w:sz w:val="24"/>
            <w:szCs w:val="24"/>
            <w:lang w:eastAsia="en-AU"/>
            <w14:ligatures w14:val="standardContextual"/>
          </w:rPr>
          <w:tab/>
        </w:r>
        <w:r w:rsidRPr="003531E5">
          <w:rPr>
            <w:rStyle w:val="Hyperlink"/>
            <w:noProof/>
          </w:rPr>
          <w:t>Summary of chapter three</w:t>
        </w:r>
        <w:r>
          <w:rPr>
            <w:noProof/>
            <w:webHidden/>
          </w:rPr>
          <w:tab/>
        </w:r>
        <w:r>
          <w:rPr>
            <w:noProof/>
            <w:webHidden/>
          </w:rPr>
          <w:fldChar w:fldCharType="begin"/>
        </w:r>
        <w:r>
          <w:rPr>
            <w:noProof/>
            <w:webHidden/>
          </w:rPr>
          <w:instrText xml:space="preserve"> PAGEREF _Toc211587024 \h </w:instrText>
        </w:r>
        <w:r>
          <w:rPr>
            <w:noProof/>
            <w:webHidden/>
          </w:rPr>
        </w:r>
        <w:r>
          <w:rPr>
            <w:noProof/>
            <w:webHidden/>
          </w:rPr>
          <w:fldChar w:fldCharType="separate"/>
        </w:r>
        <w:r w:rsidR="009E6E1D">
          <w:rPr>
            <w:noProof/>
            <w:webHidden/>
          </w:rPr>
          <w:t>66</w:t>
        </w:r>
        <w:r>
          <w:rPr>
            <w:noProof/>
            <w:webHidden/>
          </w:rPr>
          <w:fldChar w:fldCharType="end"/>
        </w:r>
      </w:hyperlink>
    </w:p>
    <w:p w14:paraId="7439CC19" w14:textId="0CF21C49" w:rsidR="001B151E" w:rsidRDefault="001B151E">
      <w:pPr>
        <w:pStyle w:val="TOC1"/>
        <w:rPr>
          <w:rFonts w:asciiTheme="minorHAnsi" w:eastAsiaTheme="minorEastAsia" w:hAnsiTheme="minorHAnsi"/>
          <w:b w:val="0"/>
          <w:noProof/>
          <w:color w:val="auto"/>
          <w:kern w:val="2"/>
          <w:sz w:val="24"/>
          <w:szCs w:val="24"/>
          <w:lang w:eastAsia="en-AU"/>
          <w14:ligatures w14:val="standardContextual"/>
        </w:rPr>
      </w:pPr>
      <w:hyperlink w:anchor="_Toc211587025" w:history="1">
        <w:r w:rsidRPr="003531E5">
          <w:rPr>
            <w:rStyle w:val="Hyperlink"/>
            <w:noProof/>
          </w:rPr>
          <w:t>Chapter 4</w:t>
        </w:r>
        <w:r>
          <w:rPr>
            <w:rFonts w:asciiTheme="minorHAnsi" w:eastAsiaTheme="minorEastAsia" w:hAnsiTheme="minorHAnsi"/>
            <w:b w:val="0"/>
            <w:noProof/>
            <w:color w:val="auto"/>
            <w:kern w:val="2"/>
            <w:sz w:val="24"/>
            <w:szCs w:val="24"/>
            <w:lang w:eastAsia="en-AU"/>
            <w14:ligatures w14:val="standardContextual"/>
          </w:rPr>
          <w:tab/>
        </w:r>
        <w:r w:rsidRPr="003531E5">
          <w:rPr>
            <w:rStyle w:val="Hyperlink"/>
            <w:noProof/>
          </w:rPr>
          <w:t>The future labour market</w:t>
        </w:r>
        <w:r>
          <w:rPr>
            <w:noProof/>
            <w:webHidden/>
          </w:rPr>
          <w:tab/>
        </w:r>
        <w:r>
          <w:rPr>
            <w:noProof/>
            <w:webHidden/>
          </w:rPr>
          <w:fldChar w:fldCharType="begin"/>
        </w:r>
        <w:r>
          <w:rPr>
            <w:noProof/>
            <w:webHidden/>
          </w:rPr>
          <w:instrText xml:space="preserve"> PAGEREF _Toc211587025 \h </w:instrText>
        </w:r>
        <w:r>
          <w:rPr>
            <w:noProof/>
            <w:webHidden/>
          </w:rPr>
        </w:r>
        <w:r>
          <w:rPr>
            <w:noProof/>
            <w:webHidden/>
          </w:rPr>
          <w:fldChar w:fldCharType="separate"/>
        </w:r>
        <w:r w:rsidR="009E6E1D">
          <w:rPr>
            <w:noProof/>
            <w:webHidden/>
          </w:rPr>
          <w:t>67</w:t>
        </w:r>
        <w:r>
          <w:rPr>
            <w:noProof/>
            <w:webHidden/>
          </w:rPr>
          <w:fldChar w:fldCharType="end"/>
        </w:r>
      </w:hyperlink>
    </w:p>
    <w:p w14:paraId="6857DDFB" w14:textId="4534937A"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7026" w:history="1">
        <w:r w:rsidRPr="003531E5">
          <w:rPr>
            <w:rStyle w:val="Hyperlink"/>
            <w:noProof/>
          </w:rPr>
          <w:t>4.1</w:t>
        </w:r>
        <w:r>
          <w:rPr>
            <w:rFonts w:asciiTheme="minorHAnsi" w:eastAsiaTheme="minorEastAsia" w:hAnsiTheme="minorHAnsi"/>
            <w:b w:val="0"/>
            <w:noProof/>
            <w:kern w:val="2"/>
            <w:sz w:val="24"/>
            <w:szCs w:val="24"/>
            <w:lang w:eastAsia="en-AU"/>
            <w14:ligatures w14:val="standardContextual"/>
          </w:rPr>
          <w:tab/>
        </w:r>
        <w:r w:rsidRPr="003531E5">
          <w:rPr>
            <w:rStyle w:val="Hyperlink"/>
            <w:noProof/>
          </w:rPr>
          <w:t>Australia’s changing labour market</w:t>
        </w:r>
        <w:r>
          <w:rPr>
            <w:noProof/>
            <w:webHidden/>
          </w:rPr>
          <w:tab/>
        </w:r>
        <w:r>
          <w:rPr>
            <w:noProof/>
            <w:webHidden/>
          </w:rPr>
          <w:fldChar w:fldCharType="begin"/>
        </w:r>
        <w:r>
          <w:rPr>
            <w:noProof/>
            <w:webHidden/>
          </w:rPr>
          <w:instrText xml:space="preserve"> PAGEREF _Toc211587026 \h </w:instrText>
        </w:r>
        <w:r>
          <w:rPr>
            <w:noProof/>
            <w:webHidden/>
          </w:rPr>
        </w:r>
        <w:r>
          <w:rPr>
            <w:noProof/>
            <w:webHidden/>
          </w:rPr>
          <w:fldChar w:fldCharType="separate"/>
        </w:r>
        <w:r w:rsidR="009E6E1D">
          <w:rPr>
            <w:noProof/>
            <w:webHidden/>
          </w:rPr>
          <w:t>68</w:t>
        </w:r>
        <w:r>
          <w:rPr>
            <w:noProof/>
            <w:webHidden/>
          </w:rPr>
          <w:fldChar w:fldCharType="end"/>
        </w:r>
      </w:hyperlink>
    </w:p>
    <w:p w14:paraId="0DEBCC9D" w14:textId="67AD0208"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27" w:history="1">
        <w:r w:rsidRPr="003531E5">
          <w:rPr>
            <w:rStyle w:val="Hyperlink"/>
            <w:noProof/>
          </w:rPr>
          <w:t>4.1.1</w:t>
        </w:r>
        <w:r>
          <w:rPr>
            <w:rFonts w:asciiTheme="minorHAnsi" w:eastAsiaTheme="minorEastAsia" w:hAnsiTheme="minorHAnsi"/>
            <w:noProof/>
            <w:kern w:val="2"/>
            <w:sz w:val="24"/>
            <w:szCs w:val="24"/>
            <w:lang w:eastAsia="en-AU"/>
            <w14:ligatures w14:val="standardContextual"/>
          </w:rPr>
          <w:tab/>
        </w:r>
        <w:r w:rsidRPr="003531E5">
          <w:rPr>
            <w:rStyle w:val="Hyperlink"/>
            <w:noProof/>
          </w:rPr>
          <w:t>Industry employment growth</w:t>
        </w:r>
        <w:r>
          <w:rPr>
            <w:noProof/>
            <w:webHidden/>
          </w:rPr>
          <w:tab/>
        </w:r>
        <w:r>
          <w:rPr>
            <w:noProof/>
            <w:webHidden/>
          </w:rPr>
          <w:fldChar w:fldCharType="begin"/>
        </w:r>
        <w:r>
          <w:rPr>
            <w:noProof/>
            <w:webHidden/>
          </w:rPr>
          <w:instrText xml:space="preserve"> PAGEREF _Toc211587027 \h </w:instrText>
        </w:r>
        <w:r>
          <w:rPr>
            <w:noProof/>
            <w:webHidden/>
          </w:rPr>
        </w:r>
        <w:r>
          <w:rPr>
            <w:noProof/>
            <w:webHidden/>
          </w:rPr>
          <w:fldChar w:fldCharType="separate"/>
        </w:r>
        <w:r w:rsidR="009E6E1D">
          <w:rPr>
            <w:noProof/>
            <w:webHidden/>
          </w:rPr>
          <w:t>68</w:t>
        </w:r>
        <w:r>
          <w:rPr>
            <w:noProof/>
            <w:webHidden/>
          </w:rPr>
          <w:fldChar w:fldCharType="end"/>
        </w:r>
      </w:hyperlink>
    </w:p>
    <w:p w14:paraId="2A156220" w14:textId="266D4744"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28" w:history="1">
        <w:r w:rsidRPr="003531E5">
          <w:rPr>
            <w:rStyle w:val="Hyperlink"/>
            <w:noProof/>
          </w:rPr>
          <w:t>4.1.2</w:t>
        </w:r>
        <w:r>
          <w:rPr>
            <w:rFonts w:asciiTheme="minorHAnsi" w:eastAsiaTheme="minorEastAsia" w:hAnsiTheme="minorHAnsi"/>
            <w:noProof/>
            <w:kern w:val="2"/>
            <w:sz w:val="24"/>
            <w:szCs w:val="24"/>
            <w:lang w:eastAsia="en-AU"/>
            <w14:ligatures w14:val="standardContextual"/>
          </w:rPr>
          <w:tab/>
        </w:r>
        <w:r w:rsidRPr="003531E5">
          <w:rPr>
            <w:rStyle w:val="Hyperlink"/>
            <w:noProof/>
          </w:rPr>
          <w:t>Employment growth by occupation</w:t>
        </w:r>
        <w:r>
          <w:rPr>
            <w:noProof/>
            <w:webHidden/>
          </w:rPr>
          <w:tab/>
        </w:r>
        <w:r>
          <w:rPr>
            <w:noProof/>
            <w:webHidden/>
          </w:rPr>
          <w:fldChar w:fldCharType="begin"/>
        </w:r>
        <w:r>
          <w:rPr>
            <w:noProof/>
            <w:webHidden/>
          </w:rPr>
          <w:instrText xml:space="preserve"> PAGEREF _Toc211587028 \h </w:instrText>
        </w:r>
        <w:r>
          <w:rPr>
            <w:noProof/>
            <w:webHidden/>
          </w:rPr>
        </w:r>
        <w:r>
          <w:rPr>
            <w:noProof/>
            <w:webHidden/>
          </w:rPr>
          <w:fldChar w:fldCharType="separate"/>
        </w:r>
        <w:r w:rsidR="009E6E1D">
          <w:rPr>
            <w:noProof/>
            <w:webHidden/>
          </w:rPr>
          <w:t>70</w:t>
        </w:r>
        <w:r>
          <w:rPr>
            <w:noProof/>
            <w:webHidden/>
          </w:rPr>
          <w:fldChar w:fldCharType="end"/>
        </w:r>
      </w:hyperlink>
    </w:p>
    <w:p w14:paraId="11623D38" w14:textId="2BC1BA62"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29" w:history="1">
        <w:r w:rsidRPr="003531E5">
          <w:rPr>
            <w:rStyle w:val="Hyperlink"/>
            <w:noProof/>
          </w:rPr>
          <w:t>4.1.3</w:t>
        </w:r>
        <w:r>
          <w:rPr>
            <w:rFonts w:asciiTheme="minorHAnsi" w:eastAsiaTheme="minorEastAsia" w:hAnsiTheme="minorHAnsi"/>
            <w:noProof/>
            <w:kern w:val="2"/>
            <w:sz w:val="24"/>
            <w:szCs w:val="24"/>
            <w:lang w:eastAsia="en-AU"/>
            <w14:ligatures w14:val="standardContextual"/>
          </w:rPr>
          <w:tab/>
        </w:r>
        <w:r w:rsidRPr="003531E5">
          <w:rPr>
            <w:rStyle w:val="Hyperlink"/>
            <w:noProof/>
          </w:rPr>
          <w:t>Employment growth by skill level</w:t>
        </w:r>
        <w:r>
          <w:rPr>
            <w:noProof/>
            <w:webHidden/>
          </w:rPr>
          <w:tab/>
        </w:r>
        <w:r>
          <w:rPr>
            <w:noProof/>
            <w:webHidden/>
          </w:rPr>
          <w:fldChar w:fldCharType="begin"/>
        </w:r>
        <w:r>
          <w:rPr>
            <w:noProof/>
            <w:webHidden/>
          </w:rPr>
          <w:instrText xml:space="preserve"> PAGEREF _Toc211587029 \h </w:instrText>
        </w:r>
        <w:r>
          <w:rPr>
            <w:noProof/>
            <w:webHidden/>
          </w:rPr>
        </w:r>
        <w:r>
          <w:rPr>
            <w:noProof/>
            <w:webHidden/>
          </w:rPr>
          <w:fldChar w:fldCharType="separate"/>
        </w:r>
        <w:r w:rsidR="009E6E1D">
          <w:rPr>
            <w:noProof/>
            <w:webHidden/>
          </w:rPr>
          <w:t>72</w:t>
        </w:r>
        <w:r>
          <w:rPr>
            <w:noProof/>
            <w:webHidden/>
          </w:rPr>
          <w:fldChar w:fldCharType="end"/>
        </w:r>
      </w:hyperlink>
    </w:p>
    <w:p w14:paraId="00D34DC9" w14:textId="2F29EF05"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7030" w:history="1">
        <w:r w:rsidRPr="003531E5">
          <w:rPr>
            <w:rStyle w:val="Hyperlink"/>
            <w:noProof/>
          </w:rPr>
          <w:t>4.2</w:t>
        </w:r>
        <w:r>
          <w:rPr>
            <w:rFonts w:asciiTheme="minorHAnsi" w:eastAsiaTheme="minorEastAsia" w:hAnsiTheme="minorHAnsi"/>
            <w:b w:val="0"/>
            <w:noProof/>
            <w:kern w:val="2"/>
            <w:sz w:val="24"/>
            <w:szCs w:val="24"/>
            <w:lang w:eastAsia="en-AU"/>
            <w14:ligatures w14:val="standardContextual"/>
          </w:rPr>
          <w:tab/>
        </w:r>
        <w:r w:rsidRPr="003531E5">
          <w:rPr>
            <w:rStyle w:val="Hyperlink"/>
            <w:noProof/>
          </w:rPr>
          <w:t>Employment projections – 2025</w:t>
        </w:r>
        <w:r>
          <w:rPr>
            <w:noProof/>
            <w:webHidden/>
          </w:rPr>
          <w:tab/>
        </w:r>
        <w:r>
          <w:rPr>
            <w:noProof/>
            <w:webHidden/>
          </w:rPr>
          <w:fldChar w:fldCharType="begin"/>
        </w:r>
        <w:r>
          <w:rPr>
            <w:noProof/>
            <w:webHidden/>
          </w:rPr>
          <w:instrText xml:space="preserve"> PAGEREF _Toc211587030 \h </w:instrText>
        </w:r>
        <w:r>
          <w:rPr>
            <w:noProof/>
            <w:webHidden/>
          </w:rPr>
        </w:r>
        <w:r>
          <w:rPr>
            <w:noProof/>
            <w:webHidden/>
          </w:rPr>
          <w:fldChar w:fldCharType="separate"/>
        </w:r>
        <w:r w:rsidR="009E6E1D">
          <w:rPr>
            <w:noProof/>
            <w:webHidden/>
          </w:rPr>
          <w:t>73</w:t>
        </w:r>
        <w:r>
          <w:rPr>
            <w:noProof/>
            <w:webHidden/>
          </w:rPr>
          <w:fldChar w:fldCharType="end"/>
        </w:r>
      </w:hyperlink>
    </w:p>
    <w:p w14:paraId="455BD396" w14:textId="42153BBD"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31" w:history="1">
        <w:r w:rsidRPr="003531E5">
          <w:rPr>
            <w:rStyle w:val="Hyperlink"/>
            <w:noProof/>
          </w:rPr>
          <w:t>4.2.1</w:t>
        </w:r>
        <w:r>
          <w:rPr>
            <w:rFonts w:asciiTheme="minorHAnsi" w:eastAsiaTheme="minorEastAsia" w:hAnsiTheme="minorHAnsi"/>
            <w:noProof/>
            <w:kern w:val="2"/>
            <w:sz w:val="24"/>
            <w:szCs w:val="24"/>
            <w:lang w:eastAsia="en-AU"/>
            <w14:ligatures w14:val="standardContextual"/>
          </w:rPr>
          <w:tab/>
        </w:r>
        <w:r w:rsidRPr="003531E5">
          <w:rPr>
            <w:rStyle w:val="Hyperlink"/>
            <w:noProof/>
          </w:rPr>
          <w:t>Overall employment growth</w:t>
        </w:r>
        <w:r>
          <w:rPr>
            <w:noProof/>
            <w:webHidden/>
          </w:rPr>
          <w:tab/>
        </w:r>
        <w:r>
          <w:rPr>
            <w:noProof/>
            <w:webHidden/>
          </w:rPr>
          <w:fldChar w:fldCharType="begin"/>
        </w:r>
        <w:r>
          <w:rPr>
            <w:noProof/>
            <w:webHidden/>
          </w:rPr>
          <w:instrText xml:space="preserve"> PAGEREF _Toc211587031 \h </w:instrText>
        </w:r>
        <w:r>
          <w:rPr>
            <w:noProof/>
            <w:webHidden/>
          </w:rPr>
        </w:r>
        <w:r>
          <w:rPr>
            <w:noProof/>
            <w:webHidden/>
          </w:rPr>
          <w:fldChar w:fldCharType="separate"/>
        </w:r>
        <w:r w:rsidR="009E6E1D">
          <w:rPr>
            <w:noProof/>
            <w:webHidden/>
          </w:rPr>
          <w:t>73</w:t>
        </w:r>
        <w:r>
          <w:rPr>
            <w:noProof/>
            <w:webHidden/>
          </w:rPr>
          <w:fldChar w:fldCharType="end"/>
        </w:r>
      </w:hyperlink>
    </w:p>
    <w:p w14:paraId="6ED10AD7" w14:textId="28FCD901"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32" w:history="1">
        <w:r w:rsidRPr="003531E5">
          <w:rPr>
            <w:rStyle w:val="Hyperlink"/>
            <w:noProof/>
          </w:rPr>
          <w:t>4.2.2</w:t>
        </w:r>
        <w:r>
          <w:rPr>
            <w:rFonts w:asciiTheme="minorHAnsi" w:eastAsiaTheme="minorEastAsia" w:hAnsiTheme="minorHAnsi"/>
            <w:noProof/>
            <w:kern w:val="2"/>
            <w:sz w:val="24"/>
            <w:szCs w:val="24"/>
            <w:lang w:eastAsia="en-AU"/>
            <w14:ligatures w14:val="standardContextual"/>
          </w:rPr>
          <w:tab/>
        </w:r>
        <w:r w:rsidRPr="003531E5">
          <w:rPr>
            <w:rStyle w:val="Hyperlink"/>
            <w:noProof/>
          </w:rPr>
          <w:t>Industry employment outlook</w:t>
        </w:r>
        <w:r>
          <w:rPr>
            <w:noProof/>
            <w:webHidden/>
          </w:rPr>
          <w:tab/>
        </w:r>
        <w:r>
          <w:rPr>
            <w:noProof/>
            <w:webHidden/>
          </w:rPr>
          <w:fldChar w:fldCharType="begin"/>
        </w:r>
        <w:r>
          <w:rPr>
            <w:noProof/>
            <w:webHidden/>
          </w:rPr>
          <w:instrText xml:space="preserve"> PAGEREF _Toc211587032 \h </w:instrText>
        </w:r>
        <w:r>
          <w:rPr>
            <w:noProof/>
            <w:webHidden/>
          </w:rPr>
        </w:r>
        <w:r>
          <w:rPr>
            <w:noProof/>
            <w:webHidden/>
          </w:rPr>
          <w:fldChar w:fldCharType="separate"/>
        </w:r>
        <w:r w:rsidR="009E6E1D">
          <w:rPr>
            <w:noProof/>
            <w:webHidden/>
          </w:rPr>
          <w:t>73</w:t>
        </w:r>
        <w:r>
          <w:rPr>
            <w:noProof/>
            <w:webHidden/>
          </w:rPr>
          <w:fldChar w:fldCharType="end"/>
        </w:r>
      </w:hyperlink>
    </w:p>
    <w:p w14:paraId="6499CE3E" w14:textId="19A975B1"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33" w:history="1">
        <w:r w:rsidRPr="003531E5">
          <w:rPr>
            <w:rStyle w:val="Hyperlink"/>
            <w:noProof/>
          </w:rPr>
          <w:t>4.2.3</w:t>
        </w:r>
        <w:r>
          <w:rPr>
            <w:rFonts w:asciiTheme="minorHAnsi" w:eastAsiaTheme="minorEastAsia" w:hAnsiTheme="minorHAnsi"/>
            <w:noProof/>
            <w:kern w:val="2"/>
            <w:sz w:val="24"/>
            <w:szCs w:val="24"/>
            <w:lang w:eastAsia="en-AU"/>
            <w14:ligatures w14:val="standardContextual"/>
          </w:rPr>
          <w:tab/>
        </w:r>
        <w:r w:rsidRPr="003531E5">
          <w:rPr>
            <w:rStyle w:val="Hyperlink"/>
            <w:noProof/>
          </w:rPr>
          <w:t>Employment outlook by occupation</w:t>
        </w:r>
        <w:r>
          <w:rPr>
            <w:noProof/>
            <w:webHidden/>
          </w:rPr>
          <w:tab/>
        </w:r>
        <w:r>
          <w:rPr>
            <w:noProof/>
            <w:webHidden/>
          </w:rPr>
          <w:fldChar w:fldCharType="begin"/>
        </w:r>
        <w:r>
          <w:rPr>
            <w:noProof/>
            <w:webHidden/>
          </w:rPr>
          <w:instrText xml:space="preserve"> PAGEREF _Toc211587033 \h </w:instrText>
        </w:r>
        <w:r>
          <w:rPr>
            <w:noProof/>
            <w:webHidden/>
          </w:rPr>
        </w:r>
        <w:r>
          <w:rPr>
            <w:noProof/>
            <w:webHidden/>
          </w:rPr>
          <w:fldChar w:fldCharType="separate"/>
        </w:r>
        <w:r w:rsidR="009E6E1D">
          <w:rPr>
            <w:noProof/>
            <w:webHidden/>
          </w:rPr>
          <w:t>75</w:t>
        </w:r>
        <w:r>
          <w:rPr>
            <w:noProof/>
            <w:webHidden/>
          </w:rPr>
          <w:fldChar w:fldCharType="end"/>
        </w:r>
      </w:hyperlink>
    </w:p>
    <w:p w14:paraId="7B8A0F57" w14:textId="5ACF0D9D"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34" w:history="1">
        <w:r w:rsidRPr="003531E5">
          <w:rPr>
            <w:rStyle w:val="Hyperlink"/>
            <w:noProof/>
          </w:rPr>
          <w:t>4.2.4</w:t>
        </w:r>
        <w:r>
          <w:rPr>
            <w:rFonts w:asciiTheme="minorHAnsi" w:eastAsiaTheme="minorEastAsia" w:hAnsiTheme="minorHAnsi"/>
            <w:noProof/>
            <w:kern w:val="2"/>
            <w:sz w:val="24"/>
            <w:szCs w:val="24"/>
            <w:lang w:eastAsia="en-AU"/>
            <w14:ligatures w14:val="standardContextual"/>
          </w:rPr>
          <w:tab/>
        </w:r>
        <w:r w:rsidRPr="003531E5">
          <w:rPr>
            <w:rStyle w:val="Hyperlink"/>
            <w:noProof/>
          </w:rPr>
          <w:t>Employment outlook for states and territories</w:t>
        </w:r>
        <w:r>
          <w:rPr>
            <w:noProof/>
            <w:webHidden/>
          </w:rPr>
          <w:tab/>
        </w:r>
        <w:r>
          <w:rPr>
            <w:noProof/>
            <w:webHidden/>
          </w:rPr>
          <w:fldChar w:fldCharType="begin"/>
        </w:r>
        <w:r>
          <w:rPr>
            <w:noProof/>
            <w:webHidden/>
          </w:rPr>
          <w:instrText xml:space="preserve"> PAGEREF _Toc211587034 \h </w:instrText>
        </w:r>
        <w:r>
          <w:rPr>
            <w:noProof/>
            <w:webHidden/>
          </w:rPr>
        </w:r>
        <w:r>
          <w:rPr>
            <w:noProof/>
            <w:webHidden/>
          </w:rPr>
          <w:fldChar w:fldCharType="separate"/>
        </w:r>
        <w:r w:rsidR="009E6E1D">
          <w:rPr>
            <w:noProof/>
            <w:webHidden/>
          </w:rPr>
          <w:t>76</w:t>
        </w:r>
        <w:r>
          <w:rPr>
            <w:noProof/>
            <w:webHidden/>
          </w:rPr>
          <w:fldChar w:fldCharType="end"/>
        </w:r>
      </w:hyperlink>
    </w:p>
    <w:p w14:paraId="7A7B6F3E" w14:textId="3C8718C0"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35" w:history="1">
        <w:r w:rsidRPr="003531E5">
          <w:rPr>
            <w:rStyle w:val="Hyperlink"/>
            <w:noProof/>
          </w:rPr>
          <w:t>4.2.5</w:t>
        </w:r>
        <w:r>
          <w:rPr>
            <w:rFonts w:asciiTheme="minorHAnsi" w:eastAsiaTheme="minorEastAsia" w:hAnsiTheme="minorHAnsi"/>
            <w:noProof/>
            <w:kern w:val="2"/>
            <w:sz w:val="24"/>
            <w:szCs w:val="24"/>
            <w:lang w:eastAsia="en-AU"/>
            <w14:ligatures w14:val="standardContextual"/>
          </w:rPr>
          <w:tab/>
        </w:r>
        <w:r w:rsidRPr="003531E5">
          <w:rPr>
            <w:rStyle w:val="Hyperlink"/>
            <w:noProof/>
          </w:rPr>
          <w:t>Employment outlook by skill level</w:t>
        </w:r>
        <w:r>
          <w:rPr>
            <w:noProof/>
            <w:webHidden/>
          </w:rPr>
          <w:tab/>
        </w:r>
        <w:r>
          <w:rPr>
            <w:noProof/>
            <w:webHidden/>
          </w:rPr>
          <w:fldChar w:fldCharType="begin"/>
        </w:r>
        <w:r>
          <w:rPr>
            <w:noProof/>
            <w:webHidden/>
          </w:rPr>
          <w:instrText xml:space="preserve"> PAGEREF _Toc211587035 \h </w:instrText>
        </w:r>
        <w:r>
          <w:rPr>
            <w:noProof/>
            <w:webHidden/>
          </w:rPr>
        </w:r>
        <w:r>
          <w:rPr>
            <w:noProof/>
            <w:webHidden/>
          </w:rPr>
          <w:fldChar w:fldCharType="separate"/>
        </w:r>
        <w:r w:rsidR="009E6E1D">
          <w:rPr>
            <w:noProof/>
            <w:webHidden/>
          </w:rPr>
          <w:t>77</w:t>
        </w:r>
        <w:r>
          <w:rPr>
            <w:noProof/>
            <w:webHidden/>
          </w:rPr>
          <w:fldChar w:fldCharType="end"/>
        </w:r>
      </w:hyperlink>
    </w:p>
    <w:p w14:paraId="6C679A6D" w14:textId="519A8E0B"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36" w:history="1">
        <w:r w:rsidRPr="003531E5">
          <w:rPr>
            <w:rStyle w:val="Hyperlink"/>
            <w:noProof/>
          </w:rPr>
          <w:t>4.2.6</w:t>
        </w:r>
        <w:r>
          <w:rPr>
            <w:rFonts w:asciiTheme="minorHAnsi" w:eastAsiaTheme="minorEastAsia" w:hAnsiTheme="minorHAnsi"/>
            <w:noProof/>
            <w:kern w:val="2"/>
            <w:sz w:val="24"/>
            <w:szCs w:val="24"/>
            <w:lang w:eastAsia="en-AU"/>
            <w14:ligatures w14:val="standardContextual"/>
          </w:rPr>
          <w:tab/>
        </w:r>
        <w:r w:rsidRPr="003531E5">
          <w:rPr>
            <w:rStyle w:val="Hyperlink"/>
            <w:noProof/>
          </w:rPr>
          <w:t>The impacts of education on the employment outlook</w:t>
        </w:r>
        <w:r>
          <w:rPr>
            <w:noProof/>
            <w:webHidden/>
          </w:rPr>
          <w:tab/>
        </w:r>
        <w:r>
          <w:rPr>
            <w:noProof/>
            <w:webHidden/>
          </w:rPr>
          <w:fldChar w:fldCharType="begin"/>
        </w:r>
        <w:r>
          <w:rPr>
            <w:noProof/>
            <w:webHidden/>
          </w:rPr>
          <w:instrText xml:space="preserve"> PAGEREF _Toc211587036 \h </w:instrText>
        </w:r>
        <w:r>
          <w:rPr>
            <w:noProof/>
            <w:webHidden/>
          </w:rPr>
        </w:r>
        <w:r>
          <w:rPr>
            <w:noProof/>
            <w:webHidden/>
          </w:rPr>
          <w:fldChar w:fldCharType="separate"/>
        </w:r>
        <w:r w:rsidR="009E6E1D">
          <w:rPr>
            <w:noProof/>
            <w:webHidden/>
          </w:rPr>
          <w:t>78</w:t>
        </w:r>
        <w:r>
          <w:rPr>
            <w:noProof/>
            <w:webHidden/>
          </w:rPr>
          <w:fldChar w:fldCharType="end"/>
        </w:r>
      </w:hyperlink>
    </w:p>
    <w:p w14:paraId="5D9C4002" w14:textId="37E1A8BD"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7037" w:history="1">
        <w:r w:rsidRPr="003531E5">
          <w:rPr>
            <w:rStyle w:val="Hyperlink"/>
            <w:noProof/>
          </w:rPr>
          <w:t>4.3</w:t>
        </w:r>
        <w:r>
          <w:rPr>
            <w:rFonts w:asciiTheme="minorHAnsi" w:eastAsiaTheme="minorEastAsia" w:hAnsiTheme="minorHAnsi"/>
            <w:b w:val="0"/>
            <w:noProof/>
            <w:kern w:val="2"/>
            <w:sz w:val="24"/>
            <w:szCs w:val="24"/>
            <w:lang w:eastAsia="en-AU"/>
            <w14:ligatures w14:val="standardContextual"/>
          </w:rPr>
          <w:tab/>
        </w:r>
        <w:r w:rsidRPr="003531E5">
          <w:rPr>
            <w:rStyle w:val="Hyperlink"/>
            <w:noProof/>
          </w:rPr>
          <w:t>Emerging technology</w:t>
        </w:r>
        <w:r>
          <w:rPr>
            <w:noProof/>
            <w:webHidden/>
          </w:rPr>
          <w:tab/>
        </w:r>
        <w:r>
          <w:rPr>
            <w:noProof/>
            <w:webHidden/>
          </w:rPr>
          <w:fldChar w:fldCharType="begin"/>
        </w:r>
        <w:r>
          <w:rPr>
            <w:noProof/>
            <w:webHidden/>
          </w:rPr>
          <w:instrText xml:space="preserve"> PAGEREF _Toc211587037 \h </w:instrText>
        </w:r>
        <w:r>
          <w:rPr>
            <w:noProof/>
            <w:webHidden/>
          </w:rPr>
        </w:r>
        <w:r>
          <w:rPr>
            <w:noProof/>
            <w:webHidden/>
          </w:rPr>
          <w:fldChar w:fldCharType="separate"/>
        </w:r>
        <w:r w:rsidR="009E6E1D">
          <w:rPr>
            <w:noProof/>
            <w:webHidden/>
          </w:rPr>
          <w:t>81</w:t>
        </w:r>
        <w:r>
          <w:rPr>
            <w:noProof/>
            <w:webHidden/>
          </w:rPr>
          <w:fldChar w:fldCharType="end"/>
        </w:r>
      </w:hyperlink>
    </w:p>
    <w:p w14:paraId="4E5062AB" w14:textId="66D1E42B"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38" w:history="1">
        <w:r w:rsidRPr="003531E5">
          <w:rPr>
            <w:rStyle w:val="Hyperlink"/>
            <w:noProof/>
          </w:rPr>
          <w:t>4.3.1</w:t>
        </w:r>
        <w:r>
          <w:rPr>
            <w:rFonts w:asciiTheme="minorHAnsi" w:eastAsiaTheme="minorEastAsia" w:hAnsiTheme="minorHAnsi"/>
            <w:noProof/>
            <w:kern w:val="2"/>
            <w:sz w:val="24"/>
            <w:szCs w:val="24"/>
            <w:lang w:eastAsia="en-AU"/>
            <w14:ligatures w14:val="standardContextual"/>
          </w:rPr>
          <w:tab/>
        </w:r>
        <w:r w:rsidRPr="003531E5">
          <w:rPr>
            <w:rStyle w:val="Hyperlink"/>
            <w:noProof/>
          </w:rPr>
          <w:t>Artificial intelligence – insights from the Gen AI capacity study</w:t>
        </w:r>
        <w:r>
          <w:rPr>
            <w:noProof/>
            <w:webHidden/>
          </w:rPr>
          <w:tab/>
        </w:r>
        <w:r>
          <w:rPr>
            <w:noProof/>
            <w:webHidden/>
          </w:rPr>
          <w:fldChar w:fldCharType="begin"/>
        </w:r>
        <w:r>
          <w:rPr>
            <w:noProof/>
            <w:webHidden/>
          </w:rPr>
          <w:instrText xml:space="preserve"> PAGEREF _Toc211587038 \h </w:instrText>
        </w:r>
        <w:r>
          <w:rPr>
            <w:noProof/>
            <w:webHidden/>
          </w:rPr>
        </w:r>
        <w:r>
          <w:rPr>
            <w:noProof/>
            <w:webHidden/>
          </w:rPr>
          <w:fldChar w:fldCharType="separate"/>
        </w:r>
        <w:r w:rsidR="009E6E1D">
          <w:rPr>
            <w:noProof/>
            <w:webHidden/>
          </w:rPr>
          <w:t>81</w:t>
        </w:r>
        <w:r>
          <w:rPr>
            <w:noProof/>
            <w:webHidden/>
          </w:rPr>
          <w:fldChar w:fldCharType="end"/>
        </w:r>
      </w:hyperlink>
    </w:p>
    <w:p w14:paraId="7CE62112" w14:textId="2011421A"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7039" w:history="1">
        <w:r w:rsidRPr="003531E5">
          <w:rPr>
            <w:rStyle w:val="Hyperlink"/>
            <w:noProof/>
          </w:rPr>
          <w:t>4.4</w:t>
        </w:r>
        <w:r>
          <w:rPr>
            <w:rFonts w:asciiTheme="minorHAnsi" w:eastAsiaTheme="minorEastAsia" w:hAnsiTheme="minorHAnsi"/>
            <w:b w:val="0"/>
            <w:noProof/>
            <w:kern w:val="2"/>
            <w:sz w:val="24"/>
            <w:szCs w:val="24"/>
            <w:lang w:eastAsia="en-AU"/>
            <w14:ligatures w14:val="standardContextual"/>
          </w:rPr>
          <w:tab/>
        </w:r>
        <w:r w:rsidRPr="003531E5">
          <w:rPr>
            <w:rStyle w:val="Hyperlink"/>
            <w:noProof/>
          </w:rPr>
          <w:t>Key points from chapter four</w:t>
        </w:r>
        <w:r>
          <w:rPr>
            <w:noProof/>
            <w:webHidden/>
          </w:rPr>
          <w:tab/>
        </w:r>
        <w:r>
          <w:rPr>
            <w:noProof/>
            <w:webHidden/>
          </w:rPr>
          <w:fldChar w:fldCharType="begin"/>
        </w:r>
        <w:r>
          <w:rPr>
            <w:noProof/>
            <w:webHidden/>
          </w:rPr>
          <w:instrText xml:space="preserve"> PAGEREF _Toc211587039 \h </w:instrText>
        </w:r>
        <w:r>
          <w:rPr>
            <w:noProof/>
            <w:webHidden/>
          </w:rPr>
        </w:r>
        <w:r>
          <w:rPr>
            <w:noProof/>
            <w:webHidden/>
          </w:rPr>
          <w:fldChar w:fldCharType="separate"/>
        </w:r>
        <w:r w:rsidR="009E6E1D">
          <w:rPr>
            <w:noProof/>
            <w:webHidden/>
          </w:rPr>
          <w:t>84</w:t>
        </w:r>
        <w:r>
          <w:rPr>
            <w:noProof/>
            <w:webHidden/>
          </w:rPr>
          <w:fldChar w:fldCharType="end"/>
        </w:r>
      </w:hyperlink>
    </w:p>
    <w:p w14:paraId="5D5E6DF2" w14:textId="77777777" w:rsidR="001B151E" w:rsidRDefault="001B151E">
      <w:pPr>
        <w:rPr>
          <w:rStyle w:val="Hyperlink"/>
          <w:b/>
          <w:noProof/>
        </w:rPr>
      </w:pPr>
      <w:r>
        <w:rPr>
          <w:rStyle w:val="Hyperlink"/>
          <w:noProof/>
        </w:rPr>
        <w:br w:type="page"/>
      </w:r>
    </w:p>
    <w:p w14:paraId="238F9F69" w14:textId="13B18F82" w:rsidR="001B151E" w:rsidRDefault="001B151E">
      <w:pPr>
        <w:pStyle w:val="TOC1"/>
        <w:rPr>
          <w:rFonts w:asciiTheme="minorHAnsi" w:eastAsiaTheme="minorEastAsia" w:hAnsiTheme="minorHAnsi"/>
          <w:b w:val="0"/>
          <w:noProof/>
          <w:color w:val="auto"/>
          <w:kern w:val="2"/>
          <w:sz w:val="24"/>
          <w:szCs w:val="24"/>
          <w:lang w:eastAsia="en-AU"/>
          <w14:ligatures w14:val="standardContextual"/>
        </w:rPr>
      </w:pPr>
      <w:hyperlink w:anchor="_Toc211587040" w:history="1">
        <w:r w:rsidRPr="003531E5">
          <w:rPr>
            <w:rStyle w:val="Hyperlink"/>
            <w:noProof/>
          </w:rPr>
          <w:t>Chapter 5</w:t>
        </w:r>
        <w:r>
          <w:rPr>
            <w:rFonts w:asciiTheme="minorHAnsi" w:eastAsiaTheme="minorEastAsia" w:hAnsiTheme="minorHAnsi"/>
            <w:b w:val="0"/>
            <w:noProof/>
            <w:color w:val="auto"/>
            <w:kern w:val="2"/>
            <w:sz w:val="24"/>
            <w:szCs w:val="24"/>
            <w:lang w:eastAsia="en-AU"/>
            <w14:ligatures w14:val="standardContextual"/>
          </w:rPr>
          <w:tab/>
        </w:r>
        <w:r w:rsidRPr="003531E5">
          <w:rPr>
            <w:rStyle w:val="Hyperlink"/>
            <w:noProof/>
          </w:rPr>
          <w:t>Improved matching and the skills system</w:t>
        </w:r>
        <w:r>
          <w:rPr>
            <w:noProof/>
            <w:webHidden/>
          </w:rPr>
          <w:tab/>
        </w:r>
        <w:r>
          <w:rPr>
            <w:noProof/>
            <w:webHidden/>
          </w:rPr>
          <w:fldChar w:fldCharType="begin"/>
        </w:r>
        <w:r>
          <w:rPr>
            <w:noProof/>
            <w:webHidden/>
          </w:rPr>
          <w:instrText xml:space="preserve"> PAGEREF _Toc211587040 \h </w:instrText>
        </w:r>
        <w:r>
          <w:rPr>
            <w:noProof/>
            <w:webHidden/>
          </w:rPr>
        </w:r>
        <w:r>
          <w:rPr>
            <w:noProof/>
            <w:webHidden/>
          </w:rPr>
          <w:fldChar w:fldCharType="separate"/>
        </w:r>
        <w:r w:rsidR="009E6E1D">
          <w:rPr>
            <w:noProof/>
            <w:webHidden/>
          </w:rPr>
          <w:t>87</w:t>
        </w:r>
        <w:r>
          <w:rPr>
            <w:noProof/>
            <w:webHidden/>
          </w:rPr>
          <w:fldChar w:fldCharType="end"/>
        </w:r>
      </w:hyperlink>
    </w:p>
    <w:p w14:paraId="57E339F6" w14:textId="7BB6FBE7"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7041" w:history="1">
        <w:r w:rsidRPr="003531E5">
          <w:rPr>
            <w:rStyle w:val="Hyperlink"/>
            <w:noProof/>
          </w:rPr>
          <w:t>5.1</w:t>
        </w:r>
        <w:r>
          <w:rPr>
            <w:rFonts w:asciiTheme="minorHAnsi" w:eastAsiaTheme="minorEastAsia" w:hAnsiTheme="minorHAnsi"/>
            <w:b w:val="0"/>
            <w:noProof/>
            <w:kern w:val="2"/>
            <w:sz w:val="24"/>
            <w:szCs w:val="24"/>
            <w:lang w:eastAsia="en-AU"/>
            <w14:ligatures w14:val="standardContextual"/>
          </w:rPr>
          <w:tab/>
        </w:r>
        <w:r w:rsidRPr="003531E5">
          <w:rPr>
            <w:rStyle w:val="Hyperlink"/>
            <w:noProof/>
          </w:rPr>
          <w:t>Outcomes in the current system</w:t>
        </w:r>
        <w:r>
          <w:rPr>
            <w:noProof/>
            <w:webHidden/>
          </w:rPr>
          <w:tab/>
        </w:r>
        <w:r>
          <w:rPr>
            <w:noProof/>
            <w:webHidden/>
          </w:rPr>
          <w:fldChar w:fldCharType="begin"/>
        </w:r>
        <w:r>
          <w:rPr>
            <w:noProof/>
            <w:webHidden/>
          </w:rPr>
          <w:instrText xml:space="preserve"> PAGEREF _Toc211587041 \h </w:instrText>
        </w:r>
        <w:r>
          <w:rPr>
            <w:noProof/>
            <w:webHidden/>
          </w:rPr>
        </w:r>
        <w:r>
          <w:rPr>
            <w:noProof/>
            <w:webHidden/>
          </w:rPr>
          <w:fldChar w:fldCharType="separate"/>
        </w:r>
        <w:r w:rsidR="009E6E1D">
          <w:rPr>
            <w:noProof/>
            <w:webHidden/>
          </w:rPr>
          <w:t>87</w:t>
        </w:r>
        <w:r>
          <w:rPr>
            <w:noProof/>
            <w:webHidden/>
          </w:rPr>
          <w:fldChar w:fldCharType="end"/>
        </w:r>
      </w:hyperlink>
    </w:p>
    <w:p w14:paraId="433382C2" w14:textId="0B2AF741"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42" w:history="1">
        <w:r w:rsidRPr="003531E5">
          <w:rPr>
            <w:rStyle w:val="Hyperlink"/>
            <w:noProof/>
          </w:rPr>
          <w:t>5.1.1</w:t>
        </w:r>
        <w:r>
          <w:rPr>
            <w:rFonts w:asciiTheme="minorHAnsi" w:eastAsiaTheme="minorEastAsia" w:hAnsiTheme="minorHAnsi"/>
            <w:noProof/>
            <w:kern w:val="2"/>
            <w:sz w:val="24"/>
            <w:szCs w:val="24"/>
            <w:lang w:eastAsia="en-AU"/>
            <w14:ligatures w14:val="standardContextual"/>
          </w:rPr>
          <w:tab/>
        </w:r>
        <w:r w:rsidRPr="003531E5">
          <w:rPr>
            <w:rStyle w:val="Hyperlink"/>
            <w:noProof/>
          </w:rPr>
          <w:t>Understanding VET outcomes</w:t>
        </w:r>
        <w:r>
          <w:rPr>
            <w:noProof/>
            <w:webHidden/>
          </w:rPr>
          <w:tab/>
        </w:r>
        <w:r>
          <w:rPr>
            <w:noProof/>
            <w:webHidden/>
          </w:rPr>
          <w:fldChar w:fldCharType="begin"/>
        </w:r>
        <w:r>
          <w:rPr>
            <w:noProof/>
            <w:webHidden/>
          </w:rPr>
          <w:instrText xml:space="preserve"> PAGEREF _Toc211587042 \h </w:instrText>
        </w:r>
        <w:r>
          <w:rPr>
            <w:noProof/>
            <w:webHidden/>
          </w:rPr>
        </w:r>
        <w:r>
          <w:rPr>
            <w:noProof/>
            <w:webHidden/>
          </w:rPr>
          <w:fldChar w:fldCharType="separate"/>
        </w:r>
        <w:r w:rsidR="009E6E1D">
          <w:rPr>
            <w:noProof/>
            <w:webHidden/>
          </w:rPr>
          <w:t>88</w:t>
        </w:r>
        <w:r>
          <w:rPr>
            <w:noProof/>
            <w:webHidden/>
          </w:rPr>
          <w:fldChar w:fldCharType="end"/>
        </w:r>
      </w:hyperlink>
    </w:p>
    <w:p w14:paraId="2A2C3800" w14:textId="0E2553BF"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43" w:history="1">
        <w:r w:rsidRPr="003531E5">
          <w:rPr>
            <w:rStyle w:val="Hyperlink"/>
            <w:noProof/>
          </w:rPr>
          <w:t>5.1.2</w:t>
        </w:r>
        <w:r>
          <w:rPr>
            <w:rFonts w:asciiTheme="minorHAnsi" w:eastAsiaTheme="minorEastAsia" w:hAnsiTheme="minorHAnsi"/>
            <w:noProof/>
            <w:kern w:val="2"/>
            <w:sz w:val="24"/>
            <w:szCs w:val="24"/>
            <w:lang w:eastAsia="en-AU"/>
            <w14:ligatures w14:val="standardContextual"/>
          </w:rPr>
          <w:tab/>
        </w:r>
        <w:r w:rsidRPr="003531E5">
          <w:rPr>
            <w:rStyle w:val="Hyperlink"/>
            <w:noProof/>
          </w:rPr>
          <w:t>Lifting the hood on apprenticeships and traineeships</w:t>
        </w:r>
        <w:r>
          <w:rPr>
            <w:noProof/>
            <w:webHidden/>
          </w:rPr>
          <w:tab/>
        </w:r>
        <w:r>
          <w:rPr>
            <w:noProof/>
            <w:webHidden/>
          </w:rPr>
          <w:fldChar w:fldCharType="begin"/>
        </w:r>
        <w:r>
          <w:rPr>
            <w:noProof/>
            <w:webHidden/>
          </w:rPr>
          <w:instrText xml:space="preserve"> PAGEREF _Toc211587043 \h </w:instrText>
        </w:r>
        <w:r>
          <w:rPr>
            <w:noProof/>
            <w:webHidden/>
          </w:rPr>
        </w:r>
        <w:r>
          <w:rPr>
            <w:noProof/>
            <w:webHidden/>
          </w:rPr>
          <w:fldChar w:fldCharType="separate"/>
        </w:r>
        <w:r w:rsidR="009E6E1D">
          <w:rPr>
            <w:noProof/>
            <w:webHidden/>
          </w:rPr>
          <w:t>90</w:t>
        </w:r>
        <w:r>
          <w:rPr>
            <w:noProof/>
            <w:webHidden/>
          </w:rPr>
          <w:fldChar w:fldCharType="end"/>
        </w:r>
      </w:hyperlink>
    </w:p>
    <w:p w14:paraId="7D6D2493" w14:textId="30B2D350"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44" w:history="1">
        <w:r w:rsidRPr="003531E5">
          <w:rPr>
            <w:rStyle w:val="Hyperlink"/>
            <w:noProof/>
          </w:rPr>
          <w:t>5.1.3</w:t>
        </w:r>
        <w:r>
          <w:rPr>
            <w:rFonts w:asciiTheme="minorHAnsi" w:eastAsiaTheme="minorEastAsia" w:hAnsiTheme="minorHAnsi"/>
            <w:noProof/>
            <w:kern w:val="2"/>
            <w:sz w:val="24"/>
            <w:szCs w:val="24"/>
            <w:lang w:eastAsia="en-AU"/>
            <w14:ligatures w14:val="standardContextual"/>
          </w:rPr>
          <w:tab/>
        </w:r>
        <w:r w:rsidRPr="003531E5">
          <w:rPr>
            <w:rStyle w:val="Hyperlink"/>
            <w:noProof/>
          </w:rPr>
          <w:t>Understanding higher education outcomes</w:t>
        </w:r>
        <w:r>
          <w:rPr>
            <w:noProof/>
            <w:webHidden/>
          </w:rPr>
          <w:tab/>
        </w:r>
        <w:r>
          <w:rPr>
            <w:noProof/>
            <w:webHidden/>
          </w:rPr>
          <w:fldChar w:fldCharType="begin"/>
        </w:r>
        <w:r>
          <w:rPr>
            <w:noProof/>
            <w:webHidden/>
          </w:rPr>
          <w:instrText xml:space="preserve"> PAGEREF _Toc211587044 \h </w:instrText>
        </w:r>
        <w:r>
          <w:rPr>
            <w:noProof/>
            <w:webHidden/>
          </w:rPr>
        </w:r>
        <w:r>
          <w:rPr>
            <w:noProof/>
            <w:webHidden/>
          </w:rPr>
          <w:fldChar w:fldCharType="separate"/>
        </w:r>
        <w:r w:rsidR="009E6E1D">
          <w:rPr>
            <w:noProof/>
            <w:webHidden/>
          </w:rPr>
          <w:t>96</w:t>
        </w:r>
        <w:r>
          <w:rPr>
            <w:noProof/>
            <w:webHidden/>
          </w:rPr>
          <w:fldChar w:fldCharType="end"/>
        </w:r>
      </w:hyperlink>
    </w:p>
    <w:p w14:paraId="5F210DAB" w14:textId="51A67E69"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45" w:history="1">
        <w:r w:rsidRPr="003531E5">
          <w:rPr>
            <w:rStyle w:val="Hyperlink"/>
            <w:noProof/>
          </w:rPr>
          <w:t>5.1.4</w:t>
        </w:r>
        <w:r>
          <w:rPr>
            <w:rFonts w:asciiTheme="minorHAnsi" w:eastAsiaTheme="minorEastAsia" w:hAnsiTheme="minorHAnsi"/>
            <w:noProof/>
            <w:kern w:val="2"/>
            <w:sz w:val="24"/>
            <w:szCs w:val="24"/>
            <w:lang w:eastAsia="en-AU"/>
            <w14:ligatures w14:val="standardContextual"/>
          </w:rPr>
          <w:tab/>
        </w:r>
        <w:r w:rsidRPr="003531E5">
          <w:rPr>
            <w:rStyle w:val="Hyperlink"/>
            <w:noProof/>
          </w:rPr>
          <w:t>Pathways between VET and higher education</w:t>
        </w:r>
        <w:r>
          <w:rPr>
            <w:noProof/>
            <w:webHidden/>
          </w:rPr>
          <w:tab/>
        </w:r>
        <w:r>
          <w:rPr>
            <w:noProof/>
            <w:webHidden/>
          </w:rPr>
          <w:fldChar w:fldCharType="begin"/>
        </w:r>
        <w:r>
          <w:rPr>
            <w:noProof/>
            <w:webHidden/>
          </w:rPr>
          <w:instrText xml:space="preserve"> PAGEREF _Toc211587045 \h </w:instrText>
        </w:r>
        <w:r>
          <w:rPr>
            <w:noProof/>
            <w:webHidden/>
          </w:rPr>
        </w:r>
        <w:r>
          <w:rPr>
            <w:noProof/>
            <w:webHidden/>
          </w:rPr>
          <w:fldChar w:fldCharType="separate"/>
        </w:r>
        <w:r w:rsidR="009E6E1D">
          <w:rPr>
            <w:noProof/>
            <w:webHidden/>
          </w:rPr>
          <w:t>100</w:t>
        </w:r>
        <w:r>
          <w:rPr>
            <w:noProof/>
            <w:webHidden/>
          </w:rPr>
          <w:fldChar w:fldCharType="end"/>
        </w:r>
      </w:hyperlink>
    </w:p>
    <w:p w14:paraId="1216331D" w14:textId="3A6C0FFD"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7046" w:history="1">
        <w:r w:rsidRPr="003531E5">
          <w:rPr>
            <w:rStyle w:val="Hyperlink"/>
            <w:noProof/>
          </w:rPr>
          <w:t>5.2</w:t>
        </w:r>
        <w:r>
          <w:rPr>
            <w:rFonts w:asciiTheme="minorHAnsi" w:eastAsiaTheme="minorEastAsia" w:hAnsiTheme="minorHAnsi"/>
            <w:b w:val="0"/>
            <w:noProof/>
            <w:kern w:val="2"/>
            <w:sz w:val="24"/>
            <w:szCs w:val="24"/>
            <w:lang w:eastAsia="en-AU"/>
            <w14:ligatures w14:val="standardContextual"/>
          </w:rPr>
          <w:tab/>
        </w:r>
        <w:r w:rsidRPr="003531E5">
          <w:rPr>
            <w:rStyle w:val="Hyperlink"/>
            <w:noProof/>
          </w:rPr>
          <w:t>Supporting the system to work better together</w:t>
        </w:r>
        <w:r>
          <w:rPr>
            <w:noProof/>
            <w:webHidden/>
          </w:rPr>
          <w:tab/>
        </w:r>
        <w:r>
          <w:rPr>
            <w:noProof/>
            <w:webHidden/>
          </w:rPr>
          <w:fldChar w:fldCharType="begin"/>
        </w:r>
        <w:r>
          <w:rPr>
            <w:noProof/>
            <w:webHidden/>
          </w:rPr>
          <w:instrText xml:space="preserve"> PAGEREF _Toc211587046 \h </w:instrText>
        </w:r>
        <w:r>
          <w:rPr>
            <w:noProof/>
            <w:webHidden/>
          </w:rPr>
        </w:r>
        <w:r>
          <w:rPr>
            <w:noProof/>
            <w:webHidden/>
          </w:rPr>
          <w:fldChar w:fldCharType="separate"/>
        </w:r>
        <w:r w:rsidR="009E6E1D">
          <w:rPr>
            <w:noProof/>
            <w:webHidden/>
          </w:rPr>
          <w:t>104</w:t>
        </w:r>
        <w:r>
          <w:rPr>
            <w:noProof/>
            <w:webHidden/>
          </w:rPr>
          <w:fldChar w:fldCharType="end"/>
        </w:r>
      </w:hyperlink>
    </w:p>
    <w:p w14:paraId="78B398C7" w14:textId="5B1E44F1"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47" w:history="1">
        <w:r w:rsidRPr="003531E5">
          <w:rPr>
            <w:rStyle w:val="Hyperlink"/>
            <w:rFonts w:eastAsia="Calibri"/>
            <w:noProof/>
          </w:rPr>
          <w:t>5.2.1</w:t>
        </w:r>
        <w:r>
          <w:rPr>
            <w:rFonts w:asciiTheme="minorHAnsi" w:eastAsiaTheme="minorEastAsia" w:hAnsiTheme="minorHAnsi"/>
            <w:noProof/>
            <w:kern w:val="2"/>
            <w:sz w:val="24"/>
            <w:szCs w:val="24"/>
            <w:lang w:eastAsia="en-AU"/>
            <w14:ligatures w14:val="standardContextual"/>
          </w:rPr>
          <w:tab/>
        </w:r>
        <w:r w:rsidRPr="003531E5">
          <w:rPr>
            <w:rStyle w:val="Hyperlink"/>
            <w:noProof/>
          </w:rPr>
          <w:t>Tertiary harmonisation</w:t>
        </w:r>
        <w:r>
          <w:rPr>
            <w:noProof/>
            <w:webHidden/>
          </w:rPr>
          <w:tab/>
        </w:r>
        <w:r>
          <w:rPr>
            <w:noProof/>
            <w:webHidden/>
          </w:rPr>
          <w:fldChar w:fldCharType="begin"/>
        </w:r>
        <w:r>
          <w:rPr>
            <w:noProof/>
            <w:webHidden/>
          </w:rPr>
          <w:instrText xml:space="preserve"> PAGEREF _Toc211587047 \h </w:instrText>
        </w:r>
        <w:r>
          <w:rPr>
            <w:noProof/>
            <w:webHidden/>
          </w:rPr>
        </w:r>
        <w:r>
          <w:rPr>
            <w:noProof/>
            <w:webHidden/>
          </w:rPr>
          <w:fldChar w:fldCharType="separate"/>
        </w:r>
        <w:r w:rsidR="009E6E1D">
          <w:rPr>
            <w:noProof/>
            <w:webHidden/>
          </w:rPr>
          <w:t>104</w:t>
        </w:r>
        <w:r>
          <w:rPr>
            <w:noProof/>
            <w:webHidden/>
          </w:rPr>
          <w:fldChar w:fldCharType="end"/>
        </w:r>
      </w:hyperlink>
    </w:p>
    <w:p w14:paraId="1CF901CE" w14:textId="5ED4B504"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48" w:history="1">
        <w:r w:rsidRPr="003531E5">
          <w:rPr>
            <w:rStyle w:val="Hyperlink"/>
            <w:noProof/>
          </w:rPr>
          <w:t>5.2.2</w:t>
        </w:r>
        <w:r>
          <w:rPr>
            <w:rFonts w:asciiTheme="minorHAnsi" w:eastAsiaTheme="minorEastAsia" w:hAnsiTheme="minorHAnsi"/>
            <w:noProof/>
            <w:kern w:val="2"/>
            <w:sz w:val="24"/>
            <w:szCs w:val="24"/>
            <w:lang w:eastAsia="en-AU"/>
            <w14:ligatures w14:val="standardContextual"/>
          </w:rPr>
          <w:tab/>
        </w:r>
        <w:r w:rsidRPr="003531E5">
          <w:rPr>
            <w:rStyle w:val="Hyperlink"/>
            <w:noProof/>
          </w:rPr>
          <w:t>National Skills Taxonomy</w:t>
        </w:r>
        <w:r>
          <w:rPr>
            <w:noProof/>
            <w:webHidden/>
          </w:rPr>
          <w:tab/>
        </w:r>
        <w:r>
          <w:rPr>
            <w:noProof/>
            <w:webHidden/>
          </w:rPr>
          <w:fldChar w:fldCharType="begin"/>
        </w:r>
        <w:r>
          <w:rPr>
            <w:noProof/>
            <w:webHidden/>
          </w:rPr>
          <w:instrText xml:space="preserve"> PAGEREF _Toc211587048 \h </w:instrText>
        </w:r>
        <w:r>
          <w:rPr>
            <w:noProof/>
            <w:webHidden/>
          </w:rPr>
        </w:r>
        <w:r>
          <w:rPr>
            <w:noProof/>
            <w:webHidden/>
          </w:rPr>
          <w:fldChar w:fldCharType="separate"/>
        </w:r>
        <w:r w:rsidR="009E6E1D">
          <w:rPr>
            <w:noProof/>
            <w:webHidden/>
          </w:rPr>
          <w:t>107</w:t>
        </w:r>
        <w:r>
          <w:rPr>
            <w:noProof/>
            <w:webHidden/>
          </w:rPr>
          <w:fldChar w:fldCharType="end"/>
        </w:r>
      </w:hyperlink>
    </w:p>
    <w:p w14:paraId="17C70AE3" w14:textId="7B6A47FA"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7049" w:history="1">
        <w:r w:rsidRPr="003531E5">
          <w:rPr>
            <w:rStyle w:val="Hyperlink"/>
            <w:noProof/>
          </w:rPr>
          <w:t>5.3</w:t>
        </w:r>
        <w:r>
          <w:rPr>
            <w:rFonts w:asciiTheme="minorHAnsi" w:eastAsiaTheme="minorEastAsia" w:hAnsiTheme="minorHAnsi"/>
            <w:b w:val="0"/>
            <w:noProof/>
            <w:kern w:val="2"/>
            <w:sz w:val="24"/>
            <w:szCs w:val="24"/>
            <w:lang w:eastAsia="en-AU"/>
            <w14:ligatures w14:val="standardContextual"/>
          </w:rPr>
          <w:tab/>
        </w:r>
        <w:r w:rsidRPr="003531E5">
          <w:rPr>
            <w:rStyle w:val="Hyperlink"/>
            <w:noProof/>
          </w:rPr>
          <w:t>The skilled migration system</w:t>
        </w:r>
        <w:r>
          <w:rPr>
            <w:noProof/>
            <w:webHidden/>
          </w:rPr>
          <w:tab/>
        </w:r>
        <w:r>
          <w:rPr>
            <w:noProof/>
            <w:webHidden/>
          </w:rPr>
          <w:fldChar w:fldCharType="begin"/>
        </w:r>
        <w:r>
          <w:rPr>
            <w:noProof/>
            <w:webHidden/>
          </w:rPr>
          <w:instrText xml:space="preserve"> PAGEREF _Toc211587049 \h </w:instrText>
        </w:r>
        <w:r>
          <w:rPr>
            <w:noProof/>
            <w:webHidden/>
          </w:rPr>
        </w:r>
        <w:r>
          <w:rPr>
            <w:noProof/>
            <w:webHidden/>
          </w:rPr>
          <w:fldChar w:fldCharType="separate"/>
        </w:r>
        <w:r w:rsidR="009E6E1D">
          <w:rPr>
            <w:noProof/>
            <w:webHidden/>
          </w:rPr>
          <w:t>108</w:t>
        </w:r>
        <w:r>
          <w:rPr>
            <w:noProof/>
            <w:webHidden/>
          </w:rPr>
          <w:fldChar w:fldCharType="end"/>
        </w:r>
      </w:hyperlink>
    </w:p>
    <w:p w14:paraId="49F97224" w14:textId="51C6DC75"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50" w:history="1">
        <w:r w:rsidRPr="003531E5">
          <w:rPr>
            <w:rStyle w:val="Hyperlink"/>
            <w:noProof/>
          </w:rPr>
          <w:t>5.3.1</w:t>
        </w:r>
        <w:r>
          <w:rPr>
            <w:rFonts w:asciiTheme="minorHAnsi" w:eastAsiaTheme="minorEastAsia" w:hAnsiTheme="minorHAnsi"/>
            <w:noProof/>
            <w:kern w:val="2"/>
            <w:sz w:val="24"/>
            <w:szCs w:val="24"/>
            <w:lang w:eastAsia="en-AU"/>
            <w14:ligatures w14:val="standardContextual"/>
          </w:rPr>
          <w:tab/>
        </w:r>
        <w:r w:rsidRPr="003531E5">
          <w:rPr>
            <w:rStyle w:val="Hyperlink"/>
            <w:noProof/>
          </w:rPr>
          <w:t>International students study</w:t>
        </w:r>
        <w:r>
          <w:rPr>
            <w:noProof/>
            <w:webHidden/>
          </w:rPr>
          <w:tab/>
        </w:r>
        <w:r>
          <w:rPr>
            <w:noProof/>
            <w:webHidden/>
          </w:rPr>
          <w:fldChar w:fldCharType="begin"/>
        </w:r>
        <w:r>
          <w:rPr>
            <w:noProof/>
            <w:webHidden/>
          </w:rPr>
          <w:instrText xml:space="preserve"> PAGEREF _Toc211587050 \h </w:instrText>
        </w:r>
        <w:r>
          <w:rPr>
            <w:noProof/>
            <w:webHidden/>
          </w:rPr>
        </w:r>
        <w:r>
          <w:rPr>
            <w:noProof/>
            <w:webHidden/>
          </w:rPr>
          <w:fldChar w:fldCharType="separate"/>
        </w:r>
        <w:r w:rsidR="009E6E1D">
          <w:rPr>
            <w:noProof/>
            <w:webHidden/>
          </w:rPr>
          <w:t>109</w:t>
        </w:r>
        <w:r>
          <w:rPr>
            <w:noProof/>
            <w:webHidden/>
          </w:rPr>
          <w:fldChar w:fldCharType="end"/>
        </w:r>
      </w:hyperlink>
    </w:p>
    <w:p w14:paraId="019CBA74" w14:textId="232FA145"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7051" w:history="1">
        <w:r w:rsidRPr="003531E5">
          <w:rPr>
            <w:rStyle w:val="Hyperlink"/>
            <w:noProof/>
          </w:rPr>
          <w:t>5.4</w:t>
        </w:r>
        <w:r>
          <w:rPr>
            <w:rFonts w:asciiTheme="minorHAnsi" w:eastAsiaTheme="minorEastAsia" w:hAnsiTheme="minorHAnsi"/>
            <w:b w:val="0"/>
            <w:noProof/>
            <w:kern w:val="2"/>
            <w:sz w:val="24"/>
            <w:szCs w:val="24"/>
            <w:lang w:eastAsia="en-AU"/>
            <w14:ligatures w14:val="standardContextual"/>
          </w:rPr>
          <w:tab/>
        </w:r>
        <w:r w:rsidRPr="003531E5">
          <w:rPr>
            <w:rStyle w:val="Hyperlink"/>
            <w:noProof/>
          </w:rPr>
          <w:t>Key points from chapter five</w:t>
        </w:r>
        <w:r>
          <w:rPr>
            <w:noProof/>
            <w:webHidden/>
          </w:rPr>
          <w:tab/>
        </w:r>
        <w:r>
          <w:rPr>
            <w:noProof/>
            <w:webHidden/>
          </w:rPr>
          <w:fldChar w:fldCharType="begin"/>
        </w:r>
        <w:r>
          <w:rPr>
            <w:noProof/>
            <w:webHidden/>
          </w:rPr>
          <w:instrText xml:space="preserve"> PAGEREF _Toc211587051 \h </w:instrText>
        </w:r>
        <w:r>
          <w:rPr>
            <w:noProof/>
            <w:webHidden/>
          </w:rPr>
        </w:r>
        <w:r>
          <w:rPr>
            <w:noProof/>
            <w:webHidden/>
          </w:rPr>
          <w:fldChar w:fldCharType="separate"/>
        </w:r>
        <w:r w:rsidR="009E6E1D">
          <w:rPr>
            <w:noProof/>
            <w:webHidden/>
          </w:rPr>
          <w:t>110</w:t>
        </w:r>
        <w:r>
          <w:rPr>
            <w:noProof/>
            <w:webHidden/>
          </w:rPr>
          <w:fldChar w:fldCharType="end"/>
        </w:r>
      </w:hyperlink>
    </w:p>
    <w:p w14:paraId="74A9B2C7" w14:textId="4991B666" w:rsidR="001B151E" w:rsidRDefault="001B151E">
      <w:pPr>
        <w:pStyle w:val="TOC1"/>
        <w:rPr>
          <w:rFonts w:asciiTheme="minorHAnsi" w:eastAsiaTheme="minorEastAsia" w:hAnsiTheme="minorHAnsi"/>
          <w:b w:val="0"/>
          <w:noProof/>
          <w:color w:val="auto"/>
          <w:kern w:val="2"/>
          <w:sz w:val="24"/>
          <w:szCs w:val="24"/>
          <w:lang w:eastAsia="en-AU"/>
          <w14:ligatures w14:val="standardContextual"/>
        </w:rPr>
      </w:pPr>
      <w:hyperlink w:anchor="_Toc211587052" w:history="1">
        <w:r w:rsidRPr="003531E5">
          <w:rPr>
            <w:rStyle w:val="Hyperlink"/>
            <w:noProof/>
          </w:rPr>
          <w:t>Chapter 6</w:t>
        </w:r>
        <w:r>
          <w:rPr>
            <w:rFonts w:asciiTheme="minorHAnsi" w:eastAsiaTheme="minorEastAsia" w:hAnsiTheme="minorHAnsi"/>
            <w:b w:val="0"/>
            <w:noProof/>
            <w:color w:val="auto"/>
            <w:kern w:val="2"/>
            <w:sz w:val="24"/>
            <w:szCs w:val="24"/>
            <w:lang w:eastAsia="en-AU"/>
            <w14:ligatures w14:val="standardContextual"/>
          </w:rPr>
          <w:tab/>
        </w:r>
        <w:r w:rsidRPr="003531E5">
          <w:rPr>
            <w:rStyle w:val="Hyperlink"/>
            <w:noProof/>
          </w:rPr>
          <w:t>Activating an informed dialogue</w:t>
        </w:r>
        <w:r>
          <w:rPr>
            <w:noProof/>
            <w:webHidden/>
          </w:rPr>
          <w:tab/>
        </w:r>
        <w:r>
          <w:rPr>
            <w:noProof/>
            <w:webHidden/>
          </w:rPr>
          <w:fldChar w:fldCharType="begin"/>
        </w:r>
        <w:r>
          <w:rPr>
            <w:noProof/>
            <w:webHidden/>
          </w:rPr>
          <w:instrText xml:space="preserve"> PAGEREF _Toc211587052 \h </w:instrText>
        </w:r>
        <w:r>
          <w:rPr>
            <w:noProof/>
            <w:webHidden/>
          </w:rPr>
        </w:r>
        <w:r>
          <w:rPr>
            <w:noProof/>
            <w:webHidden/>
          </w:rPr>
          <w:fldChar w:fldCharType="separate"/>
        </w:r>
        <w:r w:rsidR="009E6E1D">
          <w:rPr>
            <w:noProof/>
            <w:webHidden/>
          </w:rPr>
          <w:t>113</w:t>
        </w:r>
        <w:r>
          <w:rPr>
            <w:noProof/>
            <w:webHidden/>
          </w:rPr>
          <w:fldChar w:fldCharType="end"/>
        </w:r>
      </w:hyperlink>
    </w:p>
    <w:p w14:paraId="2D3C76CE" w14:textId="40CF3329"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7053" w:history="1">
        <w:r w:rsidRPr="003531E5">
          <w:rPr>
            <w:rStyle w:val="Hyperlink"/>
            <w:noProof/>
          </w:rPr>
          <w:t>6.1</w:t>
        </w:r>
        <w:r>
          <w:rPr>
            <w:rFonts w:asciiTheme="minorHAnsi" w:eastAsiaTheme="minorEastAsia" w:hAnsiTheme="minorHAnsi"/>
            <w:b w:val="0"/>
            <w:noProof/>
            <w:kern w:val="2"/>
            <w:sz w:val="24"/>
            <w:szCs w:val="24"/>
            <w:lang w:eastAsia="en-AU"/>
            <w14:ligatures w14:val="standardContextual"/>
          </w:rPr>
          <w:tab/>
        </w:r>
        <w:r w:rsidRPr="003531E5">
          <w:rPr>
            <w:rStyle w:val="Hyperlink"/>
            <w:noProof/>
          </w:rPr>
          <w:t>Our reach and engagement</w:t>
        </w:r>
        <w:r>
          <w:rPr>
            <w:noProof/>
            <w:webHidden/>
          </w:rPr>
          <w:tab/>
        </w:r>
        <w:r>
          <w:rPr>
            <w:noProof/>
            <w:webHidden/>
          </w:rPr>
          <w:fldChar w:fldCharType="begin"/>
        </w:r>
        <w:r>
          <w:rPr>
            <w:noProof/>
            <w:webHidden/>
          </w:rPr>
          <w:instrText xml:space="preserve"> PAGEREF _Toc211587053 \h </w:instrText>
        </w:r>
        <w:r>
          <w:rPr>
            <w:noProof/>
            <w:webHidden/>
          </w:rPr>
        </w:r>
        <w:r>
          <w:rPr>
            <w:noProof/>
            <w:webHidden/>
          </w:rPr>
          <w:fldChar w:fldCharType="separate"/>
        </w:r>
        <w:r w:rsidR="009E6E1D">
          <w:rPr>
            <w:noProof/>
            <w:webHidden/>
          </w:rPr>
          <w:t>114</w:t>
        </w:r>
        <w:r>
          <w:rPr>
            <w:noProof/>
            <w:webHidden/>
          </w:rPr>
          <w:fldChar w:fldCharType="end"/>
        </w:r>
      </w:hyperlink>
    </w:p>
    <w:p w14:paraId="03A67B41" w14:textId="285BEE87"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54" w:history="1">
        <w:r w:rsidRPr="003531E5">
          <w:rPr>
            <w:rStyle w:val="Hyperlink"/>
            <w:noProof/>
          </w:rPr>
          <w:t>6.1.1</w:t>
        </w:r>
        <w:r>
          <w:rPr>
            <w:rFonts w:asciiTheme="minorHAnsi" w:eastAsiaTheme="minorEastAsia" w:hAnsiTheme="minorHAnsi"/>
            <w:noProof/>
            <w:kern w:val="2"/>
            <w:sz w:val="24"/>
            <w:szCs w:val="24"/>
            <w:lang w:eastAsia="en-AU"/>
            <w14:ligatures w14:val="standardContextual"/>
          </w:rPr>
          <w:tab/>
        </w:r>
        <w:r w:rsidRPr="003531E5">
          <w:rPr>
            <w:rStyle w:val="Hyperlink"/>
            <w:noProof/>
          </w:rPr>
          <w:t>Sharing our insights</w:t>
        </w:r>
        <w:r>
          <w:rPr>
            <w:noProof/>
            <w:webHidden/>
          </w:rPr>
          <w:tab/>
        </w:r>
        <w:r>
          <w:rPr>
            <w:noProof/>
            <w:webHidden/>
          </w:rPr>
          <w:fldChar w:fldCharType="begin"/>
        </w:r>
        <w:r>
          <w:rPr>
            <w:noProof/>
            <w:webHidden/>
          </w:rPr>
          <w:instrText xml:space="preserve"> PAGEREF _Toc211587054 \h </w:instrText>
        </w:r>
        <w:r>
          <w:rPr>
            <w:noProof/>
            <w:webHidden/>
          </w:rPr>
        </w:r>
        <w:r>
          <w:rPr>
            <w:noProof/>
            <w:webHidden/>
          </w:rPr>
          <w:fldChar w:fldCharType="separate"/>
        </w:r>
        <w:r w:rsidR="009E6E1D">
          <w:rPr>
            <w:noProof/>
            <w:webHidden/>
          </w:rPr>
          <w:t>114</w:t>
        </w:r>
        <w:r>
          <w:rPr>
            <w:noProof/>
            <w:webHidden/>
          </w:rPr>
          <w:fldChar w:fldCharType="end"/>
        </w:r>
      </w:hyperlink>
    </w:p>
    <w:p w14:paraId="24D32BDB" w14:textId="7B7446CB"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55" w:history="1">
        <w:r w:rsidRPr="003531E5">
          <w:rPr>
            <w:rStyle w:val="Hyperlink"/>
            <w:noProof/>
          </w:rPr>
          <w:t>6.1.2</w:t>
        </w:r>
        <w:r>
          <w:rPr>
            <w:rFonts w:asciiTheme="minorHAnsi" w:eastAsiaTheme="minorEastAsia" w:hAnsiTheme="minorHAnsi"/>
            <w:noProof/>
            <w:kern w:val="2"/>
            <w:sz w:val="24"/>
            <w:szCs w:val="24"/>
            <w:lang w:eastAsia="en-AU"/>
            <w14:ligatures w14:val="standardContextual"/>
          </w:rPr>
          <w:tab/>
        </w:r>
        <w:r w:rsidRPr="003531E5">
          <w:rPr>
            <w:rStyle w:val="Hyperlink"/>
            <w:noProof/>
          </w:rPr>
          <w:t>Working with you</w:t>
        </w:r>
        <w:r>
          <w:rPr>
            <w:noProof/>
            <w:webHidden/>
          </w:rPr>
          <w:tab/>
        </w:r>
        <w:r>
          <w:rPr>
            <w:noProof/>
            <w:webHidden/>
          </w:rPr>
          <w:fldChar w:fldCharType="begin"/>
        </w:r>
        <w:r>
          <w:rPr>
            <w:noProof/>
            <w:webHidden/>
          </w:rPr>
          <w:instrText xml:space="preserve"> PAGEREF _Toc211587055 \h </w:instrText>
        </w:r>
        <w:r>
          <w:rPr>
            <w:noProof/>
            <w:webHidden/>
          </w:rPr>
        </w:r>
        <w:r>
          <w:rPr>
            <w:noProof/>
            <w:webHidden/>
          </w:rPr>
          <w:fldChar w:fldCharType="separate"/>
        </w:r>
        <w:r w:rsidR="009E6E1D">
          <w:rPr>
            <w:noProof/>
            <w:webHidden/>
          </w:rPr>
          <w:t>116</w:t>
        </w:r>
        <w:r>
          <w:rPr>
            <w:noProof/>
            <w:webHidden/>
          </w:rPr>
          <w:fldChar w:fldCharType="end"/>
        </w:r>
      </w:hyperlink>
    </w:p>
    <w:p w14:paraId="54462FB9" w14:textId="6C000EF4"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56" w:history="1">
        <w:r w:rsidRPr="003531E5">
          <w:rPr>
            <w:rStyle w:val="Hyperlink"/>
            <w:noProof/>
          </w:rPr>
          <w:t>6.1.3</w:t>
        </w:r>
        <w:r>
          <w:rPr>
            <w:rFonts w:asciiTheme="minorHAnsi" w:eastAsiaTheme="minorEastAsia" w:hAnsiTheme="minorHAnsi"/>
            <w:noProof/>
            <w:kern w:val="2"/>
            <w:sz w:val="24"/>
            <w:szCs w:val="24"/>
            <w:lang w:eastAsia="en-AU"/>
            <w14:ligatures w14:val="standardContextual"/>
          </w:rPr>
          <w:tab/>
        </w:r>
        <w:r w:rsidRPr="003531E5">
          <w:rPr>
            <w:rStyle w:val="Hyperlink"/>
            <w:noProof/>
          </w:rPr>
          <w:t>Spotlight: National roadshow and place-based engagement</w:t>
        </w:r>
        <w:r>
          <w:rPr>
            <w:noProof/>
            <w:webHidden/>
          </w:rPr>
          <w:tab/>
        </w:r>
        <w:r>
          <w:rPr>
            <w:noProof/>
            <w:webHidden/>
          </w:rPr>
          <w:fldChar w:fldCharType="begin"/>
        </w:r>
        <w:r>
          <w:rPr>
            <w:noProof/>
            <w:webHidden/>
          </w:rPr>
          <w:instrText xml:space="preserve"> PAGEREF _Toc211587056 \h </w:instrText>
        </w:r>
        <w:r>
          <w:rPr>
            <w:noProof/>
            <w:webHidden/>
          </w:rPr>
        </w:r>
        <w:r>
          <w:rPr>
            <w:noProof/>
            <w:webHidden/>
          </w:rPr>
          <w:fldChar w:fldCharType="separate"/>
        </w:r>
        <w:r w:rsidR="009E6E1D">
          <w:rPr>
            <w:noProof/>
            <w:webHidden/>
          </w:rPr>
          <w:t>117</w:t>
        </w:r>
        <w:r>
          <w:rPr>
            <w:noProof/>
            <w:webHidden/>
          </w:rPr>
          <w:fldChar w:fldCharType="end"/>
        </w:r>
      </w:hyperlink>
    </w:p>
    <w:p w14:paraId="23A1AAC5" w14:textId="1CC7C2A2"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57" w:history="1">
        <w:r w:rsidRPr="003531E5">
          <w:rPr>
            <w:rStyle w:val="Hyperlink"/>
            <w:noProof/>
          </w:rPr>
          <w:t>6.1.4</w:t>
        </w:r>
        <w:r>
          <w:rPr>
            <w:rFonts w:asciiTheme="minorHAnsi" w:eastAsiaTheme="minorEastAsia" w:hAnsiTheme="minorHAnsi"/>
            <w:noProof/>
            <w:kern w:val="2"/>
            <w:sz w:val="24"/>
            <w:szCs w:val="24"/>
            <w:lang w:eastAsia="en-AU"/>
            <w14:ligatures w14:val="standardContextual"/>
          </w:rPr>
          <w:tab/>
        </w:r>
        <w:r w:rsidRPr="003531E5">
          <w:rPr>
            <w:rStyle w:val="Hyperlink"/>
            <w:noProof/>
          </w:rPr>
          <w:t>Jobs and Skills Council collaboration</w:t>
        </w:r>
        <w:r>
          <w:rPr>
            <w:noProof/>
            <w:webHidden/>
          </w:rPr>
          <w:tab/>
        </w:r>
        <w:r>
          <w:rPr>
            <w:noProof/>
            <w:webHidden/>
          </w:rPr>
          <w:fldChar w:fldCharType="begin"/>
        </w:r>
        <w:r>
          <w:rPr>
            <w:noProof/>
            <w:webHidden/>
          </w:rPr>
          <w:instrText xml:space="preserve"> PAGEREF _Toc211587057 \h </w:instrText>
        </w:r>
        <w:r>
          <w:rPr>
            <w:noProof/>
            <w:webHidden/>
          </w:rPr>
        </w:r>
        <w:r>
          <w:rPr>
            <w:noProof/>
            <w:webHidden/>
          </w:rPr>
          <w:fldChar w:fldCharType="separate"/>
        </w:r>
        <w:r w:rsidR="009E6E1D">
          <w:rPr>
            <w:noProof/>
            <w:webHidden/>
          </w:rPr>
          <w:t>117</w:t>
        </w:r>
        <w:r>
          <w:rPr>
            <w:noProof/>
            <w:webHidden/>
          </w:rPr>
          <w:fldChar w:fldCharType="end"/>
        </w:r>
      </w:hyperlink>
    </w:p>
    <w:p w14:paraId="0C2103E3" w14:textId="48CC089F"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58" w:history="1">
        <w:r w:rsidRPr="003531E5">
          <w:rPr>
            <w:rStyle w:val="Hyperlink"/>
            <w:noProof/>
          </w:rPr>
          <w:t>6.1.5</w:t>
        </w:r>
        <w:r>
          <w:rPr>
            <w:rFonts w:asciiTheme="minorHAnsi" w:eastAsiaTheme="minorEastAsia" w:hAnsiTheme="minorHAnsi"/>
            <w:noProof/>
            <w:kern w:val="2"/>
            <w:sz w:val="24"/>
            <w:szCs w:val="24"/>
            <w:lang w:eastAsia="en-AU"/>
            <w14:ligatures w14:val="standardContextual"/>
          </w:rPr>
          <w:tab/>
        </w:r>
        <w:r w:rsidRPr="003531E5">
          <w:rPr>
            <w:rStyle w:val="Hyperlink"/>
            <w:noProof/>
          </w:rPr>
          <w:t>International connections</w:t>
        </w:r>
        <w:r>
          <w:rPr>
            <w:noProof/>
            <w:webHidden/>
          </w:rPr>
          <w:tab/>
        </w:r>
        <w:r>
          <w:rPr>
            <w:noProof/>
            <w:webHidden/>
          </w:rPr>
          <w:fldChar w:fldCharType="begin"/>
        </w:r>
        <w:r>
          <w:rPr>
            <w:noProof/>
            <w:webHidden/>
          </w:rPr>
          <w:instrText xml:space="preserve"> PAGEREF _Toc211587058 \h </w:instrText>
        </w:r>
        <w:r>
          <w:rPr>
            <w:noProof/>
            <w:webHidden/>
          </w:rPr>
        </w:r>
        <w:r>
          <w:rPr>
            <w:noProof/>
            <w:webHidden/>
          </w:rPr>
          <w:fldChar w:fldCharType="separate"/>
        </w:r>
        <w:r w:rsidR="009E6E1D">
          <w:rPr>
            <w:noProof/>
            <w:webHidden/>
          </w:rPr>
          <w:t>118</w:t>
        </w:r>
        <w:r>
          <w:rPr>
            <w:noProof/>
            <w:webHidden/>
          </w:rPr>
          <w:fldChar w:fldCharType="end"/>
        </w:r>
      </w:hyperlink>
    </w:p>
    <w:p w14:paraId="699ED768" w14:textId="2DD14901"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7059" w:history="1">
        <w:r w:rsidRPr="003531E5">
          <w:rPr>
            <w:rStyle w:val="Hyperlink"/>
            <w:noProof/>
          </w:rPr>
          <w:t>6.2</w:t>
        </w:r>
        <w:r>
          <w:rPr>
            <w:rFonts w:asciiTheme="minorHAnsi" w:eastAsiaTheme="minorEastAsia" w:hAnsiTheme="minorHAnsi"/>
            <w:b w:val="0"/>
            <w:noProof/>
            <w:kern w:val="2"/>
            <w:sz w:val="24"/>
            <w:szCs w:val="24"/>
            <w:lang w:eastAsia="en-AU"/>
            <w14:ligatures w14:val="standardContextual"/>
          </w:rPr>
          <w:tab/>
        </w:r>
        <w:r w:rsidRPr="003531E5">
          <w:rPr>
            <w:rStyle w:val="Hyperlink"/>
            <w:noProof/>
          </w:rPr>
          <w:t>Our impact</w:t>
        </w:r>
        <w:r>
          <w:rPr>
            <w:noProof/>
            <w:webHidden/>
          </w:rPr>
          <w:tab/>
        </w:r>
        <w:r>
          <w:rPr>
            <w:noProof/>
            <w:webHidden/>
          </w:rPr>
          <w:fldChar w:fldCharType="begin"/>
        </w:r>
        <w:r>
          <w:rPr>
            <w:noProof/>
            <w:webHidden/>
          </w:rPr>
          <w:instrText xml:space="preserve"> PAGEREF _Toc211587059 \h </w:instrText>
        </w:r>
        <w:r>
          <w:rPr>
            <w:noProof/>
            <w:webHidden/>
          </w:rPr>
        </w:r>
        <w:r>
          <w:rPr>
            <w:noProof/>
            <w:webHidden/>
          </w:rPr>
          <w:fldChar w:fldCharType="separate"/>
        </w:r>
        <w:r w:rsidR="009E6E1D">
          <w:rPr>
            <w:noProof/>
            <w:webHidden/>
          </w:rPr>
          <w:t>119</w:t>
        </w:r>
        <w:r>
          <w:rPr>
            <w:noProof/>
            <w:webHidden/>
          </w:rPr>
          <w:fldChar w:fldCharType="end"/>
        </w:r>
      </w:hyperlink>
    </w:p>
    <w:p w14:paraId="0DBA969D" w14:textId="4C81360B"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60" w:history="1">
        <w:r w:rsidRPr="003531E5">
          <w:rPr>
            <w:rStyle w:val="Hyperlink"/>
            <w:noProof/>
          </w:rPr>
          <w:t>6.2.1</w:t>
        </w:r>
        <w:r>
          <w:rPr>
            <w:rFonts w:asciiTheme="minorHAnsi" w:eastAsiaTheme="minorEastAsia" w:hAnsiTheme="minorHAnsi"/>
            <w:noProof/>
            <w:kern w:val="2"/>
            <w:sz w:val="24"/>
            <w:szCs w:val="24"/>
            <w:lang w:eastAsia="en-AU"/>
            <w14:ligatures w14:val="standardContextual"/>
          </w:rPr>
          <w:tab/>
        </w:r>
        <w:r w:rsidRPr="003531E5">
          <w:rPr>
            <w:rStyle w:val="Hyperlink"/>
            <w:noProof/>
          </w:rPr>
          <w:t>Supporting policy and other initiatives</w:t>
        </w:r>
        <w:r>
          <w:rPr>
            <w:noProof/>
            <w:webHidden/>
          </w:rPr>
          <w:tab/>
        </w:r>
        <w:r>
          <w:rPr>
            <w:noProof/>
            <w:webHidden/>
          </w:rPr>
          <w:fldChar w:fldCharType="begin"/>
        </w:r>
        <w:r>
          <w:rPr>
            <w:noProof/>
            <w:webHidden/>
          </w:rPr>
          <w:instrText xml:space="preserve"> PAGEREF _Toc211587060 \h </w:instrText>
        </w:r>
        <w:r>
          <w:rPr>
            <w:noProof/>
            <w:webHidden/>
          </w:rPr>
        </w:r>
        <w:r>
          <w:rPr>
            <w:noProof/>
            <w:webHidden/>
          </w:rPr>
          <w:fldChar w:fldCharType="separate"/>
        </w:r>
        <w:r w:rsidR="009E6E1D">
          <w:rPr>
            <w:noProof/>
            <w:webHidden/>
          </w:rPr>
          <w:t>120</w:t>
        </w:r>
        <w:r>
          <w:rPr>
            <w:noProof/>
            <w:webHidden/>
          </w:rPr>
          <w:fldChar w:fldCharType="end"/>
        </w:r>
      </w:hyperlink>
    </w:p>
    <w:p w14:paraId="4A30B2BE" w14:textId="54606626" w:rsidR="001B151E" w:rsidRDefault="001B151E">
      <w:pPr>
        <w:pStyle w:val="TOC3"/>
        <w:rPr>
          <w:rFonts w:asciiTheme="minorHAnsi" w:eastAsiaTheme="minorEastAsia" w:hAnsiTheme="minorHAnsi"/>
          <w:noProof/>
          <w:kern w:val="2"/>
          <w:sz w:val="24"/>
          <w:szCs w:val="24"/>
          <w:lang w:eastAsia="en-AU"/>
          <w14:ligatures w14:val="standardContextual"/>
        </w:rPr>
      </w:pPr>
      <w:hyperlink w:anchor="_Toc211587061" w:history="1">
        <w:r w:rsidRPr="003531E5">
          <w:rPr>
            <w:rStyle w:val="Hyperlink"/>
            <w:noProof/>
          </w:rPr>
          <w:t>6.2.2</w:t>
        </w:r>
        <w:r>
          <w:rPr>
            <w:rFonts w:asciiTheme="minorHAnsi" w:eastAsiaTheme="minorEastAsia" w:hAnsiTheme="minorHAnsi"/>
            <w:noProof/>
            <w:kern w:val="2"/>
            <w:sz w:val="24"/>
            <w:szCs w:val="24"/>
            <w:lang w:eastAsia="en-AU"/>
            <w14:ligatures w14:val="standardContextual"/>
          </w:rPr>
          <w:tab/>
        </w:r>
        <w:r w:rsidRPr="003531E5">
          <w:rPr>
            <w:rStyle w:val="Hyperlink"/>
            <w:noProof/>
          </w:rPr>
          <w:t>Broader influence across the skills system</w:t>
        </w:r>
        <w:r>
          <w:rPr>
            <w:noProof/>
            <w:webHidden/>
          </w:rPr>
          <w:tab/>
        </w:r>
        <w:r>
          <w:rPr>
            <w:noProof/>
            <w:webHidden/>
          </w:rPr>
          <w:fldChar w:fldCharType="begin"/>
        </w:r>
        <w:r>
          <w:rPr>
            <w:noProof/>
            <w:webHidden/>
          </w:rPr>
          <w:instrText xml:space="preserve"> PAGEREF _Toc211587061 \h </w:instrText>
        </w:r>
        <w:r>
          <w:rPr>
            <w:noProof/>
            <w:webHidden/>
          </w:rPr>
        </w:r>
        <w:r>
          <w:rPr>
            <w:noProof/>
            <w:webHidden/>
          </w:rPr>
          <w:fldChar w:fldCharType="separate"/>
        </w:r>
        <w:r w:rsidR="009E6E1D">
          <w:rPr>
            <w:noProof/>
            <w:webHidden/>
          </w:rPr>
          <w:t>121</w:t>
        </w:r>
        <w:r>
          <w:rPr>
            <w:noProof/>
            <w:webHidden/>
          </w:rPr>
          <w:fldChar w:fldCharType="end"/>
        </w:r>
      </w:hyperlink>
    </w:p>
    <w:p w14:paraId="4945F538" w14:textId="389BA86E" w:rsidR="001B151E" w:rsidRDefault="001B151E">
      <w:pPr>
        <w:pStyle w:val="TOC2"/>
        <w:rPr>
          <w:rFonts w:asciiTheme="minorHAnsi" w:eastAsiaTheme="minorEastAsia" w:hAnsiTheme="minorHAnsi"/>
          <w:b w:val="0"/>
          <w:noProof/>
          <w:kern w:val="2"/>
          <w:sz w:val="24"/>
          <w:szCs w:val="24"/>
          <w:lang w:eastAsia="en-AU"/>
          <w14:ligatures w14:val="standardContextual"/>
        </w:rPr>
      </w:pPr>
      <w:hyperlink w:anchor="_Toc211587062" w:history="1">
        <w:r w:rsidRPr="003531E5">
          <w:rPr>
            <w:rStyle w:val="Hyperlink"/>
            <w:noProof/>
          </w:rPr>
          <w:t>6.3</w:t>
        </w:r>
        <w:r>
          <w:rPr>
            <w:rFonts w:asciiTheme="minorHAnsi" w:eastAsiaTheme="minorEastAsia" w:hAnsiTheme="minorHAnsi"/>
            <w:b w:val="0"/>
            <w:noProof/>
            <w:kern w:val="2"/>
            <w:sz w:val="24"/>
            <w:szCs w:val="24"/>
            <w:lang w:eastAsia="en-AU"/>
            <w14:ligatures w14:val="standardContextual"/>
          </w:rPr>
          <w:tab/>
        </w:r>
        <w:r w:rsidRPr="003531E5">
          <w:rPr>
            <w:rStyle w:val="Hyperlink"/>
            <w:noProof/>
          </w:rPr>
          <w:t>Key points from chapter six</w:t>
        </w:r>
        <w:r>
          <w:rPr>
            <w:noProof/>
            <w:webHidden/>
          </w:rPr>
          <w:tab/>
        </w:r>
        <w:r>
          <w:rPr>
            <w:noProof/>
            <w:webHidden/>
          </w:rPr>
          <w:fldChar w:fldCharType="begin"/>
        </w:r>
        <w:r>
          <w:rPr>
            <w:noProof/>
            <w:webHidden/>
          </w:rPr>
          <w:instrText xml:space="preserve"> PAGEREF _Toc211587062 \h </w:instrText>
        </w:r>
        <w:r>
          <w:rPr>
            <w:noProof/>
            <w:webHidden/>
          </w:rPr>
        </w:r>
        <w:r>
          <w:rPr>
            <w:noProof/>
            <w:webHidden/>
          </w:rPr>
          <w:fldChar w:fldCharType="separate"/>
        </w:r>
        <w:r w:rsidR="009E6E1D">
          <w:rPr>
            <w:noProof/>
            <w:webHidden/>
          </w:rPr>
          <w:t>122</w:t>
        </w:r>
        <w:r>
          <w:rPr>
            <w:noProof/>
            <w:webHidden/>
          </w:rPr>
          <w:fldChar w:fldCharType="end"/>
        </w:r>
      </w:hyperlink>
    </w:p>
    <w:p w14:paraId="38F68293" w14:textId="1BDD4927" w:rsidR="00AE0185" w:rsidRPr="007259EC" w:rsidRDefault="00EF2E12" w:rsidP="007259EC">
      <w:pPr>
        <w:pStyle w:val="TOC2"/>
        <w:rPr>
          <w:rFonts w:asciiTheme="minorHAnsi" w:eastAsiaTheme="minorEastAsia" w:hAnsiTheme="minorHAnsi"/>
          <w:b w:val="0"/>
          <w:noProof/>
          <w:kern w:val="2"/>
          <w:sz w:val="24"/>
          <w:szCs w:val="24"/>
          <w:lang w:eastAsia="en-AU"/>
          <w14:ligatures w14:val="standardContextual"/>
        </w:rPr>
      </w:pPr>
      <w:r>
        <w:rPr>
          <w:color w:val="6929C4"/>
        </w:rPr>
        <w:fldChar w:fldCharType="end"/>
      </w:r>
    </w:p>
    <w:p w14:paraId="63FC037D" w14:textId="77777777" w:rsidR="00AE0185" w:rsidRPr="00452A9D" w:rsidRDefault="00AE0185" w:rsidP="00AE0185">
      <w:pPr>
        <w:pStyle w:val="TOCHeading"/>
      </w:pPr>
      <w:r>
        <w:t>Appendices</w:t>
      </w:r>
    </w:p>
    <w:p w14:paraId="115D8ED3" w14:textId="3FDA8F04" w:rsidR="001B151E" w:rsidRDefault="00902D27">
      <w:pPr>
        <w:pStyle w:val="TOC4"/>
        <w:rPr>
          <w:rFonts w:asciiTheme="minorHAnsi" w:eastAsiaTheme="minorEastAsia" w:hAnsiTheme="minorHAnsi"/>
          <w:b w:val="0"/>
          <w:color w:val="auto"/>
          <w:kern w:val="2"/>
          <w:sz w:val="24"/>
          <w:szCs w:val="24"/>
          <w:lang w:eastAsia="en-AU"/>
          <w14:ligatures w14:val="standardContextual"/>
        </w:rPr>
      </w:pPr>
      <w:r>
        <w:rPr>
          <w:color w:val="6929C4"/>
        </w:rPr>
        <w:fldChar w:fldCharType="begin"/>
      </w:r>
      <w:r>
        <w:instrText xml:space="preserve"> TOC \t "Appendix Heading 1,4" </w:instrText>
      </w:r>
      <w:r>
        <w:rPr>
          <w:color w:val="6929C4"/>
        </w:rPr>
        <w:fldChar w:fldCharType="separate"/>
      </w:r>
      <w:r w:rsidR="001B151E">
        <w:t>Appendix A</w:t>
      </w:r>
      <w:r w:rsidR="001B151E">
        <w:rPr>
          <w:rFonts w:asciiTheme="minorHAnsi" w:eastAsiaTheme="minorEastAsia" w:hAnsiTheme="minorHAnsi"/>
          <w:b w:val="0"/>
          <w:color w:val="auto"/>
          <w:kern w:val="2"/>
          <w:sz w:val="24"/>
          <w:szCs w:val="24"/>
          <w:lang w:eastAsia="en-AU"/>
          <w14:ligatures w14:val="standardContextual"/>
        </w:rPr>
        <w:tab/>
      </w:r>
      <w:r w:rsidR="001B151E">
        <w:t>References</w:t>
      </w:r>
      <w:r w:rsidR="001B151E">
        <w:tab/>
      </w:r>
      <w:r w:rsidR="001B151E">
        <w:fldChar w:fldCharType="begin"/>
      </w:r>
      <w:r w:rsidR="001B151E">
        <w:instrText xml:space="preserve"> PAGEREF _Toc211587063 \h </w:instrText>
      </w:r>
      <w:r w:rsidR="001B151E">
        <w:fldChar w:fldCharType="separate"/>
      </w:r>
      <w:r w:rsidR="009E6E1D">
        <w:t>124</w:t>
      </w:r>
      <w:r w:rsidR="001B151E">
        <w:fldChar w:fldCharType="end"/>
      </w:r>
    </w:p>
    <w:p w14:paraId="4D3CF265" w14:textId="1BC46DBC" w:rsidR="001B151E" w:rsidRDefault="001B151E">
      <w:pPr>
        <w:pStyle w:val="TOC4"/>
        <w:rPr>
          <w:rFonts w:asciiTheme="minorHAnsi" w:eastAsiaTheme="minorEastAsia" w:hAnsiTheme="minorHAnsi"/>
          <w:b w:val="0"/>
          <w:color w:val="auto"/>
          <w:kern w:val="2"/>
          <w:sz w:val="24"/>
          <w:szCs w:val="24"/>
          <w:lang w:eastAsia="en-AU"/>
          <w14:ligatures w14:val="standardContextual"/>
        </w:rPr>
      </w:pPr>
      <w:r>
        <w:t>Appendix B</w:t>
      </w:r>
      <w:r>
        <w:rPr>
          <w:rFonts w:asciiTheme="minorHAnsi" w:eastAsiaTheme="minorEastAsia" w:hAnsiTheme="minorHAnsi"/>
          <w:b w:val="0"/>
          <w:color w:val="auto"/>
          <w:kern w:val="2"/>
          <w:sz w:val="24"/>
          <w:szCs w:val="24"/>
          <w:lang w:eastAsia="en-AU"/>
          <w14:ligatures w14:val="standardContextual"/>
        </w:rPr>
        <w:tab/>
      </w:r>
      <w:r>
        <w:t>Glossary</w:t>
      </w:r>
      <w:r>
        <w:tab/>
      </w:r>
      <w:r>
        <w:fldChar w:fldCharType="begin"/>
      </w:r>
      <w:r>
        <w:instrText xml:space="preserve"> PAGEREF _Toc211587064 \h </w:instrText>
      </w:r>
      <w:r>
        <w:fldChar w:fldCharType="separate"/>
      </w:r>
      <w:r w:rsidR="009E6E1D">
        <w:t>128</w:t>
      </w:r>
      <w:r>
        <w:fldChar w:fldCharType="end"/>
      </w:r>
    </w:p>
    <w:p w14:paraId="362BD9F2" w14:textId="2E8B18B5" w:rsidR="001B151E" w:rsidRDefault="001B151E">
      <w:pPr>
        <w:pStyle w:val="TOC4"/>
        <w:rPr>
          <w:rFonts w:asciiTheme="minorHAnsi" w:eastAsiaTheme="minorEastAsia" w:hAnsiTheme="minorHAnsi"/>
          <w:b w:val="0"/>
          <w:color w:val="auto"/>
          <w:kern w:val="2"/>
          <w:sz w:val="24"/>
          <w:szCs w:val="24"/>
          <w:lang w:eastAsia="en-AU"/>
          <w14:ligatures w14:val="standardContextual"/>
        </w:rPr>
      </w:pPr>
      <w:r>
        <w:t>Appendix C</w:t>
      </w:r>
      <w:r>
        <w:rPr>
          <w:rFonts w:asciiTheme="minorHAnsi" w:eastAsiaTheme="minorEastAsia" w:hAnsiTheme="minorHAnsi"/>
          <w:b w:val="0"/>
          <w:color w:val="auto"/>
          <w:kern w:val="2"/>
          <w:sz w:val="24"/>
          <w:szCs w:val="24"/>
          <w:lang w:eastAsia="en-AU"/>
          <w14:ligatures w14:val="standardContextual"/>
        </w:rPr>
        <w:tab/>
      </w:r>
      <w:r>
        <w:t>Figures</w:t>
      </w:r>
      <w:r>
        <w:tab/>
      </w:r>
      <w:r>
        <w:fldChar w:fldCharType="begin"/>
      </w:r>
      <w:r>
        <w:instrText xml:space="preserve"> PAGEREF _Toc211587065 \h </w:instrText>
      </w:r>
      <w:r>
        <w:fldChar w:fldCharType="separate"/>
      </w:r>
      <w:r w:rsidR="009E6E1D">
        <w:t>130</w:t>
      </w:r>
      <w:r>
        <w:fldChar w:fldCharType="end"/>
      </w:r>
    </w:p>
    <w:p w14:paraId="4B54D6CE" w14:textId="090EC29B" w:rsidR="001B151E" w:rsidRDefault="001B151E">
      <w:pPr>
        <w:pStyle w:val="TOC4"/>
        <w:rPr>
          <w:rFonts w:asciiTheme="minorHAnsi" w:eastAsiaTheme="minorEastAsia" w:hAnsiTheme="minorHAnsi"/>
          <w:b w:val="0"/>
          <w:color w:val="auto"/>
          <w:kern w:val="2"/>
          <w:sz w:val="24"/>
          <w:szCs w:val="24"/>
          <w:lang w:eastAsia="en-AU"/>
          <w14:ligatures w14:val="standardContextual"/>
        </w:rPr>
      </w:pPr>
      <w:r>
        <w:t>Appendix D</w:t>
      </w:r>
      <w:r>
        <w:rPr>
          <w:rFonts w:asciiTheme="minorHAnsi" w:eastAsiaTheme="minorEastAsia" w:hAnsiTheme="minorHAnsi"/>
          <w:b w:val="0"/>
          <w:color w:val="auto"/>
          <w:kern w:val="2"/>
          <w:sz w:val="24"/>
          <w:szCs w:val="24"/>
          <w:lang w:eastAsia="en-AU"/>
          <w14:ligatures w14:val="standardContextual"/>
        </w:rPr>
        <w:tab/>
      </w:r>
      <w:r>
        <w:t>Employment Projections 2025</w:t>
      </w:r>
      <w:r>
        <w:tab/>
      </w:r>
      <w:r>
        <w:fldChar w:fldCharType="begin"/>
      </w:r>
      <w:r>
        <w:instrText xml:space="preserve"> PAGEREF _Toc211587066 \h </w:instrText>
      </w:r>
      <w:r>
        <w:fldChar w:fldCharType="separate"/>
      </w:r>
      <w:r w:rsidR="009E6E1D">
        <w:t>133</w:t>
      </w:r>
      <w:r>
        <w:fldChar w:fldCharType="end"/>
      </w:r>
    </w:p>
    <w:p w14:paraId="59107BB6" w14:textId="10C17807" w:rsidR="00AE0185" w:rsidRDefault="00902D27" w:rsidP="00E03B0F">
      <w:r>
        <w:fldChar w:fldCharType="end"/>
      </w:r>
    </w:p>
    <w:p w14:paraId="72F39736" w14:textId="77777777" w:rsidR="00802B85" w:rsidRDefault="00802B85" w:rsidP="00E03B0F">
      <w:pPr>
        <w:sectPr w:rsidR="00802B85" w:rsidSect="004B3CB3">
          <w:headerReference w:type="even" r:id="rId29"/>
          <w:footerReference w:type="even" r:id="rId30"/>
          <w:headerReference w:type="first" r:id="rId31"/>
          <w:footerReference w:type="first" r:id="rId32"/>
          <w:type w:val="oddPage"/>
          <w:pgSz w:w="11907" w:h="16839" w:code="9"/>
          <w:pgMar w:top="1440" w:right="1270" w:bottom="1440" w:left="1270" w:header="720" w:footer="720" w:gutter="0"/>
          <w:pgNumType w:start="1"/>
          <w:cols w:space="720"/>
          <w:titlePg/>
          <w:docGrid w:linePitch="360"/>
        </w:sectPr>
      </w:pPr>
    </w:p>
    <w:p w14:paraId="11FFDBD6" w14:textId="77777777" w:rsidR="00802B85" w:rsidRDefault="00802B85" w:rsidP="004F0339">
      <w:pPr>
        <w:pStyle w:val="Heading1unnumbered"/>
        <w:ind w:left="1962"/>
      </w:pPr>
      <w:bookmarkStart w:id="1" w:name="_Toc211586977"/>
      <w:r>
        <w:t>Executive summary</w:t>
      </w:r>
      <w:bookmarkEnd w:id="1"/>
    </w:p>
    <w:p w14:paraId="1B543B0A" w14:textId="3753173D" w:rsidR="00802B85" w:rsidRPr="009B6515" w:rsidRDefault="00802B85" w:rsidP="004F0339">
      <w:pPr>
        <w:pStyle w:val="BodyText"/>
        <w:ind w:left="1962"/>
      </w:pPr>
      <w:r w:rsidRPr="009B6515">
        <w:t xml:space="preserve">Australia’s economic future depends not only on how much we produce, but on how </w:t>
      </w:r>
      <w:r>
        <w:t>effectively people, employers, and the skills system interact within a dynamic labour market</w:t>
      </w:r>
      <w:r w:rsidRPr="009B6515">
        <w:t xml:space="preserve">. Productivity and participation are distinct yet deeply interwoven forces that shape national prosperity and individual wellbeing. As the labour market evolves, </w:t>
      </w:r>
      <w:r w:rsidR="006C2E47">
        <w:t>strengthening the alignment</w:t>
      </w:r>
      <w:r w:rsidR="00891578" w:rsidRPr="00891578">
        <w:t xml:space="preserve"> between </w:t>
      </w:r>
      <w:r w:rsidR="008332D4">
        <w:t>people's skills and job opportunities</w:t>
      </w:r>
      <w:r w:rsidR="00833C05">
        <w:t xml:space="preserve"> is emerging</w:t>
      </w:r>
      <w:r w:rsidR="00891578">
        <w:t xml:space="preserve"> </w:t>
      </w:r>
      <w:r w:rsidRPr="009B6515">
        <w:t>as a practical and powerful enabler – supporting individuals to thrive in meaningful work and helping employers build resilient, innovative workforces.</w:t>
      </w:r>
    </w:p>
    <w:p w14:paraId="0969AEDA" w14:textId="645F5ED0" w:rsidR="00802B85" w:rsidRDefault="00571823" w:rsidP="004F0339">
      <w:pPr>
        <w:pStyle w:val="BodyText"/>
        <w:ind w:left="1962"/>
      </w:pPr>
      <w:r>
        <w:t>Making s</w:t>
      </w:r>
      <w:r w:rsidR="00D95A4B">
        <w:t xml:space="preserve">tronger </w:t>
      </w:r>
      <w:r w:rsidR="00F91C65">
        <w:t>connection</w:t>
      </w:r>
      <w:r>
        <w:t>s</w:t>
      </w:r>
      <w:r w:rsidR="00014F74">
        <w:t xml:space="preserve"> between </w:t>
      </w:r>
      <w:r w:rsidR="00D96CB4">
        <w:t xml:space="preserve">the </w:t>
      </w:r>
      <w:r w:rsidR="00014F74">
        <w:t xml:space="preserve">skills </w:t>
      </w:r>
      <w:r w:rsidR="00D96CB4">
        <w:t xml:space="preserve">that </w:t>
      </w:r>
      <w:r w:rsidR="00B53868">
        <w:t xml:space="preserve">workers have </w:t>
      </w:r>
      <w:r w:rsidR="00014F74">
        <w:t xml:space="preserve">and </w:t>
      </w:r>
      <w:r w:rsidR="00AD14DA">
        <w:t xml:space="preserve">the skills required </w:t>
      </w:r>
      <w:r w:rsidR="00CC3A81">
        <w:t>for</w:t>
      </w:r>
      <w:r w:rsidR="00AD14DA">
        <w:t xml:space="preserve"> jobs</w:t>
      </w:r>
      <w:r w:rsidR="00802B85" w:rsidRPr="009B6515">
        <w:t xml:space="preserve"> is not </w:t>
      </w:r>
      <w:r w:rsidR="00802B85">
        <w:t xml:space="preserve">merely </w:t>
      </w:r>
      <w:r w:rsidR="00802B85" w:rsidRPr="009B6515">
        <w:t>a technical fix</w:t>
      </w:r>
      <w:r w:rsidR="00DA3AB4">
        <w:t>,</w:t>
      </w:r>
      <w:r w:rsidR="00802B85" w:rsidRPr="009B6515">
        <w:t xml:space="preserve"> </w:t>
      </w:r>
      <w:r w:rsidR="00802B85">
        <w:t xml:space="preserve">but </w:t>
      </w:r>
      <w:r w:rsidR="00802B85" w:rsidRPr="009B6515">
        <w:t xml:space="preserve">a strategic lever for lifting both productivity and participation. When individuals are equipped with the right skills and capabilities for current and future roles, they are more likely to succeed at work, remain engaged in the labour market, and contribute to a more innovative and resilient economy. At a system level, </w:t>
      </w:r>
      <w:r w:rsidR="00802B85">
        <w:t>better matching</w:t>
      </w:r>
      <w:r w:rsidR="00802B85" w:rsidRPr="009B6515" w:rsidDel="00154B53">
        <w:t xml:space="preserve"> </w:t>
      </w:r>
      <w:r w:rsidR="00EC4FE4">
        <w:t>between jobs and skills</w:t>
      </w:r>
      <w:r w:rsidR="00802B85" w:rsidRPr="009B6515">
        <w:t xml:space="preserve"> enables more inclusive participation and ensures that </w:t>
      </w:r>
      <w:r w:rsidR="00802B85">
        <w:t xml:space="preserve">diverse </w:t>
      </w:r>
      <w:r w:rsidR="00802B85" w:rsidRPr="009B6515">
        <w:t>skills are used effectively across the economy.</w:t>
      </w:r>
      <w:r w:rsidR="00802B85">
        <w:t xml:space="preserve"> </w:t>
      </w:r>
    </w:p>
    <w:p w14:paraId="366587DC" w14:textId="14B4D7DD" w:rsidR="00802B85" w:rsidRPr="009B6515" w:rsidRDefault="00802B85" w:rsidP="004F0339">
      <w:pPr>
        <w:pStyle w:val="BodyText"/>
        <w:ind w:left="1962"/>
      </w:pPr>
      <w:r w:rsidRPr="009B6515">
        <w:t xml:space="preserve">For employers, better </w:t>
      </w:r>
      <w:r w:rsidRPr="009B6515" w:rsidDel="008C34C5">
        <w:t xml:space="preserve">matching </w:t>
      </w:r>
      <w:r w:rsidRPr="009B6515">
        <w:t xml:space="preserve">improves recruitment efficiency, reduces turnover, and supports workforce adaptability. </w:t>
      </w:r>
      <w:r>
        <w:t>At the same time, e</w:t>
      </w:r>
      <w:r w:rsidRPr="00380018">
        <w:t>mployers play a critical role in shaping job opportunities, job quality</w:t>
      </w:r>
      <w:r w:rsidR="001F5FF7">
        <w:t xml:space="preserve">, </w:t>
      </w:r>
      <w:r w:rsidR="00190EA3">
        <w:t>attraction</w:t>
      </w:r>
      <w:r w:rsidRPr="00380018">
        <w:t xml:space="preserve"> and </w:t>
      </w:r>
      <w:r w:rsidR="00190EA3">
        <w:t>r</w:t>
      </w:r>
      <w:r w:rsidR="000247DD">
        <w:t xml:space="preserve">etention of workers with the </w:t>
      </w:r>
      <w:r w:rsidR="008D7BEB">
        <w:t>desired skills</w:t>
      </w:r>
      <w:r w:rsidRPr="00380018">
        <w:t xml:space="preserve"> and workforce demand.</w:t>
      </w:r>
      <w:r>
        <w:t xml:space="preserve"> </w:t>
      </w:r>
      <w:r w:rsidRPr="00380018">
        <w:t>The skills system must respond to these signals, equipping workers with the capabilities needed to access</w:t>
      </w:r>
      <w:r>
        <w:t xml:space="preserve"> and retain</w:t>
      </w:r>
      <w:r w:rsidRPr="00380018">
        <w:t xml:space="preserve"> meaningful employment. Government plays a critical enabling role, fostering conditions for inclusive participation and productivity.</w:t>
      </w:r>
    </w:p>
    <w:p w14:paraId="7019D245" w14:textId="7456B270" w:rsidR="00802B85" w:rsidRPr="009B6515" w:rsidRDefault="00802B85" w:rsidP="004F0339">
      <w:pPr>
        <w:pStyle w:val="BodyText"/>
        <w:ind w:left="1962"/>
      </w:pPr>
      <w:r w:rsidRPr="009B6515">
        <w:t xml:space="preserve">JSA plays a central role in enabling this alignment. Through data, analysis, and deep engagement, we help build a more inclusive, responsive, and productive labour market. </w:t>
      </w:r>
      <w:r>
        <w:t>W</w:t>
      </w:r>
      <w:r w:rsidRPr="00380018">
        <w:t xml:space="preserve">e </w:t>
      </w:r>
      <w:r w:rsidR="006405E5">
        <w:t>highlight</w:t>
      </w:r>
      <w:r w:rsidR="006405E5" w:rsidRPr="00380018">
        <w:t xml:space="preserve"> </w:t>
      </w:r>
      <w:r w:rsidRPr="00380018">
        <w:t xml:space="preserve">the responsibilities of system actors and </w:t>
      </w:r>
      <w:r w:rsidR="006405E5">
        <w:t>identify</w:t>
      </w:r>
      <w:r w:rsidR="006405E5" w:rsidRPr="00380018">
        <w:t xml:space="preserve"> </w:t>
      </w:r>
      <w:r w:rsidRPr="00380018">
        <w:t>opportunities for strategic intervention.</w:t>
      </w:r>
      <w:r>
        <w:t xml:space="preserve"> </w:t>
      </w:r>
      <w:r w:rsidRPr="009B6515">
        <w:t xml:space="preserve">Our work </w:t>
      </w:r>
      <w:r w:rsidR="006405E5">
        <w:t>underscores</w:t>
      </w:r>
      <w:r w:rsidR="006405E5" w:rsidRPr="009B6515">
        <w:t xml:space="preserve"> </w:t>
      </w:r>
      <w:r w:rsidRPr="009B6515">
        <w:t xml:space="preserve">the importance of better matching – not only to lift productivity and participation, but to ensure that economic growth is broadly shared and </w:t>
      </w:r>
      <w:r>
        <w:t xml:space="preserve">that the workforce is </w:t>
      </w:r>
      <w:r w:rsidRPr="009B6515">
        <w:t>future-ready.</w:t>
      </w:r>
    </w:p>
    <w:p w14:paraId="29A4889E" w14:textId="38343A64" w:rsidR="00802B85" w:rsidRPr="00802B85" w:rsidRDefault="00802B85" w:rsidP="004F0339">
      <w:pPr>
        <w:pStyle w:val="BodyText"/>
        <w:ind w:left="1962"/>
      </w:pPr>
      <w:r w:rsidRPr="00802B85">
        <w:t>This report explores the complex dynamics of Australia’s labour market and the strategic interventions needed to address persistent frictions. It examines how productivity and participation are shaped by structural barriers, shifting workforce demands</w:t>
      </w:r>
      <w:r w:rsidR="00EB2400">
        <w:t xml:space="preserve"> and employment practices</w:t>
      </w:r>
      <w:r w:rsidRPr="00802B85">
        <w:t xml:space="preserve">, and the evolving role of education, migration and technology. Drawing on JSA’s data, analysis and engagement, the report highlights where </w:t>
      </w:r>
      <w:r w:rsidR="00D95A4B">
        <w:t>improved</w:t>
      </w:r>
      <w:r w:rsidR="00D95A4B" w:rsidRPr="00802B85">
        <w:t xml:space="preserve"> </w:t>
      </w:r>
      <w:r w:rsidR="00873D64">
        <w:t>connection</w:t>
      </w:r>
      <w:r w:rsidR="005A5C22">
        <w:t>s between skills and jobs</w:t>
      </w:r>
      <w:r w:rsidR="00873D64" w:rsidRPr="00802B85">
        <w:t xml:space="preserve"> </w:t>
      </w:r>
      <w:r w:rsidRPr="00802B85">
        <w:t>can unlock opportunity – supporting individuals to thrive, employers to adapt, and the system to become more inclusive, resilient and prepared for the challenges ahead.</w:t>
      </w:r>
    </w:p>
    <w:p w14:paraId="4350E921" w14:textId="77777777" w:rsidR="004F0339" w:rsidRDefault="004F0339" w:rsidP="00CD7DAD">
      <w:pPr>
        <w:pStyle w:val="Heading2unnumbered"/>
        <w:sectPr w:rsidR="004F0339" w:rsidSect="00DB587F">
          <w:headerReference w:type="even" r:id="rId33"/>
          <w:headerReference w:type="default" r:id="rId34"/>
          <w:footerReference w:type="even" r:id="rId35"/>
          <w:footerReference w:type="default" r:id="rId36"/>
          <w:footerReference w:type="first" r:id="rId37"/>
          <w:pgSz w:w="11907" w:h="16839" w:code="9"/>
          <w:pgMar w:top="1440" w:right="1270" w:bottom="1440" w:left="1270" w:header="720" w:footer="720" w:gutter="0"/>
          <w:cols w:space="720"/>
          <w:docGrid w:linePitch="360"/>
        </w:sectPr>
      </w:pPr>
      <w:bookmarkStart w:id="2" w:name="_Toc208923366"/>
    </w:p>
    <w:p w14:paraId="563721BC" w14:textId="77777777" w:rsidR="00802B85" w:rsidRPr="009B6515" w:rsidRDefault="00802B85" w:rsidP="00CD7DAD">
      <w:pPr>
        <w:pStyle w:val="Heading2unnumbered"/>
      </w:pPr>
      <w:bookmarkStart w:id="3" w:name="_Toc211586978"/>
      <w:r w:rsidRPr="009B6515">
        <w:t>Inclusive participation</w:t>
      </w:r>
      <w:bookmarkEnd w:id="2"/>
      <w:bookmarkEnd w:id="3"/>
    </w:p>
    <w:p w14:paraId="1C1600E4" w14:textId="45F49D48" w:rsidR="00802B85" w:rsidRPr="00802B85" w:rsidRDefault="00802B85" w:rsidP="00802B85">
      <w:pPr>
        <w:pStyle w:val="BodyText"/>
      </w:pPr>
      <w:r w:rsidRPr="009B6515">
        <w:t xml:space="preserve">Inclusive participation is both a social and economic imperative. Structural inequalities continue to shape employment outcomes, and many Australians face barriers to full participation. </w:t>
      </w:r>
      <w:r w:rsidRPr="00802B85">
        <w:t>Unlocking participation across all cohorts is essential to sustaining productivity, strengthening communities, and ensuring that no one is left behind.</w:t>
      </w:r>
    </w:p>
    <w:p w14:paraId="132CEB45" w14:textId="6AEC65EF" w:rsidR="00802B85" w:rsidRPr="00802B85" w:rsidRDefault="00802B85" w:rsidP="00802B85">
      <w:pPr>
        <w:pStyle w:val="BodyText"/>
      </w:pPr>
      <w:r w:rsidRPr="009B6515">
        <w:t>JSA</w:t>
      </w:r>
      <w:r w:rsidRPr="00802B85">
        <w:t xml:space="preserve"> provides evidence-based insights into the barriers to inclusive participation in the labour market. Our analysis highlights the importance of foundation and employability skills, inclusive workplaces, and diverse pathways into employment. These insights help inform targeted interventions and support more responsive workforce planning.</w:t>
      </w:r>
    </w:p>
    <w:p w14:paraId="3D4A71A3" w14:textId="77777777" w:rsidR="00802B85" w:rsidRPr="00802B85" w:rsidRDefault="00802B85" w:rsidP="00802B85">
      <w:pPr>
        <w:pStyle w:val="BodyText"/>
      </w:pPr>
      <w:r w:rsidRPr="00802B85">
        <w:t>Key insights:</w:t>
      </w:r>
    </w:p>
    <w:p w14:paraId="5BD0047E" w14:textId="65EAD81F" w:rsidR="002249C6" w:rsidRPr="002249C6" w:rsidRDefault="002249C6" w:rsidP="002249C6">
      <w:pPr>
        <w:pStyle w:val="ListBullet"/>
        <w:numPr>
          <w:ilvl w:val="0"/>
          <w:numId w:val="70"/>
        </w:numPr>
      </w:pPr>
      <w:r w:rsidRPr="000A3A66">
        <w:rPr>
          <w:rStyle w:val="Characterbold"/>
        </w:rPr>
        <w:t>Persistent disparities in education and employment outcomes for First Nations peoples reflect ongoing structural challenges</w:t>
      </w:r>
      <w:r w:rsidRPr="002249C6">
        <w:t xml:space="preserve"> within systems not designed with First Nations perspectives at their core. First Nations workers bring rich cultural knowledge, community leadership, and diverse skills to the workforce, yet are often concentrated in gendered roles and undervalued sectors. First Nations women, in particular, demonstrate remarkable strength and capability, despite facing the largest gender pay gap in Australia.</w:t>
      </w:r>
      <w:r>
        <w:t xml:space="preserve"> </w:t>
      </w:r>
      <w:r w:rsidRPr="002249C6">
        <w:t>Addressing these inequities requires urgent, co-designed approaches that elevate First Nations voices, honour cultural knowledge and lived experience, and foster inclusive pathways into education, training, and meaningful employment. By centring First Nations leadership and strengths, we can build systems that support equity, opportunity, and long</w:t>
      </w:r>
      <w:r w:rsidR="00736FAB">
        <w:noBreakHyphen/>
      </w:r>
      <w:r w:rsidRPr="002249C6">
        <w:t>term success.</w:t>
      </w:r>
    </w:p>
    <w:p w14:paraId="6BF63D33" w14:textId="605E5BFD" w:rsidR="00802B85" w:rsidRPr="00802B85" w:rsidRDefault="00802B85" w:rsidP="00802B85">
      <w:pPr>
        <w:pStyle w:val="ListBullet"/>
      </w:pPr>
      <w:r w:rsidRPr="00802B85">
        <w:rPr>
          <w:rStyle w:val="Characterbold"/>
        </w:rPr>
        <w:t>There are persistent and systemic barriers to equitable labour market participation for people with disability</w:t>
      </w:r>
      <w:r w:rsidRPr="00802B85">
        <w:t xml:space="preserve">. People aged 15-64 with disability had a participation rate of 60.5% in 2022, up from 53.4% in 2018, but still well below the 84.9% rate for those without disability. The unemployment rate was more than double (7.5% for people with disability </w:t>
      </w:r>
      <w:r w:rsidR="00BF1B5E">
        <w:t>compared to</w:t>
      </w:r>
      <w:r w:rsidRPr="00802B85">
        <w:t xml:space="preserve"> 3.1% for those without disability). Labour market disadvantage also increases with the severity of disability, and people with disability are over-represented in lower-skill jobs.</w:t>
      </w:r>
      <w:r w:rsidRPr="00802B85">
        <w:rPr>
          <w:rStyle w:val="FootnoteReference"/>
        </w:rPr>
        <w:footnoteReference w:id="1"/>
      </w:r>
    </w:p>
    <w:p w14:paraId="6096B633" w14:textId="526FBBCF" w:rsidR="00802B85" w:rsidRPr="00802B85" w:rsidRDefault="00802B85" w:rsidP="00802B85">
      <w:pPr>
        <w:pStyle w:val="ListBullet"/>
      </w:pPr>
      <w:r w:rsidRPr="00802B85">
        <w:rPr>
          <w:rStyle w:val="Characterbold"/>
        </w:rPr>
        <w:t xml:space="preserve">Despite recent gains, the rate of women’s labour force participation </w:t>
      </w:r>
      <w:r w:rsidR="00790174">
        <w:rPr>
          <w:rStyle w:val="Characterbold"/>
        </w:rPr>
        <w:t>is</w:t>
      </w:r>
      <w:r w:rsidRPr="00802B85">
        <w:rPr>
          <w:rStyle w:val="Characterbold"/>
        </w:rPr>
        <w:t xml:space="preserve"> </w:t>
      </w:r>
      <w:r w:rsidR="00F0278C">
        <w:rPr>
          <w:rStyle w:val="Characterbold"/>
        </w:rPr>
        <w:t>still lower than</w:t>
      </w:r>
      <w:r w:rsidR="00F0278C" w:rsidRPr="00802B85">
        <w:rPr>
          <w:rStyle w:val="Characterbold"/>
        </w:rPr>
        <w:t xml:space="preserve"> </w:t>
      </w:r>
      <w:r w:rsidRPr="00802B85">
        <w:rPr>
          <w:rStyle w:val="Characterbold"/>
        </w:rPr>
        <w:t>that of men</w:t>
      </w:r>
      <w:r w:rsidRPr="00802B85">
        <w:t xml:space="preserve">. Women’s employment grew more than men’s over the 15 years to 2021, </w:t>
      </w:r>
      <w:r w:rsidR="00D61E8A">
        <w:t>alongside</w:t>
      </w:r>
      <w:r w:rsidR="00D61E8A" w:rsidRPr="00802B85">
        <w:t xml:space="preserve"> </w:t>
      </w:r>
      <w:r w:rsidRPr="00802B85">
        <w:t>strong gains in the achievement of tertiary qualifications. Yet, men outearn women in 98% of</w:t>
      </w:r>
      <w:r w:rsidR="00B71AEC">
        <w:t xml:space="preserve"> the 688 </w:t>
      </w:r>
      <w:r w:rsidR="008A3C50">
        <w:t>occupations (</w:t>
      </w:r>
      <w:r w:rsidR="005A3BB8">
        <w:t xml:space="preserve">6-digit </w:t>
      </w:r>
      <w:r w:rsidR="005A3BB8" w:rsidRPr="005A3BB8">
        <w:t>Australian and New Zealand Standard Classification of Occupations</w:t>
      </w:r>
      <w:r w:rsidR="00165648">
        <w:t xml:space="preserve"> </w:t>
      </w:r>
      <w:r w:rsidR="005A3BB8">
        <w:t>(ANZSCO)</w:t>
      </w:r>
      <w:r w:rsidR="008A3C50">
        <w:t>)</w:t>
      </w:r>
      <w:r w:rsidR="000A23F3">
        <w:t xml:space="preserve"> </w:t>
      </w:r>
      <w:r w:rsidR="009214EA">
        <w:t>considered</w:t>
      </w:r>
      <w:r w:rsidR="000A23F3">
        <w:t xml:space="preserve"> </w:t>
      </w:r>
      <w:r w:rsidR="005A09DA">
        <w:t>for th</w:t>
      </w:r>
      <w:r w:rsidR="00194052">
        <w:t>e pay gap</w:t>
      </w:r>
      <w:r w:rsidR="005A09DA">
        <w:t xml:space="preserve"> </w:t>
      </w:r>
      <w:r w:rsidR="00194052">
        <w:t>analysis</w:t>
      </w:r>
      <w:r w:rsidR="005A09DA">
        <w:t xml:space="preserve"> </w:t>
      </w:r>
      <w:r w:rsidR="009214EA">
        <w:t>in</w:t>
      </w:r>
      <w:r w:rsidR="005A09DA">
        <w:t xml:space="preserve"> JSA's</w:t>
      </w:r>
      <w:r w:rsidR="000A23F3">
        <w:t xml:space="preserve"> </w:t>
      </w:r>
      <w:r w:rsidR="00A91F43" w:rsidRPr="00171A71">
        <w:rPr>
          <w:rStyle w:val="Characteritalic"/>
        </w:rPr>
        <w:t>Gender Economic Equality Study</w:t>
      </w:r>
      <w:r w:rsidR="001676C8">
        <w:t>. The</w:t>
      </w:r>
      <w:r w:rsidR="00C27336">
        <w:t>se</w:t>
      </w:r>
      <w:r w:rsidRPr="00802B85">
        <w:t xml:space="preserve"> gaps widen and worsen at the highest rates of occupational gender segregation. Occupational segregation remains entrenched, with only 21% of the Australian workforce in gender balanced occupations. </w:t>
      </w:r>
    </w:p>
    <w:p w14:paraId="10D8B94B" w14:textId="2AD71AC5" w:rsidR="00802B85" w:rsidRPr="00802B85" w:rsidRDefault="00802B85" w:rsidP="00802B85">
      <w:pPr>
        <w:pStyle w:val="ListBullet"/>
      </w:pPr>
      <w:r w:rsidRPr="00802B85">
        <w:rPr>
          <w:rStyle w:val="Characterbold"/>
        </w:rPr>
        <w:t>Employment patterns for both young and older workers highlight both untapped potential and structural vulnerabilities</w:t>
      </w:r>
      <w:r w:rsidRPr="00802B85">
        <w:t xml:space="preserve">. </w:t>
      </w:r>
      <w:r w:rsidR="002C0D98">
        <w:t>While the</w:t>
      </w:r>
      <w:r w:rsidRPr="00802B85">
        <w:t xml:space="preserve"> number of young people </w:t>
      </w:r>
      <w:r w:rsidR="002C0D98">
        <w:t xml:space="preserve">who are </w:t>
      </w:r>
      <w:r w:rsidRPr="00802B85">
        <w:t>not in employment, education or training</w:t>
      </w:r>
      <w:r w:rsidR="002C0D98">
        <w:t xml:space="preserve"> has declined over the year, </w:t>
      </w:r>
      <w:r w:rsidR="00A46971">
        <w:t>youth disengagement continues to present a significant challenge</w:t>
      </w:r>
      <w:r w:rsidR="00FD1A94">
        <w:t>,</w:t>
      </w:r>
      <w:r w:rsidR="00A46971">
        <w:t xml:space="preserve"> </w:t>
      </w:r>
      <w:r w:rsidR="00F773D6">
        <w:t>and</w:t>
      </w:r>
      <w:r w:rsidR="00A46971">
        <w:t xml:space="preserve"> youth unemployment </w:t>
      </w:r>
      <w:r w:rsidR="00F773D6">
        <w:t xml:space="preserve">is </w:t>
      </w:r>
      <w:r w:rsidR="00A46971">
        <w:t>at more than double the national rate</w:t>
      </w:r>
      <w:r w:rsidRPr="00802B85">
        <w:t xml:space="preserve">. </w:t>
      </w:r>
      <w:r w:rsidR="008D1D1A">
        <w:t>Youth e</w:t>
      </w:r>
      <w:r w:rsidRPr="00802B85">
        <w:t xml:space="preserve">mployment is also concentrated in lower-skilled, economically vulnerable sectors. </w:t>
      </w:r>
      <w:r w:rsidR="00160821">
        <w:t xml:space="preserve">Over the past six decades, Australia's rising labour force participation has been shaped </w:t>
      </w:r>
      <w:r w:rsidR="00306574">
        <w:t xml:space="preserve">in part by the sustained involvement of mature-aged workers, alongside </w:t>
      </w:r>
      <w:r w:rsidR="00830F02">
        <w:t xml:space="preserve">a significant </w:t>
      </w:r>
      <w:r w:rsidR="00306574">
        <w:t>increase</w:t>
      </w:r>
      <w:r w:rsidR="00830F02">
        <w:t xml:space="preserve"> in</w:t>
      </w:r>
      <w:r w:rsidR="00306574">
        <w:t xml:space="preserve"> participation among women. </w:t>
      </w:r>
      <w:r w:rsidR="00DD52AE">
        <w:t>The depth of e</w:t>
      </w:r>
      <w:r w:rsidRPr="00802B85">
        <w:t xml:space="preserve">xperience and practical knowledge </w:t>
      </w:r>
      <w:r w:rsidR="00C15444">
        <w:t>that mature workers bring to the labour force is a vital asset,</w:t>
      </w:r>
      <w:r w:rsidRPr="00802B85">
        <w:t xml:space="preserve"> so ensuring effective skills and knowledge transfer </w:t>
      </w:r>
      <w:r w:rsidR="00DC2DF6">
        <w:t xml:space="preserve">occurs across generations of workers </w:t>
      </w:r>
      <w:r w:rsidRPr="00802B85">
        <w:t xml:space="preserve">is </w:t>
      </w:r>
      <w:r w:rsidR="00DC2DF6">
        <w:t>key</w:t>
      </w:r>
      <w:r w:rsidR="00DC2DF6" w:rsidRPr="00802B85">
        <w:t xml:space="preserve"> </w:t>
      </w:r>
      <w:r w:rsidRPr="00802B85">
        <w:t>to maintain</w:t>
      </w:r>
      <w:r w:rsidR="00DC2DF6">
        <w:t>ing</w:t>
      </w:r>
      <w:r w:rsidRPr="00802B85">
        <w:t xml:space="preserve"> workforce capability and support</w:t>
      </w:r>
      <w:r w:rsidR="00760055">
        <w:t>ing</w:t>
      </w:r>
      <w:r w:rsidRPr="00802B85">
        <w:t xml:space="preserve"> new entrants.</w:t>
      </w:r>
    </w:p>
    <w:p w14:paraId="654921E6" w14:textId="6978AD51" w:rsidR="00802B85" w:rsidRPr="00802B85" w:rsidRDefault="00802B85" w:rsidP="002E6277">
      <w:pPr>
        <w:pStyle w:val="ListBullet"/>
        <w:keepLines/>
        <w:ind w:left="357" w:hanging="357"/>
      </w:pPr>
      <w:r w:rsidRPr="00802B85">
        <w:rPr>
          <w:rStyle w:val="Characterbold"/>
        </w:rPr>
        <w:t>Foundation skills underpin participation in meaningful work, society, and community</w:t>
      </w:r>
      <w:r w:rsidRPr="00802B85">
        <w:t xml:space="preserve">. </w:t>
      </w:r>
      <w:r w:rsidR="0042267F" w:rsidRPr="0042267F">
        <w:t xml:space="preserve">New analysis using administrative data highlights differences in foundation skill levels across priority groups, including lower numeracy and digital literacy among </w:t>
      </w:r>
      <w:r w:rsidR="004F455F" w:rsidRPr="00F068EF">
        <w:t>Culturally and Linguistically Diverse</w:t>
      </w:r>
      <w:r w:rsidR="004F455F" w:rsidRPr="0042267F">
        <w:t xml:space="preserve"> </w:t>
      </w:r>
      <w:r w:rsidR="00A83CC6">
        <w:t>(</w:t>
      </w:r>
      <w:r w:rsidR="0042267F" w:rsidRPr="0042267F">
        <w:t>CALD</w:t>
      </w:r>
      <w:r w:rsidR="00A83CC6">
        <w:t>)</w:t>
      </w:r>
      <w:r w:rsidR="0042267F" w:rsidRPr="0042267F">
        <w:t xml:space="preserve"> participants, strong oral communication among First Nations participants, and gender-based variation, with women showing slightly higher literacy and slightly lower numeracy proficiency than men. </w:t>
      </w:r>
      <w:r w:rsidR="0044696E" w:rsidRPr="0044696E">
        <w:t>Gaps in employability skills may contribute to occupation shortages and hinder job placement</w:t>
      </w:r>
      <w:r w:rsidR="00704B37">
        <w:t xml:space="preserve"> and participation</w:t>
      </w:r>
      <w:r w:rsidR="0044696E" w:rsidRPr="0044696E">
        <w:t xml:space="preserve">. </w:t>
      </w:r>
    </w:p>
    <w:p w14:paraId="41A6627A" w14:textId="185E8B16" w:rsidR="00802B85" w:rsidRPr="00802B85" w:rsidRDefault="00802B85" w:rsidP="00802B85">
      <w:pPr>
        <w:pStyle w:val="ListBullet"/>
      </w:pPr>
      <w:r w:rsidRPr="00802B85">
        <w:rPr>
          <w:rStyle w:val="Characterbold"/>
        </w:rPr>
        <w:t>Occupations with more inclusive workforces are less likely to be in shortage, especially when inclusivity is accompanied by well-developed and well-matched skills</w:t>
      </w:r>
      <w:r w:rsidRPr="00802B85">
        <w:t>. This is true across cohorts including First Nations people, people with disability, and different age cohorts. The benefits of greater representation were also more pronounced in highly skilled roles and for certain occupational groups.</w:t>
      </w:r>
    </w:p>
    <w:p w14:paraId="2942C4E8" w14:textId="1194C8A3" w:rsidR="00802B85" w:rsidRPr="009B6515" w:rsidRDefault="00802B85" w:rsidP="00CD7DAD">
      <w:pPr>
        <w:pStyle w:val="Heading2unnumbered"/>
      </w:pPr>
      <w:bookmarkStart w:id="4" w:name="_Toc208923367"/>
      <w:bookmarkStart w:id="5" w:name="_Toc211586979"/>
      <w:r w:rsidRPr="009B6515">
        <w:t>Barriers to productivity and participation in today’s labour</w:t>
      </w:r>
      <w:r w:rsidR="003512FC">
        <w:t> </w:t>
      </w:r>
      <w:r w:rsidRPr="009B6515">
        <w:t>market</w:t>
      </w:r>
      <w:bookmarkEnd w:id="4"/>
      <w:bookmarkEnd w:id="5"/>
    </w:p>
    <w:p w14:paraId="0188C204" w14:textId="3EFD3BC2" w:rsidR="00802B85" w:rsidRPr="009B6515" w:rsidRDefault="00802B85" w:rsidP="004B3CB3">
      <w:pPr>
        <w:pStyle w:val="BodyText"/>
      </w:pPr>
      <w:r w:rsidRPr="009B6515">
        <w:t xml:space="preserve">Australia’s labour market continues to evolve in response to demographic shifts, technological change, and economic transformation. Yet persistent frictions remain – limiting the ability of individuals, businesses and </w:t>
      </w:r>
      <w:r w:rsidRPr="004B3CB3">
        <w:t>regions</w:t>
      </w:r>
      <w:r w:rsidRPr="009B6515">
        <w:t xml:space="preserve"> to fully contribute to and benefit from opportunities for growth. These barriers are not uniform; they emerge in different ways across occupations, employers and regions, and often reflect deeper structural constraints in how skills are developed, </w:t>
      </w:r>
      <w:r w:rsidR="00633C38">
        <w:t>connected to work,</w:t>
      </w:r>
      <w:r w:rsidR="00633C38" w:rsidRPr="009B6515">
        <w:t xml:space="preserve"> </w:t>
      </w:r>
      <w:r w:rsidRPr="009B6515">
        <w:t xml:space="preserve">and </w:t>
      </w:r>
      <w:r>
        <w:t>deepened</w:t>
      </w:r>
      <w:r w:rsidRPr="009B6515">
        <w:t>.</w:t>
      </w:r>
    </w:p>
    <w:p w14:paraId="7687BCBC" w14:textId="566C3924" w:rsidR="00802B85" w:rsidRPr="009B6515" w:rsidRDefault="00802B85" w:rsidP="00802B85">
      <w:pPr>
        <w:pStyle w:val="BodyText"/>
      </w:pPr>
      <w:r>
        <w:t xml:space="preserve">It is important to understand labour market dynamics from a range of perspectives. </w:t>
      </w:r>
      <w:r w:rsidRPr="009B6515">
        <w:t>At the occupational level, shortages signal inefficiencies in labour allocation and reveal where training pathways, qualification design</w:t>
      </w:r>
      <w:r>
        <w:t>,</w:t>
      </w:r>
      <w:r w:rsidR="00FF1505">
        <w:t xml:space="preserve"> workforce planning,</w:t>
      </w:r>
      <w:r>
        <w:t xml:space="preserve"> investment in training</w:t>
      </w:r>
      <w:r w:rsidRPr="009B6515">
        <w:t xml:space="preserve"> </w:t>
      </w:r>
      <w:r w:rsidR="0018091D">
        <w:t>and</w:t>
      </w:r>
      <w:r w:rsidRPr="009B6515">
        <w:t xml:space="preserve"> retention challenges are impeding workforce responsiveness. From the employer perspective, recruitment and retention difficulties are affecting business performance and productivity. Regionally, uneven access to opportunity – shaped by infrastructure, service availability and foundational skill gaps – continues to constrain participation, particularly in areas facing compounding disadvantage.</w:t>
      </w:r>
    </w:p>
    <w:p w14:paraId="50607BB9" w14:textId="484A624B" w:rsidR="00802B85" w:rsidRPr="009B6515" w:rsidRDefault="00802B85" w:rsidP="00802B85">
      <w:pPr>
        <w:pStyle w:val="BodyText"/>
      </w:pPr>
      <w:r w:rsidRPr="009B6515">
        <w:t xml:space="preserve">By examining these barriers in detail, JSA provides a foundation for targeted, evidence-based responses. Our insights help identify where interventions are most needed and how they can be tailored to address the specific challenges facing different parts of the labour market. </w:t>
      </w:r>
      <w:r w:rsidR="00510CA4">
        <w:t>T</w:t>
      </w:r>
      <w:r w:rsidR="00444BAF">
        <w:t>his includes</w:t>
      </w:r>
      <w:r w:rsidRPr="009B6515">
        <w:t xml:space="preserve"> improved training design, </w:t>
      </w:r>
      <w:r>
        <w:t>integration of services to better support people</w:t>
      </w:r>
      <w:r w:rsidR="001A38C5">
        <w:t xml:space="preserve"> to</w:t>
      </w:r>
      <w:r>
        <w:t xml:space="preserve"> navigate their way </w:t>
      </w:r>
      <w:r w:rsidR="000F33E9">
        <w:t xml:space="preserve">into and </w:t>
      </w:r>
      <w:r w:rsidR="001A38C5">
        <w:t>through</w:t>
      </w:r>
      <w:r>
        <w:t xml:space="preserve"> the labour market</w:t>
      </w:r>
      <w:r w:rsidRPr="009B6515">
        <w:t xml:space="preserve">, place-based policy reform, </w:t>
      </w:r>
      <w:r w:rsidR="00D83E02">
        <w:t xml:space="preserve">and </w:t>
      </w:r>
      <w:r w:rsidR="00E4663B">
        <w:t>identifying opportunities for</w:t>
      </w:r>
      <w:r w:rsidR="00D83E02" w:rsidRPr="00D83E02">
        <w:t xml:space="preserve"> employers to </w:t>
      </w:r>
      <w:r w:rsidR="00E4663B">
        <w:t xml:space="preserve">improve their attraction and retention of </w:t>
      </w:r>
      <w:r w:rsidR="001A27A9">
        <w:t xml:space="preserve">workers with the desired skills </w:t>
      </w:r>
      <w:r w:rsidR="00DA6002">
        <w:t>(such as</w:t>
      </w:r>
      <w:r w:rsidR="00D83E02" w:rsidRPr="00D83E02">
        <w:t xml:space="preserve"> </w:t>
      </w:r>
      <w:r w:rsidR="00DA6002">
        <w:t>improved</w:t>
      </w:r>
      <w:r w:rsidR="00D83E02" w:rsidRPr="00D83E02">
        <w:t xml:space="preserve"> workforce planning, culture, and inclusivity</w:t>
      </w:r>
      <w:r w:rsidR="00DA6002">
        <w:t>)</w:t>
      </w:r>
      <w:r w:rsidR="00D83E02">
        <w:t>. A</w:t>
      </w:r>
      <w:r w:rsidRPr="009B6515">
        <w:t>ddressing these frictions is essential to building more inclusive, resilient and productive work</w:t>
      </w:r>
      <w:r>
        <w:t>places</w:t>
      </w:r>
      <w:r w:rsidRPr="009B6515">
        <w:t>.</w:t>
      </w:r>
    </w:p>
    <w:p w14:paraId="36CAF0E9" w14:textId="77777777" w:rsidR="00802B85" w:rsidRPr="009B6515" w:rsidRDefault="00802B85" w:rsidP="001B151E">
      <w:pPr>
        <w:pStyle w:val="BodyText"/>
        <w:keepNext/>
      </w:pPr>
      <w:r w:rsidRPr="009B6515">
        <w:t>Key insights:</w:t>
      </w:r>
    </w:p>
    <w:p w14:paraId="3A5E0260" w14:textId="7003F534" w:rsidR="00D969B3" w:rsidRPr="00D969B3" w:rsidRDefault="00802B85" w:rsidP="00EA5E5C">
      <w:pPr>
        <w:pStyle w:val="ListBullet"/>
      </w:pPr>
      <w:r w:rsidRPr="00802B85">
        <w:rPr>
          <w:rStyle w:val="Characterbold"/>
        </w:rPr>
        <w:t>Occupation shortages reflect structural constraints.</w:t>
      </w:r>
      <w:r w:rsidRPr="00802B85">
        <w:t xml:space="preserve"> </w:t>
      </w:r>
      <w:r w:rsidR="00D969B3" w:rsidRPr="00D969B3">
        <w:t xml:space="preserve">Limited access to training, misalignment between qualifications and job readiness, and challenges in attracting and retaining workers – can constrain the supply of suitable candidates. This is exacerbated by demand outpacing supply. For example, population ageing is fuelling demand for health services, but limits in training placements and long lead times through training are constraining supply in many health roles. </w:t>
      </w:r>
    </w:p>
    <w:p w14:paraId="0C5BB139" w14:textId="78AF6FF7" w:rsidR="00802B85" w:rsidRPr="00736FAB" w:rsidRDefault="00736FAB" w:rsidP="00736FAB">
      <w:pPr>
        <w:pStyle w:val="ListBullet"/>
        <w:rPr>
          <w:b/>
        </w:rPr>
      </w:pPr>
      <w:r w:rsidRPr="00736FAB">
        <w:rPr>
          <w:rStyle w:val="Characterbold"/>
        </w:rPr>
        <w:t>Employer recruitment and retention challenges are widespread, with these difficulties impacting business productivity.</w:t>
      </w:r>
      <w:r>
        <w:rPr>
          <w:rStyle w:val="Characterbold"/>
        </w:rPr>
        <w:t> </w:t>
      </w:r>
      <w:r w:rsidRPr="00736FAB">
        <w:t>Almost a quarter of employers who are recruiting indicate they are doing so to replace at least one of their current staff at least every 6</w:t>
      </w:r>
      <w:r>
        <w:t> </w:t>
      </w:r>
      <w:r w:rsidRPr="00736FAB">
        <w:t>months, with JSA's employer survey data citing job switching and physically demanding or repetitive work as common drivers of this staffing turnover. These patterns contribute to high recruitment costs, increased workload for remaining staff, and reduced productivity and revenue. Employers can help address these challenges through job design and investment in training in some cases</w:t>
      </w:r>
      <w:r w:rsidR="00802B85" w:rsidRPr="00802B85">
        <w:t>.</w:t>
      </w:r>
    </w:p>
    <w:p w14:paraId="34AAA136" w14:textId="130E8DC1" w:rsidR="00802B85" w:rsidRPr="00802B85" w:rsidRDefault="00802B85" w:rsidP="00802B85">
      <w:pPr>
        <w:pStyle w:val="ListBullet"/>
      </w:pPr>
      <w:r w:rsidRPr="00802B85">
        <w:rPr>
          <w:rStyle w:val="Characterbold"/>
        </w:rPr>
        <w:t>Regional participation is disproportionately affected by socioeconomic and structural barriers.</w:t>
      </w:r>
      <w:r w:rsidRPr="00802B85">
        <w:t xml:space="preserve"> These include essential service vacancies, infrastructure and transport limitations, and foundational skill gaps. Such barriers </w:t>
      </w:r>
      <w:r w:rsidR="00CC2BC7">
        <w:t>are</w:t>
      </w:r>
      <w:r w:rsidRPr="00802B85">
        <w:t xml:space="preserve"> often interlinked – limiting access to opportunity and reducing workforce capacity. </w:t>
      </w:r>
    </w:p>
    <w:p w14:paraId="7D264907" w14:textId="77777777" w:rsidR="00802B85" w:rsidRPr="009B6515" w:rsidRDefault="00802B85" w:rsidP="00CD7DAD">
      <w:pPr>
        <w:pStyle w:val="Heading2unnumbered"/>
      </w:pPr>
      <w:bookmarkStart w:id="6" w:name="_Toc208923368"/>
      <w:bookmarkStart w:id="7" w:name="_Toc211586980"/>
      <w:r w:rsidRPr="009B6515">
        <w:t>The future labour market</w:t>
      </w:r>
      <w:bookmarkEnd w:id="6"/>
      <w:bookmarkEnd w:id="7"/>
    </w:p>
    <w:p w14:paraId="242A3B0F" w14:textId="680E5EFE" w:rsidR="00E726C6" w:rsidRDefault="00802B85" w:rsidP="00802B85">
      <w:pPr>
        <w:pStyle w:val="BodyText"/>
      </w:pPr>
      <w:r w:rsidRPr="009B6515">
        <w:t xml:space="preserve">Preparing for the future requires a dynamic and responsive skills system – one that equips individuals to reskill throughout their careers and enables employers to adapt to change. </w:t>
      </w:r>
      <w:r w:rsidR="002F07D0">
        <w:t>Improved</w:t>
      </w:r>
      <w:r w:rsidR="00E726C6" w:rsidRPr="009B6515">
        <w:t xml:space="preserve"> matching will be central to realising the productivity gains offered by innovation and technological advancement. </w:t>
      </w:r>
    </w:p>
    <w:p w14:paraId="40CC8310" w14:textId="4581EB3C" w:rsidR="00802B85" w:rsidRPr="009B6515" w:rsidRDefault="00802B85" w:rsidP="00802B85">
      <w:pPr>
        <w:pStyle w:val="BodyText"/>
      </w:pPr>
      <w:r w:rsidRPr="009B6515">
        <w:t>JSA’s employment projections and targeted studies, such as the Gen AI Capacity Study, provide critical foresight into emerging trends and help shape proactive responses to change. Our insights support a skills system that is not only reactive, but agile and anticipatory – capable of responding to disruption, unlocking new opportunities, and supporting inclusive participation.</w:t>
      </w:r>
    </w:p>
    <w:p w14:paraId="00CCC306" w14:textId="16A93142" w:rsidR="00802B85" w:rsidRPr="009B6515" w:rsidRDefault="00802B85" w:rsidP="00802B85">
      <w:pPr>
        <w:pStyle w:val="BodyText"/>
      </w:pPr>
      <w:r w:rsidRPr="009B6515">
        <w:t>Through data, analysis and deep engagement, we support strategic planning across government, education and industry, helping to build a future-ready workforce and a more resilient economy.</w:t>
      </w:r>
    </w:p>
    <w:p w14:paraId="4A627839" w14:textId="77777777" w:rsidR="00802B85" w:rsidRPr="009B6515" w:rsidRDefault="00802B85" w:rsidP="00802B85">
      <w:pPr>
        <w:pStyle w:val="BodyText"/>
      </w:pPr>
      <w:r w:rsidRPr="009B6515">
        <w:t xml:space="preserve">Key insights: </w:t>
      </w:r>
    </w:p>
    <w:p w14:paraId="3EAB01A5" w14:textId="77777777" w:rsidR="00802B85" w:rsidRPr="00802B85" w:rsidRDefault="00802B85" w:rsidP="00802B85">
      <w:pPr>
        <w:pStyle w:val="ListBullet"/>
      </w:pPr>
      <w:r w:rsidRPr="00802B85">
        <w:rPr>
          <w:rStyle w:val="Characterbold"/>
        </w:rPr>
        <w:t>Australia’s labour market has undergone significant structural change, with the workforce shifting toward service industries and higher-skilled roles.</w:t>
      </w:r>
      <w:r w:rsidRPr="00802B85">
        <w:t> Service industries accounted for nearly 90% of employment growth over the past decade. In contrast, employment in some producing industries has declined, including Manufacturing and Agriculture, reflecting a long</w:t>
      </w:r>
      <w:r w:rsidRPr="00802B85">
        <w:noBreakHyphen/>
        <w:t xml:space="preserve">term shift away from traditional production sectors. </w:t>
      </w:r>
    </w:p>
    <w:p w14:paraId="416ADB34" w14:textId="77777777" w:rsidR="00802B85" w:rsidRPr="00802B85" w:rsidRDefault="00802B85" w:rsidP="00802B85">
      <w:pPr>
        <w:pStyle w:val="ListBullet"/>
      </w:pPr>
      <w:r w:rsidRPr="00802B85">
        <w:rPr>
          <w:rStyle w:val="Characterbold"/>
        </w:rPr>
        <w:t>Workforce composition is evolving.</w:t>
      </w:r>
      <w:r w:rsidRPr="00802B85">
        <w:t> Participation by women and mature-aged workers has increased substantially over recent decades, and employment growth over the 10 years to May 2025 has been strongest in higher-skilled occupations. Lower skilled occupations have seen modest growth by comparison, reflecting the shift to higher-skilled roles overall.</w:t>
      </w:r>
    </w:p>
    <w:p w14:paraId="3B681F93" w14:textId="2C5C43BB" w:rsidR="00802B85" w:rsidRPr="00802B85" w:rsidRDefault="00802B85" w:rsidP="002E6277">
      <w:pPr>
        <w:pStyle w:val="ListBullet"/>
        <w:keepLines/>
        <w:ind w:left="357" w:hanging="357"/>
      </w:pPr>
      <w:r w:rsidRPr="00802B85">
        <w:rPr>
          <w:rStyle w:val="Characterbold"/>
        </w:rPr>
        <w:t>JSA’s employment projections to 2035 provide a forward-looking view of workforce demand.</w:t>
      </w:r>
      <w:r w:rsidRPr="00802B85">
        <w:t xml:space="preserve"> These projections help governments, industry and education providers anticipate shifts driven by technology, demographic change and evolving industry needs. </w:t>
      </w:r>
      <w:r w:rsidR="009F5002">
        <w:t xml:space="preserve">A </w:t>
      </w:r>
      <w:r w:rsidR="009F5002" w:rsidRPr="00EA77C1">
        <w:t>long</w:t>
      </w:r>
      <w:r w:rsidR="009F5002">
        <w:noBreakHyphen/>
      </w:r>
      <w:r w:rsidR="009F5002" w:rsidRPr="00EA77C1">
        <w:t xml:space="preserve">term structural shift in employment towards services-related industries is projected to continue over the next decade, with </w:t>
      </w:r>
      <w:r w:rsidR="009F5002">
        <w:t>the 3 largest service</w:t>
      </w:r>
      <w:r w:rsidR="009F5002" w:rsidRPr="00EA77C1">
        <w:t xml:space="preserve"> industries contributing</w:t>
      </w:r>
      <w:r w:rsidR="009F5002">
        <w:t xml:space="preserve"> close</w:t>
      </w:r>
      <w:r w:rsidR="009F5002" w:rsidRPr="00EA77C1">
        <w:t xml:space="preserve"> </w:t>
      </w:r>
      <w:r w:rsidR="009F5002">
        <w:t xml:space="preserve">to </w:t>
      </w:r>
      <w:r w:rsidR="009F5002" w:rsidRPr="00EA77C1">
        <w:t>half of the projected employment growth in Australia over this period</w:t>
      </w:r>
      <w:r w:rsidR="00C81E4B">
        <w:t>.</w:t>
      </w:r>
      <w:r w:rsidR="009F5002">
        <w:t xml:space="preserve"> </w:t>
      </w:r>
    </w:p>
    <w:p w14:paraId="24902165" w14:textId="04D05B6A" w:rsidR="00802B85" w:rsidRPr="00802B85" w:rsidRDefault="00802B85" w:rsidP="00802B85">
      <w:pPr>
        <w:pStyle w:val="ListBullet"/>
      </w:pPr>
      <w:r w:rsidRPr="00802B85">
        <w:rPr>
          <w:rStyle w:val="Characterbold"/>
        </w:rPr>
        <w:t>Gen AI is reshaping work.</w:t>
      </w:r>
      <w:r w:rsidRPr="00802B85">
        <w:t> JSA’s Gen AI Capacity Study – the first national, whole-of-labour-market analysis of its impact – shows that Gen AI is more likely to augment tasks than automate them, enhancing productivity through time savings, improved output quality, and reallocation of effort to higher-value work.</w:t>
      </w:r>
    </w:p>
    <w:p w14:paraId="485DF51C" w14:textId="72E3D395" w:rsidR="00802B85" w:rsidRPr="00802B85" w:rsidRDefault="00802B85" w:rsidP="00802B85">
      <w:pPr>
        <w:pStyle w:val="ListBullet"/>
      </w:pPr>
      <w:r w:rsidRPr="00802B85">
        <w:rPr>
          <w:rStyle w:val="Characterbold"/>
        </w:rPr>
        <w:t>Gen AI is accelerating skill change.</w:t>
      </w:r>
      <w:r w:rsidRPr="00802B85">
        <w:t> Gen AI is more likely to augment tasks and jobs rather than fully automate and replace them. Demand is rising for digital literacy and higher order human skills such as critical thinking, communication and adaptability.</w:t>
      </w:r>
    </w:p>
    <w:p w14:paraId="57910FB5" w14:textId="319507B7" w:rsidR="00802B85" w:rsidRPr="00802B85" w:rsidRDefault="00802B85" w:rsidP="00802B85">
      <w:pPr>
        <w:pStyle w:val="ListBullet"/>
      </w:pPr>
      <w:r w:rsidRPr="00802B85">
        <w:rPr>
          <w:rStyle w:val="Characterbold"/>
        </w:rPr>
        <w:t>Risks must be managed.</w:t>
      </w:r>
      <w:r w:rsidRPr="00802B85">
        <w:t xml:space="preserve"> Gen AI raises concerns around workload, job quality, and uneven effects across vulnerable cohorts. Women, older workers, First Nations </w:t>
      </w:r>
      <w:r w:rsidR="0006522E">
        <w:t>people</w:t>
      </w:r>
      <w:r w:rsidR="0006522E" w:rsidRPr="00802B85">
        <w:t xml:space="preserve"> </w:t>
      </w:r>
      <w:r w:rsidRPr="00802B85">
        <w:t>and people with disability may face disproportionate risks due to occupational exposure and digital access barriers.</w:t>
      </w:r>
    </w:p>
    <w:p w14:paraId="7314791A" w14:textId="77777777" w:rsidR="00802B85" w:rsidRPr="00802B85" w:rsidRDefault="00802B85" w:rsidP="00802B85">
      <w:pPr>
        <w:pStyle w:val="ListBullet"/>
      </w:pPr>
      <w:r w:rsidRPr="00802B85">
        <w:rPr>
          <w:rStyle w:val="Characterbold"/>
        </w:rPr>
        <w:t>Inclusive design and coordinated action are essential.</w:t>
      </w:r>
      <w:r w:rsidRPr="00802B85">
        <w:t> Ensuring equitable access to training, supporting labour mobility, and enabling organisational adaptability will be critical to managing disruption and realising the benefits of Gen AI.</w:t>
      </w:r>
    </w:p>
    <w:p w14:paraId="7376DF4A" w14:textId="4705AD54" w:rsidR="00802B85" w:rsidRPr="009B6515" w:rsidRDefault="00887BF2" w:rsidP="00CD7DAD">
      <w:pPr>
        <w:pStyle w:val="Heading2unnumbered"/>
      </w:pPr>
      <w:bookmarkStart w:id="8" w:name="_Toc208923369"/>
      <w:bookmarkStart w:id="9" w:name="_Toc211586981"/>
      <w:r>
        <w:t>Improved</w:t>
      </w:r>
      <w:r w:rsidRPr="009B6515">
        <w:t xml:space="preserve"> </w:t>
      </w:r>
      <w:r w:rsidR="00802B85" w:rsidRPr="009B6515">
        <w:t>matching and the skills system</w:t>
      </w:r>
      <w:bookmarkEnd w:id="8"/>
      <w:bookmarkEnd w:id="9"/>
    </w:p>
    <w:p w14:paraId="32611C09" w14:textId="2BCC3F7E" w:rsidR="00802B85" w:rsidRPr="00802B85" w:rsidRDefault="00887BF2" w:rsidP="00802B85">
      <w:pPr>
        <w:pStyle w:val="BodyText"/>
      </w:pPr>
      <w:r>
        <w:t>Improved</w:t>
      </w:r>
      <w:r w:rsidR="00802B85" w:rsidRPr="00802B85">
        <w:t xml:space="preserve"> matching in the labour market depends on a national skills system that is connected, coordinated, and responsive. As Australia’s labour market evolves, stronger alignment across education, migration, and workforce planning is essential to support inclusive participation, improve productivity, and ensure the system can meet future challenges.</w:t>
      </w:r>
      <w:r w:rsidR="006C73E4">
        <w:t xml:space="preserve"> The</w:t>
      </w:r>
      <w:r w:rsidR="006C73E4" w:rsidRPr="006C73E4">
        <w:t xml:space="preserve"> Government’s Economic Reform Roundtable highlighted the criticality of skills to Australia’s future economic and productivity growth.</w:t>
      </w:r>
    </w:p>
    <w:p w14:paraId="527D4C60" w14:textId="7A8F1622" w:rsidR="00802B85" w:rsidRPr="009B6515" w:rsidRDefault="00802B85" w:rsidP="00802B85">
      <w:pPr>
        <w:pStyle w:val="BodyText"/>
      </w:pPr>
      <w:r w:rsidRPr="009B6515">
        <w:t xml:space="preserve">JSA contributes to this goal by providing data-driven insights and supporting system-wide reform. Our </w:t>
      </w:r>
      <w:r w:rsidR="00656943" w:rsidRPr="00DE7D49">
        <w:t xml:space="preserve">VET National Data Asset </w:t>
      </w:r>
      <w:r w:rsidR="00656943">
        <w:t>(</w:t>
      </w:r>
      <w:r w:rsidR="001A40A6">
        <w:t>VNDA</w:t>
      </w:r>
      <w:r w:rsidR="00656943">
        <w:t>)</w:t>
      </w:r>
      <w:r w:rsidRPr="009B6515">
        <w:t xml:space="preserve"> project continues to shed light on vocational education and training </w:t>
      </w:r>
      <w:r w:rsidR="008513DA">
        <w:t>(VET)</w:t>
      </w:r>
      <w:r w:rsidRPr="009B6515">
        <w:t xml:space="preserve"> outcomes, while new administrative data work is expanding understanding of higher education pathways. We are deepening our understanding of apprenticeships</w:t>
      </w:r>
      <w:r w:rsidR="00755E13">
        <w:t xml:space="preserve"> and traineeships,</w:t>
      </w:r>
      <w:r w:rsidRPr="009B6515">
        <w:t xml:space="preserve"> and working on important reform-enablers such as the </w:t>
      </w:r>
      <w:r>
        <w:t xml:space="preserve">development of a </w:t>
      </w:r>
      <w:r w:rsidRPr="009B6515">
        <w:t>N</w:t>
      </w:r>
      <w:r>
        <w:t xml:space="preserve">ational </w:t>
      </w:r>
      <w:r w:rsidRPr="009B6515">
        <w:t>S</w:t>
      </w:r>
      <w:r>
        <w:t xml:space="preserve">kills </w:t>
      </w:r>
      <w:r w:rsidRPr="009B6515">
        <w:t>T</w:t>
      </w:r>
      <w:r>
        <w:t>axonomy</w:t>
      </w:r>
      <w:r w:rsidR="00FB41CA">
        <w:t xml:space="preserve"> (NST)</w:t>
      </w:r>
      <w:r w:rsidRPr="009B6515">
        <w:t xml:space="preserve">. We also play a role in </w:t>
      </w:r>
      <w:r>
        <w:t>targeting</w:t>
      </w:r>
      <w:r w:rsidRPr="009B6515">
        <w:t xml:space="preserve"> skilled migration </w:t>
      </w:r>
      <w:r w:rsidR="00B9049F">
        <w:t>by</w:t>
      </w:r>
      <w:r w:rsidRPr="009B6515">
        <w:t xml:space="preserve"> ensuring local workers’ skills and job opportunities are prioritised, that </w:t>
      </w:r>
      <w:r w:rsidR="00861A37">
        <w:t>it</w:t>
      </w:r>
      <w:r w:rsidRPr="009B6515">
        <w:t xml:space="preserve"> complements the domestic skills and training system</w:t>
      </w:r>
      <w:r w:rsidR="00B9049F">
        <w:t>,</w:t>
      </w:r>
      <w:r w:rsidRPr="009B6515">
        <w:t xml:space="preserve"> and </w:t>
      </w:r>
      <w:r w:rsidR="00B9049F">
        <w:t>that it</w:t>
      </w:r>
      <w:r w:rsidRPr="009B6515">
        <w:t xml:space="preserve"> is guided to areas </w:t>
      </w:r>
      <w:r>
        <w:t>that support productivity and deliver good employment outcomes</w:t>
      </w:r>
      <w:r w:rsidRPr="009B6515">
        <w:t xml:space="preserve">. </w:t>
      </w:r>
      <w:r w:rsidRPr="00802B85">
        <w:t>Through deep engagement and integrated data assets, we help identify mismatches, support more coherent pathways, and inform practical interventions.</w:t>
      </w:r>
    </w:p>
    <w:p w14:paraId="2BE7E72D" w14:textId="77777777" w:rsidR="00802B85" w:rsidRPr="009B6515" w:rsidRDefault="00802B85" w:rsidP="002E6277">
      <w:pPr>
        <w:pStyle w:val="BodyText"/>
        <w:keepNext/>
      </w:pPr>
      <w:r w:rsidRPr="009B6515">
        <w:t>Key insights:</w:t>
      </w:r>
    </w:p>
    <w:p w14:paraId="7A9C7D30" w14:textId="636F77D8" w:rsidR="00802B85" w:rsidRPr="00802B85" w:rsidRDefault="00802B85" w:rsidP="002E6277">
      <w:pPr>
        <w:pStyle w:val="ListBullet"/>
        <w:keepLines/>
        <w:ind w:left="357" w:hanging="357"/>
      </w:pPr>
      <w:r w:rsidRPr="00802B85">
        <w:rPr>
          <w:rStyle w:val="Characterbold"/>
        </w:rPr>
        <w:t>VNDA data shows increased full-time employment after training.</w:t>
      </w:r>
      <w:r w:rsidRPr="00802B85">
        <w:t xml:space="preserve"> Nationally, and for all priority groups, full-time employment rates increased after training. The biggest increase in full-employment post-training was reported for </w:t>
      </w:r>
      <w:r w:rsidR="00AD63D9">
        <w:t>women</w:t>
      </w:r>
      <w:r w:rsidR="00AD63D9" w:rsidRPr="00802B85">
        <w:t xml:space="preserve"> </w:t>
      </w:r>
      <w:r w:rsidRPr="00802B85">
        <w:t>and</w:t>
      </w:r>
      <w:r w:rsidR="00AD63D9">
        <w:t xml:space="preserve"> for</w:t>
      </w:r>
      <w:r w:rsidRPr="00802B85">
        <w:t xml:space="preserve"> First Nations people (up 16</w:t>
      </w:r>
      <w:r w:rsidR="003512FC">
        <w:t> </w:t>
      </w:r>
      <w:r w:rsidRPr="00802B85">
        <w:t>percentage points), with part-time employment also increasing slightly for these cohorts. Further analysis into the voluntary or involuntary nature of part-time work could reveal possible social or structural barriers to full-time employment</w:t>
      </w:r>
      <w:r w:rsidR="001B151E">
        <w:t>.</w:t>
      </w:r>
    </w:p>
    <w:p w14:paraId="607BA474" w14:textId="33CF8B6E" w:rsidR="00802B85" w:rsidRPr="00802B85" w:rsidRDefault="00802B85" w:rsidP="00802B85">
      <w:pPr>
        <w:pStyle w:val="ListBullet"/>
      </w:pPr>
      <w:r w:rsidRPr="00802B85">
        <w:rPr>
          <w:rStyle w:val="Characterbold"/>
        </w:rPr>
        <w:t>Apprenticeships and traineeships remain vital but are evolving.</w:t>
      </w:r>
      <w:r w:rsidRPr="00802B85">
        <w:t> </w:t>
      </w:r>
      <w:r w:rsidR="00736FAB" w:rsidRPr="00736FAB">
        <w:t>Of the 100 largest apprenticeship and traineeship occupations, 68 have grown since 2019. Growth has been most significant in key trades and care occupations. Although overall female participation in trades remains low (11.5%), in 2025 there were around 4 times as many female Electrician apprentices than in 2015 with significant growth also observed for Carpenters and Joiners, Motor Mechanics, Plumbers, and Sheetmetal Workers. Combined, there were more female apprentices in these male dominant trades than there were undertaking a hairdressing apprenticeship in 2025.</w:t>
      </w:r>
    </w:p>
    <w:p w14:paraId="0260E676" w14:textId="77777777" w:rsidR="00802B85" w:rsidRPr="00802B85" w:rsidRDefault="00802B85" w:rsidP="00802B85">
      <w:pPr>
        <w:pStyle w:val="ListBullet"/>
      </w:pPr>
      <w:r w:rsidRPr="00802B85">
        <w:rPr>
          <w:rStyle w:val="Characterbold"/>
        </w:rPr>
        <w:t>Higher education outcomes are being explored through administrative data. </w:t>
      </w:r>
      <w:r w:rsidRPr="00802B85">
        <w:t>JSA is developing a new longitudinal data asset to complement survey-based approaches and provide deeper insights into enrolment decisions, study patterns, completion rates, financial outcomes, and workforce alignment.</w:t>
      </w:r>
    </w:p>
    <w:p w14:paraId="5A75FB0E" w14:textId="157B4E5B" w:rsidR="00802B85" w:rsidRPr="00802B85" w:rsidRDefault="00802B85" w:rsidP="00802B85">
      <w:pPr>
        <w:pStyle w:val="ListBullet"/>
      </w:pPr>
      <w:r w:rsidRPr="00802B85">
        <w:rPr>
          <w:rStyle w:val="Characterbold"/>
        </w:rPr>
        <w:t>Transitions between VET and higher education – in both directions – are increasingly common.</w:t>
      </w:r>
      <w:r w:rsidRPr="00802B85">
        <w:t xml:space="preserve"> Learners increasingly move between </w:t>
      </w:r>
      <w:r w:rsidR="00E5199E">
        <w:t xml:space="preserve">education </w:t>
      </w:r>
      <w:r w:rsidRPr="00802B85">
        <w:t>sectors to meet evolving career goals and changing</w:t>
      </w:r>
      <w:r w:rsidR="00C02FBD">
        <w:t xml:space="preserve"> job</w:t>
      </w:r>
      <w:r w:rsidRPr="00802B85">
        <w:t xml:space="preserve"> requirements</w:t>
      </w:r>
      <w:r w:rsidR="00C02FBD">
        <w:t>.</w:t>
      </w:r>
      <w:r w:rsidRPr="00802B85">
        <w:t xml:space="preserve"> These transitions support lifelong learning and highlight the need for a more flexible and harmonised system to support the continued ability of people to adapt to evolving skills needs.</w:t>
      </w:r>
    </w:p>
    <w:p w14:paraId="7B2D3F25" w14:textId="758BE97C" w:rsidR="00802B85" w:rsidRPr="00802B85" w:rsidRDefault="00802B85" w:rsidP="00802B85">
      <w:pPr>
        <w:pStyle w:val="ListBullet"/>
      </w:pPr>
      <w:r w:rsidRPr="00802B85">
        <w:rPr>
          <w:rStyle w:val="Characterbold"/>
        </w:rPr>
        <w:t>Tertiary harmonisation is advancing.</w:t>
      </w:r>
      <w:r w:rsidRPr="00802B85">
        <w:t xml:space="preserve"> Harmonisation supports clearer pathways, improved credit recognition, and </w:t>
      </w:r>
      <w:r w:rsidR="001C07A8">
        <w:t xml:space="preserve">enhanced </w:t>
      </w:r>
      <w:r w:rsidRPr="00802B85">
        <w:t>alignment between education and workforce needs – especially for underrepresented cohorts.</w:t>
      </w:r>
    </w:p>
    <w:p w14:paraId="11DC7757" w14:textId="7717A735" w:rsidR="00802B85" w:rsidRPr="00802B85" w:rsidRDefault="00802B85" w:rsidP="00802B85">
      <w:pPr>
        <w:pStyle w:val="ListBullet"/>
      </w:pPr>
      <w:r w:rsidRPr="00802B85">
        <w:rPr>
          <w:rStyle w:val="Characterbold"/>
        </w:rPr>
        <w:t xml:space="preserve">The </w:t>
      </w:r>
      <w:r w:rsidR="009A64E1">
        <w:rPr>
          <w:rStyle w:val="Characterbold"/>
        </w:rPr>
        <w:t xml:space="preserve">NST </w:t>
      </w:r>
      <w:r w:rsidRPr="00802B85">
        <w:rPr>
          <w:rStyle w:val="Characterbold"/>
        </w:rPr>
        <w:t>is under development.</w:t>
      </w:r>
      <w:r w:rsidRPr="00802B85">
        <w:t> </w:t>
      </w:r>
      <w:r w:rsidR="006363C8" w:rsidRPr="006363C8">
        <w:t>Providing a shared language, the NST will use evidence-based language for describing skills across education and employment contexts</w:t>
      </w:r>
      <w:r w:rsidR="003F0486">
        <w:t>.</w:t>
      </w:r>
      <w:r w:rsidR="006363C8" w:rsidRPr="006363C8" w:rsidDel="006363C8">
        <w:t xml:space="preserve"> </w:t>
      </w:r>
      <w:r w:rsidR="006363C8">
        <w:t>It</w:t>
      </w:r>
      <w:r w:rsidRPr="00802B85">
        <w:t xml:space="preserve"> will support qualification design, skills-first hiring, and improved labour market insights.</w:t>
      </w:r>
    </w:p>
    <w:p w14:paraId="51DAF2B0" w14:textId="53B05DC0" w:rsidR="00802B85" w:rsidRPr="00802B85" w:rsidRDefault="00802B85" w:rsidP="00802B85">
      <w:pPr>
        <w:pStyle w:val="ListBullet"/>
      </w:pPr>
      <w:r w:rsidRPr="00802B85">
        <w:rPr>
          <w:rStyle w:val="Characterbold"/>
        </w:rPr>
        <w:t>Skilled migration continues to complement domestic supply.</w:t>
      </w:r>
      <w:r w:rsidRPr="00802B85">
        <w:t> JSA provides evidence</w:t>
      </w:r>
      <w:r w:rsidR="009279C9">
        <w:noBreakHyphen/>
      </w:r>
      <w:r w:rsidRPr="00802B85">
        <w:t>based advice on the Core Skills Occupation List (CSOL), helping ensure migration policy aligns with labour market needs and supports positive outcomes for both employers and workers.</w:t>
      </w:r>
    </w:p>
    <w:p w14:paraId="579D189C" w14:textId="77777777" w:rsidR="00802B85" w:rsidRPr="009B6515" w:rsidRDefault="00802B85" w:rsidP="00CD7DAD">
      <w:pPr>
        <w:pStyle w:val="Heading2unnumbered"/>
      </w:pPr>
      <w:bookmarkStart w:id="10" w:name="_Toc208923370"/>
      <w:bookmarkStart w:id="11" w:name="_Toc211586982"/>
      <w:r w:rsidRPr="009B6515">
        <w:t>Activating an informed dialogue</w:t>
      </w:r>
      <w:bookmarkEnd w:id="10"/>
      <w:bookmarkEnd w:id="11"/>
    </w:p>
    <w:p w14:paraId="40C60E3C" w14:textId="77777777" w:rsidR="00802B85" w:rsidRPr="009B6515" w:rsidRDefault="00802B85" w:rsidP="00802B85">
      <w:pPr>
        <w:pStyle w:val="BodyText"/>
      </w:pPr>
      <w:r w:rsidRPr="009B6515">
        <w:t xml:space="preserve">JSA plays a central role in activating an informed, </w:t>
      </w:r>
      <w:r>
        <w:t>evidence-based</w:t>
      </w:r>
      <w:r w:rsidRPr="009B6515">
        <w:t xml:space="preserve"> conversation and collaboration across the national skills system. Through strategic engagement, collaboration, and outreach, we help shape a shared understanding of workforce needs and identify practical pathways for action, grounded in data and lived experience.</w:t>
      </w:r>
      <w:r>
        <w:t xml:space="preserve"> </w:t>
      </w:r>
      <w:r w:rsidRPr="009B6515">
        <w:t>Our work is designed to empower individuals and institutions, strengthen workforce planning, and contribute to long-term productivity growth. JSA’s reach and influence continue to grow, reflecting strong demand for accessible labour market insights and practical tools that support decision-making across the economy.</w:t>
      </w:r>
    </w:p>
    <w:p w14:paraId="091CED6A" w14:textId="77777777" w:rsidR="00802B85" w:rsidRPr="009B6515" w:rsidRDefault="00802B85" w:rsidP="002E6277">
      <w:pPr>
        <w:pStyle w:val="BodyText"/>
        <w:keepNext/>
      </w:pPr>
      <w:r w:rsidRPr="009B6515">
        <w:t>Key insights:</w:t>
      </w:r>
    </w:p>
    <w:p w14:paraId="35CCB847" w14:textId="1502DDF6" w:rsidR="00802B85" w:rsidRPr="00802B85" w:rsidRDefault="00802B85" w:rsidP="00802B85">
      <w:pPr>
        <w:pStyle w:val="ListBullet"/>
      </w:pPr>
      <w:r w:rsidRPr="00802B85">
        <w:rPr>
          <w:rStyle w:val="Characterbold"/>
        </w:rPr>
        <w:t>Public engagement with JSA’s insights continues to grow.</w:t>
      </w:r>
      <w:r w:rsidRPr="00802B85">
        <w:t xml:space="preserve"> Between July 2024 and June 2025, our website attracted over 7.7 million views (up 77%) and 1.68 million unique users (up 88%), with </w:t>
      </w:r>
      <w:r w:rsidR="00736FAB">
        <w:t>over</w:t>
      </w:r>
      <w:r w:rsidRPr="00802B85">
        <w:t xml:space="preserve"> 200,000 downloads – demonstrating strong demand for clear, practical information on jobs, skills and the labour market.</w:t>
      </w:r>
    </w:p>
    <w:p w14:paraId="09C63B30" w14:textId="40C7B311" w:rsidR="00802B85" w:rsidRPr="00802B85" w:rsidRDefault="00802B85" w:rsidP="00802B85">
      <w:pPr>
        <w:pStyle w:val="ListBullet"/>
      </w:pPr>
      <w:r w:rsidRPr="00802B85">
        <w:rPr>
          <w:rStyle w:val="Characterbold"/>
        </w:rPr>
        <w:t xml:space="preserve">Conversational </w:t>
      </w:r>
      <w:r w:rsidR="00E01ED8">
        <w:rPr>
          <w:rStyle w:val="Characterbold"/>
        </w:rPr>
        <w:t>artificial intelligence (</w:t>
      </w:r>
      <w:r w:rsidRPr="00802B85">
        <w:rPr>
          <w:rStyle w:val="Characterbold"/>
        </w:rPr>
        <w:t>AI</w:t>
      </w:r>
      <w:r w:rsidR="00E01ED8">
        <w:rPr>
          <w:rStyle w:val="Characterbold"/>
        </w:rPr>
        <w:t>)</w:t>
      </w:r>
      <w:r w:rsidRPr="00802B85">
        <w:rPr>
          <w:rStyle w:val="Characterbold"/>
        </w:rPr>
        <w:t xml:space="preserve"> is amplifying reach</w:t>
      </w:r>
      <w:r w:rsidRPr="00802B85">
        <w:t>. Referrals from ChatGPT increased more than 518</w:t>
      </w:r>
      <w:r w:rsidR="006327BE">
        <w:noBreakHyphen/>
      </w:r>
      <w:r w:rsidRPr="00802B85">
        <w:t xml:space="preserve">fold, highlighting the emerging role of </w:t>
      </w:r>
      <w:r w:rsidR="00736FAB">
        <w:t>G</w:t>
      </w:r>
      <w:r w:rsidRPr="00802B85">
        <w:t>en AI in disseminating JSA’s insights and supporting workforce conversations.</w:t>
      </w:r>
    </w:p>
    <w:p w14:paraId="6E8C5FAA" w14:textId="1AFC22CE" w:rsidR="00802B85" w:rsidRPr="009B6515" w:rsidRDefault="00802B85" w:rsidP="00802B85">
      <w:pPr>
        <w:pStyle w:val="ListBullet"/>
      </w:pPr>
      <w:r w:rsidRPr="00B16B67">
        <w:rPr>
          <w:rStyle w:val="Characterbold"/>
        </w:rPr>
        <w:t xml:space="preserve">Traditional and </w:t>
      </w:r>
      <w:r w:rsidR="001B151E">
        <w:rPr>
          <w:rStyle w:val="Characterbold"/>
        </w:rPr>
        <w:t>s</w:t>
      </w:r>
      <w:r w:rsidRPr="00B16B67">
        <w:rPr>
          <w:rStyle w:val="Characterbold"/>
        </w:rPr>
        <w:t>ocial media engagement surged.</w:t>
      </w:r>
      <w:r w:rsidRPr="00802B85">
        <w:t> LinkedIn impressions grew by 23%, shares grew by 37%, and likes by 28%, with over 4,227 new followers. JSA has received more than 1</w:t>
      </w:r>
      <w:r w:rsidR="00736FAB">
        <w:t>,</w:t>
      </w:r>
      <w:r w:rsidRPr="00802B85">
        <w:t>000 mentions in news coverage items including print, digital, radio and TV. In the same span of time, Commissioner Barney Glover received 242 mentions, demonstrating JSA’s growing influence in national and global workforce dialogue.</w:t>
      </w:r>
    </w:p>
    <w:p w14:paraId="1A3EE031" w14:textId="1DF81B2E" w:rsidR="00802B85" w:rsidRPr="00802B85" w:rsidRDefault="00802B85" w:rsidP="00802B85">
      <w:pPr>
        <w:pStyle w:val="ListBullet"/>
      </w:pPr>
      <w:r w:rsidRPr="00B16B67">
        <w:rPr>
          <w:rStyle w:val="Characterbold"/>
        </w:rPr>
        <w:t>Our national roadshow fostered place-based engagement</w:t>
      </w:r>
      <w:r w:rsidRPr="00802B85">
        <w:t>. Over 1,000 attendees participated across capital cities, engaging with tools such as the Jobs and Skills Atlas, Occupation Shortage List</w:t>
      </w:r>
      <w:r w:rsidR="00B2193A">
        <w:t xml:space="preserve"> (OSL)</w:t>
      </w:r>
      <w:r w:rsidRPr="00802B85">
        <w:t xml:space="preserve">, and </w:t>
      </w:r>
      <w:r w:rsidR="003E3CF1">
        <w:t>Nowcast of Employment by Region and Occupation (</w:t>
      </w:r>
      <w:r w:rsidRPr="00802B85">
        <w:t>NERO</w:t>
      </w:r>
      <w:r w:rsidR="003E3CF1">
        <w:t>)</w:t>
      </w:r>
      <w:r w:rsidRPr="00802B85">
        <w:t xml:space="preserve">, and contributing to discussions on regional participation, </w:t>
      </w:r>
      <w:r w:rsidR="00081043">
        <w:t xml:space="preserve">the alignment of </w:t>
      </w:r>
      <w:r w:rsidRPr="00802B85">
        <w:t>skills</w:t>
      </w:r>
      <w:r w:rsidR="00081043">
        <w:t xml:space="preserve"> with jobs</w:t>
      </w:r>
      <w:r w:rsidRPr="00802B85">
        <w:t>, and the net zero transition.</w:t>
      </w:r>
    </w:p>
    <w:p w14:paraId="792B6CC6" w14:textId="540E7BF1" w:rsidR="00802B85" w:rsidRPr="00802B85" w:rsidRDefault="00802B85" w:rsidP="00802B85">
      <w:pPr>
        <w:pStyle w:val="ListBullet"/>
      </w:pPr>
      <w:r w:rsidRPr="00B16B67">
        <w:rPr>
          <w:rStyle w:val="Characterbold"/>
        </w:rPr>
        <w:t>Collaboration with Jobs and Skills Councils (JSCs) strengthened workforce planning.</w:t>
      </w:r>
      <w:r w:rsidRPr="00802B85">
        <w:t> Shared data and joint analysis informed major capacity studies and contributed to a more coordinated national evidence base</w:t>
      </w:r>
      <w:r w:rsidR="00736FAB">
        <w:t>.</w:t>
      </w:r>
    </w:p>
    <w:p w14:paraId="11F8D1E2" w14:textId="549224BE" w:rsidR="00802B85" w:rsidRPr="00802B85" w:rsidRDefault="00802B85" w:rsidP="00802B85">
      <w:pPr>
        <w:pStyle w:val="ListBullet"/>
      </w:pPr>
      <w:r w:rsidRPr="00B16B67">
        <w:rPr>
          <w:rStyle w:val="Characterbold"/>
        </w:rPr>
        <w:t>International partnerships shaped global thinking.</w:t>
      </w:r>
      <w:r w:rsidRPr="00802B85">
        <w:t xml:space="preserve"> Engagements with the </w:t>
      </w:r>
      <w:r w:rsidR="003C70AD" w:rsidRPr="00373499">
        <w:t>Organisation for Economic Co-operation and Development</w:t>
      </w:r>
      <w:r w:rsidR="003C70AD" w:rsidRPr="00802B85">
        <w:t xml:space="preserve"> </w:t>
      </w:r>
      <w:r w:rsidR="001E3899">
        <w:t>(</w:t>
      </w:r>
      <w:r w:rsidRPr="00802B85">
        <w:t>OECD</w:t>
      </w:r>
      <w:r w:rsidR="001E3899">
        <w:t>)</w:t>
      </w:r>
      <w:r w:rsidRPr="00802B85">
        <w:t xml:space="preserve">, World Bank, </w:t>
      </w:r>
      <w:r w:rsidR="006C6630" w:rsidRPr="006C6630">
        <w:t>International Labour Organization</w:t>
      </w:r>
      <w:r w:rsidRPr="00802B85">
        <w:t xml:space="preserve">, and </w:t>
      </w:r>
      <w:r w:rsidR="002E5522" w:rsidRPr="002E5522">
        <w:t>World Economic Forum</w:t>
      </w:r>
      <w:r w:rsidRPr="00802B85">
        <w:t xml:space="preserve"> supported knowledge exchange and advanced skills-first approaches and taxonomies. Bilateral relationships across Europe, Asia, North America and the Pacific deepened Australia’s global profile in workforce reform.</w:t>
      </w:r>
    </w:p>
    <w:p w14:paraId="11987896" w14:textId="22296E52" w:rsidR="00802B85" w:rsidRPr="00802B85" w:rsidRDefault="00802B85" w:rsidP="00802B85">
      <w:pPr>
        <w:pStyle w:val="ListBullet"/>
      </w:pPr>
      <w:r w:rsidRPr="00B16B67">
        <w:rPr>
          <w:rStyle w:val="Characterbold"/>
        </w:rPr>
        <w:t>JSA’s work has informed government and other initiatives,</w:t>
      </w:r>
      <w:r w:rsidRPr="00802B85">
        <w:t xml:space="preserve"> including the </w:t>
      </w:r>
      <w:r w:rsidRPr="00736FAB">
        <w:rPr>
          <w:rStyle w:val="Characteritalic"/>
        </w:rPr>
        <w:t>Migration Strategy</w:t>
      </w:r>
      <w:r w:rsidRPr="00802B85">
        <w:t xml:space="preserve"> and CSOL development, clean energy workforce planning, early childhood education reform, the National Skills Agreement Outcomes Framework, tertiary harmonisation including the establishment of </w:t>
      </w:r>
      <w:r w:rsidR="004C0AE9">
        <w:t xml:space="preserve">Australian Tertiary Education Commission </w:t>
      </w:r>
      <w:r w:rsidR="00A5543F">
        <w:t>(</w:t>
      </w:r>
      <w:r w:rsidRPr="00802B85">
        <w:t>ATEC</w:t>
      </w:r>
      <w:r w:rsidR="00A5543F">
        <w:t>)</w:t>
      </w:r>
      <w:r w:rsidRPr="00802B85">
        <w:t>, and the VET Workforce Blueprint development.</w:t>
      </w:r>
    </w:p>
    <w:p w14:paraId="2156CFC9" w14:textId="00D29E9E" w:rsidR="00802B85" w:rsidRDefault="00802B85" w:rsidP="00B16B67">
      <w:pPr>
        <w:pStyle w:val="BodyText"/>
      </w:pPr>
      <w:r w:rsidRPr="00802B85">
        <w:t xml:space="preserve">Together, these insights reflect the breadth and depth of JSA’s contribution to Australia’s skills system. By integrating data, analysis and engagement, we help shape a more inclusive, responsive and future-ready labour market. Whether informing national reform, supporting regional resilience, or enabling practical action across sectors, our work continues to activate informed dialogue and support better matching </w:t>
      </w:r>
      <w:r w:rsidR="00EA1F8D">
        <w:t xml:space="preserve">and </w:t>
      </w:r>
      <w:r w:rsidR="000A2D2E">
        <w:t>alignment</w:t>
      </w:r>
      <w:r w:rsidR="00EA1F8D">
        <w:t xml:space="preserve"> of skills</w:t>
      </w:r>
      <w:r w:rsidRPr="00802B85">
        <w:t xml:space="preserve"> – ensuring that Australia’s workforce is equipped not only for today’s challenges, but for the opportunities ahead.</w:t>
      </w:r>
    </w:p>
    <w:p w14:paraId="6D675B16" w14:textId="172BF299" w:rsidR="009E7445" w:rsidRDefault="0007279F" w:rsidP="00CD7DAD">
      <w:pPr>
        <w:pStyle w:val="Heading2unnumbered"/>
      </w:pPr>
      <w:bookmarkStart w:id="12" w:name="_Toc211586983"/>
      <w:r>
        <w:t>Recommendations</w:t>
      </w:r>
      <w:bookmarkEnd w:id="12"/>
      <w:r w:rsidR="009E7445">
        <w:t xml:space="preserve"> </w:t>
      </w:r>
    </w:p>
    <w:p w14:paraId="3A14D6F9" w14:textId="52C1A7A4" w:rsidR="009C5F73" w:rsidRDefault="00DC01AB" w:rsidP="002E6277">
      <w:pPr>
        <w:keepLines/>
      </w:pPr>
      <w:r>
        <w:t xml:space="preserve">This </w:t>
      </w:r>
      <w:r w:rsidR="00DE4C16" w:rsidRPr="00DE4C16">
        <w:t xml:space="preserve">report </w:t>
      </w:r>
      <w:r w:rsidR="004252AA">
        <w:t>highlights</w:t>
      </w:r>
      <w:r>
        <w:t xml:space="preserve"> </w:t>
      </w:r>
      <w:r w:rsidR="0053018C">
        <w:t>5</w:t>
      </w:r>
      <w:r w:rsidR="0053018C" w:rsidRPr="00DE4C16">
        <w:t xml:space="preserve"> </w:t>
      </w:r>
      <w:r w:rsidR="00DE4C16" w:rsidRPr="00DE4C16">
        <w:t xml:space="preserve">recommendations aimed at enhancing individual employment and skills outcomes while supporting broader national objectives of productivity and economic growth. As part of </w:t>
      </w:r>
      <w:r w:rsidR="006344BE">
        <w:t>our</w:t>
      </w:r>
      <w:r w:rsidR="00DE4C16" w:rsidRPr="00DE4C16">
        <w:t xml:space="preserve"> ongoing commitment, JSA will continue to collaborate with governments and stakeholders to provide strategic advice across the jobs and skills landscape. These recommendations are designed to address current and emerging workforce challenges, ensuring that Australia’s labour market remains adaptive, inclusive, and resilient in the face of change.</w:t>
      </w:r>
    </w:p>
    <w:p w14:paraId="7ACB6371" w14:textId="77777777" w:rsidR="001B151E" w:rsidRDefault="001B151E" w:rsidP="002E6277">
      <w:pPr>
        <w:keepLines/>
      </w:pPr>
    </w:p>
    <w:tbl>
      <w:tblPr>
        <w:tblStyle w:val="CustomTablepulloutbox"/>
        <w:tblW w:w="0" w:type="auto"/>
        <w:shd w:val="clear" w:color="auto" w:fill="D5A3F9" w:themeFill="background2"/>
        <w:tblLook w:val="04A0" w:firstRow="1" w:lastRow="0" w:firstColumn="1" w:lastColumn="0" w:noHBand="0" w:noVBand="1"/>
      </w:tblPr>
      <w:tblGrid>
        <w:gridCol w:w="9027"/>
      </w:tblGrid>
      <w:tr w:rsidR="001B151E" w14:paraId="742D623A" w14:textId="77777777" w:rsidTr="001B151E">
        <w:tc>
          <w:tcPr>
            <w:tcW w:w="9027" w:type="dxa"/>
            <w:shd w:val="clear" w:color="auto" w:fill="D5A3F9" w:themeFill="background2"/>
          </w:tcPr>
          <w:p w14:paraId="1FB28F9F" w14:textId="77777777" w:rsidR="001B151E" w:rsidRPr="00ED4661" w:rsidRDefault="001B151E" w:rsidP="001B151E">
            <w:pPr>
              <w:pStyle w:val="ListNumber"/>
              <w:rPr>
                <w:rStyle w:val="Characterbold"/>
              </w:rPr>
            </w:pPr>
            <w:r w:rsidRPr="00ED4661">
              <w:rPr>
                <w:rStyle w:val="Characterbold"/>
              </w:rPr>
              <w:t>The tertiary education attainment minimum targets should be aligned with labour market demand. The minimum targets in the VET and higher education systems should consider the skills required by the labour market both in the medium and long term.</w:t>
            </w:r>
          </w:p>
          <w:p w14:paraId="203C7B5D" w14:textId="77777777" w:rsidR="001B151E" w:rsidRPr="00ED4661" w:rsidRDefault="001B151E" w:rsidP="001B151E">
            <w:pPr>
              <w:pStyle w:val="ListNumber"/>
              <w:rPr>
                <w:rStyle w:val="Characterbold"/>
              </w:rPr>
            </w:pPr>
            <w:r w:rsidRPr="00ED4661">
              <w:rPr>
                <w:rStyle w:val="Characterbold"/>
              </w:rPr>
              <w:t xml:space="preserve">Australian governments should commit to digital and AI capability uplift across the skills system as a priority. Whole-of-system efforts should target uplift across the population, in line with the spectrum of needs and aspirations of learners and industry. </w:t>
            </w:r>
          </w:p>
          <w:p w14:paraId="4B5565E4" w14:textId="77777777" w:rsidR="001B151E" w:rsidRPr="00ED4661" w:rsidRDefault="001B151E" w:rsidP="001B151E">
            <w:pPr>
              <w:pStyle w:val="ListNumber"/>
              <w:rPr>
                <w:rStyle w:val="Characterbold"/>
              </w:rPr>
            </w:pPr>
            <w:r w:rsidRPr="00ED4661">
              <w:rPr>
                <w:rStyle w:val="Characterbold"/>
              </w:rPr>
              <w:t xml:space="preserve">Australian governments should prioritise efforts to embed contemporary data, digital and AI skills in the design and delivery of higher education and VET qualifications. This should include consideration of mechanisms to enable qualification design and delivery to respond to fast-evolving digital and AI skill requirements for different study and career pathways. </w:t>
            </w:r>
          </w:p>
          <w:p w14:paraId="2632C421" w14:textId="77777777" w:rsidR="001B151E" w:rsidRDefault="001B151E" w:rsidP="001B151E">
            <w:pPr>
              <w:pStyle w:val="ListNumber"/>
              <w:rPr>
                <w:rStyle w:val="Characterbold"/>
              </w:rPr>
            </w:pPr>
            <w:r w:rsidRPr="00ED4661">
              <w:rPr>
                <w:rStyle w:val="Characterbold"/>
              </w:rPr>
              <w:t>System actors should work towards a national credit transfer system</w:t>
            </w:r>
            <w:r>
              <w:rPr>
                <w:rStyle w:val="Characterbold"/>
              </w:rPr>
              <w:t>.</w:t>
            </w:r>
          </w:p>
          <w:p w14:paraId="4E21725E" w14:textId="547D06DD" w:rsidR="001B151E" w:rsidRPr="001B151E" w:rsidRDefault="001B151E" w:rsidP="00907907">
            <w:pPr>
              <w:pStyle w:val="ListNumber"/>
              <w:rPr>
                <w:b/>
              </w:rPr>
            </w:pPr>
            <w:r w:rsidRPr="00332130">
              <w:rPr>
                <w:rStyle w:val="Characterbold"/>
              </w:rPr>
              <w:t>System actors, governments and stakeholders</w:t>
            </w:r>
            <w:r>
              <w:rPr>
                <w:rStyle w:val="Characterbold"/>
              </w:rPr>
              <w:t xml:space="preserve"> should</w:t>
            </w:r>
            <w:r w:rsidRPr="00332130">
              <w:rPr>
                <w:rStyle w:val="Characterbold"/>
              </w:rPr>
              <w:t xml:space="preserve"> work closely with JSA to accelerate the development of a National Skills Taxonomy</w:t>
            </w:r>
            <w:r>
              <w:rPr>
                <w:rStyle w:val="Characterbold"/>
              </w:rPr>
              <w:t>.</w:t>
            </w:r>
          </w:p>
        </w:tc>
      </w:tr>
    </w:tbl>
    <w:p w14:paraId="42F75E9D" w14:textId="77777777" w:rsidR="00DE4C16" w:rsidRDefault="00DE4C16" w:rsidP="00802B85"/>
    <w:p w14:paraId="4AC881AF" w14:textId="77777777" w:rsidR="001B151E" w:rsidRDefault="001B151E" w:rsidP="00802B85">
      <w:pPr>
        <w:pStyle w:val="ListNumber"/>
        <w:rPr>
          <w:rStyle w:val="Characterbold"/>
        </w:rPr>
        <w:sectPr w:rsidR="001B151E" w:rsidSect="00DB587F">
          <w:headerReference w:type="even" r:id="rId38"/>
          <w:headerReference w:type="default" r:id="rId39"/>
          <w:footerReference w:type="even" r:id="rId40"/>
          <w:footerReference w:type="default" r:id="rId41"/>
          <w:pgSz w:w="11907" w:h="16839" w:code="9"/>
          <w:pgMar w:top="1440" w:right="1270" w:bottom="1440" w:left="1270" w:header="720" w:footer="720" w:gutter="0"/>
          <w:cols w:space="720"/>
          <w:docGrid w:linePitch="360"/>
        </w:sectPr>
      </w:pPr>
    </w:p>
    <w:p w14:paraId="233EEEBB" w14:textId="013D38A3" w:rsidR="006E252D" w:rsidRPr="006E252D" w:rsidRDefault="006E252D" w:rsidP="00802B85">
      <w:pPr>
        <w:pStyle w:val="ListNumber"/>
        <w:rPr>
          <w:b/>
        </w:rPr>
        <w:sectPr w:rsidR="006E252D" w:rsidRPr="006E252D" w:rsidSect="00DB587F">
          <w:headerReference w:type="even" r:id="rId42"/>
          <w:footerReference w:type="even" r:id="rId43"/>
          <w:pgSz w:w="11907" w:h="16839" w:code="9"/>
          <w:pgMar w:top="1440" w:right="1270" w:bottom="1440" w:left="1270" w:header="720" w:footer="720" w:gutter="0"/>
          <w:cols w:space="720"/>
          <w:docGrid w:linePitch="360"/>
        </w:sectPr>
      </w:pPr>
    </w:p>
    <w:p w14:paraId="2F79D59C" w14:textId="624F4C3D" w:rsidR="00B16B67" w:rsidRDefault="00A04BAF" w:rsidP="00541285">
      <w:pPr>
        <w:pStyle w:val="Heading1"/>
        <w:numPr>
          <w:ilvl w:val="0"/>
          <w:numId w:val="69"/>
        </w:numPr>
      </w:pPr>
      <w:bookmarkStart w:id="13" w:name="_Toc204265311"/>
      <w:bookmarkStart w:id="14" w:name="_Toc207643283"/>
      <w:bookmarkStart w:id="15" w:name="_Toc208923371"/>
      <w:bookmarkStart w:id="16" w:name="_Toc211586984"/>
      <w:r>
        <w:t>P</w:t>
      </w:r>
      <w:r w:rsidR="00B16B67">
        <w:t>roductivity, participation</w:t>
      </w:r>
      <w:bookmarkEnd w:id="13"/>
      <w:r w:rsidR="00B16B67">
        <w:t xml:space="preserve"> and skills</w:t>
      </w:r>
      <w:bookmarkEnd w:id="14"/>
      <w:bookmarkEnd w:id="15"/>
      <w:bookmarkEnd w:id="16"/>
    </w:p>
    <w:p w14:paraId="70048302" w14:textId="6DDD0AF0" w:rsidR="00B16B67" w:rsidRDefault="00B16B67" w:rsidP="00B16B67">
      <w:pPr>
        <w:pStyle w:val="BodyText"/>
      </w:pPr>
      <w:r>
        <w:t xml:space="preserve">Productivity and participation are different but important contributors to economic output and the wellbeing of individuals. </w:t>
      </w:r>
      <w:r w:rsidR="001F3054">
        <w:t xml:space="preserve">In simple terms, productivity considers how efficient we are at creating goods and services, while a higher participation rate means more people are available to contribute to the economy, which can increase total output and improve individual and societal wellbeing. </w:t>
      </w:r>
      <w:r>
        <w:t xml:space="preserve">Increased labour force participation could also help countries deal with pressing social issues such as ageing populations by mobilising potential labour </w:t>
      </w:r>
      <w:sdt>
        <w:sdtPr>
          <w:id w:val="253785925"/>
          <w:citation/>
        </w:sdtPr>
        <w:sdtContent>
          <w:r>
            <w:fldChar w:fldCharType="begin"/>
          </w:r>
          <w:r>
            <w:instrText xml:space="preserve"> CITATION OEC172 \l 3081 </w:instrText>
          </w:r>
          <w:r>
            <w:fldChar w:fldCharType="separate"/>
          </w:r>
          <w:r w:rsidR="00D52996">
            <w:rPr>
              <w:noProof/>
            </w:rPr>
            <w:t>(OECD, 2017)</w:t>
          </w:r>
          <w:r>
            <w:fldChar w:fldCharType="end"/>
          </w:r>
        </w:sdtContent>
      </w:sdt>
      <w:r>
        <w:t xml:space="preserve">. More resources – both shared and individual – can help increase wellbeing and help build stronger communities.  </w:t>
      </w:r>
    </w:p>
    <w:p w14:paraId="7822CC8C" w14:textId="77777777" w:rsidR="00B16B67" w:rsidRDefault="00B16B67" w:rsidP="00B16B67">
      <w:pPr>
        <w:pStyle w:val="BodyText"/>
      </w:pPr>
      <w:r>
        <w:t xml:space="preserve">In practice, however, the relationship between productivity and participation – and their resulting impact on economic growth and societal wellbeing – is both complex and multidirectional. While productivity can influence labour market participation, and in both directions, the inverse is also true. </w:t>
      </w:r>
    </w:p>
    <w:p w14:paraId="6A0E1B8E" w14:textId="51B83125" w:rsidR="00B16B67" w:rsidRDefault="00B16B67" w:rsidP="00B16B67">
      <w:pPr>
        <w:pStyle w:val="BodyText"/>
      </w:pPr>
      <w:r w:rsidRPr="008E3752">
        <w:t>Productivity can influence labour market participation</w:t>
      </w:r>
      <w:r>
        <w:t xml:space="preserve"> by increasing</w:t>
      </w:r>
      <w:r w:rsidRPr="008E3752">
        <w:t xml:space="preserve"> economic growth </w:t>
      </w:r>
      <w:r w:rsidR="003C4D5A">
        <w:t>and</w:t>
      </w:r>
      <w:r w:rsidRPr="008E3752">
        <w:t xml:space="preserve"> the demand for labour and wages. This can incentivise </w:t>
      </w:r>
      <w:r w:rsidRPr="008E3752" w:rsidDel="004B4116">
        <w:t xml:space="preserve">people </w:t>
      </w:r>
      <w:r w:rsidRPr="008E3752">
        <w:t>to enter the workforce</w:t>
      </w:r>
      <w:r w:rsidRPr="008E3752" w:rsidDel="0084431A">
        <w:t xml:space="preserve">, </w:t>
      </w:r>
      <w:r w:rsidRPr="008E3752" w:rsidDel="004B4116">
        <w:t xml:space="preserve">including </w:t>
      </w:r>
      <w:r>
        <w:t>underrepresented groups</w:t>
      </w:r>
      <w:r w:rsidRPr="008E3752" w:rsidDel="004B4116">
        <w:t xml:space="preserve"> </w:t>
      </w:r>
      <w:r w:rsidRPr="008E3752" w:rsidDel="0084431A">
        <w:t>(</w:t>
      </w:r>
      <w:r w:rsidDel="004B4116">
        <w:t xml:space="preserve">such as women or mature </w:t>
      </w:r>
      <w:r w:rsidR="00A95F2A">
        <w:t xml:space="preserve">aged </w:t>
      </w:r>
      <w:r w:rsidDel="004B4116">
        <w:t>workers</w:t>
      </w:r>
      <w:r w:rsidDel="008E3752">
        <w:t>)</w:t>
      </w:r>
      <w:r w:rsidR="00C13D04">
        <w:t>,</w:t>
      </w:r>
      <w:r w:rsidR="00A80189">
        <w:t xml:space="preserve"> </w:t>
      </w:r>
      <w:r w:rsidR="00C13D04">
        <w:t>w</w:t>
      </w:r>
      <w:r w:rsidR="00EF6AF0">
        <w:t>hile unmet labour demand may induce employers to consider a broader range of candidates</w:t>
      </w:r>
      <w:r w:rsidR="00C13D04">
        <w:t>.</w:t>
      </w:r>
      <w:r>
        <w:t xml:space="preserve"> On the other hand, technological advancements that boost productivity can significantly change the nature of certain jobs. This can reduce the demand for some occupations. </w:t>
      </w:r>
      <w:r w:rsidRPr="0050088A">
        <w:t>Technological change can disrupt established workflows and, without the right skills in place, may lead to a temporary decline in productivity</w:t>
      </w:r>
      <w:r w:rsidR="00EF003F">
        <w:t xml:space="preserve"> as the market adjusts</w:t>
      </w:r>
      <w:r w:rsidRPr="0050088A">
        <w:t>. However, when employers and governments invest in reskilling initiatives, they empower workers to adapt, improve productivity</w:t>
      </w:r>
      <w:r w:rsidRPr="0050088A" w:rsidDel="002346E6">
        <w:t>, and take advantage of new opportunities</w:t>
      </w:r>
      <w:r w:rsidRPr="0050088A" w:rsidDel="000C74E1">
        <w:t xml:space="preserve"> created by innovation</w:t>
      </w:r>
      <w:r w:rsidRPr="0050088A">
        <w:t xml:space="preserve">. Supporting people through these transitions strengthens the workforce </w:t>
      </w:r>
      <w:r>
        <w:t>while ensuring</w:t>
      </w:r>
      <w:r w:rsidRPr="0050088A">
        <w:t xml:space="preserve"> that technological progress delivers broad and lasting benefits</w:t>
      </w:r>
      <w:r>
        <w:t>.</w:t>
      </w:r>
    </w:p>
    <w:p w14:paraId="7CB99FAA" w14:textId="77777777" w:rsidR="00480B35" w:rsidRDefault="00480B35" w:rsidP="00B16B67">
      <w:pPr>
        <w:pStyle w:val="BodyText"/>
        <w:sectPr w:rsidR="00480B35" w:rsidSect="00480B35">
          <w:headerReference w:type="even" r:id="rId44"/>
          <w:headerReference w:type="default" r:id="rId45"/>
          <w:footerReference w:type="even" r:id="rId46"/>
          <w:footerReference w:type="default" r:id="rId47"/>
          <w:type w:val="oddPage"/>
          <w:pgSz w:w="11907" w:h="16839" w:code="9"/>
          <w:pgMar w:top="1440" w:right="1270" w:bottom="1440" w:left="3402" w:header="720" w:footer="720" w:gutter="0"/>
          <w:cols w:space="720"/>
          <w:docGrid w:linePitch="360"/>
        </w:sectPr>
      </w:pPr>
    </w:p>
    <w:p w14:paraId="3A440ACD" w14:textId="2185B010" w:rsidR="00B16B67" w:rsidRDefault="00B16B67" w:rsidP="00B16B67">
      <w:pPr>
        <w:pStyle w:val="BodyText"/>
      </w:pPr>
      <w:r>
        <w:t xml:space="preserve">Increased participation </w:t>
      </w:r>
      <w:r w:rsidR="009B743D">
        <w:t>with</w:t>
      </w:r>
      <w:r>
        <w:t xml:space="preserve"> a larger</w:t>
      </w:r>
      <w:r w:rsidR="00E627AF">
        <w:t>,</w:t>
      </w:r>
      <w:r>
        <w:t xml:space="preserve"> more diverse workforce positively impacts people’s individual standard of living, social connections and wellbeing. It can also enhance productivity, with JSA research showing that occupations with less diverse workforces are more likely to face skills shortages. Diverse perspectives, experiences, and viewpoints can enhance innovation and creative problem solving </w:t>
      </w:r>
      <w:r w:rsidDel="004570FD">
        <w:t>– leading to new and more effective approaches, ideas, and solutions</w:t>
      </w:r>
      <w:r>
        <w:t xml:space="preserve">. A broad talent pool of workers with diverse skillsets, knowledge, and expertise can also support organisations in adapting to changing needs and priorities. </w:t>
      </w:r>
    </w:p>
    <w:p w14:paraId="5F5F29BF" w14:textId="65BB967D" w:rsidR="00B16B67" w:rsidRDefault="00B16B67" w:rsidP="00B16B67">
      <w:pPr>
        <w:pStyle w:val="BodyText"/>
      </w:pPr>
      <w:r w:rsidRPr="00BB7F9B">
        <w:t xml:space="preserve">While increased participation is essential to building a more inclusive and dynamic labour market, it does not automatically translate into higher productivity. </w:t>
      </w:r>
      <w:r>
        <w:t>Short term declines may occur</w:t>
      </w:r>
      <w:r w:rsidRPr="00BB7F9B">
        <w:t xml:space="preserve"> if new entrants </w:t>
      </w:r>
      <w:r>
        <w:t xml:space="preserve">lack optimal skills or </w:t>
      </w:r>
      <w:r w:rsidRPr="00BB7F9B">
        <w:t>are not well matched to job requirements. However, supported</w:t>
      </w:r>
      <w:r>
        <w:t xml:space="preserve"> by </w:t>
      </w:r>
      <w:r w:rsidRPr="00BB7F9B">
        <w:t xml:space="preserve">strong systems for skills development and </w:t>
      </w:r>
      <w:r w:rsidR="00B51E14">
        <w:t xml:space="preserve">improved </w:t>
      </w:r>
      <w:r>
        <w:t>job matching</w:t>
      </w:r>
      <w:r w:rsidRPr="00BB7F9B">
        <w:t xml:space="preserve">, </w:t>
      </w:r>
      <w:r w:rsidRPr="00BB7F9B" w:rsidDel="000A316B">
        <w:t xml:space="preserve">individuals </w:t>
      </w:r>
      <w:r>
        <w:t>can</w:t>
      </w:r>
      <w:r w:rsidRPr="00BB7F9B">
        <w:t xml:space="preserve"> </w:t>
      </w:r>
      <w:r w:rsidRPr="00BB7F9B" w:rsidDel="000A316B">
        <w:t xml:space="preserve">thrive in meaningful work and </w:t>
      </w:r>
      <w:r w:rsidRPr="00BB7F9B">
        <w:t>contribut</w:t>
      </w:r>
      <w:r>
        <w:t>e</w:t>
      </w:r>
      <w:r w:rsidRPr="00BB7F9B">
        <w:t xml:space="preserve"> </w:t>
      </w:r>
      <w:r w:rsidRPr="00BB7F9B" w:rsidDel="000A316B">
        <w:t xml:space="preserve">to </w:t>
      </w:r>
      <w:r w:rsidRPr="00BB7F9B">
        <w:t>a more productive and resilient economy. This highlights the importance of a responsive skills system t</w:t>
      </w:r>
      <w:r w:rsidRPr="00F51E9D">
        <w:t xml:space="preserve">hat </w:t>
      </w:r>
      <w:r w:rsidRPr="00CF7085">
        <w:t>grows capability alongside workforce participation.</w:t>
      </w:r>
    </w:p>
    <w:p w14:paraId="5C1B5D1A" w14:textId="6311CC64" w:rsidR="00B16B67" w:rsidRPr="004E7AB9" w:rsidRDefault="00B16B67" w:rsidP="00480B35">
      <w:pPr>
        <w:pStyle w:val="BodyText"/>
      </w:pPr>
      <w:r w:rsidRPr="004E7AB9">
        <w:t xml:space="preserve">Australia’s economic future depends not only on how much we produce, but on how well we </w:t>
      </w:r>
      <w:r>
        <w:t>harness</w:t>
      </w:r>
      <w:r w:rsidRPr="004E7AB9">
        <w:t xml:space="preserve"> </w:t>
      </w:r>
      <w:r w:rsidR="00F44BE1">
        <w:t xml:space="preserve">both the </w:t>
      </w:r>
      <w:r w:rsidRPr="004E7AB9">
        <w:t>talents</w:t>
      </w:r>
      <w:r w:rsidR="00F44BE1">
        <w:t xml:space="preserve"> and latent human capital</w:t>
      </w:r>
      <w:r w:rsidRPr="004E7AB9">
        <w:t xml:space="preserve"> of our people. Productivity and participation are distinct yet deeply interwoven forces that shape both national prosperity and individual wellbeing. As the labour market evolves, </w:t>
      </w:r>
      <w:r w:rsidR="00B51E14">
        <w:t>more effective</w:t>
      </w:r>
      <w:r w:rsidR="00B51E14" w:rsidRPr="004E7AB9">
        <w:t xml:space="preserve"> </w:t>
      </w:r>
      <w:r w:rsidR="008107BC">
        <w:t xml:space="preserve">connection </w:t>
      </w:r>
      <w:r w:rsidR="0012700F">
        <w:t>of</w:t>
      </w:r>
      <w:r w:rsidR="0012700F" w:rsidRPr="004E7AB9">
        <w:t xml:space="preserve"> </w:t>
      </w:r>
      <w:r w:rsidRPr="004E7AB9">
        <w:t xml:space="preserve">people </w:t>
      </w:r>
      <w:r w:rsidR="0012700F">
        <w:t>with</w:t>
      </w:r>
      <w:r w:rsidRPr="004E7AB9">
        <w:t xml:space="preserve"> jobs emerges as a practical and powerful enabler</w:t>
      </w:r>
      <w:r>
        <w:t xml:space="preserve">. </w:t>
      </w:r>
    </w:p>
    <w:p w14:paraId="20CF9493" w14:textId="77777777" w:rsidR="00B16B67" w:rsidRDefault="00B16B67" w:rsidP="007D0747">
      <w:pPr>
        <w:pStyle w:val="Heading2"/>
      </w:pPr>
      <w:bookmarkStart w:id="17" w:name="_Toc204265315"/>
      <w:bookmarkStart w:id="18" w:name="_Toc207643285"/>
      <w:bookmarkStart w:id="19" w:name="_Toc208923373"/>
      <w:bookmarkStart w:id="20" w:name="_Toc211586985"/>
      <w:bookmarkStart w:id="21" w:name="_Toc204265313"/>
      <w:r>
        <w:t>Productivity in Australia</w:t>
      </w:r>
      <w:bookmarkEnd w:id="17"/>
      <w:bookmarkEnd w:id="18"/>
      <w:bookmarkEnd w:id="19"/>
      <w:bookmarkEnd w:id="20"/>
    </w:p>
    <w:p w14:paraId="568394FB" w14:textId="77932C83" w:rsidR="00B16B67" w:rsidRDefault="00B16B67" w:rsidP="00B16B67">
      <w:pPr>
        <w:pStyle w:val="BodyText"/>
      </w:pPr>
      <w:r>
        <w:t>Recent estimates show that productivity growth in Australia has stalled</w:t>
      </w:r>
      <w:r w:rsidR="00A7171A">
        <w:t>,</w:t>
      </w:r>
      <w:r>
        <w:t xml:space="preserve"> growing by less than a quarter of its 60-year average in the past 10 years </w:t>
      </w:r>
      <w:sdt>
        <w:sdtPr>
          <w:id w:val="-827743158"/>
          <w:citation/>
        </w:sdtPr>
        <w:sdtContent>
          <w:r>
            <w:fldChar w:fldCharType="begin"/>
          </w:r>
          <w:r>
            <w:instrText xml:space="preserve">CITATION Pro252 \l 3081 </w:instrText>
          </w:r>
          <w:r>
            <w:fldChar w:fldCharType="separate"/>
          </w:r>
          <w:r w:rsidR="00D52996">
            <w:rPr>
              <w:noProof/>
            </w:rPr>
            <w:t>(Productivity Commission, 2025)</w:t>
          </w:r>
          <w:r>
            <w:fldChar w:fldCharType="end"/>
          </w:r>
        </w:sdtContent>
      </w:sdt>
      <w:r>
        <w:t xml:space="preserve">. While a ‘labour productivity bubble’ emerged during the COVID-19 pandemic – where lockdowns reallocated labour away from disrupted and less productive industries, and productivity continued to rise for a period after lockdowns eased – labour productivity declined rapidly between March 2022 and June 2023 to return to its December 2019 level </w:t>
      </w:r>
      <w:sdt>
        <w:sdtPr>
          <w:id w:val="1138150030"/>
          <w:citation/>
        </w:sdtPr>
        <w:sdtContent>
          <w:r>
            <w:fldChar w:fldCharType="begin"/>
          </w:r>
          <w:r>
            <w:instrText xml:space="preserve">CITATION Pro253 \l 3081 </w:instrText>
          </w:r>
          <w:r>
            <w:fldChar w:fldCharType="separate"/>
          </w:r>
          <w:r w:rsidR="00D52996">
            <w:rPr>
              <w:noProof/>
            </w:rPr>
            <w:t>(Productivity Commission, 2025)</w:t>
          </w:r>
          <w:r>
            <w:fldChar w:fldCharType="end"/>
          </w:r>
        </w:sdtContent>
      </w:sdt>
      <w:r>
        <w:t>.</w:t>
      </w:r>
    </w:p>
    <w:p w14:paraId="10F74943" w14:textId="77FE9C96" w:rsidR="00B16B67" w:rsidRDefault="00B16B67" w:rsidP="00B16B67">
      <w:pPr>
        <w:pStyle w:val="BodyText"/>
      </w:pPr>
      <w:r>
        <w:t>This overall slowing or stalling of productivity has not been limited to Australia, however, with the Reserve Bank of Australia noting that “internationally, trend productivity growth has slowed across advanced economies, after a strong period of growth in the 1990s and early 2000s</w:t>
      </w:r>
      <w:r w:rsidR="000E1773">
        <w:t>"</w:t>
      </w:r>
      <w:r>
        <w:t xml:space="preserve"> </w:t>
      </w:r>
      <w:sdt>
        <w:sdtPr>
          <w:id w:val="347839508"/>
          <w:citation/>
        </w:sdtPr>
        <w:sdtContent>
          <w:r w:rsidR="00294CF8">
            <w:fldChar w:fldCharType="begin"/>
          </w:r>
          <w:r w:rsidR="00294CF8">
            <w:instrText xml:space="preserve">CITATION Bru231 \l 3081 </w:instrText>
          </w:r>
          <w:r w:rsidR="00294CF8">
            <w:fldChar w:fldCharType="separate"/>
          </w:r>
          <w:r w:rsidR="00D52996">
            <w:rPr>
              <w:noProof/>
            </w:rPr>
            <w:t>(Bruno, Dunphy, &amp; Georgiakakis, 2023)</w:t>
          </w:r>
          <w:r w:rsidR="00294CF8">
            <w:fldChar w:fldCharType="end"/>
          </w:r>
        </w:sdtContent>
      </w:sdt>
      <w:r>
        <w:t>. Comparatively, recent OECD data highlights</w:t>
      </w:r>
      <w:r w:rsidR="001B151E">
        <w:t xml:space="preserve"> that</w:t>
      </w:r>
      <w:r>
        <w:t xml:space="preserve"> Australia sits roughly in the middle of OECD countries (ranked 17 out of 37) in terms of levels of labour productivity (measured as </w:t>
      </w:r>
      <w:r w:rsidR="00557CDE">
        <w:t>Gross Domestic Product (</w:t>
      </w:r>
      <w:r>
        <w:t>GDP</w:t>
      </w:r>
      <w:r w:rsidR="00557CDE">
        <w:t>)</w:t>
      </w:r>
      <w:r>
        <w:t xml:space="preserve"> per hour worked). As shown in </w:t>
      </w:r>
      <w:r>
        <w:fldChar w:fldCharType="begin"/>
      </w:r>
      <w:r>
        <w:instrText xml:space="preserve"> REF _Ref206489742 \h  \* MERGEFORMAT </w:instrText>
      </w:r>
      <w:r>
        <w:fldChar w:fldCharType="separate"/>
      </w:r>
      <w:r w:rsidR="009E6E1D">
        <w:t>Figure 1</w:t>
      </w:r>
      <w:r>
        <w:fldChar w:fldCharType="end"/>
      </w:r>
      <w:r>
        <w:t xml:space="preserve">, this is just above the OECD average. </w:t>
      </w:r>
    </w:p>
    <w:p w14:paraId="79682234" w14:textId="48142779" w:rsidR="00B16B67" w:rsidRDefault="00B16B67" w:rsidP="00B16B67">
      <w:pPr>
        <w:pStyle w:val="Caption"/>
      </w:pPr>
      <w:bookmarkStart w:id="22" w:name="_Ref206489742"/>
      <w:bookmarkStart w:id="23" w:name="_Ref206489732"/>
      <w:bookmarkStart w:id="24" w:name="_Toc207899176"/>
      <w:bookmarkStart w:id="25" w:name="_Toc211604150"/>
      <w:r>
        <w:t xml:space="preserve">Figure </w:t>
      </w:r>
      <w:r w:rsidRPr="00B16B67">
        <w:fldChar w:fldCharType="begin"/>
      </w:r>
      <w:r w:rsidRPr="00B16B67">
        <w:instrText xml:space="preserve"> SEQ Figure \* ARABIC </w:instrText>
      </w:r>
      <w:r w:rsidRPr="00B16B67">
        <w:fldChar w:fldCharType="separate"/>
      </w:r>
      <w:r w:rsidR="009E6E1D">
        <w:rPr>
          <w:noProof/>
        </w:rPr>
        <w:t>1</w:t>
      </w:r>
      <w:r w:rsidRPr="00B16B67">
        <w:fldChar w:fldCharType="end"/>
      </w:r>
      <w:bookmarkEnd w:id="22"/>
      <w:r w:rsidRPr="00B16B67">
        <w:t xml:space="preserve">: </w:t>
      </w:r>
      <w:bookmarkEnd w:id="23"/>
      <w:bookmarkEnd w:id="24"/>
      <w:r>
        <w:t>GDP per hour worked in OECD countries with data available, 2023 (US dollars)</w:t>
      </w:r>
      <w:bookmarkEnd w:id="25"/>
    </w:p>
    <w:p w14:paraId="31B39952" w14:textId="1F0A64E2" w:rsidR="00B16B67" w:rsidRPr="00B16B67" w:rsidRDefault="00644B52" w:rsidP="00B16B67">
      <w:r w:rsidRPr="00644B52">
        <w:rPr>
          <w:noProof/>
        </w:rPr>
        <w:drawing>
          <wp:inline distT="0" distB="0" distL="0" distR="0" wp14:anchorId="2D0C445A" wp14:editId="79A1A8FE">
            <wp:extent cx="5943600" cy="5982335"/>
            <wp:effectExtent l="0" t="0" r="0" b="0"/>
            <wp:docPr id="851986876" name="Picture 12" descr="A bar chart showing international comparisons of levels of labour productivity for 2023. This shows that Australia's labour productivity is ranked 17 out of the 37 OECD countries for which data is available. At $68.20 Australia's labour productivity is higher than the OECD average ($61.70) but below some other advanced economies such as the United States and the United King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986876" name="Picture 12" descr="A bar chart showing international comparisons of levels of labour productivity for 2023. This shows that Australia's labour productivity is ranked 17 out of the 37 OECD countries for which data is available. At $68.20 Australia's labour productivity is higher than the OECD average ($61.70) but below some other advanced economies such as the United States and the United Kingdom."/>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5982335"/>
                    </a:xfrm>
                    <a:prstGeom prst="rect">
                      <a:avLst/>
                    </a:prstGeom>
                    <a:noFill/>
                    <a:ln>
                      <a:noFill/>
                    </a:ln>
                  </pic:spPr>
                </pic:pic>
              </a:graphicData>
            </a:graphic>
          </wp:inline>
        </w:drawing>
      </w:r>
    </w:p>
    <w:p w14:paraId="520DA093" w14:textId="2287A4AE" w:rsidR="00B16B67" w:rsidRPr="00E016A7" w:rsidRDefault="00B16B67" w:rsidP="00B16B67">
      <w:pPr>
        <w:pStyle w:val="Source"/>
      </w:pPr>
      <w:r w:rsidRPr="00E016A7">
        <w:t>Source: OECD Data explorer, 2023</w:t>
      </w:r>
      <w:r w:rsidR="00494239">
        <w:t>.</w:t>
      </w:r>
    </w:p>
    <w:p w14:paraId="6FD613AC" w14:textId="36DAF8CB" w:rsidR="00B16B67" w:rsidRPr="00E016A7" w:rsidRDefault="00B16B67" w:rsidP="00B16B67">
      <w:pPr>
        <w:pStyle w:val="Source"/>
      </w:pPr>
      <w:r w:rsidRPr="00E016A7">
        <w:t>Note:</w:t>
      </w:r>
      <w:r w:rsidR="00B12F87" w:rsidRPr="00B12F87">
        <w:t xml:space="preserve"> GDP per hour worked is measured in US dollars per hour, PPP converted, constant prices, 2020. GDP per hour worked in OECD countries with available data, 2023.</w:t>
      </w:r>
    </w:p>
    <w:p w14:paraId="02BD9963" w14:textId="77777777" w:rsidR="00B16B67" w:rsidRDefault="00B16B67" w:rsidP="00537382">
      <w:pPr>
        <w:pStyle w:val="Heading3"/>
      </w:pPr>
      <w:bookmarkStart w:id="26" w:name="_Toc207643286"/>
      <w:bookmarkStart w:id="27" w:name="_Toc208923374"/>
      <w:bookmarkStart w:id="28" w:name="_Toc211586986"/>
      <w:bookmarkStart w:id="29" w:name="_Toc204265316"/>
      <w:bookmarkEnd w:id="21"/>
      <w:r>
        <w:t>What drives productivity?</w:t>
      </w:r>
      <w:bookmarkEnd w:id="26"/>
      <w:bookmarkEnd w:id="27"/>
      <w:bookmarkEnd w:id="28"/>
    </w:p>
    <w:p w14:paraId="3EB20DA8" w14:textId="77777777" w:rsidR="00B16B67" w:rsidRPr="00421C9F" w:rsidRDefault="00B16B67" w:rsidP="00B16B67">
      <w:pPr>
        <w:pStyle w:val="BodyText"/>
      </w:pPr>
      <w:r>
        <w:t>A range of factors affect the overall productivity level, and its growth rate in an economy. Generally, factors like flexibility in resource allocation</w:t>
      </w:r>
      <w:r w:rsidRPr="00421C9F">
        <w:t xml:space="preserve"> </w:t>
      </w:r>
      <w:r>
        <w:t>and competition are considered to be important to productivity since they encourage resources to be deployed to their highest value uses. A key driver of productivity growth in the long term is innovation – creating new goods and services and new ways of doing things is often associated with higher productivity.</w:t>
      </w:r>
    </w:p>
    <w:p w14:paraId="4FC2C3B1" w14:textId="468DD0E7" w:rsidR="00B16B67" w:rsidRDefault="00B16B67" w:rsidP="00B16B67">
      <w:pPr>
        <w:pStyle w:val="BodyText"/>
      </w:pPr>
      <w:r>
        <w:t xml:space="preserve">In Australia, several potential causes for the slowing in productivity growth have been proposed. These have included slowing global trade growth, a changing industrial base (away from mining and into non-market sectors where productivity is difficult to both measure and improve), business factors such as low investment in capital and declining adoption of technology and other innovation, and demographic change with an ageing population </w:t>
      </w:r>
      <w:sdt>
        <w:sdtPr>
          <w:id w:val="-1852721564"/>
          <w:citation/>
        </w:sdtPr>
        <w:sdtContent>
          <w:r w:rsidR="005C7A30">
            <w:fldChar w:fldCharType="begin"/>
          </w:r>
          <w:r w:rsidR="005C7A30">
            <w:instrText xml:space="preserve"> CITATION Bru231 \l 3081 </w:instrText>
          </w:r>
          <w:r w:rsidR="005C7A30">
            <w:fldChar w:fldCharType="separate"/>
          </w:r>
          <w:r w:rsidR="00D52996">
            <w:rPr>
              <w:noProof/>
            </w:rPr>
            <w:t>(Bruno, Dunphy, &amp; Georgiakakis, 2023)</w:t>
          </w:r>
          <w:r w:rsidR="005C7A30">
            <w:fldChar w:fldCharType="end"/>
          </w:r>
        </w:sdtContent>
      </w:sdt>
      <w:sdt>
        <w:sdtPr>
          <w:id w:val="362789723"/>
          <w:citation/>
        </w:sdtPr>
        <w:sdtContent>
          <w:r w:rsidR="005A053E">
            <w:fldChar w:fldCharType="begin"/>
          </w:r>
          <w:r w:rsidR="005A053E">
            <w:instrText xml:space="preserve"> CITATION Cha25 \l 3081 </w:instrText>
          </w:r>
          <w:r w:rsidR="005A053E">
            <w:fldChar w:fldCharType="separate"/>
          </w:r>
          <w:r w:rsidR="00D52996">
            <w:rPr>
              <w:noProof/>
            </w:rPr>
            <w:t xml:space="preserve"> (Chalmers, 2025)</w:t>
          </w:r>
          <w:r w:rsidR="005A053E">
            <w:fldChar w:fldCharType="end"/>
          </w:r>
        </w:sdtContent>
      </w:sdt>
      <w:r>
        <w:t>.</w:t>
      </w:r>
    </w:p>
    <w:p w14:paraId="7DDA5016" w14:textId="39A5BCF2" w:rsidR="00B16B67" w:rsidRDefault="00B16B67" w:rsidP="00B16B67">
      <w:pPr>
        <w:pStyle w:val="BodyText"/>
      </w:pPr>
      <w:r>
        <w:t xml:space="preserve">Skills and human capital have an important role to play in productivity. Matching the skills and capabilities of workers and the requirements of jobs is key to lifting productivity. This highlights the importance of skills acquisition and development. It also requires employers to design jobs in a way that they are attractive to workers and best utilise their skills. With innovation driving long term productivity growth, workforce skills need to be constantly updated </w:t>
      </w:r>
      <w:r w:rsidR="0047404C">
        <w:t>in order</w:t>
      </w:r>
      <w:r>
        <w:t xml:space="preserve"> to design and develop new innovations and apply them in the workforce. </w:t>
      </w:r>
      <w:r w:rsidR="00E9335C">
        <w:t>Therefore,</w:t>
      </w:r>
      <w:r>
        <w:t xml:space="preserve"> matching of skills and jobs is critical </w:t>
      </w:r>
      <w:r w:rsidR="0047404C">
        <w:t xml:space="preserve">both </w:t>
      </w:r>
      <w:r>
        <w:t xml:space="preserve">now and </w:t>
      </w:r>
      <w:r w:rsidR="00484BFC">
        <w:t>for</w:t>
      </w:r>
      <w:r>
        <w:t xml:space="preserve"> the future.</w:t>
      </w:r>
    </w:p>
    <w:p w14:paraId="3B3F66AF" w14:textId="04D9106C" w:rsidR="00B16B67" w:rsidRDefault="00B16B67" w:rsidP="00B16B67">
      <w:pPr>
        <w:pStyle w:val="BodyText"/>
      </w:pPr>
      <w:r>
        <w:t>Productivity is about working more effectively, not necessarily putting in more effort. Working more hours might increase production but it will not necessarily increase productivity and may actually reduce it. It</w:t>
      </w:r>
      <w:r w:rsidR="00422410">
        <w:t xml:space="preserve"> i</w:t>
      </w:r>
      <w:r>
        <w:t xml:space="preserve">s about </w:t>
      </w:r>
      <w:r w:rsidRPr="0033093C">
        <w:t xml:space="preserve">making sure </w:t>
      </w:r>
      <w:r>
        <w:t>people have the</w:t>
      </w:r>
      <w:r w:rsidRPr="0033093C">
        <w:t xml:space="preserve"> right skills </w:t>
      </w:r>
      <w:r>
        <w:t>that meet the</w:t>
      </w:r>
      <w:r w:rsidRPr="0033093C">
        <w:t xml:space="preserve"> requirements </w:t>
      </w:r>
      <w:r>
        <w:t>of</w:t>
      </w:r>
      <w:r w:rsidRPr="0033093C">
        <w:t xml:space="preserve"> current and future jobs</w:t>
      </w:r>
      <w:r>
        <w:t xml:space="preserve"> and making sure jobs are designed to make the most of people’s skills. When people have the right capabilities for their roles, they can work smarter, not harder. A skilled workforce can also lead to more innovation, the development of </w:t>
      </w:r>
      <w:r w:rsidR="003559DD">
        <w:t xml:space="preserve">improved </w:t>
      </w:r>
      <w:r>
        <w:t>business processes, and the uptake of technology in the workplace</w:t>
      </w:r>
      <w:r w:rsidR="0071479D">
        <w:t xml:space="preserve">, which are </w:t>
      </w:r>
      <w:r>
        <w:t xml:space="preserve">key factors in improving and sustaining productivity. </w:t>
      </w:r>
    </w:p>
    <w:p w14:paraId="0A5329CF" w14:textId="77777777" w:rsidR="00B16B67" w:rsidRDefault="00B16B67" w:rsidP="00537382">
      <w:pPr>
        <w:pStyle w:val="Heading2"/>
      </w:pPr>
      <w:bookmarkStart w:id="30" w:name="_Toc207643287"/>
      <w:bookmarkStart w:id="31" w:name="_Toc208923375"/>
      <w:bookmarkStart w:id="32" w:name="_Toc211586987"/>
      <w:r>
        <w:t>The importance of participation</w:t>
      </w:r>
      <w:bookmarkEnd w:id="30"/>
      <w:bookmarkEnd w:id="31"/>
      <w:bookmarkEnd w:id="32"/>
    </w:p>
    <w:p w14:paraId="3377A2B2" w14:textId="03F580A5" w:rsidR="00B16B67" w:rsidRDefault="00B16B67" w:rsidP="00B16B67">
      <w:pPr>
        <w:pStyle w:val="BodyText"/>
      </w:pPr>
      <w:r>
        <w:t xml:space="preserve">Labour market participation refers to the percentage of people aged 15 years and older who are either currently working or actively looking for work. </w:t>
      </w:r>
      <w:r w:rsidR="003A1EBE">
        <w:t>Historically, h</w:t>
      </w:r>
      <w:r>
        <w:t xml:space="preserve">igher participation in the labour </w:t>
      </w:r>
      <w:r w:rsidR="00FB4D15">
        <w:t xml:space="preserve">market </w:t>
      </w:r>
      <w:r w:rsidR="00BE11D4">
        <w:t>leads to improved economic output</w:t>
      </w:r>
      <w:r>
        <w:t>. Further, “</w:t>
      </w:r>
      <w:r w:rsidRPr="006D722B">
        <w:t>decent and fairly paid jobs drive consumer demand, thriving businesses and growth</w:t>
      </w:r>
      <w:r w:rsidR="0061031D">
        <w:t>"</w:t>
      </w:r>
      <w:r>
        <w:t xml:space="preserve"> </w:t>
      </w:r>
      <w:sdt>
        <w:sdtPr>
          <w:id w:val="-1219517113"/>
          <w:citation/>
        </w:sdtPr>
        <w:sdtContent>
          <w:r>
            <w:fldChar w:fldCharType="begin"/>
          </w:r>
          <w:r>
            <w:instrText xml:space="preserve"> CITATION Aus23 \l 3081 </w:instrText>
          </w:r>
          <w:r>
            <w:fldChar w:fldCharType="separate"/>
          </w:r>
          <w:r w:rsidR="00D52996">
            <w:rPr>
              <w:noProof/>
            </w:rPr>
            <w:t>(Commonwealth of Australia, 2023)</w:t>
          </w:r>
          <w:r>
            <w:fldChar w:fldCharType="end"/>
          </w:r>
        </w:sdtContent>
      </w:sdt>
      <w:r>
        <w:t>.</w:t>
      </w:r>
    </w:p>
    <w:p w14:paraId="0FA95EDC" w14:textId="0C37EEF4" w:rsidR="00B16B67" w:rsidRDefault="00B16B67" w:rsidP="00B16B67">
      <w:pPr>
        <w:pStyle w:val="BodyText"/>
      </w:pPr>
      <w:r>
        <w:t>When accompanied by</w:t>
      </w:r>
      <w:r w:rsidRPr="0038422F">
        <w:t xml:space="preserve"> strong systems for skills development and </w:t>
      </w:r>
      <w:r w:rsidR="005F0589">
        <w:t>more effective</w:t>
      </w:r>
      <w:r w:rsidR="005F0589" w:rsidRPr="0038422F">
        <w:t xml:space="preserve"> </w:t>
      </w:r>
      <w:r w:rsidR="00325983">
        <w:t>alignment</w:t>
      </w:r>
      <w:r w:rsidR="00325983" w:rsidRPr="0038422F">
        <w:t xml:space="preserve"> </w:t>
      </w:r>
      <w:r w:rsidRPr="0038422F">
        <w:t xml:space="preserve">of skills to jobs, </w:t>
      </w:r>
      <w:r>
        <w:t>participation</w:t>
      </w:r>
      <w:r w:rsidRPr="0038422F">
        <w:t xml:space="preserve"> can deliver substantial benefits </w:t>
      </w:r>
      <w:r>
        <w:t xml:space="preserve">to productivity. A larger pool of </w:t>
      </w:r>
      <w:r w:rsidR="00D2465D">
        <w:t>available workers will supply more diverse</w:t>
      </w:r>
      <w:r>
        <w:t xml:space="preserve"> perspectives, experiences, and viewpoints </w:t>
      </w:r>
      <w:r w:rsidR="00D2465D">
        <w:t xml:space="preserve">which </w:t>
      </w:r>
      <w:r>
        <w:t>can lead to more effective and innovative ideas and solutions. Organisations are more likely to be able to adapt to change and match workers to evolving needs if they have a larger pool of workers with diverse skillsets, knowledge, and expertise. O</w:t>
      </w:r>
      <w:r w:rsidRPr="00E66C91">
        <w:t xml:space="preserve">ccupations with less diverse workforces are more likely to face skills shortages. </w:t>
      </w:r>
    </w:p>
    <w:p w14:paraId="6FA8C961" w14:textId="325468C8" w:rsidR="00B16B67" w:rsidRDefault="00B16B67" w:rsidP="00B16B67">
      <w:pPr>
        <w:pStyle w:val="BodyText"/>
      </w:pPr>
      <w:r>
        <w:t>There are also important social benefits to increased labour market participation, such as stronger communities and reduced inequality. For individuals, e</w:t>
      </w:r>
      <w:r w:rsidRPr="00F12A72">
        <w:t>ngagement in paid work is</w:t>
      </w:r>
      <w:r>
        <w:t xml:space="preserve"> also</w:t>
      </w:r>
      <w:r w:rsidRPr="00F12A72">
        <w:t xml:space="preserve"> associated with lower mortality, improved physical and mental health outcomes, and a greater sense of overall wellbeing</w:t>
      </w:r>
      <w:sdt>
        <w:sdtPr>
          <w:id w:val="270052977"/>
          <w:citation/>
        </w:sdtPr>
        <w:sdtContent>
          <w:r>
            <w:fldChar w:fldCharType="begin"/>
          </w:r>
          <w:r>
            <w:instrText xml:space="preserve"> CITATION DeW99 \l 3081 </w:instrText>
          </w:r>
          <w:r>
            <w:fldChar w:fldCharType="separate"/>
          </w:r>
          <w:r w:rsidR="00D52996">
            <w:rPr>
              <w:noProof/>
            </w:rPr>
            <w:t xml:space="preserve"> (De Witte, 1999)</w:t>
          </w:r>
          <w:r>
            <w:fldChar w:fldCharType="end"/>
          </w:r>
        </w:sdtContent>
      </w:sdt>
      <w:sdt>
        <w:sdtPr>
          <w:id w:val="-1469355025"/>
          <w:citation/>
        </w:sdtPr>
        <w:sdtContent>
          <w:r>
            <w:fldChar w:fldCharType="begin"/>
          </w:r>
          <w:r>
            <w:instrText xml:space="preserve"> CITATION But11 \l 3081 </w:instrText>
          </w:r>
          <w:r>
            <w:fldChar w:fldCharType="separate"/>
          </w:r>
          <w:r w:rsidR="00D52996">
            <w:rPr>
              <w:noProof/>
            </w:rPr>
            <w:t xml:space="preserve"> (Butterworth, et al., 2011)</w:t>
          </w:r>
          <w:r>
            <w:fldChar w:fldCharType="end"/>
          </w:r>
        </w:sdtContent>
      </w:sdt>
      <w:r w:rsidRPr="00F12A72">
        <w:t>.</w:t>
      </w:r>
    </w:p>
    <w:p w14:paraId="27D1CA09" w14:textId="6D6C91B7" w:rsidR="00B16B67" w:rsidRDefault="00B16B67" w:rsidP="00B16B67">
      <w:pPr>
        <w:pStyle w:val="BodyText"/>
      </w:pPr>
      <w:r w:rsidRPr="00142E8B">
        <w:t xml:space="preserve">The Australian Government’s White Paper on Jobs and Opportunities, </w:t>
      </w:r>
      <w:r w:rsidRPr="00ED4661">
        <w:rPr>
          <w:rStyle w:val="Characteritalic"/>
        </w:rPr>
        <w:t>Working Future</w:t>
      </w:r>
      <w:r w:rsidRPr="00142E8B">
        <w:t xml:space="preserve">, outlines the Government’s vision for: </w:t>
      </w:r>
    </w:p>
    <w:p w14:paraId="45A501BC" w14:textId="421EE3F8" w:rsidR="00B16B67" w:rsidRDefault="00B16B67" w:rsidP="00B16B67">
      <w:pPr>
        <w:pStyle w:val="Quote"/>
      </w:pPr>
      <w:r w:rsidRPr="00B16B67">
        <w:t xml:space="preserve">sustained and inclusive full employment, which means everyone who wants a job should be able to find one without having to search for too long. This recognises that decent jobs and opportunities are central to a strong economy and a prosperous and inclusive society </w:t>
      </w:r>
      <w:sdt>
        <w:sdtPr>
          <w:id w:val="-1401353846"/>
          <w:citation/>
        </w:sdtPr>
        <w:sdtContent>
          <w:r w:rsidRPr="00B16B67">
            <w:fldChar w:fldCharType="begin"/>
          </w:r>
          <w:r w:rsidRPr="00B16B67">
            <w:instrText xml:space="preserve">CITATION Aus23 \l 3081 </w:instrText>
          </w:r>
          <w:r w:rsidRPr="00B16B67">
            <w:fldChar w:fldCharType="separate"/>
          </w:r>
          <w:r w:rsidR="00D52996">
            <w:rPr>
              <w:noProof/>
            </w:rPr>
            <w:t>(Commonwealth of Australia, 2023)</w:t>
          </w:r>
          <w:r w:rsidRPr="00B16B67">
            <w:fldChar w:fldCharType="end"/>
          </w:r>
        </w:sdtContent>
      </w:sdt>
      <w:r w:rsidRPr="00B16B67">
        <w:t>.</w:t>
      </w:r>
    </w:p>
    <w:p w14:paraId="344F7F5A" w14:textId="77777777" w:rsidR="00B16B67" w:rsidRPr="00B16B67" w:rsidRDefault="00B16B67" w:rsidP="00B16B67">
      <w:pPr>
        <w:pStyle w:val="Quote"/>
      </w:pPr>
    </w:p>
    <w:p w14:paraId="66405CC4" w14:textId="3A90F939" w:rsidR="00B16B67" w:rsidRDefault="00B16B67" w:rsidP="00B16B67">
      <w:pPr>
        <w:pStyle w:val="BodyText"/>
      </w:pPr>
      <w:r>
        <w:t>Key</w:t>
      </w:r>
      <w:r w:rsidR="007C313E">
        <w:t xml:space="preserve"> agents</w:t>
      </w:r>
      <w:r>
        <w:t xml:space="preserve"> to achieving this vision </w:t>
      </w:r>
      <w:r w:rsidR="001A38D5">
        <w:t>are</w:t>
      </w:r>
      <w:r>
        <w:t xml:space="preserve"> overcoming barriers to employment and reducing labour market inequality. </w:t>
      </w:r>
    </w:p>
    <w:p w14:paraId="4E33B261" w14:textId="77777777" w:rsidR="00B16B67" w:rsidRDefault="00B16B67" w:rsidP="00537382">
      <w:pPr>
        <w:pStyle w:val="Heading3"/>
      </w:pPr>
      <w:bookmarkStart w:id="33" w:name="_Toc207643288"/>
      <w:bookmarkStart w:id="34" w:name="_Toc208923376"/>
      <w:bookmarkStart w:id="35" w:name="_Toc211586988"/>
      <w:r>
        <w:t>Participation in Australia</w:t>
      </w:r>
      <w:bookmarkEnd w:id="33"/>
      <w:bookmarkEnd w:id="34"/>
      <w:bookmarkEnd w:id="35"/>
    </w:p>
    <w:p w14:paraId="304F11A6" w14:textId="774E16F7" w:rsidR="00B16B67" w:rsidRDefault="00B16B67" w:rsidP="00B16B67">
      <w:pPr>
        <w:pStyle w:val="BodyText"/>
      </w:pPr>
      <w:r>
        <w:t xml:space="preserve">Australia’s participation rate has risen over the past six decades, driven largely by the increased participation of women and mature aged workers </w:t>
      </w:r>
      <w:sdt>
        <w:sdtPr>
          <w:id w:val="1031613505"/>
          <w:citation/>
        </w:sdtPr>
        <w:sdtContent>
          <w:r>
            <w:fldChar w:fldCharType="begin"/>
          </w:r>
          <w:r>
            <w:instrText xml:space="preserve"> CITATION Aus23 \l 3081 </w:instrText>
          </w:r>
          <w:r>
            <w:fldChar w:fldCharType="separate"/>
          </w:r>
          <w:r w:rsidR="00D52996">
            <w:rPr>
              <w:noProof/>
            </w:rPr>
            <w:t>(Commonwealth of Australia, 2023)</w:t>
          </w:r>
          <w:r>
            <w:fldChar w:fldCharType="end"/>
          </w:r>
        </w:sdtContent>
      </w:sdt>
      <w:r>
        <w:t xml:space="preserve">. Comparatively, OECD data show that Australia’s participation rate is quite high – ranked </w:t>
      </w:r>
      <w:r w:rsidR="009046A0">
        <w:t>in the top 10 of</w:t>
      </w:r>
      <w:r>
        <w:t xml:space="preserve"> OECD countries (</w:t>
      </w:r>
      <w:r>
        <w:fldChar w:fldCharType="begin"/>
      </w:r>
      <w:r>
        <w:instrText xml:space="preserve"> REF _Ref207628973 \h  \* MERGEFORMAT </w:instrText>
      </w:r>
      <w:r>
        <w:fldChar w:fldCharType="separate"/>
      </w:r>
      <w:r w:rsidR="009E6E1D" w:rsidRPr="00B16B67">
        <w:t xml:space="preserve">Figure </w:t>
      </w:r>
      <w:r w:rsidR="009E6E1D">
        <w:t>2</w:t>
      </w:r>
      <w:r>
        <w:fldChar w:fldCharType="end"/>
      </w:r>
      <w:r>
        <w:t xml:space="preserve">). It ranks above the OECD average and above many of the world’s biggest economies including the United States, Germany, Japan, and the United Kingdom. </w:t>
      </w:r>
    </w:p>
    <w:p w14:paraId="6464E20C" w14:textId="002CEBAA" w:rsidR="00B16B67" w:rsidRPr="00B16B67" w:rsidRDefault="00B16B67" w:rsidP="00B16B67">
      <w:pPr>
        <w:pStyle w:val="Caption"/>
      </w:pPr>
      <w:bookmarkStart w:id="36" w:name="_Ref207628973"/>
      <w:bookmarkStart w:id="37" w:name="_Toc211604151"/>
      <w:bookmarkStart w:id="38" w:name="_Toc207899177"/>
      <w:r w:rsidRPr="00B16B67">
        <w:t xml:space="preserve">Figure </w:t>
      </w:r>
      <w:r w:rsidRPr="00B16B67">
        <w:fldChar w:fldCharType="begin"/>
      </w:r>
      <w:r w:rsidRPr="00B16B67">
        <w:instrText xml:space="preserve"> SEQ Figure \* ARABIC </w:instrText>
      </w:r>
      <w:r w:rsidRPr="00B16B67">
        <w:fldChar w:fldCharType="separate"/>
      </w:r>
      <w:r w:rsidR="009E6E1D">
        <w:rPr>
          <w:noProof/>
        </w:rPr>
        <w:t>2</w:t>
      </w:r>
      <w:r w:rsidRPr="00B16B67">
        <w:fldChar w:fldCharType="end"/>
      </w:r>
      <w:bookmarkEnd w:id="36"/>
      <w:r w:rsidRPr="00B16B67">
        <w:t xml:space="preserve">: </w:t>
      </w:r>
      <w:r w:rsidR="0075247E">
        <w:t>L</w:t>
      </w:r>
      <w:r w:rsidRPr="00B16B67">
        <w:t>abour force participation rate</w:t>
      </w:r>
      <w:r w:rsidR="0075247E">
        <w:t xml:space="preserve"> across OECD countries</w:t>
      </w:r>
      <w:bookmarkEnd w:id="37"/>
      <w:r w:rsidRPr="00B16B67">
        <w:t xml:space="preserve"> </w:t>
      </w:r>
      <w:bookmarkEnd w:id="38"/>
    </w:p>
    <w:p w14:paraId="0D40D0E9" w14:textId="0F7A9869" w:rsidR="00B16B67" w:rsidRDefault="00427C0B" w:rsidP="00370031">
      <w:pPr>
        <w:pStyle w:val="BodyText"/>
      </w:pPr>
      <w:r w:rsidRPr="00427C0B">
        <w:rPr>
          <w:noProof/>
        </w:rPr>
        <w:drawing>
          <wp:inline distT="0" distB="0" distL="0" distR="0" wp14:anchorId="5C3E161A" wp14:editId="4E037BA3">
            <wp:extent cx="5948045" cy="5937885"/>
            <wp:effectExtent l="0" t="0" r="0" b="5715"/>
            <wp:docPr id="1409410766" name="Picture 30" descr="A bar chart showing international comparisons of participation for 2024. This shows that Australia's labour force participation is ranked 7 out of the 38 OECD countries for which data is available. Australia ranks above many of the world’s biggest economies including the United States, Germany, Japan, and the United King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410766" name="Picture 30" descr="A bar chart showing international comparisons of participation for 2024. This shows that Australia's labour force participation is ranked 7 out of the 38 OECD countries for which data is available. Australia ranks above many of the world’s biggest economies including the United States, Germany, Japan, and the United Kingdom."/>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8045" cy="5937885"/>
                    </a:xfrm>
                    <a:prstGeom prst="rect">
                      <a:avLst/>
                    </a:prstGeom>
                    <a:noFill/>
                    <a:ln>
                      <a:noFill/>
                    </a:ln>
                  </pic:spPr>
                </pic:pic>
              </a:graphicData>
            </a:graphic>
          </wp:inline>
        </w:drawing>
      </w:r>
    </w:p>
    <w:p w14:paraId="1B5A0C90" w14:textId="77777777" w:rsidR="00133FA0" w:rsidRDefault="00B16B67" w:rsidP="00B16B67">
      <w:pPr>
        <w:pStyle w:val="Source"/>
      </w:pPr>
      <w:r>
        <w:t xml:space="preserve">Source: </w:t>
      </w:r>
      <w:r w:rsidR="00097D67" w:rsidRPr="00097D67">
        <w:t>OECD Data explorer, Labour force participation rate (15 years and over), annual, 2024, calendar and seasonally adjusted.</w:t>
      </w:r>
      <w:r w:rsidR="00694BBA">
        <w:t xml:space="preserve"> </w:t>
      </w:r>
    </w:p>
    <w:p w14:paraId="0A9B395D" w14:textId="777D4201" w:rsidR="00B16B67" w:rsidRDefault="00694BBA" w:rsidP="00B16B67">
      <w:pPr>
        <w:pStyle w:val="Source"/>
      </w:pPr>
      <w:r>
        <w:t xml:space="preserve">Note: </w:t>
      </w:r>
      <w:r w:rsidR="00133FA0" w:rsidRPr="00133FA0">
        <w:t>The labour force participation rate is calculated as the number of the labour force population as a percentage of the working age population.</w:t>
      </w:r>
    </w:p>
    <w:p w14:paraId="7FF45988" w14:textId="77777777" w:rsidR="00B16B67" w:rsidRDefault="00B16B67" w:rsidP="00537382">
      <w:pPr>
        <w:pStyle w:val="Heading3"/>
      </w:pPr>
      <w:bookmarkStart w:id="39" w:name="_Toc208923377"/>
      <w:bookmarkStart w:id="40" w:name="_Toc211586989"/>
      <w:r>
        <w:t>Participation is uneven</w:t>
      </w:r>
      <w:bookmarkEnd w:id="39"/>
      <w:bookmarkEnd w:id="40"/>
    </w:p>
    <w:p w14:paraId="5C1BB1D0" w14:textId="09C07AE0" w:rsidR="00B16B67" w:rsidRDefault="00B16B67" w:rsidP="00B16B67">
      <w:pPr>
        <w:pStyle w:val="BodyText"/>
      </w:pPr>
      <w:r w:rsidRPr="00A5401B">
        <w:t>The macro story of participation</w:t>
      </w:r>
      <w:r>
        <w:t xml:space="preserve"> – </w:t>
      </w:r>
      <w:r w:rsidRPr="00A5401B">
        <w:t>especially when headline rates are high</w:t>
      </w:r>
      <w:r>
        <w:t xml:space="preserve"> – </w:t>
      </w:r>
      <w:r w:rsidRPr="00A5401B">
        <w:t>can mask a range of micro-level issues that affect the quality, stability, and equity of workforce engagement. </w:t>
      </w:r>
      <w:r w:rsidRPr="003D07F4">
        <w:t xml:space="preserve">Despite increased participation </w:t>
      </w:r>
      <w:r>
        <w:t>at the macro level</w:t>
      </w:r>
      <w:r w:rsidRPr="003D07F4">
        <w:t xml:space="preserve">, barriers persist </w:t>
      </w:r>
      <w:r>
        <w:t>for some</w:t>
      </w:r>
      <w:r w:rsidRPr="003D07F4">
        <w:t xml:space="preserve"> cohorts</w:t>
      </w:r>
      <w:r>
        <w:t>,</w:t>
      </w:r>
      <w:r w:rsidR="007D6A25">
        <w:t xml:space="preserve"> showing a different story when looking across</w:t>
      </w:r>
      <w:r>
        <w:t xml:space="preserve"> some industries,</w:t>
      </w:r>
      <w:r w:rsidRPr="003D07F4">
        <w:t xml:space="preserve"> </w:t>
      </w:r>
      <w:r w:rsidR="007D6A25">
        <w:t xml:space="preserve">or across different </w:t>
      </w:r>
      <w:r w:rsidR="00EB7D49">
        <w:t>Australian</w:t>
      </w:r>
      <w:r w:rsidR="007D6A25">
        <w:t xml:space="preserve"> regions</w:t>
      </w:r>
      <w:r w:rsidRPr="003D07F4">
        <w:t xml:space="preserve">. </w:t>
      </w:r>
      <w:r>
        <w:t xml:space="preserve">Some people may also be underemployed (working fewer hours than they would prefer or need) or be engaged in insecure employment (short-term contract or gig roles, and roles with limited protections). Workers may also face issues within the work environment that affect their ability to thrive, despite technically participating. These can include mismatch between skills and roles, barriers to advancement, limited access to flexibility, or exclusionary environments. </w:t>
      </w:r>
    </w:p>
    <w:p w14:paraId="73444213" w14:textId="2B08BD45" w:rsidR="00CD7DAD" w:rsidRDefault="00CD7DAD" w:rsidP="00CD7DAD">
      <w:pPr>
        <w:pStyle w:val="BodyText"/>
      </w:pPr>
      <w:r>
        <w:t>Early signs from the Free TAFE initiative suggest targeted investment can help overcome barriers to participation in training, particularly for priority cohorts. Since its launch in 2023, Free TAFE has supported over 685,000 enrolments and 191,555 completions across Australia, with strong uptake among First Nations Australians, job seekers, and women.</w:t>
      </w:r>
    </w:p>
    <w:p w14:paraId="583FEBD0" w14:textId="66043FDD" w:rsidR="00CD7DAD" w:rsidRDefault="00CD7DAD" w:rsidP="00CD7DAD">
      <w:pPr>
        <w:pStyle w:val="BodyText"/>
      </w:pPr>
      <w:r>
        <w:t>The most enrolled and completed courses align with national priority sectors such as care, technology and digital, early childhood education and care, construction and hospitality and tourism, indicating that the program is helping students gain footholds in high-demand areas. These early outcomes demonstrate the potential of signature skills programs to support participation and build capacity, especially in the formative years of implementation. While long</w:t>
      </w:r>
      <w:r>
        <w:rPr>
          <w:vertAlign w:val="subscript"/>
        </w:rPr>
        <w:noBreakHyphen/>
      </w:r>
      <w:r>
        <w:t>term impacts will become clearer over time, initial data points to Free TAFE playing a meaningful role in enabling more equitable access to training and employment pathways.</w:t>
      </w:r>
    </w:p>
    <w:p w14:paraId="2D8158B2" w14:textId="313A404F" w:rsidR="00B16B67" w:rsidRDefault="00716D58" w:rsidP="00B16B67">
      <w:pPr>
        <w:pStyle w:val="BodyText"/>
      </w:pPr>
      <w:r>
        <w:t xml:space="preserve">Many workers across the </w:t>
      </w:r>
      <w:r w:rsidR="009B541E">
        <w:t>Australian</w:t>
      </w:r>
      <w:r>
        <w:t xml:space="preserve"> economy experience </w:t>
      </w:r>
      <w:r w:rsidR="00EE5D45">
        <w:t>underemployment</w:t>
      </w:r>
      <w:r w:rsidR="00B16B67" w:rsidRPr="00151272">
        <w:t xml:space="preserve">. Of the 14.7 million employed </w:t>
      </w:r>
      <w:r w:rsidR="00B16B67">
        <w:t>persons in Australia</w:t>
      </w:r>
      <w:r w:rsidR="00B16B67" w:rsidRPr="00151272">
        <w:t xml:space="preserve"> in May 2025, </w:t>
      </w:r>
      <w:r w:rsidR="0021603D">
        <w:t>roughly 8</w:t>
      </w:r>
      <w:r w:rsidR="00586344">
        <w:t>97</w:t>
      </w:r>
      <w:r w:rsidR="0008036E">
        <w:t>,000</w:t>
      </w:r>
      <w:r w:rsidR="00B16B67" w:rsidRPr="00151272">
        <w:t xml:space="preserve"> were underemployed</w:t>
      </w:r>
      <w:r w:rsidR="00400E15">
        <w:rPr>
          <w:rStyle w:val="FootnoteReference"/>
        </w:rPr>
        <w:footnoteReference w:id="2"/>
      </w:r>
      <w:r w:rsidR="00B16B67" w:rsidRPr="00151272">
        <w:t xml:space="preserve">. This includes </w:t>
      </w:r>
      <w:r w:rsidR="00425EFF">
        <w:t>full time workers</w:t>
      </w:r>
      <w:r w:rsidR="00B16B67" w:rsidRPr="00151272">
        <w:t xml:space="preserve"> whose hours were reduced due to economic conditions</w:t>
      </w:r>
      <w:r w:rsidR="00B16B67">
        <w:t xml:space="preserve"> – </w:t>
      </w:r>
      <w:r w:rsidR="00B16B67" w:rsidRPr="00151272">
        <w:t>such as being stood down or insufficient work</w:t>
      </w:r>
      <w:r w:rsidR="006930A7">
        <w:t xml:space="preserve"> being available</w:t>
      </w:r>
      <w:r w:rsidR="00B16B67">
        <w:t xml:space="preserve"> – </w:t>
      </w:r>
      <w:r w:rsidR="00B16B67" w:rsidRPr="00151272">
        <w:t xml:space="preserve">and </w:t>
      </w:r>
      <w:r w:rsidR="00425EFF">
        <w:t>part time workers</w:t>
      </w:r>
      <w:r w:rsidR="00B16B67" w:rsidRPr="00151272">
        <w:t xml:space="preserve"> who would prefer and are available to work more hours than they usually do. </w:t>
      </w:r>
    </w:p>
    <w:p w14:paraId="5634803A" w14:textId="242B4F12" w:rsidR="00B16B67" w:rsidRDefault="00B16B67" w:rsidP="00B16B67">
      <w:pPr>
        <w:pStyle w:val="BodyText"/>
      </w:pPr>
      <w:r>
        <w:t xml:space="preserve">Insecure work is a normal or structural feature of some work arrangements, and this can be due to the nature of demand, funding, or industry norms. For example, insecurity is a structural feature of many roles in creative and cultural fields including musicians, performers, and freelance writers or editors. Freelance developers, consultants, and contractors are also common in many professional fields. While they lack the stability and protections of ongoing direct employment, these roles are not always problematic. Insecure work becomes an issue where it is used as a substitute for what could feasibly be ongoing direct employment. </w:t>
      </w:r>
      <w:r w:rsidRPr="001627C9">
        <w:t>Evidence presented to the Senate Select Committee on Job Security highlights that such arrangements can create persistent uncertainty and financial insecurity, with potential impacts on physical and mental health</w:t>
      </w:r>
      <w:sdt>
        <w:sdtPr>
          <w:id w:val="43875877"/>
          <w:citation/>
        </w:sdtPr>
        <w:sdtContent>
          <w:r>
            <w:fldChar w:fldCharType="begin"/>
          </w:r>
          <w:r>
            <w:instrText xml:space="preserve"> CITATION Com22 \l 3081 </w:instrText>
          </w:r>
          <w:r>
            <w:fldChar w:fldCharType="separate"/>
          </w:r>
          <w:r w:rsidR="00D52996">
            <w:rPr>
              <w:noProof/>
            </w:rPr>
            <w:t xml:space="preserve"> (Commonwealth of Australia, 2022)</w:t>
          </w:r>
          <w:r>
            <w:fldChar w:fldCharType="end"/>
          </w:r>
        </w:sdtContent>
      </w:sdt>
      <w:r w:rsidRPr="001627C9">
        <w:t>.</w:t>
      </w:r>
    </w:p>
    <w:p w14:paraId="37280990" w14:textId="37B92DD5" w:rsidR="00B16B67" w:rsidRDefault="00B16B67" w:rsidP="00B16B67">
      <w:pPr>
        <w:pStyle w:val="BodyText"/>
      </w:pPr>
      <w:r>
        <w:t xml:space="preserve">Last year’s Jobs and Skills </w:t>
      </w:r>
      <w:r w:rsidR="004F3D53">
        <w:t>R</w:t>
      </w:r>
      <w:r>
        <w:t xml:space="preserve">eport noted that while insecure work can be incredibly difficult to define, income volatility (or fluctuating pay) is one indicator </w:t>
      </w:r>
      <w:sdt>
        <w:sdtPr>
          <w:id w:val="-992492887"/>
          <w:citation/>
        </w:sdtPr>
        <w:sdtContent>
          <w:r>
            <w:fldChar w:fldCharType="begin"/>
          </w:r>
          <w:r>
            <w:instrText xml:space="preserve"> CITATION ACT12 \l 3081 </w:instrText>
          </w:r>
          <w:r>
            <w:fldChar w:fldCharType="separate"/>
          </w:r>
          <w:r w:rsidR="00D52996">
            <w:rPr>
              <w:noProof/>
            </w:rPr>
            <w:t>(ACTU, 2012)</w:t>
          </w:r>
          <w:r>
            <w:fldChar w:fldCharType="end"/>
          </w:r>
        </w:sdtContent>
      </w:sdt>
      <w:r>
        <w:t xml:space="preserve">. Another is multiple job holdings. The </w:t>
      </w:r>
      <w:r w:rsidR="00B364D9">
        <w:t>proportion</w:t>
      </w:r>
      <w:r>
        <w:t xml:space="preserve"> of employees with more than one job decreased </w:t>
      </w:r>
      <w:r w:rsidR="00B364D9">
        <w:t>significantly in</w:t>
      </w:r>
      <w:r>
        <w:t xml:space="preserve"> 2023</w:t>
      </w:r>
      <w:r w:rsidR="003512FC">
        <w:t>–</w:t>
      </w:r>
      <w:r>
        <w:t>24 (</w:t>
      </w:r>
      <w:r>
        <w:fldChar w:fldCharType="begin"/>
      </w:r>
      <w:r>
        <w:instrText xml:space="preserve"> REF _Ref208920496 \h  \* MERGEFORMAT </w:instrText>
      </w:r>
      <w:r>
        <w:fldChar w:fldCharType="separate"/>
      </w:r>
      <w:r w:rsidR="009E6E1D">
        <w:t>Table 1</w:t>
      </w:r>
      <w:r>
        <w:fldChar w:fldCharType="end"/>
      </w:r>
      <w:r>
        <w:t>).</w:t>
      </w:r>
    </w:p>
    <w:p w14:paraId="1603A0A6" w14:textId="1807A312" w:rsidR="00B16B67" w:rsidRDefault="00B16B67" w:rsidP="00B16B67">
      <w:pPr>
        <w:pStyle w:val="Caption"/>
      </w:pPr>
      <w:bookmarkStart w:id="41" w:name="_Ref208920496"/>
      <w:bookmarkStart w:id="42" w:name="_Toc210206851"/>
      <w:r>
        <w:t xml:space="preserve">Table </w:t>
      </w:r>
      <w:r>
        <w:fldChar w:fldCharType="begin"/>
      </w:r>
      <w:r>
        <w:instrText xml:space="preserve"> SEQ Table \* ARABIC </w:instrText>
      </w:r>
      <w:r>
        <w:fldChar w:fldCharType="separate"/>
      </w:r>
      <w:r w:rsidR="009E6E1D">
        <w:rPr>
          <w:noProof/>
        </w:rPr>
        <w:t>1</w:t>
      </w:r>
      <w:r>
        <w:fldChar w:fldCharType="end"/>
      </w:r>
      <w:bookmarkEnd w:id="41"/>
      <w:r>
        <w:t>: Total number of employees with additional jobs</w:t>
      </w:r>
      <w:bookmarkEnd w:id="42"/>
    </w:p>
    <w:tbl>
      <w:tblPr>
        <w:tblStyle w:val="CustomTablebasic"/>
        <w:tblW w:w="0" w:type="auto"/>
        <w:tblLook w:val="04A0" w:firstRow="1" w:lastRow="0" w:firstColumn="1" w:lastColumn="0" w:noHBand="0" w:noVBand="1"/>
      </w:tblPr>
      <w:tblGrid>
        <w:gridCol w:w="1649"/>
        <w:gridCol w:w="2414"/>
        <w:gridCol w:w="2693"/>
        <w:gridCol w:w="2260"/>
      </w:tblGrid>
      <w:tr w:rsidR="00FC5F23" w14:paraId="4730E638" w14:textId="77777777" w:rsidTr="00ED4661">
        <w:trPr>
          <w:cnfStyle w:val="100000000000" w:firstRow="1" w:lastRow="0" w:firstColumn="0" w:lastColumn="0" w:oddVBand="0" w:evenVBand="0" w:oddHBand="0" w:evenHBand="0" w:firstRowFirstColumn="0" w:firstRowLastColumn="0" w:lastRowFirstColumn="0" w:lastRowLastColumn="0"/>
        </w:trPr>
        <w:tc>
          <w:tcPr>
            <w:tcW w:w="1649" w:type="dxa"/>
          </w:tcPr>
          <w:p w14:paraId="2436B0C9" w14:textId="77777777" w:rsidR="00B16B67" w:rsidRPr="00B16B67" w:rsidRDefault="00B16B67" w:rsidP="00ED4661">
            <w:pPr>
              <w:pStyle w:val="TableHeading1"/>
            </w:pPr>
            <w:r w:rsidRPr="00B16B67">
              <w:t>Financial year</w:t>
            </w:r>
          </w:p>
        </w:tc>
        <w:tc>
          <w:tcPr>
            <w:tcW w:w="2414" w:type="dxa"/>
          </w:tcPr>
          <w:p w14:paraId="6128D680" w14:textId="77777777" w:rsidR="00B16B67" w:rsidRPr="00B16B67" w:rsidRDefault="00B16B67" w:rsidP="00ED4661">
            <w:pPr>
              <w:pStyle w:val="TableHeading1"/>
            </w:pPr>
            <w:r w:rsidRPr="00B16B67">
              <w:t>Total number of employees</w:t>
            </w:r>
          </w:p>
        </w:tc>
        <w:tc>
          <w:tcPr>
            <w:tcW w:w="2693" w:type="dxa"/>
          </w:tcPr>
          <w:p w14:paraId="76B9D147" w14:textId="77777777" w:rsidR="00B16B67" w:rsidRPr="00B16B67" w:rsidRDefault="00B16B67" w:rsidP="00ED4661">
            <w:pPr>
              <w:pStyle w:val="TableHeading1"/>
            </w:pPr>
            <w:r w:rsidRPr="00B16B67">
              <w:t>Total number of employees with more than one job</w:t>
            </w:r>
          </w:p>
        </w:tc>
        <w:tc>
          <w:tcPr>
            <w:tcW w:w="2260" w:type="dxa"/>
          </w:tcPr>
          <w:p w14:paraId="519E7665" w14:textId="77777777" w:rsidR="00B16B67" w:rsidRPr="00B16B67" w:rsidRDefault="00B16B67" w:rsidP="00ED4661">
            <w:pPr>
              <w:pStyle w:val="TableHeading1"/>
            </w:pPr>
            <w:r w:rsidRPr="00B16B67">
              <w:t>Percentage of employees with more than one job</w:t>
            </w:r>
          </w:p>
        </w:tc>
      </w:tr>
      <w:tr w:rsidR="000A682E" w14:paraId="4B264193" w14:textId="77777777" w:rsidTr="00ED4661">
        <w:tc>
          <w:tcPr>
            <w:tcW w:w="1649" w:type="dxa"/>
          </w:tcPr>
          <w:p w14:paraId="3A73F79F" w14:textId="77777777" w:rsidR="00B16B67" w:rsidRPr="00B16B67" w:rsidRDefault="00B16B67" w:rsidP="00B16B67">
            <w:pPr>
              <w:pStyle w:val="TableBodyText"/>
            </w:pPr>
            <w:r>
              <w:t>2021-22</w:t>
            </w:r>
          </w:p>
        </w:tc>
        <w:tc>
          <w:tcPr>
            <w:tcW w:w="2414" w:type="dxa"/>
          </w:tcPr>
          <w:p w14:paraId="0DEF7292" w14:textId="77777777" w:rsidR="00B16B67" w:rsidRPr="00B16B67" w:rsidRDefault="00B16B67" w:rsidP="00B16B67">
            <w:pPr>
              <w:pStyle w:val="TableBodyText"/>
            </w:pPr>
            <w:r w:rsidRPr="00915B6B">
              <w:t>13,081,200</w:t>
            </w:r>
          </w:p>
        </w:tc>
        <w:tc>
          <w:tcPr>
            <w:tcW w:w="2693" w:type="dxa"/>
          </w:tcPr>
          <w:p w14:paraId="360AFC6B" w14:textId="77777777" w:rsidR="00B16B67" w:rsidRPr="00B16B67" w:rsidRDefault="00B16B67" w:rsidP="00B16B67">
            <w:pPr>
              <w:pStyle w:val="TableBodyText"/>
            </w:pPr>
            <w:r w:rsidRPr="00915B6B">
              <w:t>3,630,700</w:t>
            </w:r>
          </w:p>
        </w:tc>
        <w:tc>
          <w:tcPr>
            <w:tcW w:w="2260" w:type="dxa"/>
          </w:tcPr>
          <w:p w14:paraId="5E82633F" w14:textId="77777777" w:rsidR="00B16B67" w:rsidRPr="00B16B67" w:rsidRDefault="00B16B67" w:rsidP="00B16B67">
            <w:pPr>
              <w:pStyle w:val="TableBodyText"/>
            </w:pPr>
            <w:r>
              <w:t>27.8%</w:t>
            </w:r>
          </w:p>
        </w:tc>
      </w:tr>
      <w:tr w:rsidR="00FC5F23" w14:paraId="5DAAE063" w14:textId="77777777" w:rsidTr="00ED4661">
        <w:trPr>
          <w:cnfStyle w:val="000000010000" w:firstRow="0" w:lastRow="0" w:firstColumn="0" w:lastColumn="0" w:oddVBand="0" w:evenVBand="0" w:oddHBand="0" w:evenHBand="1" w:firstRowFirstColumn="0" w:firstRowLastColumn="0" w:lastRowFirstColumn="0" w:lastRowLastColumn="0"/>
        </w:trPr>
        <w:tc>
          <w:tcPr>
            <w:tcW w:w="1649" w:type="dxa"/>
          </w:tcPr>
          <w:p w14:paraId="15AE8E81" w14:textId="77777777" w:rsidR="00B16B67" w:rsidRPr="00B16B67" w:rsidRDefault="00B16B67" w:rsidP="00B16B67">
            <w:pPr>
              <w:pStyle w:val="TableBodyText"/>
            </w:pPr>
            <w:r>
              <w:t>2022-23</w:t>
            </w:r>
          </w:p>
        </w:tc>
        <w:tc>
          <w:tcPr>
            <w:tcW w:w="2414" w:type="dxa"/>
          </w:tcPr>
          <w:p w14:paraId="649DA621" w14:textId="77777777" w:rsidR="00B16B67" w:rsidRPr="00B16B67" w:rsidRDefault="00B16B67" w:rsidP="00B16B67">
            <w:pPr>
              <w:pStyle w:val="TableBodyText"/>
            </w:pPr>
            <w:r w:rsidRPr="00915B6B">
              <w:t>13,600,400</w:t>
            </w:r>
          </w:p>
        </w:tc>
        <w:tc>
          <w:tcPr>
            <w:tcW w:w="2693" w:type="dxa"/>
          </w:tcPr>
          <w:p w14:paraId="0EFB33D5" w14:textId="77777777" w:rsidR="00B16B67" w:rsidRPr="00B16B67" w:rsidRDefault="00B16B67" w:rsidP="00B16B67">
            <w:pPr>
              <w:pStyle w:val="TableBodyText"/>
            </w:pPr>
            <w:r w:rsidRPr="00915B6B">
              <w:t>3,709,100</w:t>
            </w:r>
          </w:p>
        </w:tc>
        <w:tc>
          <w:tcPr>
            <w:tcW w:w="2260" w:type="dxa"/>
          </w:tcPr>
          <w:p w14:paraId="56001ECF" w14:textId="77777777" w:rsidR="00B16B67" w:rsidRPr="00B16B67" w:rsidRDefault="00B16B67" w:rsidP="00B16B67">
            <w:pPr>
              <w:pStyle w:val="TableBodyText"/>
            </w:pPr>
            <w:r>
              <w:t>27.3%</w:t>
            </w:r>
          </w:p>
        </w:tc>
      </w:tr>
      <w:tr w:rsidR="000A682E" w14:paraId="0A4DEFE6" w14:textId="77777777" w:rsidTr="00ED4661">
        <w:tc>
          <w:tcPr>
            <w:tcW w:w="1649" w:type="dxa"/>
          </w:tcPr>
          <w:p w14:paraId="7F6F1319" w14:textId="77777777" w:rsidR="00B16B67" w:rsidRPr="00B16B67" w:rsidRDefault="00B16B67" w:rsidP="00B16B67">
            <w:pPr>
              <w:pStyle w:val="TableBodyText"/>
            </w:pPr>
            <w:r>
              <w:t>2023-24</w:t>
            </w:r>
          </w:p>
        </w:tc>
        <w:tc>
          <w:tcPr>
            <w:tcW w:w="2414" w:type="dxa"/>
          </w:tcPr>
          <w:p w14:paraId="633C9DD1" w14:textId="77777777" w:rsidR="00B16B67" w:rsidRPr="00B16B67" w:rsidRDefault="00B16B67" w:rsidP="00B16B67">
            <w:pPr>
              <w:pStyle w:val="TableBodyText"/>
            </w:pPr>
            <w:r>
              <w:t>13,831,900</w:t>
            </w:r>
          </w:p>
        </w:tc>
        <w:tc>
          <w:tcPr>
            <w:tcW w:w="2693" w:type="dxa"/>
          </w:tcPr>
          <w:p w14:paraId="277F3EF5" w14:textId="77777777" w:rsidR="00B16B67" w:rsidRPr="00B16B67" w:rsidRDefault="00B16B67" w:rsidP="00B16B67">
            <w:pPr>
              <w:pStyle w:val="TableBodyText"/>
            </w:pPr>
            <w:r>
              <w:t>3,451,100</w:t>
            </w:r>
          </w:p>
        </w:tc>
        <w:tc>
          <w:tcPr>
            <w:tcW w:w="2260" w:type="dxa"/>
          </w:tcPr>
          <w:p w14:paraId="579F0349" w14:textId="77777777" w:rsidR="00B16B67" w:rsidRPr="00B16B67" w:rsidRDefault="00B16B67" w:rsidP="00B16B67">
            <w:pPr>
              <w:pStyle w:val="TableBodyText"/>
            </w:pPr>
            <w:r>
              <w:t>24.9%</w:t>
            </w:r>
          </w:p>
        </w:tc>
      </w:tr>
    </w:tbl>
    <w:p w14:paraId="6AF8FF01" w14:textId="3722AA12" w:rsidR="00B16B67" w:rsidRDefault="00B16B67" w:rsidP="00B16B67">
      <w:pPr>
        <w:pStyle w:val="Source"/>
      </w:pPr>
      <w:r w:rsidRPr="00B16B67">
        <w:t>Source:</w:t>
      </w:r>
      <w:r w:rsidR="00B06889">
        <w:t xml:space="preserve"> </w:t>
      </w:r>
      <w:r w:rsidR="00E763AF">
        <w:t>ABS,</w:t>
      </w:r>
      <w:r w:rsidRPr="00B16B67">
        <w:t xml:space="preserve"> </w:t>
      </w:r>
      <w:r w:rsidR="00A04DAB">
        <w:t>Person Level Integrated Data Asset (</w:t>
      </w:r>
      <w:r w:rsidRPr="00B16B67">
        <w:t>PLIDA</w:t>
      </w:r>
      <w:r w:rsidR="00A04DAB">
        <w:t>)</w:t>
      </w:r>
      <w:r w:rsidRPr="00B16B67">
        <w:t xml:space="preserve"> 2025: Single Touch Payroll (STP) (1 July 2021–30 June 2024). ATO Income Tax Return (ITR) Context, (Financial Year 2022–23). Census 2021. Total number of employees rounded to the nearest 100. </w:t>
      </w:r>
    </w:p>
    <w:p w14:paraId="6D5BA8E5" w14:textId="78C33482" w:rsidR="00B16B67" w:rsidRPr="00B16B67" w:rsidRDefault="00B16B67" w:rsidP="00B16B67">
      <w:pPr>
        <w:pStyle w:val="BodyText"/>
      </w:pPr>
      <w:r w:rsidRPr="00B16B67">
        <w:t>Further analysis of the data shows that differences can be observed across key cohorts. For example, women (27%) were more likely than men (23%) to work in two or more jobs in 2023</w:t>
      </w:r>
      <w:r w:rsidR="00E35B0F">
        <w:noBreakHyphen/>
      </w:r>
      <w:r w:rsidRPr="00B16B67">
        <w:t xml:space="preserve">24, and First Nations people were also more likely to work two or more jobs in the same time period (29% as compared to 25% of all employees). </w:t>
      </w:r>
    </w:p>
    <w:p w14:paraId="706B49CE" w14:textId="0D958A99" w:rsidR="00B16B67" w:rsidRPr="00B16B67" w:rsidRDefault="00B16B67" w:rsidP="00B16B67">
      <w:pPr>
        <w:pStyle w:val="BodyText"/>
      </w:pPr>
      <w:r w:rsidRPr="00B16B67">
        <w:t>The barriers for different cohorts across Australia are explored more in the following chapters</w:t>
      </w:r>
      <w:r w:rsidR="00751C41">
        <w:t>.</w:t>
      </w:r>
      <w:r w:rsidRPr="00B16B67">
        <w:t xml:space="preserve"> </w:t>
      </w:r>
      <w:r w:rsidR="00A71D80">
        <w:t>T</w:t>
      </w:r>
      <w:r w:rsidRPr="00B16B67">
        <w:t xml:space="preserve">here is more work to do to ensure that everyone – regardless of age, gender, ethnicity, disability, socioeconomic status, or other personal characteristic – has equitable access to employment opportunities and the ability to participate to the full extent that they want </w:t>
      </w:r>
      <w:r w:rsidR="00632608">
        <w:t xml:space="preserve">or are able </w:t>
      </w:r>
      <w:r w:rsidRPr="00B16B67">
        <w:t xml:space="preserve">to. Overcoming systemic and structural barriers to participation is complex, however better </w:t>
      </w:r>
      <w:r w:rsidR="00325983">
        <w:t>connection</w:t>
      </w:r>
      <w:r w:rsidR="00325983" w:rsidRPr="00B16B67">
        <w:t xml:space="preserve"> </w:t>
      </w:r>
      <w:r w:rsidRPr="00B16B67">
        <w:t xml:space="preserve">of skills with job requirements is an important factor. To support workers to participate </w:t>
      </w:r>
      <w:r w:rsidR="005A27D0">
        <w:t xml:space="preserve">more fully </w:t>
      </w:r>
      <w:r w:rsidRPr="00B16B67">
        <w:t>in the labour market, we must ensure they have the right skills to obtain and succeed at work</w:t>
      </w:r>
      <w:r w:rsidR="005A27D0">
        <w:t>,</w:t>
      </w:r>
      <w:r w:rsidRPr="00B16B67">
        <w:t xml:space="preserve"> and that employers design jobs that best take advantage of their skills and abilities.</w:t>
      </w:r>
      <w:bookmarkStart w:id="43" w:name="_Toc204265314"/>
      <w:bookmarkEnd w:id="29"/>
    </w:p>
    <w:p w14:paraId="5EFB6456" w14:textId="7380814A" w:rsidR="00B16B67" w:rsidRDefault="00192121" w:rsidP="00537382">
      <w:pPr>
        <w:pStyle w:val="Heading2"/>
      </w:pPr>
      <w:bookmarkStart w:id="44" w:name="_Toc207643290"/>
      <w:bookmarkStart w:id="45" w:name="_Toc208923378"/>
      <w:bookmarkStart w:id="46" w:name="_Toc211586990"/>
      <w:bookmarkEnd w:id="43"/>
      <w:r>
        <w:t xml:space="preserve">Improved </w:t>
      </w:r>
      <w:r w:rsidR="00B16B67">
        <w:t>matching as an enabler</w:t>
      </w:r>
      <w:bookmarkEnd w:id="44"/>
      <w:bookmarkEnd w:id="45"/>
      <w:bookmarkEnd w:id="46"/>
      <w:r w:rsidR="00B16B67">
        <w:t xml:space="preserve"> </w:t>
      </w:r>
    </w:p>
    <w:p w14:paraId="6D4524DC" w14:textId="25FD4BB5" w:rsidR="00B16B67" w:rsidRDefault="00B16B67" w:rsidP="00B16B67">
      <w:pPr>
        <w:pStyle w:val="BodyText"/>
      </w:pPr>
      <w:r w:rsidRPr="00D31FBE">
        <w:t xml:space="preserve">Quality jobs offer more than just employment </w:t>
      </w:r>
      <w:r w:rsidR="0055474A">
        <w:t>–</w:t>
      </w:r>
      <w:r w:rsidRPr="00D31FBE">
        <w:t xml:space="preserve"> they provide fair pay, security, safe conditions, and opportunities for growth and development. They enable people to enjoy their work and feel a sense of purpose.</w:t>
      </w:r>
      <w:r w:rsidRPr="00B16B67">
        <w:t xml:space="preserve"> </w:t>
      </w:r>
      <w:r>
        <w:t>For people to be engaged in quality work and share in the benefits of participation, they need the right skills to succeed in today’s jobs and the jobs of the future. When individuals are in roles that align with their skills, capabilities, interests, and aspirations, they are more</w:t>
      </w:r>
      <w:r w:rsidRPr="00A0337E">
        <w:t xml:space="preserve"> likely to experience job satisfaction, perform effectively, and remain engaged in the labour market. This alignment also helps employers fill vacancies more efficiently, reduces turnover, and fosters a more productive and resilient workforce.</w:t>
      </w:r>
    </w:p>
    <w:p w14:paraId="10A40229" w14:textId="23ECEA0C" w:rsidR="00B16B67" w:rsidRDefault="00B16B67" w:rsidP="00B16B67">
      <w:pPr>
        <w:pStyle w:val="BodyText"/>
      </w:pPr>
      <w:r>
        <w:t xml:space="preserve">Enabling broader participation across cohorts in the Australian population, and lifting the level of Australia’s productivity, depend on </w:t>
      </w:r>
      <w:r w:rsidR="00CD39CF">
        <w:t>more effective</w:t>
      </w:r>
      <w:r w:rsidR="00CD39CF" w:rsidRPr="00B16B67">
        <w:t xml:space="preserve"> </w:t>
      </w:r>
      <w:r w:rsidRPr="00B16B67">
        <w:t xml:space="preserve">matching </w:t>
      </w:r>
      <w:r w:rsidR="00CD39CF">
        <w:t>of</w:t>
      </w:r>
      <w:r w:rsidRPr="00B16B67">
        <w:t xml:space="preserve"> people and jobs</w:t>
      </w:r>
      <w:r>
        <w:t xml:space="preserve">. </w:t>
      </w:r>
    </w:p>
    <w:p w14:paraId="7EF3AAA5" w14:textId="52DB9311" w:rsidR="00B16B67" w:rsidRPr="00B16B67" w:rsidRDefault="00CD39CF" w:rsidP="00B16B67">
      <w:pPr>
        <w:pStyle w:val="BodyText"/>
        <w:rPr>
          <w:rStyle w:val="Characterbold"/>
        </w:rPr>
      </w:pPr>
      <w:r>
        <w:rPr>
          <w:rStyle w:val="Characterbold"/>
        </w:rPr>
        <w:t>Improved</w:t>
      </w:r>
      <w:r w:rsidRPr="00B16B67">
        <w:rPr>
          <w:rStyle w:val="Characterbold"/>
        </w:rPr>
        <w:t xml:space="preserve"> </w:t>
      </w:r>
      <w:r w:rsidR="00B16B67" w:rsidRPr="00B16B67">
        <w:rPr>
          <w:rStyle w:val="Characterbold"/>
        </w:rPr>
        <w:t>matching:</w:t>
      </w:r>
    </w:p>
    <w:p w14:paraId="64E66E48" w14:textId="2B912DEF" w:rsidR="00B16B67" w:rsidRPr="00B16B67" w:rsidRDefault="00B16B67" w:rsidP="00B16B67">
      <w:pPr>
        <w:pStyle w:val="ListBullet"/>
      </w:pPr>
      <w:r w:rsidRPr="00B16B67">
        <w:rPr>
          <w:rStyle w:val="Characterbold"/>
        </w:rPr>
        <w:t xml:space="preserve">will lift the level of productivity in Australia. </w:t>
      </w:r>
      <w:r>
        <w:t>On</w:t>
      </w:r>
      <w:r w:rsidRPr="00B16B67">
        <w:t xml:space="preserve"> its own, skills matching can go some way to lifting the level of productivity in the short term. In the long term, a key driver of productivity growth is innovation, so making sure the workforce has the skills to develop and apply new innovations is key to matching people and jobs in the long term.</w:t>
      </w:r>
    </w:p>
    <w:p w14:paraId="7721A12F" w14:textId="77777777" w:rsidR="00B16B67" w:rsidRPr="00B16B67" w:rsidRDefault="00B16B67" w:rsidP="00B16B67">
      <w:pPr>
        <w:pStyle w:val="ListBullet"/>
      </w:pPr>
      <w:r w:rsidRPr="00B16B67">
        <w:rPr>
          <w:rStyle w:val="Characterbold"/>
        </w:rPr>
        <w:t>is necessary to help raise participation and make it more inclusive.</w:t>
      </w:r>
      <w:r w:rsidRPr="00B16B67">
        <w:t xml:space="preserve"> Including the full range of skills and abilities in the labour market is an economic imperative as well as a social one. </w:t>
      </w:r>
    </w:p>
    <w:p w14:paraId="603190E4" w14:textId="12F59EC1" w:rsidR="00B16B67" w:rsidRPr="00B16B67" w:rsidRDefault="00B16B67" w:rsidP="00B16B67">
      <w:pPr>
        <w:pStyle w:val="ListBullet"/>
      </w:pPr>
      <w:r w:rsidRPr="00B16B67">
        <w:rPr>
          <w:rStyle w:val="Characterbold"/>
        </w:rPr>
        <w:t xml:space="preserve">supports lowering the rate of unemployment that </w:t>
      </w:r>
      <w:r w:rsidR="00F97837">
        <w:rPr>
          <w:rStyle w:val="Characterbold"/>
        </w:rPr>
        <w:t>would still be</w:t>
      </w:r>
      <w:r w:rsidRPr="00B16B67">
        <w:rPr>
          <w:rStyle w:val="Characterbold"/>
        </w:rPr>
        <w:t xml:space="preserve"> consistent with stable inflation</w:t>
      </w:r>
      <w:r w:rsidRPr="00B16B67">
        <w:t xml:space="preserve">. </w:t>
      </w:r>
      <w:r w:rsidR="00545B5F">
        <w:t>Improved</w:t>
      </w:r>
      <w:r w:rsidRPr="00B16B67">
        <w:t xml:space="preserve"> matching of people and jobs will help lower unemployment and </w:t>
      </w:r>
      <w:r w:rsidR="00F87855">
        <w:t>increase productivity</w:t>
      </w:r>
      <w:r w:rsidR="003E5BD8">
        <w:t xml:space="preserve"> without creating upward pressure on inflation. </w:t>
      </w:r>
      <w:r w:rsidR="00D631D3">
        <w:t>This will</w:t>
      </w:r>
      <w:r w:rsidR="00F87855">
        <w:t xml:space="preserve"> </w:t>
      </w:r>
      <w:r w:rsidRPr="00B16B67">
        <w:t xml:space="preserve">make it easier to manage macroeconomic fluctuations with monetary and fiscal policy. </w:t>
      </w:r>
    </w:p>
    <w:p w14:paraId="68906EBD" w14:textId="4107E747" w:rsidR="00B16B67" w:rsidRPr="00B16B67" w:rsidRDefault="00B16B67" w:rsidP="00B16B67">
      <w:pPr>
        <w:pStyle w:val="ListBullet"/>
      </w:pPr>
      <w:r w:rsidRPr="00B16B67">
        <w:rPr>
          <w:rStyle w:val="Characterbold"/>
        </w:rPr>
        <w:t>requires a joined up and cohesive national skills system.</w:t>
      </w:r>
      <w:r w:rsidRPr="00B16B67">
        <w:t xml:space="preserve"> Key partners need to </w:t>
      </w:r>
      <w:r w:rsidR="0092058A">
        <w:t>align efforts more closely</w:t>
      </w:r>
      <w:r w:rsidRPr="00B16B67">
        <w:t xml:space="preserve">, and there needs to be a rebalancing of </w:t>
      </w:r>
      <w:r w:rsidR="00ED253E">
        <w:t xml:space="preserve">the </w:t>
      </w:r>
      <w:r w:rsidRPr="00B16B67">
        <w:t xml:space="preserve">Australian tertiary education system to </w:t>
      </w:r>
      <w:r w:rsidR="00ED253E">
        <w:t xml:space="preserve">help </w:t>
      </w:r>
      <w:r w:rsidRPr="00B16B67">
        <w:t>meet the skills challenges of the future.</w:t>
      </w:r>
    </w:p>
    <w:p w14:paraId="07F548CB" w14:textId="77777777" w:rsidR="00B16B67" w:rsidRDefault="00B16B67" w:rsidP="00B16B67">
      <w:pPr>
        <w:pStyle w:val="BodyText"/>
      </w:pPr>
      <w:r>
        <w:t xml:space="preserve">To support this, effort is required from across the skills system. Employers could consider and look to improve aspects such as their workforce planning practices, job design, hiring practices, and on-the-job training opportunities. There also needs to be employer investment in management capability as well as productivity improving capital such as AI and automation. </w:t>
      </w:r>
    </w:p>
    <w:p w14:paraId="67F63816" w14:textId="77777777" w:rsidR="00B16B67" w:rsidRDefault="00B16B67" w:rsidP="00B16B67">
      <w:pPr>
        <w:pStyle w:val="BodyText"/>
      </w:pPr>
      <w:r>
        <w:t xml:space="preserve">To support workers, investment is needed in the development of technical skills (supported by training products that meet industry needs), and the development of employability and foundation skills. This requires a joined-up tertiary education system that facilitates the movement of people into and through the education system throughout their working lives, and a workplace relations system that supports the flexibility to move between industries, jobs and locations. </w:t>
      </w:r>
    </w:p>
    <w:p w14:paraId="620417DB" w14:textId="297F425E" w:rsidR="00512B0B" w:rsidRDefault="00512B0B" w:rsidP="00B16B67">
      <w:pPr>
        <w:pStyle w:val="BodyText"/>
      </w:pPr>
      <w:r>
        <w:t xml:space="preserve">Employers play a key role in </w:t>
      </w:r>
      <w:r w:rsidR="00A90112">
        <w:t>building employability skills. By providing workers with support, mentoring</w:t>
      </w:r>
      <w:r w:rsidR="000C4360">
        <w:t>,</w:t>
      </w:r>
      <w:r w:rsidR="00A90112">
        <w:t xml:space="preserve"> and </w:t>
      </w:r>
      <w:r w:rsidR="000C4360">
        <w:t>employer-based</w:t>
      </w:r>
      <w:r w:rsidR="000C6F5D">
        <w:t xml:space="preserve"> training, </w:t>
      </w:r>
      <w:r w:rsidR="00C34359">
        <w:t>firms can position themselves as an employer of choice</w:t>
      </w:r>
      <w:r w:rsidR="008F1EF2">
        <w:t xml:space="preserve"> and proactively manage </w:t>
      </w:r>
      <w:r w:rsidR="00592FE2">
        <w:t xml:space="preserve">workforce planning and recruitment challenges. </w:t>
      </w:r>
    </w:p>
    <w:p w14:paraId="6BD28180" w14:textId="26958C82" w:rsidR="00B16B67" w:rsidRDefault="00B16B67" w:rsidP="00B16B67">
      <w:pPr>
        <w:pStyle w:val="BodyText"/>
      </w:pPr>
      <w:r>
        <w:t xml:space="preserve">The skilled migration system can </w:t>
      </w:r>
      <w:r w:rsidR="00B6585D">
        <w:t xml:space="preserve">also </w:t>
      </w:r>
      <w:r>
        <w:t xml:space="preserve">support these efforts with a target program aimed at helping fill short term skills gaps in the labour market and at boosting Australia’s human capital and skills in the areas of greatest need within the economy in the long term. </w:t>
      </w:r>
    </w:p>
    <w:p w14:paraId="05BEFFB8" w14:textId="77777777" w:rsidR="00B16B67" w:rsidRDefault="00B16B67" w:rsidP="00537382">
      <w:pPr>
        <w:pStyle w:val="Heading3"/>
      </w:pPr>
      <w:bookmarkStart w:id="47" w:name="_Toc207643291"/>
      <w:bookmarkStart w:id="48" w:name="_Toc208923379"/>
      <w:bookmarkStart w:id="49" w:name="_Toc211586991"/>
      <w:r>
        <w:t>How efficient is matching between people and jobs in the Australian labour market?</w:t>
      </w:r>
      <w:bookmarkEnd w:id="47"/>
      <w:bookmarkEnd w:id="48"/>
      <w:bookmarkEnd w:id="49"/>
    </w:p>
    <w:p w14:paraId="0B64DED5" w14:textId="77777777" w:rsidR="00B16B67" w:rsidRDefault="00B16B67" w:rsidP="00B16B67">
      <w:pPr>
        <w:pStyle w:val="BodyText"/>
      </w:pPr>
      <w:r>
        <w:t xml:space="preserve">Labour economists use various analytical tools to examine how well people are being matched with jobs in the real world. For example, they can consider factors such as the average duration of unemployment, or the job-finding rate (the proportion of unemployed people who find jobs within a given period). Both a long average duration of unemployment and a low job-finding rate can signal inefficiencies in matching, particularly in the presence of stable or rising vacancies. </w:t>
      </w:r>
    </w:p>
    <w:p w14:paraId="37C55291" w14:textId="7B1DD09D" w:rsidR="00B16B67" w:rsidRPr="00DE6A90" w:rsidRDefault="00B16B67" w:rsidP="00B16B67">
      <w:pPr>
        <w:pStyle w:val="BodyText"/>
      </w:pPr>
      <w:r>
        <w:t xml:space="preserve">As shown in </w:t>
      </w:r>
      <w:r>
        <w:rPr>
          <w:highlight w:val="yellow"/>
        </w:rPr>
        <w:fldChar w:fldCharType="begin"/>
      </w:r>
      <w:r>
        <w:instrText xml:space="preserve"> REF _Ref207716014 \h </w:instrText>
      </w:r>
      <w:r>
        <w:rPr>
          <w:highlight w:val="yellow"/>
        </w:rPr>
        <w:instrText xml:space="preserve"> \* MERGEFORMAT </w:instrText>
      </w:r>
      <w:r>
        <w:rPr>
          <w:highlight w:val="yellow"/>
        </w:rPr>
      </w:r>
      <w:r>
        <w:rPr>
          <w:highlight w:val="yellow"/>
        </w:rPr>
        <w:fldChar w:fldCharType="separate"/>
      </w:r>
      <w:r w:rsidR="009E6E1D">
        <w:t>Figure 3</w:t>
      </w:r>
      <w:r>
        <w:rPr>
          <w:highlight w:val="yellow"/>
        </w:rPr>
        <w:fldChar w:fldCharType="end"/>
      </w:r>
      <w:r>
        <w:t xml:space="preserve">, JSA’s </w:t>
      </w:r>
      <w:r w:rsidRPr="00B16B67">
        <w:t>Roadmap for Regional Australia (Phase 1)</w:t>
      </w:r>
      <w:r>
        <w:t xml:space="preserve"> considered data from 2019 to 2025 to produce Beveridge curves for labour markets in </w:t>
      </w:r>
      <w:r w:rsidR="001E443A">
        <w:t>R</w:t>
      </w:r>
      <w:r>
        <w:t xml:space="preserve">egional Australia and for Australian </w:t>
      </w:r>
      <w:r w:rsidR="00345096">
        <w:t>M</w:t>
      </w:r>
      <w:r>
        <w:t xml:space="preserve">ajor </w:t>
      </w:r>
      <w:r w:rsidR="007A33A9">
        <w:t>C</w:t>
      </w:r>
      <w:r>
        <w:t xml:space="preserve">ity </w:t>
      </w:r>
      <w:r w:rsidR="007A33A9">
        <w:t>A</w:t>
      </w:r>
      <w:r>
        <w:t xml:space="preserve">reas. It showed that on average, labour markets in </w:t>
      </w:r>
      <w:r w:rsidR="00993C45">
        <w:t>R</w:t>
      </w:r>
      <w:r>
        <w:t xml:space="preserve">egional Australia may have been more efficient over this time period </w:t>
      </w:r>
      <w:sdt>
        <w:sdtPr>
          <w:id w:val="1635217396"/>
          <w:citation/>
        </w:sdtPr>
        <w:sdtContent>
          <w:r>
            <w:fldChar w:fldCharType="begin"/>
          </w:r>
          <w:r>
            <w:instrText xml:space="preserve"> CITATION Job25 \l 3081 </w:instrText>
          </w:r>
          <w:r>
            <w:fldChar w:fldCharType="separate"/>
          </w:r>
          <w:r w:rsidR="00D52996">
            <w:rPr>
              <w:noProof/>
            </w:rPr>
            <w:t>(Jobs and Skills Australia, 2025)</w:t>
          </w:r>
          <w:r>
            <w:fldChar w:fldCharType="end"/>
          </w:r>
        </w:sdtContent>
      </w:sdt>
      <w:r w:rsidRPr="00395CC8">
        <w:t>.</w:t>
      </w:r>
    </w:p>
    <w:p w14:paraId="27FD5F91" w14:textId="5C142855" w:rsidR="00B16B67" w:rsidRPr="00B16B67" w:rsidRDefault="00B16B67" w:rsidP="00B16B67">
      <w:pPr>
        <w:pStyle w:val="Caption"/>
      </w:pPr>
      <w:bookmarkStart w:id="50" w:name="_Ref207716014"/>
      <w:bookmarkStart w:id="51" w:name="_Toc207899178"/>
      <w:bookmarkStart w:id="52" w:name="_Toc211604152"/>
      <w:r>
        <w:t xml:space="preserve">Figure </w:t>
      </w:r>
      <w:r>
        <w:fldChar w:fldCharType="begin"/>
      </w:r>
      <w:r>
        <w:instrText xml:space="preserve"> SEQ Figure \* ARABIC </w:instrText>
      </w:r>
      <w:r>
        <w:fldChar w:fldCharType="separate"/>
      </w:r>
      <w:r w:rsidR="009E6E1D">
        <w:rPr>
          <w:noProof/>
        </w:rPr>
        <w:t>3</w:t>
      </w:r>
      <w:r>
        <w:fldChar w:fldCharType="end"/>
      </w:r>
      <w:bookmarkEnd w:id="50"/>
      <w:r>
        <w:t xml:space="preserve">: Beveridge curve for </w:t>
      </w:r>
      <w:r w:rsidR="002411BB">
        <w:t>Regional Australia and M</w:t>
      </w:r>
      <w:r>
        <w:t xml:space="preserve">ajor </w:t>
      </w:r>
      <w:r w:rsidR="002411BB">
        <w:t>C</w:t>
      </w:r>
      <w:r>
        <w:t>ity areas of Australia, 2019 to 2025</w:t>
      </w:r>
      <w:bookmarkEnd w:id="51"/>
      <w:bookmarkEnd w:id="52"/>
    </w:p>
    <w:p w14:paraId="3E47FDD1" w14:textId="1A8690AB" w:rsidR="00B16B67" w:rsidRPr="00B16B67" w:rsidRDefault="001C0668" w:rsidP="00B16B67">
      <w:r w:rsidRPr="001C0668">
        <w:rPr>
          <w:noProof/>
        </w:rPr>
        <w:drawing>
          <wp:inline distT="0" distB="0" distL="0" distR="0" wp14:anchorId="0D03BEE8" wp14:editId="3706041C">
            <wp:extent cx="5943600" cy="2869565"/>
            <wp:effectExtent l="0" t="0" r="0" b="6985"/>
            <wp:docPr id="1685461968" name="Picture 14" descr="A scattered plot that shows the Beveridge Curve for Major City and Regional areas of Australia, 2019 to 2025. The chart shows the Beveridge Curve for Regional Australia is closer to the origin than for Major City areas, providing evidence that, on average, labour markets in Regional Australia may have been more efficient than in Major City areas since 20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461968" name="Picture 14" descr="A scattered plot that shows the Beveridge Curve for Major City and Regional areas of Australia, 2019 to 2025. The chart shows the Beveridge Curve for Regional Australia is closer to the origin than for Major City areas, providing evidence that, on average, labour markets in Regional Australia may have been more efficient than in Major City areas since 2019.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2869565"/>
                    </a:xfrm>
                    <a:prstGeom prst="rect">
                      <a:avLst/>
                    </a:prstGeom>
                    <a:noFill/>
                    <a:ln>
                      <a:noFill/>
                    </a:ln>
                  </pic:spPr>
                </pic:pic>
              </a:graphicData>
            </a:graphic>
          </wp:inline>
        </w:drawing>
      </w:r>
    </w:p>
    <w:p w14:paraId="6AE100FB" w14:textId="654D2CF3" w:rsidR="00B16B67" w:rsidRPr="00B16B67" w:rsidRDefault="00B16B67" w:rsidP="00B16B67">
      <w:pPr>
        <w:pStyle w:val="Source"/>
      </w:pPr>
      <w:r w:rsidRPr="00B16B67">
        <w:t>Source: JSA, Internet Vacancy Index (</w:t>
      </w:r>
      <w:r w:rsidR="00A23661">
        <w:t>IVI)</w:t>
      </w:r>
      <w:r w:rsidRPr="00B16B67">
        <w:t xml:space="preserve"> (adjusted for proportion of jobs advertised online – JSA, Recruitment Experiences and Outlook Survey</w:t>
      </w:r>
      <w:r w:rsidR="00BF52B9">
        <w:t xml:space="preserve"> </w:t>
      </w:r>
      <w:r w:rsidR="00C53E05">
        <w:t>(REOS)</w:t>
      </w:r>
      <w:r w:rsidRPr="00B16B67">
        <w:t xml:space="preserve">, April 2025), ABS, Labour Force, Detailed, March 2025, modelled estimates. </w:t>
      </w:r>
    </w:p>
    <w:p w14:paraId="54EF9704" w14:textId="3AF21FB8" w:rsidR="00B16B67" w:rsidRPr="00C77072" w:rsidRDefault="00B16B67" w:rsidP="00B16B67">
      <w:pPr>
        <w:pStyle w:val="Source"/>
      </w:pPr>
      <w:r w:rsidRPr="00B16B67">
        <w:t>Note: The job vacancy rate is the total number of job vacancies (a new total vacancy measure is estimated by adjusting JSA IVI data according to the proportion of vacancies advertised online using JSA REOS data) divided by the total labour force</w:t>
      </w:r>
      <w:r w:rsidRPr="00C77072">
        <w:t xml:space="preserve">. </w:t>
      </w:r>
    </w:p>
    <w:p w14:paraId="06815BC8" w14:textId="49D8977F" w:rsidR="00B16B67" w:rsidRDefault="00B16B67" w:rsidP="00B16B67">
      <w:pPr>
        <w:pStyle w:val="BodyText"/>
      </w:pPr>
      <w:r>
        <w:t xml:space="preserve">This may reflect a range of factors. There is a strong unmet demand for labour in </w:t>
      </w:r>
      <w:r w:rsidR="002009E0">
        <w:t>R</w:t>
      </w:r>
      <w:r>
        <w:t xml:space="preserve">egional Australia, with many jobs in chronic long-term shortage. Employers may be more willing to fill jobs with available candidates, be more flexible about job and qualification requirements or more willing to use on-the-job training as a replacement for formal qualifications where possible. This work-based training and support can often enhance the productivity of the employee over time </w:t>
      </w:r>
      <w:sdt>
        <w:sdtPr>
          <w:id w:val="774365812"/>
          <w:citation/>
        </w:sdtPr>
        <w:sdtContent>
          <w:r>
            <w:fldChar w:fldCharType="begin"/>
          </w:r>
          <w:r>
            <w:instrText xml:space="preserve"> CITATION Job25 \l 3081 </w:instrText>
          </w:r>
          <w:r>
            <w:fldChar w:fldCharType="separate"/>
          </w:r>
          <w:r w:rsidR="00D52996">
            <w:rPr>
              <w:noProof/>
            </w:rPr>
            <w:t>(Jobs and Skills Australia, 2025)</w:t>
          </w:r>
          <w:r>
            <w:fldChar w:fldCharType="end"/>
          </w:r>
        </w:sdtContent>
      </w:sdt>
      <w:r>
        <w:t xml:space="preserve">. </w:t>
      </w:r>
    </w:p>
    <w:p w14:paraId="2BAACDA4" w14:textId="6EE95F16" w:rsidR="00B16B67" w:rsidRDefault="00B16B67" w:rsidP="00B16B67">
      <w:pPr>
        <w:pStyle w:val="BodyText"/>
      </w:pPr>
      <w:r>
        <w:t xml:space="preserve">Matching functions are mathematical models that are used to understand how well people are being connected to jobs. JSA has developed an experimental model, the </w:t>
      </w:r>
      <w:r w:rsidR="00D13353">
        <w:t>Matching, unemployment, vacancies, efficiency, residual</w:t>
      </w:r>
      <w:r>
        <w:t xml:space="preserve"> </w:t>
      </w:r>
      <w:r w:rsidR="00DE62DC">
        <w:t>(MUVER)</w:t>
      </w:r>
      <w:r>
        <w:t xml:space="preserve"> model, to interrogate how labour market efficiency varies across Australia. Overall, results from the model tend to suggest that matching efficiency in the Australian labour market has improved broadly in recent years, and is currently relatively high </w:t>
      </w:r>
      <w:sdt>
        <w:sdtPr>
          <w:id w:val="-633873352"/>
          <w:citation/>
        </w:sdtPr>
        <w:sdtContent>
          <w:r>
            <w:fldChar w:fldCharType="begin"/>
          </w:r>
          <w:r>
            <w:instrText xml:space="preserve"> CITATION Lak24 \l 3081 </w:instrText>
          </w:r>
          <w:r>
            <w:fldChar w:fldCharType="separate"/>
          </w:r>
          <w:r w:rsidR="00D52996">
            <w:rPr>
              <w:noProof/>
            </w:rPr>
            <w:t>(Lake, Shamiri, Sharma, &amp; Bialowas, 2024)</w:t>
          </w:r>
          <w:r>
            <w:fldChar w:fldCharType="end"/>
          </w:r>
        </w:sdtContent>
      </w:sdt>
      <w:r>
        <w:t xml:space="preserve">. </w:t>
      </w:r>
    </w:p>
    <w:p w14:paraId="529FD914" w14:textId="51703CEF" w:rsidR="00B16B67" w:rsidRDefault="00B16B67" w:rsidP="00B16B67">
      <w:pPr>
        <w:pStyle w:val="BodyText"/>
      </w:pPr>
      <w:r w:rsidRPr="00EB25AA">
        <w:t xml:space="preserve">A deeper dive into the relevant data suggests that matching efficiency is not homogenous across regions and demographics. </w:t>
      </w:r>
      <w:r>
        <w:t>S</w:t>
      </w:r>
      <w:r w:rsidRPr="00EB25AA">
        <w:t>kills mismatching is higher for women compared to men, with around 1 in 3 women (33%) working in occupations below their skill level compared to 27% of men. CALD women and First Nations men have the highest rate of skills mismatch at 35%</w:t>
      </w:r>
      <w:r>
        <w:t xml:space="preserve"> </w:t>
      </w:r>
      <w:sdt>
        <w:sdtPr>
          <w:id w:val="-1261287257"/>
          <w:citation/>
        </w:sdtPr>
        <w:sdtContent>
          <w:r>
            <w:fldChar w:fldCharType="begin"/>
          </w:r>
          <w:r>
            <w:instrText xml:space="preserve"> CITATION Job253 \l 3081 </w:instrText>
          </w:r>
          <w:r>
            <w:fldChar w:fldCharType="separate"/>
          </w:r>
          <w:r w:rsidR="00D52996">
            <w:rPr>
              <w:noProof/>
            </w:rPr>
            <w:t>(Jobs and Skills Australia, 2025)</w:t>
          </w:r>
          <w:r>
            <w:fldChar w:fldCharType="end"/>
          </w:r>
        </w:sdtContent>
      </w:sdt>
      <w:r w:rsidRPr="00EB25AA">
        <w:t xml:space="preserve">. Additionally, matching efficiency varies across regions, including regions with similar levels of unemployment. </w:t>
      </w:r>
    </w:p>
    <w:p w14:paraId="5957BF90" w14:textId="6C46296E" w:rsidR="00B16B67" w:rsidRDefault="00B16B67" w:rsidP="00B16B67">
      <w:pPr>
        <w:pStyle w:val="BodyText"/>
      </w:pPr>
      <w:r w:rsidRPr="00871987">
        <w:t xml:space="preserve">When we </w:t>
      </w:r>
      <w:r w:rsidR="00FC7080">
        <w:t>compare</w:t>
      </w:r>
      <w:r w:rsidRPr="00871987">
        <w:t xml:space="preserve"> regional matching efficiency with employment services caseload numbers, an interesting picture </w:t>
      </w:r>
      <w:r>
        <w:t xml:space="preserve">also </w:t>
      </w:r>
      <w:r w:rsidRPr="00871987">
        <w:t>appears. </w:t>
      </w:r>
      <w:r>
        <w:t xml:space="preserve">As shown in </w:t>
      </w:r>
      <w:r>
        <w:fldChar w:fldCharType="begin"/>
      </w:r>
      <w:r>
        <w:instrText xml:space="preserve"> REF _Ref207716039 \h  \* MERGEFORMAT </w:instrText>
      </w:r>
      <w:r>
        <w:fldChar w:fldCharType="separate"/>
      </w:r>
      <w:r w:rsidR="009E6E1D">
        <w:t>Figure 4</w:t>
      </w:r>
      <w:r>
        <w:fldChar w:fldCharType="end"/>
      </w:r>
      <w:r>
        <w:t>, f</w:t>
      </w:r>
      <w:r w:rsidRPr="00871987">
        <w:t xml:space="preserve">or some regions, there is a high matching efficiency, as well as a high caseload. This could indicate the issue here is a lack of job opportunities in these regions. In other regions, there is a low matching efficiency, </w:t>
      </w:r>
      <w:r>
        <w:t xml:space="preserve">but also </w:t>
      </w:r>
      <w:r w:rsidRPr="00871987">
        <w:t xml:space="preserve">a low caseload. </w:t>
      </w:r>
      <w:r w:rsidRPr="002E0D53">
        <w:t xml:space="preserve">This could indicate more of a disjoint between the skills workers have and the skills required for jobs. </w:t>
      </w:r>
      <w:r>
        <w:t xml:space="preserve"> </w:t>
      </w:r>
    </w:p>
    <w:p w14:paraId="165CD55A" w14:textId="1257C4CE" w:rsidR="00B16B67" w:rsidRPr="00B16B67" w:rsidRDefault="00B16B67" w:rsidP="00B16B67">
      <w:pPr>
        <w:pStyle w:val="Caption"/>
      </w:pPr>
      <w:bookmarkStart w:id="53" w:name="_Ref207716039"/>
      <w:bookmarkStart w:id="54" w:name="_Toc207899180"/>
      <w:bookmarkStart w:id="55" w:name="_Toc211604153"/>
      <w:r>
        <w:t xml:space="preserve">Figure </w:t>
      </w:r>
      <w:r>
        <w:fldChar w:fldCharType="begin"/>
      </w:r>
      <w:r>
        <w:instrText xml:space="preserve"> SEQ Figure \* ARABIC </w:instrText>
      </w:r>
      <w:r>
        <w:fldChar w:fldCharType="separate"/>
      </w:r>
      <w:r w:rsidR="009E6E1D">
        <w:rPr>
          <w:noProof/>
        </w:rPr>
        <w:t>4</w:t>
      </w:r>
      <w:r>
        <w:fldChar w:fldCharType="end"/>
      </w:r>
      <w:bookmarkEnd w:id="53"/>
      <w:r>
        <w:t>: Regional matching efficiency and employment services caseload numbers</w:t>
      </w:r>
      <w:bookmarkEnd w:id="54"/>
      <w:bookmarkEnd w:id="55"/>
    </w:p>
    <w:p w14:paraId="02718F9A" w14:textId="6069A516" w:rsidR="00B16B67" w:rsidRPr="00B16B67" w:rsidRDefault="00102F78" w:rsidP="00B16B67">
      <w:r w:rsidRPr="00102F78">
        <w:rPr>
          <w:noProof/>
        </w:rPr>
        <w:drawing>
          <wp:inline distT="0" distB="0" distL="0" distR="0" wp14:anchorId="0368C1A1" wp14:editId="6C28D6B5">
            <wp:extent cx="5947200" cy="5132002"/>
            <wp:effectExtent l="0" t="0" r="0" b="0"/>
            <wp:docPr id="272600673" name="Picture 2" descr="Scatter plot comparing job matching efficiency by SA4 region against DEWR employment caseload numbers. matching efficiency varies across regions of similar size. This illustrates how having an efficient labour market is only part of the solution to transitioning individuals from employment services into employ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00673" name="Picture 2" descr="Scatter plot comparing job matching efficiency by SA4 region against DEWR employment caseload numbers. matching efficiency varies across regions of similar size. This illustrates how having an efficient labour market is only part of the solution to transitioning individuals from employment services into employment.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7200" cy="5132002"/>
                    </a:xfrm>
                    <a:prstGeom prst="rect">
                      <a:avLst/>
                    </a:prstGeom>
                    <a:noFill/>
                    <a:ln>
                      <a:noFill/>
                    </a:ln>
                  </pic:spPr>
                </pic:pic>
              </a:graphicData>
            </a:graphic>
          </wp:inline>
        </w:drawing>
      </w:r>
    </w:p>
    <w:p w14:paraId="599EB95F" w14:textId="3500FC6C" w:rsidR="00B16B67" w:rsidRPr="002E0D53" w:rsidRDefault="00B16B67" w:rsidP="00B16B67">
      <w:pPr>
        <w:pStyle w:val="Source"/>
      </w:pPr>
      <w:r w:rsidRPr="002E0D53">
        <w:t xml:space="preserve">Source: </w:t>
      </w:r>
      <w:r w:rsidR="00AC5135" w:rsidRPr="00AC5135">
        <w:t>JSA analysis and D</w:t>
      </w:r>
      <w:r w:rsidR="006335E6">
        <w:t xml:space="preserve">epartment of Employment </w:t>
      </w:r>
      <w:r w:rsidR="002924EF">
        <w:t>and Workplace Relations</w:t>
      </w:r>
      <w:r w:rsidR="006335E6">
        <w:t xml:space="preserve"> (D</w:t>
      </w:r>
      <w:r w:rsidR="00AC5135" w:rsidRPr="00AC5135">
        <w:t>EWR</w:t>
      </w:r>
      <w:r w:rsidR="006335E6">
        <w:t>)</w:t>
      </w:r>
      <w:r w:rsidR="00C17259">
        <w:t>, Workforce Australia Caseload Data.</w:t>
      </w:r>
    </w:p>
    <w:p w14:paraId="393A54B8" w14:textId="4F21586F" w:rsidR="00B16B67" w:rsidRDefault="00B16B67" w:rsidP="00B16B67">
      <w:pPr>
        <w:pStyle w:val="BodyText"/>
      </w:pPr>
      <w:r>
        <w:t xml:space="preserve">Combining estimates of matching efficiency with other data in this way can help inform more tailored policy responses to improve matching, participation, and productivity. For example, previous analysis has combined matching estimates with regional relative labour market strength from JSA’s </w:t>
      </w:r>
      <w:r w:rsidRPr="00B16B67">
        <w:t>Regional Labour Market Indicator</w:t>
      </w:r>
      <w:r>
        <w:t xml:space="preserve"> (RLMI) to categorise regions into four main types (</w:t>
      </w:r>
      <w:r>
        <w:fldChar w:fldCharType="begin"/>
      </w:r>
      <w:r>
        <w:instrText xml:space="preserve"> REF _Ref207716053 \h  \* MERGEFORMAT </w:instrText>
      </w:r>
      <w:r>
        <w:fldChar w:fldCharType="separate"/>
      </w:r>
      <w:r w:rsidR="009E6E1D">
        <w:t>Table 2</w:t>
      </w:r>
      <w:r>
        <w:fldChar w:fldCharType="end"/>
      </w:r>
      <w:r>
        <w:t xml:space="preserve">) </w:t>
      </w:r>
      <w:sdt>
        <w:sdtPr>
          <w:id w:val="-957938324"/>
          <w:citation/>
        </w:sdtPr>
        <w:sdtContent>
          <w:r>
            <w:fldChar w:fldCharType="begin"/>
          </w:r>
          <w:r>
            <w:instrText xml:space="preserve"> CITATION Lak24 \l 3081 </w:instrText>
          </w:r>
          <w:r>
            <w:fldChar w:fldCharType="separate"/>
          </w:r>
          <w:r w:rsidR="00D52996">
            <w:rPr>
              <w:noProof/>
            </w:rPr>
            <w:t>(Lake, Shamiri, Sharma, &amp; Bialowas, 2024)</w:t>
          </w:r>
          <w:r>
            <w:fldChar w:fldCharType="end"/>
          </w:r>
        </w:sdtContent>
      </w:sdt>
      <w:r>
        <w:t xml:space="preserve">. </w:t>
      </w:r>
    </w:p>
    <w:p w14:paraId="0DD0F435" w14:textId="42A6BA08" w:rsidR="00B16B67" w:rsidRPr="00B16B67" w:rsidRDefault="00B16B67" w:rsidP="00B16B67">
      <w:pPr>
        <w:pStyle w:val="Caption"/>
      </w:pPr>
      <w:bookmarkStart w:id="56" w:name="_Ref207716053"/>
      <w:bookmarkStart w:id="57" w:name="_Toc210206852"/>
      <w:r>
        <w:t xml:space="preserve">Table </w:t>
      </w:r>
      <w:r>
        <w:fldChar w:fldCharType="begin"/>
      </w:r>
      <w:r>
        <w:instrText xml:space="preserve"> SEQ Table \* ARABIC </w:instrText>
      </w:r>
      <w:r>
        <w:fldChar w:fldCharType="separate"/>
      </w:r>
      <w:r w:rsidR="009E6E1D">
        <w:rPr>
          <w:noProof/>
        </w:rPr>
        <w:t>2</w:t>
      </w:r>
      <w:r>
        <w:fldChar w:fldCharType="end"/>
      </w:r>
      <w:bookmarkEnd w:id="56"/>
      <w:r>
        <w:t>: Approach to combining estimates of regional matching efficiency and regional relative labour market strength to categorise regions</w:t>
      </w:r>
      <w:bookmarkEnd w:id="57"/>
    </w:p>
    <w:tbl>
      <w:tblPr>
        <w:tblStyle w:val="CustomTablebasic"/>
        <w:tblW w:w="0" w:type="auto"/>
        <w:tblLook w:val="04A0" w:firstRow="1" w:lastRow="0" w:firstColumn="1" w:lastColumn="0" w:noHBand="0" w:noVBand="1"/>
      </w:tblPr>
      <w:tblGrid>
        <w:gridCol w:w="1555"/>
        <w:gridCol w:w="1564"/>
        <w:gridCol w:w="1701"/>
        <w:gridCol w:w="4196"/>
      </w:tblGrid>
      <w:tr w:rsidR="00FC5F23" w14:paraId="6943939E" w14:textId="77777777" w:rsidTr="003512FC">
        <w:trPr>
          <w:cnfStyle w:val="100000000000" w:firstRow="1" w:lastRow="0" w:firstColumn="0" w:lastColumn="0" w:oddVBand="0" w:evenVBand="0" w:oddHBand="0" w:evenHBand="0" w:firstRowFirstColumn="0" w:firstRowLastColumn="0" w:lastRowFirstColumn="0" w:lastRowLastColumn="0"/>
          <w:cantSplit/>
        </w:trPr>
        <w:tc>
          <w:tcPr>
            <w:tcW w:w="1555" w:type="dxa"/>
          </w:tcPr>
          <w:p w14:paraId="2435552B" w14:textId="77777777" w:rsidR="00B16B67" w:rsidRPr="00B16B67" w:rsidRDefault="00B16B67" w:rsidP="003512FC">
            <w:pPr>
              <w:pStyle w:val="TableHeading1"/>
              <w:keepNext/>
              <w:keepLines/>
            </w:pPr>
            <w:r w:rsidRPr="00B16B67">
              <w:t>Categorisation</w:t>
            </w:r>
          </w:p>
        </w:tc>
        <w:tc>
          <w:tcPr>
            <w:tcW w:w="1564" w:type="dxa"/>
          </w:tcPr>
          <w:p w14:paraId="2D112A24" w14:textId="74918AA9" w:rsidR="00B16B67" w:rsidRPr="00B16B67" w:rsidRDefault="00B16B67" w:rsidP="003512FC">
            <w:pPr>
              <w:pStyle w:val="TableHeading1"/>
              <w:keepNext/>
              <w:keepLines/>
            </w:pPr>
            <w:r w:rsidRPr="00B16B67">
              <w:t>Matching efficiency (JSA MUVER)</w:t>
            </w:r>
          </w:p>
        </w:tc>
        <w:tc>
          <w:tcPr>
            <w:tcW w:w="1701" w:type="dxa"/>
          </w:tcPr>
          <w:p w14:paraId="068A608D" w14:textId="77777777" w:rsidR="00B16B67" w:rsidRPr="00B16B67" w:rsidRDefault="00B16B67" w:rsidP="003512FC">
            <w:pPr>
              <w:pStyle w:val="TableHeading1"/>
              <w:keepNext/>
              <w:keepLines/>
            </w:pPr>
            <w:r w:rsidRPr="00B16B67">
              <w:t>Relative labour market strength (JSA RLMI)</w:t>
            </w:r>
          </w:p>
        </w:tc>
        <w:tc>
          <w:tcPr>
            <w:tcW w:w="4196" w:type="dxa"/>
          </w:tcPr>
          <w:p w14:paraId="05A6C0EA" w14:textId="77777777" w:rsidR="00B16B67" w:rsidRPr="00B16B67" w:rsidRDefault="00B16B67" w:rsidP="003512FC">
            <w:pPr>
              <w:pStyle w:val="TableHeading1"/>
              <w:keepNext/>
              <w:keepLines/>
            </w:pPr>
            <w:r w:rsidRPr="00B16B67">
              <w:t>Description</w:t>
            </w:r>
          </w:p>
        </w:tc>
      </w:tr>
      <w:tr w:rsidR="00B16B67" w14:paraId="0F2176E8" w14:textId="77777777" w:rsidTr="003512FC">
        <w:trPr>
          <w:cantSplit/>
        </w:trPr>
        <w:tc>
          <w:tcPr>
            <w:tcW w:w="1555" w:type="dxa"/>
          </w:tcPr>
          <w:p w14:paraId="60830098" w14:textId="77777777" w:rsidR="00B16B67" w:rsidRPr="00B16B67" w:rsidRDefault="00B16B67" w:rsidP="003512FC">
            <w:pPr>
              <w:pStyle w:val="TableBodyText"/>
              <w:keepNext/>
              <w:keepLines/>
            </w:pPr>
            <w:r w:rsidRPr="00B16B67">
              <w:t>Best practice regions</w:t>
            </w:r>
          </w:p>
        </w:tc>
        <w:tc>
          <w:tcPr>
            <w:tcW w:w="1564" w:type="dxa"/>
          </w:tcPr>
          <w:p w14:paraId="1CBAAC26" w14:textId="77777777" w:rsidR="00B16B67" w:rsidRPr="00B16B67" w:rsidRDefault="00B16B67" w:rsidP="003512FC">
            <w:pPr>
              <w:pStyle w:val="TableBodyText"/>
              <w:keepNext/>
              <w:keepLines/>
            </w:pPr>
            <w:r w:rsidRPr="00B16B67">
              <w:t>High</w:t>
            </w:r>
          </w:p>
        </w:tc>
        <w:tc>
          <w:tcPr>
            <w:tcW w:w="1701" w:type="dxa"/>
          </w:tcPr>
          <w:p w14:paraId="406AFAFB" w14:textId="77777777" w:rsidR="00B16B67" w:rsidRPr="00B16B67" w:rsidRDefault="00B16B67" w:rsidP="003512FC">
            <w:pPr>
              <w:pStyle w:val="TableBodyText"/>
              <w:keepNext/>
              <w:keepLines/>
            </w:pPr>
            <w:r w:rsidRPr="00B16B67">
              <w:t>Strong</w:t>
            </w:r>
          </w:p>
        </w:tc>
        <w:tc>
          <w:tcPr>
            <w:tcW w:w="4196" w:type="dxa"/>
          </w:tcPr>
          <w:p w14:paraId="632B4C78" w14:textId="77777777" w:rsidR="00B16B67" w:rsidRPr="00B16B67" w:rsidRDefault="00B16B67" w:rsidP="003512FC">
            <w:pPr>
              <w:pStyle w:val="TableBodyText"/>
              <w:keepNext/>
              <w:keepLines/>
            </w:pPr>
            <w:r w:rsidRPr="00B16B67">
              <w:t>Experiencing good conditions and an efficient rate of matching.</w:t>
            </w:r>
          </w:p>
        </w:tc>
      </w:tr>
      <w:tr w:rsidR="00FC5F23" w14:paraId="5C3A90EF" w14:textId="77777777" w:rsidTr="003512FC">
        <w:trPr>
          <w:cnfStyle w:val="000000010000" w:firstRow="0" w:lastRow="0" w:firstColumn="0" w:lastColumn="0" w:oddVBand="0" w:evenVBand="0" w:oddHBand="0" w:evenHBand="1" w:firstRowFirstColumn="0" w:firstRowLastColumn="0" w:lastRowFirstColumn="0" w:lastRowLastColumn="0"/>
          <w:cantSplit/>
        </w:trPr>
        <w:tc>
          <w:tcPr>
            <w:tcW w:w="1555" w:type="dxa"/>
          </w:tcPr>
          <w:p w14:paraId="11DB578F" w14:textId="77777777" w:rsidR="00B16B67" w:rsidRPr="00B16B67" w:rsidRDefault="00B16B67" w:rsidP="003512FC">
            <w:pPr>
              <w:pStyle w:val="TableBodyText"/>
              <w:keepNext/>
              <w:keepLines/>
            </w:pPr>
            <w:r w:rsidRPr="00B16B67">
              <w:t>‘Mismatched’ regions</w:t>
            </w:r>
          </w:p>
        </w:tc>
        <w:tc>
          <w:tcPr>
            <w:tcW w:w="1564" w:type="dxa"/>
          </w:tcPr>
          <w:p w14:paraId="26BAC20C" w14:textId="77777777" w:rsidR="00B16B67" w:rsidRPr="00B16B67" w:rsidRDefault="00B16B67" w:rsidP="003512FC">
            <w:pPr>
              <w:pStyle w:val="TableBodyText"/>
              <w:keepNext/>
              <w:keepLines/>
            </w:pPr>
            <w:r w:rsidRPr="00B16B67">
              <w:t>Low</w:t>
            </w:r>
          </w:p>
        </w:tc>
        <w:tc>
          <w:tcPr>
            <w:tcW w:w="1701" w:type="dxa"/>
          </w:tcPr>
          <w:p w14:paraId="65B30991" w14:textId="77777777" w:rsidR="00B16B67" w:rsidRPr="00B16B67" w:rsidRDefault="00B16B67" w:rsidP="003512FC">
            <w:pPr>
              <w:pStyle w:val="TableBodyText"/>
              <w:keepNext/>
              <w:keepLines/>
            </w:pPr>
            <w:r w:rsidRPr="00B16B67">
              <w:t>Strong</w:t>
            </w:r>
          </w:p>
        </w:tc>
        <w:tc>
          <w:tcPr>
            <w:tcW w:w="4196" w:type="dxa"/>
          </w:tcPr>
          <w:p w14:paraId="2082FD42" w14:textId="77777777" w:rsidR="00B16B67" w:rsidRPr="00B16B67" w:rsidRDefault="00B16B67" w:rsidP="003512FC">
            <w:pPr>
              <w:pStyle w:val="TableBodyText"/>
              <w:keepNext/>
              <w:keepLines/>
            </w:pPr>
            <w:r w:rsidRPr="00B16B67">
              <w:t xml:space="preserve">Strong conditions, but lower matching efficiency. May reflect local unemployed persons being overlooked for candidates from other nearby regions (such as cities), either due to employer preferences or a mismatch in suitability. </w:t>
            </w:r>
          </w:p>
        </w:tc>
      </w:tr>
      <w:tr w:rsidR="00B16B67" w14:paraId="30938FE3" w14:textId="77777777" w:rsidTr="003512FC">
        <w:trPr>
          <w:cantSplit/>
        </w:trPr>
        <w:tc>
          <w:tcPr>
            <w:tcW w:w="1555" w:type="dxa"/>
          </w:tcPr>
          <w:p w14:paraId="4DD7175C" w14:textId="77777777" w:rsidR="00B16B67" w:rsidRPr="00B16B67" w:rsidRDefault="00B16B67" w:rsidP="003512FC">
            <w:pPr>
              <w:pStyle w:val="TableBodyText"/>
              <w:keepNext/>
              <w:keepLines/>
            </w:pPr>
            <w:r w:rsidRPr="00B16B67">
              <w:t>‘Job deficit’ regions</w:t>
            </w:r>
          </w:p>
        </w:tc>
        <w:tc>
          <w:tcPr>
            <w:tcW w:w="1564" w:type="dxa"/>
          </w:tcPr>
          <w:p w14:paraId="4FA80BE6" w14:textId="77777777" w:rsidR="00B16B67" w:rsidRPr="00B16B67" w:rsidRDefault="00B16B67" w:rsidP="003512FC">
            <w:pPr>
              <w:pStyle w:val="TableBodyText"/>
              <w:keepNext/>
              <w:keepLines/>
            </w:pPr>
            <w:r w:rsidRPr="00B16B67">
              <w:t>High</w:t>
            </w:r>
          </w:p>
        </w:tc>
        <w:tc>
          <w:tcPr>
            <w:tcW w:w="1701" w:type="dxa"/>
          </w:tcPr>
          <w:p w14:paraId="7CDD4A79" w14:textId="77777777" w:rsidR="00B16B67" w:rsidRPr="00B16B67" w:rsidRDefault="00B16B67" w:rsidP="003512FC">
            <w:pPr>
              <w:pStyle w:val="TableBodyText"/>
              <w:keepNext/>
              <w:keepLines/>
            </w:pPr>
            <w:r w:rsidRPr="00B16B67">
              <w:t>Weak</w:t>
            </w:r>
          </w:p>
        </w:tc>
        <w:tc>
          <w:tcPr>
            <w:tcW w:w="4196" w:type="dxa"/>
          </w:tcPr>
          <w:p w14:paraId="507EEE94" w14:textId="77777777" w:rsidR="00B16B67" w:rsidRPr="00B16B67" w:rsidRDefault="00B16B67" w:rsidP="003512FC">
            <w:pPr>
              <w:pStyle w:val="TableBodyText"/>
              <w:keepNext/>
              <w:keepLines/>
            </w:pPr>
            <w:r w:rsidRPr="00B16B67">
              <w:t xml:space="preserve">A relatively high rate of matching is occurring. Vacancies are filled quickly but there are insufficient vacancies to sufficiently reduce or clear unemployment. </w:t>
            </w:r>
          </w:p>
        </w:tc>
      </w:tr>
      <w:tr w:rsidR="00FC5F23" w14:paraId="61F6D6BF" w14:textId="77777777" w:rsidTr="003512FC">
        <w:trPr>
          <w:cnfStyle w:val="000000010000" w:firstRow="0" w:lastRow="0" w:firstColumn="0" w:lastColumn="0" w:oddVBand="0" w:evenVBand="0" w:oddHBand="0" w:evenHBand="1" w:firstRowFirstColumn="0" w:firstRowLastColumn="0" w:lastRowFirstColumn="0" w:lastRowLastColumn="0"/>
          <w:cantSplit/>
        </w:trPr>
        <w:tc>
          <w:tcPr>
            <w:tcW w:w="1555" w:type="dxa"/>
          </w:tcPr>
          <w:p w14:paraId="2803D56D" w14:textId="77777777" w:rsidR="00B16B67" w:rsidRPr="00B16B67" w:rsidRDefault="00B16B67" w:rsidP="003512FC">
            <w:pPr>
              <w:pStyle w:val="TableBodyText"/>
              <w:keepNext/>
              <w:keepLines/>
            </w:pPr>
            <w:r w:rsidRPr="00B16B67">
              <w:t>‘Challenging’ regions</w:t>
            </w:r>
          </w:p>
        </w:tc>
        <w:tc>
          <w:tcPr>
            <w:tcW w:w="1564" w:type="dxa"/>
          </w:tcPr>
          <w:p w14:paraId="361F87E5" w14:textId="77777777" w:rsidR="00B16B67" w:rsidRPr="00B16B67" w:rsidRDefault="00B16B67" w:rsidP="003512FC">
            <w:pPr>
              <w:pStyle w:val="TableBodyText"/>
              <w:keepNext/>
              <w:keepLines/>
            </w:pPr>
            <w:r w:rsidRPr="00B16B67">
              <w:t xml:space="preserve">Low </w:t>
            </w:r>
          </w:p>
        </w:tc>
        <w:tc>
          <w:tcPr>
            <w:tcW w:w="1701" w:type="dxa"/>
          </w:tcPr>
          <w:p w14:paraId="72AD391A" w14:textId="77777777" w:rsidR="00B16B67" w:rsidRPr="00B16B67" w:rsidRDefault="00B16B67" w:rsidP="003512FC">
            <w:pPr>
              <w:pStyle w:val="TableBodyText"/>
              <w:keepNext/>
              <w:keepLines/>
            </w:pPr>
            <w:r w:rsidRPr="00B16B67">
              <w:t>Weak</w:t>
            </w:r>
          </w:p>
        </w:tc>
        <w:tc>
          <w:tcPr>
            <w:tcW w:w="4196" w:type="dxa"/>
          </w:tcPr>
          <w:p w14:paraId="7A747D46" w14:textId="77777777" w:rsidR="00B16B67" w:rsidRPr="00B16B67" w:rsidRDefault="00B16B67" w:rsidP="003512FC">
            <w:pPr>
              <w:pStyle w:val="TableBodyText"/>
              <w:keepNext/>
              <w:keepLines/>
            </w:pPr>
            <w:r w:rsidRPr="00B16B67">
              <w:t xml:space="preserve">Weak conditions, but also lower matching efficiency when a vacancy arises. </w:t>
            </w:r>
          </w:p>
        </w:tc>
      </w:tr>
    </w:tbl>
    <w:p w14:paraId="73866B1E" w14:textId="314FD5BC" w:rsidR="00B16B67" w:rsidRDefault="00B16B67" w:rsidP="00B16B67">
      <w:pPr>
        <w:pStyle w:val="BodyText"/>
      </w:pPr>
      <w:r>
        <w:t xml:space="preserve">For ‘mismatched’ regions, policy responses could include targeted wage subsidies to encourage employers to hire locally or training subsidies for workers in those regions. ‘Job deficit’ regions may benefit from policies that support job creation, while ‘challenging regions’ may require more comprehensive responses that deal with multiple barriers </w:t>
      </w:r>
      <w:sdt>
        <w:sdtPr>
          <w:id w:val="1262415623"/>
          <w:citation/>
        </w:sdtPr>
        <w:sdtContent>
          <w:r>
            <w:fldChar w:fldCharType="begin"/>
          </w:r>
          <w:r>
            <w:instrText xml:space="preserve"> CITATION Lak24 \l 3081 </w:instrText>
          </w:r>
          <w:r>
            <w:fldChar w:fldCharType="separate"/>
          </w:r>
          <w:r w:rsidR="00D52996">
            <w:rPr>
              <w:noProof/>
            </w:rPr>
            <w:t>(Lake, Shamiri, Sharma, &amp; Bialowas, 2024)</w:t>
          </w:r>
          <w:r>
            <w:fldChar w:fldCharType="end"/>
          </w:r>
        </w:sdtContent>
      </w:sdt>
      <w:r>
        <w:t xml:space="preserve">. </w:t>
      </w:r>
    </w:p>
    <w:p w14:paraId="06C84BAC" w14:textId="77777777" w:rsidR="00B16B67" w:rsidRPr="004F5497" w:rsidRDefault="00B16B67" w:rsidP="00B16B67">
      <w:pPr>
        <w:pStyle w:val="BodyText"/>
      </w:pPr>
      <w:r>
        <w:t xml:space="preserve">Importantly, while tools that estimate matching efficiency typically provide insights into the incidence or rate at which matching between people and jobs occurs, they do not generally attempt to evaluate the </w:t>
      </w:r>
      <w:r w:rsidRPr="00B16B67">
        <w:t>quality</w:t>
      </w:r>
      <w:r>
        <w:t xml:space="preserve"> of a match. This would include factors such as job satisfaction, job tenure, skills matching and other factors that may be relevant to labour productivity. Particularly for challenging regions, but for all parts of Australia and all Australians, it is important to understand the other factors at play in the matching process including barriers for both employers and individuals.  </w:t>
      </w:r>
    </w:p>
    <w:p w14:paraId="4D0BBD01" w14:textId="4095E34A" w:rsidR="00B16B67" w:rsidRPr="003C3E0D" w:rsidRDefault="00B16B67" w:rsidP="00537382">
      <w:pPr>
        <w:pStyle w:val="Heading3"/>
      </w:pPr>
      <w:bookmarkStart w:id="58" w:name="_Toc207643292"/>
      <w:bookmarkStart w:id="59" w:name="_Toc208923380"/>
      <w:bookmarkStart w:id="60" w:name="_Toc211586992"/>
      <w:r w:rsidRPr="003C3E0D">
        <w:t xml:space="preserve">How JSA contributes to </w:t>
      </w:r>
      <w:r w:rsidR="0092058A">
        <w:t>improved</w:t>
      </w:r>
      <w:r w:rsidR="0092058A" w:rsidRPr="003C3E0D">
        <w:t xml:space="preserve"> </w:t>
      </w:r>
      <w:r w:rsidRPr="003C3E0D">
        <w:t>matching efforts</w:t>
      </w:r>
      <w:bookmarkEnd w:id="58"/>
      <w:bookmarkEnd w:id="59"/>
      <w:bookmarkEnd w:id="60"/>
    </w:p>
    <w:p w14:paraId="565EC00E" w14:textId="44061250" w:rsidR="00B16B67" w:rsidRDefault="00B16B67" w:rsidP="00B16B67">
      <w:pPr>
        <w:pStyle w:val="BodyText"/>
      </w:pPr>
      <w:r>
        <w:t>To</w:t>
      </w:r>
      <w:r w:rsidR="00D7331F" w:rsidDel="000D6E37">
        <w:t xml:space="preserve"> </w:t>
      </w:r>
      <w:r w:rsidR="004147E7" w:rsidDel="000D6E37">
        <w:t xml:space="preserve">strengthen </w:t>
      </w:r>
      <w:r w:rsidDel="000D6E37">
        <w:t>matching efforts</w:t>
      </w:r>
      <w:r>
        <w:t xml:space="preserve">, the right information, analysis, and insights are required to support targeted education and training, better job design, and individual choice. This includes information on employer demand for labour, training outcomes, barriers in the current skills system, and the requirements of future jobs – as well as mechanisms that help actors across the skills system to work </w:t>
      </w:r>
      <w:r w:rsidR="00C63147">
        <w:t>more cohesively</w:t>
      </w:r>
      <w:r>
        <w:t xml:space="preserve">. </w:t>
      </w:r>
    </w:p>
    <w:p w14:paraId="0BFABA1F" w14:textId="60308AF8" w:rsidR="00B16B67" w:rsidRDefault="00B16B67" w:rsidP="00B16B67">
      <w:pPr>
        <w:pStyle w:val="BodyText"/>
      </w:pPr>
      <w:r>
        <w:t xml:space="preserve">JSA contributes to </w:t>
      </w:r>
      <w:r w:rsidR="002D3BDC">
        <w:t>improve</w:t>
      </w:r>
      <w:r w:rsidR="00F07F54">
        <w:t>d</w:t>
      </w:r>
      <w:r w:rsidR="002D3BDC">
        <w:t xml:space="preserve"> </w:t>
      </w:r>
      <w:r>
        <w:t>matching efforts by providing insights and analysis that (</w:t>
      </w:r>
      <w:r w:rsidR="00270A10">
        <w:fldChar w:fldCharType="begin"/>
      </w:r>
      <w:r w:rsidR="00270A10">
        <w:instrText xml:space="preserve"> REF _Ref210226842 \h </w:instrText>
      </w:r>
      <w:r w:rsidR="00270A10">
        <w:fldChar w:fldCharType="separate"/>
      </w:r>
      <w:r w:rsidR="009E6E1D">
        <w:t xml:space="preserve">Figure </w:t>
      </w:r>
      <w:r w:rsidR="009E6E1D">
        <w:rPr>
          <w:noProof/>
        </w:rPr>
        <w:t>5</w:t>
      </w:r>
      <w:r w:rsidR="00270A10">
        <w:fldChar w:fldCharType="end"/>
      </w:r>
      <w:r>
        <w:t xml:space="preserve">): </w:t>
      </w:r>
    </w:p>
    <w:p w14:paraId="2CC2F35B" w14:textId="77777777" w:rsidR="00B16B67" w:rsidRPr="00B16B67" w:rsidRDefault="00B16B67" w:rsidP="00B16B67">
      <w:pPr>
        <w:pStyle w:val="ListBullet"/>
      </w:pPr>
      <w:r w:rsidRPr="00B16B67">
        <w:rPr>
          <w:rStyle w:val="Characterbold"/>
        </w:rPr>
        <w:t>support the goal of inclusive participation</w:t>
      </w:r>
      <w:r w:rsidRPr="00B16B67">
        <w:t xml:space="preserve"> – where workers have the skills they need to undertake the jobs they work in </w:t>
      </w:r>
    </w:p>
    <w:p w14:paraId="4DFEB776" w14:textId="5A8E8736" w:rsidR="00B16B67" w:rsidRPr="00B16B67" w:rsidRDefault="002D3BDC" w:rsidP="00B16B67">
      <w:pPr>
        <w:pStyle w:val="ListBullet"/>
      </w:pPr>
      <w:r>
        <w:rPr>
          <w:rStyle w:val="Characterbold"/>
        </w:rPr>
        <w:t>enhance</w:t>
      </w:r>
      <w:r w:rsidR="00B16B67" w:rsidRPr="00B16B67">
        <w:rPr>
          <w:rStyle w:val="Characterbold"/>
        </w:rPr>
        <w:t xml:space="preserve"> our understanding of the causes of poor matching or inefficiency</w:t>
      </w:r>
      <w:r w:rsidR="00B16B67" w:rsidRPr="00B16B67">
        <w:t xml:space="preserve"> so that responses can be </w:t>
      </w:r>
      <w:r w:rsidR="006F0647">
        <w:t>more targeted</w:t>
      </w:r>
      <w:r w:rsidR="00CF2264">
        <w:t xml:space="preserve"> and </w:t>
      </w:r>
      <w:r w:rsidR="006F0647">
        <w:t>responsive</w:t>
      </w:r>
    </w:p>
    <w:p w14:paraId="3FD0F5B2" w14:textId="77777777" w:rsidR="00B16B67" w:rsidRPr="00B16B67" w:rsidRDefault="00B16B67" w:rsidP="00B16B67">
      <w:pPr>
        <w:pStyle w:val="ListBullet"/>
      </w:pPr>
      <w:r w:rsidRPr="00B16B67">
        <w:rPr>
          <w:rStyle w:val="Characterbold"/>
        </w:rPr>
        <w:t>provide better information about what future jobs will need</w:t>
      </w:r>
      <w:r w:rsidRPr="00B16B67">
        <w:t xml:space="preserve"> so that education and training systems can train people to do them</w:t>
      </w:r>
    </w:p>
    <w:p w14:paraId="4E6E809C" w14:textId="28E5FAF6" w:rsidR="00B16B67" w:rsidRPr="00B16B67" w:rsidRDefault="00B16B67" w:rsidP="00B16B67">
      <w:pPr>
        <w:pStyle w:val="ListBullet"/>
      </w:pPr>
      <w:r w:rsidRPr="00B16B67">
        <w:rPr>
          <w:rStyle w:val="Characterbold"/>
        </w:rPr>
        <w:t>support system actors to collaborate and work more cohesively</w:t>
      </w:r>
      <w:r w:rsidRPr="00B16B67">
        <w:t xml:space="preserve"> to achieve </w:t>
      </w:r>
      <w:r w:rsidR="000043FF">
        <w:t>improved</w:t>
      </w:r>
      <w:r w:rsidRPr="00B16B67">
        <w:t xml:space="preserve"> outcomes for people</w:t>
      </w:r>
    </w:p>
    <w:p w14:paraId="0048BD70" w14:textId="77777777" w:rsidR="00B16B67" w:rsidRPr="00B16B67" w:rsidRDefault="00B16B67" w:rsidP="00B16B67">
      <w:pPr>
        <w:pStyle w:val="ListBullet"/>
      </w:pPr>
      <w:r w:rsidRPr="00B16B67">
        <w:rPr>
          <w:rStyle w:val="Characterbold"/>
        </w:rPr>
        <w:t>activate an informed dialogue</w:t>
      </w:r>
      <w:r w:rsidRPr="00B16B67">
        <w:t xml:space="preserve"> that helps build informed, aligned, and cohesive programs, payments, and policy instruments. </w:t>
      </w:r>
    </w:p>
    <w:p w14:paraId="01982039" w14:textId="46E25519" w:rsidR="00B16B67" w:rsidRPr="00B16B67" w:rsidRDefault="00B16B67" w:rsidP="00B16B67">
      <w:pPr>
        <w:pStyle w:val="Caption"/>
      </w:pPr>
      <w:bookmarkStart w:id="61" w:name="_Ref210226842"/>
      <w:bookmarkStart w:id="62" w:name="_Toc207899181"/>
      <w:bookmarkStart w:id="63" w:name="_Toc211604154"/>
      <w:r>
        <w:t xml:space="preserve">Figure </w:t>
      </w:r>
      <w:r w:rsidRPr="00B16B67">
        <w:fldChar w:fldCharType="begin"/>
      </w:r>
      <w:r w:rsidRPr="00B16B67">
        <w:instrText xml:space="preserve"> SEQ Figure \* ARABIC </w:instrText>
      </w:r>
      <w:r w:rsidRPr="00B16B67">
        <w:fldChar w:fldCharType="separate"/>
      </w:r>
      <w:r w:rsidR="009E6E1D">
        <w:rPr>
          <w:noProof/>
        </w:rPr>
        <w:t>5</w:t>
      </w:r>
      <w:r w:rsidRPr="00B16B67">
        <w:fldChar w:fldCharType="end"/>
      </w:r>
      <w:bookmarkEnd w:id="61"/>
      <w:r w:rsidRPr="00B16B67">
        <w:t xml:space="preserve">: JSA's role in </w:t>
      </w:r>
      <w:r w:rsidR="00290BAE">
        <w:t>improved</w:t>
      </w:r>
      <w:r w:rsidRPr="00B16B67">
        <w:t xml:space="preserve"> matching efforts</w:t>
      </w:r>
      <w:bookmarkEnd w:id="62"/>
      <w:bookmarkEnd w:id="63"/>
    </w:p>
    <w:p w14:paraId="4418D677" w14:textId="77777777" w:rsidR="00B16B67" w:rsidRDefault="00B16B67" w:rsidP="00B16B67">
      <w:r w:rsidRPr="00B16B67">
        <w:rPr>
          <w:noProof/>
        </w:rPr>
        <w:drawing>
          <wp:inline distT="0" distB="0" distL="0" distR="0" wp14:anchorId="1AE532E9" wp14:editId="7AC1884B">
            <wp:extent cx="5947200" cy="2826580"/>
            <wp:effectExtent l="0" t="0" r="0" b="0"/>
            <wp:docPr id="1491190414" name="Picture 1" descr="A visualisation of the previous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190414" name="Picture 1" descr="A visualisation of the previous list."/>
                    <pic:cNvPicPr/>
                  </pic:nvPicPr>
                  <pic:blipFill>
                    <a:blip r:embed="rId52">
                      <a:extLst>
                        <a:ext uri="{28A0092B-C50C-407E-A947-70E740481C1C}">
                          <a14:useLocalDpi xmlns:a14="http://schemas.microsoft.com/office/drawing/2010/main" val="0"/>
                        </a:ext>
                      </a:extLst>
                    </a:blip>
                    <a:stretch>
                      <a:fillRect/>
                    </a:stretch>
                  </pic:blipFill>
                  <pic:spPr>
                    <a:xfrm>
                      <a:off x="0" y="0"/>
                      <a:ext cx="5947200" cy="2826580"/>
                    </a:xfrm>
                    <a:prstGeom prst="rect">
                      <a:avLst/>
                    </a:prstGeom>
                  </pic:spPr>
                </pic:pic>
              </a:graphicData>
            </a:graphic>
          </wp:inline>
        </w:drawing>
      </w:r>
    </w:p>
    <w:p w14:paraId="07E87E72" w14:textId="77777777" w:rsidR="00B16B67" w:rsidRDefault="00B16B67" w:rsidP="00537382">
      <w:pPr>
        <w:pStyle w:val="Heading2"/>
      </w:pPr>
      <w:bookmarkStart w:id="64" w:name="_Toc208923381"/>
      <w:bookmarkStart w:id="65" w:name="_Toc211586993"/>
      <w:r>
        <w:t>Key points from chapter one</w:t>
      </w:r>
      <w:bookmarkEnd w:id="64"/>
      <w:bookmarkEnd w:id="65"/>
    </w:p>
    <w:p w14:paraId="7D4780BA" w14:textId="694579AE" w:rsidR="00B16B67" w:rsidRDefault="00B16B67" w:rsidP="00F0471F">
      <w:pPr>
        <w:pStyle w:val="BodyText"/>
      </w:pPr>
      <w:r w:rsidRPr="00B16B67">
        <w:t xml:space="preserve">Improving productivity and participation in Australia’s labour market depends on </w:t>
      </w:r>
      <w:r w:rsidR="000043FF">
        <w:t>i</w:t>
      </w:r>
      <w:r w:rsidR="00AD23E3">
        <w:t>mprov</w:t>
      </w:r>
      <w:r w:rsidR="00351F91">
        <w:t>ing the connection</w:t>
      </w:r>
      <w:r w:rsidR="000043FF" w:rsidRPr="00B16B67">
        <w:t xml:space="preserve"> </w:t>
      </w:r>
      <w:r w:rsidRPr="00B16B67">
        <w:t>between people and jobs.</w:t>
      </w:r>
      <w:r>
        <w:t xml:space="preserve"> When individuals are equipped with the right skills and capabilities for current and future roles, they are more likely to succeed at work, remain engaged in the labour market, and contribute to a more innovative and resilient economy. This alignment also enables employers to fill vacancies more efficiently, reduce turnover, and foster a more productive workforce.</w:t>
      </w:r>
    </w:p>
    <w:p w14:paraId="3B224AF1" w14:textId="77777777" w:rsidR="00B16B67" w:rsidRDefault="00B16B67" w:rsidP="00F0471F">
      <w:pPr>
        <w:pStyle w:val="BodyText"/>
      </w:pPr>
      <w:r>
        <w:t>While increasing participation can expand the labour supply and support economic growth, it does not automatically lead to higher productivity. In fact, productivity may decline in the short</w:t>
      </w:r>
      <w:r>
        <w:noBreakHyphen/>
        <w:t>term if new entrants are not well matched to job requirements or lack the necessary skills to perform job requirements effectively. This underscores the importance of a skills system that supports quality matching and equips workers to succeed in meaningful employment.</w:t>
      </w:r>
    </w:p>
    <w:p w14:paraId="2DA1E4A1" w14:textId="77777777" w:rsidR="00B16B67" w:rsidRDefault="00B16B67" w:rsidP="00F0471F">
      <w:pPr>
        <w:pStyle w:val="BodyText"/>
      </w:pPr>
      <w:r>
        <w:t>Australia’s recent productivity performance highlights the urgency of this challenge. After a temporary boost during the COVID-19 pandemic, labour productivity has stalled, returning to pre-pandemic levels. Structural factors such as demographic change, low investment in capital and technology, and poor alignment between workforce skills and business needs have contributed to this trend. Addressing these issues requires a coordinated national effort to improve skills development, workforce planning, and job design.</w:t>
      </w:r>
    </w:p>
    <w:p w14:paraId="36CCCF9A" w14:textId="77777777" w:rsidR="00B16B67" w:rsidRPr="00E27E3F" w:rsidRDefault="00B16B67" w:rsidP="00F0471F">
      <w:pPr>
        <w:pStyle w:val="BodyText"/>
      </w:pPr>
      <w:r w:rsidRPr="00E27E3F">
        <w:t xml:space="preserve">Labour market participation is central to both individual wellbeing and national prosperity. While Australia’s participation rate is high by international standards, </w:t>
      </w:r>
      <w:r>
        <w:t>many people</w:t>
      </w:r>
      <w:r w:rsidRPr="00E27E3F">
        <w:t xml:space="preserve"> remain underemployed, in insecure work, or face systemic barriers to full participation</w:t>
      </w:r>
      <w:r>
        <w:t>, limiting</w:t>
      </w:r>
      <w:r w:rsidRPr="00E27E3F">
        <w:t xml:space="preserve"> income stability</w:t>
      </w:r>
      <w:r>
        <w:t xml:space="preserve">, </w:t>
      </w:r>
      <w:r w:rsidRPr="00E27E3F">
        <w:t xml:space="preserve">social inclusion, </w:t>
      </w:r>
      <w:r>
        <w:t>and</w:t>
      </w:r>
      <w:r w:rsidRPr="00E27E3F">
        <w:t xml:space="preserve"> the effective use of skills across the economy. Increasing participation not just a matter of expanding the labour supply</w:t>
      </w:r>
      <w:r>
        <w:t xml:space="preserve">, but </w:t>
      </w:r>
      <w:r w:rsidRPr="00E27E3F">
        <w:t>ensuring that all Australians have equitable access to meaningful work</w:t>
      </w:r>
      <w:r>
        <w:t xml:space="preserve"> by removing barriers to full engagement. </w:t>
      </w:r>
    </w:p>
    <w:p w14:paraId="6A451BFD" w14:textId="13A90E33" w:rsidR="00B16B67" w:rsidRDefault="00AD23E3" w:rsidP="00F0471F">
      <w:pPr>
        <w:pStyle w:val="BodyText"/>
      </w:pPr>
      <w:r>
        <w:t>More effective</w:t>
      </w:r>
      <w:r w:rsidR="00B16B67" w:rsidRPr="00E27E3F">
        <w:t xml:space="preserve"> </w:t>
      </w:r>
      <w:r w:rsidR="00A71D01">
        <w:t>alignment</w:t>
      </w:r>
      <w:r w:rsidR="00A71D01" w:rsidRPr="00E27E3F">
        <w:t xml:space="preserve"> </w:t>
      </w:r>
      <w:r w:rsidR="00B16B67" w:rsidRPr="00E27E3F">
        <w:t>between people and</w:t>
      </w:r>
      <w:r w:rsidR="00A71D01">
        <w:t xml:space="preserve"> </w:t>
      </w:r>
      <w:r w:rsidR="00B16B67" w:rsidRPr="00E27E3F">
        <w:t>jobs is essential to realising the full benefits of participation. When individuals are in roles that align with their skills, capabilities, and aspirations, they are more likely to thrive</w:t>
      </w:r>
      <w:r w:rsidR="00B16B67">
        <w:t xml:space="preserve"> – </w:t>
      </w:r>
      <w:r w:rsidR="00B16B67" w:rsidRPr="00E27E3F">
        <w:t xml:space="preserve">experiencing greater job satisfaction, stronger engagement, and improved wellbeing. For employers, </w:t>
      </w:r>
      <w:r w:rsidR="00B16B67">
        <w:t>it supports</w:t>
      </w:r>
      <w:r w:rsidR="00B16B67" w:rsidRPr="00E27E3F">
        <w:t xml:space="preserve"> efficient recruitment </w:t>
      </w:r>
      <w:r w:rsidR="00B16B67">
        <w:t>and</w:t>
      </w:r>
      <w:r w:rsidR="00B16B67" w:rsidRPr="00E27E3F">
        <w:t xml:space="preserve"> reduces turnover</w:t>
      </w:r>
      <w:r w:rsidR="00B16B67">
        <w:t>.</w:t>
      </w:r>
      <w:r w:rsidR="00B16B67" w:rsidRPr="00E27E3F">
        <w:t xml:space="preserve"> </w:t>
      </w:r>
      <w:r w:rsidR="00B16B67">
        <w:t>A</w:t>
      </w:r>
      <w:r w:rsidR="00B16B67" w:rsidRPr="00E27E3F">
        <w:t xml:space="preserve">t a system level, </w:t>
      </w:r>
      <w:r w:rsidR="00B16B67">
        <w:t xml:space="preserve">it lifts </w:t>
      </w:r>
      <w:r w:rsidR="00B16B67" w:rsidRPr="00E27E3F" w:rsidDel="00E63811">
        <w:t xml:space="preserve">productivity in the short term by improving how existing skills are used, and in the long term by ensuring the workforce is equipped to drive and adapt to innovation. </w:t>
      </w:r>
      <w:r w:rsidR="00B16B67" w:rsidRPr="00E27E3F">
        <w:t>It also supports more inclusive participation by recognising and valuing the full range of skills and abilities across the population. Achieving this requires coordinated effort across the skills system including investment in foundational and technical skills, improved job design and workforce planning, and a more cohesive tertiary education system that supports lifelong learning and mobility.</w:t>
      </w:r>
    </w:p>
    <w:p w14:paraId="784F98F7" w14:textId="77777777" w:rsidR="00B16B67" w:rsidRPr="00E27E3F" w:rsidRDefault="00B16B67" w:rsidP="00ED4661">
      <w:pPr>
        <w:pStyle w:val="BodyText"/>
      </w:pPr>
      <w:r>
        <w:t>W</w:t>
      </w:r>
      <w:r w:rsidRPr="00CF7085">
        <w:t>hile job matching efficiency has improved, it varies across regions and sectors.</w:t>
      </w:r>
      <w:r w:rsidRPr="0022570A">
        <w:t xml:space="preserve"> In some regional areas, stronger matching outcomes may reflect greater employer flexibility, including a willingness to invest in on-the-job training or adapt qualification requirements. However, in other areas, persistent mismatches point to deeper structural issues, such as limited job availability or misalignment between the skills of jobseekers and the needs of employers. These insights are critical to designing targeted policy responses that improve both the rate and quality of job matching</w:t>
      </w:r>
      <w:r>
        <w:t>,</w:t>
      </w:r>
      <w:r w:rsidRPr="0022570A">
        <w:t xml:space="preserve"> support more inclusive participation and s</w:t>
      </w:r>
      <w:r>
        <w:t xml:space="preserve">trengthen </w:t>
      </w:r>
      <w:r w:rsidRPr="0022570A">
        <w:t>productivity outcomes.</w:t>
      </w:r>
    </w:p>
    <w:p w14:paraId="20AC36B1" w14:textId="71D6B421" w:rsidR="00B16B67" w:rsidRDefault="00B16B67" w:rsidP="00ED4661">
      <w:pPr>
        <w:pStyle w:val="BodyText"/>
      </w:pPr>
      <w:r>
        <w:t xml:space="preserve">JSA plays a central role in supporting better matching efforts by providing insights into labour market trends, skill requirements, and barriers to participation. Our work informs policy, supports collaboration across the skills system, and helps build a more inclusive and productive workforce. The following chapters outline our work and insights against these areas.  </w:t>
      </w:r>
    </w:p>
    <w:p w14:paraId="7BAF1140" w14:textId="77777777" w:rsidR="00B96D75" w:rsidRDefault="00B96D75" w:rsidP="00B16B67">
      <w:pPr>
        <w:sectPr w:rsidR="00B96D75" w:rsidSect="00480B35">
          <w:headerReference w:type="even" r:id="rId53"/>
          <w:headerReference w:type="default" r:id="rId54"/>
          <w:footerReference w:type="even" r:id="rId55"/>
          <w:footerReference w:type="default" r:id="rId56"/>
          <w:pgSz w:w="11907" w:h="16839" w:code="9"/>
          <w:pgMar w:top="1440" w:right="1270" w:bottom="1440" w:left="1270" w:header="720" w:footer="720" w:gutter="0"/>
          <w:cols w:space="720"/>
          <w:docGrid w:linePitch="360"/>
        </w:sectPr>
      </w:pPr>
    </w:p>
    <w:p w14:paraId="5EC81588" w14:textId="77777777" w:rsidR="006E252D" w:rsidRDefault="006E252D" w:rsidP="00B16B67">
      <w:pPr>
        <w:sectPr w:rsidR="006E252D" w:rsidSect="00480B35">
          <w:headerReference w:type="even" r:id="rId57"/>
          <w:footerReference w:type="even" r:id="rId58"/>
          <w:pgSz w:w="11907" w:h="16839" w:code="9"/>
          <w:pgMar w:top="1440" w:right="1270" w:bottom="1440" w:left="1270" w:header="720" w:footer="720" w:gutter="0"/>
          <w:cols w:space="720"/>
          <w:docGrid w:linePitch="360"/>
        </w:sectPr>
      </w:pPr>
    </w:p>
    <w:p w14:paraId="060DC134" w14:textId="2B0A4D86" w:rsidR="00605EB3" w:rsidRDefault="0006712B" w:rsidP="00537382">
      <w:pPr>
        <w:pStyle w:val="Heading1"/>
      </w:pPr>
      <w:bookmarkStart w:id="66" w:name="_Toc207643454"/>
      <w:bookmarkStart w:id="67" w:name="_Toc208923382"/>
      <w:bookmarkStart w:id="68" w:name="_Toc211586994"/>
      <w:r>
        <w:t>I</w:t>
      </w:r>
      <w:r w:rsidR="00605EB3">
        <w:t xml:space="preserve">nclusive </w:t>
      </w:r>
      <w:bookmarkEnd w:id="66"/>
      <w:bookmarkEnd w:id="67"/>
      <w:r w:rsidR="00B37AFA">
        <w:t>participation</w:t>
      </w:r>
      <w:bookmarkEnd w:id="68"/>
    </w:p>
    <w:p w14:paraId="58B99DA7" w14:textId="77777777" w:rsidR="00605EB3" w:rsidRPr="00A31CA7" w:rsidRDefault="00605EB3" w:rsidP="0006712B">
      <w:pPr>
        <w:pStyle w:val="BodyText"/>
      </w:pPr>
      <w:bookmarkStart w:id="69" w:name="_Toc204265320"/>
      <w:r w:rsidRPr="00A31CA7">
        <w:t xml:space="preserve">Australia’s future prosperity depends on a labour market that enables all people to contribute meaningfully and realise their potential. </w:t>
      </w:r>
      <w:r>
        <w:t>I</w:t>
      </w:r>
      <w:r w:rsidRPr="00A31CA7">
        <w:t xml:space="preserve">nclusive participation is not only a matter of fairness </w:t>
      </w:r>
      <w:r w:rsidRPr="00D05242">
        <w:t xml:space="preserve">– </w:t>
      </w:r>
      <w:r w:rsidRPr="00A31CA7">
        <w:t>it is a strategic imperative</w:t>
      </w:r>
      <w:r>
        <w:t xml:space="preserve"> for lifting productivity, addressing skills shortages, and ensuring that economic gains are broadly shared</w:t>
      </w:r>
      <w:r w:rsidRPr="00A31CA7">
        <w:t xml:space="preserve">. </w:t>
      </w:r>
    </w:p>
    <w:p w14:paraId="63E1E2E0" w14:textId="131682B5" w:rsidR="00605EB3" w:rsidRPr="00A31CA7" w:rsidRDefault="00605EB3" w:rsidP="0006712B">
      <w:pPr>
        <w:pStyle w:val="BodyText"/>
      </w:pPr>
      <w:r w:rsidRPr="001C7766">
        <w:t>Employment is not only a source of income and economic security</w:t>
      </w:r>
      <w:r>
        <w:t>,</w:t>
      </w:r>
      <w:r w:rsidRPr="001C7766">
        <w:t xml:space="preserve"> but</w:t>
      </w:r>
      <w:r>
        <w:t xml:space="preserve"> is </w:t>
      </w:r>
      <w:r w:rsidRPr="001C7766">
        <w:t>also linked to wellbeing, including mental and physical health, and a sense of purpose and self-worth. Difficulties in finding or maintaining work can therefore have wide-ranging negative impacts on individuals, their families, and the broader community</w:t>
      </w:r>
      <w:sdt>
        <w:sdtPr>
          <w:id w:val="606547625"/>
          <w:citation/>
        </w:sdtPr>
        <w:sdtContent>
          <w:r>
            <w:fldChar w:fldCharType="begin"/>
          </w:r>
          <w:r>
            <w:instrText xml:space="preserve"> CITATION AIH24 \l 3081 </w:instrText>
          </w:r>
          <w:r>
            <w:fldChar w:fldCharType="separate"/>
          </w:r>
          <w:r w:rsidR="00D52996">
            <w:rPr>
              <w:noProof/>
            </w:rPr>
            <w:t xml:space="preserve"> (AIHW, 2024)</w:t>
          </w:r>
          <w:r>
            <w:fldChar w:fldCharType="end"/>
          </w:r>
        </w:sdtContent>
      </w:sdt>
      <w:r w:rsidRPr="001C7766">
        <w:t>.</w:t>
      </w:r>
      <w:r w:rsidR="00F8589D">
        <w:t xml:space="preserve"> </w:t>
      </w:r>
      <w:r w:rsidRPr="00D05242">
        <w:t>JSA</w:t>
      </w:r>
      <w:r w:rsidRPr="00A31CA7">
        <w:t xml:space="preserve"> </w:t>
      </w:r>
      <w:r>
        <w:t>works to identify</w:t>
      </w:r>
      <w:r w:rsidRPr="00A31CA7">
        <w:t xml:space="preserve"> the barriers that prevent people from fully participating in the labour market,</w:t>
      </w:r>
      <w:r w:rsidRPr="00605EB3">
        <w:t xml:space="preserve"> </w:t>
      </w:r>
      <w:r w:rsidRPr="00DE4BA8">
        <w:t>and highlights opportunities for more inclusive participation, using data to understand how different groups</w:t>
      </w:r>
      <w:r>
        <w:t xml:space="preserve"> – </w:t>
      </w:r>
      <w:r w:rsidRPr="00CF7085">
        <w:t xml:space="preserve">such as </w:t>
      </w:r>
      <w:r w:rsidR="0006144C">
        <w:t xml:space="preserve">First Nations people, </w:t>
      </w:r>
      <w:r w:rsidRPr="00CF7085">
        <w:t>people with disability, women, young and mature workers, and culturally diverse communities</w:t>
      </w:r>
      <w:r>
        <w:t xml:space="preserve"> – </w:t>
      </w:r>
      <w:r w:rsidRPr="00CF7085">
        <w:t>experience the labour market. These insights inform policies that reflect workforce realities and improve outcomes.</w:t>
      </w:r>
    </w:p>
    <w:p w14:paraId="6BC98D61" w14:textId="5FE951F5" w:rsidR="00605EB3" w:rsidRPr="00A31CA7" w:rsidRDefault="00605EB3" w:rsidP="0006712B">
      <w:pPr>
        <w:pStyle w:val="BodyText"/>
      </w:pPr>
      <w:r w:rsidRPr="00A31CA7">
        <w:t xml:space="preserve">This chapter explores </w:t>
      </w:r>
      <w:r>
        <w:t>how</w:t>
      </w:r>
      <w:r w:rsidRPr="00A31CA7">
        <w:t xml:space="preserve"> inclusion, participation, and productivity</w:t>
      </w:r>
      <w:r>
        <w:t xml:space="preserve"> intersect, including how </w:t>
      </w:r>
      <w:r w:rsidRPr="00A31CA7">
        <w:t>structural inequalities continue to shape employment outcomes, and how targeted action</w:t>
      </w:r>
      <w:r w:rsidR="00C05D2A">
        <w:t xml:space="preserve"> from across the skills system</w:t>
      </w:r>
      <w:r>
        <w:t xml:space="preserve">, including </w:t>
      </w:r>
      <w:r w:rsidR="000B3627">
        <w:t>in</w:t>
      </w:r>
      <w:r w:rsidR="009B4E5D">
        <w:t xml:space="preserve"> building</w:t>
      </w:r>
      <w:r w:rsidR="000B3627">
        <w:t xml:space="preserve"> </w:t>
      </w:r>
      <w:r>
        <w:t xml:space="preserve">foundational skills and inclusive workplaces, can help alleviate occupation shortages. </w:t>
      </w:r>
    </w:p>
    <w:p w14:paraId="227D4D61" w14:textId="77777777" w:rsidR="00480B35" w:rsidRDefault="00605EB3" w:rsidP="0006712B">
      <w:pPr>
        <w:pStyle w:val="BodyText"/>
        <w:sectPr w:rsidR="00480B35" w:rsidSect="00480B35">
          <w:headerReference w:type="default" r:id="rId59"/>
          <w:footerReference w:type="default" r:id="rId60"/>
          <w:type w:val="oddPage"/>
          <w:pgSz w:w="11907" w:h="16839" w:code="9"/>
          <w:pgMar w:top="1440" w:right="1270" w:bottom="1440" w:left="3402" w:header="720" w:footer="720" w:gutter="0"/>
          <w:cols w:space="720"/>
          <w:docGrid w:linePitch="360"/>
        </w:sectPr>
      </w:pPr>
      <w:r w:rsidRPr="00A31CA7">
        <w:t>Inclusive participation is not just about increasing the number of people in work. It is about ensuring that all Australians</w:t>
      </w:r>
      <w:r w:rsidRPr="00D05242">
        <w:t xml:space="preserve"> –</w:t>
      </w:r>
      <w:r w:rsidRPr="00A31CA7">
        <w:t xml:space="preserve"> regardless of background, age, gender, or ability</w:t>
      </w:r>
      <w:r w:rsidRPr="00D05242">
        <w:t xml:space="preserve"> – </w:t>
      </w:r>
      <w:r w:rsidRPr="00A31CA7">
        <w:t xml:space="preserve">have the opportunity to develop their skills, contribute to the economy, and share in its benefits. </w:t>
      </w:r>
      <w:r w:rsidRPr="00A31CA7" w:rsidDel="008924D1">
        <w:t xml:space="preserve">By improving the quality of </w:t>
      </w:r>
      <w:r w:rsidRPr="00A31CA7">
        <w:t>job matching and supporting diverse pathways into employment, we can build a more resilient, innovative, and productive workforce.</w:t>
      </w:r>
    </w:p>
    <w:p w14:paraId="296BD637" w14:textId="5EEA6728" w:rsidR="00605EB3" w:rsidRDefault="00605EB3" w:rsidP="007259EC">
      <w:pPr>
        <w:pStyle w:val="Heading2"/>
      </w:pPr>
      <w:bookmarkStart w:id="70" w:name="_Toc208923383"/>
      <w:bookmarkStart w:id="71" w:name="_Toc211586995"/>
      <w:r>
        <w:t>First Nations people</w:t>
      </w:r>
      <w:bookmarkEnd w:id="70"/>
      <w:bookmarkEnd w:id="71"/>
    </w:p>
    <w:p w14:paraId="2905D3A6" w14:textId="33AA3F7A" w:rsidR="00605EB3" w:rsidRDefault="00605EB3" w:rsidP="0006712B">
      <w:pPr>
        <w:pStyle w:val="BodyText"/>
      </w:pPr>
      <w:r>
        <w:t>L</w:t>
      </w:r>
      <w:r w:rsidRPr="00C33AC2">
        <w:t xml:space="preserve">ongstanding gaps in </w:t>
      </w:r>
      <w:r w:rsidR="009A1AED">
        <w:t xml:space="preserve">education and employment outcomes </w:t>
      </w:r>
      <w:r>
        <w:t xml:space="preserve">between First Nations people and </w:t>
      </w:r>
      <w:r w:rsidR="009A1AED">
        <w:t>other</w:t>
      </w:r>
      <w:r>
        <w:t xml:space="preserve"> Australians</w:t>
      </w:r>
      <w:r w:rsidRPr="00C33AC2">
        <w:t xml:space="preserve"> remain at the population level, and many First Nations people continue to face structural barriers to participation in work and study.</w:t>
      </w:r>
      <w:r>
        <w:t xml:space="preserve"> </w:t>
      </w:r>
      <w:r w:rsidRPr="001A1EA0">
        <w:t>Australian governments remain committed to working in partnership with First Nations communities through the implementation of the National Agreement on Closing the Gap</w:t>
      </w:r>
      <w:r>
        <w:t xml:space="preserve"> </w:t>
      </w:r>
      <w:sdt>
        <w:sdtPr>
          <w:id w:val="667677773"/>
          <w:citation/>
        </w:sdtPr>
        <w:sdtContent>
          <w:r>
            <w:fldChar w:fldCharType="begin"/>
          </w:r>
          <w:r>
            <w:instrText xml:space="preserve"> CITATION Aus \l 3081 </w:instrText>
          </w:r>
          <w:r>
            <w:fldChar w:fldCharType="separate"/>
          </w:r>
          <w:r w:rsidR="00D52996">
            <w:rPr>
              <w:noProof/>
            </w:rPr>
            <w:t>(Commonwealth of Australia, 2024)</w:t>
          </w:r>
          <w:r>
            <w:fldChar w:fldCharType="end"/>
          </w:r>
        </w:sdtContent>
      </w:sdt>
      <w:r>
        <w:t>.</w:t>
      </w:r>
    </w:p>
    <w:p w14:paraId="5F954EB6" w14:textId="46A66F70" w:rsidR="00605EB3" w:rsidRDefault="00605EB3" w:rsidP="0006712B">
      <w:pPr>
        <w:pStyle w:val="BodyText"/>
      </w:pPr>
      <w:r>
        <w:t xml:space="preserve">The </w:t>
      </w:r>
      <w:r w:rsidRPr="00ED4661">
        <w:rPr>
          <w:rStyle w:val="Characteritalic"/>
        </w:rPr>
        <w:t>Closing the Gap Annual Data Compilation Report July 2025</w:t>
      </w:r>
      <w:r>
        <w:t xml:space="preserve"> notes mixed progress, with four targets continuing to worsen, but improvements across others (although some are not progressing at a sufficient rate to meet their relevant 2031 target measure). Progress for some areas are still unable to be measured – including access to essential services, family violence, languages being spoken, and home internet access </w:t>
      </w:r>
      <w:sdt>
        <w:sdtPr>
          <w:id w:val="-2043275992"/>
          <w:citation/>
        </w:sdtPr>
        <w:sdtContent>
          <w:r>
            <w:fldChar w:fldCharType="begin"/>
          </w:r>
          <w:r>
            <w:instrText xml:space="preserve"> CITATION Pro254 \l 3081 </w:instrText>
          </w:r>
          <w:r>
            <w:fldChar w:fldCharType="separate"/>
          </w:r>
          <w:r w:rsidR="00D52996">
            <w:rPr>
              <w:noProof/>
            </w:rPr>
            <w:t>(Productivity Commission, 2025)</w:t>
          </w:r>
          <w:r>
            <w:fldChar w:fldCharType="end"/>
          </w:r>
        </w:sdtContent>
      </w:sdt>
      <w:r>
        <w:t xml:space="preserve">. </w:t>
      </w:r>
    </w:p>
    <w:p w14:paraId="7DF979ED" w14:textId="5E2AA1B0" w:rsidR="00605EB3" w:rsidRDefault="00605EB3" w:rsidP="0006712B">
      <w:pPr>
        <w:pStyle w:val="BodyText"/>
      </w:pPr>
      <w:r>
        <w:t xml:space="preserve">The latest data for </w:t>
      </w:r>
      <w:r w:rsidRPr="00605EB3">
        <w:t>Outcome 8: Strong economic participation and development of Aboriginal and Torres Strait Islander people and communities</w:t>
      </w:r>
      <w:r>
        <w:t xml:space="preserve"> is from the 2021 Census, which showed that</w:t>
      </w:r>
      <w:r w:rsidRPr="00155455">
        <w:t xml:space="preserve"> </w:t>
      </w:r>
      <w:r>
        <w:t xml:space="preserve">since the baseline year (2016), </w:t>
      </w:r>
      <w:r w:rsidRPr="00155455">
        <w:t xml:space="preserve">there was an improvement </w:t>
      </w:r>
      <w:r>
        <w:t xml:space="preserve">of 4.7 percentage points </w:t>
      </w:r>
      <w:r w:rsidRPr="00155455">
        <w:t xml:space="preserve">in the proportion of Aboriginal and Torres Strait Islander people </w:t>
      </w:r>
      <w:r>
        <w:t xml:space="preserve">who were </w:t>
      </w:r>
      <w:r w:rsidRPr="00155455">
        <w:t>employed</w:t>
      </w:r>
      <w:r>
        <w:t xml:space="preserve"> (to 55.7%)</w:t>
      </w:r>
      <w:r w:rsidRPr="00155455">
        <w:t xml:space="preserve">, with the target </w:t>
      </w:r>
      <w:r>
        <w:t xml:space="preserve">(62%) </w:t>
      </w:r>
      <w:r w:rsidRPr="00155455">
        <w:t>on track to be met by 2031</w:t>
      </w:r>
      <w:r>
        <w:t>. A new supporting measure has been introduced this year to help build a fuller picture of economic participation. Indicator 8C now reports on the employment status of people with caring responsibilities</w:t>
      </w:r>
      <w:sdt>
        <w:sdtPr>
          <w:id w:val="1171459040"/>
          <w:citation/>
        </w:sdtPr>
        <w:sdtContent>
          <w:r>
            <w:fldChar w:fldCharType="begin"/>
          </w:r>
          <w:r>
            <w:instrText xml:space="preserve"> CITATION Pro254 \l 3081 </w:instrText>
          </w:r>
          <w:r>
            <w:fldChar w:fldCharType="separate"/>
          </w:r>
          <w:r w:rsidR="00D52996">
            <w:rPr>
              <w:noProof/>
            </w:rPr>
            <w:t xml:space="preserve"> (Productivity Commission, 2025)</w:t>
          </w:r>
          <w:r>
            <w:fldChar w:fldCharType="end"/>
          </w:r>
        </w:sdtContent>
      </w:sdt>
      <w:r>
        <w:t xml:space="preserve">. </w:t>
      </w:r>
    </w:p>
    <w:p w14:paraId="66C762D2" w14:textId="14DD0B7D" w:rsidR="00605EB3" w:rsidRDefault="00605EB3" w:rsidP="0006712B">
      <w:pPr>
        <w:pStyle w:val="BodyText"/>
      </w:pPr>
      <w:r w:rsidRPr="003F26C8">
        <w:t xml:space="preserve">Unpaid care is a vital part of many communities, </w:t>
      </w:r>
      <w:r>
        <w:t xml:space="preserve">and it is </w:t>
      </w:r>
      <w:r w:rsidRPr="003F26C8">
        <w:t>often deeply embedded in Aboriginal and Torres Strait Islander cultures through kinship systems that shape mutual responsibilities</w:t>
      </w:r>
      <w:r>
        <w:t xml:space="preserve"> </w:t>
      </w:r>
      <w:sdt>
        <w:sdtPr>
          <w:id w:val="-1530407072"/>
          <w:citation/>
        </w:sdtPr>
        <w:sdtContent>
          <w:r>
            <w:fldChar w:fldCharType="begin"/>
          </w:r>
          <w:r>
            <w:instrText xml:space="preserve"> CITATION Bri22 \l 3081 </w:instrText>
          </w:r>
          <w:r>
            <w:fldChar w:fldCharType="separate"/>
          </w:r>
          <w:r w:rsidR="00D52996">
            <w:rPr>
              <w:noProof/>
            </w:rPr>
            <w:t>(Brinckley, Jones, Batterham, Calear, &amp; Lovett, 2022)</w:t>
          </w:r>
          <w:r>
            <w:fldChar w:fldCharType="end"/>
          </w:r>
        </w:sdtContent>
      </w:sdt>
      <w:sdt>
        <w:sdtPr>
          <w:id w:val="-110984385"/>
          <w:citation/>
        </w:sdtPr>
        <w:sdtContent>
          <w:r>
            <w:fldChar w:fldCharType="begin"/>
          </w:r>
          <w:r>
            <w:instrText xml:space="preserve"> CITATION SNA08 \l 3081 </w:instrText>
          </w:r>
          <w:r>
            <w:fldChar w:fldCharType="separate"/>
          </w:r>
          <w:r w:rsidR="00D52996">
            <w:rPr>
              <w:noProof/>
            </w:rPr>
            <w:t xml:space="preserve"> (SNAICC, 2008)</w:t>
          </w:r>
          <w:r>
            <w:fldChar w:fldCharType="end"/>
          </w:r>
        </w:sdtContent>
      </w:sdt>
      <w:r w:rsidRPr="003F26C8">
        <w:t xml:space="preserve">. </w:t>
      </w:r>
      <w:r w:rsidRPr="00EE779A">
        <w:t>In 2021, nearly 160,000 Aboriginal and Torres Strait Islander people aged 25</w:t>
      </w:r>
      <w:r>
        <w:t>-</w:t>
      </w:r>
      <w:r w:rsidRPr="00EE779A">
        <w:t>64 reported providing unpaid care or assistance, and employment rates among carers increased compared to 2016. Among those caring for children, 61.1% were employed</w:t>
      </w:r>
      <w:r>
        <w:t xml:space="preserve"> (</w:t>
      </w:r>
      <w:r w:rsidRPr="00EE779A">
        <w:t>up 5.6 percentage points</w:t>
      </w:r>
      <w:r>
        <w:t xml:space="preserve">) </w:t>
      </w:r>
      <w:r w:rsidRPr="00EE779A">
        <w:t xml:space="preserve">while employment among those assisting someone with disability, </w:t>
      </w:r>
      <w:r>
        <w:t>health condition</w:t>
      </w:r>
      <w:r w:rsidRPr="00EE779A">
        <w:t xml:space="preserve"> or </w:t>
      </w:r>
      <w:r>
        <w:t>due to</w:t>
      </w:r>
      <w:r w:rsidRPr="00EE779A">
        <w:t xml:space="preserve"> age rose by 6.2 percentage points to 52.7%</w:t>
      </w:r>
      <w:r>
        <w:t xml:space="preserve"> </w:t>
      </w:r>
      <w:sdt>
        <w:sdtPr>
          <w:id w:val="-1063248652"/>
          <w:citation/>
        </w:sdtPr>
        <w:sdtContent>
          <w:r>
            <w:fldChar w:fldCharType="begin"/>
          </w:r>
          <w:r>
            <w:instrText xml:space="preserve"> CITATION Pro254 \l 3081 </w:instrText>
          </w:r>
          <w:r>
            <w:fldChar w:fldCharType="separate"/>
          </w:r>
          <w:r w:rsidR="00D52996">
            <w:rPr>
              <w:noProof/>
            </w:rPr>
            <w:t>(Productivity Commission, 2025)</w:t>
          </w:r>
          <w:r>
            <w:fldChar w:fldCharType="end"/>
          </w:r>
        </w:sdtContent>
      </w:sdt>
      <w:r w:rsidRPr="00EE779A">
        <w:t xml:space="preserve">. </w:t>
      </w:r>
    </w:p>
    <w:p w14:paraId="0A26F785" w14:textId="5801A157" w:rsidR="00605EB3" w:rsidRDefault="00605EB3" w:rsidP="0006712B">
      <w:pPr>
        <w:pStyle w:val="BodyText"/>
      </w:pPr>
      <w:r w:rsidRPr="00EE779A">
        <w:t xml:space="preserve">Despite this progress, carers were still more likely to work part-time or be </w:t>
      </w:r>
      <w:r>
        <w:t>employed but away from work</w:t>
      </w:r>
      <w:r w:rsidRPr="00EE779A">
        <w:t xml:space="preserve"> </w:t>
      </w:r>
      <w:r>
        <w:t>(for those caring for a child), or unemployed or not in the labour force (for those caring for a person with disability, a health condition or old age)</w:t>
      </w:r>
      <w:r w:rsidRPr="00EE779A">
        <w:t xml:space="preserve"> than non-carers</w:t>
      </w:r>
      <w:r>
        <w:t xml:space="preserve">. This </w:t>
      </w:r>
      <w:r w:rsidRPr="00EE779A">
        <w:t>highlight</w:t>
      </w:r>
      <w:r>
        <w:t>s</w:t>
      </w:r>
      <w:r w:rsidRPr="00EE779A">
        <w:t xml:space="preserve"> the impact of unpaid care responsibilities on economic participation</w:t>
      </w:r>
      <w:r>
        <w:t>. The</w:t>
      </w:r>
      <w:r w:rsidRPr="00230EB7">
        <w:t xml:space="preserve"> time and resources</w:t>
      </w:r>
      <w:r>
        <w:t xml:space="preserve"> devoted to u</w:t>
      </w:r>
      <w:r w:rsidRPr="00230EB7">
        <w:t>npaid care</w:t>
      </w:r>
      <w:r>
        <w:t xml:space="preserve"> work can mean</w:t>
      </w:r>
      <w:r w:rsidRPr="00230EB7">
        <w:t xml:space="preserve"> that people with these responsibilities may have reduced capacity to participate in paid work compared to those without caring roles</w:t>
      </w:r>
      <w:sdt>
        <w:sdtPr>
          <w:id w:val="-1624688427"/>
          <w:citation/>
        </w:sdtPr>
        <w:sdtContent>
          <w:r>
            <w:fldChar w:fldCharType="begin"/>
          </w:r>
          <w:r>
            <w:instrText xml:space="preserve"> CITATION Pro254 \l 3081 </w:instrText>
          </w:r>
          <w:r>
            <w:fldChar w:fldCharType="separate"/>
          </w:r>
          <w:r w:rsidR="00D52996">
            <w:rPr>
              <w:noProof/>
            </w:rPr>
            <w:t xml:space="preserve"> (Productivity Commission, 2025)</w:t>
          </w:r>
          <w:r>
            <w:fldChar w:fldCharType="end"/>
          </w:r>
        </w:sdtContent>
      </w:sdt>
      <w:r w:rsidRPr="00EE779A">
        <w:t>.</w:t>
      </w:r>
    </w:p>
    <w:p w14:paraId="13F26C01" w14:textId="37729502" w:rsidR="00605EB3" w:rsidRDefault="00605EB3" w:rsidP="0006712B">
      <w:pPr>
        <w:pStyle w:val="BodyText"/>
      </w:pPr>
      <w:r>
        <w:t xml:space="preserve">First Nations workers are more likely to be employed in Community and Personal Services roles and less likely to work in Professional occupations </w:t>
      </w:r>
      <w:sdt>
        <w:sdtPr>
          <w:id w:val="-2062154393"/>
          <w:citation/>
        </w:sdtPr>
        <w:sdtContent>
          <w:r w:rsidRPr="00AE5261">
            <w:fldChar w:fldCharType="begin"/>
          </w:r>
          <w:r w:rsidRPr="005447C7">
            <w:instrText xml:space="preserve"> CITATION Job232 \l 3081 </w:instrText>
          </w:r>
          <w:r w:rsidRPr="00AE5261">
            <w:fldChar w:fldCharType="separate"/>
          </w:r>
          <w:r w:rsidR="00D52996">
            <w:rPr>
              <w:noProof/>
            </w:rPr>
            <w:t>(Jobs and Skills Australia, 2023)</w:t>
          </w:r>
          <w:r w:rsidRPr="00AE5261">
            <w:fldChar w:fldCharType="end"/>
          </w:r>
        </w:sdtContent>
      </w:sdt>
      <w:r>
        <w:t>. Welfare Support Workers is a notable example – a moderately female-dominated, higher-skill occupation that ranks among the top 20 employing roles for First Nations workers. In contrast, it sits outside the top 50 for CALD workers and only reaches the top 40 for the total workforce.</w:t>
      </w:r>
    </w:p>
    <w:p w14:paraId="56262F2A" w14:textId="6782EBA9" w:rsidR="00605EB3" w:rsidRDefault="00605EB3" w:rsidP="0006712B">
      <w:pPr>
        <w:pStyle w:val="BodyText"/>
      </w:pPr>
      <w:r>
        <w:t>More broadly, First Nations workers are more likely to be employed in occupations that are highly gender</w:t>
      </w:r>
      <w:r w:rsidR="00632BEA">
        <w:t xml:space="preserve"> </w:t>
      </w:r>
      <w:r>
        <w:t xml:space="preserve">segregated. As shown in </w:t>
      </w:r>
      <w:r>
        <w:fldChar w:fldCharType="begin"/>
      </w:r>
      <w:r>
        <w:instrText xml:space="preserve"> REF _Ref208923782 \h </w:instrText>
      </w:r>
      <w:r w:rsidR="0006712B">
        <w:instrText xml:space="preserve"> \* MERGEFORMAT </w:instrText>
      </w:r>
      <w:r>
        <w:fldChar w:fldCharType="separate"/>
      </w:r>
      <w:r w:rsidR="009E6E1D">
        <w:t>Table 3</w:t>
      </w:r>
      <w:r>
        <w:fldChar w:fldCharType="end"/>
      </w:r>
      <w:r>
        <w:t xml:space="preserve">, only 10% work in gender-balanced roles (compared to 21% of the total workforce), and </w:t>
      </w:r>
      <w:r w:rsidRPr="00551A74">
        <w:t>26% are</w:t>
      </w:r>
      <w:r>
        <w:t xml:space="preserve"> employed in occupations that are almost entirely male or female dominated (compared to 21</w:t>
      </w:r>
      <w:r w:rsidRPr="00551A74">
        <w:t xml:space="preserve">% of the </w:t>
      </w:r>
      <w:r>
        <w:t>total workforce)</w:t>
      </w:r>
      <w:r w:rsidRPr="00551A74">
        <w:t>.</w:t>
      </w:r>
      <w:r>
        <w:t xml:space="preserve"> This reflects a higher concentration of First Nations men in trades and labouring roles</w:t>
      </w:r>
      <w:r w:rsidRPr="00551A74">
        <w:t>,</w:t>
      </w:r>
      <w:r>
        <w:t xml:space="preserve"> including mining</w:t>
      </w:r>
      <w:r w:rsidRPr="00551A74">
        <w:t>,</w:t>
      </w:r>
      <w:r>
        <w:t xml:space="preserve"> and First Nations women in care, education, and health-related jobs. These patterns also reinforce earlier findings: First Nations workers are more likely to be employed in occupations experiencing shortages and in VET-qualified Skill Level 3 roles. </w:t>
      </w:r>
      <w:bookmarkStart w:id="72" w:name="_Ref208584746"/>
    </w:p>
    <w:p w14:paraId="11EC3F11" w14:textId="0B55032F" w:rsidR="00605EB3" w:rsidRDefault="00605EB3" w:rsidP="00605EB3">
      <w:pPr>
        <w:pStyle w:val="Caption"/>
      </w:pPr>
      <w:bookmarkStart w:id="73" w:name="_Ref208923782"/>
      <w:bookmarkStart w:id="74" w:name="_Toc210206853"/>
      <w:r>
        <w:t xml:space="preserve">Table </w:t>
      </w:r>
      <w:r>
        <w:fldChar w:fldCharType="begin"/>
      </w:r>
      <w:r>
        <w:instrText xml:space="preserve"> SEQ Table \* ARABIC </w:instrText>
      </w:r>
      <w:r>
        <w:fldChar w:fldCharType="separate"/>
      </w:r>
      <w:r w:rsidR="009E6E1D">
        <w:rPr>
          <w:noProof/>
        </w:rPr>
        <w:t>3</w:t>
      </w:r>
      <w:r>
        <w:fldChar w:fldCharType="end"/>
      </w:r>
      <w:bookmarkEnd w:id="72"/>
      <w:bookmarkEnd w:id="73"/>
      <w:r>
        <w:t>: Employment share of total workforce and First Nations workforce by gender segregation</w:t>
      </w:r>
      <w:bookmarkEnd w:id="74"/>
      <w:r w:rsidR="002B78E1">
        <w:t xml:space="preserve"> intensity</w:t>
      </w:r>
    </w:p>
    <w:tbl>
      <w:tblPr>
        <w:tblStyle w:val="CustomTablebasic"/>
        <w:tblW w:w="0" w:type="auto"/>
        <w:tblLook w:val="04A0" w:firstRow="1" w:lastRow="0" w:firstColumn="1" w:lastColumn="0" w:noHBand="0" w:noVBand="1"/>
      </w:tblPr>
      <w:tblGrid>
        <w:gridCol w:w="3964"/>
        <w:gridCol w:w="2552"/>
        <w:gridCol w:w="2500"/>
      </w:tblGrid>
      <w:tr w:rsidR="009D344A" w14:paraId="1CCE676D" w14:textId="77777777" w:rsidTr="00ED4661">
        <w:trPr>
          <w:cnfStyle w:val="100000000000" w:firstRow="1" w:lastRow="0" w:firstColumn="0" w:lastColumn="0" w:oddVBand="0" w:evenVBand="0" w:oddHBand="0" w:evenHBand="0" w:firstRowFirstColumn="0" w:firstRowLastColumn="0" w:lastRowFirstColumn="0" w:lastRowLastColumn="0"/>
        </w:trPr>
        <w:tc>
          <w:tcPr>
            <w:tcW w:w="3964" w:type="dxa"/>
          </w:tcPr>
          <w:p w14:paraId="2F3C3CBA" w14:textId="77777777" w:rsidR="00605EB3" w:rsidRPr="00605EB3" w:rsidRDefault="00605EB3" w:rsidP="00ED4661">
            <w:pPr>
              <w:pStyle w:val="TableHeading1"/>
            </w:pPr>
            <w:r w:rsidRPr="00605EB3">
              <w:t>Gender segregation intensity</w:t>
            </w:r>
          </w:p>
        </w:tc>
        <w:tc>
          <w:tcPr>
            <w:tcW w:w="2552" w:type="dxa"/>
          </w:tcPr>
          <w:p w14:paraId="34F28556" w14:textId="77777777" w:rsidR="00605EB3" w:rsidRPr="00605EB3" w:rsidRDefault="00605EB3" w:rsidP="00ED4661">
            <w:pPr>
              <w:pStyle w:val="TableHeading1"/>
            </w:pPr>
            <w:r w:rsidRPr="00605EB3">
              <w:t>Total workforce %</w:t>
            </w:r>
          </w:p>
        </w:tc>
        <w:tc>
          <w:tcPr>
            <w:tcW w:w="2500" w:type="dxa"/>
          </w:tcPr>
          <w:p w14:paraId="56F1FEF2" w14:textId="77777777" w:rsidR="00605EB3" w:rsidRPr="00605EB3" w:rsidRDefault="00605EB3" w:rsidP="00ED4661">
            <w:pPr>
              <w:pStyle w:val="TableHeading1"/>
            </w:pPr>
            <w:r w:rsidRPr="00605EB3">
              <w:t>% of First Nations workforce</w:t>
            </w:r>
          </w:p>
        </w:tc>
      </w:tr>
      <w:tr w:rsidR="00605EB3" w14:paraId="645F9F58" w14:textId="77777777" w:rsidTr="00ED4661">
        <w:tc>
          <w:tcPr>
            <w:tcW w:w="3964" w:type="dxa"/>
          </w:tcPr>
          <w:p w14:paraId="35628E73" w14:textId="77777777" w:rsidR="00605EB3" w:rsidRPr="00605EB3" w:rsidRDefault="00605EB3" w:rsidP="0006712B">
            <w:pPr>
              <w:pStyle w:val="TableBodyText"/>
            </w:pPr>
            <w:r>
              <w:t>Gender balanced</w:t>
            </w:r>
          </w:p>
        </w:tc>
        <w:tc>
          <w:tcPr>
            <w:tcW w:w="2552" w:type="dxa"/>
          </w:tcPr>
          <w:p w14:paraId="20FFA10E" w14:textId="77777777" w:rsidR="00605EB3" w:rsidRPr="00605EB3" w:rsidRDefault="00605EB3" w:rsidP="0006712B">
            <w:pPr>
              <w:pStyle w:val="TableBodyText"/>
            </w:pPr>
            <w:r>
              <w:t>21%</w:t>
            </w:r>
          </w:p>
        </w:tc>
        <w:tc>
          <w:tcPr>
            <w:tcW w:w="2500" w:type="dxa"/>
          </w:tcPr>
          <w:p w14:paraId="09D2504F" w14:textId="77777777" w:rsidR="00605EB3" w:rsidRPr="00605EB3" w:rsidRDefault="00605EB3" w:rsidP="0006712B">
            <w:pPr>
              <w:pStyle w:val="TableBodyText"/>
            </w:pPr>
            <w:r>
              <w:t>10%</w:t>
            </w:r>
          </w:p>
        </w:tc>
      </w:tr>
      <w:tr w:rsidR="009D344A" w14:paraId="66E354E5" w14:textId="77777777" w:rsidTr="00ED4661">
        <w:trPr>
          <w:cnfStyle w:val="000000010000" w:firstRow="0" w:lastRow="0" w:firstColumn="0" w:lastColumn="0" w:oddVBand="0" w:evenVBand="0" w:oddHBand="0" w:evenHBand="1" w:firstRowFirstColumn="0" w:firstRowLastColumn="0" w:lastRowFirstColumn="0" w:lastRowLastColumn="0"/>
        </w:trPr>
        <w:tc>
          <w:tcPr>
            <w:tcW w:w="3964" w:type="dxa"/>
          </w:tcPr>
          <w:p w14:paraId="4370D919" w14:textId="77777777" w:rsidR="00605EB3" w:rsidRPr="00605EB3" w:rsidRDefault="00605EB3" w:rsidP="0006712B">
            <w:pPr>
              <w:pStyle w:val="TableBodyText"/>
            </w:pPr>
            <w:r>
              <w:t>Moderately male or female dominated</w:t>
            </w:r>
          </w:p>
        </w:tc>
        <w:tc>
          <w:tcPr>
            <w:tcW w:w="2552" w:type="dxa"/>
          </w:tcPr>
          <w:p w14:paraId="5B455DA9" w14:textId="77777777" w:rsidR="00605EB3" w:rsidRPr="00605EB3" w:rsidRDefault="00605EB3" w:rsidP="0006712B">
            <w:pPr>
              <w:pStyle w:val="TableBodyText"/>
            </w:pPr>
            <w:r>
              <w:t>29%</w:t>
            </w:r>
          </w:p>
        </w:tc>
        <w:tc>
          <w:tcPr>
            <w:tcW w:w="2500" w:type="dxa"/>
          </w:tcPr>
          <w:p w14:paraId="0F270479" w14:textId="77777777" w:rsidR="00605EB3" w:rsidRPr="00605EB3" w:rsidRDefault="00605EB3" w:rsidP="0006712B">
            <w:pPr>
              <w:pStyle w:val="TableBodyText"/>
            </w:pPr>
            <w:r>
              <w:t>31%</w:t>
            </w:r>
          </w:p>
        </w:tc>
      </w:tr>
      <w:tr w:rsidR="00605EB3" w14:paraId="55EFA2C6" w14:textId="77777777" w:rsidTr="00ED4661">
        <w:tc>
          <w:tcPr>
            <w:tcW w:w="3964" w:type="dxa"/>
          </w:tcPr>
          <w:p w14:paraId="3A3CC536" w14:textId="77777777" w:rsidR="00605EB3" w:rsidRPr="00605EB3" w:rsidRDefault="00605EB3" w:rsidP="0006712B">
            <w:pPr>
              <w:pStyle w:val="TableBodyText"/>
            </w:pPr>
            <w:r>
              <w:t>Highly male o</w:t>
            </w:r>
            <w:r w:rsidRPr="00605EB3">
              <w:t>r female dominated</w:t>
            </w:r>
          </w:p>
        </w:tc>
        <w:tc>
          <w:tcPr>
            <w:tcW w:w="2552" w:type="dxa"/>
          </w:tcPr>
          <w:p w14:paraId="4866714C" w14:textId="77777777" w:rsidR="00605EB3" w:rsidRPr="00605EB3" w:rsidRDefault="00605EB3" w:rsidP="0006712B">
            <w:pPr>
              <w:pStyle w:val="TableBodyText"/>
            </w:pPr>
            <w:r>
              <w:t>29%</w:t>
            </w:r>
          </w:p>
        </w:tc>
        <w:tc>
          <w:tcPr>
            <w:tcW w:w="2500" w:type="dxa"/>
          </w:tcPr>
          <w:p w14:paraId="1D1551CB" w14:textId="77777777" w:rsidR="00605EB3" w:rsidRPr="00605EB3" w:rsidRDefault="00605EB3" w:rsidP="0006712B">
            <w:pPr>
              <w:pStyle w:val="TableBodyText"/>
            </w:pPr>
            <w:r>
              <w:t>33%</w:t>
            </w:r>
          </w:p>
        </w:tc>
      </w:tr>
      <w:tr w:rsidR="009D344A" w14:paraId="710DF24C" w14:textId="77777777" w:rsidTr="00ED4661">
        <w:trPr>
          <w:cnfStyle w:val="000000010000" w:firstRow="0" w:lastRow="0" w:firstColumn="0" w:lastColumn="0" w:oddVBand="0" w:evenVBand="0" w:oddHBand="0" w:evenHBand="1" w:firstRowFirstColumn="0" w:firstRowLastColumn="0" w:lastRowFirstColumn="0" w:lastRowLastColumn="0"/>
        </w:trPr>
        <w:tc>
          <w:tcPr>
            <w:tcW w:w="3964" w:type="dxa"/>
          </w:tcPr>
          <w:p w14:paraId="65447173" w14:textId="77777777" w:rsidR="00605EB3" w:rsidRPr="00605EB3" w:rsidRDefault="00605EB3" w:rsidP="0006712B">
            <w:pPr>
              <w:pStyle w:val="TableBodyText"/>
            </w:pPr>
            <w:r>
              <w:t>Almost completely male or female dominated</w:t>
            </w:r>
          </w:p>
        </w:tc>
        <w:tc>
          <w:tcPr>
            <w:tcW w:w="2552" w:type="dxa"/>
          </w:tcPr>
          <w:p w14:paraId="0DC13BB9" w14:textId="77777777" w:rsidR="00605EB3" w:rsidRPr="00605EB3" w:rsidRDefault="00605EB3" w:rsidP="0006712B">
            <w:pPr>
              <w:pStyle w:val="TableBodyText"/>
            </w:pPr>
            <w:r>
              <w:t>21%</w:t>
            </w:r>
          </w:p>
        </w:tc>
        <w:tc>
          <w:tcPr>
            <w:tcW w:w="2500" w:type="dxa"/>
          </w:tcPr>
          <w:p w14:paraId="491CCDBF" w14:textId="77777777" w:rsidR="00605EB3" w:rsidRPr="00605EB3" w:rsidRDefault="00605EB3" w:rsidP="0006712B">
            <w:pPr>
              <w:pStyle w:val="TableBodyText"/>
            </w:pPr>
            <w:r>
              <w:t>26%</w:t>
            </w:r>
          </w:p>
        </w:tc>
      </w:tr>
    </w:tbl>
    <w:p w14:paraId="3F154C9D" w14:textId="77777777" w:rsidR="00605EB3" w:rsidRDefault="00605EB3" w:rsidP="00605EB3"/>
    <w:p w14:paraId="7A6CF26A" w14:textId="77777777" w:rsidR="000F01C4" w:rsidRPr="00B97884" w:rsidRDefault="008B1ED0" w:rsidP="00B97884">
      <w:pPr>
        <w:pStyle w:val="Source"/>
      </w:pPr>
      <w:r w:rsidRPr="00B97884">
        <w:t>Source</w:t>
      </w:r>
      <w:r w:rsidR="001529C4" w:rsidRPr="00B97884">
        <w:t xml:space="preserve">: </w:t>
      </w:r>
      <w:r w:rsidR="004A741D" w:rsidRPr="00B97884">
        <w:t xml:space="preserve">ABS, Census of Population and Housing, 2021. </w:t>
      </w:r>
    </w:p>
    <w:p w14:paraId="422D4387" w14:textId="40FB48F0" w:rsidR="008B1ED0" w:rsidRPr="00B97884" w:rsidRDefault="004A741D" w:rsidP="00B97884">
      <w:pPr>
        <w:pStyle w:val="Source"/>
      </w:pPr>
      <w:r w:rsidRPr="00B97884">
        <w:t xml:space="preserve">Note: </w:t>
      </w:r>
      <w:r w:rsidR="000F01C4" w:rsidRPr="00B97884">
        <w:t>The Gender Segregation Intensity Scale (GSIS) is introduced by JSA in Paper 1 of the Gender Economic Equality Study. Gender balanced GSIS refers to a workforce proportion between 40% and 60% of one gender, moderately male or female dominated refers to a workforce proportion between 60% and 75%, highly male or female dominated refers to a workforce proportion between 75% and 90%, and almost completely male or female dominated refers to a workforce proportion at 90% or above.</w:t>
      </w:r>
    </w:p>
    <w:p w14:paraId="2F28F861" w14:textId="77777777" w:rsidR="00605EB3" w:rsidRPr="001E4476" w:rsidRDefault="00605EB3" w:rsidP="0006712B">
      <w:pPr>
        <w:pStyle w:val="BodyText"/>
      </w:pPr>
      <w:r w:rsidRPr="001E4476">
        <w:t xml:space="preserve">Many </w:t>
      </w:r>
      <w:r>
        <w:t xml:space="preserve">workers </w:t>
      </w:r>
      <w:r w:rsidRPr="001E4476">
        <w:t>are concentrated in lower-skilled roles due to external constraints, including:</w:t>
      </w:r>
    </w:p>
    <w:p w14:paraId="51CD76CE" w14:textId="7A6B223C" w:rsidR="00605EB3" w:rsidRPr="00605EB3" w:rsidRDefault="00605EB3" w:rsidP="0006712B">
      <w:pPr>
        <w:pStyle w:val="ListBullet"/>
      </w:pPr>
      <w:r w:rsidRPr="001E4476">
        <w:t xml:space="preserve">Deficit-based assumptions embedded in historical and government approaches to Indigenous employment </w:t>
      </w:r>
      <w:sdt>
        <w:sdtPr>
          <w:id w:val="-1711795682"/>
          <w:citation/>
        </w:sdtPr>
        <w:sdtContent>
          <w:r w:rsidRPr="00605EB3">
            <w:fldChar w:fldCharType="begin"/>
          </w:r>
          <w:r w:rsidRPr="00605EB3">
            <w:instrText xml:space="preserve">CITATION Ant04 \l 3081 </w:instrText>
          </w:r>
          <w:r w:rsidRPr="00605EB3">
            <w:fldChar w:fldCharType="separate"/>
          </w:r>
          <w:r w:rsidR="00D52996">
            <w:rPr>
              <w:noProof/>
            </w:rPr>
            <w:t>(Anthony, 2004)</w:t>
          </w:r>
          <w:r w:rsidRPr="00605EB3">
            <w:fldChar w:fldCharType="end"/>
          </w:r>
        </w:sdtContent>
      </w:sdt>
      <w:sdt>
        <w:sdtPr>
          <w:id w:val="923612264"/>
          <w:citation/>
        </w:sdtPr>
        <w:sdtContent>
          <w:r w:rsidRPr="00605EB3">
            <w:fldChar w:fldCharType="begin"/>
          </w:r>
          <w:r w:rsidRPr="00605EB3">
            <w:instrText xml:space="preserve"> CITATION You24 \l 3081 </w:instrText>
          </w:r>
          <w:r w:rsidRPr="00605EB3">
            <w:fldChar w:fldCharType="separate"/>
          </w:r>
          <w:r w:rsidR="00D52996">
            <w:rPr>
              <w:noProof/>
            </w:rPr>
            <w:t xml:space="preserve"> (Young, et al., 2024)</w:t>
          </w:r>
          <w:r w:rsidRPr="00605EB3">
            <w:fldChar w:fldCharType="end"/>
          </w:r>
        </w:sdtContent>
      </w:sdt>
      <w:r w:rsidRPr="00605EB3">
        <w:t>.</w:t>
      </w:r>
    </w:p>
    <w:p w14:paraId="5253A74F" w14:textId="5AB71723" w:rsidR="00605EB3" w:rsidRPr="00605EB3" w:rsidRDefault="00605EB3" w:rsidP="0006712B">
      <w:pPr>
        <w:pStyle w:val="ListBullet"/>
      </w:pPr>
      <w:r w:rsidRPr="001E4476">
        <w:t>Systemic racism in education systems that limits access to and completion of formal qualifications</w:t>
      </w:r>
      <w:r w:rsidRPr="00605EB3">
        <w:t xml:space="preserve">. This includes the accumulation of low-level VET certificates due to limited course offerings and the high cost and time required to travel – particularly in remote areas </w:t>
      </w:r>
      <w:sdt>
        <w:sdtPr>
          <w:id w:val="1966231329"/>
          <w:citation/>
        </w:sdtPr>
        <w:sdtContent>
          <w:r w:rsidRPr="00605EB3">
            <w:fldChar w:fldCharType="begin"/>
          </w:r>
          <w:r w:rsidRPr="00605EB3">
            <w:instrText xml:space="preserve"> CITATION Gue17 \l 3081 </w:instrText>
          </w:r>
          <w:r w:rsidRPr="00605EB3">
            <w:fldChar w:fldCharType="separate"/>
          </w:r>
          <w:r w:rsidR="00D52996">
            <w:rPr>
              <w:noProof/>
            </w:rPr>
            <w:t>(Guenther, et al., 2017)</w:t>
          </w:r>
          <w:r w:rsidRPr="00605EB3">
            <w:fldChar w:fldCharType="end"/>
          </w:r>
        </w:sdtContent>
      </w:sdt>
      <w:r w:rsidRPr="00605EB3">
        <w:t>.</w:t>
      </w:r>
    </w:p>
    <w:p w14:paraId="6E465FCF" w14:textId="2B53AE90" w:rsidR="00605EB3" w:rsidRPr="00605EB3" w:rsidRDefault="00605EB3" w:rsidP="0006712B">
      <w:pPr>
        <w:pStyle w:val="ListBullet"/>
      </w:pPr>
      <w:r>
        <w:t>Workplace</w:t>
      </w:r>
      <w:r w:rsidRPr="00605EB3">
        <w:t xml:space="preserve"> environments that lack diversity, cultural safety, adequate supports, and recognition of lived experience and cultural knowledge as expertise </w:t>
      </w:r>
      <w:sdt>
        <w:sdtPr>
          <w:id w:val="1509793455"/>
          <w:citation/>
        </w:sdtPr>
        <w:sdtContent>
          <w:r w:rsidRPr="00605EB3">
            <w:fldChar w:fldCharType="begin"/>
          </w:r>
          <w:r w:rsidRPr="00605EB3">
            <w:instrText xml:space="preserve"> CITATION AHR20 \l 3081 </w:instrText>
          </w:r>
          <w:r w:rsidRPr="00605EB3">
            <w:fldChar w:fldCharType="separate"/>
          </w:r>
          <w:r w:rsidR="00D52996">
            <w:rPr>
              <w:noProof/>
            </w:rPr>
            <w:t>(AHRC, 2020)</w:t>
          </w:r>
          <w:r w:rsidRPr="00605EB3">
            <w:fldChar w:fldCharType="end"/>
          </w:r>
        </w:sdtContent>
      </w:sdt>
      <w:sdt>
        <w:sdtPr>
          <w:id w:val="1552503916"/>
          <w:citation/>
        </w:sdtPr>
        <w:sdtContent>
          <w:r w:rsidRPr="00605EB3">
            <w:fldChar w:fldCharType="begin"/>
          </w:r>
          <w:r w:rsidRPr="00605EB3">
            <w:instrText xml:space="preserve"> CITATION You24 \l 3081 </w:instrText>
          </w:r>
          <w:r w:rsidRPr="00605EB3">
            <w:fldChar w:fldCharType="separate"/>
          </w:r>
          <w:r w:rsidR="00D52996">
            <w:rPr>
              <w:noProof/>
            </w:rPr>
            <w:t xml:space="preserve"> (Young, et al., 2024)</w:t>
          </w:r>
          <w:r w:rsidRPr="00605EB3">
            <w:fldChar w:fldCharType="end"/>
          </w:r>
        </w:sdtContent>
      </w:sdt>
      <w:r w:rsidRPr="00605EB3">
        <w:t xml:space="preserve">. </w:t>
      </w:r>
    </w:p>
    <w:p w14:paraId="1CD66770" w14:textId="44691663" w:rsidR="00605EB3" w:rsidRPr="001E4476" w:rsidRDefault="00605EB3" w:rsidP="006D067B">
      <w:pPr>
        <w:pStyle w:val="BodyText"/>
      </w:pPr>
      <w:r w:rsidRPr="001E4476">
        <w:t xml:space="preserve">JSA recognises the need for co-designed solutions to address these unique drivers and acknowledges that the </w:t>
      </w:r>
      <w:r>
        <w:t>First Nations</w:t>
      </w:r>
      <w:r w:rsidRPr="001E4476">
        <w:t xml:space="preserve"> employment narrative has too often been shaped by non</w:t>
      </w:r>
      <w:r>
        <w:noBreakHyphen/>
      </w:r>
      <w:r w:rsidRPr="001E4476">
        <w:t>Indigenous voices</w:t>
      </w:r>
      <w:r>
        <w:t xml:space="preserve"> – </w:t>
      </w:r>
      <w:r w:rsidRPr="001E4476">
        <w:t xml:space="preserve">perpetuating low expectations, poor conditions, and exclusion from quality work and career development </w:t>
      </w:r>
      <w:sdt>
        <w:sdtPr>
          <w:id w:val="-466365397"/>
          <w:citation/>
        </w:sdtPr>
        <w:sdtContent>
          <w:r w:rsidRPr="00572517">
            <w:fldChar w:fldCharType="begin"/>
          </w:r>
          <w:r w:rsidRPr="00DE4BA8">
            <w:instrText xml:space="preserve"> CITATION UTS25 \l 3081 </w:instrText>
          </w:r>
          <w:r w:rsidRPr="00572517">
            <w:fldChar w:fldCharType="separate"/>
          </w:r>
          <w:r w:rsidR="00D52996">
            <w:rPr>
              <w:noProof/>
            </w:rPr>
            <w:t>(UTS CIPW, n.d.)</w:t>
          </w:r>
          <w:r w:rsidRPr="00572517">
            <w:fldChar w:fldCharType="end"/>
          </w:r>
        </w:sdtContent>
      </w:sdt>
    </w:p>
    <w:p w14:paraId="684AE211" w14:textId="3F595C84" w:rsidR="00605EB3" w:rsidRDefault="00605EB3" w:rsidP="006D067B">
      <w:pPr>
        <w:pStyle w:val="BodyText"/>
      </w:pPr>
      <w:r>
        <w:t xml:space="preserve">First Nations females face the highest gender pay gap in Australia, regardless of time period used. At a snapshot in time, their pay gap is 35.3%, nearly 10 percentage points higher than the national average of 25.7%. First Nations males also experience significant disadvantage, with a pay gap of 19.3% compared to all other males. Interestingly, the pay gap between First Nations females and males is 19.8%, narrower than the overall </w:t>
      </w:r>
      <w:r w:rsidR="00AA77E1">
        <w:t>workforce</w:t>
      </w:r>
      <w:r>
        <w:t xml:space="preserve"> gap of 25.7%. </w:t>
      </w:r>
    </w:p>
    <w:p w14:paraId="1BCF90BA" w14:textId="00735C26" w:rsidR="00605EB3" w:rsidRDefault="00605EB3" w:rsidP="006D067B">
      <w:pPr>
        <w:pStyle w:val="BodyText"/>
      </w:pPr>
      <w:r>
        <w:t>Looking at accumulated earnings over a 10-year period, the disparities remain stark. The 10</w:t>
      </w:r>
      <w:r>
        <w:noBreakHyphen/>
        <w:t>year gender pay gap for First Nations females is 38.1%, compared to 30.7% for the total workforce. When benchmarked against non-CALD males, the gap widens further to 40.5%. For First Nations males, the 10-year pay gap is 16.7%, slightly lower than the point-in-time figure but still the highest among male cohorts.</w:t>
      </w:r>
    </w:p>
    <w:p w14:paraId="04EFEE4A" w14:textId="656A1641" w:rsidR="00605EB3" w:rsidRDefault="00605EB3" w:rsidP="002E6277">
      <w:pPr>
        <w:pStyle w:val="BodyText"/>
        <w:keepLines/>
      </w:pPr>
      <w:r w:rsidRPr="000419A4">
        <w:t>Encouragingly, both gaps have decreased over time</w:t>
      </w:r>
      <w:r>
        <w:t xml:space="preserve">. The </w:t>
      </w:r>
      <w:r w:rsidRPr="000419A4">
        <w:t xml:space="preserve">First Nations female </w:t>
      </w:r>
      <w:r>
        <w:t xml:space="preserve">gender pay </w:t>
      </w:r>
      <w:r w:rsidRPr="000419A4">
        <w:t>gap fell from</w:t>
      </w:r>
      <w:r>
        <w:t xml:space="preserve"> 44.8% in 2010–11 to 35.3% in 2022–23 – an improvement of nearly 10 percentage points. The </w:t>
      </w:r>
      <w:r w:rsidRPr="000419A4">
        <w:t xml:space="preserve">First Nations male gap </w:t>
      </w:r>
      <w:r>
        <w:t>also declined,</w:t>
      </w:r>
      <w:r w:rsidRPr="000419A4">
        <w:t xml:space="preserve"> from</w:t>
      </w:r>
      <w:r>
        <w:t xml:space="preserve"> 25.8% to 19.3% </w:t>
      </w:r>
      <w:r w:rsidRPr="000419A4">
        <w:t>over the same period</w:t>
      </w:r>
      <w:r>
        <w:t>, mirroring broader trends in male and total workforce pay gaps.</w:t>
      </w:r>
    </w:p>
    <w:p w14:paraId="039541A3" w14:textId="7D1A94AC" w:rsidR="00605EB3" w:rsidRPr="001E4476" w:rsidRDefault="00605EB3" w:rsidP="006D067B">
      <w:pPr>
        <w:pStyle w:val="BodyText"/>
      </w:pPr>
      <w:r w:rsidRPr="000419A4">
        <w:t xml:space="preserve">These findings point clearly to the significant and compounding gendered and racial disadvantage faced by First Nations </w:t>
      </w:r>
      <w:r w:rsidR="0006522E">
        <w:t>people</w:t>
      </w:r>
      <w:r w:rsidR="0006522E" w:rsidRPr="000419A4">
        <w:t xml:space="preserve"> </w:t>
      </w:r>
      <w:r w:rsidRPr="000419A4">
        <w:t>in the world of work, education, and training. Addressing these inequities requires urgent, tailored policy interventions</w:t>
      </w:r>
      <w:r>
        <w:t xml:space="preserve"> – </w:t>
      </w:r>
      <w:r w:rsidRPr="000419A4">
        <w:t>co-designed with First Nations communities and grounded in recognition of cultural knowledge, lived experience, and aspirations.</w:t>
      </w:r>
    </w:p>
    <w:p w14:paraId="1003B8E6" w14:textId="5AA3347F" w:rsidR="00605EB3" w:rsidRDefault="00605EB3" w:rsidP="007259EC">
      <w:pPr>
        <w:pStyle w:val="Heading2"/>
      </w:pPr>
      <w:bookmarkStart w:id="75" w:name="_Toc207643455"/>
      <w:bookmarkStart w:id="76" w:name="_Toc208923384"/>
      <w:bookmarkStart w:id="77" w:name="_Toc211586996"/>
      <w:r>
        <w:t>People with disability</w:t>
      </w:r>
      <w:bookmarkEnd w:id="69"/>
      <w:r>
        <w:rPr>
          <w:rStyle w:val="FootnoteReference"/>
        </w:rPr>
        <w:footnoteReference w:id="3"/>
      </w:r>
      <w:bookmarkEnd w:id="75"/>
      <w:bookmarkEnd w:id="76"/>
      <w:bookmarkEnd w:id="77"/>
    </w:p>
    <w:p w14:paraId="79D9093F" w14:textId="77777777" w:rsidR="00605EB3" w:rsidRPr="001C7766" w:rsidRDefault="00605EB3" w:rsidP="006D067B">
      <w:pPr>
        <w:pStyle w:val="BodyText"/>
      </w:pPr>
      <w:r>
        <w:t>People</w:t>
      </w:r>
      <w:r w:rsidRPr="001C7766">
        <w:t xml:space="preserve"> with disability continue to experience poorer labour market outcomes than those without disability</w:t>
      </w:r>
      <w:r>
        <w:t>, despite some recent improvement</w:t>
      </w:r>
      <w:r w:rsidRPr="001C7766">
        <w:t>. They face lower rates of participation and employment, higher unemployment, and are more likely to work part-time or be underemployed (wanting and available to work more hours).</w:t>
      </w:r>
    </w:p>
    <w:p w14:paraId="1644B0D9" w14:textId="25AC6A17" w:rsidR="00605EB3" w:rsidRDefault="00605EB3" w:rsidP="006D067B">
      <w:pPr>
        <w:pStyle w:val="BodyText"/>
      </w:pPr>
      <w:r w:rsidRPr="003F5691">
        <w:t>In 2022, the labour force participation rate for people aged 15–64 with disability (living in households) was 60.5%</w:t>
      </w:r>
      <w:r>
        <w:t xml:space="preserve">. This is a significant improvement on the </w:t>
      </w:r>
      <w:r w:rsidRPr="003F5691">
        <w:t xml:space="preserve">53.4% </w:t>
      </w:r>
      <w:r>
        <w:t xml:space="preserve">recorded </w:t>
      </w:r>
      <w:r w:rsidRPr="003F5691">
        <w:t>in 2018</w:t>
      </w:r>
      <w:r>
        <w:t xml:space="preserve">, however, it remains well below the participation rate for those without disability, 84.9% in 2022 </w:t>
      </w:r>
      <w:r w:rsidR="00187043">
        <w:t>(</w:t>
      </w:r>
      <w:r w:rsidR="00187043">
        <w:fldChar w:fldCharType="begin"/>
      </w:r>
      <w:r w:rsidR="00187043">
        <w:instrText xml:space="preserve"> REF _Ref207639022 </w:instrText>
      </w:r>
      <w:r w:rsidR="00187043">
        <w:fldChar w:fldCharType="separate"/>
      </w:r>
      <w:r w:rsidR="009E6E1D" w:rsidRPr="003A1B2E">
        <w:t xml:space="preserve">Figure </w:t>
      </w:r>
      <w:r w:rsidR="009E6E1D">
        <w:rPr>
          <w:noProof/>
        </w:rPr>
        <w:t>6</w:t>
      </w:r>
      <w:r w:rsidR="00187043">
        <w:fldChar w:fldCharType="end"/>
      </w:r>
      <w:r w:rsidR="00187043">
        <w:t>)</w:t>
      </w:r>
      <w:r w:rsidR="00A45303">
        <w:t>.</w:t>
      </w:r>
    </w:p>
    <w:p w14:paraId="0E6116EA" w14:textId="2274EC91" w:rsidR="00A24AD0" w:rsidRDefault="003A1B2E" w:rsidP="003A1B2E">
      <w:pPr>
        <w:pStyle w:val="Caption"/>
      </w:pPr>
      <w:bookmarkStart w:id="78" w:name="_Ref207639022"/>
      <w:bookmarkStart w:id="79" w:name="_Toc211604155"/>
      <w:r w:rsidRPr="003A1B2E">
        <w:t xml:space="preserve">Figure </w:t>
      </w:r>
      <w:r w:rsidRPr="003A1B2E">
        <w:fldChar w:fldCharType="begin"/>
      </w:r>
      <w:r w:rsidRPr="003A1B2E">
        <w:instrText xml:space="preserve"> SEQ Figure \* ARABIC </w:instrText>
      </w:r>
      <w:r w:rsidRPr="003A1B2E">
        <w:fldChar w:fldCharType="separate"/>
      </w:r>
      <w:r w:rsidR="009E6E1D">
        <w:rPr>
          <w:noProof/>
        </w:rPr>
        <w:t>6</w:t>
      </w:r>
      <w:r w:rsidRPr="003A1B2E">
        <w:fldChar w:fldCharType="end"/>
      </w:r>
      <w:bookmarkEnd w:id="78"/>
      <w:r w:rsidRPr="003A1B2E">
        <w:t>: Participation rate by severity of disability, 2018 and 2022</w:t>
      </w:r>
      <w:bookmarkEnd w:id="79"/>
    </w:p>
    <w:p w14:paraId="6FFEAC83" w14:textId="50ACC07B" w:rsidR="003A1B2E" w:rsidRPr="003A1B2E" w:rsidRDefault="003A1B2E" w:rsidP="003A1B2E">
      <w:pPr>
        <w:pStyle w:val="Caption"/>
      </w:pPr>
      <w:r w:rsidRPr="003A1B2E">
        <w:rPr>
          <w:noProof/>
        </w:rPr>
        <w:drawing>
          <wp:inline distT="0" distB="0" distL="0" distR="0" wp14:anchorId="675E2B79" wp14:editId="1418D166">
            <wp:extent cx="5948045" cy="2261870"/>
            <wp:effectExtent l="0" t="0" r="0" b="0"/>
            <wp:docPr id="1559061424" name="Picture 32" descr="Bar chart showing the Participation Rate by severity of disability for years 2018 and 2022.  The chart shows increasing decreasing participation rates as the severity of disability increases. Rate of participation is increased  over time for catagories. increase is more pronounced with higher disability sever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061424" name="Picture 32" descr="Bar chart showing the Participation Rate by severity of disability for years 2018 and 2022.  The chart shows increasing decreasing participation rates as the severity of disability increases. Rate of participation is increased  over time for catagories. increase is more pronounced with higher disability severity "/>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8045" cy="2261870"/>
                    </a:xfrm>
                    <a:prstGeom prst="rect">
                      <a:avLst/>
                    </a:prstGeom>
                    <a:noFill/>
                    <a:ln>
                      <a:noFill/>
                    </a:ln>
                  </pic:spPr>
                </pic:pic>
              </a:graphicData>
            </a:graphic>
          </wp:inline>
        </w:drawing>
      </w:r>
    </w:p>
    <w:p w14:paraId="15EE05B8" w14:textId="77777777" w:rsidR="003A1B2E" w:rsidRPr="003A1B2E" w:rsidRDefault="003A1B2E" w:rsidP="003A1B2E">
      <w:pPr>
        <w:pStyle w:val="Source"/>
      </w:pPr>
      <w:r w:rsidRPr="003A1B2E">
        <w:t>Source: ABS Survey of Disability, Ageing and Carers, 2022.</w:t>
      </w:r>
    </w:p>
    <w:p w14:paraId="64412B27" w14:textId="739B3D58" w:rsidR="00605EB3" w:rsidRDefault="00605EB3" w:rsidP="006D067B">
      <w:pPr>
        <w:pStyle w:val="BodyText"/>
      </w:pPr>
      <w:r>
        <w:t xml:space="preserve">The </w:t>
      </w:r>
      <w:r w:rsidR="008337B1">
        <w:t>proportion</w:t>
      </w:r>
      <w:r>
        <w:t xml:space="preserve"> of</w:t>
      </w:r>
      <w:r w:rsidRPr="007346E7">
        <w:t xml:space="preserve"> part-time</w:t>
      </w:r>
      <w:r>
        <w:t xml:space="preserve"> employment</w:t>
      </w:r>
      <w:r w:rsidRPr="007346E7">
        <w:t xml:space="preserve"> and</w:t>
      </w:r>
      <w:r>
        <w:t xml:space="preserve"> the </w:t>
      </w:r>
      <w:r w:rsidRPr="007346E7">
        <w:t>underemployment</w:t>
      </w:r>
      <w:r>
        <w:t xml:space="preserve"> rate</w:t>
      </w:r>
      <w:r w:rsidRPr="007346E7">
        <w:t xml:space="preserve"> also differ</w:t>
      </w:r>
      <w:r>
        <w:t xml:space="preserve"> significantly based on disability status.</w:t>
      </w:r>
      <w:r w:rsidRPr="001C7766">
        <w:t xml:space="preserve"> </w:t>
      </w:r>
      <w:r w:rsidRPr="003E3319">
        <w:t xml:space="preserve">In 2022, </w:t>
      </w:r>
      <w:r w:rsidR="0050483A">
        <w:t xml:space="preserve">over </w:t>
      </w:r>
      <w:r w:rsidRPr="003E3319">
        <w:t xml:space="preserve">40% of </w:t>
      </w:r>
      <w:r>
        <w:t xml:space="preserve">working </w:t>
      </w:r>
      <w:r w:rsidRPr="003E3319">
        <w:t xml:space="preserve">people with disability were employed part-time, compared with </w:t>
      </w:r>
      <w:r>
        <w:t>29.7</w:t>
      </w:r>
      <w:r w:rsidRPr="003E3319">
        <w:t xml:space="preserve">% of those without disability. Similarly, </w:t>
      </w:r>
      <w:r>
        <w:t>7.2</w:t>
      </w:r>
      <w:r w:rsidRPr="003E3319">
        <w:t xml:space="preserve">% of people with disability were underemployed, compared with </w:t>
      </w:r>
      <w:r>
        <w:t>4.9</w:t>
      </w:r>
      <w:r w:rsidRPr="003E3319">
        <w:t>% of people without</w:t>
      </w:r>
      <w:r w:rsidRPr="001C7766">
        <w:t xml:space="preserve"> disability.</w:t>
      </w:r>
    </w:p>
    <w:p w14:paraId="33216B75" w14:textId="5C0FDB86" w:rsidR="00605EB3" w:rsidRPr="001C7766" w:rsidRDefault="00605EB3" w:rsidP="006D067B">
      <w:pPr>
        <w:pStyle w:val="BodyText"/>
      </w:pPr>
      <w:r w:rsidRPr="001C7766">
        <w:t>Labour market disadvantage also increases with the severity of disability. As shown in</w:t>
      </w:r>
      <w:r w:rsidR="006204E7">
        <w:t xml:space="preserve"> </w:t>
      </w:r>
      <w:r w:rsidR="006204E7">
        <w:fldChar w:fldCharType="begin"/>
      </w:r>
      <w:r w:rsidR="006204E7">
        <w:instrText xml:space="preserve"> REF _Ref211338494 </w:instrText>
      </w:r>
      <w:r w:rsidR="006204E7">
        <w:fldChar w:fldCharType="separate"/>
      </w:r>
      <w:r w:rsidR="009E6E1D" w:rsidRPr="0017320A">
        <w:t xml:space="preserve">Figure </w:t>
      </w:r>
      <w:r w:rsidR="009E6E1D">
        <w:rPr>
          <w:noProof/>
        </w:rPr>
        <w:t>7</w:t>
      </w:r>
      <w:r w:rsidR="006204E7">
        <w:fldChar w:fldCharType="end"/>
      </w:r>
      <w:r w:rsidRPr="004C35EE">
        <w:t xml:space="preserve">, </w:t>
      </w:r>
      <w:r w:rsidR="00187043">
        <w:t>t</w:t>
      </w:r>
      <w:r w:rsidR="00187043" w:rsidRPr="00187043">
        <w:t>he unemployment rate for people with a reported disability was 7.5% in 2022, more than double the unemployment rate of those without disability (3.1%).</w:t>
      </w:r>
      <w:r w:rsidR="00187043">
        <w:t xml:space="preserve"> T</w:t>
      </w:r>
      <w:r w:rsidRPr="001C7766">
        <w:t xml:space="preserve">he </w:t>
      </w:r>
      <w:r w:rsidRPr="004C35EE">
        <w:t>unemployment rate for people reporting a mild limitation was 6.4%, rising to 10.7% for those with a profound limitation. Likewise, participation in the labour force declined sharply with severity: from 64.8% for those with a mild limitation to just 37.2%</w:t>
      </w:r>
      <w:r w:rsidRPr="001C7766">
        <w:t xml:space="preserve"> for those with a profound limitation.</w:t>
      </w:r>
      <w:r w:rsidR="00C621CE">
        <w:t xml:space="preserve"> </w:t>
      </w:r>
    </w:p>
    <w:p w14:paraId="63ADAF6E" w14:textId="3BD9AB92" w:rsidR="00D52996" w:rsidRDefault="0017320A" w:rsidP="007D229A">
      <w:pPr>
        <w:pStyle w:val="Caption"/>
      </w:pPr>
      <w:bookmarkStart w:id="80" w:name="_Ref211338494"/>
      <w:bookmarkStart w:id="81" w:name="_Toc211604156"/>
      <w:r w:rsidRPr="0017320A">
        <w:t xml:space="preserve">Figure </w:t>
      </w:r>
      <w:r w:rsidRPr="0017320A">
        <w:fldChar w:fldCharType="begin"/>
      </w:r>
      <w:r w:rsidRPr="0017320A">
        <w:instrText xml:space="preserve"> SEQ Figure \* ARABIC </w:instrText>
      </w:r>
      <w:r w:rsidRPr="0017320A">
        <w:fldChar w:fldCharType="separate"/>
      </w:r>
      <w:r w:rsidR="009E6E1D">
        <w:rPr>
          <w:noProof/>
        </w:rPr>
        <w:t>7</w:t>
      </w:r>
      <w:r w:rsidRPr="0017320A">
        <w:fldChar w:fldCharType="end"/>
      </w:r>
      <w:bookmarkEnd w:id="80"/>
      <w:r w:rsidRPr="0017320A">
        <w:t>: Unemployment rate by severity of disability, 2018 and 2022</w:t>
      </w:r>
      <w:bookmarkEnd w:id="81"/>
    </w:p>
    <w:p w14:paraId="1D61A4DA" w14:textId="3F70C120" w:rsidR="00605EB3" w:rsidRPr="00605EB3" w:rsidRDefault="00A72DEA" w:rsidP="007D229A">
      <w:pPr>
        <w:pStyle w:val="Caption"/>
      </w:pPr>
      <w:r w:rsidRPr="00A72DEA">
        <w:rPr>
          <w:noProof/>
        </w:rPr>
        <w:drawing>
          <wp:inline distT="0" distB="0" distL="0" distR="0" wp14:anchorId="3DFD35DF" wp14:editId="12C1AE3B">
            <wp:extent cx="5948045" cy="2251075"/>
            <wp:effectExtent l="0" t="0" r="0" b="0"/>
            <wp:docPr id="566076837" name="Picture 31" descr="Bar chart showing the Unemployment rate by severity of disability for years 2018 and 2022.  The charts show increasing unemployment rates as the severity of disability increases. Unemployment rates have decreased over time for all coho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076837" name="Picture 31" descr="Bar chart showing the Unemployment rate by severity of disability for years 2018 and 2022.  The charts show increasing unemployment rates as the severity of disability increases. Unemployment rates have decreased over time for all cohorts. "/>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8045" cy="2251075"/>
                    </a:xfrm>
                    <a:prstGeom prst="rect">
                      <a:avLst/>
                    </a:prstGeom>
                    <a:noFill/>
                    <a:ln>
                      <a:noFill/>
                    </a:ln>
                  </pic:spPr>
                </pic:pic>
              </a:graphicData>
            </a:graphic>
          </wp:inline>
        </w:drawing>
      </w:r>
    </w:p>
    <w:p w14:paraId="3B283896" w14:textId="36244BF6" w:rsidR="00605EB3" w:rsidRPr="00605EB3" w:rsidRDefault="00605EB3" w:rsidP="006D067B">
      <w:pPr>
        <w:pStyle w:val="Source"/>
      </w:pPr>
      <w:r w:rsidRPr="00605EB3">
        <w:t>Source: ABS Survey of Disability, Ageing and Carers, 2022</w:t>
      </w:r>
      <w:r w:rsidR="00020BE8">
        <w:t>.</w:t>
      </w:r>
    </w:p>
    <w:p w14:paraId="218C87F7" w14:textId="797525A4" w:rsidR="00605EB3" w:rsidRDefault="00605EB3" w:rsidP="006D067B">
      <w:pPr>
        <w:pStyle w:val="BodyText"/>
      </w:pPr>
      <w:r w:rsidRPr="001C7766">
        <w:t xml:space="preserve">People with disability are </w:t>
      </w:r>
      <w:r w:rsidRPr="00295898">
        <w:t>also under-represented in higher-skill occupations (such as Professionals and Managers) and over-represented in lower-skill</w:t>
      </w:r>
      <w:r w:rsidRPr="001C7766">
        <w:t xml:space="preserve"> jobs (such as Labourers and Sales Workers). While Professionals make </w:t>
      </w:r>
      <w:r w:rsidRPr="00295898">
        <w:t>up the largest occupational</w:t>
      </w:r>
      <w:r w:rsidRPr="001C7766">
        <w:t xml:space="preserve"> group for those with </w:t>
      </w:r>
      <w:r w:rsidRPr="00295898">
        <w:t>disability (23.6%), this</w:t>
      </w:r>
      <w:r w:rsidRPr="001C7766">
        <w:t xml:space="preserve"> is still below the share for those without </w:t>
      </w:r>
      <w:r w:rsidRPr="00295898">
        <w:t>disability (25.8%).</w:t>
      </w:r>
      <w:r w:rsidRPr="001C7766">
        <w:t xml:space="preserve"> Conversely, </w:t>
      </w:r>
      <w:r w:rsidRPr="00295898">
        <w:t>Labourers (10.5%) and Sales Workers (8.6%) account for a higher proportion of employment among people with disability than among those without (8.0% and 8.1% respectively)</w:t>
      </w:r>
      <w:r>
        <w:t xml:space="preserve"> (</w:t>
      </w:r>
      <w:r>
        <w:fldChar w:fldCharType="begin"/>
      </w:r>
      <w:r>
        <w:instrText xml:space="preserve"> REF _Ref207639094 \h </w:instrText>
      </w:r>
      <w:r w:rsidR="006D067B">
        <w:instrText xml:space="preserve"> \* MERGEFORMAT </w:instrText>
      </w:r>
      <w:r>
        <w:fldChar w:fldCharType="separate"/>
      </w:r>
      <w:r w:rsidR="009E6E1D">
        <w:t xml:space="preserve">Figure </w:t>
      </w:r>
      <w:r w:rsidR="009E6E1D">
        <w:rPr>
          <w:noProof/>
        </w:rPr>
        <w:t>8</w:t>
      </w:r>
      <w:r>
        <w:fldChar w:fldCharType="end"/>
      </w:r>
      <w:r>
        <w:t>)</w:t>
      </w:r>
      <w:r w:rsidRPr="00295898">
        <w:t>.</w:t>
      </w:r>
    </w:p>
    <w:p w14:paraId="2748E26D" w14:textId="7EA76B1F" w:rsidR="00605EB3" w:rsidRPr="00605EB3" w:rsidRDefault="00605EB3" w:rsidP="00605EB3">
      <w:pPr>
        <w:pStyle w:val="Caption"/>
      </w:pPr>
      <w:bookmarkStart w:id="82" w:name="_Ref207639094"/>
      <w:bookmarkStart w:id="83" w:name="_Toc207899183"/>
      <w:bookmarkStart w:id="84" w:name="_Toc211604157"/>
      <w:r>
        <w:t xml:space="preserve">Figure </w:t>
      </w:r>
      <w:r w:rsidRPr="00605EB3">
        <w:fldChar w:fldCharType="begin"/>
      </w:r>
      <w:r w:rsidRPr="00605EB3">
        <w:instrText xml:space="preserve"> SEQ Figure \* ARABIC </w:instrText>
      </w:r>
      <w:r w:rsidRPr="00605EB3">
        <w:fldChar w:fldCharType="separate"/>
      </w:r>
      <w:r w:rsidR="009E6E1D">
        <w:rPr>
          <w:noProof/>
        </w:rPr>
        <w:t>8</w:t>
      </w:r>
      <w:r w:rsidRPr="00605EB3">
        <w:fldChar w:fldCharType="end"/>
      </w:r>
      <w:bookmarkEnd w:id="82"/>
      <w:r w:rsidRPr="00605EB3">
        <w:t>: Proportion of employment by Occupation Major Group and Disability status - 2022</w:t>
      </w:r>
      <w:bookmarkEnd w:id="83"/>
      <w:bookmarkEnd w:id="84"/>
    </w:p>
    <w:p w14:paraId="32234551" w14:textId="184E72EC" w:rsidR="00605EB3" w:rsidRPr="00605EB3" w:rsidRDefault="000D5786" w:rsidP="00605EB3">
      <w:r w:rsidRPr="000D5786">
        <w:rPr>
          <w:noProof/>
        </w:rPr>
        <w:drawing>
          <wp:inline distT="0" distB="0" distL="0" distR="0" wp14:anchorId="2B8F272A" wp14:editId="15A70A9E">
            <wp:extent cx="5943600" cy="3962400"/>
            <wp:effectExtent l="0" t="0" r="0" b="0"/>
            <wp:docPr id="774084313" name="Picture 4" descr="Bar chart showing the proportion of employment by occupation for those with disability and for those without disability.  It shows that people with disability are under-represented in higher skilled occup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084313" name="Picture 4" descr="Bar chart showing the proportion of employment by occupation for those with disability and for those without disability.  It shows that people with disability are under-represented in higher skilled occupations."/>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0E27067A" w14:textId="76BC0FDD" w:rsidR="00605EB3" w:rsidRPr="00605EB3" w:rsidRDefault="00605EB3" w:rsidP="006D067B">
      <w:pPr>
        <w:pStyle w:val="Source"/>
      </w:pPr>
      <w:r w:rsidRPr="00605EB3">
        <w:t>Source: ABS Survey of Disability, Ageing and Carers, 2022</w:t>
      </w:r>
      <w:r w:rsidR="008756B0">
        <w:t>.</w:t>
      </w:r>
    </w:p>
    <w:p w14:paraId="7427EFA2" w14:textId="77777777" w:rsidR="00605EB3" w:rsidRDefault="00605EB3" w:rsidP="006D067B">
      <w:pPr>
        <w:pStyle w:val="BodyText"/>
      </w:pPr>
      <w:r w:rsidRPr="001C7766">
        <w:t xml:space="preserve">These patterns become more pronounced with increasing severity of disability. For example, Managers account for 10.2% of those with a moderate or mild limitation, but only 7.3% of those with a profound or severe limitation. In contrast, Labourers represent 10.2% of those with a moderate or mild limitation, </w:t>
      </w:r>
      <w:r>
        <w:t>however, this rises</w:t>
      </w:r>
      <w:r w:rsidRPr="001C7766">
        <w:t xml:space="preserve"> significantly to 16.5% among those with a profound or severe limitation.</w:t>
      </w:r>
    </w:p>
    <w:p w14:paraId="3B210DD7" w14:textId="3A94F195" w:rsidR="00605EB3" w:rsidRDefault="00605EB3" w:rsidP="006D067B">
      <w:pPr>
        <w:pStyle w:val="BodyText"/>
      </w:pPr>
      <w:r w:rsidRPr="001C7766">
        <w:t>A similar pattern emerges when looking at industries of employment</w:t>
      </w:r>
      <w:r>
        <w:t xml:space="preserve"> (</w:t>
      </w:r>
      <w:r>
        <w:fldChar w:fldCharType="begin"/>
      </w:r>
      <w:r>
        <w:instrText xml:space="preserve"> REF _Ref207639134 \h </w:instrText>
      </w:r>
      <w:r w:rsidR="006D067B">
        <w:instrText xml:space="preserve"> \* MERGEFORMAT </w:instrText>
      </w:r>
      <w:r>
        <w:fldChar w:fldCharType="separate"/>
      </w:r>
      <w:r w:rsidR="009E6E1D">
        <w:t xml:space="preserve">Figure </w:t>
      </w:r>
      <w:r w:rsidR="009E6E1D">
        <w:rPr>
          <w:noProof/>
        </w:rPr>
        <w:t>9</w:t>
      </w:r>
      <w:r>
        <w:fldChar w:fldCharType="end"/>
      </w:r>
      <w:r>
        <w:t>)</w:t>
      </w:r>
      <w:r w:rsidRPr="001C7766">
        <w:t xml:space="preserve">. People with disability are over-represented in </w:t>
      </w:r>
      <w:r>
        <w:t>industries</w:t>
      </w:r>
      <w:r w:rsidRPr="001C7766">
        <w:t xml:space="preserve"> such as Health </w:t>
      </w:r>
      <w:r>
        <w:t>C</w:t>
      </w:r>
      <w:r w:rsidRPr="001C7766">
        <w:t xml:space="preserve">are and </w:t>
      </w:r>
      <w:r>
        <w:t>S</w:t>
      </w:r>
      <w:r w:rsidRPr="001C7766">
        <w:t xml:space="preserve">ocial </w:t>
      </w:r>
      <w:r>
        <w:t>A</w:t>
      </w:r>
      <w:r w:rsidRPr="001C7766">
        <w:t>ssistance (18.0% compared with 14.6% for those without disability)</w:t>
      </w:r>
      <w:r>
        <w:t xml:space="preserve"> and</w:t>
      </w:r>
      <w:r w:rsidRPr="001C7766">
        <w:t xml:space="preserve"> Public </w:t>
      </w:r>
      <w:r>
        <w:t>A</w:t>
      </w:r>
      <w:r w:rsidRPr="001C7766">
        <w:t xml:space="preserve">dministration and </w:t>
      </w:r>
      <w:r>
        <w:t>S</w:t>
      </w:r>
      <w:r w:rsidRPr="001C7766">
        <w:t>afety (7.9% compared with 5.6%). In contrast, they are under-represented industries such as Construction (6.8% compared with 9.4%)</w:t>
      </w:r>
      <w:r>
        <w:t xml:space="preserve"> and </w:t>
      </w:r>
      <w:r w:rsidRPr="001C7766">
        <w:t xml:space="preserve">Professional, </w:t>
      </w:r>
      <w:r>
        <w:t>S</w:t>
      </w:r>
      <w:r w:rsidRPr="001C7766">
        <w:t xml:space="preserve">cientific and </w:t>
      </w:r>
      <w:r>
        <w:t>T</w:t>
      </w:r>
      <w:r w:rsidRPr="001C7766">
        <w:t xml:space="preserve">echnical </w:t>
      </w:r>
      <w:r>
        <w:t>S</w:t>
      </w:r>
      <w:r w:rsidRPr="001C7766">
        <w:t>ervices (8.4% compared with 9.9%)</w:t>
      </w:r>
      <w:r>
        <w:t>.</w:t>
      </w:r>
    </w:p>
    <w:p w14:paraId="7E1CD1D6" w14:textId="0BDEA555" w:rsidR="00605EB3" w:rsidRDefault="00605EB3" w:rsidP="00605EB3">
      <w:pPr>
        <w:pStyle w:val="Caption"/>
      </w:pPr>
      <w:bookmarkStart w:id="85" w:name="_Ref207639134"/>
      <w:bookmarkStart w:id="86" w:name="_Toc207899184"/>
      <w:bookmarkStart w:id="87" w:name="_Toc211604158"/>
      <w:r>
        <w:t xml:space="preserve">Figure </w:t>
      </w:r>
      <w:r>
        <w:fldChar w:fldCharType="begin"/>
      </w:r>
      <w:r>
        <w:instrText xml:space="preserve"> SEQ Figure \* ARABIC </w:instrText>
      </w:r>
      <w:r>
        <w:fldChar w:fldCharType="separate"/>
      </w:r>
      <w:r w:rsidR="009E6E1D">
        <w:rPr>
          <w:noProof/>
        </w:rPr>
        <w:t>9</w:t>
      </w:r>
      <w:r>
        <w:fldChar w:fldCharType="end"/>
      </w:r>
      <w:bookmarkEnd w:id="85"/>
      <w:r>
        <w:t xml:space="preserve">: </w:t>
      </w:r>
      <w:r w:rsidRPr="001447F4">
        <w:t>Proportion of employment</w:t>
      </w:r>
      <w:r w:rsidR="00C14D01">
        <w:t xml:space="preserve"> </w:t>
      </w:r>
      <w:r w:rsidRPr="001447F4">
        <w:t>by Industry and Disability status - 2022</w:t>
      </w:r>
      <w:bookmarkEnd w:id="86"/>
      <w:bookmarkEnd w:id="87"/>
      <w:r>
        <w:t xml:space="preserve"> </w:t>
      </w:r>
    </w:p>
    <w:p w14:paraId="32AAEBB0" w14:textId="7E1F9F03" w:rsidR="00605EB3" w:rsidRDefault="003D355D" w:rsidP="00605EB3">
      <w:r w:rsidRPr="003D355D">
        <w:rPr>
          <w:noProof/>
        </w:rPr>
        <w:drawing>
          <wp:inline distT="0" distB="0" distL="0" distR="0" wp14:anchorId="02D8D6BE" wp14:editId="30CE60F5">
            <wp:extent cx="5943600" cy="3434080"/>
            <wp:effectExtent l="0" t="0" r="0" b="0"/>
            <wp:docPr id="367089119" name="Picture 18" descr="Bar chart showing the proportion of employment by Industry for those with disability and for those without disability.  It shows that people with disability are under-represented in higher skilled indus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089119" name="Picture 18" descr="Bar chart showing the proportion of employment by Industry for those with disability and for those without disability.  It shows that people with disability are under-represented in higher skilled industries."/>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3600" cy="3434080"/>
                    </a:xfrm>
                    <a:prstGeom prst="rect">
                      <a:avLst/>
                    </a:prstGeom>
                    <a:noFill/>
                    <a:ln>
                      <a:noFill/>
                    </a:ln>
                  </pic:spPr>
                </pic:pic>
              </a:graphicData>
            </a:graphic>
          </wp:inline>
        </w:drawing>
      </w:r>
    </w:p>
    <w:p w14:paraId="1832D4BA" w14:textId="695A46E3" w:rsidR="00605EB3" w:rsidRDefault="00605EB3" w:rsidP="00BB5FE1">
      <w:pPr>
        <w:pStyle w:val="Source"/>
      </w:pPr>
      <w:r w:rsidRPr="00605EB3">
        <w:t>Source: ABS Survey of Disability, Ageing and Carers, 2022</w:t>
      </w:r>
      <w:r w:rsidR="00730BA0">
        <w:t>.</w:t>
      </w:r>
    </w:p>
    <w:p w14:paraId="711795FF" w14:textId="77777777" w:rsidR="00605EB3" w:rsidRPr="00D14A8E" w:rsidRDefault="00605EB3" w:rsidP="006D067B">
      <w:pPr>
        <w:pStyle w:val="BodyText"/>
      </w:pPr>
      <w:r w:rsidRPr="00DE4BA8">
        <w:t>These findings reveal ongoing systemic barriers to equitable employment for people with disability, including lower employment rates, underemployment, and occupational and industry segregation.</w:t>
      </w:r>
      <w:r>
        <w:t xml:space="preserve"> </w:t>
      </w:r>
      <w:r w:rsidRPr="00D14A8E">
        <w:t xml:space="preserve">Addressing these disparities requires coordinated efforts to create inclusive workplaces, support career progression, and ensure that employment opportunities align with individuals’ skills and aspirations. </w:t>
      </w:r>
      <w:r w:rsidRPr="00CF7085">
        <w:t>Strengthening pathways to higher-skill roles and inclusive practices is key to unlocking the social and economic benefits of greater participation.</w:t>
      </w:r>
    </w:p>
    <w:p w14:paraId="30E23AD8" w14:textId="77777777" w:rsidR="00605EB3" w:rsidRDefault="00605EB3" w:rsidP="007259EC">
      <w:pPr>
        <w:pStyle w:val="Heading2"/>
      </w:pPr>
      <w:bookmarkStart w:id="88" w:name="_Toc207643456"/>
      <w:bookmarkStart w:id="89" w:name="_Toc208923385"/>
      <w:bookmarkStart w:id="90" w:name="_Toc211586997"/>
      <w:r>
        <w:t>Women’s workforce participation</w:t>
      </w:r>
      <w:bookmarkEnd w:id="88"/>
      <w:bookmarkEnd w:id="89"/>
      <w:bookmarkEnd w:id="90"/>
      <w:r>
        <w:t xml:space="preserve"> </w:t>
      </w:r>
    </w:p>
    <w:p w14:paraId="71F836D3" w14:textId="13EF62F7" w:rsidR="00605EB3" w:rsidRPr="006D5DED" w:rsidRDefault="00605EB3" w:rsidP="00AC582D">
      <w:pPr>
        <w:pStyle w:val="BodyText"/>
      </w:pPr>
      <w:r w:rsidRPr="006D5DED">
        <w:t xml:space="preserve">Australia’s </w:t>
      </w:r>
      <w:r>
        <w:t>overall labour force participation rate</w:t>
      </w:r>
      <w:r w:rsidRPr="006D5DED">
        <w:t xml:space="preserve"> has risen over the past six decades, driven largely by the increased participation of women and mature aged workers </w:t>
      </w:r>
      <w:sdt>
        <w:sdtPr>
          <w:id w:val="1349295126"/>
          <w:citation/>
        </w:sdtPr>
        <w:sdtContent>
          <w:r>
            <w:fldChar w:fldCharType="begin"/>
          </w:r>
          <w:r>
            <w:instrText xml:space="preserve"> CITATION Aus23 \l 3081 </w:instrText>
          </w:r>
          <w:r>
            <w:fldChar w:fldCharType="separate"/>
          </w:r>
          <w:r w:rsidR="00D52996">
            <w:rPr>
              <w:noProof/>
            </w:rPr>
            <w:t>(Commonwealth of Australia, 2023)</w:t>
          </w:r>
          <w:r>
            <w:fldChar w:fldCharType="end"/>
          </w:r>
        </w:sdtContent>
      </w:sdt>
      <w:r w:rsidRPr="006D5DED">
        <w:t xml:space="preserve">. </w:t>
      </w:r>
      <w:r>
        <w:t xml:space="preserve">Over the 15 years from 2006-2021, female employment grew much more than male employment (40% and 27% respectively), and the overall shift to higher </w:t>
      </w:r>
      <w:r w:rsidR="00A80329">
        <w:t>s</w:t>
      </w:r>
      <w:r>
        <w:t xml:space="preserve">kill </w:t>
      </w:r>
      <w:r w:rsidR="00A80329">
        <w:t>l</w:t>
      </w:r>
      <w:r>
        <w:t>evel occupations was also higher for women compared to men. In line with this, the proportion of women with tertiary education qualifications also grew. The share of women aged 25-39 with</w:t>
      </w:r>
      <w:r w:rsidRPr="001F1FE5">
        <w:t xml:space="preserve"> </w:t>
      </w:r>
      <w:r>
        <w:t xml:space="preserve">Certificate III qualifications or above grew from 48% to 72% and the share with a bachelor’s degree or higher rose from 28% to 46% </w:t>
      </w:r>
      <w:sdt>
        <w:sdtPr>
          <w:id w:val="-209106803"/>
          <w:citation/>
        </w:sdtPr>
        <w:sdtContent>
          <w:r>
            <w:fldChar w:fldCharType="begin"/>
          </w:r>
          <w:r>
            <w:instrText xml:space="preserve"> CITATION Job251 \l 3081 </w:instrText>
          </w:r>
          <w:r>
            <w:fldChar w:fldCharType="separate"/>
          </w:r>
          <w:r w:rsidR="00D52996">
            <w:rPr>
              <w:noProof/>
            </w:rPr>
            <w:t>(Jobs and Skills Australia, 2025)</w:t>
          </w:r>
          <w:r>
            <w:fldChar w:fldCharType="end"/>
          </w:r>
        </w:sdtContent>
      </w:sdt>
      <w:r>
        <w:t>.</w:t>
      </w:r>
    </w:p>
    <w:p w14:paraId="5A5C2BFF" w14:textId="1E0585DC" w:rsidR="00605EB3" w:rsidRDefault="00605EB3" w:rsidP="00AC582D">
      <w:pPr>
        <w:pStyle w:val="BodyText"/>
      </w:pPr>
      <w:r>
        <w:t xml:space="preserve">Despite these gains, the rate of women’s labour force participation </w:t>
      </w:r>
      <w:r w:rsidR="00F0278C">
        <w:t>is still lower than</w:t>
      </w:r>
      <w:r>
        <w:t xml:space="preserve"> that of men. In addition to the organisational, social, and personal benefits of increasing women’s workforce participation, some sources estimate that the economic benefit of achieving gender equality in the workforce could be as much as $128 billion annually </w:t>
      </w:r>
      <w:sdt>
        <w:sdtPr>
          <w:id w:val="1233202419"/>
          <w:citation/>
        </w:sdtPr>
        <w:sdtContent>
          <w:r>
            <w:fldChar w:fldCharType="begin"/>
          </w:r>
          <w:r>
            <w:instrText xml:space="preserve"> CITATION Del24 \l 3081 </w:instrText>
          </w:r>
          <w:r>
            <w:fldChar w:fldCharType="separate"/>
          </w:r>
          <w:r w:rsidR="00D52996">
            <w:rPr>
              <w:noProof/>
            </w:rPr>
            <w:t>(Deloitte, 2024)</w:t>
          </w:r>
          <w:r>
            <w:fldChar w:fldCharType="end"/>
          </w:r>
        </w:sdtContent>
      </w:sdt>
      <w:r w:rsidRPr="006D5DED">
        <w:t>.</w:t>
      </w:r>
      <w:r>
        <w:t xml:space="preserve"> As the OECD notes, “the economic and fiscal costs of gender inequalities, such as the gender employment gap, are high” </w:t>
      </w:r>
      <w:sdt>
        <w:sdtPr>
          <w:id w:val="951064515"/>
          <w:citation/>
        </w:sdtPr>
        <w:sdtContent>
          <w:r>
            <w:fldChar w:fldCharType="begin"/>
          </w:r>
          <w:r>
            <w:instrText xml:space="preserve">CITATION Nic23 \l 3081 </w:instrText>
          </w:r>
          <w:r>
            <w:fldChar w:fldCharType="separate"/>
          </w:r>
          <w:r w:rsidR="00D52996">
            <w:rPr>
              <w:noProof/>
            </w:rPr>
            <w:t>(Nicol &amp; Kim, 2023)</w:t>
          </w:r>
          <w:r>
            <w:fldChar w:fldCharType="end"/>
          </w:r>
        </w:sdtContent>
      </w:sdt>
      <w:r>
        <w:t>.</w:t>
      </w:r>
    </w:p>
    <w:p w14:paraId="1D10AC7B" w14:textId="62ECB1F7" w:rsidR="00605EB3" w:rsidRDefault="00605EB3" w:rsidP="00AC582D">
      <w:pPr>
        <w:pStyle w:val="BodyText"/>
      </w:pPr>
      <w:r>
        <w:t xml:space="preserve">JSA </w:t>
      </w:r>
      <w:r w:rsidR="00AC582D">
        <w:t>has developed 3 papers</w:t>
      </w:r>
      <w:r>
        <w:t xml:space="preserve"> as part of </w:t>
      </w:r>
      <w:r w:rsidR="00332859">
        <w:t>our</w:t>
      </w:r>
      <w:r>
        <w:t xml:space="preserve"> </w:t>
      </w:r>
      <w:r w:rsidRPr="00171A71">
        <w:rPr>
          <w:rStyle w:val="Characteritalic"/>
        </w:rPr>
        <w:t>Gender Economic Equality Study</w:t>
      </w:r>
      <w:r>
        <w:t>, providing new evidence and insights on:</w:t>
      </w:r>
    </w:p>
    <w:p w14:paraId="23B5B22B" w14:textId="77777777" w:rsidR="00605EB3" w:rsidRPr="00605EB3" w:rsidRDefault="00605EB3" w:rsidP="00ED4661">
      <w:pPr>
        <w:pStyle w:val="ListNumber"/>
        <w:numPr>
          <w:ilvl w:val="0"/>
          <w:numId w:val="20"/>
        </w:numPr>
      </w:pPr>
      <w:r>
        <w:t xml:space="preserve">How gendered Australian jobs, work, and pay are – and how balancing these is vital to improving productivity and accelerating progress towards gender economic equality. </w:t>
      </w:r>
    </w:p>
    <w:p w14:paraId="0C80DA0A" w14:textId="77777777" w:rsidR="00605EB3" w:rsidRPr="00605EB3" w:rsidRDefault="00605EB3" w:rsidP="0070571E">
      <w:pPr>
        <w:pStyle w:val="ListNumber"/>
      </w:pPr>
      <w:r>
        <w:t xml:space="preserve">The gendered nature of </w:t>
      </w:r>
      <w:r w:rsidRPr="00605EB3">
        <w:t>education and training divides including skills mismatches, and the underutilisation of women’s qualifications as well as inequities in post-training outcomes.</w:t>
      </w:r>
    </w:p>
    <w:p w14:paraId="463970DF" w14:textId="0DF43104" w:rsidR="00605EB3" w:rsidRPr="00605EB3" w:rsidRDefault="00605EB3" w:rsidP="0070571E">
      <w:pPr>
        <w:pStyle w:val="ListNumber"/>
      </w:pPr>
      <w:r>
        <w:t xml:space="preserve">The policy implications of JSA’s data findings, and recommendations to speed up progress towards gender economic equality. </w:t>
      </w:r>
    </w:p>
    <w:p w14:paraId="24AC008B" w14:textId="77777777" w:rsidR="00605EB3" w:rsidRDefault="00605EB3" w:rsidP="007259EC">
      <w:pPr>
        <w:pStyle w:val="Heading3"/>
      </w:pPr>
      <w:bookmarkStart w:id="91" w:name="_Toc211586998"/>
      <w:r>
        <w:t>Occupational segregation</w:t>
      </w:r>
      <w:bookmarkEnd w:id="91"/>
    </w:p>
    <w:p w14:paraId="46589111" w14:textId="5143386B" w:rsidR="002544BA" w:rsidRPr="002544BA" w:rsidRDefault="00BB2FDF" w:rsidP="002544BA">
      <w:pPr>
        <w:pStyle w:val="BodyText"/>
      </w:pPr>
      <w:r>
        <w:t>G</w:t>
      </w:r>
      <w:r w:rsidR="00605EB3">
        <w:t xml:space="preserve">endered occupational segregation is particularly difficult to shift. In 2021, only 21% of the Australian workforce worked in gender balanced occupations, and </w:t>
      </w:r>
      <w:r w:rsidR="00211064">
        <w:t xml:space="preserve">around </w:t>
      </w:r>
      <w:r w:rsidR="00605EB3">
        <w:t xml:space="preserve">70% of </w:t>
      </w:r>
      <w:r w:rsidR="00D9401E">
        <w:t>occupation unit groups (</w:t>
      </w:r>
      <w:r w:rsidR="00432DF5">
        <w:t>4-digit</w:t>
      </w:r>
      <w:r w:rsidR="00D9401E">
        <w:t xml:space="preserve"> </w:t>
      </w:r>
      <w:r w:rsidR="00605EB3">
        <w:t>ANZSCO</w:t>
      </w:r>
      <w:r w:rsidR="00D9401E">
        <w:t>)</w:t>
      </w:r>
      <w:r w:rsidR="00605EB3">
        <w:t xml:space="preserve"> had the same gender segregation intensity they had in 2006</w:t>
      </w:r>
      <w:r w:rsidR="004C2022">
        <w:t>.</w:t>
      </w:r>
      <w:r w:rsidR="00605EB3">
        <w:t xml:space="preserve"> </w:t>
      </w:r>
      <w:r w:rsidR="002544BA" w:rsidRPr="002544BA">
        <w:t>Of the remaining occupations, around one third saw their gender segregation intensity scale (GSIS) increase, and around two-thirds saw their intensity reduce, around half of which shifted into gender balance (</w:t>
      </w:r>
      <w:r w:rsidR="00811CCD">
        <w:fldChar w:fldCharType="begin"/>
      </w:r>
      <w:r w:rsidR="00811CCD">
        <w:instrText xml:space="preserve"> REF _Ref210838016 </w:instrText>
      </w:r>
      <w:r w:rsidR="00811CCD">
        <w:fldChar w:fldCharType="separate"/>
      </w:r>
      <w:r w:rsidR="009E6E1D" w:rsidRPr="00DA0617">
        <w:t xml:space="preserve">Figure </w:t>
      </w:r>
      <w:r w:rsidR="009E6E1D">
        <w:rPr>
          <w:noProof/>
        </w:rPr>
        <w:t>10</w:t>
      </w:r>
      <w:r w:rsidR="00811CCD">
        <w:fldChar w:fldCharType="end"/>
      </w:r>
      <w:r w:rsidR="007D229A">
        <w:t>)</w:t>
      </w:r>
      <w:r w:rsidR="00D22F79">
        <w:t>.</w:t>
      </w:r>
      <w:r w:rsidR="002544BA" w:rsidRPr="002544BA">
        <w:t xml:space="preserve"> </w:t>
      </w:r>
    </w:p>
    <w:p w14:paraId="2F46DFC8" w14:textId="003B4DD6" w:rsidR="00DA0617" w:rsidRPr="00DA0617" w:rsidRDefault="00DA0617" w:rsidP="00DA0617">
      <w:pPr>
        <w:pStyle w:val="Caption"/>
      </w:pPr>
      <w:bookmarkStart w:id="92" w:name="_Ref210838016"/>
      <w:bookmarkStart w:id="93" w:name="_Toc211604159"/>
      <w:r w:rsidRPr="00DA0617">
        <w:t xml:space="preserve">Figure </w:t>
      </w:r>
      <w:r w:rsidRPr="00DA0617">
        <w:fldChar w:fldCharType="begin"/>
      </w:r>
      <w:r w:rsidRPr="00DA0617">
        <w:instrText xml:space="preserve"> SEQ Figure \* ARABIC </w:instrText>
      </w:r>
      <w:r w:rsidRPr="00DA0617">
        <w:fldChar w:fldCharType="separate"/>
      </w:r>
      <w:r w:rsidR="009E6E1D">
        <w:rPr>
          <w:noProof/>
        </w:rPr>
        <w:t>10</w:t>
      </w:r>
      <w:r w:rsidRPr="00DA0617">
        <w:fldChar w:fldCharType="end"/>
      </w:r>
      <w:bookmarkEnd w:id="92"/>
      <w:r w:rsidRPr="00DA0617">
        <w:t xml:space="preserve">: Proportion of </w:t>
      </w:r>
      <w:r w:rsidR="00D9401E">
        <w:t>occupation unit groups' (</w:t>
      </w:r>
      <w:r w:rsidRPr="00DA0617">
        <w:t>ANZSCO 4-digit</w:t>
      </w:r>
      <w:r w:rsidR="00D9401E">
        <w:t>)</w:t>
      </w:r>
      <w:r w:rsidRPr="00DA0617">
        <w:t xml:space="preserve"> gender segregation intensity shift, from 2006 to 2021</w:t>
      </w:r>
      <w:bookmarkEnd w:id="93"/>
    </w:p>
    <w:p w14:paraId="4D03C7C8" w14:textId="25F87B98" w:rsidR="00DA0617" w:rsidRPr="00DA0617" w:rsidRDefault="000955D2" w:rsidP="00DA0617">
      <w:r w:rsidRPr="000955D2">
        <w:rPr>
          <w:noProof/>
        </w:rPr>
        <w:drawing>
          <wp:inline distT="0" distB="0" distL="0" distR="0" wp14:anchorId="1D2A638C" wp14:editId="38DA32A4">
            <wp:extent cx="5943600" cy="3112770"/>
            <wp:effectExtent l="0" t="0" r="0" b="0"/>
            <wp:docPr id="395496236" name="Picture 19" descr="The figure shows the change in gender segregation intensity for ANZSCO 4-digit occupations from 2006 to 2021. 69% of occupations have the same gender segregation intensity as they had in 2006, while 21% of occupations decreased in gender segregation intensity, and 10% increased in gender segregation inten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496236" name="Picture 19" descr="The figure shows the change in gender segregation intensity for ANZSCO 4-digit occupations from 2006 to 2021. 69% of occupations have the same gender segregation intensity as they had in 2006, while 21% of occupations decreased in gender segregation intensity, and 10% increased in gender segregation intensity."/>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3600" cy="3112770"/>
                    </a:xfrm>
                    <a:prstGeom prst="rect">
                      <a:avLst/>
                    </a:prstGeom>
                    <a:noFill/>
                    <a:ln>
                      <a:noFill/>
                    </a:ln>
                  </pic:spPr>
                </pic:pic>
              </a:graphicData>
            </a:graphic>
          </wp:inline>
        </w:drawing>
      </w:r>
    </w:p>
    <w:p w14:paraId="59438853" w14:textId="77777777" w:rsidR="00D3634D" w:rsidRDefault="00DA0617" w:rsidP="001B151E">
      <w:pPr>
        <w:pStyle w:val="Source"/>
        <w:spacing w:before="0"/>
      </w:pPr>
      <w:r w:rsidRPr="00DA0617">
        <w:t>Source: ABS, Census of Population and Housing, 2006 and 2021</w:t>
      </w:r>
      <w:r w:rsidR="009A6C6F">
        <w:t>.</w:t>
      </w:r>
      <w:r w:rsidR="00C157DA">
        <w:t xml:space="preserve"> </w:t>
      </w:r>
    </w:p>
    <w:p w14:paraId="2514327A" w14:textId="3E08236B" w:rsidR="00DA0617" w:rsidRPr="00DA0617" w:rsidRDefault="00C157DA" w:rsidP="00DA0617">
      <w:pPr>
        <w:pStyle w:val="Source"/>
      </w:pPr>
      <w:r>
        <w:t xml:space="preserve">Note: </w:t>
      </w:r>
      <w:r w:rsidRPr="00C157DA">
        <w:t>Decreasing gender segregation intensity is aligned with a gender balancing of the occupation from 2006 to 2021, while increasing gender segregation intensity is aligned with an increasing proportion of one gender from 2006 to 2021.</w:t>
      </w:r>
    </w:p>
    <w:p w14:paraId="68C279D5" w14:textId="77777777" w:rsidR="00605EB3" w:rsidRDefault="00605EB3" w:rsidP="0070571E">
      <w:pPr>
        <w:pStyle w:val="BodyText"/>
      </w:pPr>
      <w:r>
        <w:t xml:space="preserve">Of the occupations that shifted into gender balance, many of these were managerial and professional occupations. Occupations that shifted from male dominated to gender balanced included Ambulance Officers and Paramedics where female representation climbed from 26% to 44%, Dental Practitioners (31% to 47%), and Barristers (22% to 38%).  </w:t>
      </w:r>
    </w:p>
    <w:p w14:paraId="07C8C0D1" w14:textId="732A1063" w:rsidR="00605EB3" w:rsidRDefault="00605EB3" w:rsidP="0070571E">
      <w:pPr>
        <w:pStyle w:val="BodyText"/>
      </w:pPr>
      <w:r>
        <w:t>Some occupations that saw a change in gender balance tipped into being moderately</w:t>
      </w:r>
      <w:r w:rsidRPr="00605EB3">
        <w:t xml:space="preserve"> female</w:t>
      </w:r>
      <w:r>
        <w:t xml:space="preserve"> dominated. </w:t>
      </w:r>
      <w:r w:rsidRPr="00270935">
        <w:t>For example, in 2006, 46% of Veterinarians were female, and this increased significantly to 67% in 2021. Likewise, School Principals went from a 50/50 split of males and females, to 65% female in 2021. While this does indicate women's increasing leadership and promotion in this sector, vertical segregation in this workforce remains an issue</w:t>
      </w:r>
      <w:r w:rsidRPr="00DE4BA8">
        <w:t xml:space="preserve">, with a higher percentage of </w:t>
      </w:r>
      <w:r w:rsidRPr="00CF7085">
        <w:t xml:space="preserve">female teachers than female school principals. </w:t>
      </w:r>
      <w:r w:rsidRPr="00270935">
        <w:t xml:space="preserve"> </w:t>
      </w:r>
    </w:p>
    <w:p w14:paraId="691C5854" w14:textId="330CE1FC" w:rsidR="00040DEE" w:rsidRPr="00040DEE" w:rsidRDefault="00040DEE" w:rsidP="00040DEE">
      <w:pPr>
        <w:pStyle w:val="BodyText"/>
      </w:pPr>
      <w:r w:rsidRPr="00040DEE">
        <w:t>Further to this, recent VET and higher education program enrolments and completions indicate current training pipelines will not significantly improve existing gendered labour market segregation and occupation shortages.</w:t>
      </w:r>
    </w:p>
    <w:p w14:paraId="3B99BCA3" w14:textId="2454EDAA" w:rsidR="00605EB3" w:rsidRDefault="00605EB3" w:rsidP="0070571E">
      <w:pPr>
        <w:pStyle w:val="BodyText"/>
      </w:pPr>
      <w:r>
        <w:t xml:space="preserve">Australia also sees evidence of gender segregation within the education and training system. </w:t>
      </w:r>
      <w:r w:rsidRPr="00D427FE">
        <w:t>Of</w:t>
      </w:r>
      <w:r w:rsidR="003512FC">
        <w:t> </w:t>
      </w:r>
      <w:r w:rsidRPr="00D427FE">
        <w:t xml:space="preserve">the 5.1 million VET students enrolled in nationally recognised VET in 2023, the gender divide remains very pronounced: females account for just 17% of STEM program enrolments yet they comprise a majority of non-STEM fields with 56% of enrolments. In </w:t>
      </w:r>
      <w:r>
        <w:t>E</w:t>
      </w:r>
      <w:r w:rsidRPr="00D427FE">
        <w:t xml:space="preserve">ngineering and </w:t>
      </w:r>
      <w:r>
        <w:t>R</w:t>
      </w:r>
      <w:r w:rsidRPr="00D427FE">
        <w:t xml:space="preserve">elated </w:t>
      </w:r>
      <w:r>
        <w:t>T</w:t>
      </w:r>
      <w:r w:rsidRPr="00D427FE">
        <w:t xml:space="preserve">echnologies, one of the fastest-growing </w:t>
      </w:r>
      <w:r>
        <w:t>fields</w:t>
      </w:r>
      <w:r w:rsidRPr="00D427FE">
        <w:t xml:space="preserve">, they comprise only 12% of VET program enrolments </w:t>
      </w:r>
      <w:sdt>
        <w:sdtPr>
          <w:id w:val="736902313"/>
          <w:citation/>
        </w:sdtPr>
        <w:sdtContent>
          <w:r w:rsidRPr="00BE2141">
            <w:fldChar w:fldCharType="begin"/>
          </w:r>
          <w:r w:rsidRPr="00DE4BA8">
            <w:instrText xml:space="preserve"> CITATION DIS24 \l 3081 </w:instrText>
          </w:r>
          <w:r w:rsidRPr="00BE2141">
            <w:fldChar w:fldCharType="separate"/>
          </w:r>
          <w:r w:rsidR="00D52996">
            <w:rPr>
              <w:noProof/>
            </w:rPr>
            <w:t>(DISR, 2024)</w:t>
          </w:r>
          <w:r w:rsidRPr="00BE2141">
            <w:fldChar w:fldCharType="end"/>
          </w:r>
        </w:sdtContent>
      </w:sdt>
      <w:r w:rsidRPr="00D427FE">
        <w:t>.</w:t>
      </w:r>
    </w:p>
    <w:p w14:paraId="13E68139" w14:textId="15FF02F9" w:rsidR="00605EB3" w:rsidRDefault="00605EB3" w:rsidP="0070571E">
      <w:pPr>
        <w:pStyle w:val="BodyText"/>
      </w:pPr>
      <w:r>
        <w:t xml:space="preserve">Addressing gender segregation in Australian occupations, including in our education and training systems, is important for fairness and inclusion, but is also critical to address occupation shortages in the labour market. Occupation shortages typically worsen as gender segregation intensifies – particularly in almost completely male dominated occupations. This is discussed in more detail later in this chapter. </w:t>
      </w:r>
    </w:p>
    <w:p w14:paraId="0CF8308A" w14:textId="77777777" w:rsidR="00605EB3" w:rsidRDefault="00605EB3" w:rsidP="007259EC">
      <w:pPr>
        <w:pStyle w:val="Heading3"/>
      </w:pPr>
      <w:bookmarkStart w:id="94" w:name="_Toc211586999"/>
      <w:r>
        <w:t>Gender pay gaps</w:t>
      </w:r>
      <w:bookmarkEnd w:id="94"/>
    </w:p>
    <w:p w14:paraId="286AE6E4" w14:textId="23FE24DF" w:rsidR="00605EB3" w:rsidRDefault="00605EB3" w:rsidP="0070571E">
      <w:pPr>
        <w:pStyle w:val="BodyText"/>
      </w:pPr>
      <w:r w:rsidRPr="003D0F1F">
        <w:t xml:space="preserve">Regardless of a worker's education attainment or qualification level, there is significant gendered economic inequality when looking at incomes. </w:t>
      </w:r>
      <w:r>
        <w:t>For example,</w:t>
      </w:r>
      <w:r w:rsidR="00E67DA4">
        <w:t xml:space="preserve"> for people aged </w:t>
      </w:r>
      <w:r w:rsidR="00E67DA4" w:rsidRPr="003D0F1F">
        <w:t xml:space="preserve">35-40 years across all levels of </w:t>
      </w:r>
      <w:r w:rsidR="00E67DA4">
        <w:t>education</w:t>
      </w:r>
      <w:r w:rsidR="00002BC6">
        <w:t>,</w:t>
      </w:r>
      <w:r>
        <w:t xml:space="preserve"> m</w:t>
      </w:r>
      <w:r w:rsidRPr="003D0F1F">
        <w:t>ales are almost twice as likely to earn incomes over $100,000 than females</w:t>
      </w:r>
      <w:r w:rsidR="00002BC6">
        <w:t>. This includes workers with a bachelor’s degree or higher qualification</w:t>
      </w:r>
      <w:r w:rsidR="00382BE2">
        <w:t>.</w:t>
      </w:r>
    </w:p>
    <w:p w14:paraId="28287A9E" w14:textId="59C30A0E" w:rsidR="00605EB3" w:rsidRDefault="00605EB3" w:rsidP="0070571E">
      <w:pPr>
        <w:pStyle w:val="BodyText"/>
      </w:pPr>
      <w:r>
        <w:t>In line with the trends of the most recent W</w:t>
      </w:r>
      <w:r w:rsidR="00D9401E">
        <w:t xml:space="preserve">orkplace </w:t>
      </w:r>
      <w:r>
        <w:t>G</w:t>
      </w:r>
      <w:r w:rsidR="00D9401E">
        <w:t xml:space="preserve">ender </w:t>
      </w:r>
      <w:r>
        <w:t>E</w:t>
      </w:r>
      <w:r w:rsidR="00D9401E">
        <w:t xml:space="preserve">quality </w:t>
      </w:r>
      <w:r>
        <w:t>A</w:t>
      </w:r>
      <w:r w:rsidR="00D9401E">
        <w:t>gency</w:t>
      </w:r>
      <w:r>
        <w:t xml:space="preserve"> and </w:t>
      </w:r>
      <w:r w:rsidR="001357DF">
        <w:t>Australian Bureau of Statistics (</w:t>
      </w:r>
      <w:r>
        <w:t>ABS</w:t>
      </w:r>
      <w:r w:rsidR="001357DF">
        <w:t>)</w:t>
      </w:r>
      <w:r>
        <w:t xml:space="preserve"> analysis of Australia’s gender pay gaps, both total workforce and occupational gender pay gaps have been decreasing over time. </w:t>
      </w:r>
      <w:r w:rsidRPr="00F54043">
        <w:t>Over the 12 years from 2010</w:t>
      </w:r>
      <w:r w:rsidR="003512FC">
        <w:t>–‍</w:t>
      </w:r>
      <w:r w:rsidRPr="00F54043">
        <w:t>11 to 2022</w:t>
      </w:r>
      <w:r w:rsidR="003512FC">
        <w:t>–</w:t>
      </w:r>
      <w:r w:rsidRPr="00F54043">
        <w:t>23, almost two-third</w:t>
      </w:r>
      <w:r>
        <w:t>s</w:t>
      </w:r>
      <w:r w:rsidRPr="00F54043">
        <w:t xml:space="preserve"> (63%) of occupations saw a decrease in their pay gap.</w:t>
      </w:r>
      <w:r>
        <w:t xml:space="preserve"> Despite this improvement, males are still outearning females in 98% of the 688 </w:t>
      </w:r>
      <w:r w:rsidR="00D9401E">
        <w:t>occupations (6</w:t>
      </w:r>
      <w:r w:rsidR="003512FC">
        <w:noBreakHyphen/>
      </w:r>
      <w:r w:rsidR="00D9401E">
        <w:t xml:space="preserve">digit </w:t>
      </w:r>
      <w:r>
        <w:t>ANZSCO</w:t>
      </w:r>
      <w:r w:rsidR="00D9401E">
        <w:t>)</w:t>
      </w:r>
      <w:r w:rsidR="004D448E">
        <w:t xml:space="preserve"> analysed in</w:t>
      </w:r>
      <w:r w:rsidR="00A91F43">
        <w:t xml:space="preserve"> this element of</w:t>
      </w:r>
      <w:r w:rsidR="004D448E">
        <w:t xml:space="preserve"> the study</w:t>
      </w:r>
      <w:r>
        <w:t xml:space="preserve">, with the other 2% having a relatively neutral pay gap rather than being tipped in favour of females. </w:t>
      </w:r>
    </w:p>
    <w:p w14:paraId="33F4C54F" w14:textId="77777777" w:rsidR="00605EB3" w:rsidRDefault="00605EB3" w:rsidP="0070571E">
      <w:pPr>
        <w:pStyle w:val="BodyText"/>
      </w:pPr>
      <w:r>
        <w:t xml:space="preserve">While the ‘typical’ pay gap is 16.8%, for over 100 occupations it is over 25%, and almost 30 have a gap over 35%. Although there are still large gender pay gaps in some gender balanced occupations, they tend to widen and worsen in occupations that are more segregated – with some of the largest gaps in occupations in the male dominated trades, health, and finance. </w:t>
      </w:r>
      <w:r w:rsidDel="00E62C98">
        <w:t xml:space="preserve">There are also large gaps in management jobs despite industry or gender segregation intensity – highlighting the enduring problem that women not only earn less than men in some types of occupations and industries (horizontal gender segregation) but also earn less in managerial roles, regardless of industry (vertical gender segregation). </w:t>
      </w:r>
    </w:p>
    <w:p w14:paraId="50422D3B" w14:textId="122B1C0D" w:rsidR="00605EB3" w:rsidRDefault="00605EB3" w:rsidP="0070571E">
      <w:pPr>
        <w:pStyle w:val="BodyText"/>
      </w:pPr>
      <w:r>
        <w:t xml:space="preserve">Differences in patterns, hours, and amount of work explain some, but at times very little, of the variation in occupational pay gaps. There are wide-ranging and large gender pay gaps for occupations even when males and females work similar hours. </w:t>
      </w:r>
      <w:r>
        <w:fldChar w:fldCharType="begin"/>
      </w:r>
      <w:r>
        <w:instrText xml:space="preserve"> REF _Ref206668225 \h </w:instrText>
      </w:r>
      <w:r w:rsidR="0070571E">
        <w:instrText xml:space="preserve"> \* MERGEFORMAT </w:instrText>
      </w:r>
      <w:r>
        <w:fldChar w:fldCharType="separate"/>
      </w:r>
      <w:r w:rsidR="009E6E1D">
        <w:t xml:space="preserve">Figure </w:t>
      </w:r>
      <w:r w:rsidR="009E6E1D">
        <w:rPr>
          <w:noProof/>
        </w:rPr>
        <w:t>11</w:t>
      </w:r>
      <w:r>
        <w:fldChar w:fldCharType="end"/>
      </w:r>
      <w:r>
        <w:t xml:space="preserve"> shows the range of median annual pay gaps across the occupations in the study compared with the range of median hours worked gaps.</w:t>
      </w:r>
    </w:p>
    <w:p w14:paraId="15CE1FDB" w14:textId="18C19FB5" w:rsidR="00605EB3" w:rsidRDefault="00605EB3" w:rsidP="00605EB3">
      <w:pPr>
        <w:pStyle w:val="Caption"/>
      </w:pPr>
      <w:bookmarkStart w:id="95" w:name="_Ref206668225"/>
      <w:bookmarkStart w:id="96" w:name="_Toc207899186"/>
      <w:bookmarkStart w:id="97" w:name="_Toc211604160"/>
      <w:r>
        <w:t xml:space="preserve">Figure </w:t>
      </w:r>
      <w:r>
        <w:fldChar w:fldCharType="begin"/>
      </w:r>
      <w:r>
        <w:instrText xml:space="preserve"> SEQ Figure \* ARABIC </w:instrText>
      </w:r>
      <w:r>
        <w:fldChar w:fldCharType="separate"/>
      </w:r>
      <w:r w:rsidR="009E6E1D">
        <w:rPr>
          <w:noProof/>
        </w:rPr>
        <w:t>11</w:t>
      </w:r>
      <w:r>
        <w:fldChar w:fldCharType="end"/>
      </w:r>
      <w:bookmarkEnd w:id="95"/>
      <w:r>
        <w:t>: Distribution of occupational median annual gender pay gaps</w:t>
      </w:r>
      <w:bookmarkEnd w:id="96"/>
      <w:bookmarkEnd w:id="97"/>
    </w:p>
    <w:p w14:paraId="1FA8CBDC" w14:textId="35028627" w:rsidR="00605EB3" w:rsidRDefault="00651559" w:rsidP="00605EB3">
      <w:r w:rsidRPr="00651559">
        <w:rPr>
          <w:noProof/>
        </w:rPr>
        <w:drawing>
          <wp:inline distT="0" distB="0" distL="0" distR="0" wp14:anchorId="1FCFC167" wp14:editId="27389530">
            <wp:extent cx="5947200" cy="3132446"/>
            <wp:effectExtent l="0" t="0" r="0" b="0"/>
            <wp:docPr id="401807424" name="Picture 8" descr="The figure shows the range of occupational median annual gender pay gaps across 688 ANZSCO 6-digit occupations, compared with the range of median hours worked gender gaps. The majority of occupational median gender pay gaps fall within 10-25% and the majority of median hours worked gender gaps fall from below 5% to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807424" name="Picture 8" descr="The figure shows the range of occupational median annual gender pay gaps across 688 ANZSCO 6-digit occupations, compared with the range of median hours worked gender gaps. The majority of occupational median gender pay gaps fall within 10-25% and the majority of median hours worked gender gaps fall from below 5% to 1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7200" cy="3132446"/>
                    </a:xfrm>
                    <a:prstGeom prst="rect">
                      <a:avLst/>
                    </a:prstGeom>
                    <a:noFill/>
                    <a:ln>
                      <a:noFill/>
                    </a:ln>
                  </pic:spPr>
                </pic:pic>
              </a:graphicData>
            </a:graphic>
          </wp:inline>
        </w:drawing>
      </w:r>
    </w:p>
    <w:p w14:paraId="319BFEE6" w14:textId="53BAC59E" w:rsidR="00F30CD3" w:rsidRDefault="00605EB3" w:rsidP="0070571E">
      <w:pPr>
        <w:pStyle w:val="Source"/>
      </w:pPr>
      <w:r>
        <w:t xml:space="preserve">Source: </w:t>
      </w:r>
      <w:r w:rsidR="00656FE3">
        <w:t xml:space="preserve">ABS, </w:t>
      </w:r>
      <w:r>
        <w:t xml:space="preserve">PLIDA. </w:t>
      </w:r>
      <w:r w:rsidR="00CD1477" w:rsidRPr="00CD1477">
        <w:t>Findings based on use of PLIDA data.</w:t>
      </w:r>
      <w:r w:rsidR="00632A55">
        <w:t xml:space="preserve"> </w:t>
      </w:r>
    </w:p>
    <w:p w14:paraId="29A16C59" w14:textId="5DF59683" w:rsidR="00605EB3" w:rsidRDefault="00632A55" w:rsidP="0070571E">
      <w:pPr>
        <w:pStyle w:val="Source"/>
      </w:pPr>
      <w:r>
        <w:t xml:space="preserve">Note: </w:t>
      </w:r>
      <w:r w:rsidR="00F30CD3" w:rsidRPr="00F30CD3">
        <w:t>Gender pay gap and median hours worked ranges are labelled 5-10% for simplicity, but are calculated as greater than 5% but less than or equal to 10%, and so on.</w:t>
      </w:r>
    </w:p>
    <w:p w14:paraId="30C6595E" w14:textId="7C67EF87" w:rsidR="00605EB3" w:rsidRPr="001C0548" w:rsidRDefault="00605EB3" w:rsidP="0070571E">
      <w:pPr>
        <w:pStyle w:val="BodyText"/>
      </w:pPr>
      <w:r w:rsidRPr="00C432F0">
        <w:t xml:space="preserve">The new </w:t>
      </w:r>
      <w:r>
        <w:t xml:space="preserve">longitudinal perspective – a </w:t>
      </w:r>
      <w:r w:rsidRPr="00C432F0">
        <w:t xml:space="preserve">10-year accumulated gender pay gap measure </w:t>
      </w:r>
      <w:r>
        <w:t>– provides</w:t>
      </w:r>
      <w:r w:rsidRPr="00C432F0">
        <w:t xml:space="preserve"> an indication of the longer</w:t>
      </w:r>
      <w:r>
        <w:t>-</w:t>
      </w:r>
      <w:r w:rsidRPr="00C432F0">
        <w:t xml:space="preserve">term and lifetime impacts of gender economic </w:t>
      </w:r>
      <w:r>
        <w:t xml:space="preserve">inequality. Applying the </w:t>
      </w:r>
      <w:r w:rsidRPr="00554DBC">
        <w:t>longitudinal perspective, in 2020</w:t>
      </w:r>
      <w:r w:rsidR="003512FC">
        <w:t>–</w:t>
      </w:r>
      <w:r w:rsidRPr="00554DBC">
        <w:t xml:space="preserve">21, the accumulated 10-year </w:t>
      </w:r>
      <w:r w:rsidR="00B80554">
        <w:t>median income</w:t>
      </w:r>
      <w:r w:rsidRPr="00554DBC">
        <w:t xml:space="preserve"> gender pay gap was 30.7%, which is greater than the single year point-in-time gender pay gap (25.7% in 2022</w:t>
      </w:r>
      <w:r w:rsidR="003512FC">
        <w:t>–‍</w:t>
      </w:r>
      <w:r w:rsidRPr="00554DBC">
        <w:t xml:space="preserve">23). The ‘motherhood penalty’ is </w:t>
      </w:r>
      <w:r>
        <w:t xml:space="preserve">also </w:t>
      </w:r>
      <w:r w:rsidRPr="00554DBC">
        <w:t>evident in the pay gap data</w:t>
      </w:r>
      <w:r w:rsidR="00341984">
        <w:t xml:space="preserve">, </w:t>
      </w:r>
      <w:r w:rsidR="00341984" w:rsidRPr="00341984">
        <w:t>with females aged 25</w:t>
      </w:r>
      <w:r w:rsidR="001A2377">
        <w:noBreakHyphen/>
      </w:r>
      <w:r w:rsidR="00341984" w:rsidRPr="00341984">
        <w:t xml:space="preserve">39 years old having the worst accumulated 10-year pay gaps and economic outcomes. </w:t>
      </w:r>
      <w:r w:rsidRPr="00554DBC">
        <w:t xml:space="preserve"> </w:t>
      </w:r>
    </w:p>
    <w:p w14:paraId="445F261E" w14:textId="53B8966F" w:rsidR="00605EB3" w:rsidRDefault="00605EB3" w:rsidP="0070571E">
      <w:pPr>
        <w:pStyle w:val="BodyText"/>
      </w:pPr>
      <w:r>
        <w:t xml:space="preserve">Australia’s workforce remains highly gender segregated, and this segregation is both complex and difficult to shift. These patterns ripple through our education and training systems, and result in large gender pay gaps at the occupational </w:t>
      </w:r>
      <w:r w:rsidR="00782F59">
        <w:t>level</w:t>
      </w:r>
      <w:r>
        <w:t xml:space="preserve">. Intersectional insights show that nuanced policy actions are required to address significant sources of compounded disadvantage in the world of work. </w:t>
      </w:r>
    </w:p>
    <w:p w14:paraId="520CCAF6" w14:textId="1334DD26" w:rsidR="002066A7" w:rsidRDefault="00F77B0C" w:rsidP="002E6277">
      <w:pPr>
        <w:pStyle w:val="BodyText"/>
        <w:keepNext/>
      </w:pPr>
      <w:r w:rsidRPr="002066A7">
        <w:t xml:space="preserve">It should be noted that Australia’s Fair Work Commission (FWC) is currently reviewing pay classifications and minimum wage rates on work value grounds to remedy potential gender undervaluation for five </w:t>
      </w:r>
      <w:r w:rsidR="00D2425A">
        <w:t>p</w:t>
      </w:r>
      <w:r w:rsidRPr="002066A7">
        <w:t xml:space="preserve">riority </w:t>
      </w:r>
      <w:r w:rsidR="00D2425A">
        <w:t>a</w:t>
      </w:r>
      <w:r w:rsidRPr="002066A7">
        <w:t xml:space="preserve">wards: </w:t>
      </w:r>
    </w:p>
    <w:p w14:paraId="36C7F02C" w14:textId="28EDA329" w:rsidR="002066A7" w:rsidRDefault="00F77B0C" w:rsidP="002E6277">
      <w:pPr>
        <w:pStyle w:val="ListNumber"/>
        <w:keepNext/>
        <w:numPr>
          <w:ilvl w:val="0"/>
          <w:numId w:val="71"/>
        </w:numPr>
        <w:ind w:left="357" w:hanging="357"/>
      </w:pPr>
      <w:r w:rsidRPr="002066A7">
        <w:t xml:space="preserve">Aboriginal and Torres Strait Islander Health Workers and Practitioners and Aboriginal Community Controlled Health Services Award 2020 </w:t>
      </w:r>
    </w:p>
    <w:p w14:paraId="3DBFED80" w14:textId="7022E7D5" w:rsidR="007D4A47" w:rsidRDefault="00F77B0C" w:rsidP="002E6277">
      <w:pPr>
        <w:pStyle w:val="ListNumber"/>
        <w:keepNext/>
        <w:ind w:left="357" w:hanging="357"/>
      </w:pPr>
      <w:r w:rsidRPr="002066A7">
        <w:t xml:space="preserve">Children’s Services Award 2010 </w:t>
      </w:r>
    </w:p>
    <w:p w14:paraId="7C4A19A6" w14:textId="360D82E4" w:rsidR="002066A7" w:rsidRDefault="00F77B0C" w:rsidP="002E6277">
      <w:pPr>
        <w:pStyle w:val="ListNumber"/>
        <w:keepNext/>
        <w:ind w:left="357" w:hanging="357"/>
      </w:pPr>
      <w:r w:rsidRPr="002066A7">
        <w:t xml:space="preserve">Pharmacy Industry Award 2020 </w:t>
      </w:r>
    </w:p>
    <w:p w14:paraId="6673E3F1" w14:textId="0624D40A" w:rsidR="002066A7" w:rsidRDefault="00F77B0C" w:rsidP="002E6277">
      <w:pPr>
        <w:pStyle w:val="ListNumber"/>
        <w:keepNext/>
        <w:ind w:left="357" w:hanging="357"/>
      </w:pPr>
      <w:r w:rsidRPr="002066A7">
        <w:t xml:space="preserve">Health Professionals and Support Services Award 2020 </w:t>
      </w:r>
    </w:p>
    <w:p w14:paraId="019FA2E1" w14:textId="4DE72846" w:rsidR="002066A7" w:rsidRDefault="00F77B0C" w:rsidP="00ED4661">
      <w:pPr>
        <w:pStyle w:val="ListNumber"/>
      </w:pPr>
      <w:r w:rsidRPr="002066A7">
        <w:t xml:space="preserve">Social, Community, Home Care and Disability Services Industry Award 2010. </w:t>
      </w:r>
    </w:p>
    <w:p w14:paraId="114624DE" w14:textId="2953D620" w:rsidR="00605EB3" w:rsidRDefault="00605EB3" w:rsidP="0070571E">
      <w:pPr>
        <w:pStyle w:val="BodyText"/>
      </w:pPr>
      <w:r>
        <w:t xml:space="preserve">Gender segregation of the labour market is a problem for addressing occupation shortages (discussed later in this chapter) but is also a problem for increasing the level of Australia’s productivity overall. </w:t>
      </w:r>
      <w:r w:rsidRPr="0057019E">
        <w:t>Closing gender gaps and tackling structural inequalities not only promotes fairness and inclusion but also delivers measurable economic benefits. These include increased productivity, enhanced competitiveness, and more sustainable growth across sectors and the broader economy.</w:t>
      </w:r>
    </w:p>
    <w:p w14:paraId="1E092DD1" w14:textId="77777777" w:rsidR="00605EB3" w:rsidRDefault="00605EB3" w:rsidP="007259EC">
      <w:pPr>
        <w:pStyle w:val="Heading2"/>
      </w:pPr>
      <w:bookmarkStart w:id="98" w:name="_Toc204265321"/>
      <w:bookmarkStart w:id="99" w:name="_Toc207643457"/>
      <w:bookmarkStart w:id="100" w:name="_Toc208923386"/>
      <w:bookmarkStart w:id="101" w:name="_Toc211587000"/>
      <w:bookmarkStart w:id="102" w:name="_Toc204265324"/>
      <w:r>
        <w:t>Youth and mature age employment</w:t>
      </w:r>
      <w:bookmarkEnd w:id="98"/>
      <w:bookmarkEnd w:id="99"/>
      <w:bookmarkEnd w:id="100"/>
      <w:bookmarkEnd w:id="101"/>
    </w:p>
    <w:p w14:paraId="612F6A17" w14:textId="792F8734" w:rsidR="00605EB3" w:rsidRDefault="00605EB3" w:rsidP="00CB1DAE">
      <w:pPr>
        <w:pStyle w:val="BodyText"/>
      </w:pPr>
      <w:r w:rsidRPr="00314EC0">
        <w:t xml:space="preserve">Different age groups engage with the labour market in distinct ways, shaped by their qualifications, experience, and life stage. </w:t>
      </w:r>
      <w:r w:rsidRPr="00515FCA">
        <w:t xml:space="preserve">These factors shape participation, skill use, and productivity across industries. Understanding these dynamics helps identify ways to </w:t>
      </w:r>
      <w:r w:rsidR="00AD23E3">
        <w:t>more effectively</w:t>
      </w:r>
      <w:r w:rsidR="00AD23E3" w:rsidRPr="00515FCA">
        <w:t xml:space="preserve"> </w:t>
      </w:r>
      <w:r w:rsidRPr="00515FCA">
        <w:t>utilise the workforce and support meaningful contributions from Australians of all ages.</w:t>
      </w:r>
    </w:p>
    <w:p w14:paraId="7305D2EA" w14:textId="78D77BCF" w:rsidR="00605EB3" w:rsidRDefault="00605EB3" w:rsidP="00CB1DAE">
      <w:pPr>
        <w:pStyle w:val="BodyText"/>
      </w:pPr>
      <w:r w:rsidRPr="00314EC0">
        <w:t>Youth employment patterns highlight both untapped potential and structural vulnerabilities. </w:t>
      </w:r>
      <w:r w:rsidR="008D1D1A" w:rsidRPr="008D1D1A">
        <w:t xml:space="preserve">While the number of young people who are not in employment, education or training has declined over the year, youth disengagement continues to present a significant challenge, and youth unemployment is at </w:t>
      </w:r>
      <w:r w:rsidRPr="00314EC0">
        <w:t>more than double the national rate</w:t>
      </w:r>
      <w:r w:rsidR="008D1D1A">
        <w:t xml:space="preserve"> </w:t>
      </w:r>
      <w:r w:rsidRPr="00314EC0">
        <w:t xml:space="preserve">at </w:t>
      </w:r>
      <w:r w:rsidR="004E53E6">
        <w:t xml:space="preserve">over </w:t>
      </w:r>
      <w:r w:rsidRPr="00314EC0">
        <w:t>9</w:t>
      </w:r>
      <w:r>
        <w:t>%</w:t>
      </w:r>
      <w:r>
        <w:rPr>
          <w:rStyle w:val="FootnoteReference"/>
        </w:rPr>
        <w:footnoteReference w:id="4"/>
      </w:r>
      <w:r w:rsidR="00D87465">
        <w:t>.</w:t>
      </w:r>
      <w:r w:rsidRPr="00314EC0">
        <w:t xml:space="preserve"> Employment among 15</w:t>
      </w:r>
      <w:r w:rsidR="00DF2F1A" w:rsidRPr="00DF2F1A">
        <w:t>-</w:t>
      </w:r>
      <w:r w:rsidRPr="00314EC0">
        <w:t>24 year olds is concentrated in Retail Trade</w:t>
      </w:r>
      <w:r>
        <w:t xml:space="preserve"> (20%)</w:t>
      </w:r>
      <w:r w:rsidRPr="00314EC0">
        <w:t xml:space="preserve"> and Accommodation and Food Services</w:t>
      </w:r>
      <w:r>
        <w:t xml:space="preserve"> (20%)</w:t>
      </w:r>
      <w:r w:rsidRPr="00314EC0">
        <w:t xml:space="preserve">, which together account for </w:t>
      </w:r>
      <w:r>
        <w:t>over a third of youth employment. In fact, n</w:t>
      </w:r>
      <w:r w:rsidRPr="001936DE">
        <w:t>early half of all workers (46.3%) employed in the Accommodation and Food Services industry are aged 15-24, highlighting the importance of you</w:t>
      </w:r>
      <w:r w:rsidR="00EF02DC">
        <w:t>nger</w:t>
      </w:r>
      <w:r w:rsidRPr="001936DE">
        <w:t xml:space="preserve"> workers in the sector</w:t>
      </w:r>
      <w:r>
        <w:t xml:space="preserve"> (</w:t>
      </w:r>
      <w:r>
        <w:fldChar w:fldCharType="begin"/>
      </w:r>
      <w:r>
        <w:instrText xml:space="preserve"> REF _Ref207795727 \h </w:instrText>
      </w:r>
      <w:r w:rsidR="00CB1DAE">
        <w:instrText xml:space="preserve"> \* MERGEFORMAT </w:instrText>
      </w:r>
      <w:r>
        <w:fldChar w:fldCharType="separate"/>
      </w:r>
      <w:r w:rsidR="009E6E1D">
        <w:t xml:space="preserve">Figure </w:t>
      </w:r>
      <w:r w:rsidR="009E6E1D">
        <w:rPr>
          <w:noProof/>
        </w:rPr>
        <w:t>12</w:t>
      </w:r>
      <w:r>
        <w:fldChar w:fldCharType="end"/>
      </w:r>
      <w:r>
        <w:t>)</w:t>
      </w:r>
      <w:r w:rsidRPr="00314EC0">
        <w:t xml:space="preserve">. These sectors offer flexible, entry-level roles but are often lower-skilled and more exposed to economic shocks. </w:t>
      </w:r>
    </w:p>
    <w:p w14:paraId="41793DB0" w14:textId="63CAD540" w:rsidR="00605EB3" w:rsidRDefault="00605EB3" w:rsidP="00605EB3">
      <w:pPr>
        <w:pStyle w:val="Caption"/>
      </w:pPr>
      <w:bookmarkStart w:id="103" w:name="_Ref207795727"/>
      <w:bookmarkStart w:id="104" w:name="_Toc211604161"/>
      <w:bookmarkStart w:id="105" w:name="_Toc207899187"/>
      <w:r>
        <w:t xml:space="preserve">Figure </w:t>
      </w:r>
      <w:r>
        <w:fldChar w:fldCharType="begin"/>
      </w:r>
      <w:r>
        <w:instrText xml:space="preserve"> SEQ Figure \* ARABIC </w:instrText>
      </w:r>
      <w:r>
        <w:fldChar w:fldCharType="separate"/>
      </w:r>
      <w:r w:rsidR="009E6E1D">
        <w:rPr>
          <w:noProof/>
        </w:rPr>
        <w:t>12</w:t>
      </w:r>
      <w:r>
        <w:fldChar w:fldCharType="end"/>
      </w:r>
      <w:bookmarkEnd w:id="103"/>
      <w:r>
        <w:t xml:space="preserve">: </w:t>
      </w:r>
      <w:r w:rsidRPr="003D2E26">
        <w:t>Proportion of industry employment for workers aged 15-24</w:t>
      </w:r>
      <w:bookmarkEnd w:id="104"/>
      <w:r w:rsidRPr="003D2E26">
        <w:t xml:space="preserve"> </w:t>
      </w:r>
      <w:bookmarkEnd w:id="105"/>
    </w:p>
    <w:p w14:paraId="63406B51" w14:textId="5BBD0717" w:rsidR="00605EB3" w:rsidRDefault="00975588" w:rsidP="00605EB3">
      <w:r w:rsidRPr="00975588">
        <w:rPr>
          <w:noProof/>
        </w:rPr>
        <w:drawing>
          <wp:inline distT="0" distB="0" distL="0" distR="0" wp14:anchorId="0B64AE05" wp14:editId="7C716AF4">
            <wp:extent cx="5943600" cy="4124325"/>
            <wp:effectExtent l="0" t="0" r="0" b="9525"/>
            <wp:docPr id="1876543450" name="Picture 20" descr="A graph showing the porportion of people that are aged 15 to 24 years old are employed in 19 industry groups. A comparison line shows that 15.3% of all people employed in Australia are within this age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543450" name="Picture 20" descr="A graph showing the porportion of people that are aged 15 to 24 years old are employed in 19 industry groups. A comparison line shows that 15.3% of all people employed in Australia are within this age category."/>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3600" cy="4124325"/>
                    </a:xfrm>
                    <a:prstGeom prst="rect">
                      <a:avLst/>
                    </a:prstGeom>
                    <a:noFill/>
                    <a:ln>
                      <a:noFill/>
                    </a:ln>
                  </pic:spPr>
                </pic:pic>
              </a:graphicData>
            </a:graphic>
          </wp:inline>
        </w:drawing>
      </w:r>
    </w:p>
    <w:p w14:paraId="6EF4B091" w14:textId="77777777" w:rsidR="008D618A" w:rsidRDefault="00D83BF4" w:rsidP="00ED4661">
      <w:pPr>
        <w:pStyle w:val="Source"/>
      </w:pPr>
      <w:r w:rsidRPr="00D83BF4">
        <w:t>Source: ABS, Labour Force, Australia, Detailed (EQ06), May 2025, four-quarter averages of original data.</w:t>
      </w:r>
    </w:p>
    <w:p w14:paraId="7D232DA7" w14:textId="1F1126D1" w:rsidR="00605EB3" w:rsidRDefault="00605EB3" w:rsidP="00677032">
      <w:pPr>
        <w:pStyle w:val="BodyText"/>
      </w:pPr>
      <w:r w:rsidRPr="00314EC0">
        <w:t>Occupational</w:t>
      </w:r>
      <w:r>
        <w:t xml:space="preserve"> and gender</w:t>
      </w:r>
      <w:r w:rsidRPr="00314EC0">
        <w:t xml:space="preserve"> patterns show young women </w:t>
      </w:r>
      <w:r w:rsidR="00DF2F1A">
        <w:t xml:space="preserve">are </w:t>
      </w:r>
      <w:r w:rsidRPr="00314EC0">
        <w:t>gravitating toward Sales</w:t>
      </w:r>
      <w:r>
        <w:t xml:space="preserve"> Worker</w:t>
      </w:r>
      <w:r w:rsidRPr="00314EC0">
        <w:t xml:space="preserve"> and </w:t>
      </w:r>
      <w:r>
        <w:t xml:space="preserve">Community and </w:t>
      </w:r>
      <w:r w:rsidRPr="00314EC0">
        <w:t xml:space="preserve">Personal Service </w:t>
      </w:r>
      <w:r>
        <w:t xml:space="preserve">Worker </w:t>
      </w:r>
      <w:r w:rsidRPr="00314EC0">
        <w:t xml:space="preserve">roles, while young men are overrepresented </w:t>
      </w:r>
      <w:r>
        <w:t>in Technicians and</w:t>
      </w:r>
      <w:r w:rsidRPr="00314EC0">
        <w:t xml:space="preserve"> Trades </w:t>
      </w:r>
      <w:r>
        <w:t xml:space="preserve">Worker </w:t>
      </w:r>
      <w:r w:rsidRPr="00314EC0">
        <w:t>and Labour</w:t>
      </w:r>
      <w:r>
        <w:t>er</w:t>
      </w:r>
      <w:r w:rsidRPr="00314EC0">
        <w:t xml:space="preserve"> </w:t>
      </w:r>
      <w:r>
        <w:t>roles</w:t>
      </w:r>
      <w:r w:rsidRPr="00314EC0">
        <w:t>. These trends reflect early engagement with the workforce, but also point to the need for stronger skill development and career progression opportunities to support sustained participation and productivity growth.</w:t>
      </w:r>
      <w:r>
        <w:t xml:space="preserve"> This includes recognition of the importance of gender inclusivity in addressing skills shortages, which is explored in more detail elsewhere in this chapter. </w:t>
      </w:r>
    </w:p>
    <w:p w14:paraId="499B589A" w14:textId="0922EE75" w:rsidR="00605EB3" w:rsidRDefault="00605EB3" w:rsidP="00677032">
      <w:pPr>
        <w:pStyle w:val="BodyText"/>
      </w:pPr>
      <w:r w:rsidRPr="00B30B6D">
        <w:t>Mid-career workers form a substantial part of Australia’s skilled workforce and play a central role in driving productivity</w:t>
      </w:r>
      <w:r>
        <w:t xml:space="preserve"> – dominating employment in several of the largest employing industries in the economy</w:t>
      </w:r>
      <w:r w:rsidRPr="00B30B6D">
        <w:t>.</w:t>
      </w:r>
      <w:r w:rsidRPr="00605EB3">
        <w:t xml:space="preserve"> </w:t>
      </w:r>
      <w:r w:rsidRPr="002F1EAF">
        <w:t>Among 25–54 year olds, employment is concentrated in Health Care and Social Assistance</w:t>
      </w:r>
      <w:r>
        <w:t xml:space="preserve"> (16.8%)</w:t>
      </w:r>
      <w:r w:rsidRPr="002F1EAF">
        <w:t>, Professional</w:t>
      </w:r>
      <w:r>
        <w:t>, Scientific and Technical</w:t>
      </w:r>
      <w:r w:rsidRPr="002F1EAF">
        <w:t xml:space="preserve"> Services</w:t>
      </w:r>
      <w:r>
        <w:t xml:space="preserve"> (10.3%)</w:t>
      </w:r>
      <w:r w:rsidRPr="002F1EAF">
        <w:t>, and Construction</w:t>
      </w:r>
      <w:r>
        <w:t xml:space="preserve"> (9.4%) – </w:t>
      </w:r>
      <w:r w:rsidRPr="002F1EAF">
        <w:t>industries that</w:t>
      </w:r>
      <w:r>
        <w:t xml:space="preserve"> typically</w:t>
      </w:r>
      <w:r w:rsidRPr="002F1EAF">
        <w:t xml:space="preserve"> </w:t>
      </w:r>
      <w:r>
        <w:t>require</w:t>
      </w:r>
      <w:r w:rsidRPr="002F1EAF">
        <w:t xml:space="preserve"> post-school qualifications and offer stable, well-paid careers. This age group also dominates employment in Finance and Insurance, where nearly 80</w:t>
      </w:r>
      <w:r>
        <w:t xml:space="preserve">% </w:t>
      </w:r>
      <w:r w:rsidRPr="002F1EAF">
        <w:t xml:space="preserve">of </w:t>
      </w:r>
      <w:r>
        <w:t xml:space="preserve">all </w:t>
      </w:r>
      <w:r w:rsidRPr="002F1EAF">
        <w:t xml:space="preserve">workers </w:t>
      </w:r>
      <w:r>
        <w:t xml:space="preserve">in this sector </w:t>
      </w:r>
      <w:r w:rsidRPr="002F1EAF">
        <w:t xml:space="preserve">fall </w:t>
      </w:r>
      <w:r>
        <w:t>into</w:t>
      </w:r>
      <w:r w:rsidRPr="002F1EAF">
        <w:t xml:space="preserve"> this </w:t>
      </w:r>
      <w:r>
        <w:t xml:space="preserve">age </w:t>
      </w:r>
      <w:r w:rsidRPr="002F1EAF">
        <w:t>bracket</w:t>
      </w:r>
      <w:r>
        <w:t xml:space="preserve"> (</w:t>
      </w:r>
      <w:r>
        <w:fldChar w:fldCharType="begin"/>
      </w:r>
      <w:r>
        <w:instrText xml:space="preserve"> REF _Ref207795908 \h </w:instrText>
      </w:r>
      <w:r w:rsidR="00677032">
        <w:instrText xml:space="preserve"> \* MERGEFORMAT </w:instrText>
      </w:r>
      <w:r>
        <w:fldChar w:fldCharType="separate"/>
      </w:r>
      <w:r w:rsidR="009E6E1D">
        <w:t xml:space="preserve">Figure </w:t>
      </w:r>
      <w:r w:rsidR="009E6E1D">
        <w:rPr>
          <w:noProof/>
        </w:rPr>
        <w:t>13</w:t>
      </w:r>
      <w:r>
        <w:fldChar w:fldCharType="end"/>
      </w:r>
      <w:r>
        <w:t>)</w:t>
      </w:r>
      <w:r w:rsidRPr="002F1EAF">
        <w:t>.</w:t>
      </w:r>
      <w:r>
        <w:t xml:space="preserve"> </w:t>
      </w:r>
      <w:r w:rsidRPr="002F1EAF">
        <w:t>Occupationally, close to one-third of mid-career workers are Professionals, followed by Managers</w:t>
      </w:r>
      <w:r>
        <w:t xml:space="preserve"> (13.8%) and Technicians and Trade Workers (13.7%)</w:t>
      </w:r>
      <w:r>
        <w:rPr>
          <w:rStyle w:val="FootnoteReference"/>
        </w:rPr>
        <w:footnoteReference w:id="5"/>
      </w:r>
      <w:r>
        <w:t>.</w:t>
      </w:r>
      <w:r w:rsidRPr="002F1EAF">
        <w:t xml:space="preserve"> </w:t>
      </w:r>
      <w:r>
        <w:t xml:space="preserve">Gender patterns hold for this age group – with men dominating employment as Labourers and Technicians and Trades Workers, and women dominating employment in Clerical and Administrative Worker and Community and Personal Service Worker roles. </w:t>
      </w:r>
    </w:p>
    <w:p w14:paraId="67A2EC60" w14:textId="5BD38390" w:rsidR="00605EB3" w:rsidRDefault="00605EB3" w:rsidP="00605EB3">
      <w:pPr>
        <w:pStyle w:val="Caption"/>
      </w:pPr>
      <w:bookmarkStart w:id="106" w:name="_Ref207795908"/>
      <w:bookmarkStart w:id="107" w:name="_Toc211604162"/>
      <w:bookmarkStart w:id="108" w:name="_Toc207899188"/>
      <w:r>
        <w:t xml:space="preserve">Figure </w:t>
      </w:r>
      <w:r>
        <w:fldChar w:fldCharType="begin"/>
      </w:r>
      <w:r>
        <w:instrText xml:space="preserve"> SEQ Figure \* ARABIC </w:instrText>
      </w:r>
      <w:r>
        <w:fldChar w:fldCharType="separate"/>
      </w:r>
      <w:r w:rsidR="009E6E1D">
        <w:rPr>
          <w:noProof/>
        </w:rPr>
        <w:t>13</w:t>
      </w:r>
      <w:r>
        <w:fldChar w:fldCharType="end"/>
      </w:r>
      <w:bookmarkEnd w:id="106"/>
      <w:r>
        <w:t xml:space="preserve">: </w:t>
      </w:r>
      <w:r w:rsidRPr="00B74E79">
        <w:t>Proportion of industry employment</w:t>
      </w:r>
      <w:r w:rsidR="00C31CDC">
        <w:t xml:space="preserve"> </w:t>
      </w:r>
      <w:r w:rsidRPr="00B74E79">
        <w:t>for workers aged 25-54</w:t>
      </w:r>
      <w:bookmarkEnd w:id="107"/>
      <w:r w:rsidRPr="00B74E79">
        <w:t xml:space="preserve"> </w:t>
      </w:r>
      <w:bookmarkEnd w:id="108"/>
    </w:p>
    <w:p w14:paraId="7053164F" w14:textId="1334A712" w:rsidR="00605EB3" w:rsidRDefault="00C3451C" w:rsidP="00605EB3">
      <w:r w:rsidRPr="00C3451C">
        <w:rPr>
          <w:noProof/>
        </w:rPr>
        <w:drawing>
          <wp:inline distT="0" distB="0" distL="0" distR="0" wp14:anchorId="6A218168" wp14:editId="1EA16F82">
            <wp:extent cx="5943600" cy="4124325"/>
            <wp:effectExtent l="0" t="0" r="0" b="9525"/>
            <wp:docPr id="1922808382" name="Picture 21" descr="A graph showing the porportion of people that are aged 25 to 54 years old are employed in 19 industry groups. A comparison line shows that 65.2% of all people employed in Australia are within this age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808382" name="Picture 21" descr="A graph showing the porportion of people that are aged 25 to 54 years old are employed in 19 industry groups. A comparison line shows that 65.2% of all people employed in Australia are within this age category."/>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3600" cy="4124325"/>
                    </a:xfrm>
                    <a:prstGeom prst="rect">
                      <a:avLst/>
                    </a:prstGeom>
                    <a:noFill/>
                    <a:ln>
                      <a:noFill/>
                    </a:ln>
                  </pic:spPr>
                </pic:pic>
              </a:graphicData>
            </a:graphic>
          </wp:inline>
        </w:drawing>
      </w:r>
    </w:p>
    <w:p w14:paraId="066210D7" w14:textId="44F022C4" w:rsidR="00BC0859" w:rsidRDefault="007A1FD4" w:rsidP="00ED4661">
      <w:pPr>
        <w:pStyle w:val="Source"/>
      </w:pPr>
      <w:r w:rsidRPr="007A1FD4">
        <w:t>Source: ABS, Labour Force, Australia, Detailed (EQ06), May 2025, four-quarter averages of original data.</w:t>
      </w:r>
    </w:p>
    <w:p w14:paraId="12C75273" w14:textId="211FFFC6" w:rsidR="00605EB3" w:rsidRPr="006924AE" w:rsidRDefault="00605EB3" w:rsidP="006924AE">
      <w:pPr>
        <w:pStyle w:val="BodyText"/>
      </w:pPr>
      <w:r w:rsidRPr="006924AE">
        <w:t>Older workers contribute deep experience and play a vital role in sustaining participation and transferring skills. Workers aged 55 and over are concentrated in Health Care and Social Assistance (16.3%) and Education and Training (9.9%), with Agriculture standing out for its reliance on older Australians. Over 40% of the agricultural workforce is aged over 55 (</w:t>
      </w:r>
      <w:r w:rsidRPr="006924AE">
        <w:fldChar w:fldCharType="begin"/>
      </w:r>
      <w:r w:rsidRPr="006924AE">
        <w:instrText xml:space="preserve"> REF _Ref207796000 \h </w:instrText>
      </w:r>
      <w:r w:rsidR="00677032" w:rsidRPr="006924AE">
        <w:instrText xml:space="preserve"> \* MERGEFORMAT </w:instrText>
      </w:r>
      <w:r w:rsidRPr="006924AE">
        <w:fldChar w:fldCharType="separate"/>
      </w:r>
      <w:r w:rsidR="009E6E1D">
        <w:t xml:space="preserve">Figure </w:t>
      </w:r>
      <w:r w:rsidR="009E6E1D">
        <w:rPr>
          <w:noProof/>
        </w:rPr>
        <w:t>14</w:t>
      </w:r>
      <w:r w:rsidRPr="006924AE">
        <w:fldChar w:fldCharType="end"/>
      </w:r>
      <w:r w:rsidRPr="006924AE">
        <w:t>), many of whom work beyond retirement age. Occupational patterns show more older women working in clerical and Administrative (25.3%) and Professional (25.1%) roles, while older men are most likely to work Professional (21.7%) or Managerial (20.4%) roles. As the population ages, supporting older workers to remain engaged in meaningful work will be increasingly important to maintaining participation rates and preserving institutional knowledge across the economy.</w:t>
      </w:r>
    </w:p>
    <w:p w14:paraId="03B2AF24" w14:textId="2A6D789F" w:rsidR="00605EB3" w:rsidRDefault="00605EB3" w:rsidP="00605EB3">
      <w:pPr>
        <w:pStyle w:val="Caption"/>
      </w:pPr>
      <w:bookmarkStart w:id="109" w:name="_Ref207796000"/>
      <w:bookmarkStart w:id="110" w:name="_Toc207899189"/>
      <w:bookmarkStart w:id="111" w:name="_Toc211604163"/>
      <w:r>
        <w:t xml:space="preserve">Figure </w:t>
      </w:r>
      <w:r>
        <w:fldChar w:fldCharType="begin"/>
      </w:r>
      <w:r>
        <w:instrText xml:space="preserve"> SEQ Figure \* ARABIC </w:instrText>
      </w:r>
      <w:r>
        <w:fldChar w:fldCharType="separate"/>
      </w:r>
      <w:r w:rsidR="009E6E1D">
        <w:rPr>
          <w:noProof/>
        </w:rPr>
        <w:t>14</w:t>
      </w:r>
      <w:r>
        <w:fldChar w:fldCharType="end"/>
      </w:r>
      <w:bookmarkEnd w:id="109"/>
      <w:r>
        <w:t xml:space="preserve">: </w:t>
      </w:r>
      <w:r w:rsidRPr="00DB52C3">
        <w:t>Proportion of industry employment for workers aged 55 and over</w:t>
      </w:r>
      <w:bookmarkEnd w:id="110"/>
      <w:bookmarkEnd w:id="111"/>
    </w:p>
    <w:p w14:paraId="78F5B5BE" w14:textId="5605F012" w:rsidR="00605EB3" w:rsidRDefault="000C31B7" w:rsidP="00605EB3">
      <w:r w:rsidRPr="000C31B7">
        <w:rPr>
          <w:noProof/>
        </w:rPr>
        <w:drawing>
          <wp:inline distT="0" distB="0" distL="0" distR="0" wp14:anchorId="7338E463" wp14:editId="5A52C09B">
            <wp:extent cx="5947200" cy="4127458"/>
            <wp:effectExtent l="0" t="0" r="0" b="6985"/>
            <wp:docPr id="1695763543" name="Picture 11" descr="A graph showing the porportion of people that are aged 55 years or more are employed in 19 industry groups. A comparison line shows that 19.5% of all people employed in Australia are within this age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763543" name="Picture 11" descr="A graph showing the porportion of people that are aged 55 years or more are employed in 19 industry groups. A comparison line shows that 19.5% of all people employed in Australia are within this age category."/>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47200" cy="4127458"/>
                    </a:xfrm>
                    <a:prstGeom prst="rect">
                      <a:avLst/>
                    </a:prstGeom>
                    <a:noFill/>
                    <a:ln>
                      <a:noFill/>
                    </a:ln>
                  </pic:spPr>
                </pic:pic>
              </a:graphicData>
            </a:graphic>
          </wp:inline>
        </w:drawing>
      </w:r>
    </w:p>
    <w:p w14:paraId="01E62A65" w14:textId="77777777" w:rsidR="00C03889" w:rsidRDefault="00E036CF" w:rsidP="00ED4661">
      <w:pPr>
        <w:pStyle w:val="Source"/>
      </w:pPr>
      <w:r w:rsidRPr="00E036CF">
        <w:t>Source: ABS, Labour Force, Australia, Detailed (EQ06), May 2025, four-quarter averages of original data.</w:t>
      </w:r>
    </w:p>
    <w:p w14:paraId="08BA56A6" w14:textId="5C11E8B7" w:rsidR="00605EB3" w:rsidRPr="00314EC0" w:rsidRDefault="00605EB3" w:rsidP="00677032">
      <w:pPr>
        <w:pStyle w:val="BodyText"/>
      </w:pPr>
      <w:r w:rsidRPr="00314EC0">
        <w:t xml:space="preserve">Together, these patterns reveal how age intersects with participation, productivity, and skills development. Supporting young people to build skills and transition into stable careers is essential to unlocking future productivity, while enabling older Australians to remain engaged in meaningful work helps preserve institutional knowledge and economic momentum. A deeper understanding of age-based employment trends can inform efforts to strengthen workforce resilience, </w:t>
      </w:r>
      <w:r w:rsidR="003770BB" w:rsidRPr="003770BB">
        <w:t xml:space="preserve">ensure skills remain </w:t>
      </w:r>
      <w:r w:rsidR="008F4E60">
        <w:t>well connected</w:t>
      </w:r>
      <w:r w:rsidR="003770BB" w:rsidRPr="003770BB">
        <w:t xml:space="preserve"> to workforce needs</w:t>
      </w:r>
      <w:r w:rsidRPr="00314EC0">
        <w:t xml:space="preserve">, and </w:t>
      </w:r>
      <w:r>
        <w:t>support</w:t>
      </w:r>
      <w:r w:rsidRPr="00314EC0">
        <w:t xml:space="preserve"> a dynamic and inclusive economy.</w:t>
      </w:r>
    </w:p>
    <w:p w14:paraId="6F9AE0B0" w14:textId="77777777" w:rsidR="00605EB3" w:rsidRDefault="00605EB3" w:rsidP="007259EC">
      <w:pPr>
        <w:pStyle w:val="Heading3"/>
      </w:pPr>
      <w:bookmarkStart w:id="112" w:name="_Toc204265322"/>
      <w:bookmarkStart w:id="113" w:name="_Toc211587001"/>
      <w:r>
        <w:t>Employers’ experiences of young job applicants</w:t>
      </w:r>
      <w:bookmarkEnd w:id="112"/>
      <w:bookmarkEnd w:id="113"/>
    </w:p>
    <w:p w14:paraId="23AABD98" w14:textId="6CA019DE" w:rsidR="00605EB3" w:rsidRDefault="00605EB3" w:rsidP="00677032">
      <w:pPr>
        <w:pStyle w:val="BodyText"/>
      </w:pPr>
      <w:r>
        <w:t xml:space="preserve">The transition from education into the workforce is a key stage in a young person’s life, and there is a shared responsibility across the national skills system to help make this progression as smooth as possible. Young people often bring energy, creativity and new ideas to the workplace – key precursors to innovation and productivity growth – but employers can face challenges related to gaps in skills, limited work experience, or other job readiness concerns. </w:t>
      </w:r>
      <w:r w:rsidRPr="008D7426">
        <w:t>Research shows this transition can be difficult, with various risk factors affecting outcomes</w:t>
      </w:r>
      <w:r w:rsidRPr="00605EB3">
        <w:t xml:space="preserve"> </w:t>
      </w:r>
      <w:sdt>
        <w:sdtPr>
          <w:id w:val="2043559194"/>
          <w:citation/>
        </w:sdtPr>
        <w:sdtContent>
          <w:r>
            <w:fldChar w:fldCharType="begin"/>
          </w:r>
          <w:r>
            <w:instrText xml:space="preserve"> CITATION Mar221 \l 3081 </w:instrText>
          </w:r>
          <w:r>
            <w:fldChar w:fldCharType="separate"/>
          </w:r>
          <w:r w:rsidR="00D52996">
            <w:rPr>
              <w:noProof/>
            </w:rPr>
            <w:t>(Marchand &amp; Payne, 2022)</w:t>
          </w:r>
          <w:r>
            <w:fldChar w:fldCharType="end"/>
          </w:r>
        </w:sdtContent>
      </w:sdt>
      <w:r>
        <w:t>.</w:t>
      </w:r>
    </w:p>
    <w:p w14:paraId="68383B38" w14:textId="07B13908" w:rsidR="00605EB3" w:rsidRDefault="00605EB3" w:rsidP="00677032">
      <w:pPr>
        <w:pStyle w:val="BodyText"/>
      </w:pPr>
      <w:r>
        <w:t>To better understand these challenges</w:t>
      </w:r>
      <w:r w:rsidRPr="006B7AF8">
        <w:t xml:space="preserve">, JSA undertook </w:t>
      </w:r>
      <w:r>
        <w:t xml:space="preserve">new research through the </w:t>
      </w:r>
      <w:r w:rsidR="001E73B0" w:rsidRPr="00475C01">
        <w:t>Recruitment Experiences and Outlook Survey</w:t>
      </w:r>
      <w:r w:rsidR="001E73B0">
        <w:t xml:space="preserve"> (</w:t>
      </w:r>
      <w:r>
        <w:t>REOS</w:t>
      </w:r>
      <w:r w:rsidR="001E73B0">
        <w:t>)</w:t>
      </w:r>
      <w:r>
        <w:t xml:space="preserve"> survey, asking employers about their experiences of young job applicants aged 15-24. This included collecting data about the factors contributing to successful and unsuccessful job placements, as well as the kinds of programs or interventions employers used to assist successful applicants to transition into the workforce.</w:t>
      </w:r>
    </w:p>
    <w:p w14:paraId="5044CCBA" w14:textId="77777777" w:rsidR="00605EB3" w:rsidRDefault="00605EB3" w:rsidP="00677032">
      <w:pPr>
        <w:pStyle w:val="BodyText"/>
      </w:pPr>
      <w:r>
        <w:t xml:space="preserve">The module was undertaken between June and September 2024, and during this time interviewers spoke with over 2,500 employers. Of these, 1,454 reported having young job applicants apply for a job opportunity, and 82% of those who had received applications from young people ended up hiring at least one person. Medium and large businesses were slightly more likely to have a successful young applicant than small businesses, and employers for some occupations were both more likely to be targeted by young job seekers and more likely to hire them. The three most common of these occupations were Sales Workers, Community and Personal Service Workers, and Labourers. </w:t>
      </w:r>
    </w:p>
    <w:p w14:paraId="7A6EDF4C" w14:textId="4703F56D" w:rsidR="00605EB3" w:rsidRDefault="00605EB3" w:rsidP="00677032">
      <w:pPr>
        <w:pStyle w:val="BodyText"/>
      </w:pPr>
      <w:r w:rsidRPr="00FB6F44">
        <w:t>Most employers did not access any program or subsidy when hiring young people. O</w:t>
      </w:r>
      <w:r>
        <w:t>f the</w:t>
      </w:r>
      <w:r w:rsidRPr="00FB6F44">
        <w:t xml:space="preserve"> 18% </w:t>
      </w:r>
      <w:r>
        <w:t>who did, the most commonly accessed</w:t>
      </w:r>
      <w:r w:rsidRPr="00FB6F44">
        <w:t xml:space="preserve"> </w:t>
      </w:r>
      <w:r>
        <w:t xml:space="preserve">support was </w:t>
      </w:r>
      <w:r w:rsidRPr="00FB6F44">
        <w:t>the Australia</w:t>
      </w:r>
      <w:r>
        <w:t>n</w:t>
      </w:r>
      <w:r w:rsidRPr="00FB6F44">
        <w:t xml:space="preserve"> Apprenticeships Incentive </w:t>
      </w:r>
      <w:r>
        <w:t>System, used by 11% of surveyed employers.</w:t>
      </w:r>
      <w:r w:rsidRPr="00FB6F44">
        <w:t xml:space="preserve"> </w:t>
      </w:r>
      <w:r>
        <w:t xml:space="preserve">A smaller </w:t>
      </w:r>
      <w:r w:rsidRPr="00FB6F44">
        <w:t xml:space="preserve">number of employers </w:t>
      </w:r>
      <w:r>
        <w:t>report</w:t>
      </w:r>
      <w:r w:rsidR="00DF2F1A">
        <w:t>ed</w:t>
      </w:r>
      <w:r>
        <w:t xml:space="preserve"> using</w:t>
      </w:r>
      <w:r w:rsidRPr="00FB6F44">
        <w:t xml:space="preserve"> the Youth Bonus Wage Subsidy</w:t>
      </w:r>
      <w:r>
        <w:t>.</w:t>
      </w:r>
    </w:p>
    <w:p w14:paraId="0A795DC0" w14:textId="5BC39963" w:rsidR="00605EB3" w:rsidRDefault="00605EB3" w:rsidP="00677032">
      <w:pPr>
        <w:pStyle w:val="BodyText"/>
      </w:pPr>
      <w:r>
        <w:t xml:space="preserve">Where a young person was successfully recruited into a role, employers were asked why they were successful. The answers were consistent with previous REOS modules where employers highlighted the importance of employability skills and relevant experience. As shown in </w:t>
      </w:r>
      <w:r>
        <w:rPr>
          <w:highlight w:val="yellow"/>
        </w:rPr>
        <w:fldChar w:fldCharType="begin"/>
      </w:r>
      <w:r>
        <w:rPr>
          <w:highlight w:val="yellow"/>
        </w:rPr>
        <w:instrText xml:space="preserve"> REF _Ref206668293 \h </w:instrText>
      </w:r>
      <w:r w:rsidR="00677032">
        <w:rPr>
          <w:highlight w:val="yellow"/>
        </w:rPr>
        <w:instrText xml:space="preserve"> \* MERGEFORMAT </w:instrText>
      </w:r>
      <w:r>
        <w:rPr>
          <w:highlight w:val="yellow"/>
        </w:rPr>
      </w:r>
      <w:r>
        <w:rPr>
          <w:highlight w:val="yellow"/>
        </w:rPr>
        <w:fldChar w:fldCharType="separate"/>
      </w:r>
      <w:r w:rsidR="009E6E1D">
        <w:t xml:space="preserve">Figure </w:t>
      </w:r>
      <w:r w:rsidR="009E6E1D">
        <w:rPr>
          <w:noProof/>
        </w:rPr>
        <w:t>15</w:t>
      </w:r>
      <w:r>
        <w:rPr>
          <w:highlight w:val="yellow"/>
        </w:rPr>
        <w:fldChar w:fldCharType="end"/>
      </w:r>
      <w:r>
        <w:t xml:space="preserve">, the top three most important qualities included having the right attitude, relevant experience, and good communication skills. </w:t>
      </w:r>
    </w:p>
    <w:p w14:paraId="6D0E3B08" w14:textId="7470B10C" w:rsidR="00605EB3" w:rsidRPr="00605EB3" w:rsidRDefault="00605EB3" w:rsidP="00605EB3">
      <w:pPr>
        <w:pStyle w:val="Caption"/>
      </w:pPr>
      <w:bookmarkStart w:id="114" w:name="_Ref206668293"/>
      <w:bookmarkStart w:id="115" w:name="_Toc207899190"/>
      <w:bookmarkStart w:id="116" w:name="_Toc211604164"/>
      <w:r>
        <w:t xml:space="preserve">Figure </w:t>
      </w:r>
      <w:r>
        <w:fldChar w:fldCharType="begin"/>
      </w:r>
      <w:r>
        <w:instrText xml:space="preserve"> SEQ Figure \* ARABIC </w:instrText>
      </w:r>
      <w:r>
        <w:fldChar w:fldCharType="separate"/>
      </w:r>
      <w:r w:rsidR="009E6E1D">
        <w:rPr>
          <w:noProof/>
        </w:rPr>
        <w:t>15</w:t>
      </w:r>
      <w:r>
        <w:fldChar w:fldCharType="end"/>
      </w:r>
      <w:bookmarkEnd w:id="114"/>
      <w:r>
        <w:t xml:space="preserve">: </w:t>
      </w:r>
      <w:r w:rsidRPr="00F523DE">
        <w:t>Reasons young applicants were successful in getting the job</w:t>
      </w:r>
      <w:bookmarkEnd w:id="115"/>
      <w:bookmarkEnd w:id="116"/>
    </w:p>
    <w:p w14:paraId="55FB8928" w14:textId="10241ED1" w:rsidR="00605EB3" w:rsidRPr="00605EB3" w:rsidRDefault="00872610" w:rsidP="00605EB3">
      <w:r w:rsidRPr="00872610">
        <w:rPr>
          <w:noProof/>
        </w:rPr>
        <w:drawing>
          <wp:inline distT="0" distB="0" distL="0" distR="0" wp14:anchorId="5BE35222" wp14:editId="12473EA7">
            <wp:extent cx="5947200" cy="2655272"/>
            <wp:effectExtent l="0" t="0" r="0" b="0"/>
            <wp:docPr id="1882094499" name="Picture 12" descr="Bar chart showing the top reasons young applicants were successful in getting the job. The most cited reason is 'Had the right attitude', followed by 'Had relevant experience', 'Good communication skills', and 'Interviewed w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094499" name="Picture 12" descr="Bar chart showing the top reasons young applicants were successful in getting the job. The most cited reason is 'Had the right attitude', followed by 'Had relevant experience', 'Good communication skills', and 'Interviewed well'. "/>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7200" cy="2655272"/>
                    </a:xfrm>
                    <a:prstGeom prst="rect">
                      <a:avLst/>
                    </a:prstGeom>
                    <a:noFill/>
                    <a:ln>
                      <a:noFill/>
                    </a:ln>
                  </pic:spPr>
                </pic:pic>
              </a:graphicData>
            </a:graphic>
          </wp:inline>
        </w:drawing>
      </w:r>
    </w:p>
    <w:p w14:paraId="2DC9A90F" w14:textId="351A7CA6" w:rsidR="00605EB3" w:rsidRDefault="00605EB3" w:rsidP="006924AE">
      <w:pPr>
        <w:pStyle w:val="Source"/>
      </w:pPr>
      <w:r>
        <w:t xml:space="preserve">Source: </w:t>
      </w:r>
      <w:r w:rsidR="0087296B">
        <w:t xml:space="preserve">JSA, </w:t>
      </w:r>
      <w:r w:rsidR="00921F2D">
        <w:t>REOS</w:t>
      </w:r>
      <w:r>
        <w:t xml:space="preserve">, the </w:t>
      </w:r>
      <w:r w:rsidR="003A282A">
        <w:t>Y</w:t>
      </w:r>
      <w:r w:rsidR="008304CF">
        <w:t xml:space="preserve">outh </w:t>
      </w:r>
      <w:r>
        <w:t>module 2024</w:t>
      </w:r>
      <w:r w:rsidR="00E0472B">
        <w:t>.</w:t>
      </w:r>
    </w:p>
    <w:p w14:paraId="2C678303" w14:textId="34F104F5" w:rsidR="00605EB3" w:rsidRDefault="00605EB3" w:rsidP="006924AE">
      <w:pPr>
        <w:pStyle w:val="BodyText"/>
      </w:pPr>
      <w:r>
        <w:t xml:space="preserve">Interestingly, while lack of experience was the most common reason for not hiring a young job applicant </w:t>
      </w:r>
      <w:r w:rsidR="00E92948">
        <w:t>(</w:t>
      </w:r>
      <w:r>
        <w:t>mirroring the results for successful applicants</w:t>
      </w:r>
      <w:r w:rsidR="00E92948">
        <w:t>),</w:t>
      </w:r>
      <w:r>
        <w:t xml:space="preserve"> lack of qualifications or skills was the second most common reason for young applicants being unsuccessful (</w:t>
      </w:r>
      <w:r>
        <w:rPr>
          <w:highlight w:val="yellow"/>
        </w:rPr>
        <w:fldChar w:fldCharType="begin"/>
      </w:r>
      <w:r>
        <w:rPr>
          <w:highlight w:val="yellow"/>
        </w:rPr>
        <w:instrText xml:space="preserve"> REF _Ref206668355 \h </w:instrText>
      </w:r>
      <w:r w:rsidR="006924AE">
        <w:rPr>
          <w:highlight w:val="yellow"/>
        </w:rPr>
        <w:instrText xml:space="preserve"> \* MERGEFORMAT </w:instrText>
      </w:r>
      <w:r>
        <w:rPr>
          <w:highlight w:val="yellow"/>
        </w:rPr>
      </w:r>
      <w:r>
        <w:rPr>
          <w:highlight w:val="yellow"/>
        </w:rPr>
        <w:fldChar w:fldCharType="separate"/>
      </w:r>
      <w:r w:rsidR="009E6E1D">
        <w:t xml:space="preserve">Figure </w:t>
      </w:r>
      <w:r w:rsidR="009E6E1D">
        <w:rPr>
          <w:noProof/>
        </w:rPr>
        <w:t>16</w:t>
      </w:r>
      <w:r>
        <w:rPr>
          <w:highlight w:val="yellow"/>
        </w:rPr>
        <w:fldChar w:fldCharType="end"/>
      </w:r>
      <w:r>
        <w:t xml:space="preserve">). A notable challenge faced by some employers was poor availability of the applicant, which could be supported by the fact that young people are more likely to work casually or part-time due to education commitments or holding multiple jobs. </w:t>
      </w:r>
    </w:p>
    <w:p w14:paraId="1A19C669" w14:textId="4B9162BD" w:rsidR="00605EB3" w:rsidRDefault="00605EB3" w:rsidP="00605EB3">
      <w:pPr>
        <w:pStyle w:val="Caption"/>
      </w:pPr>
      <w:bookmarkStart w:id="117" w:name="_Ref206668355"/>
      <w:bookmarkStart w:id="118" w:name="_Toc207899191"/>
      <w:bookmarkStart w:id="119" w:name="_Toc211604165"/>
      <w:r>
        <w:t xml:space="preserve">Figure </w:t>
      </w:r>
      <w:r>
        <w:fldChar w:fldCharType="begin"/>
      </w:r>
      <w:r>
        <w:instrText xml:space="preserve"> SEQ Figure \* ARABIC </w:instrText>
      </w:r>
      <w:r>
        <w:fldChar w:fldCharType="separate"/>
      </w:r>
      <w:r w:rsidR="009E6E1D">
        <w:rPr>
          <w:noProof/>
        </w:rPr>
        <w:t>16</w:t>
      </w:r>
      <w:r>
        <w:fldChar w:fldCharType="end"/>
      </w:r>
      <w:bookmarkEnd w:id="117"/>
      <w:r>
        <w:t xml:space="preserve">: </w:t>
      </w:r>
      <w:r w:rsidRPr="00E16ACE">
        <w:t>Reasons young applicants were unsuccessful in getting the job</w:t>
      </w:r>
      <w:bookmarkEnd w:id="118"/>
      <w:bookmarkEnd w:id="119"/>
    </w:p>
    <w:p w14:paraId="69DD6616" w14:textId="0813164B" w:rsidR="00605EB3" w:rsidRPr="00605EB3" w:rsidRDefault="00872610" w:rsidP="00605EB3">
      <w:r w:rsidRPr="00872610">
        <w:rPr>
          <w:noProof/>
        </w:rPr>
        <w:drawing>
          <wp:inline distT="0" distB="0" distL="0" distR="0" wp14:anchorId="59C8B247" wp14:editId="1421A635">
            <wp:extent cx="5947200" cy="2655272"/>
            <wp:effectExtent l="0" t="0" r="0" b="0"/>
            <wp:docPr id="223221098" name="Picture 13" descr="Bar chart showing the main reasons young applicants were unsuccessful in getting the job. The most common reason is 'Lack of experience', followed by ''Lack of qualifications/skills','Poor availability', and 'Poor fit', and 'Lack of communication skil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221098" name="Picture 13" descr="Bar chart showing the main reasons young applicants were unsuccessful in getting the job. The most common reason is 'Lack of experience', followed by ''Lack of qualifications/skills','Poor availability', and 'Poor fit', and 'Lack of communication skills'. "/>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7200" cy="2655272"/>
                    </a:xfrm>
                    <a:prstGeom prst="rect">
                      <a:avLst/>
                    </a:prstGeom>
                    <a:noFill/>
                    <a:ln>
                      <a:noFill/>
                    </a:ln>
                  </pic:spPr>
                </pic:pic>
              </a:graphicData>
            </a:graphic>
          </wp:inline>
        </w:drawing>
      </w:r>
    </w:p>
    <w:p w14:paraId="6DA23FD1" w14:textId="1DCAC7C6" w:rsidR="00605EB3" w:rsidRDefault="00605EB3" w:rsidP="006924AE">
      <w:pPr>
        <w:pStyle w:val="Source"/>
      </w:pPr>
      <w:r>
        <w:t xml:space="preserve">Source: </w:t>
      </w:r>
      <w:r w:rsidR="0054483A">
        <w:t xml:space="preserve">JSA, </w:t>
      </w:r>
      <w:r w:rsidR="00921F2D">
        <w:t>REOS</w:t>
      </w:r>
      <w:r>
        <w:t>, the Youth module 2024</w:t>
      </w:r>
      <w:r w:rsidR="006E572A">
        <w:t>.</w:t>
      </w:r>
    </w:p>
    <w:p w14:paraId="04772F5D" w14:textId="77777777" w:rsidR="00605EB3" w:rsidRDefault="00605EB3" w:rsidP="006924AE">
      <w:pPr>
        <w:pStyle w:val="BodyText"/>
      </w:pPr>
      <w:r w:rsidRPr="000606DE">
        <w:t>In summary, employability skills</w:t>
      </w:r>
      <w:r>
        <w:t xml:space="preserve"> – </w:t>
      </w:r>
      <w:r w:rsidRPr="000606DE">
        <w:t>such as a positive attitude, effective communication, and the ability to work collaboratively</w:t>
      </w:r>
      <w:r>
        <w:t xml:space="preserve"> – </w:t>
      </w:r>
      <w:r w:rsidRPr="000606DE">
        <w:t>are essential for young job seekers to be considered job ready</w:t>
      </w:r>
      <w:r>
        <w:t xml:space="preserve"> by recruiting employers</w:t>
      </w:r>
      <w:r w:rsidRPr="000606DE">
        <w:t>. Additionally, gaining workplace experience through part</w:t>
      </w:r>
      <w:r>
        <w:noBreakHyphen/>
      </w:r>
      <w:r w:rsidRPr="000606DE">
        <w:t>time or casual employment, volunteering, or structured pathways like apprenticeships and traineeships can significantly enhance a young person’s prospects</w:t>
      </w:r>
      <w:r>
        <w:t xml:space="preserve"> and prepares them for long term employment</w:t>
      </w:r>
      <w:r w:rsidRPr="000606DE">
        <w:t xml:space="preserve">. </w:t>
      </w:r>
      <w:r>
        <w:t xml:space="preserve">This highlights the importance of the national skills system in supporting young people to gain such skills and succeed in transitioning into the labour market. </w:t>
      </w:r>
    </w:p>
    <w:p w14:paraId="6B60AEC4" w14:textId="77777777" w:rsidR="00605EB3" w:rsidRDefault="00605EB3" w:rsidP="007259EC">
      <w:pPr>
        <w:pStyle w:val="Heading2"/>
      </w:pPr>
      <w:bookmarkStart w:id="120" w:name="_Toc207643458"/>
      <w:bookmarkStart w:id="121" w:name="_Toc208923387"/>
      <w:bookmarkStart w:id="122" w:name="_Toc211587002"/>
      <w:r>
        <w:t>The role of foundation skills</w:t>
      </w:r>
      <w:bookmarkEnd w:id="102"/>
      <w:bookmarkEnd w:id="120"/>
      <w:bookmarkEnd w:id="121"/>
      <w:bookmarkEnd w:id="122"/>
    </w:p>
    <w:p w14:paraId="771D86F1" w14:textId="32939E60" w:rsidR="00605EB3" w:rsidRPr="00B572D1" w:rsidRDefault="00605EB3" w:rsidP="00782D2C">
      <w:pPr>
        <w:pStyle w:val="BodyText"/>
      </w:pPr>
      <w:r>
        <w:t xml:space="preserve">Foundation skills underpin participation in meaningful work, society and community, and include the ability to read, write, engage with mathematical concepts, and utilise technology. </w:t>
      </w:r>
      <w:r w:rsidRPr="00B572D1">
        <w:t xml:space="preserve">The </w:t>
      </w:r>
      <w:r w:rsidRPr="00605EB3">
        <w:t>National Foundation Skills Strategy 2025–2035</w:t>
      </w:r>
      <w:r w:rsidRPr="00B572D1">
        <w:t xml:space="preserve"> defines foundation skills as </w:t>
      </w:r>
      <w:r>
        <w:t>“</w:t>
      </w:r>
      <w:r w:rsidRPr="00B572D1">
        <w:t>the core skills or competencies that underpin workforce participation, productivity, and social inclusion</w:t>
      </w:r>
      <w:r>
        <w:t>”</w:t>
      </w:r>
      <w:r w:rsidRPr="00605EB3">
        <w:t xml:space="preserve"> </w:t>
      </w:r>
      <w:sdt>
        <w:sdtPr>
          <w:id w:val="-1414456640"/>
          <w:citation/>
        </w:sdtPr>
        <w:sdtContent>
          <w:r w:rsidRPr="00D9419B">
            <w:fldChar w:fldCharType="begin"/>
          </w:r>
          <w:r w:rsidRPr="00D9419B">
            <w:instrText xml:space="preserve"> CITATION Com243 \l 3081 </w:instrText>
          </w:r>
          <w:r w:rsidRPr="00D9419B">
            <w:fldChar w:fldCharType="separate"/>
          </w:r>
          <w:r w:rsidR="00D52996">
            <w:rPr>
              <w:noProof/>
            </w:rPr>
            <w:t>(Commonwealth of Australia, 2024)</w:t>
          </w:r>
          <w:r w:rsidRPr="00D9419B">
            <w:fldChar w:fldCharType="end"/>
          </w:r>
        </w:sdtContent>
      </w:sdt>
      <w:r w:rsidRPr="00D9419B">
        <w:t>.</w:t>
      </w:r>
      <w:r w:rsidRPr="00B572D1">
        <w:t xml:space="preserve"> These are grouped into two categories: </w:t>
      </w:r>
    </w:p>
    <w:p w14:paraId="42CEC190" w14:textId="0211C14A" w:rsidR="00605EB3" w:rsidRPr="00605EB3" w:rsidRDefault="00605EB3" w:rsidP="00782D2C">
      <w:pPr>
        <w:pStyle w:val="ListBullet"/>
      </w:pPr>
      <w:r w:rsidRPr="00B572D1">
        <w:t>Language, literacy, numeracy and digital skills – listening, speaking, reading, writing, numeracy (the use of mathematical ideas) and digital literacy.</w:t>
      </w:r>
    </w:p>
    <w:p w14:paraId="10E48E74" w14:textId="0A4420DE" w:rsidR="00605EB3" w:rsidRPr="00605EB3" w:rsidRDefault="00605EB3" w:rsidP="00782D2C">
      <w:pPr>
        <w:pStyle w:val="ListBullet"/>
      </w:pPr>
      <w:r w:rsidRPr="00B572D1">
        <w:t xml:space="preserve">Employability skills – a set of non-technical skills, knowledge and understandings that underpin successful participation in work, such as initiative and innovation, planning and organising, problem solving and teamwork. </w:t>
      </w:r>
    </w:p>
    <w:p w14:paraId="2B39A327" w14:textId="4F2C62E3" w:rsidR="00605EB3" w:rsidRDefault="00605EB3" w:rsidP="00782D2C">
      <w:pPr>
        <w:pStyle w:val="BodyText"/>
      </w:pPr>
      <w:r w:rsidDel="0077091C">
        <w:t xml:space="preserve">Because they underpin successful participation in society, community, education, and work, </w:t>
      </w:r>
      <w:r>
        <w:t xml:space="preserve">foundation skills are critical for individuals to achieve their potential and can directly impact economic and social wellbeing. Foundation skills are also becoming more essential for productivity, as they provide a base to develop other skills that are in growing demand in today’s labour market </w:t>
      </w:r>
      <w:sdt>
        <w:sdtPr>
          <w:id w:val="1283002018"/>
          <w:citation/>
        </w:sdtPr>
        <w:sdtContent>
          <w:r>
            <w:fldChar w:fldCharType="begin"/>
          </w:r>
          <w:r>
            <w:instrText xml:space="preserve"> CITATION Sho14 \l 3081 </w:instrText>
          </w:r>
          <w:r>
            <w:fldChar w:fldCharType="separate"/>
          </w:r>
          <w:r w:rsidR="00D52996">
            <w:rPr>
              <w:noProof/>
            </w:rPr>
            <w:t>(Shomos &amp; Forbes, 2014)</w:t>
          </w:r>
          <w:r>
            <w:fldChar w:fldCharType="end"/>
          </w:r>
        </w:sdtContent>
      </w:sdt>
      <w:r>
        <w:t xml:space="preserve">. For example, the innovation and adaptability that drive productivity growth are reliant on the broad analytical, discovery, and communication skills that depend on a strong foundation of literacy and numeracy </w:t>
      </w:r>
      <w:sdt>
        <w:sdtPr>
          <w:id w:val="-1433653846"/>
          <w:citation/>
        </w:sdtPr>
        <w:sdtContent>
          <w:r>
            <w:fldChar w:fldCharType="begin"/>
          </w:r>
          <w:r>
            <w:instrText xml:space="preserve"> CITATION Ban12 \l 3081 </w:instrText>
          </w:r>
          <w:r>
            <w:fldChar w:fldCharType="separate"/>
          </w:r>
          <w:r w:rsidR="00D52996">
            <w:rPr>
              <w:noProof/>
            </w:rPr>
            <w:t>(Banks, 2012)</w:t>
          </w:r>
          <w:r>
            <w:fldChar w:fldCharType="end"/>
          </w:r>
        </w:sdtContent>
      </w:sdt>
      <w:r>
        <w:t>.</w:t>
      </w:r>
    </w:p>
    <w:p w14:paraId="5D34CCAF" w14:textId="22294251" w:rsidR="00605EB3" w:rsidRPr="00605EB3" w:rsidRDefault="00605EB3" w:rsidP="008F06FF">
      <w:pPr>
        <w:pStyle w:val="BodyText"/>
        <w:keepLines/>
      </w:pPr>
      <w:r>
        <w:t xml:space="preserve">Lack of employability skills may be contributing to occupation shortages and preventing otherwise qualified applicants from being employed in their relevant fields of expertise. As outlined in last year’s Jobs and Skills Report, ‘suitability gap’ was the primary shortage driver for a number of large employing engineer and manager unit group occupations in shortage. This would suggest that for these roles, workers may not be equipped with the right employability skills and experience required for the job. </w:t>
      </w:r>
      <w:r w:rsidR="00D56F4D">
        <w:t xml:space="preserve">Employers have a role in </w:t>
      </w:r>
      <w:r w:rsidR="00866B60">
        <w:t xml:space="preserve">proactively </w:t>
      </w:r>
      <w:r w:rsidR="00D56F4D">
        <w:t xml:space="preserve">supporting </w:t>
      </w:r>
      <w:r w:rsidR="00866B60">
        <w:t>workers</w:t>
      </w:r>
      <w:r w:rsidR="00D56F4D">
        <w:t xml:space="preserve"> to develop </w:t>
      </w:r>
      <w:r w:rsidR="00985C09">
        <w:t>these employability skill</w:t>
      </w:r>
      <w:r w:rsidR="00866B60">
        <w:t>s through</w:t>
      </w:r>
      <w:r w:rsidR="00EA0F36">
        <w:t xml:space="preserve"> both training and mentorship initiatives</w:t>
      </w:r>
      <w:r w:rsidR="00496C2C">
        <w:t>.</w:t>
      </w:r>
    </w:p>
    <w:p w14:paraId="4D9D3448" w14:textId="70723711" w:rsidR="00605EB3" w:rsidRDefault="00605EB3" w:rsidP="00782D2C">
      <w:pPr>
        <w:pStyle w:val="BodyText"/>
      </w:pPr>
      <w:r>
        <w:t xml:space="preserve">Recent analysis of data from the 2023 </w:t>
      </w:r>
      <w:r w:rsidRPr="00713DC3">
        <w:t xml:space="preserve">OECD </w:t>
      </w:r>
      <w:r w:rsidRPr="00605EB3">
        <w:t>Programme for the International Assessment of Adult Competencies</w:t>
      </w:r>
      <w:r w:rsidRPr="00713DC3">
        <w:t xml:space="preserve"> (PIAAC) Survey of Adult Skills</w:t>
      </w:r>
      <w:r>
        <w:t xml:space="preserve"> has also highlighted the critical role of adult skills </w:t>
      </w:r>
      <w:r w:rsidR="00D8608A">
        <w:t>(</w:t>
      </w:r>
      <w:r w:rsidR="00D8608A" w:rsidRPr="00D8608A">
        <w:t>key information</w:t>
      </w:r>
      <w:r w:rsidR="00BF14D4">
        <w:t xml:space="preserve"> </w:t>
      </w:r>
      <w:r w:rsidR="00D8608A" w:rsidRPr="00D8608A">
        <w:t xml:space="preserve">processing skills </w:t>
      </w:r>
      <w:r w:rsidR="00522FAC" w:rsidRPr="00522FAC">
        <w:t>–</w:t>
      </w:r>
      <w:r w:rsidR="00D8608A" w:rsidRPr="00D8608A">
        <w:t xml:space="preserve"> literacy, numeracy and problem solving</w:t>
      </w:r>
      <w:r>
        <w:t xml:space="preserve"> in </w:t>
      </w:r>
      <w:r w:rsidR="00D8608A" w:rsidRPr="00D8608A">
        <w:t>technology</w:t>
      </w:r>
      <w:r w:rsidR="00BF14D4">
        <w:t xml:space="preserve"> </w:t>
      </w:r>
      <w:r w:rsidR="00D8608A" w:rsidRPr="00D8608A">
        <w:t>rich environments</w:t>
      </w:r>
      <w:r w:rsidR="00D8608A">
        <w:t xml:space="preserve">) </w:t>
      </w:r>
      <w:r>
        <w:t>in shaping productivity. The 2023 data was used to analyse the relationship between productivity and the level and allocation of skills across industries for participating countries, with the results showing that differences in adult skill levels accounted for a quarter of the productivity gap between the OECD average and the productivity level of the three top performing countries. Skill matching was also found to be important, as productivity was also higher in countries where labour market mismatches were lower</w:t>
      </w:r>
      <w:sdt>
        <w:sdtPr>
          <w:id w:val="1295486321"/>
          <w:citation/>
        </w:sdtPr>
        <w:sdtContent>
          <w:r>
            <w:fldChar w:fldCharType="begin"/>
          </w:r>
          <w:r>
            <w:instrText xml:space="preserve"> CITATION And25 \l 3081 </w:instrText>
          </w:r>
          <w:r>
            <w:fldChar w:fldCharType="separate"/>
          </w:r>
          <w:r w:rsidR="00D52996">
            <w:rPr>
              <w:noProof/>
            </w:rPr>
            <w:t xml:space="preserve"> (Andrews, Egert, &amp; de la Maisonneuve, 2025)</w:t>
          </w:r>
          <w:r>
            <w:fldChar w:fldCharType="end"/>
          </w:r>
        </w:sdtContent>
      </w:sdt>
      <w:r>
        <w:t xml:space="preserve">. </w:t>
      </w:r>
    </w:p>
    <w:p w14:paraId="22EB9EC7" w14:textId="01A19BAC" w:rsidR="00605EB3" w:rsidRDefault="00605EB3" w:rsidP="00782D2C">
      <w:pPr>
        <w:pStyle w:val="BodyText"/>
      </w:pPr>
      <w:r>
        <w:t>As described in last year’s Jobs and Skills Report, the most recent Australian data available on adult foundation skills is from when PIAAC was last conducted in Australia in 2011</w:t>
      </w:r>
      <w:r w:rsidR="003512FC">
        <w:t>–</w:t>
      </w:r>
      <w:r>
        <w:t xml:space="preserve">12. </w:t>
      </w:r>
      <w:r w:rsidRPr="00A9730E">
        <w:t xml:space="preserve">While Australia </w:t>
      </w:r>
      <w:r w:rsidR="00F452F6">
        <w:t xml:space="preserve">has </w:t>
      </w:r>
      <w:r w:rsidRPr="00A9730E">
        <w:t>committed to rejoining PIAAC, the next round of data collection will occur from 2025-2029. To</w:t>
      </w:r>
      <w:r>
        <w:t xml:space="preserve"> help expand the evidence base and complement this forthcoming data, JSA is currently undertaking four major pieces of work to better understand the current foundation skills levels of Australian adults: </w:t>
      </w:r>
    </w:p>
    <w:p w14:paraId="4436EBFE" w14:textId="77777777" w:rsidR="00605EB3" w:rsidRPr="00605EB3" w:rsidRDefault="00605EB3" w:rsidP="00782D2C">
      <w:pPr>
        <w:pStyle w:val="ListBullet"/>
      </w:pPr>
      <w:r>
        <w:t xml:space="preserve">A </w:t>
      </w:r>
      <w:r w:rsidRPr="00605EB3">
        <w:t>national survey of adult literacy and numeracy skills, known as Understanding Skills Across Australia.</w:t>
      </w:r>
    </w:p>
    <w:p w14:paraId="0A0855DB" w14:textId="77777777" w:rsidR="00605EB3" w:rsidRPr="00605EB3" w:rsidRDefault="00605EB3" w:rsidP="00782D2C">
      <w:pPr>
        <w:pStyle w:val="ListBullet"/>
      </w:pPr>
      <w:r>
        <w:t xml:space="preserve">The </w:t>
      </w:r>
      <w:r w:rsidRPr="00605EB3">
        <w:t>Murtu Yayngiliyn (Walking Together) study – a study into how best to collect the literacy, numeracy, and digital literacy skill levels of First Nations people.</w:t>
      </w:r>
    </w:p>
    <w:p w14:paraId="7CD25938" w14:textId="77777777" w:rsidR="00605EB3" w:rsidRPr="00605EB3" w:rsidRDefault="00605EB3" w:rsidP="00782D2C">
      <w:pPr>
        <w:pStyle w:val="ListBullet"/>
      </w:pPr>
      <w:r>
        <w:t xml:space="preserve">The administrative data project, which analyses Commonwealth administrative and other data to gain insights into the skill levels for priority groups of interest. </w:t>
      </w:r>
    </w:p>
    <w:p w14:paraId="2CB5AF0F" w14:textId="77777777" w:rsidR="00605EB3" w:rsidRPr="00605EB3" w:rsidRDefault="00605EB3" w:rsidP="00782D2C">
      <w:pPr>
        <w:pStyle w:val="ListBullet"/>
      </w:pPr>
      <w:r>
        <w:t>A scoping study to help define what digital literacy is for Australia’s purposes.</w:t>
      </w:r>
    </w:p>
    <w:p w14:paraId="510993B6" w14:textId="1B308EE9" w:rsidR="00605EB3" w:rsidRDefault="00605EB3" w:rsidP="00782D2C">
      <w:pPr>
        <w:pStyle w:val="BodyText"/>
      </w:pPr>
      <w:r w:rsidDel="00610DEC">
        <w:t xml:space="preserve">While work is underway on the other elements, </w:t>
      </w:r>
      <w:r>
        <w:t>the administrative</w:t>
      </w:r>
      <w:r w:rsidRPr="0027678D">
        <w:t xml:space="preserve"> data project </w:t>
      </w:r>
      <w:r w:rsidRPr="008D7426">
        <w:t>offers valuable insights, especially for programs focused on foundation skills.</w:t>
      </w:r>
      <w:r w:rsidRPr="00605EB3">
        <w:t xml:space="preserve"> </w:t>
      </w:r>
      <w:r>
        <w:t>JSA’s focus has been on programs designed to lift people’s foundation skills or where foundation skills assessment</w:t>
      </w:r>
      <w:r w:rsidR="00051D4F">
        <w:t>s</w:t>
      </w:r>
      <w:r>
        <w:t xml:space="preserve"> are done as part of engagement with education and training. Administrative data has some analytical limitations – for example, it may not capture all the variables needed to answer a specific research question, and data quality may vary. However, it covers larger populations than traditional surveys, and provides insights on specific populations not typically captured in traditional surveys. </w:t>
      </w:r>
    </w:p>
    <w:p w14:paraId="77748EF8" w14:textId="77777777" w:rsidR="00605EB3" w:rsidRDefault="00605EB3" w:rsidP="008F06FF">
      <w:pPr>
        <w:pStyle w:val="BodyText"/>
        <w:keepNext/>
      </w:pPr>
      <w:r>
        <w:t>Key insights from the analysis include:</w:t>
      </w:r>
    </w:p>
    <w:p w14:paraId="4D9DC8D6" w14:textId="24C6CDC7" w:rsidR="00605EB3" w:rsidRPr="00605EB3" w:rsidRDefault="00DF2F1A" w:rsidP="008F06FF">
      <w:pPr>
        <w:pStyle w:val="ListBullet"/>
        <w:keepNext/>
      </w:pPr>
      <w:r>
        <w:t>W</w:t>
      </w:r>
      <w:r w:rsidR="00605EB3" w:rsidRPr="00BD6AB7">
        <w:t xml:space="preserve">omen </w:t>
      </w:r>
      <w:r w:rsidR="002A1C6F">
        <w:t xml:space="preserve">participating in foundation skills programs </w:t>
      </w:r>
      <w:r w:rsidR="00605EB3" w:rsidRPr="00BD6AB7">
        <w:t xml:space="preserve">tend to demonstrate slightly higher proficiency in literacy and slightly lower proficiency in numeracy as compared to men. </w:t>
      </w:r>
    </w:p>
    <w:p w14:paraId="392EA69D" w14:textId="77777777" w:rsidR="00605EB3" w:rsidRPr="00605EB3" w:rsidRDefault="00605EB3" w:rsidP="00782D2C">
      <w:pPr>
        <w:pStyle w:val="ListBullet"/>
      </w:pPr>
      <w:r w:rsidRPr="001331DB">
        <w:t>First Nations participants in foundation skills programs ha</w:t>
      </w:r>
      <w:r w:rsidRPr="00605EB3">
        <w:t xml:space="preserve">d noticeably better oral communication skills than other foundation skills. The biggest difference was as compared to writing skills, for which a higher proportion of participants had lower levels of proficiency. </w:t>
      </w:r>
    </w:p>
    <w:p w14:paraId="4DBAABF4" w14:textId="77777777" w:rsidR="00605EB3" w:rsidRPr="00605EB3" w:rsidRDefault="00605EB3" w:rsidP="002E6277">
      <w:pPr>
        <w:pStyle w:val="ListBullet"/>
        <w:keepLines/>
        <w:ind w:left="357" w:hanging="357"/>
      </w:pPr>
      <w:r w:rsidRPr="006E598B">
        <w:t xml:space="preserve">The proportion of people from a CALD background participating in foundation skills programs is </w:t>
      </w:r>
      <w:r w:rsidRPr="00605EB3">
        <w:t xml:space="preserve">generally bigger than the representative proportion of CALD people in the Australian population. While this doesn’t confirm that all barriers to accessing or participating in these programs have been removed, it may suggest that the programs are reaching CALD communities effectively and meeting a recognised need. </w:t>
      </w:r>
    </w:p>
    <w:p w14:paraId="0D637E18" w14:textId="77777777" w:rsidR="00605EB3" w:rsidRPr="00605EB3" w:rsidRDefault="00605EB3" w:rsidP="00782D2C">
      <w:pPr>
        <w:pStyle w:val="ListBullet"/>
      </w:pPr>
      <w:r w:rsidRPr="009A7666">
        <w:t>Recent migrants with a CALD background had lower foundation skills across the board than those who were currently active in the labour force. Those from a CALD background also had lower numeracy and digital literacy skills than other participants, and this was true across most of the included foundation skills programs.</w:t>
      </w:r>
    </w:p>
    <w:p w14:paraId="3CE91903" w14:textId="77777777" w:rsidR="00605EB3" w:rsidRPr="00605EB3" w:rsidRDefault="00605EB3" w:rsidP="00782D2C">
      <w:pPr>
        <w:pStyle w:val="ListBullet"/>
      </w:pPr>
      <w:r w:rsidRPr="00CF5327">
        <w:t xml:space="preserve">For individuals undertaking a VET </w:t>
      </w:r>
      <w:r w:rsidRPr="00605EB3">
        <w:t xml:space="preserve">qualification or unit, the subject load pass rate and qualification completion data indicate that people with disability are equally likely to successfully complete foundation skills training as other individuals. </w:t>
      </w:r>
    </w:p>
    <w:p w14:paraId="55716E11" w14:textId="77777777" w:rsidR="00605EB3" w:rsidRDefault="00605EB3" w:rsidP="00782D2C">
      <w:pPr>
        <w:pStyle w:val="BodyText"/>
      </w:pPr>
      <w:r w:rsidRPr="00D82914">
        <w:t>While administrative data cannot fully capture the foundation skills of all Australian adults, it offers valuable insights into the experiences and outcomes of those who participate in targeted programs. These findings highlight the importance of improving data collection – particularly for people with disability – and suggest future reporting could benefit from more granular analysis, including intersectionality across priority groups, geographic remoteness, and education</w:t>
      </w:r>
      <w:r>
        <w:t>al</w:t>
      </w:r>
      <w:r w:rsidRPr="00D82914">
        <w:t xml:space="preserve"> background.</w:t>
      </w:r>
    </w:p>
    <w:p w14:paraId="7B98642E" w14:textId="77777777" w:rsidR="00605EB3" w:rsidRDefault="00605EB3" w:rsidP="007259EC">
      <w:pPr>
        <w:pStyle w:val="Heading2"/>
      </w:pPr>
      <w:bookmarkStart w:id="123" w:name="_Toc204265319"/>
      <w:bookmarkStart w:id="124" w:name="_Toc207643459"/>
      <w:bookmarkStart w:id="125" w:name="_Toc208923388"/>
      <w:bookmarkStart w:id="126" w:name="_Toc211587003"/>
      <w:bookmarkStart w:id="127" w:name="_Toc204265325"/>
      <w:r>
        <w:t>I</w:t>
      </w:r>
      <w:r w:rsidRPr="000F3357">
        <w:t xml:space="preserve">nclusivity </w:t>
      </w:r>
      <w:r>
        <w:t>and</w:t>
      </w:r>
      <w:r w:rsidRPr="000F3357">
        <w:t xml:space="preserve"> shortage pressures</w:t>
      </w:r>
      <w:bookmarkEnd w:id="123"/>
      <w:bookmarkEnd w:id="124"/>
      <w:bookmarkEnd w:id="125"/>
      <w:bookmarkEnd w:id="126"/>
    </w:p>
    <w:p w14:paraId="20482908" w14:textId="1C4797CA" w:rsidR="00605EB3" w:rsidRDefault="00605EB3" w:rsidP="00782D2C">
      <w:pPr>
        <w:pStyle w:val="BodyText"/>
      </w:pPr>
      <w:r w:rsidRPr="00CF7085">
        <w:t>Beyond the ethical case, inclusive participation is an economic imperative. Diverse teams drive innovation and productivity, while inclusive hiring expands access to underrepresented talent.</w:t>
      </w:r>
      <w:r w:rsidRPr="0096715B">
        <w:t xml:space="preserve"> </w:t>
      </w:r>
      <w:r>
        <w:t xml:space="preserve">Analysis from the </w:t>
      </w:r>
      <w:r w:rsidRPr="001015CB">
        <w:t>OSL</w:t>
      </w:r>
      <w:r w:rsidRPr="00C91C22">
        <w:t xml:space="preserve"> point</w:t>
      </w:r>
      <w:r>
        <w:t>s</w:t>
      </w:r>
      <w:r w:rsidRPr="00C91C22">
        <w:t xml:space="preserve"> to the importance of </w:t>
      </w:r>
      <w:r>
        <w:t xml:space="preserve">increasing participation, </w:t>
      </w:r>
      <w:r w:rsidRPr="00C91C22">
        <w:t>changing workplace culture</w:t>
      </w:r>
      <w:r>
        <w:t>,</w:t>
      </w:r>
      <w:r w:rsidRPr="00C91C22">
        <w:t xml:space="preserve"> and increasing diversity and inclusiveness as a way to alleviate shortage pressures</w:t>
      </w:r>
      <w:r w:rsidRPr="005A2589">
        <w:t>.</w:t>
      </w:r>
    </w:p>
    <w:p w14:paraId="0B5AD62D" w14:textId="2E981C88" w:rsidR="00605EB3" w:rsidRDefault="00605EB3" w:rsidP="00782D2C">
      <w:pPr>
        <w:pStyle w:val="BodyText"/>
      </w:pPr>
      <w:r>
        <w:t>Last year’s Jobs and Skills Report showed the importance of inclusivity to addressing shortage pressures. It showe</w:t>
      </w:r>
      <w:r w:rsidRPr="004308E6">
        <w:t xml:space="preserve">d </w:t>
      </w:r>
      <w:r w:rsidRPr="00CF7085">
        <w:t xml:space="preserve">that gender-imbalanced occupations were more likely to be in shortage, and </w:t>
      </w:r>
      <w:r w:rsidR="009B1977">
        <w:t xml:space="preserve">that </w:t>
      </w:r>
      <w:r w:rsidRPr="00CF7085">
        <w:t xml:space="preserve">age-inclusive practices could </w:t>
      </w:r>
      <w:r w:rsidR="00416B34">
        <w:t xml:space="preserve">also </w:t>
      </w:r>
      <w:r w:rsidRPr="00CF7085">
        <w:t xml:space="preserve">help address </w:t>
      </w:r>
      <w:r w:rsidR="00416B34">
        <w:t>shortages</w:t>
      </w:r>
      <w:r>
        <w:t xml:space="preserve">. This year, analysis has shown that occupations with a lower share of First Nations workers, people with disability, older </w:t>
      </w:r>
      <w:r w:rsidRPr="00605EB3">
        <w:t>or</w:t>
      </w:r>
      <w:r>
        <w:t xml:space="preserve"> younger workers were more likely to be in shortage. Additional analysis has also been undertaken that unpacks these findings further – </w:t>
      </w:r>
      <w:r w:rsidRPr="008D7426">
        <w:t>underscoring the link between inclusive workplaces, well</w:t>
      </w:r>
      <w:r w:rsidR="00F76AA4">
        <w:noBreakHyphen/>
      </w:r>
      <w:r w:rsidRPr="008D7426">
        <w:t>matched skills, and reduced occupation shortages</w:t>
      </w:r>
      <w:r>
        <w:t xml:space="preserve">. </w:t>
      </w:r>
    </w:p>
    <w:p w14:paraId="36D72DA7" w14:textId="77777777" w:rsidR="00605EB3" w:rsidRPr="009D15ED" w:rsidRDefault="00605EB3" w:rsidP="007259EC">
      <w:pPr>
        <w:pStyle w:val="Heading3"/>
      </w:pPr>
      <w:bookmarkStart w:id="128" w:name="_Toc211587004"/>
      <w:r>
        <w:t>First Nations people</w:t>
      </w:r>
      <w:bookmarkEnd w:id="128"/>
      <w:r>
        <w:t xml:space="preserve"> </w:t>
      </w:r>
    </w:p>
    <w:p w14:paraId="77FF2712" w14:textId="74E73AEA" w:rsidR="00605EB3" w:rsidRDefault="00605EB3" w:rsidP="00782D2C">
      <w:pPr>
        <w:pStyle w:val="BodyText"/>
      </w:pPr>
      <w:r>
        <w:t xml:space="preserve">Occupations with a lower share of First Nations people in their workforce are more likely to be in shortage than those that are more inclusive. </w:t>
      </w:r>
      <w:r w:rsidRPr="009E1E08">
        <w:t>First Nations people are underrepresented in high-skill occupations, especially in the Professionals group</w:t>
      </w:r>
      <w:r w:rsidR="00B23E31">
        <w:t xml:space="preserve"> (</w:t>
      </w:r>
      <w:r w:rsidR="00B23E31">
        <w:fldChar w:fldCharType="begin"/>
      </w:r>
      <w:r w:rsidR="00B23E31">
        <w:instrText xml:space="preserve"> REF _Ref206668414 \h </w:instrText>
      </w:r>
      <w:r w:rsidR="00B23E31">
        <w:fldChar w:fldCharType="separate"/>
      </w:r>
      <w:r w:rsidR="009E6E1D">
        <w:t xml:space="preserve">Figure </w:t>
      </w:r>
      <w:r w:rsidR="009E6E1D">
        <w:rPr>
          <w:noProof/>
        </w:rPr>
        <w:t>17</w:t>
      </w:r>
      <w:r w:rsidR="00B23E31">
        <w:fldChar w:fldCharType="end"/>
      </w:r>
      <w:r w:rsidR="00B23E31">
        <w:t>)</w:t>
      </w:r>
      <w:r w:rsidRPr="009E1E08">
        <w:t>. In 2025, one-third of Professional roles had less than 0.5% First Nations workers, while only 9% had 2.5% or more. This is the lowest representation among all major occupation groups.</w:t>
      </w:r>
    </w:p>
    <w:p w14:paraId="128AE1B7" w14:textId="35315EE0" w:rsidR="00605EB3" w:rsidRPr="00605EB3" w:rsidRDefault="00605EB3" w:rsidP="00605EB3">
      <w:pPr>
        <w:pStyle w:val="Caption"/>
      </w:pPr>
      <w:bookmarkStart w:id="129" w:name="_Ref206668414"/>
      <w:bookmarkStart w:id="130" w:name="_Toc207899192"/>
      <w:bookmarkStart w:id="131" w:name="_Toc211604166"/>
      <w:r>
        <w:t xml:space="preserve">Figure </w:t>
      </w:r>
      <w:r w:rsidRPr="00605EB3">
        <w:fldChar w:fldCharType="begin"/>
      </w:r>
      <w:r w:rsidRPr="00605EB3">
        <w:instrText xml:space="preserve"> SEQ Figure \* ARABIC </w:instrText>
      </w:r>
      <w:r w:rsidRPr="00605EB3">
        <w:fldChar w:fldCharType="separate"/>
      </w:r>
      <w:r w:rsidR="009E6E1D">
        <w:rPr>
          <w:noProof/>
        </w:rPr>
        <w:t>17</w:t>
      </w:r>
      <w:r w:rsidRPr="00605EB3">
        <w:fldChar w:fldCharType="end"/>
      </w:r>
      <w:bookmarkEnd w:id="129"/>
      <w:r w:rsidRPr="00605EB3">
        <w:t xml:space="preserve">: Distribution of First Nations people in </w:t>
      </w:r>
      <w:r w:rsidR="00FD330B">
        <w:t xml:space="preserve">the </w:t>
      </w:r>
      <w:r w:rsidRPr="00605EB3">
        <w:t xml:space="preserve">workforce by </w:t>
      </w:r>
      <w:r w:rsidR="00D9401E">
        <w:t xml:space="preserve">occupation </w:t>
      </w:r>
      <w:r w:rsidRPr="00605EB3">
        <w:t>major group</w:t>
      </w:r>
      <w:bookmarkEnd w:id="130"/>
      <w:bookmarkEnd w:id="131"/>
    </w:p>
    <w:p w14:paraId="25054AD6" w14:textId="6D50B02A" w:rsidR="00171A71" w:rsidRDefault="00171A71" w:rsidP="00ED4661">
      <w:pPr>
        <w:pStyle w:val="Source"/>
      </w:pPr>
      <w:r w:rsidRPr="00171A71">
        <w:rPr>
          <w:noProof/>
        </w:rPr>
        <w:drawing>
          <wp:inline distT="0" distB="0" distL="0" distR="0" wp14:anchorId="2E270C73" wp14:editId="5FA1A809">
            <wp:extent cx="5943600" cy="3143250"/>
            <wp:effectExtent l="0" t="0" r="0" b="0"/>
            <wp:docPr id="2070855383" name="Picture 8" descr="Figure shows the degree to which occupations within a sector have fist nations representation. 33% of occupations in the professionals major group have no more than 0.5% Frist Nations People, compared to 18% across all occup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855383" name="Picture 8" descr="Figure shows the degree to which occupations within a sector have fist nations representation. 33% of occupations in the professionals major group have no more than 0.5% Frist Nations People, compared to 18% across all occupations"/>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3600" cy="3143250"/>
                    </a:xfrm>
                    <a:prstGeom prst="rect">
                      <a:avLst/>
                    </a:prstGeom>
                    <a:noFill/>
                    <a:ln>
                      <a:noFill/>
                    </a:ln>
                  </pic:spPr>
                </pic:pic>
              </a:graphicData>
            </a:graphic>
          </wp:inline>
        </w:drawing>
      </w:r>
    </w:p>
    <w:p w14:paraId="2678B28D" w14:textId="140F2B85" w:rsidR="007E293D" w:rsidRDefault="00817A5C" w:rsidP="00ED4661">
      <w:pPr>
        <w:pStyle w:val="Source"/>
      </w:pPr>
      <w:r>
        <w:t>Source:</w:t>
      </w:r>
      <w:r w:rsidR="006C610A">
        <w:t xml:space="preserve"> </w:t>
      </w:r>
      <w:r w:rsidR="00350CC2" w:rsidRPr="00350CC2">
        <w:t xml:space="preserve">JSA, </w:t>
      </w:r>
      <w:r w:rsidR="00814050">
        <w:t>OSL</w:t>
      </w:r>
      <w:r w:rsidR="00350CC2" w:rsidRPr="00350CC2">
        <w:t>, 2025; ABS, 2021 Census of Population and Housing.</w:t>
      </w:r>
    </w:p>
    <w:p w14:paraId="65E7D942" w14:textId="150F838F" w:rsidR="00605EB3" w:rsidRPr="00C77824" w:rsidRDefault="00605EB3" w:rsidP="00782D2C">
      <w:pPr>
        <w:pStyle w:val="BodyText"/>
      </w:pPr>
      <w:r w:rsidRPr="00C17314">
        <w:t>Occupations with fewer First Nations workers tend to have higher rates of shortages. Across all occupations, those with less than 0.5% First Nations representation had a 34% shortage rate, compared to 29% for occupations with higher representation</w:t>
      </w:r>
      <w:r w:rsidR="00E3251E">
        <w:t xml:space="preserve"> (</w:t>
      </w:r>
      <w:r w:rsidR="00AF07D4">
        <w:fldChar w:fldCharType="begin"/>
      </w:r>
      <w:r w:rsidR="00AF07D4">
        <w:instrText xml:space="preserve"> REF _Ref208923614 \h </w:instrText>
      </w:r>
      <w:r w:rsidR="00AF07D4">
        <w:fldChar w:fldCharType="separate"/>
      </w:r>
      <w:r w:rsidR="009E6E1D">
        <w:t xml:space="preserve">Figure </w:t>
      </w:r>
      <w:r w:rsidR="009E6E1D">
        <w:rPr>
          <w:noProof/>
        </w:rPr>
        <w:t>18</w:t>
      </w:r>
      <w:r w:rsidR="00AF07D4">
        <w:fldChar w:fldCharType="end"/>
      </w:r>
      <w:r w:rsidR="00AF07D4">
        <w:t>)</w:t>
      </w:r>
      <w:r w:rsidRPr="00C17314">
        <w:t>. For Professionals, the trend is even clearer</w:t>
      </w:r>
      <w:r>
        <w:t>, with</w:t>
      </w:r>
      <w:r w:rsidRPr="00C17314">
        <w:t xml:space="preserve"> shortages dropp</w:t>
      </w:r>
      <w:r>
        <w:t>ing</w:t>
      </w:r>
      <w:r w:rsidRPr="00C17314">
        <w:t xml:space="preserve"> from 46% to just 14%</w:t>
      </w:r>
      <w:r>
        <w:t>.</w:t>
      </w:r>
    </w:p>
    <w:p w14:paraId="0A869B36" w14:textId="3AC2651A" w:rsidR="00605EB3" w:rsidRPr="00605EB3" w:rsidRDefault="00605EB3" w:rsidP="00605EB3">
      <w:pPr>
        <w:pStyle w:val="Caption"/>
      </w:pPr>
      <w:bookmarkStart w:id="132" w:name="_Ref208923614"/>
      <w:bookmarkStart w:id="133" w:name="_Toc208388131"/>
      <w:bookmarkStart w:id="134" w:name="_Toc208394977"/>
      <w:bookmarkStart w:id="135" w:name="_Toc211604167"/>
      <w:r>
        <w:t xml:space="preserve">Figure </w:t>
      </w:r>
      <w:r w:rsidRPr="00605EB3">
        <w:fldChar w:fldCharType="begin"/>
      </w:r>
      <w:r w:rsidRPr="00605EB3">
        <w:instrText xml:space="preserve"> SEQ Figure \* ARABIC </w:instrText>
      </w:r>
      <w:r w:rsidRPr="00605EB3">
        <w:fldChar w:fldCharType="separate"/>
      </w:r>
      <w:r w:rsidR="009E6E1D">
        <w:rPr>
          <w:noProof/>
        </w:rPr>
        <w:t>18</w:t>
      </w:r>
      <w:r w:rsidRPr="00605EB3">
        <w:fldChar w:fldCharType="end"/>
      </w:r>
      <w:bookmarkEnd w:id="132"/>
      <w:r w:rsidRPr="00605EB3">
        <w:t>: Percentage of occupations in shortage (%), by composition of First Nations people</w:t>
      </w:r>
      <w:bookmarkEnd w:id="133"/>
      <w:bookmarkEnd w:id="134"/>
      <w:bookmarkEnd w:id="135"/>
    </w:p>
    <w:p w14:paraId="68FD1F1C" w14:textId="66518CFE" w:rsidR="00605EB3" w:rsidRPr="00660B44" w:rsidRDefault="00E0714B" w:rsidP="00605EB3">
      <w:pPr>
        <w:pStyle w:val="Source"/>
      </w:pPr>
      <w:r w:rsidRPr="00E0714B">
        <w:rPr>
          <w:noProof/>
        </w:rPr>
        <w:drawing>
          <wp:inline distT="0" distB="0" distL="0" distR="0" wp14:anchorId="0EA620AF" wp14:editId="726BE175">
            <wp:extent cx="5948045" cy="3366770"/>
            <wp:effectExtent l="0" t="0" r="0" b="5080"/>
            <wp:docPr id="902565857" name="Picture 22" descr="Figure shows the percentage of occupations in shortage in 2025, across all occupations (left panel) and for Professionals occupations (right panel), by the composition of First Nations workers. &#10;In 2025, for all occupations (left panel) with 0.5% or fewer First Nations people, 34% were in shortage. This percentage was higher compared to occupations with at least 0.5% First Nations people. Specifically, occupations between 0.5% and 2.5% First Nations people, as well as those with at least 2.5%, each had a shortage rate of 29%. This declining trend is much clearer in Professionals occupations (right panel), in which the percentage of shortages was: 46% for occupations with no more than 0.5% First Nations people; 41% for occupations with between 0.5% and 2.5% First Nations people ; 14% for occupations with at least 2.5% First Nations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565857" name="Picture 22" descr="Figure shows the percentage of occupations in shortage in 2025, across all occupations (left panel) and for Professionals occupations (right panel), by the composition of First Nations workers. &#10;In 2025, for all occupations (left panel) with 0.5% or fewer First Nations people, 34% were in shortage. This percentage was higher compared to occupations with at least 0.5% First Nations people. Specifically, occupations between 0.5% and 2.5% First Nations people, as well as those with at least 2.5%, each had a shortage rate of 29%. This declining trend is much clearer in Professionals occupations (right panel), in which the percentage of shortages was: 46% for occupations with no more than 0.5% First Nations people; 41% for occupations with between 0.5% and 2.5% First Nations people ; 14% for occupations with at least 2.5% First Nations peopl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8045" cy="3366770"/>
                    </a:xfrm>
                    <a:prstGeom prst="rect">
                      <a:avLst/>
                    </a:prstGeom>
                    <a:noFill/>
                    <a:ln>
                      <a:noFill/>
                    </a:ln>
                  </pic:spPr>
                </pic:pic>
              </a:graphicData>
            </a:graphic>
          </wp:inline>
        </w:drawing>
      </w:r>
      <w:r w:rsidR="00605EB3">
        <w:br/>
      </w:r>
      <w:r w:rsidR="00537C97">
        <w:t xml:space="preserve">Source: </w:t>
      </w:r>
      <w:r w:rsidR="00454B2C" w:rsidRPr="00454B2C">
        <w:t xml:space="preserve">JSA, </w:t>
      </w:r>
      <w:r w:rsidR="009D3117">
        <w:t>OSL</w:t>
      </w:r>
      <w:r w:rsidR="00454B2C" w:rsidRPr="00454B2C">
        <w:t>, 2025; ABS, 2021 Census of Population and Housing.</w:t>
      </w:r>
      <w:r w:rsidR="00605EB3">
        <w:br/>
        <w:t>N</w:t>
      </w:r>
      <w:r w:rsidR="00605EB3" w:rsidRPr="003D7013">
        <w:t>ote</w:t>
      </w:r>
      <w:r w:rsidR="00605EB3">
        <w:t>:</w:t>
      </w:r>
      <w:r w:rsidR="00605EB3" w:rsidRPr="003D7013">
        <w:t xml:space="preserve"> </w:t>
      </w:r>
      <w:r w:rsidR="00605EB3">
        <w:t>R</w:t>
      </w:r>
      <w:r w:rsidR="00605EB3" w:rsidRPr="003D7013">
        <w:t>esults from previous years exhibit similar trends; for clarity of presentation, only the 2025 OSL results are shown</w:t>
      </w:r>
      <w:r w:rsidR="00605EB3">
        <w:t>.</w:t>
      </w:r>
    </w:p>
    <w:p w14:paraId="6D277864" w14:textId="77777777" w:rsidR="00605EB3" w:rsidRDefault="00605EB3" w:rsidP="00605EB3"/>
    <w:p w14:paraId="1E427BA8" w14:textId="500BCDC1" w:rsidR="00605EB3" w:rsidRPr="003343E8" w:rsidRDefault="00605EB3" w:rsidP="00782D2C">
      <w:pPr>
        <w:pStyle w:val="BodyText"/>
      </w:pPr>
      <w:r w:rsidRPr="003343E8">
        <w:t>This suggests that increasing First Nations participation in skilled roles could help reduce shortages</w:t>
      </w:r>
      <w:r>
        <w:t xml:space="preserve">. </w:t>
      </w:r>
      <w:r w:rsidRPr="003343E8">
        <w:t>Encouraging diversity and inclusion in these sectors could make a meaningful difference in addressing workforce gaps</w:t>
      </w:r>
      <w:r w:rsidR="00DF2F1A">
        <w:t>.</w:t>
      </w:r>
    </w:p>
    <w:p w14:paraId="778EA216" w14:textId="77777777" w:rsidR="00605EB3" w:rsidRDefault="00605EB3" w:rsidP="007259EC">
      <w:pPr>
        <w:pStyle w:val="Heading3"/>
      </w:pPr>
      <w:bookmarkStart w:id="136" w:name="_Toc211587005"/>
      <w:r>
        <w:t>People with disability</w:t>
      </w:r>
      <w:bookmarkEnd w:id="136"/>
    </w:p>
    <w:p w14:paraId="35ED1FD4" w14:textId="77777777" w:rsidR="00605EB3" w:rsidRPr="00D84449" w:rsidRDefault="00605EB3" w:rsidP="00782D2C">
      <w:pPr>
        <w:pStyle w:val="BodyText"/>
      </w:pPr>
      <w:r w:rsidRPr="00475E3B">
        <w:t>People with disability continue to face major challenges in finding and keeping work.</w:t>
      </w:r>
      <w:r w:rsidRPr="00D84449">
        <w:t> Their employment rates are lower, and they are more likely to be underemployed compared to the general population.</w:t>
      </w:r>
    </w:p>
    <w:p w14:paraId="64EAC8FA" w14:textId="466F382F" w:rsidR="00605EB3" w:rsidRPr="00D84449" w:rsidRDefault="00605EB3" w:rsidP="00782D2C">
      <w:pPr>
        <w:pStyle w:val="BodyText"/>
      </w:pPr>
      <w:r w:rsidRPr="00D84449">
        <w:t xml:space="preserve">Workplaces with fewer employees identifying as </w:t>
      </w:r>
      <w:r w:rsidR="005B0BD2">
        <w:t>a person with</w:t>
      </w:r>
      <w:r w:rsidRPr="00D84449">
        <w:t xml:space="preserve"> disability are more likely to experience skill shortages. This is especially true in the Professionals group, where 58% of occupations with less than 0.5% disability representation are in shortage.</w:t>
      </w:r>
    </w:p>
    <w:p w14:paraId="1E2D0B2B" w14:textId="7A16BBE0" w:rsidR="00605EB3" w:rsidRDefault="00605EB3" w:rsidP="00782D2C">
      <w:pPr>
        <w:pStyle w:val="BodyText"/>
      </w:pPr>
      <w:r>
        <w:t xml:space="preserve">Further to this, </w:t>
      </w:r>
      <w:r>
        <w:fldChar w:fldCharType="begin"/>
      </w:r>
      <w:r>
        <w:instrText xml:space="preserve"> REF _Ref210043353 \h </w:instrText>
      </w:r>
      <w:r w:rsidR="00782D2C">
        <w:instrText xml:space="preserve"> \* MERGEFORMAT </w:instrText>
      </w:r>
      <w:r>
        <w:fldChar w:fldCharType="separate"/>
      </w:r>
      <w:r w:rsidR="009E6E1D">
        <w:t xml:space="preserve">Figure </w:t>
      </w:r>
      <w:r w:rsidR="009E6E1D">
        <w:rPr>
          <w:noProof/>
        </w:rPr>
        <w:t>19</w:t>
      </w:r>
      <w:r>
        <w:fldChar w:fldCharType="end"/>
      </w:r>
      <w:r>
        <w:t xml:space="preserve"> shows that 58% of Professionals occupations and 44% of all occupations with a no greater than 0.5% share of people with disability are in shortage, compared to only 15% of occupations with at least 1% </w:t>
      </w:r>
      <w:r w:rsidR="00365924" w:rsidRPr="00365924">
        <w:t>share of people with disability</w:t>
      </w:r>
      <w:r w:rsidR="0093765D">
        <w:t>.</w:t>
      </w:r>
      <w:r w:rsidR="00365924" w:rsidRPr="00365924">
        <w:t xml:space="preserve"> </w:t>
      </w:r>
    </w:p>
    <w:p w14:paraId="41123D20" w14:textId="009FFCFA" w:rsidR="00605EB3" w:rsidRDefault="00605EB3" w:rsidP="00605EB3">
      <w:pPr>
        <w:pStyle w:val="Caption"/>
      </w:pPr>
      <w:bookmarkStart w:id="137" w:name="_Ref210043353"/>
      <w:bookmarkStart w:id="138" w:name="_Toc211604168"/>
      <w:r>
        <w:t xml:space="preserve">Figure </w:t>
      </w:r>
      <w:r>
        <w:fldChar w:fldCharType="begin"/>
      </w:r>
      <w:r>
        <w:instrText xml:space="preserve"> SEQ Figure \* ARABIC </w:instrText>
      </w:r>
      <w:r>
        <w:fldChar w:fldCharType="separate"/>
      </w:r>
      <w:r w:rsidR="009E6E1D">
        <w:rPr>
          <w:noProof/>
        </w:rPr>
        <w:t>19</w:t>
      </w:r>
      <w:r>
        <w:fldChar w:fldCharType="end"/>
      </w:r>
      <w:bookmarkEnd w:id="137"/>
      <w:r>
        <w:t xml:space="preserve">: </w:t>
      </w:r>
      <w:r w:rsidRPr="00B50903">
        <w:t xml:space="preserve">Percentage of occupations </w:t>
      </w:r>
      <w:r>
        <w:t xml:space="preserve">in </w:t>
      </w:r>
      <w:r w:rsidR="00DF2F1A">
        <w:t>s</w:t>
      </w:r>
      <w:r>
        <w:t>hortage</w:t>
      </w:r>
      <w:r w:rsidRPr="00B50903">
        <w:t xml:space="preserve"> by </w:t>
      </w:r>
      <w:r>
        <w:t>composition of persons with disability</w:t>
      </w:r>
      <w:bookmarkEnd w:id="138"/>
    </w:p>
    <w:p w14:paraId="73BFB98E" w14:textId="428896B6" w:rsidR="00605EB3" w:rsidRDefault="00373AEB" w:rsidP="00605EB3">
      <w:pPr>
        <w:pStyle w:val="Source"/>
      </w:pPr>
      <w:r w:rsidRPr="00373AEB">
        <w:rPr>
          <w:noProof/>
        </w:rPr>
        <w:drawing>
          <wp:inline distT="0" distB="0" distL="0" distR="0" wp14:anchorId="5BE50D1E" wp14:editId="2422FE50">
            <wp:extent cx="5948045" cy="3366770"/>
            <wp:effectExtent l="0" t="0" r="0" b="5080"/>
            <wp:docPr id="319893619" name="Picture 23" descr="Figure presents the percentages of occupations in shortage in 2025, across all occupations (left panel) and for Professionals occupations (right panel), by the composition of persons with disability. In 2025, for all occupations (left panel) comprising: no more than 0.5% of workers with disability, 44% were in shortage; 0.5% to 1% of workers with disability, 29% were in shortage; at least 1% of workers with disability, 15% were in shortage. The right panel shows shortages in Professionals. For Professionals occupations (right panel) comprising: no more than 0.5% of workers with disability, 58% were in shortage; 0.5% to 1% of workers with disability; 35% were in shortage; at least 1% of workers with disability, 15% were in shor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893619" name="Picture 23" descr="Figure presents the percentages of occupations in shortage in 2025, across all occupations (left panel) and for Professionals occupations (right panel), by the composition of persons with disability. In 2025, for all occupations (left panel) comprising: no more than 0.5% of workers with disability, 44% were in shortage; 0.5% to 1% of workers with disability, 29% were in shortage; at least 1% of workers with disability, 15% were in shortage. The right panel shows shortages in Professionals. For Professionals occupations (right panel) comprising: no more than 0.5% of workers with disability, 58% were in shortage; 0.5% to 1% of workers with disability; 35% were in shortage; at least 1% of workers with disability, 15% were in shortag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8045" cy="3366770"/>
                    </a:xfrm>
                    <a:prstGeom prst="rect">
                      <a:avLst/>
                    </a:prstGeom>
                    <a:noFill/>
                    <a:ln>
                      <a:noFill/>
                    </a:ln>
                  </pic:spPr>
                </pic:pic>
              </a:graphicData>
            </a:graphic>
          </wp:inline>
        </w:drawing>
      </w:r>
      <w:r w:rsidR="00605EB3">
        <w:br/>
      </w:r>
      <w:r w:rsidR="00BF02D0">
        <w:t xml:space="preserve">Source: </w:t>
      </w:r>
      <w:r w:rsidR="006A194B" w:rsidRPr="006A194B">
        <w:t xml:space="preserve">JSA, </w:t>
      </w:r>
      <w:r w:rsidR="009D3117">
        <w:t>OSL</w:t>
      </w:r>
      <w:r w:rsidR="006A194B" w:rsidRPr="006A194B">
        <w:t>, 2025; ABS, 2021 Census of Population and Housing.</w:t>
      </w:r>
      <w:r w:rsidR="00605EB3">
        <w:br/>
        <w:t>N</w:t>
      </w:r>
      <w:r w:rsidR="00605EB3" w:rsidRPr="003D7013">
        <w:t>ote</w:t>
      </w:r>
      <w:r w:rsidR="00605EB3">
        <w:t>:</w:t>
      </w:r>
      <w:r w:rsidR="00605EB3" w:rsidRPr="003D7013">
        <w:t xml:space="preserve"> </w:t>
      </w:r>
      <w:r w:rsidR="00605EB3">
        <w:t>R</w:t>
      </w:r>
      <w:r w:rsidR="00605EB3" w:rsidRPr="003D7013">
        <w:t>esults from previous years exhibit similar trends</w:t>
      </w:r>
      <w:r w:rsidR="00605EB3">
        <w:t xml:space="preserve">. </w:t>
      </w:r>
    </w:p>
    <w:p w14:paraId="01E71BE4" w14:textId="762D8C36" w:rsidR="00605EB3" w:rsidRPr="003E77B3" w:rsidRDefault="00605EB3" w:rsidP="00782D2C">
      <w:pPr>
        <w:pStyle w:val="BodyText"/>
      </w:pPr>
      <w:r w:rsidRPr="003E77B3">
        <w:t>These findings suggest that more inclusive workplaces</w:t>
      </w:r>
      <w:r w:rsidR="007E2B58">
        <w:t xml:space="preserve">, </w:t>
      </w:r>
      <w:r w:rsidRPr="003E77B3">
        <w:t>particularly in high-skill professions</w:t>
      </w:r>
      <w:r w:rsidR="007E2B58">
        <w:t>,</w:t>
      </w:r>
      <w:r w:rsidR="00D908AE">
        <w:t xml:space="preserve"> </w:t>
      </w:r>
      <w:r w:rsidRPr="003E77B3">
        <w:t>may help reduce workforce shortages.</w:t>
      </w:r>
    </w:p>
    <w:p w14:paraId="1A25B33A" w14:textId="77777777" w:rsidR="00605EB3" w:rsidRDefault="00605EB3" w:rsidP="007259EC">
      <w:pPr>
        <w:pStyle w:val="Heading3"/>
      </w:pPr>
      <w:bookmarkStart w:id="139" w:name="_Toc211587006"/>
      <w:r>
        <w:t>Younger and older workers</w:t>
      </w:r>
      <w:bookmarkEnd w:id="139"/>
    </w:p>
    <w:p w14:paraId="335970CB" w14:textId="0F2810B5" w:rsidR="00605EB3" w:rsidRDefault="00605EB3" w:rsidP="003512FC">
      <w:pPr>
        <w:pStyle w:val="BodyText"/>
      </w:pPr>
      <w:r>
        <w:t>The average distribution of age groups in the workforce across occupations (in shortage or not)</w:t>
      </w:r>
      <w:r w:rsidRPr="00605EB3">
        <w:t xml:space="preserve"> </w:t>
      </w:r>
      <w:r w:rsidRPr="00DA1CFA">
        <w:t xml:space="preserve">shows that younger workers aged </w:t>
      </w:r>
      <w:r w:rsidR="00F74246">
        <w:t xml:space="preserve">between </w:t>
      </w:r>
      <w:r w:rsidRPr="00DA1CFA">
        <w:t>15-24 years accoun</w:t>
      </w:r>
      <w:r>
        <w:t>t</w:t>
      </w:r>
      <w:r w:rsidRPr="00DA1CFA">
        <w:t xml:space="preserve"> for </w:t>
      </w:r>
      <w:r w:rsidR="002453D7" w:rsidRPr="0057663C">
        <w:t>9% of the workforce across occupations on average, prime age workers aged 25-44 and 45-54 accounted for about 67% together (46% and 21% respectively), while mature age workers aged 55 and above accounted for 23% of the workforce on average</w:t>
      </w:r>
      <w:r w:rsidR="002453D7" w:rsidRPr="002453D7">
        <w:t>.</w:t>
      </w:r>
    </w:p>
    <w:p w14:paraId="0948F97C" w14:textId="49C82DF7" w:rsidR="00605EB3" w:rsidRDefault="00605EB3" w:rsidP="002E6277">
      <w:pPr>
        <w:pStyle w:val="BodyText"/>
        <w:keepLines/>
      </w:pPr>
      <w:bookmarkStart w:id="140" w:name="_Ref206668661"/>
      <w:bookmarkStart w:id="141" w:name="_Toc207899196"/>
      <w:r w:rsidRPr="00BA0853">
        <w:t>Occupations with more mature aged workers tend to have fewer shortages. In 2025, only 20% of occupations with at least 30% older workers were in shortage, compared to 39% of occupations with less than 10% older workers</w:t>
      </w:r>
      <w:r>
        <w:t xml:space="preserve"> (</w:t>
      </w:r>
      <w:r>
        <w:fldChar w:fldCharType="begin"/>
      </w:r>
      <w:r>
        <w:instrText xml:space="preserve"> REF _Ref210043788 \h </w:instrText>
      </w:r>
      <w:r w:rsidR="00782D2C">
        <w:instrText xml:space="preserve"> \* MERGEFORMAT </w:instrText>
      </w:r>
      <w:r>
        <w:fldChar w:fldCharType="separate"/>
      </w:r>
      <w:r w:rsidR="009E6E1D">
        <w:t xml:space="preserve">Figure </w:t>
      </w:r>
      <w:r w:rsidR="009E6E1D">
        <w:rPr>
          <w:noProof/>
        </w:rPr>
        <w:t>20</w:t>
      </w:r>
      <w:r>
        <w:fldChar w:fldCharType="end"/>
      </w:r>
      <w:r>
        <w:t>)</w:t>
      </w:r>
      <w:r w:rsidRPr="00BA0853">
        <w:t>. This pattern is also seen in Professional roles, where shortages were lower (36%) in occupations with more older workers, and higher (41%) in those with fewer.</w:t>
      </w:r>
      <w:bookmarkEnd w:id="140"/>
      <w:bookmarkEnd w:id="141"/>
    </w:p>
    <w:p w14:paraId="4F97C670" w14:textId="450B22E1" w:rsidR="00605EB3" w:rsidRPr="00FD1D90" w:rsidRDefault="00605EB3" w:rsidP="00605EB3">
      <w:pPr>
        <w:pStyle w:val="Caption"/>
      </w:pPr>
      <w:bookmarkStart w:id="142" w:name="_Ref210043788"/>
      <w:bookmarkStart w:id="143" w:name="_Toc211604169"/>
      <w:r>
        <w:t xml:space="preserve">Figure </w:t>
      </w:r>
      <w:r>
        <w:fldChar w:fldCharType="begin"/>
      </w:r>
      <w:r>
        <w:instrText xml:space="preserve"> SEQ Figure \* ARABIC </w:instrText>
      </w:r>
      <w:r>
        <w:fldChar w:fldCharType="separate"/>
      </w:r>
      <w:r w:rsidR="009E6E1D">
        <w:rPr>
          <w:noProof/>
        </w:rPr>
        <w:t>20</w:t>
      </w:r>
      <w:r>
        <w:fldChar w:fldCharType="end"/>
      </w:r>
      <w:bookmarkEnd w:id="142"/>
      <w:r>
        <w:t xml:space="preserve">: </w:t>
      </w:r>
      <w:r w:rsidRPr="004226F6">
        <w:t xml:space="preserve">Percentage of occupations in </w:t>
      </w:r>
      <w:r w:rsidR="00DF2F1A">
        <w:t>s</w:t>
      </w:r>
      <w:r w:rsidRPr="004226F6">
        <w:t>hortage by mature age worker compositio</w:t>
      </w:r>
      <w:r>
        <w:t>n</w:t>
      </w:r>
      <w:bookmarkEnd w:id="143"/>
    </w:p>
    <w:p w14:paraId="0CA49FF7" w14:textId="0E34DC8C" w:rsidR="00605EB3" w:rsidRPr="00660B44" w:rsidRDefault="00955685" w:rsidP="00605EB3">
      <w:pPr>
        <w:pStyle w:val="Source"/>
      </w:pPr>
      <w:r w:rsidRPr="00955685">
        <w:rPr>
          <w:noProof/>
        </w:rPr>
        <w:drawing>
          <wp:inline distT="0" distB="0" distL="0" distR="0" wp14:anchorId="6DE42872" wp14:editId="2C57698C">
            <wp:extent cx="5948045" cy="3361055"/>
            <wp:effectExtent l="0" t="0" r="0" b="0"/>
            <wp:docPr id="1729715497" name="Picture 25" descr="Figure shows the percentage of occupations in shortage in 2025, across all occupations (left panel) and for Professionals occupations (right panel), by the composition of mature aged workers. Figure implies that occupations that were more inclusive of mature aged workers were less likely to be in shortage. In 2025, for all occupations (left panel) with at least 30% of workers aged 55 and above, 20% were in shortage. for Occupations with no more than 10% of workers aged 55 and above, 39% were in shortage. This is particularly evident in Professionals major group (right panel), in which the percentages of shortages were even higher, at 36% and 41% for the two categorised groups respective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715497" name="Picture 25" descr="Figure shows the percentage of occupations in shortage in 2025, across all occupations (left panel) and for Professionals occupations (right panel), by the composition of mature aged workers. Figure implies that occupations that were more inclusive of mature aged workers were less likely to be in shortage. In 2025, for all occupations (left panel) with at least 30% of workers aged 55 and above, 20% were in shortage. for Occupations with no more than 10% of workers aged 55 and above, 39% were in shortage. This is particularly evident in Professionals major group (right panel), in which the percentages of shortages were even higher, at 36% and 41% for the two categorised groups respectively. "/>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48045" cy="3361055"/>
                    </a:xfrm>
                    <a:prstGeom prst="rect">
                      <a:avLst/>
                    </a:prstGeom>
                    <a:noFill/>
                    <a:ln>
                      <a:noFill/>
                    </a:ln>
                  </pic:spPr>
                </pic:pic>
              </a:graphicData>
            </a:graphic>
          </wp:inline>
        </w:drawing>
      </w:r>
      <w:r w:rsidR="00605EB3">
        <w:br/>
      </w:r>
      <w:r w:rsidR="009A57BB">
        <w:t xml:space="preserve">Source: </w:t>
      </w:r>
      <w:r w:rsidR="003934F5" w:rsidRPr="003934F5">
        <w:t xml:space="preserve">JSA, </w:t>
      </w:r>
      <w:r w:rsidR="009D3117">
        <w:t>OSL</w:t>
      </w:r>
      <w:r w:rsidR="003934F5" w:rsidRPr="003934F5">
        <w:t>, 2025; ABS, 2021 Census of Population and Housing.</w:t>
      </w:r>
      <w:r w:rsidR="00605EB3">
        <w:br/>
        <w:t>N</w:t>
      </w:r>
      <w:r w:rsidR="00605EB3" w:rsidRPr="003D7013">
        <w:t>ote</w:t>
      </w:r>
      <w:r w:rsidR="00605EB3">
        <w:t>:</w:t>
      </w:r>
      <w:r w:rsidR="00605EB3" w:rsidRPr="003D7013">
        <w:t xml:space="preserve"> </w:t>
      </w:r>
      <w:r w:rsidR="00605EB3">
        <w:t>R</w:t>
      </w:r>
      <w:r w:rsidR="00605EB3" w:rsidRPr="003D7013">
        <w:t>esults from previous years exhibit similar trends; for clarity of presentation, only the 2025 OSL results are shown</w:t>
      </w:r>
      <w:r w:rsidR="00BB662A">
        <w:t xml:space="preserve"> here</w:t>
      </w:r>
      <w:r w:rsidR="00605EB3" w:rsidRPr="003D7013">
        <w:t>.</w:t>
      </w:r>
    </w:p>
    <w:p w14:paraId="761FE758" w14:textId="77777777" w:rsidR="00605EB3" w:rsidRPr="00FD1D90" w:rsidRDefault="00605EB3" w:rsidP="00782D2C">
      <w:pPr>
        <w:pStyle w:val="BodyText"/>
      </w:pPr>
      <w:r w:rsidRPr="00FD1D90">
        <w:t>Professionals contribute most to shortages in roles with low mature age representation. This trend holds even when using different age definitions or adjusting for occupation size and growth.</w:t>
      </w:r>
    </w:p>
    <w:p w14:paraId="40FB1002" w14:textId="77777777" w:rsidR="00605EB3" w:rsidRPr="00FD1D90" w:rsidRDefault="00605EB3" w:rsidP="00782D2C">
      <w:pPr>
        <w:pStyle w:val="BodyText"/>
      </w:pPr>
      <w:r w:rsidRPr="00FD1D90">
        <w:t>As Australia’s population ages and the economy shifts toward health, education, and other knowledge-based services, attracting more older workers to these growing sectors could help ease labour shortages and support long-term workforce needs.</w:t>
      </w:r>
    </w:p>
    <w:p w14:paraId="7AA1EC13" w14:textId="77777777" w:rsidR="00605EB3" w:rsidRDefault="00605EB3" w:rsidP="007259EC">
      <w:pPr>
        <w:pStyle w:val="Heading3"/>
      </w:pPr>
      <w:bookmarkStart w:id="144" w:name="_Toc211587007"/>
      <w:r>
        <w:t>In summary</w:t>
      </w:r>
      <w:bookmarkEnd w:id="144"/>
      <w:r>
        <w:t xml:space="preserve"> </w:t>
      </w:r>
    </w:p>
    <w:p w14:paraId="30EA7C74" w14:textId="60BDF568" w:rsidR="00605EB3" w:rsidRPr="00B177DD" w:rsidRDefault="00766F81" w:rsidP="00782D2C">
      <w:pPr>
        <w:pStyle w:val="BodyText"/>
      </w:pPr>
      <w:r w:rsidRPr="00766F81">
        <w:t>Workforce inclusivity is both a social and economic priority. New analysis shows that occupations with lower representation of First Nations people, people with disability, and older workers are more likely to be in shortage</w:t>
      </w:r>
      <w:r>
        <w:t>,</w:t>
      </w:r>
      <w:r w:rsidRPr="00766F81">
        <w:t xml:space="preserve"> particularly in high</w:t>
      </w:r>
      <w:r>
        <w:noBreakHyphen/>
      </w:r>
      <w:r w:rsidRPr="00766F81">
        <w:t>skill roles. These findings reinforce the value of inclusive hiring in expanding access to underutilised talent and reducing workforce gaps. As Australia’s population ages and demand grows in knowledge-based sectors, attracting and retaining a more diverse workforce will be critical to meeting future skills needs.</w:t>
      </w:r>
    </w:p>
    <w:p w14:paraId="2EB5492E" w14:textId="77777777" w:rsidR="00605EB3" w:rsidRDefault="00605EB3" w:rsidP="00537382">
      <w:pPr>
        <w:pStyle w:val="Heading2"/>
      </w:pPr>
      <w:bookmarkStart w:id="145" w:name="_Toc207643460"/>
      <w:bookmarkStart w:id="146" w:name="_Toc208923389"/>
      <w:bookmarkStart w:id="147" w:name="_Toc211587008"/>
      <w:bookmarkEnd w:id="127"/>
      <w:r>
        <w:t>Key points from chapter two</w:t>
      </w:r>
      <w:bookmarkEnd w:id="145"/>
      <w:bookmarkEnd w:id="146"/>
      <w:bookmarkEnd w:id="147"/>
    </w:p>
    <w:p w14:paraId="7BC537C8" w14:textId="77777777" w:rsidR="00605EB3" w:rsidRDefault="00605EB3" w:rsidP="002E6277">
      <w:pPr>
        <w:pStyle w:val="BodyText"/>
        <w:keepLines/>
      </w:pPr>
      <w:r>
        <w:t xml:space="preserve">Inclusive participation improves both social and economic prospects for workers. Barriers to employment persist for many cohorts, including women, people with disability, First Nations people, and mature age workers. </w:t>
      </w:r>
      <w:r w:rsidDel="00640ECB">
        <w:t xml:space="preserve">Addressing these barriers requires targeted support, improved access to training, and workplace cultures that value diversity and inclusion. </w:t>
      </w:r>
      <w:r>
        <w:t>Evidence shows that occupations with more inclusive workforces are less likely to be in shortage, particularly when inclusivity is coupled with well-developed and well-matched skills.</w:t>
      </w:r>
    </w:p>
    <w:p w14:paraId="57F9FE33" w14:textId="77777777" w:rsidR="00605EB3" w:rsidRDefault="00605EB3" w:rsidP="00782D2C">
      <w:pPr>
        <w:pStyle w:val="BodyText"/>
      </w:pPr>
      <w:r>
        <w:t xml:space="preserve">Foundation skills – such as literacy, numeracy, digital literacy, and employability – are essential for successful participation in work and society. These skills underpin the ability to learn, adapt, and contribute effectively in the workplace. </w:t>
      </w:r>
      <w:r w:rsidDel="00BF7EAA">
        <w:t>Strengthening foundation skills across the population is critical to improving productivity and ensuring that all Australians can reach their potential.</w:t>
      </w:r>
    </w:p>
    <w:p w14:paraId="2C99BED3" w14:textId="131DD555" w:rsidR="00605EB3" w:rsidRPr="00175443" w:rsidRDefault="00605EB3" w:rsidP="00782D2C">
      <w:pPr>
        <w:pStyle w:val="BodyText"/>
      </w:pPr>
      <w:r>
        <w:t xml:space="preserve">JSA plays a central role in supporting efforts </w:t>
      </w:r>
      <w:r w:rsidR="003E0931">
        <w:t xml:space="preserve">to improve the </w:t>
      </w:r>
      <w:r w:rsidR="003A4D7B">
        <w:t>connection</w:t>
      </w:r>
      <w:r w:rsidR="003E0931">
        <w:t xml:space="preserve"> of </w:t>
      </w:r>
      <w:r w:rsidR="003A4D7B">
        <w:t>people</w:t>
      </w:r>
      <w:r w:rsidR="003E0931">
        <w:t xml:space="preserve"> with </w:t>
      </w:r>
      <w:r w:rsidR="003A4D7B">
        <w:t>jobs</w:t>
      </w:r>
      <w:r w:rsidR="003E0931">
        <w:t xml:space="preserve"> </w:t>
      </w:r>
      <w:r>
        <w:t>by providing insights into labour market trends, skill requirements, and barriers to participation. Our work informs policy, supports collaboration across the skills system, and helps build a more inclusive and productive workforce.</w:t>
      </w:r>
    </w:p>
    <w:p w14:paraId="48E1917B" w14:textId="77777777" w:rsidR="00B96D75" w:rsidRDefault="00B96D75" w:rsidP="00802B85">
      <w:pPr>
        <w:pStyle w:val="BodyText"/>
        <w:sectPr w:rsidR="00B96D75" w:rsidSect="00480B35">
          <w:headerReference w:type="even" r:id="rId76"/>
          <w:headerReference w:type="default" r:id="rId77"/>
          <w:footerReference w:type="even" r:id="rId78"/>
          <w:footerReference w:type="default" r:id="rId79"/>
          <w:pgSz w:w="11907" w:h="16839" w:code="9"/>
          <w:pgMar w:top="1440" w:right="1270" w:bottom="1440" w:left="1270" w:header="720" w:footer="720" w:gutter="0"/>
          <w:cols w:space="720"/>
          <w:docGrid w:linePitch="360"/>
        </w:sectPr>
      </w:pPr>
    </w:p>
    <w:p w14:paraId="76AA1268" w14:textId="77777777" w:rsidR="006E252D" w:rsidRDefault="006E252D" w:rsidP="00802B85">
      <w:pPr>
        <w:pStyle w:val="BodyText"/>
        <w:sectPr w:rsidR="006E252D" w:rsidSect="00480B35">
          <w:headerReference w:type="even" r:id="rId80"/>
          <w:footerReference w:type="even" r:id="rId81"/>
          <w:pgSz w:w="11907" w:h="16839" w:code="9"/>
          <w:pgMar w:top="1440" w:right="1270" w:bottom="1440" w:left="1270" w:header="720" w:footer="720" w:gutter="0"/>
          <w:cols w:space="720"/>
          <w:docGrid w:linePitch="360"/>
        </w:sectPr>
      </w:pPr>
    </w:p>
    <w:p w14:paraId="2A40A538" w14:textId="5A3BA0FB" w:rsidR="00915192" w:rsidRDefault="00082E6C" w:rsidP="00537382">
      <w:pPr>
        <w:pStyle w:val="Heading1"/>
      </w:pPr>
      <w:bookmarkStart w:id="148" w:name="_Toc211587009"/>
      <w:r>
        <w:t>T</w:t>
      </w:r>
      <w:r w:rsidR="00915192">
        <w:t>he barriers to productivity and participation in today’s labour market</w:t>
      </w:r>
      <w:bookmarkEnd w:id="148"/>
    </w:p>
    <w:p w14:paraId="0D0F1C87" w14:textId="77777777" w:rsidR="00915192" w:rsidRPr="002C4701" w:rsidRDefault="00915192" w:rsidP="00B451B6">
      <w:pPr>
        <w:pStyle w:val="BodyText"/>
      </w:pPr>
      <w:r w:rsidRPr="002C4701">
        <w:t>Australia’s labour market continues to evolve in response to shifting economic conditions, technological change, and demographic trends. These transformations bring both challenges and opportunities, but they also expose structural weaknesses that limit the ability of individuals, businesses, and regions to fully contribute to and benefit from economic growth.</w:t>
      </w:r>
    </w:p>
    <w:p w14:paraId="17C62FF3" w14:textId="56F427BB" w:rsidR="00915192" w:rsidRPr="002C4701" w:rsidRDefault="00915192" w:rsidP="00B451B6">
      <w:pPr>
        <w:pStyle w:val="BodyText"/>
      </w:pPr>
      <w:r w:rsidRPr="002C4701">
        <w:t xml:space="preserve">Persistent barriers to productivity and participation – including occupation shortages, recruitment challenges, and regional disparities – reflect deeper issues in how skills are developed, </w:t>
      </w:r>
      <w:r w:rsidR="00C86728">
        <w:t>retained</w:t>
      </w:r>
      <w:r w:rsidRPr="002C4701">
        <w:t xml:space="preserve">, and </w:t>
      </w:r>
      <w:r w:rsidR="00C86728">
        <w:t>connected to job requirements</w:t>
      </w:r>
      <w:r w:rsidRPr="002C4701">
        <w:t>. Better matching between people and jobs is essential to overcoming these frictions and unlocking the full potential of Australia’s workforce</w:t>
      </w:r>
      <w:r>
        <w:t>.</w:t>
      </w:r>
    </w:p>
    <w:p w14:paraId="292A4D01" w14:textId="7C23702B" w:rsidR="00915192" w:rsidRPr="002C4701" w:rsidRDefault="00915192" w:rsidP="00B451B6">
      <w:pPr>
        <w:pStyle w:val="BodyText"/>
      </w:pPr>
      <w:r w:rsidRPr="002C4701">
        <w:t xml:space="preserve">Understanding the nature and impact of these barriers is critical for designing targeted interventions that support </w:t>
      </w:r>
      <w:r w:rsidR="00E24D02">
        <w:t>more effective</w:t>
      </w:r>
      <w:r w:rsidRPr="002C4701">
        <w:t xml:space="preserve"> skill</w:t>
      </w:r>
      <w:r w:rsidR="00423A09">
        <w:t xml:space="preserve"> alignment</w:t>
      </w:r>
      <w:r w:rsidRPr="002C4701">
        <w:t>, lift participation, enhance productivity, and contribute to a more resilient and inclusive labour market. JSA contributes by providing insights that deepen our understanding of the causes of poor matching or inefficiency in the labour market.</w:t>
      </w:r>
    </w:p>
    <w:p w14:paraId="56D8DD07" w14:textId="77777777" w:rsidR="00915192" w:rsidRPr="002C4701" w:rsidRDefault="00915192" w:rsidP="00B451B6">
      <w:pPr>
        <w:pStyle w:val="BodyText"/>
      </w:pPr>
      <w:r w:rsidRPr="002C4701">
        <w:t xml:space="preserve">This chapter examines these challenges through three complementary lenses: the occupational perspective, highlighting labour market shortages and their underlying drivers; the employer perspective, drawing on recruitment experiences and strategies used to </w:t>
      </w:r>
      <w:r>
        <w:t>retain staff</w:t>
      </w:r>
      <w:r w:rsidRPr="002C4701">
        <w:t>; and the regional perspective, revealing the uneven distribution of opportunities and constraints across Australia.</w:t>
      </w:r>
    </w:p>
    <w:p w14:paraId="44DCBCFE" w14:textId="77777777" w:rsidR="00480B35" w:rsidRDefault="00915192" w:rsidP="00B451B6">
      <w:pPr>
        <w:pStyle w:val="BodyText"/>
        <w:sectPr w:rsidR="00480B35" w:rsidSect="00480B35">
          <w:headerReference w:type="default" r:id="rId82"/>
          <w:footerReference w:type="default" r:id="rId83"/>
          <w:type w:val="oddPage"/>
          <w:pgSz w:w="11907" w:h="16839" w:code="9"/>
          <w:pgMar w:top="1440" w:right="1270" w:bottom="1440" w:left="3402" w:header="720" w:footer="720" w:gutter="0"/>
          <w:cols w:space="720"/>
          <w:docGrid w:linePitch="360"/>
        </w:sectPr>
      </w:pPr>
      <w:r>
        <w:t>Together, these insights provide a foundation for evidence-based policy responses that can better align skills with demand, support employers in building productive workforces, and ensure that all regions are equipped to benefit more fully from opportunities in the national economy.</w:t>
      </w:r>
    </w:p>
    <w:p w14:paraId="308C13D0" w14:textId="77777777" w:rsidR="00915192" w:rsidRDefault="00915192" w:rsidP="00537382">
      <w:pPr>
        <w:pStyle w:val="Heading2"/>
      </w:pPr>
      <w:bookmarkStart w:id="149" w:name="_Toc206784533"/>
      <w:bookmarkStart w:id="150" w:name="_Toc208923391"/>
      <w:bookmarkStart w:id="151" w:name="_Toc211587010"/>
      <w:r>
        <w:t>The occupational perspective – shortage analysis</w:t>
      </w:r>
      <w:bookmarkEnd w:id="149"/>
      <w:bookmarkEnd w:id="150"/>
      <w:bookmarkEnd w:id="151"/>
    </w:p>
    <w:p w14:paraId="08E0ED61" w14:textId="3F0FEEE5" w:rsidR="00915192" w:rsidRDefault="00915192" w:rsidP="00B451B6">
      <w:pPr>
        <w:pStyle w:val="BodyText"/>
      </w:pPr>
      <w:r w:rsidRPr="00A50FE9">
        <w:t>Understanding shortages within the labour market</w:t>
      </w:r>
      <w:r>
        <w:t>, and their underlying drivers,</w:t>
      </w:r>
      <w:r w:rsidRPr="00A50FE9">
        <w:t xml:space="preserve"> offers valuable insight into the structural barriers and frictions that may be impeding productivity </w:t>
      </w:r>
      <w:r>
        <w:t xml:space="preserve">growth </w:t>
      </w:r>
      <w:r w:rsidRPr="00A50FE9">
        <w:t xml:space="preserve">and </w:t>
      </w:r>
      <w:r>
        <w:t>labour market</w:t>
      </w:r>
      <w:r w:rsidRPr="00A50FE9">
        <w:t xml:space="preserve"> participation</w:t>
      </w:r>
      <w:r>
        <w:t xml:space="preserve"> at the occupation level</w:t>
      </w:r>
      <w:r w:rsidRPr="00A50FE9">
        <w:t>. Persistent or emerging shortages can signal mismatches between the skills</w:t>
      </w:r>
      <w:r>
        <w:t>,</w:t>
      </w:r>
      <w:r w:rsidRPr="00A50FE9">
        <w:t xml:space="preserve"> capabilities</w:t>
      </w:r>
      <w:r>
        <w:t>, needs</w:t>
      </w:r>
      <w:r w:rsidR="00A4638A">
        <w:t>,</w:t>
      </w:r>
      <w:r>
        <w:t xml:space="preserve"> preferences</w:t>
      </w:r>
      <w:r w:rsidR="00A4638A">
        <w:t xml:space="preserve"> and experience</w:t>
      </w:r>
      <w:r w:rsidRPr="00A50FE9">
        <w:t xml:space="preserve"> of job seekers and the requirements</w:t>
      </w:r>
      <w:r w:rsidR="00DC7645">
        <w:t xml:space="preserve"> and realities</w:t>
      </w:r>
      <w:r>
        <w:t xml:space="preserve"> </w:t>
      </w:r>
      <w:r w:rsidRPr="00A50FE9">
        <w:t xml:space="preserve">of available roles, highlighting inefficiencies in how labour is allocated. </w:t>
      </w:r>
    </w:p>
    <w:p w14:paraId="37FF5B69" w14:textId="679A9A7E" w:rsidR="00915192" w:rsidRDefault="00915192" w:rsidP="00B451B6">
      <w:pPr>
        <w:pStyle w:val="BodyText"/>
      </w:pPr>
      <w:r w:rsidRPr="00A50FE9">
        <w:t xml:space="preserve">These shortages may </w:t>
      </w:r>
      <w:r>
        <w:t xml:space="preserve">also </w:t>
      </w:r>
      <w:r w:rsidRPr="00A50FE9">
        <w:t>reflect a range of underlying dynamics</w:t>
      </w:r>
      <w:r>
        <w:t xml:space="preserve"> – </w:t>
      </w:r>
      <w:r w:rsidRPr="00A50FE9">
        <w:t>such as limited access to training, misalignment between qualifications and job</w:t>
      </w:r>
      <w:r>
        <w:noBreakHyphen/>
      </w:r>
      <w:r w:rsidRPr="00A50FE9">
        <w:t>readiness, or challenges in attracting and retaining workers</w:t>
      </w:r>
      <w:r>
        <w:t xml:space="preserve"> – </w:t>
      </w:r>
      <w:r w:rsidRPr="00A50FE9">
        <w:t xml:space="preserve">that constrain the supply of suitable candidates. In some cases, the issue lies not in the number of </w:t>
      </w:r>
      <w:r>
        <w:t xml:space="preserve">available </w:t>
      </w:r>
      <w:r w:rsidRPr="00A50FE9">
        <w:t xml:space="preserve">applicants, but in their preparedness or willingness to take up </w:t>
      </w:r>
      <w:r>
        <w:t xml:space="preserve">or stay in </w:t>
      </w:r>
      <w:r w:rsidRPr="00A50FE9">
        <w:t xml:space="preserve">roles, pointing to </w:t>
      </w:r>
      <w:r>
        <w:t xml:space="preserve">potential </w:t>
      </w:r>
      <w:r w:rsidRPr="00A50FE9">
        <w:t xml:space="preserve">concerns around </w:t>
      </w:r>
      <w:r w:rsidRPr="008D7426">
        <w:t>job quality</w:t>
      </w:r>
      <w:r w:rsidRPr="00A50FE9">
        <w:t xml:space="preserve">, accessibility, and the effectiveness of pathways into employment. </w:t>
      </w:r>
      <w:r w:rsidR="00480575">
        <w:t>A</w:t>
      </w:r>
      <w:r w:rsidR="00EB7FEC">
        <w:t>dditionally, occupation shortage</w:t>
      </w:r>
      <w:r w:rsidR="004940DB">
        <w:t>s</w:t>
      </w:r>
      <w:r w:rsidR="00EB7FEC">
        <w:t xml:space="preserve">, in some cases, varies </w:t>
      </w:r>
      <w:r w:rsidR="00123EBF">
        <w:t xml:space="preserve">across states. </w:t>
      </w:r>
      <w:r w:rsidRPr="00A50FE9">
        <w:t xml:space="preserve">Together, these patterns offer a window into how well people are being </w:t>
      </w:r>
      <w:r w:rsidR="00423A09">
        <w:t>connected</w:t>
      </w:r>
      <w:r w:rsidR="00423A09" w:rsidRPr="00A50FE9">
        <w:t xml:space="preserve"> </w:t>
      </w:r>
      <w:r w:rsidRPr="00A50FE9">
        <w:t>to jobs and where targeted interventions may be needed to support more responsive and inclusive labour market outcomes.</w:t>
      </w:r>
    </w:p>
    <w:p w14:paraId="5A629552" w14:textId="77777777" w:rsidR="00915192" w:rsidRDefault="00915192" w:rsidP="00537382">
      <w:pPr>
        <w:pStyle w:val="Heading3"/>
      </w:pPr>
      <w:bookmarkStart w:id="152" w:name="_Toc206784534"/>
      <w:bookmarkStart w:id="153" w:name="_Toc208923392"/>
      <w:bookmarkStart w:id="154" w:name="_Toc211587011"/>
      <w:r>
        <w:t>Occupation shortage drivers</w:t>
      </w:r>
      <w:bookmarkEnd w:id="152"/>
      <w:bookmarkEnd w:id="153"/>
      <w:bookmarkEnd w:id="154"/>
    </w:p>
    <w:p w14:paraId="13076440" w14:textId="4C6CC933" w:rsidR="00915192" w:rsidRDefault="00915192" w:rsidP="008F06FF">
      <w:pPr>
        <w:pStyle w:val="BodyText"/>
      </w:pPr>
      <w:r>
        <w:t>Last year’s Jobs and Skills Report outlined 4 types of shortage drivers JSA uses to classify occupation shortages, based on the most likely cause of the shortage (</w:t>
      </w:r>
      <w:r>
        <w:fldChar w:fldCharType="begin"/>
      </w:r>
      <w:r>
        <w:instrText xml:space="preserve"> REF _Ref206685544 \h </w:instrText>
      </w:r>
      <w:r>
        <w:fldChar w:fldCharType="separate"/>
      </w:r>
      <w:r w:rsidR="009E6E1D">
        <w:t xml:space="preserve">Table </w:t>
      </w:r>
      <w:r w:rsidR="009E6E1D">
        <w:rPr>
          <w:noProof/>
        </w:rPr>
        <w:t>4</w:t>
      </w:r>
      <w:r>
        <w:fldChar w:fldCharType="end"/>
      </w:r>
      <w:r>
        <w:t xml:space="preserve">). The 4 types were based on data from </w:t>
      </w:r>
      <w:r w:rsidR="00BB07FE" w:rsidRPr="002A1744">
        <w:t>Survey of Employers who have Recently Advertised</w:t>
      </w:r>
      <w:r w:rsidR="00BB07FE">
        <w:t xml:space="preserve"> </w:t>
      </w:r>
      <w:r w:rsidR="004D63E3">
        <w:t>(</w:t>
      </w:r>
      <w:r>
        <w:t>SERA</w:t>
      </w:r>
      <w:r w:rsidR="004D63E3">
        <w:t>)</w:t>
      </w:r>
      <w:r>
        <w:t xml:space="preserve"> and categorised based on a typology published by Sue Richardson </w:t>
      </w:r>
      <w:sdt>
        <w:sdtPr>
          <w:id w:val="-924805621"/>
          <w:citation/>
        </w:sdtPr>
        <w:sdtContent>
          <w:r>
            <w:fldChar w:fldCharType="begin"/>
          </w:r>
          <w:r>
            <w:instrText xml:space="preserve"> CITATION Ric07 \l 3081 </w:instrText>
          </w:r>
          <w:r>
            <w:fldChar w:fldCharType="separate"/>
          </w:r>
          <w:r w:rsidR="00D52996">
            <w:rPr>
              <w:noProof/>
            </w:rPr>
            <w:t>(Richardson, 2007)</w:t>
          </w:r>
          <w:r>
            <w:fldChar w:fldCharType="end"/>
          </w:r>
        </w:sdtContent>
      </w:sdt>
      <w:r>
        <w:t xml:space="preserve">. </w:t>
      </w:r>
    </w:p>
    <w:p w14:paraId="1D9DAF96" w14:textId="10F1BEEB" w:rsidR="00915192" w:rsidRDefault="00915192" w:rsidP="00915192">
      <w:pPr>
        <w:pStyle w:val="Caption"/>
      </w:pPr>
      <w:bookmarkStart w:id="155" w:name="_Ref206685544"/>
      <w:bookmarkStart w:id="156" w:name="_Toc210206854"/>
      <w:r>
        <w:t xml:space="preserve">Table </w:t>
      </w:r>
      <w:r>
        <w:fldChar w:fldCharType="begin"/>
      </w:r>
      <w:r>
        <w:instrText xml:space="preserve"> SEQ Table \* ARABIC </w:instrText>
      </w:r>
      <w:r>
        <w:fldChar w:fldCharType="separate"/>
      </w:r>
      <w:r w:rsidR="009E6E1D">
        <w:rPr>
          <w:noProof/>
        </w:rPr>
        <w:t>4</w:t>
      </w:r>
      <w:r>
        <w:fldChar w:fldCharType="end"/>
      </w:r>
      <w:bookmarkEnd w:id="155"/>
      <w:r>
        <w:t xml:space="preserve">: </w:t>
      </w:r>
      <w:r w:rsidR="00C42B81">
        <w:t xml:space="preserve">JSA </w:t>
      </w:r>
      <w:r>
        <w:t>occupation shortage driver typology</w:t>
      </w:r>
      <w:bookmarkEnd w:id="156"/>
    </w:p>
    <w:tbl>
      <w:tblPr>
        <w:tblStyle w:val="CustomTablebasic"/>
        <w:tblW w:w="0" w:type="auto"/>
        <w:tblLook w:val="04A0" w:firstRow="1" w:lastRow="0" w:firstColumn="1" w:lastColumn="0" w:noHBand="0" w:noVBand="1"/>
      </w:tblPr>
      <w:tblGrid>
        <w:gridCol w:w="2090"/>
        <w:gridCol w:w="6926"/>
      </w:tblGrid>
      <w:tr w:rsidR="008E4648" w14:paraId="7FA322DA" w14:textId="77777777" w:rsidTr="00ED4661">
        <w:trPr>
          <w:cnfStyle w:val="100000000000" w:firstRow="1" w:lastRow="0" w:firstColumn="0" w:lastColumn="0" w:oddVBand="0" w:evenVBand="0" w:oddHBand="0" w:evenHBand="0" w:firstRowFirstColumn="0" w:firstRowLastColumn="0" w:lastRowFirstColumn="0" w:lastRowLastColumn="0"/>
        </w:trPr>
        <w:tc>
          <w:tcPr>
            <w:tcW w:w="2090" w:type="dxa"/>
          </w:tcPr>
          <w:p w14:paraId="4565DA25" w14:textId="77777777" w:rsidR="00915192" w:rsidRPr="00915192" w:rsidRDefault="00915192" w:rsidP="00ED4661">
            <w:pPr>
              <w:pStyle w:val="TableHeading1"/>
            </w:pPr>
            <w:r w:rsidRPr="00915192">
              <w:t>Classification</w:t>
            </w:r>
          </w:p>
        </w:tc>
        <w:tc>
          <w:tcPr>
            <w:tcW w:w="6926" w:type="dxa"/>
          </w:tcPr>
          <w:p w14:paraId="6F6E904F" w14:textId="77777777" w:rsidR="00915192" w:rsidRPr="00915192" w:rsidRDefault="00915192" w:rsidP="00ED4661">
            <w:pPr>
              <w:pStyle w:val="TableHeading1"/>
            </w:pPr>
            <w:r w:rsidRPr="00915192">
              <w:t>Definition</w:t>
            </w:r>
          </w:p>
        </w:tc>
      </w:tr>
      <w:tr w:rsidR="00915192" w14:paraId="6B56D4EC" w14:textId="77777777" w:rsidTr="00ED4661">
        <w:tc>
          <w:tcPr>
            <w:tcW w:w="2090" w:type="dxa"/>
          </w:tcPr>
          <w:p w14:paraId="307D04A6" w14:textId="77777777" w:rsidR="00915192" w:rsidRPr="00915192" w:rsidRDefault="00915192" w:rsidP="001C1909">
            <w:pPr>
              <w:pStyle w:val="TableBodyText"/>
            </w:pPr>
            <w:r>
              <w:t>Long training gap</w:t>
            </w:r>
          </w:p>
        </w:tc>
        <w:tc>
          <w:tcPr>
            <w:tcW w:w="6926" w:type="dxa"/>
          </w:tcPr>
          <w:p w14:paraId="47282D18" w14:textId="77777777" w:rsidR="00915192" w:rsidRPr="00915192" w:rsidRDefault="00915192" w:rsidP="001C1909">
            <w:pPr>
              <w:pStyle w:val="TableBodyText"/>
            </w:pPr>
            <w:r>
              <w:t>A</w:t>
            </w:r>
            <w:r w:rsidRPr="00915192">
              <w:t xml:space="preserve"> long training gap shortage is defined by few qualified applicants per vacancy and a long training pathway – corresponding to a Certificate III or above.</w:t>
            </w:r>
          </w:p>
        </w:tc>
      </w:tr>
      <w:tr w:rsidR="008E4648" w14:paraId="5509F6AF" w14:textId="77777777" w:rsidTr="00ED4661">
        <w:trPr>
          <w:cnfStyle w:val="000000010000" w:firstRow="0" w:lastRow="0" w:firstColumn="0" w:lastColumn="0" w:oddVBand="0" w:evenVBand="0" w:oddHBand="0" w:evenHBand="1" w:firstRowFirstColumn="0" w:firstRowLastColumn="0" w:lastRowFirstColumn="0" w:lastRowLastColumn="0"/>
        </w:trPr>
        <w:tc>
          <w:tcPr>
            <w:tcW w:w="2090" w:type="dxa"/>
          </w:tcPr>
          <w:p w14:paraId="7D334E74" w14:textId="77777777" w:rsidR="00915192" w:rsidRPr="00915192" w:rsidRDefault="00915192" w:rsidP="001C1909">
            <w:pPr>
              <w:pStyle w:val="TableBodyText"/>
            </w:pPr>
            <w:r>
              <w:t>Short training gap</w:t>
            </w:r>
          </w:p>
        </w:tc>
        <w:tc>
          <w:tcPr>
            <w:tcW w:w="6926" w:type="dxa"/>
          </w:tcPr>
          <w:p w14:paraId="3455A78F" w14:textId="77777777" w:rsidR="00915192" w:rsidRPr="00915192" w:rsidRDefault="00915192" w:rsidP="001C1909">
            <w:pPr>
              <w:pStyle w:val="TableBodyText"/>
            </w:pPr>
            <w:r>
              <w:t>A</w:t>
            </w:r>
            <w:r w:rsidRPr="00915192">
              <w:t xml:space="preserve"> short training gap shortage arises when there are few applicants per vacancy and a qualification less than a Certificate III is required.</w:t>
            </w:r>
          </w:p>
        </w:tc>
      </w:tr>
      <w:tr w:rsidR="00915192" w14:paraId="15116AC0" w14:textId="77777777" w:rsidTr="00ED4661">
        <w:tc>
          <w:tcPr>
            <w:tcW w:w="2090" w:type="dxa"/>
          </w:tcPr>
          <w:p w14:paraId="7A497A54" w14:textId="77777777" w:rsidR="00915192" w:rsidRPr="00915192" w:rsidRDefault="00915192" w:rsidP="001C1909">
            <w:pPr>
              <w:pStyle w:val="TableBodyText"/>
            </w:pPr>
            <w:r>
              <w:t>Suitability gap</w:t>
            </w:r>
          </w:p>
        </w:tc>
        <w:tc>
          <w:tcPr>
            <w:tcW w:w="6926" w:type="dxa"/>
          </w:tcPr>
          <w:p w14:paraId="6FE6D1CA" w14:textId="77777777" w:rsidR="00915192" w:rsidRPr="00915192" w:rsidRDefault="00915192" w:rsidP="001C1909">
            <w:pPr>
              <w:pStyle w:val="TableBodyText"/>
              <w:rPr>
                <w:rFonts w:eastAsiaTheme="minorHAnsi"/>
              </w:rPr>
            </w:pPr>
            <w:r w:rsidRPr="00915192">
              <w:rPr>
                <w:rFonts w:eastAsiaTheme="minorHAnsi"/>
              </w:rPr>
              <w:t xml:space="preserve">The Suitability gap shortage arises when a unit group has enough qualified applicants, but they are not regarded as suitable. Reasons cited by employers include a lack of employability skills and work experience. </w:t>
            </w:r>
          </w:p>
          <w:p w14:paraId="050B142B" w14:textId="77777777" w:rsidR="00915192" w:rsidRPr="00915192" w:rsidRDefault="00915192" w:rsidP="001C1909">
            <w:pPr>
              <w:pStyle w:val="TableBodyText"/>
              <w:rPr>
                <w:rFonts w:eastAsiaTheme="minorHAnsi"/>
              </w:rPr>
            </w:pPr>
            <w:r w:rsidRPr="00915192">
              <w:rPr>
                <w:rFonts w:eastAsiaTheme="minorHAnsi"/>
              </w:rPr>
              <w:t>Unconscious bias of employers, including unrealistic expectations of graduates and workers may also be factors. This driver may also be impacted by employers underinvesting in training to upskill workers.</w:t>
            </w:r>
          </w:p>
        </w:tc>
      </w:tr>
      <w:tr w:rsidR="008E4648" w14:paraId="6E46AD39" w14:textId="77777777" w:rsidTr="00ED4661">
        <w:trPr>
          <w:cnfStyle w:val="000000010000" w:firstRow="0" w:lastRow="0" w:firstColumn="0" w:lastColumn="0" w:oddVBand="0" w:evenVBand="0" w:oddHBand="0" w:evenHBand="1" w:firstRowFirstColumn="0" w:firstRowLastColumn="0" w:lastRowFirstColumn="0" w:lastRowLastColumn="0"/>
        </w:trPr>
        <w:tc>
          <w:tcPr>
            <w:tcW w:w="2090" w:type="dxa"/>
          </w:tcPr>
          <w:p w14:paraId="5838F2E8" w14:textId="77777777" w:rsidR="00915192" w:rsidRPr="00915192" w:rsidRDefault="00915192" w:rsidP="001C1909">
            <w:pPr>
              <w:pStyle w:val="TableBodyText"/>
            </w:pPr>
            <w:r>
              <w:t>Retention gap</w:t>
            </w:r>
          </w:p>
        </w:tc>
        <w:tc>
          <w:tcPr>
            <w:tcW w:w="6926" w:type="dxa"/>
          </w:tcPr>
          <w:p w14:paraId="1BCBA01A" w14:textId="77777777" w:rsidR="00915192" w:rsidRPr="00915192" w:rsidRDefault="00915192" w:rsidP="001C1909">
            <w:pPr>
              <w:pStyle w:val="TableBodyText"/>
              <w:rPr>
                <w:rFonts w:eastAsiaTheme="minorHAnsi"/>
              </w:rPr>
            </w:pPr>
            <w:r w:rsidRPr="00915192">
              <w:rPr>
                <w:rFonts w:eastAsiaTheme="minorHAnsi"/>
              </w:rPr>
              <w:t xml:space="preserve">A Retention gap shortage is when a unit group has below average rates of retention. </w:t>
            </w:r>
          </w:p>
          <w:p w14:paraId="6DC9B58C" w14:textId="77777777" w:rsidR="00915192" w:rsidRPr="00915192" w:rsidRDefault="00915192" w:rsidP="001C1909">
            <w:pPr>
              <w:pStyle w:val="TableBodyText"/>
            </w:pPr>
            <w:r w:rsidRPr="00915192">
              <w:rPr>
                <w:rFonts w:eastAsiaTheme="minorHAnsi"/>
              </w:rPr>
              <w:t>Workers may not remain in the role due to low pay and poor working conditions. Poor workplace culture and a lack of access to education, childcare, health services and public transport also affect retention. As such, employers may be required to increase the frequency of recruitment activities to fill the vacant roles.</w:t>
            </w:r>
          </w:p>
        </w:tc>
      </w:tr>
      <w:tr w:rsidR="00915192" w14:paraId="62EEA986" w14:textId="77777777" w:rsidTr="00ED4661">
        <w:tc>
          <w:tcPr>
            <w:tcW w:w="2090" w:type="dxa"/>
          </w:tcPr>
          <w:p w14:paraId="28705D2B" w14:textId="77777777" w:rsidR="00915192" w:rsidRPr="00915192" w:rsidRDefault="00915192" w:rsidP="001C1909">
            <w:pPr>
              <w:pStyle w:val="TableBodyText"/>
            </w:pPr>
            <w:r>
              <w:t>Uncertain/unknown</w:t>
            </w:r>
          </w:p>
        </w:tc>
        <w:tc>
          <w:tcPr>
            <w:tcW w:w="6926" w:type="dxa"/>
          </w:tcPr>
          <w:p w14:paraId="79B2FF07" w14:textId="6E04B4D0" w:rsidR="00915192" w:rsidRPr="00915192" w:rsidRDefault="00915192" w:rsidP="001C1909">
            <w:pPr>
              <w:pStyle w:val="TableBodyText"/>
            </w:pPr>
            <w:r w:rsidRPr="007D144C">
              <w:t>There may be cases where the shortage driver of a unit group is uncertain. This</w:t>
            </w:r>
            <w:r w:rsidRPr="00915192" w:rsidDel="00AE0942">
              <w:t xml:space="preserve"> </w:t>
            </w:r>
            <w:r w:rsidRPr="00915192">
              <w:t xml:space="preserve">occurs when unit groups do not satisfy any of the above definitions. </w:t>
            </w:r>
          </w:p>
        </w:tc>
      </w:tr>
    </w:tbl>
    <w:p w14:paraId="78EA6ECA" w14:textId="5A8B2EEE" w:rsidR="00915192" w:rsidRDefault="00915192" w:rsidP="001C1909">
      <w:pPr>
        <w:pStyle w:val="Source"/>
      </w:pPr>
    </w:p>
    <w:p w14:paraId="212FC3A3" w14:textId="00B6A63B" w:rsidR="00FC0F68" w:rsidRDefault="00C55128" w:rsidP="00ED4661">
      <w:pPr>
        <w:pStyle w:val="BodyText"/>
      </w:pPr>
      <w:r>
        <w:fldChar w:fldCharType="begin"/>
      </w:r>
      <w:r>
        <w:instrText xml:space="preserve"> REF _Ref210757957 \h </w:instrText>
      </w:r>
      <w:r>
        <w:fldChar w:fldCharType="separate"/>
      </w:r>
      <w:r w:rsidR="009E6E1D" w:rsidRPr="003949B7">
        <w:t xml:space="preserve">Table </w:t>
      </w:r>
      <w:r w:rsidR="009E6E1D">
        <w:rPr>
          <w:noProof/>
        </w:rPr>
        <w:t>5</w:t>
      </w:r>
      <w:r>
        <w:fldChar w:fldCharType="end"/>
      </w:r>
      <w:r>
        <w:t xml:space="preserve"> </w:t>
      </w:r>
      <w:r w:rsidR="00196AC9" w:rsidRPr="00196AC9">
        <w:t xml:space="preserve">highlights the top </w:t>
      </w:r>
      <w:r w:rsidR="003267DE">
        <w:t>10</w:t>
      </w:r>
      <w:r w:rsidR="00196AC9" w:rsidRPr="00196AC9">
        <w:t xml:space="preserve"> largest employing unit groups</w:t>
      </w:r>
      <w:r w:rsidR="00A30040">
        <w:t xml:space="preserve"> (4-digit ANZSCO)</w:t>
      </w:r>
      <w:r w:rsidR="00196AC9" w:rsidRPr="00196AC9">
        <w:t xml:space="preserve"> for each shortage driver in 2025, offering a snapshot of where workforce pressures are most concentrated. These occupations span diverse sectors</w:t>
      </w:r>
      <w:r w:rsidR="00196AC9">
        <w:t xml:space="preserve"> </w:t>
      </w:r>
      <w:r w:rsidR="00196AC9" w:rsidRPr="00196AC9">
        <w:t>from health and education to construction and transport</w:t>
      </w:r>
      <w:r w:rsidR="00196AC9">
        <w:t xml:space="preserve">; </w:t>
      </w:r>
      <w:r w:rsidR="00196AC9" w:rsidRPr="00196AC9">
        <w:t xml:space="preserve">and reflect a range of underlying causes, including long and short training gaps, suitability and retention issues, and more complex or shifting dynamics. The following sections unpack </w:t>
      </w:r>
      <w:r w:rsidR="00863649">
        <w:t xml:space="preserve">the findings under </w:t>
      </w:r>
      <w:r w:rsidR="00196AC9" w:rsidRPr="00196AC9">
        <w:t>each shortage driver in turn, drawing out the policy and system-level implications for education and training, employer practices, and workforce planning.</w:t>
      </w:r>
      <w:r w:rsidR="003949B7">
        <w:t xml:space="preserve"> </w:t>
      </w:r>
    </w:p>
    <w:p w14:paraId="54A937EA" w14:textId="1E2B94E7" w:rsidR="00915192" w:rsidRPr="003949B7" w:rsidRDefault="00915192" w:rsidP="003949B7">
      <w:pPr>
        <w:pStyle w:val="Caption"/>
      </w:pPr>
      <w:bookmarkStart w:id="157" w:name="_Ref210757957"/>
      <w:bookmarkStart w:id="158" w:name="_Toc210206855"/>
      <w:r w:rsidRPr="003949B7">
        <w:t xml:space="preserve">Table </w:t>
      </w:r>
      <w:r w:rsidRPr="003949B7">
        <w:fldChar w:fldCharType="begin"/>
      </w:r>
      <w:r w:rsidRPr="003949B7">
        <w:instrText xml:space="preserve"> SEQ Table \* ARABIC </w:instrText>
      </w:r>
      <w:r w:rsidRPr="003949B7">
        <w:fldChar w:fldCharType="separate"/>
      </w:r>
      <w:r w:rsidR="009E6E1D">
        <w:rPr>
          <w:noProof/>
        </w:rPr>
        <w:t>5</w:t>
      </w:r>
      <w:r w:rsidRPr="003949B7">
        <w:fldChar w:fldCharType="end"/>
      </w:r>
      <w:bookmarkEnd w:id="157"/>
      <w:r w:rsidR="003949B7" w:rsidRPr="003949B7">
        <w:t xml:space="preserve">: Top 10 largest employing </w:t>
      </w:r>
      <w:r w:rsidR="00D9401E">
        <w:t xml:space="preserve">occupation </w:t>
      </w:r>
      <w:r w:rsidR="003949B7" w:rsidRPr="003949B7">
        <w:t>unit groups</w:t>
      </w:r>
      <w:r w:rsidR="00A30040">
        <w:t xml:space="preserve"> (4-digit ANZSCO)</w:t>
      </w:r>
      <w:r w:rsidR="003949B7" w:rsidRPr="003949B7">
        <w:t xml:space="preserve"> for each shortage driver, </w:t>
      </w:r>
      <w:bookmarkEnd w:id="158"/>
      <w:r w:rsidR="003949B7" w:rsidRPr="003949B7">
        <w:t>20</w:t>
      </w:r>
      <w:r w:rsidR="0042600C">
        <w:t>2</w:t>
      </w:r>
      <w:r w:rsidR="003949B7" w:rsidRPr="003949B7">
        <w:t>5</w:t>
      </w:r>
    </w:p>
    <w:tbl>
      <w:tblPr>
        <w:tblW w:w="5000" w:type="pct"/>
        <w:tblLook w:val="04A0" w:firstRow="1" w:lastRow="0" w:firstColumn="1" w:lastColumn="0" w:noHBand="0" w:noVBand="1"/>
      </w:tblPr>
      <w:tblGrid>
        <w:gridCol w:w="1873"/>
        <w:gridCol w:w="1873"/>
        <w:gridCol w:w="1874"/>
        <w:gridCol w:w="1873"/>
        <w:gridCol w:w="1874"/>
      </w:tblGrid>
      <w:tr w:rsidR="003512FC" w:rsidRPr="00D45E4B" w14:paraId="5902DE66" w14:textId="77777777" w:rsidTr="007E4723">
        <w:trPr>
          <w:tblHeader/>
        </w:trPr>
        <w:tc>
          <w:tcPr>
            <w:tcW w:w="1873" w:type="dxa"/>
            <w:tcBorders>
              <w:top w:val="nil"/>
              <w:left w:val="nil"/>
              <w:bottom w:val="nil"/>
              <w:right w:val="nil"/>
            </w:tcBorders>
            <w:shd w:val="clear" w:color="000000" w:fill="2F005F"/>
            <w:vAlign w:val="center"/>
            <w:hideMark/>
          </w:tcPr>
          <w:p w14:paraId="6E6E80D8" w14:textId="77777777" w:rsidR="003512FC" w:rsidRPr="00D45E4B" w:rsidRDefault="003512FC" w:rsidP="0005589A">
            <w:pPr>
              <w:pStyle w:val="TableHeading1"/>
            </w:pPr>
            <w:r w:rsidRPr="00D45E4B">
              <w:t>Long training gap</w:t>
            </w:r>
          </w:p>
        </w:tc>
        <w:tc>
          <w:tcPr>
            <w:tcW w:w="1873" w:type="dxa"/>
            <w:tcBorders>
              <w:top w:val="nil"/>
              <w:left w:val="nil"/>
              <w:bottom w:val="nil"/>
              <w:right w:val="nil"/>
            </w:tcBorders>
            <w:shd w:val="clear" w:color="000000" w:fill="2F005F"/>
            <w:vAlign w:val="center"/>
            <w:hideMark/>
          </w:tcPr>
          <w:p w14:paraId="2051D3F5" w14:textId="77777777" w:rsidR="003512FC" w:rsidRPr="00D45E4B" w:rsidRDefault="003512FC" w:rsidP="0005589A">
            <w:pPr>
              <w:pStyle w:val="TableHeading1"/>
            </w:pPr>
            <w:r w:rsidRPr="00D45E4B">
              <w:t>Short training gap</w:t>
            </w:r>
          </w:p>
        </w:tc>
        <w:tc>
          <w:tcPr>
            <w:tcW w:w="1874" w:type="dxa"/>
            <w:tcBorders>
              <w:top w:val="nil"/>
              <w:left w:val="nil"/>
              <w:bottom w:val="nil"/>
              <w:right w:val="nil"/>
            </w:tcBorders>
            <w:shd w:val="clear" w:color="000000" w:fill="2F005F"/>
            <w:vAlign w:val="center"/>
            <w:hideMark/>
          </w:tcPr>
          <w:p w14:paraId="7E3D30A5" w14:textId="77777777" w:rsidR="003512FC" w:rsidRPr="00D45E4B" w:rsidRDefault="003512FC" w:rsidP="0005589A">
            <w:pPr>
              <w:pStyle w:val="TableHeading1"/>
            </w:pPr>
            <w:r w:rsidRPr="00D45E4B">
              <w:t>Suitability gap</w:t>
            </w:r>
          </w:p>
        </w:tc>
        <w:tc>
          <w:tcPr>
            <w:tcW w:w="1873" w:type="dxa"/>
            <w:tcBorders>
              <w:top w:val="nil"/>
              <w:left w:val="nil"/>
              <w:bottom w:val="nil"/>
              <w:right w:val="nil"/>
            </w:tcBorders>
            <w:shd w:val="clear" w:color="000000" w:fill="2F005F"/>
            <w:vAlign w:val="center"/>
            <w:hideMark/>
          </w:tcPr>
          <w:p w14:paraId="0C80378F" w14:textId="77777777" w:rsidR="003512FC" w:rsidRPr="00D45E4B" w:rsidRDefault="003512FC" w:rsidP="0005589A">
            <w:pPr>
              <w:pStyle w:val="TableHeading1"/>
            </w:pPr>
            <w:r w:rsidRPr="00D45E4B">
              <w:t>Retention gap</w:t>
            </w:r>
          </w:p>
        </w:tc>
        <w:tc>
          <w:tcPr>
            <w:tcW w:w="1874" w:type="dxa"/>
            <w:tcBorders>
              <w:top w:val="nil"/>
              <w:left w:val="nil"/>
              <w:bottom w:val="nil"/>
              <w:right w:val="nil"/>
            </w:tcBorders>
            <w:shd w:val="clear" w:color="000000" w:fill="2F005F"/>
            <w:vAlign w:val="center"/>
            <w:hideMark/>
          </w:tcPr>
          <w:p w14:paraId="0B6FBF19" w14:textId="24A30710" w:rsidR="003512FC" w:rsidRPr="00D45E4B" w:rsidRDefault="003512FC" w:rsidP="0005589A">
            <w:pPr>
              <w:pStyle w:val="TableHeading1"/>
            </w:pPr>
            <w:r w:rsidRPr="00D45E4B">
              <w:t>Uncertain</w:t>
            </w:r>
          </w:p>
        </w:tc>
      </w:tr>
      <w:tr w:rsidR="00CE6419" w:rsidRPr="00D45E4B" w14:paraId="5A535BDE" w14:textId="77777777" w:rsidTr="007E4723">
        <w:trPr>
          <w:tblHeader/>
        </w:trPr>
        <w:tc>
          <w:tcPr>
            <w:tcW w:w="1873" w:type="dxa"/>
            <w:tcBorders>
              <w:top w:val="nil"/>
              <w:left w:val="nil"/>
              <w:bottom w:val="nil"/>
              <w:right w:val="nil"/>
            </w:tcBorders>
            <w:vAlign w:val="center"/>
            <w:hideMark/>
          </w:tcPr>
          <w:p w14:paraId="5E1AD15C" w14:textId="77777777" w:rsidR="00D45E4B" w:rsidRPr="001A230D" w:rsidRDefault="00D45E4B" w:rsidP="001A230D">
            <w:pPr>
              <w:pStyle w:val="TableBodyText"/>
            </w:pPr>
            <w:r w:rsidRPr="001A230D">
              <w:t>Secondary School Teachers (151,108)</w:t>
            </w:r>
          </w:p>
        </w:tc>
        <w:tc>
          <w:tcPr>
            <w:tcW w:w="1873" w:type="dxa"/>
            <w:tcBorders>
              <w:top w:val="nil"/>
              <w:left w:val="nil"/>
              <w:bottom w:val="nil"/>
              <w:right w:val="nil"/>
            </w:tcBorders>
            <w:vAlign w:val="center"/>
            <w:hideMark/>
          </w:tcPr>
          <w:p w14:paraId="45DE9C40" w14:textId="77777777" w:rsidR="00D45E4B" w:rsidRPr="001A230D" w:rsidRDefault="00D45E4B" w:rsidP="001A230D">
            <w:pPr>
              <w:pStyle w:val="TableBodyText"/>
            </w:pPr>
            <w:r w:rsidRPr="001A230D">
              <w:t>Bus and Coach Drivers (41,225)</w:t>
            </w:r>
          </w:p>
        </w:tc>
        <w:tc>
          <w:tcPr>
            <w:tcW w:w="1874" w:type="dxa"/>
            <w:tcBorders>
              <w:top w:val="nil"/>
              <w:left w:val="nil"/>
              <w:bottom w:val="nil"/>
              <w:right w:val="nil"/>
            </w:tcBorders>
            <w:vAlign w:val="center"/>
            <w:hideMark/>
          </w:tcPr>
          <w:p w14:paraId="081D1753" w14:textId="77777777" w:rsidR="00D45E4B" w:rsidRPr="001A230D" w:rsidRDefault="00D45E4B" w:rsidP="001A230D">
            <w:pPr>
              <w:pStyle w:val="TableBodyText"/>
            </w:pPr>
            <w:r w:rsidRPr="001A230D">
              <w:t>Electricians (186,371)</w:t>
            </w:r>
          </w:p>
        </w:tc>
        <w:tc>
          <w:tcPr>
            <w:tcW w:w="1873" w:type="dxa"/>
            <w:tcBorders>
              <w:top w:val="nil"/>
              <w:left w:val="nil"/>
              <w:bottom w:val="nil"/>
              <w:right w:val="nil"/>
            </w:tcBorders>
            <w:vAlign w:val="center"/>
            <w:hideMark/>
          </w:tcPr>
          <w:p w14:paraId="5F1476FC" w14:textId="77777777" w:rsidR="00D45E4B" w:rsidRPr="001A230D" w:rsidRDefault="00D45E4B" w:rsidP="001A230D">
            <w:pPr>
              <w:pStyle w:val="TableBodyText"/>
            </w:pPr>
            <w:r w:rsidRPr="001A230D">
              <w:t>Aged and Disabled Carers (340,694)</w:t>
            </w:r>
          </w:p>
        </w:tc>
        <w:tc>
          <w:tcPr>
            <w:tcW w:w="1874" w:type="dxa"/>
            <w:tcBorders>
              <w:top w:val="nil"/>
              <w:left w:val="nil"/>
              <w:bottom w:val="nil"/>
              <w:right w:val="nil"/>
            </w:tcBorders>
            <w:vAlign w:val="center"/>
            <w:hideMark/>
          </w:tcPr>
          <w:p w14:paraId="2F25855A" w14:textId="77777777" w:rsidR="00D45E4B" w:rsidRPr="001A230D" w:rsidRDefault="00D45E4B" w:rsidP="001A230D">
            <w:pPr>
              <w:pStyle w:val="TableBodyText"/>
            </w:pPr>
            <w:r w:rsidRPr="001A230D">
              <w:t>Registered Nurses (338,910)</w:t>
            </w:r>
          </w:p>
        </w:tc>
      </w:tr>
      <w:tr w:rsidR="003512FC" w:rsidRPr="00D45E4B" w14:paraId="3F6748CC" w14:textId="77777777" w:rsidTr="007E4723">
        <w:trPr>
          <w:tblHeader/>
        </w:trPr>
        <w:tc>
          <w:tcPr>
            <w:tcW w:w="1873" w:type="dxa"/>
            <w:tcBorders>
              <w:top w:val="nil"/>
              <w:left w:val="nil"/>
              <w:bottom w:val="nil"/>
              <w:right w:val="nil"/>
            </w:tcBorders>
            <w:shd w:val="clear" w:color="000000" w:fill="F2F2F2"/>
            <w:vAlign w:val="center"/>
            <w:hideMark/>
          </w:tcPr>
          <w:p w14:paraId="4ECC8810" w14:textId="77777777" w:rsidR="003512FC" w:rsidRPr="001A230D" w:rsidRDefault="003512FC" w:rsidP="001A230D">
            <w:pPr>
              <w:pStyle w:val="TableBodyText"/>
            </w:pPr>
            <w:r w:rsidRPr="001A230D">
              <w:t>Metal Fitters and Machinists (120,895)</w:t>
            </w:r>
          </w:p>
        </w:tc>
        <w:tc>
          <w:tcPr>
            <w:tcW w:w="1873" w:type="dxa"/>
            <w:tcBorders>
              <w:top w:val="nil"/>
              <w:left w:val="nil"/>
              <w:bottom w:val="nil"/>
              <w:right w:val="nil"/>
            </w:tcBorders>
            <w:shd w:val="clear" w:color="000000" w:fill="F2F2F2"/>
            <w:vAlign w:val="center"/>
            <w:hideMark/>
          </w:tcPr>
          <w:p w14:paraId="178CA781" w14:textId="77777777" w:rsidR="003512FC" w:rsidRPr="001A230D" w:rsidRDefault="003512FC" w:rsidP="001A230D">
            <w:pPr>
              <w:pStyle w:val="TableBodyText"/>
            </w:pPr>
            <w:r w:rsidRPr="001A230D">
              <w:t>Aircraft Maintenance Engineers (9,748)</w:t>
            </w:r>
          </w:p>
        </w:tc>
        <w:tc>
          <w:tcPr>
            <w:tcW w:w="1874" w:type="dxa"/>
            <w:tcBorders>
              <w:top w:val="nil"/>
              <w:left w:val="nil"/>
              <w:bottom w:val="nil"/>
              <w:right w:val="nil"/>
            </w:tcBorders>
            <w:shd w:val="clear" w:color="000000" w:fill="F2F2F2"/>
            <w:vAlign w:val="center"/>
            <w:hideMark/>
          </w:tcPr>
          <w:p w14:paraId="0A02C39A" w14:textId="77777777" w:rsidR="003512FC" w:rsidRPr="001A230D" w:rsidRDefault="003512FC" w:rsidP="001A230D">
            <w:pPr>
              <w:pStyle w:val="TableBodyText"/>
            </w:pPr>
            <w:r w:rsidRPr="001A230D">
              <w:t>Construction Managers (132,040)</w:t>
            </w:r>
          </w:p>
        </w:tc>
        <w:tc>
          <w:tcPr>
            <w:tcW w:w="1873" w:type="dxa"/>
            <w:tcBorders>
              <w:top w:val="nil"/>
              <w:left w:val="nil"/>
              <w:bottom w:val="nil"/>
              <w:right w:val="nil"/>
            </w:tcBorders>
            <w:shd w:val="clear" w:color="000000" w:fill="F2F2F2"/>
            <w:vAlign w:val="center"/>
            <w:hideMark/>
          </w:tcPr>
          <w:p w14:paraId="2716A637" w14:textId="77777777" w:rsidR="003512FC" w:rsidRPr="001A230D" w:rsidRDefault="003512FC" w:rsidP="001A230D">
            <w:pPr>
              <w:pStyle w:val="TableBodyText"/>
            </w:pPr>
            <w:r w:rsidRPr="001A230D">
              <w:t>Carpenters and Joiners (145,184)</w:t>
            </w:r>
          </w:p>
        </w:tc>
        <w:tc>
          <w:tcPr>
            <w:tcW w:w="1874" w:type="dxa"/>
            <w:tcBorders>
              <w:top w:val="nil"/>
              <w:left w:val="nil"/>
              <w:bottom w:val="nil"/>
              <w:right w:val="nil"/>
            </w:tcBorders>
            <w:shd w:val="clear" w:color="000000" w:fill="F2F2F2"/>
            <w:vAlign w:val="center"/>
            <w:hideMark/>
          </w:tcPr>
          <w:p w14:paraId="54BBB04C" w14:textId="57432A75" w:rsidR="003512FC" w:rsidRPr="001A230D" w:rsidRDefault="003512FC" w:rsidP="001A230D">
            <w:pPr>
              <w:pStyle w:val="TableBodyText"/>
            </w:pPr>
            <w:r w:rsidRPr="001A230D">
              <w:t>Truck Drivers (192,538)</w:t>
            </w:r>
          </w:p>
        </w:tc>
      </w:tr>
      <w:tr w:rsidR="00CE6419" w:rsidRPr="00D45E4B" w14:paraId="2782A426" w14:textId="77777777" w:rsidTr="007E4723">
        <w:trPr>
          <w:tblHeader/>
        </w:trPr>
        <w:tc>
          <w:tcPr>
            <w:tcW w:w="1873" w:type="dxa"/>
            <w:tcBorders>
              <w:top w:val="nil"/>
              <w:left w:val="nil"/>
              <w:bottom w:val="nil"/>
              <w:right w:val="nil"/>
            </w:tcBorders>
            <w:vAlign w:val="center"/>
            <w:hideMark/>
          </w:tcPr>
          <w:p w14:paraId="7860973E" w14:textId="77777777" w:rsidR="00D45E4B" w:rsidRPr="001A230D" w:rsidRDefault="00D45E4B" w:rsidP="001A230D">
            <w:pPr>
              <w:pStyle w:val="TableBodyText"/>
            </w:pPr>
            <w:r w:rsidRPr="001A230D">
              <w:t>Motor Mechanics (105,836)</w:t>
            </w:r>
          </w:p>
        </w:tc>
        <w:tc>
          <w:tcPr>
            <w:tcW w:w="1873" w:type="dxa"/>
            <w:tcBorders>
              <w:top w:val="nil"/>
              <w:left w:val="nil"/>
              <w:bottom w:val="nil"/>
              <w:right w:val="nil"/>
            </w:tcBorders>
            <w:vAlign w:val="center"/>
            <w:hideMark/>
          </w:tcPr>
          <w:p w14:paraId="2C971D43" w14:textId="77777777" w:rsidR="00D45E4B" w:rsidRPr="001A230D" w:rsidRDefault="00D45E4B" w:rsidP="001A230D">
            <w:pPr>
              <w:pStyle w:val="TableBodyText"/>
            </w:pPr>
          </w:p>
        </w:tc>
        <w:tc>
          <w:tcPr>
            <w:tcW w:w="1874" w:type="dxa"/>
            <w:tcBorders>
              <w:top w:val="nil"/>
              <w:left w:val="nil"/>
              <w:bottom w:val="nil"/>
              <w:right w:val="nil"/>
            </w:tcBorders>
            <w:vAlign w:val="center"/>
            <w:hideMark/>
          </w:tcPr>
          <w:p w14:paraId="3C4A5102" w14:textId="77777777" w:rsidR="00D45E4B" w:rsidRPr="001A230D" w:rsidRDefault="00D45E4B" w:rsidP="001A230D">
            <w:pPr>
              <w:pStyle w:val="TableBodyText"/>
            </w:pPr>
            <w:r w:rsidRPr="001A230D">
              <w:t>Civil Engineering Professionals (74,528)</w:t>
            </w:r>
          </w:p>
        </w:tc>
        <w:tc>
          <w:tcPr>
            <w:tcW w:w="1873" w:type="dxa"/>
            <w:tcBorders>
              <w:top w:val="nil"/>
              <w:left w:val="nil"/>
              <w:bottom w:val="nil"/>
              <w:right w:val="nil"/>
            </w:tcBorders>
            <w:vAlign w:val="center"/>
            <w:hideMark/>
          </w:tcPr>
          <w:p w14:paraId="0A128003" w14:textId="77777777" w:rsidR="00D45E4B" w:rsidRPr="001A230D" w:rsidRDefault="00D45E4B" w:rsidP="001A230D">
            <w:pPr>
              <w:pStyle w:val="TableBodyText"/>
            </w:pPr>
            <w:r w:rsidRPr="001A230D">
              <w:t>Hairdressers (63,632)</w:t>
            </w:r>
          </w:p>
        </w:tc>
        <w:tc>
          <w:tcPr>
            <w:tcW w:w="1874" w:type="dxa"/>
            <w:tcBorders>
              <w:top w:val="nil"/>
              <w:left w:val="nil"/>
              <w:bottom w:val="nil"/>
              <w:right w:val="nil"/>
            </w:tcBorders>
            <w:vAlign w:val="center"/>
            <w:hideMark/>
          </w:tcPr>
          <w:p w14:paraId="02C5B51B" w14:textId="77777777" w:rsidR="00D45E4B" w:rsidRPr="001A230D" w:rsidRDefault="00D45E4B" w:rsidP="001A230D">
            <w:pPr>
              <w:pStyle w:val="TableBodyText"/>
            </w:pPr>
            <w:r w:rsidRPr="001A230D">
              <w:t>Child Carers (173,330)</w:t>
            </w:r>
          </w:p>
        </w:tc>
      </w:tr>
      <w:tr w:rsidR="003512FC" w:rsidRPr="00D45E4B" w14:paraId="31543EAC" w14:textId="77777777" w:rsidTr="007E4723">
        <w:trPr>
          <w:tblHeader/>
        </w:trPr>
        <w:tc>
          <w:tcPr>
            <w:tcW w:w="1873" w:type="dxa"/>
            <w:tcBorders>
              <w:top w:val="nil"/>
              <w:left w:val="nil"/>
              <w:bottom w:val="nil"/>
              <w:right w:val="nil"/>
            </w:tcBorders>
            <w:shd w:val="clear" w:color="000000" w:fill="F2F2F2"/>
            <w:vAlign w:val="center"/>
            <w:hideMark/>
          </w:tcPr>
          <w:p w14:paraId="1B88A084" w14:textId="77777777" w:rsidR="003512FC" w:rsidRPr="001A230D" w:rsidRDefault="003512FC" w:rsidP="001A230D">
            <w:pPr>
              <w:pStyle w:val="TableBodyText"/>
            </w:pPr>
            <w:r w:rsidRPr="001A230D">
              <w:t>Plumbers (103,675)</w:t>
            </w:r>
          </w:p>
        </w:tc>
        <w:tc>
          <w:tcPr>
            <w:tcW w:w="1873" w:type="dxa"/>
            <w:tcBorders>
              <w:top w:val="nil"/>
              <w:left w:val="nil"/>
              <w:bottom w:val="nil"/>
              <w:right w:val="nil"/>
            </w:tcBorders>
            <w:shd w:val="clear" w:color="000000" w:fill="F2F2F2"/>
            <w:vAlign w:val="center"/>
            <w:hideMark/>
          </w:tcPr>
          <w:p w14:paraId="6382A2C5" w14:textId="77777777" w:rsidR="003512FC" w:rsidRPr="001A230D" w:rsidRDefault="003512FC" w:rsidP="001A230D">
            <w:pPr>
              <w:pStyle w:val="TableBodyText"/>
            </w:pPr>
            <w:r w:rsidRPr="001A230D">
              <w:t> </w:t>
            </w:r>
          </w:p>
        </w:tc>
        <w:tc>
          <w:tcPr>
            <w:tcW w:w="1874" w:type="dxa"/>
            <w:tcBorders>
              <w:top w:val="nil"/>
              <w:left w:val="nil"/>
              <w:bottom w:val="nil"/>
              <w:right w:val="nil"/>
            </w:tcBorders>
            <w:shd w:val="clear" w:color="000000" w:fill="F2F2F2"/>
            <w:vAlign w:val="center"/>
            <w:hideMark/>
          </w:tcPr>
          <w:p w14:paraId="25AB4FF6" w14:textId="77777777" w:rsidR="003512FC" w:rsidRPr="001A230D" w:rsidRDefault="003512FC" w:rsidP="001A230D">
            <w:pPr>
              <w:pStyle w:val="TableBodyText"/>
            </w:pPr>
            <w:r w:rsidRPr="001A230D">
              <w:t>Electrical Engineers (30,172)</w:t>
            </w:r>
          </w:p>
        </w:tc>
        <w:tc>
          <w:tcPr>
            <w:tcW w:w="1873" w:type="dxa"/>
            <w:tcBorders>
              <w:top w:val="nil"/>
              <w:left w:val="nil"/>
              <w:bottom w:val="nil"/>
              <w:right w:val="nil"/>
            </w:tcBorders>
            <w:shd w:val="clear" w:color="000000" w:fill="F2F2F2"/>
            <w:vAlign w:val="center"/>
            <w:hideMark/>
          </w:tcPr>
          <w:p w14:paraId="38275587" w14:textId="77777777" w:rsidR="003512FC" w:rsidRPr="001A230D" w:rsidRDefault="003512FC" w:rsidP="001A230D">
            <w:pPr>
              <w:pStyle w:val="TableBodyText"/>
            </w:pPr>
            <w:r w:rsidRPr="001A230D">
              <w:t>Painters (55,765)</w:t>
            </w:r>
          </w:p>
        </w:tc>
        <w:tc>
          <w:tcPr>
            <w:tcW w:w="1874" w:type="dxa"/>
            <w:tcBorders>
              <w:top w:val="nil"/>
              <w:left w:val="nil"/>
              <w:bottom w:val="nil"/>
              <w:right w:val="nil"/>
            </w:tcBorders>
            <w:shd w:val="clear" w:color="000000" w:fill="F2F2F2"/>
            <w:vAlign w:val="center"/>
            <w:hideMark/>
          </w:tcPr>
          <w:p w14:paraId="68D0E7A9" w14:textId="27268FE3" w:rsidR="003512FC" w:rsidRPr="001A230D" w:rsidRDefault="003512FC" w:rsidP="001A230D">
            <w:pPr>
              <w:pStyle w:val="TableBodyText"/>
            </w:pPr>
            <w:r w:rsidRPr="001A230D">
              <w:t>Primary School Teachers (161,186)</w:t>
            </w:r>
          </w:p>
        </w:tc>
      </w:tr>
      <w:tr w:rsidR="00CE6419" w:rsidRPr="00D45E4B" w14:paraId="09553567" w14:textId="77777777" w:rsidTr="007E4723">
        <w:trPr>
          <w:tblHeader/>
        </w:trPr>
        <w:tc>
          <w:tcPr>
            <w:tcW w:w="1873" w:type="dxa"/>
            <w:tcBorders>
              <w:top w:val="nil"/>
              <w:left w:val="nil"/>
              <w:bottom w:val="nil"/>
              <w:right w:val="nil"/>
            </w:tcBorders>
            <w:vAlign w:val="center"/>
            <w:hideMark/>
          </w:tcPr>
          <w:p w14:paraId="07F52521" w14:textId="77777777" w:rsidR="00D45E4B" w:rsidRPr="001A230D" w:rsidRDefault="00D45E4B" w:rsidP="001A230D">
            <w:pPr>
              <w:pStyle w:val="TableBodyText"/>
            </w:pPr>
            <w:r w:rsidRPr="001A230D">
              <w:t>Structural Steel and Welding Trades Workers (78,211)</w:t>
            </w:r>
          </w:p>
        </w:tc>
        <w:tc>
          <w:tcPr>
            <w:tcW w:w="1873" w:type="dxa"/>
            <w:tcBorders>
              <w:top w:val="nil"/>
              <w:left w:val="nil"/>
              <w:bottom w:val="nil"/>
              <w:right w:val="nil"/>
            </w:tcBorders>
            <w:vAlign w:val="center"/>
            <w:hideMark/>
          </w:tcPr>
          <w:p w14:paraId="629E11E4" w14:textId="77777777" w:rsidR="00D45E4B" w:rsidRPr="001A230D" w:rsidRDefault="00D45E4B" w:rsidP="001A230D">
            <w:pPr>
              <w:pStyle w:val="TableBodyText"/>
            </w:pPr>
            <w:bookmarkStart w:id="159" w:name="RANGE!C23"/>
            <w:bookmarkEnd w:id="159"/>
          </w:p>
        </w:tc>
        <w:tc>
          <w:tcPr>
            <w:tcW w:w="1874" w:type="dxa"/>
            <w:tcBorders>
              <w:top w:val="nil"/>
              <w:left w:val="nil"/>
              <w:bottom w:val="nil"/>
              <w:right w:val="nil"/>
            </w:tcBorders>
            <w:vAlign w:val="center"/>
            <w:hideMark/>
          </w:tcPr>
          <w:p w14:paraId="65214CCA" w14:textId="77777777" w:rsidR="00D45E4B" w:rsidRPr="001A230D" w:rsidRDefault="00D45E4B" w:rsidP="001A230D">
            <w:pPr>
              <w:pStyle w:val="TableBodyText"/>
            </w:pPr>
            <w:r w:rsidRPr="001A230D">
              <w:t>Urban and Regional Planners (21,008)</w:t>
            </w:r>
          </w:p>
        </w:tc>
        <w:tc>
          <w:tcPr>
            <w:tcW w:w="1873" w:type="dxa"/>
            <w:tcBorders>
              <w:top w:val="nil"/>
              <w:left w:val="nil"/>
              <w:bottom w:val="nil"/>
              <w:right w:val="nil"/>
            </w:tcBorders>
            <w:vAlign w:val="center"/>
            <w:hideMark/>
          </w:tcPr>
          <w:p w14:paraId="498BCFFA" w14:textId="77777777" w:rsidR="00D45E4B" w:rsidRPr="001A230D" w:rsidRDefault="00D45E4B" w:rsidP="001A230D">
            <w:pPr>
              <w:pStyle w:val="TableBodyText"/>
            </w:pPr>
            <w:r w:rsidRPr="001A230D">
              <w:t>Cooks (39,110)</w:t>
            </w:r>
          </w:p>
        </w:tc>
        <w:tc>
          <w:tcPr>
            <w:tcW w:w="1874" w:type="dxa"/>
            <w:tcBorders>
              <w:top w:val="nil"/>
              <w:left w:val="nil"/>
              <w:bottom w:val="nil"/>
              <w:right w:val="nil"/>
            </w:tcBorders>
            <w:vAlign w:val="center"/>
            <w:hideMark/>
          </w:tcPr>
          <w:p w14:paraId="13B6878F" w14:textId="77777777" w:rsidR="00D45E4B" w:rsidRPr="001A230D" w:rsidRDefault="00D45E4B" w:rsidP="001A230D">
            <w:pPr>
              <w:pStyle w:val="TableBodyText"/>
            </w:pPr>
            <w:r w:rsidRPr="001A230D">
              <w:t>Chefs (125,454)</w:t>
            </w:r>
          </w:p>
        </w:tc>
      </w:tr>
      <w:tr w:rsidR="003512FC" w:rsidRPr="00D45E4B" w14:paraId="05D6277A" w14:textId="77777777" w:rsidTr="007E4723">
        <w:trPr>
          <w:tblHeader/>
        </w:trPr>
        <w:tc>
          <w:tcPr>
            <w:tcW w:w="1873" w:type="dxa"/>
            <w:tcBorders>
              <w:top w:val="nil"/>
              <w:left w:val="nil"/>
              <w:bottom w:val="nil"/>
              <w:right w:val="nil"/>
            </w:tcBorders>
            <w:shd w:val="clear" w:color="000000" w:fill="F2F2F2"/>
            <w:vAlign w:val="center"/>
            <w:hideMark/>
          </w:tcPr>
          <w:p w14:paraId="7DBA33E0" w14:textId="77777777" w:rsidR="003512FC" w:rsidRPr="001A230D" w:rsidRDefault="003512FC" w:rsidP="001A230D">
            <w:pPr>
              <w:pStyle w:val="TableBodyText"/>
            </w:pPr>
            <w:r w:rsidRPr="001A230D">
              <w:t>Early Childhood (Pre-primary School) Teachers (70,305)</w:t>
            </w:r>
          </w:p>
        </w:tc>
        <w:tc>
          <w:tcPr>
            <w:tcW w:w="1873" w:type="dxa"/>
            <w:tcBorders>
              <w:top w:val="nil"/>
              <w:left w:val="nil"/>
              <w:bottom w:val="nil"/>
              <w:right w:val="nil"/>
            </w:tcBorders>
            <w:shd w:val="clear" w:color="000000" w:fill="F2F2F2"/>
            <w:vAlign w:val="center"/>
            <w:hideMark/>
          </w:tcPr>
          <w:p w14:paraId="6B652071" w14:textId="77777777" w:rsidR="003512FC" w:rsidRPr="001A230D" w:rsidRDefault="003512FC" w:rsidP="001A230D">
            <w:pPr>
              <w:pStyle w:val="TableBodyText"/>
            </w:pPr>
            <w:r w:rsidRPr="001A230D">
              <w:t> </w:t>
            </w:r>
          </w:p>
        </w:tc>
        <w:tc>
          <w:tcPr>
            <w:tcW w:w="1874" w:type="dxa"/>
            <w:tcBorders>
              <w:top w:val="nil"/>
              <w:left w:val="nil"/>
              <w:bottom w:val="nil"/>
              <w:right w:val="nil"/>
            </w:tcBorders>
            <w:shd w:val="clear" w:color="000000" w:fill="F2F2F2"/>
            <w:vAlign w:val="center"/>
            <w:hideMark/>
          </w:tcPr>
          <w:p w14:paraId="219A89DC" w14:textId="77777777" w:rsidR="003512FC" w:rsidRPr="001A230D" w:rsidRDefault="003512FC" w:rsidP="001A230D">
            <w:pPr>
              <w:pStyle w:val="TableBodyText"/>
            </w:pPr>
            <w:r w:rsidRPr="001A230D">
              <w:t>Mining Engineers (16,085)</w:t>
            </w:r>
          </w:p>
        </w:tc>
        <w:tc>
          <w:tcPr>
            <w:tcW w:w="1873" w:type="dxa"/>
            <w:tcBorders>
              <w:top w:val="nil"/>
              <w:left w:val="nil"/>
              <w:bottom w:val="nil"/>
              <w:right w:val="nil"/>
            </w:tcBorders>
            <w:shd w:val="clear" w:color="000000" w:fill="F2F2F2"/>
            <w:vAlign w:val="center"/>
            <w:hideMark/>
          </w:tcPr>
          <w:p w14:paraId="40A78BAC" w14:textId="77777777" w:rsidR="003512FC" w:rsidRPr="001A230D" w:rsidRDefault="003512FC" w:rsidP="001A230D">
            <w:pPr>
              <w:pStyle w:val="TableBodyText"/>
            </w:pPr>
            <w:r w:rsidRPr="001A230D">
              <w:t>Beauty Therapists (38,882)</w:t>
            </w:r>
          </w:p>
        </w:tc>
        <w:tc>
          <w:tcPr>
            <w:tcW w:w="1874" w:type="dxa"/>
            <w:tcBorders>
              <w:top w:val="nil"/>
              <w:left w:val="nil"/>
              <w:bottom w:val="nil"/>
              <w:right w:val="nil"/>
            </w:tcBorders>
            <w:shd w:val="clear" w:color="000000" w:fill="F2F2F2"/>
            <w:vAlign w:val="center"/>
            <w:hideMark/>
          </w:tcPr>
          <w:p w14:paraId="5D7FAB29" w14:textId="7EABCF3E" w:rsidR="003512FC" w:rsidRPr="001A230D" w:rsidRDefault="003512FC" w:rsidP="001A230D">
            <w:pPr>
              <w:pStyle w:val="TableBodyText"/>
            </w:pPr>
            <w:r w:rsidRPr="001A230D">
              <w:t>Solicitors (92,166)</w:t>
            </w:r>
          </w:p>
        </w:tc>
      </w:tr>
      <w:tr w:rsidR="00CE6419" w:rsidRPr="00D45E4B" w14:paraId="2A00C47D" w14:textId="77777777" w:rsidTr="007E4723">
        <w:trPr>
          <w:tblHeader/>
        </w:trPr>
        <w:tc>
          <w:tcPr>
            <w:tcW w:w="1873" w:type="dxa"/>
            <w:tcBorders>
              <w:top w:val="nil"/>
              <w:left w:val="nil"/>
              <w:bottom w:val="nil"/>
              <w:right w:val="nil"/>
            </w:tcBorders>
            <w:vAlign w:val="center"/>
            <w:hideMark/>
          </w:tcPr>
          <w:p w14:paraId="03B53629" w14:textId="77777777" w:rsidR="00D45E4B" w:rsidRPr="001A230D" w:rsidRDefault="00D45E4B" w:rsidP="001A230D">
            <w:pPr>
              <w:pStyle w:val="TableBodyText"/>
            </w:pPr>
            <w:r w:rsidRPr="001A230D">
              <w:t>Psychologists (52,741)</w:t>
            </w:r>
          </w:p>
        </w:tc>
        <w:tc>
          <w:tcPr>
            <w:tcW w:w="1873" w:type="dxa"/>
            <w:tcBorders>
              <w:top w:val="nil"/>
              <w:left w:val="nil"/>
              <w:bottom w:val="nil"/>
              <w:right w:val="nil"/>
            </w:tcBorders>
            <w:vAlign w:val="center"/>
            <w:hideMark/>
          </w:tcPr>
          <w:p w14:paraId="59EB7745" w14:textId="77777777" w:rsidR="00D45E4B" w:rsidRPr="001A230D" w:rsidRDefault="00D45E4B" w:rsidP="001A230D">
            <w:pPr>
              <w:pStyle w:val="TableBodyText"/>
            </w:pPr>
          </w:p>
        </w:tc>
        <w:tc>
          <w:tcPr>
            <w:tcW w:w="1874" w:type="dxa"/>
            <w:tcBorders>
              <w:top w:val="nil"/>
              <w:left w:val="nil"/>
              <w:bottom w:val="nil"/>
              <w:right w:val="nil"/>
            </w:tcBorders>
            <w:vAlign w:val="center"/>
            <w:hideMark/>
          </w:tcPr>
          <w:p w14:paraId="394B6AA2" w14:textId="77777777" w:rsidR="00D45E4B" w:rsidRPr="001A230D" w:rsidRDefault="00D45E4B" w:rsidP="001A230D">
            <w:pPr>
              <w:pStyle w:val="TableBodyText"/>
            </w:pPr>
            <w:r w:rsidRPr="001A230D">
              <w:t>Other Engineering Professionals (15,004)</w:t>
            </w:r>
          </w:p>
        </w:tc>
        <w:tc>
          <w:tcPr>
            <w:tcW w:w="1873" w:type="dxa"/>
            <w:tcBorders>
              <w:top w:val="nil"/>
              <w:left w:val="nil"/>
              <w:bottom w:val="nil"/>
              <w:right w:val="nil"/>
            </w:tcBorders>
            <w:vAlign w:val="center"/>
            <w:hideMark/>
          </w:tcPr>
          <w:p w14:paraId="1D469727" w14:textId="77777777" w:rsidR="00D45E4B" w:rsidRPr="001A230D" w:rsidRDefault="00D45E4B" w:rsidP="001A230D">
            <w:pPr>
              <w:pStyle w:val="TableBodyText"/>
            </w:pPr>
            <w:r w:rsidRPr="001A230D">
              <w:t>Bakers and Pastrycooks (32,035)</w:t>
            </w:r>
          </w:p>
        </w:tc>
        <w:tc>
          <w:tcPr>
            <w:tcW w:w="1874" w:type="dxa"/>
            <w:tcBorders>
              <w:top w:val="nil"/>
              <w:left w:val="nil"/>
              <w:bottom w:val="nil"/>
              <w:right w:val="nil"/>
            </w:tcBorders>
            <w:vAlign w:val="center"/>
            <w:hideMark/>
          </w:tcPr>
          <w:p w14:paraId="382185E4" w14:textId="77777777" w:rsidR="00D45E4B" w:rsidRPr="001A230D" w:rsidRDefault="00D45E4B" w:rsidP="001A230D">
            <w:pPr>
              <w:pStyle w:val="TableBodyText"/>
            </w:pPr>
            <w:r w:rsidRPr="001A230D">
              <w:t>General Practitioners and Resident Medical Officers (86,527)</w:t>
            </w:r>
          </w:p>
        </w:tc>
      </w:tr>
      <w:tr w:rsidR="003512FC" w:rsidRPr="00D45E4B" w14:paraId="5AC43912" w14:textId="77777777" w:rsidTr="007E4723">
        <w:trPr>
          <w:tblHeader/>
        </w:trPr>
        <w:tc>
          <w:tcPr>
            <w:tcW w:w="1873" w:type="dxa"/>
            <w:tcBorders>
              <w:top w:val="nil"/>
              <w:left w:val="nil"/>
              <w:bottom w:val="nil"/>
              <w:right w:val="nil"/>
            </w:tcBorders>
            <w:shd w:val="clear" w:color="000000" w:fill="F2F2F2"/>
            <w:vAlign w:val="center"/>
            <w:hideMark/>
          </w:tcPr>
          <w:p w14:paraId="7FA371D4" w14:textId="77777777" w:rsidR="003512FC" w:rsidRPr="001A230D" w:rsidRDefault="003512FC" w:rsidP="001A230D">
            <w:pPr>
              <w:pStyle w:val="TableBodyText"/>
            </w:pPr>
            <w:bookmarkStart w:id="160" w:name="RANGE!B26"/>
            <w:r w:rsidRPr="001A230D">
              <w:t>Physiotherapists (47,330)</w:t>
            </w:r>
            <w:bookmarkEnd w:id="160"/>
          </w:p>
        </w:tc>
        <w:tc>
          <w:tcPr>
            <w:tcW w:w="1873" w:type="dxa"/>
            <w:tcBorders>
              <w:top w:val="nil"/>
              <w:left w:val="nil"/>
              <w:bottom w:val="nil"/>
              <w:right w:val="nil"/>
            </w:tcBorders>
            <w:shd w:val="clear" w:color="000000" w:fill="F2F2F2"/>
            <w:vAlign w:val="center"/>
            <w:hideMark/>
          </w:tcPr>
          <w:p w14:paraId="3C52C987" w14:textId="77777777" w:rsidR="003512FC" w:rsidRPr="001A230D" w:rsidRDefault="003512FC" w:rsidP="001A230D">
            <w:pPr>
              <w:pStyle w:val="TableBodyText"/>
            </w:pPr>
            <w:r w:rsidRPr="001A230D">
              <w:t> </w:t>
            </w:r>
          </w:p>
        </w:tc>
        <w:tc>
          <w:tcPr>
            <w:tcW w:w="1874" w:type="dxa"/>
            <w:tcBorders>
              <w:top w:val="nil"/>
              <w:left w:val="nil"/>
              <w:bottom w:val="nil"/>
              <w:right w:val="nil"/>
            </w:tcBorders>
            <w:shd w:val="clear" w:color="000000" w:fill="F2F2F2"/>
            <w:vAlign w:val="center"/>
            <w:hideMark/>
          </w:tcPr>
          <w:p w14:paraId="4F0A0F17" w14:textId="77777777" w:rsidR="003512FC" w:rsidRPr="001A230D" w:rsidRDefault="003512FC" w:rsidP="001A230D">
            <w:pPr>
              <w:pStyle w:val="TableBodyText"/>
            </w:pPr>
            <w:r w:rsidRPr="001A230D">
              <w:t>Civil Engineering Draftspersons and Technicians (13,296)</w:t>
            </w:r>
          </w:p>
        </w:tc>
        <w:tc>
          <w:tcPr>
            <w:tcW w:w="1873" w:type="dxa"/>
            <w:tcBorders>
              <w:top w:val="nil"/>
              <w:left w:val="nil"/>
              <w:bottom w:val="nil"/>
              <w:right w:val="nil"/>
            </w:tcBorders>
            <w:shd w:val="clear" w:color="000000" w:fill="F2F2F2"/>
            <w:vAlign w:val="center"/>
            <w:hideMark/>
          </w:tcPr>
          <w:p w14:paraId="4FF1D765" w14:textId="77777777" w:rsidR="003512FC" w:rsidRPr="001A230D" w:rsidRDefault="003512FC" w:rsidP="001A230D">
            <w:pPr>
              <w:pStyle w:val="TableBodyText"/>
            </w:pPr>
            <w:r w:rsidRPr="001A230D">
              <w:t>Plasterers and Renderers (30,273)</w:t>
            </w:r>
          </w:p>
        </w:tc>
        <w:tc>
          <w:tcPr>
            <w:tcW w:w="1874" w:type="dxa"/>
            <w:tcBorders>
              <w:top w:val="nil"/>
              <w:left w:val="nil"/>
              <w:bottom w:val="nil"/>
              <w:right w:val="nil"/>
            </w:tcBorders>
            <w:shd w:val="clear" w:color="000000" w:fill="F2F2F2"/>
            <w:vAlign w:val="center"/>
            <w:hideMark/>
          </w:tcPr>
          <w:p w14:paraId="57F12FD1" w14:textId="59A1E57B" w:rsidR="003512FC" w:rsidRPr="001A230D" w:rsidRDefault="003512FC" w:rsidP="001A230D">
            <w:pPr>
              <w:pStyle w:val="TableBodyText"/>
            </w:pPr>
            <w:r w:rsidRPr="001A230D">
              <w:t>Drillers, Miners, and Shot Firers (63,592)</w:t>
            </w:r>
          </w:p>
        </w:tc>
      </w:tr>
      <w:tr w:rsidR="00CE6419" w:rsidRPr="00D45E4B" w14:paraId="1829DA18" w14:textId="77777777" w:rsidTr="007E4723">
        <w:trPr>
          <w:tblHeader/>
        </w:trPr>
        <w:tc>
          <w:tcPr>
            <w:tcW w:w="1873" w:type="dxa"/>
            <w:tcBorders>
              <w:top w:val="nil"/>
              <w:left w:val="nil"/>
              <w:bottom w:val="nil"/>
              <w:right w:val="nil"/>
            </w:tcBorders>
            <w:vAlign w:val="center"/>
            <w:hideMark/>
          </w:tcPr>
          <w:p w14:paraId="34CE40B4" w14:textId="77777777" w:rsidR="00D45E4B" w:rsidRPr="001A230D" w:rsidRDefault="00D45E4B" w:rsidP="001A230D">
            <w:pPr>
              <w:pStyle w:val="TableBodyText"/>
            </w:pPr>
            <w:r w:rsidRPr="001A230D">
              <w:t>Pharmacists (42,413)</w:t>
            </w:r>
          </w:p>
        </w:tc>
        <w:tc>
          <w:tcPr>
            <w:tcW w:w="1873" w:type="dxa"/>
            <w:tcBorders>
              <w:top w:val="nil"/>
              <w:left w:val="nil"/>
              <w:bottom w:val="nil"/>
              <w:right w:val="nil"/>
            </w:tcBorders>
            <w:vAlign w:val="center"/>
            <w:hideMark/>
          </w:tcPr>
          <w:p w14:paraId="67951912" w14:textId="77777777" w:rsidR="00D45E4B" w:rsidRPr="001A230D" w:rsidRDefault="00D45E4B" w:rsidP="001A230D">
            <w:pPr>
              <w:pStyle w:val="TableBodyText"/>
            </w:pPr>
          </w:p>
        </w:tc>
        <w:tc>
          <w:tcPr>
            <w:tcW w:w="1874" w:type="dxa"/>
            <w:tcBorders>
              <w:top w:val="nil"/>
              <w:left w:val="nil"/>
              <w:bottom w:val="nil"/>
              <w:right w:val="nil"/>
            </w:tcBorders>
            <w:vAlign w:val="center"/>
            <w:hideMark/>
          </w:tcPr>
          <w:p w14:paraId="5DEFC604" w14:textId="77777777" w:rsidR="00D45E4B" w:rsidRPr="001A230D" w:rsidRDefault="00D45E4B" w:rsidP="001A230D">
            <w:pPr>
              <w:pStyle w:val="TableBodyText"/>
            </w:pPr>
            <w:r w:rsidRPr="001A230D">
              <w:t>Geologists, Geophysicists and Hydrogeologists (12,640)</w:t>
            </w:r>
          </w:p>
        </w:tc>
        <w:tc>
          <w:tcPr>
            <w:tcW w:w="1873" w:type="dxa"/>
            <w:tcBorders>
              <w:top w:val="nil"/>
              <w:left w:val="nil"/>
              <w:bottom w:val="nil"/>
              <w:right w:val="nil"/>
            </w:tcBorders>
            <w:vAlign w:val="center"/>
            <w:hideMark/>
          </w:tcPr>
          <w:p w14:paraId="528C78AB" w14:textId="77777777" w:rsidR="00D45E4B" w:rsidRPr="001A230D" w:rsidRDefault="00D45E4B" w:rsidP="001A230D">
            <w:pPr>
              <w:pStyle w:val="TableBodyText"/>
            </w:pPr>
            <w:r w:rsidRPr="001A230D">
              <w:t>Bricklayers and Stonemasons (25,464)</w:t>
            </w:r>
          </w:p>
        </w:tc>
        <w:tc>
          <w:tcPr>
            <w:tcW w:w="1874" w:type="dxa"/>
            <w:tcBorders>
              <w:top w:val="nil"/>
              <w:left w:val="nil"/>
              <w:bottom w:val="nil"/>
              <w:right w:val="nil"/>
            </w:tcBorders>
            <w:vAlign w:val="center"/>
            <w:hideMark/>
          </w:tcPr>
          <w:p w14:paraId="71FE2391" w14:textId="77777777" w:rsidR="00D45E4B" w:rsidRPr="001A230D" w:rsidRDefault="00D45E4B" w:rsidP="001A230D">
            <w:pPr>
              <w:pStyle w:val="TableBodyText"/>
            </w:pPr>
            <w:r w:rsidRPr="001A230D">
              <w:t>Earthmoving Plant Operators (49,627)</w:t>
            </w:r>
          </w:p>
        </w:tc>
      </w:tr>
      <w:tr w:rsidR="003512FC" w:rsidRPr="00D45E4B" w14:paraId="6229A2FB" w14:textId="77777777" w:rsidTr="007E4723">
        <w:trPr>
          <w:tblHeader/>
        </w:trPr>
        <w:tc>
          <w:tcPr>
            <w:tcW w:w="1873" w:type="dxa"/>
            <w:tcBorders>
              <w:top w:val="nil"/>
              <w:left w:val="nil"/>
              <w:bottom w:val="single" w:sz="8" w:space="0" w:color="2F005F"/>
              <w:right w:val="nil"/>
            </w:tcBorders>
            <w:shd w:val="clear" w:color="000000" w:fill="F2F2F2"/>
            <w:vAlign w:val="center"/>
            <w:hideMark/>
          </w:tcPr>
          <w:p w14:paraId="58C07967" w14:textId="77777777" w:rsidR="003512FC" w:rsidRPr="001A230D" w:rsidRDefault="003512FC" w:rsidP="001A230D">
            <w:pPr>
              <w:pStyle w:val="TableBodyText"/>
            </w:pPr>
            <w:r w:rsidRPr="001A230D">
              <w:t>Cabinet and Furniture Makers (34,914)</w:t>
            </w:r>
          </w:p>
        </w:tc>
        <w:tc>
          <w:tcPr>
            <w:tcW w:w="1873" w:type="dxa"/>
            <w:tcBorders>
              <w:top w:val="nil"/>
              <w:left w:val="nil"/>
              <w:bottom w:val="single" w:sz="8" w:space="0" w:color="2F005F"/>
              <w:right w:val="nil"/>
            </w:tcBorders>
            <w:shd w:val="clear" w:color="000000" w:fill="F2F2F2"/>
            <w:vAlign w:val="center"/>
            <w:hideMark/>
          </w:tcPr>
          <w:p w14:paraId="6AFE44EC" w14:textId="77777777" w:rsidR="003512FC" w:rsidRPr="001A230D" w:rsidRDefault="003512FC" w:rsidP="001A230D">
            <w:pPr>
              <w:pStyle w:val="TableBodyText"/>
            </w:pPr>
            <w:r w:rsidRPr="001A230D">
              <w:t> </w:t>
            </w:r>
          </w:p>
        </w:tc>
        <w:tc>
          <w:tcPr>
            <w:tcW w:w="1874" w:type="dxa"/>
            <w:tcBorders>
              <w:top w:val="nil"/>
              <w:left w:val="nil"/>
              <w:bottom w:val="single" w:sz="8" w:space="0" w:color="2F005F"/>
              <w:right w:val="nil"/>
            </w:tcBorders>
            <w:shd w:val="clear" w:color="000000" w:fill="F2F2F2"/>
            <w:vAlign w:val="center"/>
            <w:hideMark/>
          </w:tcPr>
          <w:p w14:paraId="37A71024" w14:textId="77777777" w:rsidR="003512FC" w:rsidRPr="001A230D" w:rsidRDefault="003512FC" w:rsidP="001A230D">
            <w:pPr>
              <w:pStyle w:val="TableBodyText"/>
            </w:pPr>
            <w:r w:rsidRPr="001A230D">
              <w:t>Surgeons (10,629)</w:t>
            </w:r>
          </w:p>
        </w:tc>
        <w:tc>
          <w:tcPr>
            <w:tcW w:w="1873" w:type="dxa"/>
            <w:tcBorders>
              <w:top w:val="nil"/>
              <w:left w:val="nil"/>
              <w:bottom w:val="single" w:sz="8" w:space="0" w:color="2F005F"/>
              <w:right w:val="nil"/>
            </w:tcBorders>
            <w:shd w:val="clear" w:color="000000" w:fill="F2F2F2"/>
            <w:vAlign w:val="center"/>
            <w:hideMark/>
          </w:tcPr>
          <w:p w14:paraId="1F22F90A" w14:textId="77777777" w:rsidR="003512FC" w:rsidRPr="001A230D" w:rsidRDefault="003512FC" w:rsidP="001A230D">
            <w:pPr>
              <w:pStyle w:val="TableBodyText"/>
            </w:pPr>
            <w:r w:rsidRPr="001A230D">
              <w:t>Wall and Floor Tilers (22,028)</w:t>
            </w:r>
          </w:p>
        </w:tc>
        <w:tc>
          <w:tcPr>
            <w:tcW w:w="1874" w:type="dxa"/>
            <w:tcBorders>
              <w:top w:val="nil"/>
              <w:left w:val="nil"/>
              <w:bottom w:val="single" w:sz="8" w:space="0" w:color="2F005F"/>
              <w:right w:val="nil"/>
            </w:tcBorders>
            <w:shd w:val="clear" w:color="000000" w:fill="F2F2F2"/>
            <w:vAlign w:val="center"/>
            <w:hideMark/>
          </w:tcPr>
          <w:p w14:paraId="1A62FA51" w14:textId="76F441C6" w:rsidR="003512FC" w:rsidRPr="001A230D" w:rsidRDefault="003512FC" w:rsidP="001A230D">
            <w:pPr>
              <w:pStyle w:val="TableBodyText"/>
            </w:pPr>
            <w:r w:rsidRPr="001A230D">
              <w:t>Vocational Education Teachers / Polytechnic Teachers (35,645)</w:t>
            </w:r>
          </w:p>
        </w:tc>
      </w:tr>
    </w:tbl>
    <w:p w14:paraId="5C75205F" w14:textId="24929BDF" w:rsidR="00D61FBD" w:rsidRDefault="009A57BB" w:rsidP="00ED55C9">
      <w:pPr>
        <w:pStyle w:val="Source"/>
      </w:pPr>
      <w:r>
        <w:t xml:space="preserve">Source: </w:t>
      </w:r>
      <w:r w:rsidR="0091223F" w:rsidRPr="0091223F">
        <w:t>JSA</w:t>
      </w:r>
      <w:r w:rsidR="00147C6B">
        <w:t xml:space="preserve"> OSL analysis</w:t>
      </w:r>
      <w:r w:rsidR="0091223F" w:rsidRPr="0091223F">
        <w:t>; ABS</w:t>
      </w:r>
      <w:r>
        <w:t>,</w:t>
      </w:r>
      <w:r w:rsidR="0091223F" w:rsidRPr="0091223F">
        <w:t xml:space="preserve"> Labour Force; ABS</w:t>
      </w:r>
      <w:r>
        <w:t>,</w:t>
      </w:r>
      <w:r w:rsidR="0091223F" w:rsidRPr="0091223F">
        <w:t xml:space="preserve"> Census of Population and Housing</w:t>
      </w:r>
      <w:r>
        <w:t>,</w:t>
      </w:r>
      <w:r w:rsidR="0091223F" w:rsidRPr="0091223F">
        <w:t xml:space="preserve"> 2021.</w:t>
      </w:r>
      <w:bookmarkStart w:id="161" w:name="_Toc206784535"/>
      <w:bookmarkStart w:id="162" w:name="_Toc208923393"/>
    </w:p>
    <w:p w14:paraId="670C9A73" w14:textId="1702AB5F" w:rsidR="00915192" w:rsidRPr="004D07B3" w:rsidRDefault="00915192" w:rsidP="002E6277">
      <w:pPr>
        <w:pStyle w:val="Heading4"/>
      </w:pPr>
      <w:r w:rsidRPr="004D07B3">
        <w:t>Training gap</w:t>
      </w:r>
      <w:r>
        <w:t>s</w:t>
      </w:r>
    </w:p>
    <w:p w14:paraId="698E255C" w14:textId="07ED0BE7" w:rsidR="00915192" w:rsidRPr="00915192" w:rsidRDefault="003E787D" w:rsidP="000F25D8">
      <w:pPr>
        <w:pStyle w:val="BodyText"/>
      </w:pPr>
      <w:r>
        <w:t xml:space="preserve">Table 5 highlights that long training gaps are more frequent than short training gaps. </w:t>
      </w:r>
      <w:r w:rsidR="00915192" w:rsidRPr="00915192">
        <w:t xml:space="preserve">The </w:t>
      </w:r>
      <w:r w:rsidR="009A57BB">
        <w:t>l</w:t>
      </w:r>
      <w:r w:rsidR="009A57BB" w:rsidRPr="00915192">
        <w:t>ong</w:t>
      </w:r>
      <w:r w:rsidR="00915192" w:rsidRPr="00915192">
        <w:t xml:space="preserve"> training gap category includes a mix of large-employing unit groups where higher education and VET are the pathway</w:t>
      </w:r>
      <w:r w:rsidR="00CD7C25">
        <w:t>s</w:t>
      </w:r>
      <w:r w:rsidR="00915192" w:rsidRPr="00915192">
        <w:t xml:space="preserve"> </w:t>
      </w:r>
      <w:r w:rsidR="00160514">
        <w:t>in</w:t>
      </w:r>
      <w:r w:rsidR="00915192" w:rsidRPr="00915192">
        <w:t xml:space="preserve">to the labour market. The list includes </w:t>
      </w:r>
      <w:r w:rsidR="00EB118A">
        <w:t>occupations from the</w:t>
      </w:r>
      <w:r w:rsidR="00915192" w:rsidRPr="00915192">
        <w:t xml:space="preserve"> Professionals </w:t>
      </w:r>
      <w:r w:rsidR="00EB118A">
        <w:t xml:space="preserve">major </w:t>
      </w:r>
      <w:r w:rsidR="00915192" w:rsidRPr="00915192">
        <w:t xml:space="preserve">group from </w:t>
      </w:r>
      <w:r w:rsidR="00EB118A">
        <w:t xml:space="preserve">the </w:t>
      </w:r>
      <w:r w:rsidR="00915192" w:rsidRPr="00915192">
        <w:t xml:space="preserve">health and education sectors, with the remaining from </w:t>
      </w:r>
      <w:r w:rsidR="00EB118A">
        <w:t xml:space="preserve">the </w:t>
      </w:r>
      <w:r w:rsidR="00915192" w:rsidRPr="00915192">
        <w:t>Technicians and Trades Workers</w:t>
      </w:r>
      <w:r w:rsidR="00EB118A">
        <w:t xml:space="preserve"> major group</w:t>
      </w:r>
      <w:r w:rsidR="00915192" w:rsidRPr="00915192">
        <w:t>.</w:t>
      </w:r>
    </w:p>
    <w:p w14:paraId="2D46DEAB" w14:textId="2E443705" w:rsidR="00342AD0" w:rsidRPr="00915192" w:rsidRDefault="00915192" w:rsidP="000F25D8">
      <w:pPr>
        <w:pStyle w:val="BodyText"/>
      </w:pPr>
      <w:r w:rsidRPr="00915192">
        <w:t xml:space="preserve">Additional analysis shows that for some occupations, sharp increases in demand are outpacing </w:t>
      </w:r>
      <w:r w:rsidR="00887A37">
        <w:t xml:space="preserve">the </w:t>
      </w:r>
      <w:r w:rsidRPr="00915192">
        <w:t xml:space="preserve">capacity of the education and training system to supply </w:t>
      </w:r>
      <w:r w:rsidR="00887A37">
        <w:t>trained workers</w:t>
      </w:r>
      <w:r w:rsidR="00342AD0">
        <w:t>.</w:t>
      </w:r>
      <w:r w:rsidRPr="00915192">
        <w:t xml:space="preserve"> Elevated demand and high employment growth impact many occupations in health, education, and those critical to construction and the clean energy </w:t>
      </w:r>
      <w:r w:rsidR="0034109B">
        <w:t>transition</w:t>
      </w:r>
      <w:r w:rsidRPr="00915192">
        <w:t xml:space="preserve">. </w:t>
      </w:r>
      <w:r w:rsidR="0034109B">
        <w:t>However, these</w:t>
      </w:r>
      <w:r w:rsidRPr="00915192">
        <w:t xml:space="preserve"> </w:t>
      </w:r>
      <w:r w:rsidR="0034109B">
        <w:t>occupations</w:t>
      </w:r>
      <w:r w:rsidRPr="00915192">
        <w:t xml:space="preserve"> remain in shortage with training gaps </w:t>
      </w:r>
      <w:r w:rsidR="00130B5B">
        <w:t xml:space="preserve">(long or short) </w:t>
      </w:r>
      <w:r w:rsidRPr="00915192">
        <w:t>as the lead</w:t>
      </w:r>
      <w:r w:rsidR="0034109B">
        <w:t>ing</w:t>
      </w:r>
      <w:r w:rsidRPr="00915192">
        <w:t xml:space="preserve"> </w:t>
      </w:r>
      <w:r w:rsidR="0034109B">
        <w:t>driver</w:t>
      </w:r>
      <w:r w:rsidRPr="00915192">
        <w:t xml:space="preserve">. This suggests that the flow of qualified workers into the labour market may only be partly meeting demand. </w:t>
      </w:r>
    </w:p>
    <w:p w14:paraId="4C87162E" w14:textId="77777777" w:rsidR="00915192" w:rsidRPr="007A197A" w:rsidRDefault="00915192" w:rsidP="002E6277">
      <w:pPr>
        <w:pStyle w:val="Heading4"/>
      </w:pPr>
      <w:r w:rsidRPr="007A197A">
        <w:t>Suitability gap</w:t>
      </w:r>
    </w:p>
    <w:p w14:paraId="756ACC22" w14:textId="7A21B22D" w:rsidR="00915192" w:rsidRPr="00915192" w:rsidRDefault="00915192" w:rsidP="000F25D8">
      <w:pPr>
        <w:pStyle w:val="BodyText"/>
      </w:pPr>
      <w:r w:rsidRPr="00915192">
        <w:t xml:space="preserve">Suitability gap shortages </w:t>
      </w:r>
      <w:r w:rsidR="001F4372">
        <w:t>were mostly seen in</w:t>
      </w:r>
      <w:r w:rsidRPr="00915192">
        <w:t xml:space="preserve"> engineering roles from the Professionals major group. Many occupations with a university pathway </w:t>
      </w:r>
      <w:r w:rsidR="00AF2B7C">
        <w:t>in</w:t>
      </w:r>
      <w:r w:rsidRPr="00915192">
        <w:t>to the labour market have above average flows of qualified workers and technical know-how</w:t>
      </w:r>
      <w:r w:rsidR="00CE6E32">
        <w:t>, b</w:t>
      </w:r>
      <w:r w:rsidRPr="00915192">
        <w:t xml:space="preserve">ut </w:t>
      </w:r>
      <w:r w:rsidR="00A37534">
        <w:t>this type of shortage driver reflects that</w:t>
      </w:r>
      <w:r w:rsidRPr="00915192">
        <w:t xml:space="preserve"> workers </w:t>
      </w:r>
      <w:r w:rsidR="00CE6E32">
        <w:t xml:space="preserve">may </w:t>
      </w:r>
      <w:r w:rsidRPr="00915192">
        <w:t xml:space="preserve">lack the employability skills and experience that employers seek. </w:t>
      </w:r>
      <w:r w:rsidR="009B1E20">
        <w:t>On the other hand, i</w:t>
      </w:r>
      <w:r w:rsidR="00A37534">
        <w:t>t may also reflect unrealistic employer expectations</w:t>
      </w:r>
      <w:r w:rsidRPr="00915192" w:rsidDel="00A37534">
        <w:t xml:space="preserve"> </w:t>
      </w:r>
      <w:r w:rsidR="009B1E20">
        <w:t xml:space="preserve">for past experience. For example, many employers for these occupations require applicants to have 5 years of prior experience, on average. </w:t>
      </w:r>
    </w:p>
    <w:p w14:paraId="5B3FB9FD" w14:textId="77777777" w:rsidR="00915192" w:rsidRPr="0030705E" w:rsidRDefault="00915192" w:rsidP="002E6277">
      <w:pPr>
        <w:pStyle w:val="Heading4"/>
      </w:pPr>
      <w:r w:rsidRPr="0030705E">
        <w:t>Retention gap</w:t>
      </w:r>
    </w:p>
    <w:p w14:paraId="36CEFC46" w14:textId="41594B89" w:rsidR="00915192" w:rsidRPr="00915192" w:rsidRDefault="00915192" w:rsidP="000F25D8">
      <w:pPr>
        <w:pStyle w:val="BodyText"/>
      </w:pPr>
      <w:r w:rsidRPr="00915192">
        <w:t>Retention gap is the main</w:t>
      </w:r>
      <w:r w:rsidR="00B20993">
        <w:t xml:space="preserve"> shortage</w:t>
      </w:r>
      <w:r w:rsidRPr="00915192">
        <w:t xml:space="preserve"> driver for large employing roles in the care, personal care, construction, and food sectors. </w:t>
      </w:r>
      <w:r w:rsidR="00824736" w:rsidRPr="00824736">
        <w:t>Retention-related shortages</w:t>
      </w:r>
      <w:r w:rsidR="00824736">
        <w:t xml:space="preserve"> </w:t>
      </w:r>
      <w:r w:rsidR="00824736" w:rsidRPr="00824736">
        <w:t>are often shaped by broader workplace and industry conditions. Factors such as job quality, workplace culture, social expectations, and pay can all influence whether workers remain in an occupation</w:t>
      </w:r>
      <w:r w:rsidR="00376A04">
        <w:t>.</w:t>
      </w:r>
    </w:p>
    <w:p w14:paraId="3BD0D0E1" w14:textId="77777777" w:rsidR="00915192" w:rsidRPr="00767A81" w:rsidRDefault="00915192" w:rsidP="002E6277">
      <w:pPr>
        <w:pStyle w:val="Heading4"/>
        <w:rPr>
          <w:rFonts w:eastAsia="Aptos"/>
        </w:rPr>
      </w:pPr>
      <w:r w:rsidRPr="00767A81">
        <w:rPr>
          <w:rFonts w:eastAsia="Aptos"/>
        </w:rPr>
        <w:t>Uncertain</w:t>
      </w:r>
    </w:p>
    <w:p w14:paraId="54EA2DCA" w14:textId="5324DC52" w:rsidR="00915192" w:rsidRPr="00915192" w:rsidRDefault="00915192" w:rsidP="000F25D8">
      <w:pPr>
        <w:pStyle w:val="BodyText"/>
      </w:pPr>
      <w:r w:rsidRPr="00915192">
        <w:t>The uncertain group includes both high and lower skilled groups</w:t>
      </w:r>
      <w:r w:rsidR="00F5494D">
        <w:t xml:space="preserve"> of occupations</w:t>
      </w:r>
      <w:r w:rsidRPr="00915192">
        <w:t>. Th</w:t>
      </w:r>
      <w:r w:rsidR="00F5494D">
        <w:t>is</w:t>
      </w:r>
      <w:r w:rsidRPr="00915192">
        <w:t xml:space="preserve"> includes Skill Level 1 </w:t>
      </w:r>
      <w:r w:rsidR="00D9401E">
        <w:t xml:space="preserve">occupation </w:t>
      </w:r>
      <w:r w:rsidRPr="00915192">
        <w:t xml:space="preserve">unit groups in </w:t>
      </w:r>
      <w:r w:rsidR="00F5494D">
        <w:t xml:space="preserve">the </w:t>
      </w:r>
      <w:r w:rsidRPr="00915192">
        <w:t xml:space="preserve">health, education, and legal sectors. </w:t>
      </w:r>
      <w:r w:rsidR="00E651A0">
        <w:t>Occupations</w:t>
      </w:r>
      <w:r w:rsidRPr="00915192">
        <w:t xml:space="preserve"> in the construction sector and Truck Drivers are also present. </w:t>
      </w:r>
    </w:p>
    <w:p w14:paraId="36EB875C" w14:textId="77ADB0AF" w:rsidR="00915192" w:rsidRPr="00915192" w:rsidRDefault="00915192" w:rsidP="000F25D8">
      <w:pPr>
        <w:pStyle w:val="BodyText"/>
      </w:pPr>
      <w:r w:rsidRPr="00915192">
        <w:t xml:space="preserve">The primary driver of several occupations </w:t>
      </w:r>
      <w:r w:rsidR="00F5494D">
        <w:t xml:space="preserve">in this group </w:t>
      </w:r>
      <w:r w:rsidRPr="00915192">
        <w:t>changed, and the transition was mostly from a known driver in 2024 to an uncertain one in 2025. This suggests there was an intersection of factors that caused shortages</w:t>
      </w:r>
      <w:r w:rsidR="00F5494D">
        <w:t xml:space="preserve"> for these occupations</w:t>
      </w:r>
      <w:r w:rsidRPr="00915192">
        <w:t>. For example, previously, there were insufficient</w:t>
      </w:r>
      <w:r w:rsidRPr="00915192" w:rsidDel="00C92515">
        <w:t xml:space="preserve"> </w:t>
      </w:r>
      <w:r w:rsidRPr="00915192">
        <w:t xml:space="preserve">registered nurses in the labour market, with training gap identified as the primary shortage driver. Now, the cause of their shortage is uncertain. Two things appear to be happening: the supply pipeline is growing, but the need to replace registered nurses due to them leaving is rising. Retention issues for registered nurses are not new but may be becoming a bigger contributor </w:t>
      </w:r>
      <w:r w:rsidR="00C06696">
        <w:t xml:space="preserve">to </w:t>
      </w:r>
      <w:r w:rsidRPr="00915192">
        <w:t>their shortage.</w:t>
      </w:r>
    </w:p>
    <w:p w14:paraId="04B49A42" w14:textId="5D602714" w:rsidR="00915192" w:rsidRPr="00915192" w:rsidRDefault="00915192" w:rsidP="001A230D">
      <w:pPr>
        <w:pStyle w:val="BodyText"/>
        <w:keepLines/>
      </w:pPr>
      <w:r>
        <w:t>Given the size of these unit groups, addressing shortages will have significant labour market impacts, including on productivity growth.</w:t>
      </w:r>
      <w:r w:rsidR="00774B14">
        <w:t xml:space="preserve"> Because the uncertain driver</w:t>
      </w:r>
      <w:r w:rsidR="00774B14" w:rsidRPr="00774B14">
        <w:t xml:space="preserve"> may reflect a mix of contributing factors, transitional dynamics, or limitations in current data and classification methods</w:t>
      </w:r>
      <w:r w:rsidR="00774B14">
        <w:t>, u</w:t>
      </w:r>
      <w:r w:rsidR="00774B14" w:rsidRPr="00774B14">
        <w:t xml:space="preserve">nderstanding these occupations requires deeper investigation and ongoing monitoring. </w:t>
      </w:r>
      <w:r w:rsidR="00A40300">
        <w:t>They may require</w:t>
      </w:r>
      <w:r w:rsidR="00774B14" w:rsidRPr="00774B14">
        <w:t xml:space="preserve"> adaptive policy responses and flexible workforce planning approaches that can evolve as new evidence emerges.</w:t>
      </w:r>
    </w:p>
    <w:p w14:paraId="1F8E948B" w14:textId="77777777" w:rsidR="00915192" w:rsidRDefault="00915192" w:rsidP="00537382">
      <w:pPr>
        <w:pStyle w:val="Heading3"/>
      </w:pPr>
      <w:bookmarkStart w:id="163" w:name="_Toc211587012"/>
      <w:r>
        <w:t>Persistent labour market shortages</w:t>
      </w:r>
      <w:bookmarkEnd w:id="161"/>
      <w:bookmarkEnd w:id="162"/>
      <w:bookmarkEnd w:id="163"/>
    </w:p>
    <w:p w14:paraId="3BE565AC" w14:textId="1F8AAA35" w:rsidR="00915192" w:rsidRDefault="00915192" w:rsidP="00767A81">
      <w:pPr>
        <w:pStyle w:val="BodyText"/>
      </w:pPr>
      <w:r>
        <w:t xml:space="preserve">Understanding long term occupation shortages is important as their persistence can point to underlying systemic issues that can hinder economic growth, impact participation, and negatively affect quality of life and other social issues if left unaddressed. JSA defines occupations in persistent shortage as those which have been in shortage for </w:t>
      </w:r>
      <w:r w:rsidR="00752D49">
        <w:t>5</w:t>
      </w:r>
      <w:r>
        <w:t xml:space="preserve"> or more years. </w:t>
      </w:r>
    </w:p>
    <w:p w14:paraId="6A7A54C5" w14:textId="24E8A6E4" w:rsidR="00915192" w:rsidRPr="00915192" w:rsidRDefault="00915192" w:rsidP="00767A81">
      <w:pPr>
        <w:pStyle w:val="BodyText"/>
      </w:pPr>
      <w:r w:rsidRPr="00915192">
        <w:t>The 2025 OSL analysis showed that there were 139 occupations in persistent shortage from 2021 to 2025 (</w:t>
      </w:r>
      <w:r w:rsidRPr="00915192">
        <w:fldChar w:fldCharType="begin"/>
      </w:r>
      <w:r w:rsidRPr="00915192">
        <w:instrText xml:space="preserve"> REF _Ref206685214 \h </w:instrText>
      </w:r>
      <w:r w:rsidR="00767A81">
        <w:instrText xml:space="preserve"> \* MERGEFORMAT </w:instrText>
      </w:r>
      <w:r w:rsidRPr="00915192">
        <w:fldChar w:fldCharType="separate"/>
      </w:r>
      <w:r w:rsidR="009E6E1D">
        <w:t>Table 6</w:t>
      </w:r>
      <w:r w:rsidRPr="00915192">
        <w:fldChar w:fldCharType="end"/>
      </w:r>
      <w:r w:rsidRPr="00915192">
        <w:t xml:space="preserve">). Of these, 51% were in the Technicians and Trades Workers major group, particularly those related to construction, engineering and automotive trades. Professionals made up 37%, with various roles in health, early childhood education, and roles in engineering and science. </w:t>
      </w:r>
    </w:p>
    <w:p w14:paraId="7212E8DF" w14:textId="5CA38205" w:rsidR="00915192" w:rsidRDefault="00915192" w:rsidP="00915192">
      <w:pPr>
        <w:pStyle w:val="Caption"/>
      </w:pPr>
      <w:bookmarkStart w:id="164" w:name="_Ref206685214"/>
      <w:bookmarkStart w:id="165" w:name="_Toc210206856"/>
      <w:r>
        <w:t xml:space="preserve">Table </w:t>
      </w:r>
      <w:r>
        <w:fldChar w:fldCharType="begin"/>
      </w:r>
      <w:r>
        <w:instrText xml:space="preserve"> SEQ Table \* ARABIC </w:instrText>
      </w:r>
      <w:r>
        <w:fldChar w:fldCharType="separate"/>
      </w:r>
      <w:r w:rsidR="009E6E1D">
        <w:rPr>
          <w:noProof/>
        </w:rPr>
        <w:t>6</w:t>
      </w:r>
      <w:r>
        <w:fldChar w:fldCharType="end"/>
      </w:r>
      <w:bookmarkEnd w:id="164"/>
      <w:r>
        <w:t>: Summary of major groups in persistent shortage in the 202</w:t>
      </w:r>
      <w:r w:rsidR="00DF2F1A">
        <w:t>1</w:t>
      </w:r>
      <w:r>
        <w:t>-2025 OSL</w:t>
      </w:r>
      <w:bookmarkEnd w:id="165"/>
    </w:p>
    <w:tbl>
      <w:tblPr>
        <w:tblStyle w:val="CustomTablebasic"/>
        <w:tblW w:w="0" w:type="auto"/>
        <w:tblLook w:val="04A0" w:firstRow="1" w:lastRow="0" w:firstColumn="1" w:lastColumn="0" w:noHBand="0" w:noVBand="1"/>
      </w:tblPr>
      <w:tblGrid>
        <w:gridCol w:w="4957"/>
        <w:gridCol w:w="2126"/>
        <w:gridCol w:w="1933"/>
      </w:tblGrid>
      <w:tr w:rsidR="009D344A" w14:paraId="0E62A296" w14:textId="77777777" w:rsidTr="00ED4661">
        <w:trPr>
          <w:cnfStyle w:val="100000000000" w:firstRow="1" w:lastRow="0" w:firstColumn="0" w:lastColumn="0" w:oddVBand="0" w:evenVBand="0" w:oddHBand="0" w:evenHBand="0" w:firstRowFirstColumn="0" w:firstRowLastColumn="0" w:lastRowFirstColumn="0" w:lastRowLastColumn="0"/>
        </w:trPr>
        <w:tc>
          <w:tcPr>
            <w:tcW w:w="4957" w:type="dxa"/>
          </w:tcPr>
          <w:p w14:paraId="5A7CB503" w14:textId="77777777" w:rsidR="00915192" w:rsidRPr="00915192" w:rsidRDefault="00915192" w:rsidP="00ED4661">
            <w:pPr>
              <w:pStyle w:val="TableHeading1"/>
            </w:pPr>
            <w:r w:rsidRPr="00915192">
              <w:rPr>
                <w:rFonts w:eastAsia="Aptos"/>
              </w:rPr>
              <w:t>In shortage from 2021 to 2025</w:t>
            </w:r>
          </w:p>
        </w:tc>
        <w:tc>
          <w:tcPr>
            <w:tcW w:w="2126" w:type="dxa"/>
          </w:tcPr>
          <w:p w14:paraId="7D39139F" w14:textId="77777777" w:rsidR="00915192" w:rsidRPr="00915192" w:rsidRDefault="00915192" w:rsidP="00ED4661">
            <w:pPr>
              <w:pStyle w:val="TableHeading1"/>
            </w:pPr>
            <w:r w:rsidRPr="00915192">
              <w:rPr>
                <w:rFonts w:eastAsia="Aptos"/>
              </w:rPr>
              <w:t>Occupations (No.)</w:t>
            </w:r>
          </w:p>
        </w:tc>
        <w:tc>
          <w:tcPr>
            <w:tcW w:w="1933" w:type="dxa"/>
          </w:tcPr>
          <w:p w14:paraId="11B2AB4F" w14:textId="77777777" w:rsidR="00915192" w:rsidRPr="00915192" w:rsidRDefault="00915192" w:rsidP="00ED4661">
            <w:pPr>
              <w:pStyle w:val="TableHeading1"/>
            </w:pPr>
            <w:r w:rsidRPr="00915192">
              <w:rPr>
                <w:rFonts w:eastAsia="Aptos"/>
              </w:rPr>
              <w:t>Occupations (%)</w:t>
            </w:r>
          </w:p>
        </w:tc>
      </w:tr>
      <w:tr w:rsidR="00915192" w:rsidRPr="0089690F" w14:paraId="3DCA5ED6" w14:textId="77777777" w:rsidTr="00ED4661">
        <w:tc>
          <w:tcPr>
            <w:tcW w:w="4957" w:type="dxa"/>
          </w:tcPr>
          <w:p w14:paraId="79040066" w14:textId="77777777" w:rsidR="00915192" w:rsidRPr="00915192" w:rsidRDefault="00915192" w:rsidP="00767A81">
            <w:pPr>
              <w:pStyle w:val="TableBodyText"/>
            </w:pPr>
            <w:r w:rsidRPr="0089690F">
              <w:t>Managers</w:t>
            </w:r>
          </w:p>
        </w:tc>
        <w:tc>
          <w:tcPr>
            <w:tcW w:w="2126" w:type="dxa"/>
          </w:tcPr>
          <w:p w14:paraId="299033D4" w14:textId="77777777" w:rsidR="00915192" w:rsidRPr="00915192" w:rsidRDefault="00915192" w:rsidP="00767A81">
            <w:pPr>
              <w:pStyle w:val="TableBodyText"/>
            </w:pPr>
            <w:r w:rsidRPr="0089690F">
              <w:t>2</w:t>
            </w:r>
          </w:p>
        </w:tc>
        <w:tc>
          <w:tcPr>
            <w:tcW w:w="1933" w:type="dxa"/>
          </w:tcPr>
          <w:p w14:paraId="1C211FB7" w14:textId="77777777" w:rsidR="00915192" w:rsidRPr="00915192" w:rsidRDefault="00915192" w:rsidP="00767A81">
            <w:pPr>
              <w:pStyle w:val="TableBodyText"/>
            </w:pPr>
            <w:r w:rsidRPr="0089690F">
              <w:t>1%</w:t>
            </w:r>
          </w:p>
        </w:tc>
      </w:tr>
      <w:tr w:rsidR="009D344A" w:rsidRPr="0089690F" w14:paraId="64F1666C" w14:textId="77777777" w:rsidTr="00ED4661">
        <w:trPr>
          <w:cnfStyle w:val="000000010000" w:firstRow="0" w:lastRow="0" w:firstColumn="0" w:lastColumn="0" w:oddVBand="0" w:evenVBand="0" w:oddHBand="0" w:evenHBand="1" w:firstRowFirstColumn="0" w:firstRowLastColumn="0" w:lastRowFirstColumn="0" w:lastRowLastColumn="0"/>
        </w:trPr>
        <w:tc>
          <w:tcPr>
            <w:tcW w:w="4957" w:type="dxa"/>
          </w:tcPr>
          <w:p w14:paraId="17A509CB" w14:textId="77777777" w:rsidR="00915192" w:rsidRPr="00915192" w:rsidRDefault="00915192" w:rsidP="00767A81">
            <w:pPr>
              <w:pStyle w:val="TableBodyText"/>
            </w:pPr>
            <w:r w:rsidRPr="0089690F">
              <w:t>Professionals</w:t>
            </w:r>
          </w:p>
        </w:tc>
        <w:tc>
          <w:tcPr>
            <w:tcW w:w="2126" w:type="dxa"/>
          </w:tcPr>
          <w:p w14:paraId="31756040" w14:textId="77777777" w:rsidR="00915192" w:rsidRPr="00915192" w:rsidRDefault="00915192" w:rsidP="00767A81">
            <w:pPr>
              <w:pStyle w:val="TableBodyText"/>
            </w:pPr>
            <w:r w:rsidRPr="0089690F">
              <w:t>52</w:t>
            </w:r>
          </w:p>
        </w:tc>
        <w:tc>
          <w:tcPr>
            <w:tcW w:w="1933" w:type="dxa"/>
          </w:tcPr>
          <w:p w14:paraId="7EFA573B" w14:textId="77777777" w:rsidR="00915192" w:rsidRPr="00915192" w:rsidRDefault="00915192" w:rsidP="00767A81">
            <w:pPr>
              <w:pStyle w:val="TableBodyText"/>
            </w:pPr>
            <w:r w:rsidRPr="0089690F">
              <w:t>37%</w:t>
            </w:r>
          </w:p>
        </w:tc>
      </w:tr>
      <w:tr w:rsidR="00915192" w:rsidRPr="0089690F" w14:paraId="640959A0" w14:textId="77777777" w:rsidTr="00ED4661">
        <w:tc>
          <w:tcPr>
            <w:tcW w:w="4957" w:type="dxa"/>
          </w:tcPr>
          <w:p w14:paraId="1BF31DF8" w14:textId="77777777" w:rsidR="00915192" w:rsidRPr="00915192" w:rsidRDefault="00915192" w:rsidP="00767A81">
            <w:pPr>
              <w:pStyle w:val="TableBodyText"/>
            </w:pPr>
            <w:r w:rsidRPr="0089690F">
              <w:t>Technicians and Trades Workers</w:t>
            </w:r>
          </w:p>
        </w:tc>
        <w:tc>
          <w:tcPr>
            <w:tcW w:w="2126" w:type="dxa"/>
          </w:tcPr>
          <w:p w14:paraId="58D179AD" w14:textId="77777777" w:rsidR="00915192" w:rsidRPr="00915192" w:rsidRDefault="00915192" w:rsidP="00767A81">
            <w:pPr>
              <w:pStyle w:val="TableBodyText"/>
            </w:pPr>
            <w:r w:rsidRPr="0089690F">
              <w:t>71</w:t>
            </w:r>
          </w:p>
        </w:tc>
        <w:tc>
          <w:tcPr>
            <w:tcW w:w="1933" w:type="dxa"/>
          </w:tcPr>
          <w:p w14:paraId="7735BFBB" w14:textId="77777777" w:rsidR="00915192" w:rsidRPr="00915192" w:rsidRDefault="00915192" w:rsidP="00767A81">
            <w:pPr>
              <w:pStyle w:val="TableBodyText"/>
            </w:pPr>
            <w:r w:rsidRPr="0089690F">
              <w:t>51%</w:t>
            </w:r>
          </w:p>
        </w:tc>
      </w:tr>
      <w:tr w:rsidR="009D344A" w:rsidRPr="0089690F" w14:paraId="372213E4" w14:textId="77777777" w:rsidTr="00ED4661">
        <w:trPr>
          <w:cnfStyle w:val="000000010000" w:firstRow="0" w:lastRow="0" w:firstColumn="0" w:lastColumn="0" w:oddVBand="0" w:evenVBand="0" w:oddHBand="0" w:evenHBand="1" w:firstRowFirstColumn="0" w:firstRowLastColumn="0" w:lastRowFirstColumn="0" w:lastRowLastColumn="0"/>
        </w:trPr>
        <w:tc>
          <w:tcPr>
            <w:tcW w:w="4957" w:type="dxa"/>
          </w:tcPr>
          <w:p w14:paraId="55C03028" w14:textId="77777777" w:rsidR="00915192" w:rsidRPr="00915192" w:rsidRDefault="00915192" w:rsidP="00767A81">
            <w:pPr>
              <w:pStyle w:val="TableBodyText"/>
            </w:pPr>
            <w:r w:rsidRPr="0089690F">
              <w:t>Community and Personal Service Workers</w:t>
            </w:r>
          </w:p>
        </w:tc>
        <w:tc>
          <w:tcPr>
            <w:tcW w:w="2126" w:type="dxa"/>
          </w:tcPr>
          <w:p w14:paraId="490450FD" w14:textId="77777777" w:rsidR="00915192" w:rsidRPr="00915192" w:rsidRDefault="00915192" w:rsidP="00767A81">
            <w:pPr>
              <w:pStyle w:val="TableBodyText"/>
            </w:pPr>
            <w:r w:rsidRPr="0089690F">
              <w:t>7</w:t>
            </w:r>
          </w:p>
        </w:tc>
        <w:tc>
          <w:tcPr>
            <w:tcW w:w="1933" w:type="dxa"/>
          </w:tcPr>
          <w:p w14:paraId="45A3C750" w14:textId="77777777" w:rsidR="00915192" w:rsidRPr="00915192" w:rsidRDefault="00915192" w:rsidP="00767A81">
            <w:pPr>
              <w:pStyle w:val="TableBodyText"/>
            </w:pPr>
            <w:r w:rsidRPr="0089690F">
              <w:t>5%</w:t>
            </w:r>
          </w:p>
        </w:tc>
      </w:tr>
      <w:tr w:rsidR="00915192" w:rsidRPr="0089690F" w14:paraId="5FB89B49" w14:textId="77777777" w:rsidTr="00ED4661">
        <w:tc>
          <w:tcPr>
            <w:tcW w:w="4957" w:type="dxa"/>
          </w:tcPr>
          <w:p w14:paraId="3161E4C6" w14:textId="77777777" w:rsidR="00915192" w:rsidRPr="00915192" w:rsidRDefault="00915192" w:rsidP="00767A81">
            <w:pPr>
              <w:pStyle w:val="TableBodyText"/>
            </w:pPr>
            <w:r w:rsidRPr="0089690F">
              <w:t>Clerical and Administrative Workers</w:t>
            </w:r>
          </w:p>
        </w:tc>
        <w:tc>
          <w:tcPr>
            <w:tcW w:w="2126" w:type="dxa"/>
          </w:tcPr>
          <w:p w14:paraId="13925CB2" w14:textId="77777777" w:rsidR="00915192" w:rsidRPr="00915192" w:rsidRDefault="00915192" w:rsidP="00767A81">
            <w:pPr>
              <w:pStyle w:val="TableBodyText"/>
            </w:pPr>
            <w:r w:rsidRPr="0089690F">
              <w:t>-</w:t>
            </w:r>
          </w:p>
        </w:tc>
        <w:tc>
          <w:tcPr>
            <w:tcW w:w="1933" w:type="dxa"/>
          </w:tcPr>
          <w:p w14:paraId="70FAC731" w14:textId="77777777" w:rsidR="00915192" w:rsidRPr="00915192" w:rsidRDefault="00915192" w:rsidP="00767A81">
            <w:pPr>
              <w:pStyle w:val="TableBodyText"/>
            </w:pPr>
            <w:r w:rsidRPr="0089690F">
              <w:t>-</w:t>
            </w:r>
          </w:p>
        </w:tc>
      </w:tr>
      <w:tr w:rsidR="009D344A" w:rsidRPr="0089690F" w14:paraId="5D902282" w14:textId="77777777" w:rsidTr="00ED4661">
        <w:trPr>
          <w:cnfStyle w:val="000000010000" w:firstRow="0" w:lastRow="0" w:firstColumn="0" w:lastColumn="0" w:oddVBand="0" w:evenVBand="0" w:oddHBand="0" w:evenHBand="1" w:firstRowFirstColumn="0" w:firstRowLastColumn="0" w:lastRowFirstColumn="0" w:lastRowLastColumn="0"/>
        </w:trPr>
        <w:tc>
          <w:tcPr>
            <w:tcW w:w="4957" w:type="dxa"/>
          </w:tcPr>
          <w:p w14:paraId="482A1C5B" w14:textId="77777777" w:rsidR="00915192" w:rsidRPr="00915192" w:rsidRDefault="00915192" w:rsidP="00767A81">
            <w:pPr>
              <w:pStyle w:val="TableBodyText"/>
            </w:pPr>
            <w:r w:rsidRPr="0089690F">
              <w:t>Sales Workers</w:t>
            </w:r>
          </w:p>
        </w:tc>
        <w:tc>
          <w:tcPr>
            <w:tcW w:w="2126" w:type="dxa"/>
          </w:tcPr>
          <w:p w14:paraId="128EAAEC" w14:textId="77777777" w:rsidR="00915192" w:rsidRPr="00915192" w:rsidRDefault="00915192" w:rsidP="00767A81">
            <w:pPr>
              <w:pStyle w:val="TableBodyText"/>
            </w:pPr>
            <w:r w:rsidRPr="0089690F">
              <w:t>-</w:t>
            </w:r>
          </w:p>
        </w:tc>
        <w:tc>
          <w:tcPr>
            <w:tcW w:w="1933" w:type="dxa"/>
          </w:tcPr>
          <w:p w14:paraId="063FEDBD" w14:textId="77777777" w:rsidR="00915192" w:rsidRPr="00915192" w:rsidRDefault="00915192" w:rsidP="00767A81">
            <w:pPr>
              <w:pStyle w:val="TableBodyText"/>
            </w:pPr>
            <w:r w:rsidRPr="0089690F">
              <w:t>-</w:t>
            </w:r>
          </w:p>
        </w:tc>
      </w:tr>
      <w:tr w:rsidR="00915192" w:rsidRPr="0089690F" w14:paraId="67B06AB1" w14:textId="77777777" w:rsidTr="00ED4661">
        <w:tc>
          <w:tcPr>
            <w:tcW w:w="4957" w:type="dxa"/>
          </w:tcPr>
          <w:p w14:paraId="7D88AD90" w14:textId="77777777" w:rsidR="00915192" w:rsidRPr="00915192" w:rsidRDefault="00915192" w:rsidP="00767A81">
            <w:pPr>
              <w:pStyle w:val="TableBodyText"/>
            </w:pPr>
            <w:r w:rsidRPr="0089690F">
              <w:t>Machinery Operators and Drivers</w:t>
            </w:r>
          </w:p>
        </w:tc>
        <w:tc>
          <w:tcPr>
            <w:tcW w:w="2126" w:type="dxa"/>
          </w:tcPr>
          <w:p w14:paraId="7F77736E" w14:textId="77777777" w:rsidR="00915192" w:rsidRPr="00915192" w:rsidRDefault="00915192" w:rsidP="00767A81">
            <w:pPr>
              <w:pStyle w:val="TableBodyText"/>
            </w:pPr>
            <w:r w:rsidRPr="0089690F">
              <w:t>7</w:t>
            </w:r>
          </w:p>
        </w:tc>
        <w:tc>
          <w:tcPr>
            <w:tcW w:w="1933" w:type="dxa"/>
          </w:tcPr>
          <w:p w14:paraId="2494488F" w14:textId="77777777" w:rsidR="00915192" w:rsidRPr="00915192" w:rsidRDefault="00915192" w:rsidP="00767A81">
            <w:pPr>
              <w:pStyle w:val="TableBodyText"/>
            </w:pPr>
            <w:r w:rsidRPr="0089690F">
              <w:t>5%</w:t>
            </w:r>
          </w:p>
        </w:tc>
      </w:tr>
      <w:tr w:rsidR="009D344A" w:rsidRPr="0089690F" w14:paraId="4FE38364" w14:textId="77777777" w:rsidTr="00ED4661">
        <w:trPr>
          <w:cnfStyle w:val="000000010000" w:firstRow="0" w:lastRow="0" w:firstColumn="0" w:lastColumn="0" w:oddVBand="0" w:evenVBand="0" w:oddHBand="0" w:evenHBand="1" w:firstRowFirstColumn="0" w:firstRowLastColumn="0" w:lastRowFirstColumn="0" w:lastRowLastColumn="0"/>
        </w:trPr>
        <w:tc>
          <w:tcPr>
            <w:tcW w:w="4957" w:type="dxa"/>
          </w:tcPr>
          <w:p w14:paraId="75F9F2D9" w14:textId="77777777" w:rsidR="00915192" w:rsidRPr="00915192" w:rsidRDefault="00915192" w:rsidP="00767A81">
            <w:pPr>
              <w:pStyle w:val="TableBodyText"/>
            </w:pPr>
            <w:r w:rsidRPr="0089690F">
              <w:t>Labourers</w:t>
            </w:r>
          </w:p>
        </w:tc>
        <w:tc>
          <w:tcPr>
            <w:tcW w:w="2126" w:type="dxa"/>
          </w:tcPr>
          <w:p w14:paraId="10E653EA" w14:textId="77777777" w:rsidR="00915192" w:rsidRPr="00915192" w:rsidRDefault="00915192" w:rsidP="00767A81">
            <w:pPr>
              <w:pStyle w:val="TableBodyText"/>
            </w:pPr>
            <w:r w:rsidRPr="0089690F">
              <w:t>-</w:t>
            </w:r>
          </w:p>
        </w:tc>
        <w:tc>
          <w:tcPr>
            <w:tcW w:w="1933" w:type="dxa"/>
          </w:tcPr>
          <w:p w14:paraId="6F2DECD4" w14:textId="77777777" w:rsidR="00915192" w:rsidRPr="00915192" w:rsidRDefault="00915192" w:rsidP="00767A81">
            <w:pPr>
              <w:pStyle w:val="TableBodyText"/>
            </w:pPr>
            <w:r w:rsidRPr="0089690F">
              <w:t>-</w:t>
            </w:r>
          </w:p>
        </w:tc>
      </w:tr>
      <w:tr w:rsidR="00915192" w:rsidRPr="0089690F" w14:paraId="2546BB1F" w14:textId="77777777" w:rsidTr="00ED4661">
        <w:tc>
          <w:tcPr>
            <w:tcW w:w="4957" w:type="dxa"/>
          </w:tcPr>
          <w:p w14:paraId="66346F43" w14:textId="77777777" w:rsidR="00915192" w:rsidRPr="00915192" w:rsidRDefault="00915192" w:rsidP="00767A81">
            <w:pPr>
              <w:pStyle w:val="TableBodyText"/>
            </w:pPr>
            <w:r w:rsidRPr="0089690F">
              <w:t>All occupations</w:t>
            </w:r>
          </w:p>
        </w:tc>
        <w:tc>
          <w:tcPr>
            <w:tcW w:w="2126" w:type="dxa"/>
          </w:tcPr>
          <w:p w14:paraId="049D58AD" w14:textId="77777777" w:rsidR="00915192" w:rsidRPr="00915192" w:rsidRDefault="00915192" w:rsidP="00767A81">
            <w:pPr>
              <w:pStyle w:val="TableBodyText"/>
            </w:pPr>
            <w:r w:rsidRPr="0089690F">
              <w:t>139</w:t>
            </w:r>
          </w:p>
        </w:tc>
        <w:tc>
          <w:tcPr>
            <w:tcW w:w="1933" w:type="dxa"/>
          </w:tcPr>
          <w:p w14:paraId="235F9794" w14:textId="77777777" w:rsidR="00915192" w:rsidRPr="00915192" w:rsidRDefault="00915192" w:rsidP="00767A81">
            <w:pPr>
              <w:pStyle w:val="TableBodyText"/>
            </w:pPr>
            <w:r w:rsidRPr="0089690F">
              <w:t>100%</w:t>
            </w:r>
          </w:p>
        </w:tc>
      </w:tr>
    </w:tbl>
    <w:p w14:paraId="25854A23" w14:textId="4E5E9C22" w:rsidR="00915192" w:rsidRPr="0089690F" w:rsidRDefault="00915192" w:rsidP="00767A81">
      <w:pPr>
        <w:pStyle w:val="Source"/>
      </w:pPr>
      <w:r w:rsidRPr="0089690F">
        <w:t xml:space="preserve">Source: </w:t>
      </w:r>
      <w:r w:rsidR="00884280">
        <w:t>JSA</w:t>
      </w:r>
      <w:r w:rsidRPr="0089690F">
        <w:t xml:space="preserve">, </w:t>
      </w:r>
      <w:r w:rsidR="009D3117">
        <w:t>OSL</w:t>
      </w:r>
      <w:r w:rsidRPr="0089690F">
        <w:t>, 202</w:t>
      </w:r>
      <w:r w:rsidR="00DF2F1A">
        <w:t>1</w:t>
      </w:r>
      <w:r w:rsidRPr="0089690F">
        <w:t>-2025</w:t>
      </w:r>
      <w:r w:rsidR="00884280">
        <w:t>.</w:t>
      </w:r>
    </w:p>
    <w:p w14:paraId="0579EB33" w14:textId="77777777" w:rsidR="00915192" w:rsidRPr="00915192" w:rsidRDefault="00915192" w:rsidP="00767A81">
      <w:pPr>
        <w:pStyle w:val="BodyText"/>
      </w:pPr>
      <w:r w:rsidRPr="0089690F">
        <w:t>The reasons for persistent shortages are likely to be multifaceted. For example, ageing population, technological advances, and constraints in the supply of qualified and experienced workers, and working conditions and pay. The 2025 Occupation Shortage Drivers Report offers analysis on some the primary causes and structural reasons that lead to demand outpacing supply of workers and weak inflow of workers into occupations due to working conditions and other factors that affect worker retention. Any future solutions to address persistent shortages will, therefore, likely need to be long-term and holistic.</w:t>
      </w:r>
    </w:p>
    <w:p w14:paraId="3140A5C5" w14:textId="77777777" w:rsidR="00915192" w:rsidRDefault="00915192" w:rsidP="00537382">
      <w:pPr>
        <w:pStyle w:val="Heading3"/>
      </w:pPr>
      <w:bookmarkStart w:id="166" w:name="_Toc206784537"/>
      <w:bookmarkStart w:id="167" w:name="_Toc208923395"/>
      <w:bookmarkStart w:id="168" w:name="_Toc211587013"/>
      <w:r>
        <w:t>Addressing occupation shortages</w:t>
      </w:r>
      <w:bookmarkEnd w:id="166"/>
      <w:bookmarkEnd w:id="167"/>
      <w:bookmarkEnd w:id="168"/>
    </w:p>
    <w:p w14:paraId="182450C8" w14:textId="77777777" w:rsidR="00915192" w:rsidRPr="000F3D6A" w:rsidRDefault="00915192" w:rsidP="001A230D">
      <w:pPr>
        <w:pStyle w:val="BodyText"/>
        <w:keepLines/>
      </w:pPr>
      <w:r w:rsidRPr="000F3D6A">
        <w:t>The most effective interventions to address occupation shortages will depend on the underlying causes driving them. In cases where shortages stem from training gaps – whether due to long qualification pathways or limited access to training – there is often a shortfall of suitably qualified applicants. For some occupations, formal qualifications are essential due to regulatory or licensing requirements. However, for others, more flexible approaches such as on</w:t>
      </w:r>
      <w:r w:rsidRPr="000F3D6A">
        <w:noBreakHyphen/>
        <w:t>the</w:t>
      </w:r>
      <w:r w:rsidRPr="000F3D6A">
        <w:noBreakHyphen/>
        <w:t>job training or micro</w:t>
      </w:r>
      <w:r w:rsidRPr="000F3D6A">
        <w:noBreakHyphen/>
        <w:t xml:space="preserve">credentials may offer viable alternatives. In the short term, migration can also play a role in </w:t>
      </w:r>
      <w:r>
        <w:t xml:space="preserve">helping to </w:t>
      </w:r>
      <w:r w:rsidRPr="000F3D6A">
        <w:t>allevia</w:t>
      </w:r>
      <w:r>
        <w:t>te</w:t>
      </w:r>
      <w:r w:rsidRPr="000F3D6A">
        <w:t xml:space="preserve"> shortages, particularly where training pipelines are lengthy.</w:t>
      </w:r>
    </w:p>
    <w:p w14:paraId="443BD6CE" w14:textId="46FC537E" w:rsidR="00915192" w:rsidRPr="000F3D6A" w:rsidRDefault="00915192" w:rsidP="00767A81">
      <w:pPr>
        <w:pStyle w:val="BodyText"/>
      </w:pPr>
      <w:r w:rsidRPr="000F3D6A">
        <w:t xml:space="preserve">Where shortages are driven by suitability gaps, the issue is not a lack of qualifications but rather a </w:t>
      </w:r>
      <w:r w:rsidR="001072C8">
        <w:t>disconnect</w:t>
      </w:r>
      <w:r w:rsidRPr="000F3D6A">
        <w:t xml:space="preserve"> between what employers need and what applicants offer – such as insufficient experience or job-readiness. Addressing these gaps may involve reviewing the effectiveness of training programs in preparing individuals for real-world roles, and investing in foundation and employability skills development, work placements, and pathways that help bridge the transition from training to work. </w:t>
      </w:r>
      <w:r w:rsidR="00185A03" w:rsidRPr="00185A03">
        <w:t xml:space="preserve">Greater employer investment in staff training and application of work-integrated learning could also help alleviate this form of shortage, but employer-provided training is on the decline. </w:t>
      </w:r>
      <w:r w:rsidRPr="000F3D6A">
        <w:t>In some cases, these shortages may also reflect employer expectations that are misaligned with the capabilities of new graduates, or a tendency to recruit for senior roles that require a blend of technical expertise and workplace experience.</w:t>
      </w:r>
      <w:r w:rsidR="00185A03">
        <w:t xml:space="preserve"> </w:t>
      </w:r>
      <w:r w:rsidR="00185A03" w:rsidRPr="00185A03">
        <w:t>For example, many employers for these occupations require applicants to have on average 5 years of experience to apply.</w:t>
      </w:r>
    </w:p>
    <w:p w14:paraId="46AC87FC" w14:textId="10599140" w:rsidR="00915192" w:rsidRDefault="00915192" w:rsidP="00767A81">
      <w:pPr>
        <w:pStyle w:val="BodyText"/>
      </w:pPr>
      <w:r w:rsidRPr="000F3D6A">
        <w:t xml:space="preserve">Retention-related shortages, on the other hand, are often shaped by broader workplace and industry conditions. Factors such as job quality, workplace culture, social expectations, and pay can all influence whether workers remain in an occupation. </w:t>
      </w:r>
      <w:r w:rsidR="00E0453E" w:rsidRPr="00E0453E">
        <w:t xml:space="preserve">Solutions for this type of shortage will largely come from employers. </w:t>
      </w:r>
      <w:r w:rsidRPr="000F3D6A">
        <w:t>Some industries are already taking practical steps to address these challenges, offering useful examples of how targeted action can improve retention and workforce sustainability.</w:t>
      </w:r>
      <w:r w:rsidRPr="00D701CC">
        <w:t xml:space="preserve"> </w:t>
      </w:r>
      <w:r>
        <w:t>However, government</w:t>
      </w:r>
      <w:r w:rsidR="00E0453E">
        <w:t>s can</w:t>
      </w:r>
      <w:r>
        <w:t xml:space="preserve"> also play a key role in improving </w:t>
      </w:r>
      <w:r w:rsidR="0077468D" w:rsidRPr="0077468D">
        <w:t xml:space="preserve">job quality through policy and regulation (for example, relating to minimum standards and workplace safety) </w:t>
      </w:r>
      <w:r w:rsidR="00FB103D">
        <w:t xml:space="preserve">and </w:t>
      </w:r>
      <w:r w:rsidR="0077468D" w:rsidRPr="0077468D">
        <w:t xml:space="preserve">investing in social infrastructure (such as access to childcare, transport, and housing). </w:t>
      </w:r>
      <w:r w:rsidR="00E0453E">
        <w:t xml:space="preserve">This may </w:t>
      </w:r>
      <w:r w:rsidR="00A47487">
        <w:t xml:space="preserve">be particularly relevant </w:t>
      </w:r>
      <w:r w:rsidR="00D12C14">
        <w:t>where retention-related shortages are concentrated in geographical locations rather than in industries or occupations.</w:t>
      </w:r>
    </w:p>
    <w:p w14:paraId="63E99EA5" w14:textId="572604FD" w:rsidR="00915192" w:rsidRDefault="00915192" w:rsidP="00767A81">
      <w:pPr>
        <w:pStyle w:val="BodyText"/>
      </w:pPr>
      <w:r>
        <w:t xml:space="preserve">The OSL </w:t>
      </w:r>
      <w:r w:rsidRPr="00E0210F">
        <w:t>provide</w:t>
      </w:r>
      <w:r>
        <w:t>s</w:t>
      </w:r>
      <w:r w:rsidRPr="00E0210F">
        <w:t xml:space="preserve"> a clear picture of where workforce pressures </w:t>
      </w:r>
      <w:r>
        <w:t>may be</w:t>
      </w:r>
      <w:r w:rsidRPr="00E0210F">
        <w:t xml:space="preserve"> most acute. Combined with analysis of employer experiences and regional labour market conditions, these insights </w:t>
      </w:r>
      <w:r>
        <w:t xml:space="preserve">can </w:t>
      </w:r>
      <w:r w:rsidRPr="00E0210F">
        <w:t xml:space="preserve">enable governments, education providers, and industry stakeholders to design interventions that are responsive to real-world needs. This </w:t>
      </w:r>
      <w:r>
        <w:t xml:space="preserve">will </w:t>
      </w:r>
      <w:r w:rsidRPr="00E0210F">
        <w:t>ensure that training pathways, workforce strategies, and policy settings are better aligned with demand, more effective and sustainabl</w:t>
      </w:r>
      <w:r>
        <w:t>e</w:t>
      </w:r>
      <w:r w:rsidRPr="00E0210F">
        <w:t>.</w:t>
      </w:r>
      <w:r w:rsidR="003D3FA0" w:rsidRPr="003D3FA0">
        <w:rPr>
          <w:highlight w:val="yellow"/>
        </w:rPr>
        <w:t xml:space="preserve"> </w:t>
      </w:r>
    </w:p>
    <w:p w14:paraId="14780074" w14:textId="77777777" w:rsidR="00915192" w:rsidRPr="0089690F" w:rsidRDefault="00915192" w:rsidP="00537382">
      <w:pPr>
        <w:pStyle w:val="Heading3"/>
      </w:pPr>
      <w:bookmarkStart w:id="169" w:name="_Toc211587014"/>
      <w:bookmarkStart w:id="170" w:name="_Toc206784539"/>
      <w:bookmarkStart w:id="171" w:name="_Toc208923396"/>
      <w:r w:rsidRPr="0089690F">
        <w:t>Workforce shortage and labour productivity growth</w:t>
      </w:r>
      <w:bookmarkEnd w:id="169"/>
    </w:p>
    <w:p w14:paraId="5AB613D1" w14:textId="067B67FE" w:rsidR="00915192" w:rsidRDefault="00915192" w:rsidP="00261E20">
      <w:pPr>
        <w:pStyle w:val="BodyText"/>
      </w:pPr>
      <w:r w:rsidRPr="002E1952">
        <w:t>Labour productivity is a vital measure of long-term economic prosperity and has historically been the main driver of economic growth in Australia</w:t>
      </w:r>
      <w:r w:rsidR="00C133E4">
        <w:t xml:space="preserve"> </w:t>
      </w:r>
      <w:sdt>
        <w:sdtPr>
          <w:id w:val="-416327813"/>
          <w:citation/>
        </w:sdtPr>
        <w:sdtContent>
          <w:r w:rsidR="00C133E4">
            <w:fldChar w:fldCharType="begin"/>
          </w:r>
          <w:r w:rsidR="00C133E4">
            <w:instrText xml:space="preserve"> CITATION Tre23 \l 3081 </w:instrText>
          </w:r>
          <w:r w:rsidR="00C133E4">
            <w:fldChar w:fldCharType="separate"/>
          </w:r>
          <w:r w:rsidR="00D52996">
            <w:rPr>
              <w:noProof/>
            </w:rPr>
            <w:t>(Treasury, 2023)</w:t>
          </w:r>
          <w:r w:rsidR="00C133E4">
            <w:fldChar w:fldCharType="end"/>
          </w:r>
        </w:sdtContent>
      </w:sdt>
      <w:r w:rsidRPr="002E1952">
        <w:t xml:space="preserve">. The slowing of productivity in recent years has caused concerns and an increasing need to address this national issue. </w:t>
      </w:r>
    </w:p>
    <w:p w14:paraId="1623232D" w14:textId="4F3DC42C" w:rsidR="00915192" w:rsidRPr="002E1952" w:rsidRDefault="00915192" w:rsidP="00261E20">
      <w:pPr>
        <w:pStyle w:val="BodyText"/>
      </w:pPr>
      <w:r>
        <w:t>I</w:t>
      </w:r>
      <w:r w:rsidRPr="002E1952">
        <w:t xml:space="preserve">n general, industries with a higher workforce shortage also have lower productivity growth over the past 5 years. For example, Construction, Mining, and Health Care and Social Assistance – industries with the highest workforce shortage – also had the weakest productivity growth over this period </w:t>
      </w:r>
      <w:r>
        <w:t>(</w:t>
      </w:r>
      <w:r w:rsidR="00811CCD">
        <w:fldChar w:fldCharType="begin"/>
      </w:r>
      <w:r w:rsidR="00811CCD">
        <w:instrText xml:space="preserve"> REF _Ref210386586 </w:instrText>
      </w:r>
      <w:r w:rsidR="00811CCD">
        <w:fldChar w:fldCharType="separate"/>
      </w:r>
      <w:r w:rsidR="009E6E1D" w:rsidRPr="00915192">
        <w:t xml:space="preserve">Figure </w:t>
      </w:r>
      <w:r w:rsidR="009E6E1D">
        <w:rPr>
          <w:noProof/>
        </w:rPr>
        <w:t>21</w:t>
      </w:r>
      <w:r w:rsidR="00811CCD">
        <w:fldChar w:fldCharType="end"/>
      </w:r>
      <w:r>
        <w:t>)</w:t>
      </w:r>
      <w:r w:rsidR="0047430F">
        <w:t>.</w:t>
      </w:r>
    </w:p>
    <w:p w14:paraId="5D093E8D" w14:textId="7BEDE1DC" w:rsidR="00915192" w:rsidRPr="00915192" w:rsidRDefault="00915192" w:rsidP="00261E20">
      <w:pPr>
        <w:pStyle w:val="Caption"/>
      </w:pPr>
      <w:bookmarkStart w:id="172" w:name="_Ref210386586"/>
      <w:bookmarkStart w:id="173" w:name="_Toc211604170"/>
      <w:r w:rsidRPr="00915192">
        <w:t xml:space="preserve">Figure </w:t>
      </w:r>
      <w:r w:rsidRPr="00915192">
        <w:fldChar w:fldCharType="begin"/>
      </w:r>
      <w:r w:rsidRPr="00915192">
        <w:instrText xml:space="preserve"> SEQ Figure \* ARABIC </w:instrText>
      </w:r>
      <w:r w:rsidRPr="00915192">
        <w:fldChar w:fldCharType="separate"/>
      </w:r>
      <w:r w:rsidR="009E6E1D">
        <w:rPr>
          <w:noProof/>
        </w:rPr>
        <w:t>21</w:t>
      </w:r>
      <w:r w:rsidRPr="00915192">
        <w:fldChar w:fldCharType="end"/>
      </w:r>
      <w:bookmarkEnd w:id="172"/>
      <w:r w:rsidRPr="00915192">
        <w:t xml:space="preserve">: </w:t>
      </w:r>
      <w:r w:rsidR="00C9517F" w:rsidRPr="00C9517F">
        <w:t>Percentage point deviation from the 5 year mean productivity growth and percentage point deviation from the 5 year mean workforce shortage, by industry, 2021 to 2025</w:t>
      </w:r>
      <w:bookmarkEnd w:id="173"/>
    </w:p>
    <w:p w14:paraId="0EB783B7" w14:textId="02A2E854" w:rsidR="00EE5152" w:rsidRDefault="00507484" w:rsidP="00261E20">
      <w:pPr>
        <w:pStyle w:val="Source"/>
      </w:pPr>
      <w:r>
        <w:rPr>
          <w:noProof/>
        </w:rPr>
        <w:drawing>
          <wp:inline distT="0" distB="0" distL="0" distR="0" wp14:anchorId="66D93721" wp14:editId="3EB78780">
            <wp:extent cx="5949950" cy="3895725"/>
            <wp:effectExtent l="0" t="0" r="0" b="9525"/>
            <wp:docPr id="1269521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49950" cy="3895725"/>
                    </a:xfrm>
                    <a:prstGeom prst="rect">
                      <a:avLst/>
                    </a:prstGeom>
                    <a:noFill/>
                  </pic:spPr>
                </pic:pic>
              </a:graphicData>
            </a:graphic>
          </wp:inline>
        </w:drawing>
      </w:r>
      <w:r w:rsidR="00915192" w:rsidRPr="00915192">
        <w:br/>
        <w:t>Source: JSA, OSL 2021 to 2025; ABS, 2021 Census of Population and Housing; ABS, Australian National Accounts, June 2025; ABS, Labour Account Australia, June 2025.</w:t>
      </w:r>
    </w:p>
    <w:p w14:paraId="255A55D6" w14:textId="2F8E0DCA" w:rsidR="00915192" w:rsidRPr="002E1952" w:rsidRDefault="00915192" w:rsidP="00261E20">
      <w:pPr>
        <w:pStyle w:val="Source"/>
      </w:pPr>
      <w:r w:rsidRPr="002E1952">
        <w:t>Note: Average productivity growth was based on a 5 year average from 2020–21 to 2024–25 financial years. Average workforce shortage was based on the 5 year average workforce shortage measure from 2021 to 2025 OSLs.</w:t>
      </w:r>
    </w:p>
    <w:p w14:paraId="159BBA87" w14:textId="77777777" w:rsidR="00915192" w:rsidRPr="002E1952" w:rsidRDefault="00915192" w:rsidP="00261E20">
      <w:pPr>
        <w:pStyle w:val="BodyText"/>
      </w:pPr>
      <w:r w:rsidRPr="002E1952">
        <w:t>Construction, and Health Care and Social Assistance are large-employing industries; the latter is also fast growing. Shortage in these industries have implications for economic growth. For example, the outputs of the Construction industry serve as critical inputs into other industries.</w:t>
      </w:r>
    </w:p>
    <w:p w14:paraId="124F80F9" w14:textId="16920683" w:rsidR="00915192" w:rsidRDefault="00915192" w:rsidP="00AC4ED4">
      <w:pPr>
        <w:pStyle w:val="BodyText"/>
      </w:pPr>
      <w:r w:rsidRPr="00CD2048">
        <w:t xml:space="preserve">Lower productivity industries may experience persistent shortage over time, as they may be more reliant on labour than others </w:t>
      </w:r>
      <w:r w:rsidRPr="00AC4ED4">
        <w:t xml:space="preserve">to increase output (to meet growing demand). This could be especially true for Construction, and Health Care and Social Assistance, where several occupations have been in shortage since 2021. </w:t>
      </w:r>
      <w:r w:rsidR="006E66BB" w:rsidRPr="00AC4ED4">
        <w:t>It is important to note that productivity growth in public sector industries</w:t>
      </w:r>
      <w:r w:rsidR="006D1111">
        <w:t xml:space="preserve">, </w:t>
      </w:r>
      <w:r w:rsidR="006E66BB" w:rsidRPr="00AC4ED4">
        <w:t>particularly in sectors like health</w:t>
      </w:r>
      <w:r w:rsidR="006D1111">
        <w:t xml:space="preserve">, </w:t>
      </w:r>
      <w:r w:rsidR="006E66BB" w:rsidRPr="00AC4ED4">
        <w:t>is often difficult to quantify due to the nature of services delivered and limitations in measurement frameworks.</w:t>
      </w:r>
      <w:r w:rsidR="00AC4ED4" w:rsidRPr="00AC4ED4">
        <w:t xml:space="preserve"> However, the correlations between shortages and productivity still broadly stand.</w:t>
      </w:r>
      <w:r w:rsidR="00AC4ED4">
        <w:t xml:space="preserve"> </w:t>
      </w:r>
    </w:p>
    <w:p w14:paraId="0F137F37" w14:textId="77777777" w:rsidR="00915192" w:rsidRDefault="00915192" w:rsidP="00537382">
      <w:pPr>
        <w:pStyle w:val="Heading3"/>
      </w:pPr>
      <w:bookmarkStart w:id="174" w:name="_Toc211587015"/>
      <w:r>
        <w:t>In focus – Veterinarians</w:t>
      </w:r>
      <w:bookmarkEnd w:id="170"/>
      <w:bookmarkEnd w:id="171"/>
      <w:bookmarkEnd w:id="174"/>
      <w:r>
        <w:t xml:space="preserve"> </w:t>
      </w:r>
    </w:p>
    <w:p w14:paraId="7A0421A4" w14:textId="472F1138" w:rsidR="00915192" w:rsidRPr="00B9042E" w:rsidRDefault="00915192" w:rsidP="00261E20">
      <w:pPr>
        <w:pStyle w:val="BodyText"/>
      </w:pPr>
      <w:r w:rsidRPr="00B9042E">
        <w:t xml:space="preserve">Veterinarians play a vital role in supporting Australia’s agricultural industries, safeguarding biosecurity, and caring for the companion animals that enrich the lives of millions of households. With pet ownership now estimated at around </w:t>
      </w:r>
      <w:r>
        <w:t xml:space="preserve">6.9 million </w:t>
      </w:r>
      <w:r w:rsidRPr="00B9042E">
        <w:t>Australian households</w:t>
      </w:r>
      <w:r>
        <w:t xml:space="preserve"> – representing approximately 28.7 million pets </w:t>
      </w:r>
      <w:sdt>
        <w:sdtPr>
          <w:id w:val="27467590"/>
          <w:citation/>
        </w:sdtPr>
        <w:sdtContent>
          <w:r>
            <w:fldChar w:fldCharType="begin"/>
          </w:r>
          <w:r>
            <w:instrText xml:space="preserve"> CITATION Ani22 \l 3081 </w:instrText>
          </w:r>
          <w:r>
            <w:fldChar w:fldCharType="separate"/>
          </w:r>
          <w:r w:rsidR="00D52996">
            <w:rPr>
              <w:noProof/>
            </w:rPr>
            <w:t>(Animal Medicines Australia, 2022)</w:t>
          </w:r>
          <w:r>
            <w:fldChar w:fldCharType="end"/>
          </w:r>
        </w:sdtContent>
      </w:sdt>
      <w:r>
        <w:t xml:space="preserve"> –</w:t>
      </w:r>
      <w:r w:rsidRPr="00B9042E">
        <w:t xml:space="preserve"> and ambitious growth targets in animal agriculture</w:t>
      </w:r>
      <w:r>
        <w:t xml:space="preserve"> </w:t>
      </w:r>
      <w:sdt>
        <w:sdtPr>
          <w:id w:val="-172576505"/>
          <w:citation/>
        </w:sdtPr>
        <w:sdtContent>
          <w:r>
            <w:fldChar w:fldCharType="begin"/>
          </w:r>
          <w:r>
            <w:instrText xml:space="preserve"> CITATION Sec23 \l 3081 </w:instrText>
          </w:r>
          <w:r>
            <w:fldChar w:fldCharType="separate"/>
          </w:r>
          <w:r w:rsidR="00D52996">
            <w:rPr>
              <w:noProof/>
            </w:rPr>
            <w:t>(Secombe, 2023)</w:t>
          </w:r>
          <w:r>
            <w:fldChar w:fldCharType="end"/>
          </w:r>
        </w:sdtContent>
      </w:sdt>
      <w:r w:rsidRPr="00B9042E">
        <w:t>, demand for veterinary services continues to rise. However, workforce challenges are creating barriers to meeting this growing demand.</w:t>
      </w:r>
    </w:p>
    <w:p w14:paraId="0B8B876B" w14:textId="2834F397" w:rsidR="00915192" w:rsidRPr="00915192" w:rsidRDefault="00915192" w:rsidP="0076554F">
      <w:pPr>
        <w:pStyle w:val="BodyText"/>
        <w:keepLines/>
      </w:pPr>
      <w:r w:rsidRPr="00E7513E">
        <w:t>Recruitment activity for Veterinarians has increased markedly in recent years, as reflected in JSA’s IVI. Historically, online job advertisements for Veterinarians were low, partly due to the use of specialised job boards not captured in mainstream data. Since the COVID-19 downturn, however, vacancy numbers have surged, with 190 advertisements recorded in September 2024 – up from an average of just 18 per month in the decade prior</w:t>
      </w:r>
      <w:r>
        <w:t xml:space="preserve"> (</w:t>
      </w:r>
      <w:r>
        <w:fldChar w:fldCharType="begin"/>
      </w:r>
      <w:r>
        <w:instrText xml:space="preserve"> REF _Ref207615025 </w:instrText>
      </w:r>
      <w:r w:rsidR="00261E20">
        <w:instrText xml:space="preserve"> \* MERGEFORMAT </w:instrText>
      </w:r>
      <w:r>
        <w:fldChar w:fldCharType="separate"/>
      </w:r>
      <w:r w:rsidR="009E6E1D">
        <w:t xml:space="preserve">Figure </w:t>
      </w:r>
      <w:r w:rsidR="009E6E1D">
        <w:rPr>
          <w:noProof/>
        </w:rPr>
        <w:t>22</w:t>
      </w:r>
      <w:r>
        <w:fldChar w:fldCharType="end"/>
      </w:r>
      <w:r>
        <w:t>)</w:t>
      </w:r>
      <w:r w:rsidRPr="00E7513E">
        <w:t xml:space="preserve">. </w:t>
      </w:r>
      <w:r w:rsidRPr="00AC45F3">
        <w:t>Specialist job boards report even higher levels of recruitment activity and difficulty, with permanent veterinary job postings increasing more than 300% between 2014 and 2023 on a single job board alone. The average time to fill a vacancy has tripled, and half of all roles are now open to graduate applicants.</w:t>
      </w:r>
      <w:r w:rsidRPr="00915192">
        <w:t xml:space="preserve"> </w:t>
      </w:r>
    </w:p>
    <w:p w14:paraId="3E487774" w14:textId="2B8CDFDA" w:rsidR="003546C6" w:rsidRDefault="00915192" w:rsidP="00915192">
      <w:pPr>
        <w:pStyle w:val="Caption"/>
      </w:pPr>
      <w:bookmarkStart w:id="175" w:name="_Ref207615025"/>
      <w:bookmarkStart w:id="176" w:name="_Toc207899200"/>
      <w:bookmarkStart w:id="177" w:name="_Toc211604171"/>
      <w:r>
        <w:t xml:space="preserve">Figure </w:t>
      </w:r>
      <w:r w:rsidRPr="00915192">
        <w:fldChar w:fldCharType="begin"/>
      </w:r>
      <w:r w:rsidRPr="00915192">
        <w:instrText xml:space="preserve"> SEQ Figure \* ARABIC </w:instrText>
      </w:r>
      <w:r w:rsidRPr="00915192">
        <w:fldChar w:fldCharType="separate"/>
      </w:r>
      <w:r w:rsidR="009E6E1D">
        <w:rPr>
          <w:noProof/>
        </w:rPr>
        <w:t>22</w:t>
      </w:r>
      <w:r w:rsidRPr="00915192">
        <w:fldChar w:fldCharType="end"/>
      </w:r>
      <w:bookmarkEnd w:id="175"/>
      <w:r w:rsidRPr="00915192">
        <w:t xml:space="preserve">: </w:t>
      </w:r>
      <w:r w:rsidR="00F5246B">
        <w:t>Online j</w:t>
      </w:r>
      <w:r w:rsidRPr="00915192">
        <w:t>ob advertisements for Veterinarians and Veterinary Nurses, September 2006 to September 2024</w:t>
      </w:r>
      <w:bookmarkEnd w:id="176"/>
      <w:bookmarkEnd w:id="177"/>
    </w:p>
    <w:p w14:paraId="02D6CAA6" w14:textId="67979BFF" w:rsidR="00915192" w:rsidRPr="00915192" w:rsidRDefault="00334A56" w:rsidP="00915192">
      <w:pPr>
        <w:pStyle w:val="Caption"/>
      </w:pPr>
      <w:r w:rsidRPr="00334A56">
        <w:rPr>
          <w:noProof/>
        </w:rPr>
        <w:drawing>
          <wp:inline distT="0" distB="0" distL="0" distR="0" wp14:anchorId="4B5B7997" wp14:editId="677BE1E0">
            <wp:extent cx="5947200" cy="2744862"/>
            <wp:effectExtent l="0" t="0" r="0" b="0"/>
            <wp:docPr id="1854191330" name="Picture 8" descr="Figure shows the very low number of online job advertisements captured in the Internet Vacancy Index for Veterinarians and Veterinary Nurses, fewer than 50 each month, across the series until the COVID-19 downturn. The number of online job advertisements increased sharply for both occupations, peaking at 250 for Veterinarians and 150 for Veterinary Nurses in late 2023. Despite considerable volatility and notable declines since these peak values, the number of online job advertisements continue at elevated levels in current Internet Vacancy Index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191330" name="Picture 8" descr="Figure shows the very low number of online job advertisements captured in the Internet Vacancy Index for Veterinarians and Veterinary Nurses, fewer than 50 each month, across the series until the COVID-19 downturn. The number of online job advertisements increased sharply for both occupations, peaking at 250 for Veterinarians and 150 for Veterinary Nurses in late 2023. Despite considerable volatility and notable declines since these peak values, the number of online job advertisements continue at elevated levels in current Internet Vacancy Index data."/>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47200" cy="2744862"/>
                    </a:xfrm>
                    <a:prstGeom prst="rect">
                      <a:avLst/>
                    </a:prstGeom>
                    <a:noFill/>
                    <a:ln>
                      <a:noFill/>
                    </a:ln>
                  </pic:spPr>
                </pic:pic>
              </a:graphicData>
            </a:graphic>
          </wp:inline>
        </w:drawing>
      </w:r>
    </w:p>
    <w:p w14:paraId="0E24F9F3" w14:textId="6FE7708F" w:rsidR="00915192" w:rsidRPr="006C7C85" w:rsidRDefault="00915192" w:rsidP="00261E20">
      <w:pPr>
        <w:pStyle w:val="Source"/>
        <w:rPr>
          <w:highlight w:val="yellow"/>
        </w:rPr>
      </w:pPr>
      <w:r w:rsidRPr="007271F1">
        <w:t xml:space="preserve">Source: </w:t>
      </w:r>
      <w:r w:rsidR="00943B6D" w:rsidRPr="00943B6D">
        <w:t xml:space="preserve">JSA, </w:t>
      </w:r>
      <w:r w:rsidR="00416E87">
        <w:t>IVI</w:t>
      </w:r>
      <w:r w:rsidR="00943B6D" w:rsidRPr="00943B6D">
        <w:t>, September 2024, 3-month averages of original data.</w:t>
      </w:r>
    </w:p>
    <w:p w14:paraId="3B958841" w14:textId="77777777" w:rsidR="00915192" w:rsidRPr="006C7C85" w:rsidRDefault="00915192" w:rsidP="00261E20">
      <w:pPr>
        <w:pStyle w:val="BodyText"/>
        <w:rPr>
          <w:highlight w:val="yellow"/>
        </w:rPr>
      </w:pPr>
      <w:r w:rsidRPr="004B7DD3">
        <w:t>Labour market data shows employment for Veterinarians grew by 32.1% over the five years to November 2024</w:t>
      </w:r>
      <w:r>
        <w:rPr>
          <w:rStyle w:val="FootnoteReference"/>
        </w:rPr>
        <w:footnoteReference w:id="6"/>
      </w:r>
      <w:r>
        <w:t xml:space="preserve"> – </w:t>
      </w:r>
      <w:r w:rsidRPr="004B7DD3">
        <w:t>nearly three times the national average. Qualification attainment has also increased, with the number of Australians holding veterinary science qualifications rising by 61.3% between the 2011 and 2021 censuses. Despite this growth, shortages remain, driven by a complex mix of occupation-specific and systemic factors.</w:t>
      </w:r>
    </w:p>
    <w:p w14:paraId="7298FDEA" w14:textId="57749EF6" w:rsidR="00915192" w:rsidRDefault="00915192" w:rsidP="00261E20">
      <w:pPr>
        <w:pStyle w:val="BodyText"/>
      </w:pPr>
      <w:r w:rsidRPr="00FE35D4">
        <w:t xml:space="preserve">Veterinary work is associated with unique stressors, including emotionally demanding client interactions, unpredictable work patterns, and the ethical challenges of issues such as financial euthanasia. </w:t>
      </w:r>
      <w:r w:rsidRPr="00000D39">
        <w:t>These pressures are compounded by relatively low pay compared to other professions with similarly long and rigorous training requirements. Burnout and mental health concerns are increasingly prevalent</w:t>
      </w:r>
      <w:r>
        <w:t xml:space="preserve"> </w:t>
      </w:r>
      <w:sdt>
        <w:sdtPr>
          <w:id w:val="1934777544"/>
          <w:citation/>
        </w:sdtPr>
        <w:sdtContent>
          <w:r>
            <w:fldChar w:fldCharType="begin"/>
          </w:r>
          <w:r>
            <w:instrText xml:space="preserve"> CITATION LiK24 \l 3081 </w:instrText>
          </w:r>
          <w:r>
            <w:fldChar w:fldCharType="separate"/>
          </w:r>
          <w:r w:rsidR="00D52996">
            <w:rPr>
              <w:noProof/>
            </w:rPr>
            <w:t>(Li, Mooney, McArthur, Hall, &amp; Quain, 2024)</w:t>
          </w:r>
          <w:r>
            <w:fldChar w:fldCharType="end"/>
          </w:r>
        </w:sdtContent>
      </w:sdt>
      <w:sdt>
        <w:sdtPr>
          <w:id w:val="-1906448739"/>
          <w:citation/>
        </w:sdtPr>
        <w:sdtContent>
          <w:r>
            <w:fldChar w:fldCharType="begin"/>
          </w:r>
          <w:r>
            <w:instrText xml:space="preserve">CITATION The \l 3081 </w:instrText>
          </w:r>
          <w:r>
            <w:fldChar w:fldCharType="separate"/>
          </w:r>
          <w:r w:rsidR="00D52996">
            <w:rPr>
              <w:noProof/>
            </w:rPr>
            <w:t xml:space="preserve"> (Middleton, 2023)</w:t>
          </w:r>
          <w:r>
            <w:fldChar w:fldCharType="end"/>
          </w:r>
        </w:sdtContent>
      </w:sdt>
      <w:sdt>
        <w:sdtPr>
          <w:id w:val="924999574"/>
          <w:citation/>
        </w:sdtPr>
        <w:sdtContent>
          <w:r>
            <w:fldChar w:fldCharType="begin"/>
          </w:r>
          <w:r>
            <w:instrText xml:space="preserve"> CITATION Mor23 \l 3081 </w:instrText>
          </w:r>
          <w:r>
            <w:fldChar w:fldCharType="separate"/>
          </w:r>
          <w:r w:rsidR="00D52996">
            <w:rPr>
              <w:noProof/>
            </w:rPr>
            <w:t xml:space="preserve"> (Morgan, 2023)</w:t>
          </w:r>
          <w:r>
            <w:fldChar w:fldCharType="end"/>
          </w:r>
        </w:sdtContent>
      </w:sdt>
      <w:r>
        <w:t>,</w:t>
      </w:r>
      <w:r w:rsidRPr="00000D39">
        <w:t xml:space="preserve"> </w:t>
      </w:r>
      <w:r w:rsidRPr="00BA2A76">
        <w:t>particularly in regional areas where workloads are heavier and large animal care presents additional risks</w:t>
      </w:r>
      <w:r>
        <w:t xml:space="preserve"> </w:t>
      </w:r>
      <w:sdt>
        <w:sdtPr>
          <w:id w:val="-721835317"/>
          <w:citation/>
        </w:sdtPr>
        <w:sdtContent>
          <w:r>
            <w:fldChar w:fldCharType="begin"/>
          </w:r>
          <w:r>
            <w:instrText xml:space="preserve"> CITATION Sec23 \l 3081 </w:instrText>
          </w:r>
          <w:r>
            <w:fldChar w:fldCharType="separate"/>
          </w:r>
          <w:r w:rsidR="00D52996">
            <w:rPr>
              <w:noProof/>
            </w:rPr>
            <w:t>(Secombe, 2023)</w:t>
          </w:r>
          <w:r>
            <w:fldChar w:fldCharType="end"/>
          </w:r>
        </w:sdtContent>
      </w:sdt>
      <w:r>
        <w:t xml:space="preserve">. </w:t>
      </w:r>
      <w:r w:rsidRPr="00BA2A76">
        <w:t xml:space="preserve"> </w:t>
      </w:r>
    </w:p>
    <w:p w14:paraId="7251E980" w14:textId="77777777" w:rsidR="00915192" w:rsidRDefault="00915192" w:rsidP="00261E20">
      <w:pPr>
        <w:pStyle w:val="BodyText"/>
      </w:pPr>
      <w:r w:rsidRPr="00BA2A76">
        <w:t>These challenges have prompted government and industry responses, including inquiries, roundtables, and support for improved workforce data collection. Addressing these shortages will require a multifaceted approach. While financial support for students and improved data infrastructure are important steps, broader interventions are needed to improve job quality, support mental health, and enhance workforce sustainability. Emerging technologies</w:t>
      </w:r>
      <w:r>
        <w:t xml:space="preserve"> – </w:t>
      </w:r>
      <w:r w:rsidRPr="00BA2A76">
        <w:t>such as telehealth and advanced scheduling systems – offer new opportunities, but collaborative action across government, industry, and the veterinary profession will be key to ensuring the workforce can meet growing demand while maintaining high standards of care and wellbeing.</w:t>
      </w:r>
      <w:r w:rsidRPr="004C5081">
        <w:t xml:space="preserve"> </w:t>
      </w:r>
    </w:p>
    <w:p w14:paraId="4B77B821" w14:textId="77777777" w:rsidR="00915192" w:rsidRDefault="00915192" w:rsidP="00537382">
      <w:pPr>
        <w:pStyle w:val="Heading2"/>
      </w:pPr>
      <w:bookmarkStart w:id="178" w:name="_Toc206784541"/>
      <w:bookmarkStart w:id="179" w:name="_Toc208923397"/>
      <w:bookmarkStart w:id="180" w:name="_Toc211587016"/>
      <w:r>
        <w:t>Spotlight – expanding our understanding of job vacancies</w:t>
      </w:r>
      <w:bookmarkEnd w:id="178"/>
      <w:bookmarkEnd w:id="179"/>
      <w:bookmarkEnd w:id="180"/>
    </w:p>
    <w:p w14:paraId="4ADFA1BB" w14:textId="318696FF" w:rsidR="00915192" w:rsidRPr="00915192" w:rsidRDefault="00915192" w:rsidP="00261E20">
      <w:pPr>
        <w:pStyle w:val="BodyText"/>
      </w:pPr>
      <w:r>
        <w:t>In late 2024, JSA released a new experimental data series – t</w:t>
      </w:r>
      <w:r w:rsidRPr="007E443B">
        <w:t>he </w:t>
      </w:r>
      <w:r w:rsidRPr="00915192">
        <w:t>Total New Vacancies</w:t>
      </w:r>
      <w:r w:rsidRPr="007E443B">
        <w:t> (TNV) series</w:t>
      </w:r>
      <w:r>
        <w:t xml:space="preserve">. The TNV </w:t>
      </w:r>
      <w:r w:rsidRPr="007E443B">
        <w:t>offers a broader view of job openings across the country by estimating the total number of new vacancies created each quarter. This new measure builds on existing data sources</w:t>
      </w:r>
      <w:r>
        <w:t xml:space="preserve"> – </w:t>
      </w:r>
      <w:r w:rsidRPr="007E443B">
        <w:t xml:space="preserve">such as the </w:t>
      </w:r>
      <w:r>
        <w:t>IVI</w:t>
      </w:r>
      <w:r w:rsidRPr="007E443B">
        <w:t xml:space="preserve"> and the ABS Job Vacancy Survey</w:t>
      </w:r>
      <w:r>
        <w:t xml:space="preserve"> – </w:t>
      </w:r>
      <w:r w:rsidRPr="007E443B">
        <w:t>by accounting for vacancies that are not advertised online</w:t>
      </w:r>
      <w:r>
        <w:t xml:space="preserve"> (</w:t>
      </w:r>
      <w:r>
        <w:fldChar w:fldCharType="begin"/>
      </w:r>
      <w:r>
        <w:instrText xml:space="preserve"> REF _Ref207615171 </w:instrText>
      </w:r>
      <w:r w:rsidR="00261E20">
        <w:instrText xml:space="preserve"> \* MERGEFORMAT </w:instrText>
      </w:r>
      <w:r>
        <w:fldChar w:fldCharType="separate"/>
      </w:r>
      <w:r w:rsidR="009E6E1D">
        <w:t xml:space="preserve">Figure </w:t>
      </w:r>
      <w:r w:rsidR="009E6E1D">
        <w:rPr>
          <w:noProof/>
        </w:rPr>
        <w:t>23</w:t>
      </w:r>
      <w:r>
        <w:fldChar w:fldCharType="end"/>
      </w:r>
      <w:r>
        <w:t>)</w:t>
      </w:r>
      <w:r w:rsidRPr="007E443B">
        <w:t>. It does so by combining online job ad data with insights from employer surveys, which capture a wider range of recruitment methods including word of mouth, signage, and social media.</w:t>
      </w:r>
      <w:r w:rsidRPr="00915192">
        <w:t xml:space="preserve"> </w:t>
      </w:r>
    </w:p>
    <w:p w14:paraId="004C5150" w14:textId="529AA808" w:rsidR="00915192" w:rsidRPr="00915192" w:rsidRDefault="00915192" w:rsidP="00915192">
      <w:pPr>
        <w:pStyle w:val="Caption"/>
      </w:pPr>
      <w:bookmarkStart w:id="181" w:name="_Ref207615171"/>
      <w:bookmarkStart w:id="182" w:name="_Toc207899202"/>
      <w:bookmarkStart w:id="183" w:name="_Toc211604172"/>
      <w:r>
        <w:t xml:space="preserve">Figure </w:t>
      </w:r>
      <w:r w:rsidRPr="00915192">
        <w:fldChar w:fldCharType="begin"/>
      </w:r>
      <w:r w:rsidRPr="00915192">
        <w:instrText xml:space="preserve"> SEQ Figure \* ARABIC </w:instrText>
      </w:r>
      <w:r w:rsidRPr="00915192">
        <w:fldChar w:fldCharType="separate"/>
      </w:r>
      <w:r w:rsidR="009E6E1D">
        <w:rPr>
          <w:noProof/>
        </w:rPr>
        <w:t>23</w:t>
      </w:r>
      <w:r w:rsidRPr="00915192">
        <w:fldChar w:fldCharType="end"/>
      </w:r>
      <w:bookmarkEnd w:id="181"/>
      <w:r w:rsidRPr="00915192">
        <w:t xml:space="preserve">: </w:t>
      </w:r>
      <w:r w:rsidR="004979EA" w:rsidRPr="004979EA">
        <w:t>Comparison of JSA TNV and ABS Job Vacancy Survey (JVS) series over time</w:t>
      </w:r>
      <w:bookmarkEnd w:id="182"/>
      <w:bookmarkEnd w:id="183"/>
    </w:p>
    <w:p w14:paraId="0AD81D64" w14:textId="0535A0D4" w:rsidR="00915192" w:rsidRPr="00915192" w:rsidRDefault="004D0541" w:rsidP="00915192">
      <w:r w:rsidRPr="004D0541">
        <w:rPr>
          <w:noProof/>
        </w:rPr>
        <w:drawing>
          <wp:inline distT="0" distB="0" distL="0" distR="0" wp14:anchorId="70C4B740" wp14:editId="534DBCA0">
            <wp:extent cx="5947200" cy="3112749"/>
            <wp:effectExtent l="0" t="0" r="0" b="0"/>
            <wp:docPr id="1257190407" name="Picture 21" descr="The line graph shows that both JSA Total New Vacancies and ABS Job Vacancies series track similarly between 2016 and 2024. While vacancies trended upward post COVID-19, there has been some softening in both series over the last 2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190407" name="Picture 21" descr="The line graph shows that both JSA Total New Vacancies and ABS Job Vacancies series track similarly between 2016 and 2024. While vacancies trended upward post COVID-19, there has been some softening in both series over the last 2 years."/>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47200" cy="3112749"/>
                    </a:xfrm>
                    <a:prstGeom prst="rect">
                      <a:avLst/>
                    </a:prstGeom>
                    <a:noFill/>
                    <a:ln>
                      <a:noFill/>
                    </a:ln>
                  </pic:spPr>
                </pic:pic>
              </a:graphicData>
            </a:graphic>
          </wp:inline>
        </w:drawing>
      </w:r>
    </w:p>
    <w:p w14:paraId="1FEC4911" w14:textId="53D73B06" w:rsidR="00915192" w:rsidRPr="007E443B" w:rsidRDefault="00915192" w:rsidP="00261E20">
      <w:pPr>
        <w:pStyle w:val="Source"/>
      </w:pPr>
      <w:r>
        <w:t xml:space="preserve">Source: </w:t>
      </w:r>
      <w:r w:rsidR="00214A8E" w:rsidRPr="00214A8E">
        <w:t xml:space="preserve">JSA, </w:t>
      </w:r>
      <w:r w:rsidR="00FB0E2B">
        <w:t>TNV</w:t>
      </w:r>
      <w:r w:rsidR="00214A8E" w:rsidRPr="00214A8E">
        <w:t>, Experimental Series, March 2024</w:t>
      </w:r>
      <w:r w:rsidR="005C769C">
        <w:t>;</w:t>
      </w:r>
      <w:r w:rsidR="00214A8E" w:rsidRPr="00214A8E">
        <w:t xml:space="preserve"> ABS, Job Vacancies, Australia, August 2025, seasonally adjusted.</w:t>
      </w:r>
    </w:p>
    <w:p w14:paraId="46BBDAD2" w14:textId="77777777" w:rsidR="00915192" w:rsidRPr="007E443B" w:rsidRDefault="00915192" w:rsidP="00261E20">
      <w:pPr>
        <w:pStyle w:val="BodyText"/>
      </w:pPr>
      <w:r w:rsidRPr="007E443B">
        <w:t>This approach helps fill gaps in our understanding of labour demand, particularly in industries and occupations where online advertising is less common. For instance, while most professional roles are advertised online, many sales and service roles are filled through informal channels. By adjusting for these differences, the TNV provides a more inclusive estimate of total vacancies, offering a clearer picture of where job creation is occurring.</w:t>
      </w:r>
    </w:p>
    <w:p w14:paraId="2FC68A16" w14:textId="77777777" w:rsidR="00915192" w:rsidRDefault="00915192" w:rsidP="00261E20">
      <w:pPr>
        <w:pStyle w:val="BodyText"/>
      </w:pPr>
      <w:r w:rsidRPr="007E443B">
        <w:t>Importantly, the TNV introduces a “flow” measure</w:t>
      </w:r>
      <w:r>
        <w:t xml:space="preserve"> – </w:t>
      </w:r>
      <w:r w:rsidRPr="007E443B">
        <w:t>capturing all new vacancies created during a quarter</w:t>
      </w:r>
      <w:r>
        <w:t xml:space="preserve"> – </w:t>
      </w:r>
      <w:r w:rsidRPr="007E443B">
        <w:t>rather than a snapshot of vacancies open on a single day. This complements the “stock” measures provided by other sources and allows for more detailed analysis of hiring activity over time. Together, these insights support more informed workforce planning and policy development, particularly in identifying areas of emerging demand and potential skills shortages.</w:t>
      </w:r>
    </w:p>
    <w:p w14:paraId="6EAC3D6A" w14:textId="77777777" w:rsidR="00915192" w:rsidRPr="004C5081" w:rsidRDefault="00915192" w:rsidP="00537382">
      <w:pPr>
        <w:pStyle w:val="Heading2"/>
      </w:pPr>
      <w:bookmarkStart w:id="184" w:name="_Toc206784542"/>
      <w:bookmarkStart w:id="185" w:name="_Toc208923398"/>
      <w:bookmarkStart w:id="186" w:name="_Toc211587017"/>
      <w:r>
        <w:t xml:space="preserve">The employer perspective – </w:t>
      </w:r>
      <w:bookmarkEnd w:id="184"/>
      <w:r>
        <w:t>retention issues</w:t>
      </w:r>
      <w:bookmarkEnd w:id="185"/>
      <w:bookmarkEnd w:id="186"/>
    </w:p>
    <w:p w14:paraId="60BCFA06" w14:textId="77777777" w:rsidR="00915192" w:rsidRDefault="00915192" w:rsidP="00261E20">
      <w:pPr>
        <w:pStyle w:val="BodyText"/>
      </w:pPr>
      <w:r w:rsidRPr="00E94EC9">
        <w:t xml:space="preserve">Understanding how </w:t>
      </w:r>
      <w:r w:rsidRPr="008D7426">
        <w:t>occupation shortages</w:t>
      </w:r>
      <w:r w:rsidRPr="00E94EC9">
        <w:t xml:space="preserve"> </w:t>
      </w:r>
      <w:r>
        <w:t xml:space="preserve">and retention issues </w:t>
      </w:r>
      <w:r w:rsidRPr="00E94EC9">
        <w:t xml:space="preserve">affect employers is essential for developing effective, targeted responses to workforce challenges. When businesses struggle to </w:t>
      </w:r>
      <w:r>
        <w:t xml:space="preserve">retain or </w:t>
      </w:r>
      <w:r w:rsidRPr="00E94EC9">
        <w:t>recruit the skills they need, it can lead to reduced productivity, delayed projects, increased costs, and missed opportunities for growth</w:t>
      </w:r>
      <w:r>
        <w:t xml:space="preserve"> – </w:t>
      </w:r>
      <w:r w:rsidRPr="00E94EC9">
        <w:t xml:space="preserve">particularly in sectors critical to Australia’s economic </w:t>
      </w:r>
      <w:r>
        <w:t xml:space="preserve">growth and </w:t>
      </w:r>
      <w:r w:rsidRPr="00E94EC9">
        <w:t xml:space="preserve">resilience. These impacts are </w:t>
      </w:r>
      <w:r>
        <w:t xml:space="preserve">often </w:t>
      </w:r>
      <w:r w:rsidRPr="00E94EC9">
        <w:t>not felt evenly</w:t>
      </w:r>
      <w:r>
        <w:t xml:space="preserve"> –</w:t>
      </w:r>
      <w:r w:rsidRPr="00E94EC9">
        <w:t xml:space="preserve"> they vary by industry, region, and business size, and often require different types of support. This employer perspective is a vital complement to </w:t>
      </w:r>
      <w:r>
        <w:t>other</w:t>
      </w:r>
      <w:r w:rsidRPr="00E94EC9">
        <w:t xml:space="preserve"> analysis, helping to ensure that policy responses are grounded in the realities of the labour market.</w:t>
      </w:r>
    </w:p>
    <w:p w14:paraId="4CD0B562" w14:textId="4FB7376B" w:rsidR="00915192" w:rsidRDefault="00915192" w:rsidP="00261E20">
      <w:pPr>
        <w:pStyle w:val="BodyText"/>
      </w:pPr>
      <w:r>
        <w:t xml:space="preserve">To gain a better understanding of employers’ retention issues, and the resulting impacts, JSA included a module on the topic as part of the REOS. This module was incorporated into the survey twice – once between August and December 2023, and again between February and May 2024. The module sought to understand how often employers had to replace </w:t>
      </w:r>
      <w:r w:rsidR="00AF628B">
        <w:t xml:space="preserve">at least one </w:t>
      </w:r>
      <w:r w:rsidR="006B13A6">
        <w:t xml:space="preserve">former </w:t>
      </w:r>
      <w:r>
        <w:t>staff</w:t>
      </w:r>
      <w:r w:rsidR="006B13A6">
        <w:t xml:space="preserve"> member</w:t>
      </w:r>
      <w:r>
        <w:t xml:space="preserve">, the </w:t>
      </w:r>
      <w:r w:rsidR="009B4B53">
        <w:t xml:space="preserve">employer's perspectives on </w:t>
      </w:r>
      <w:r>
        <w:t xml:space="preserve">the reason for replacement, how the replacement affected their business, and what strategies had been employed to try and retain staff. Across both timeframes together, 3,300 responses were received. </w:t>
      </w:r>
    </w:p>
    <w:p w14:paraId="7DCB5E71" w14:textId="77777777" w:rsidR="00915192" w:rsidRDefault="00915192" w:rsidP="00537382">
      <w:pPr>
        <w:pStyle w:val="Heading3"/>
      </w:pPr>
      <w:bookmarkStart w:id="187" w:name="_Toc206784543"/>
      <w:bookmarkStart w:id="188" w:name="_Toc208923399"/>
      <w:bookmarkStart w:id="189" w:name="_Toc211587018"/>
      <w:r>
        <w:t>Frequency of staff replacement</w:t>
      </w:r>
      <w:bookmarkEnd w:id="187"/>
      <w:bookmarkEnd w:id="188"/>
      <w:bookmarkEnd w:id="189"/>
    </w:p>
    <w:p w14:paraId="7DF32030" w14:textId="0CAE3830" w:rsidR="00915192" w:rsidRDefault="00915192" w:rsidP="00261E20">
      <w:pPr>
        <w:pStyle w:val="BodyText"/>
      </w:pPr>
      <w:r>
        <w:t>S</w:t>
      </w:r>
      <w:r w:rsidRPr="00F04ABB">
        <w:t xml:space="preserve">taff turnover is a regular challenge for many employers, </w:t>
      </w:r>
      <w:r>
        <w:t>with around</w:t>
      </w:r>
      <w:r w:rsidRPr="00F04ABB">
        <w:t xml:space="preserve"> 24</w:t>
      </w:r>
      <w:r>
        <w:t>%</w:t>
      </w:r>
      <w:r w:rsidRPr="00F04ABB">
        <w:t xml:space="preserve"> </w:t>
      </w:r>
      <w:r>
        <w:t>indicating</w:t>
      </w:r>
      <w:r w:rsidRPr="00F04ABB">
        <w:t xml:space="preserve"> that they typically replace </w:t>
      </w:r>
      <w:r w:rsidR="00554FE4">
        <w:t xml:space="preserve">at least one former </w:t>
      </w:r>
      <w:r w:rsidRPr="00F04ABB">
        <w:t xml:space="preserve">staff </w:t>
      </w:r>
      <w:r w:rsidR="00554FE4">
        <w:t xml:space="preserve">member </w:t>
      </w:r>
      <w:r w:rsidRPr="00F04ABB">
        <w:t>at least every six months. </w:t>
      </w:r>
      <w:r>
        <w:t>For the purposes of this analysis, this was considered a medium to high replacement rate</w:t>
      </w:r>
      <w:r>
        <w:rPr>
          <w:rStyle w:val="FootnoteReference"/>
        </w:rPr>
        <w:footnoteReference w:id="7"/>
      </w:r>
      <w:r>
        <w:t xml:space="preserve">. 41% of employers replace </w:t>
      </w:r>
      <w:r w:rsidR="00554FE4">
        <w:t>at least one</w:t>
      </w:r>
      <w:r w:rsidR="00695158">
        <w:t xml:space="preserve"> </w:t>
      </w:r>
      <w:r w:rsidR="00460F41">
        <w:t>former</w:t>
      </w:r>
      <w:r w:rsidR="00554FE4">
        <w:t xml:space="preserve"> </w:t>
      </w:r>
      <w:r>
        <w:t xml:space="preserve">staff </w:t>
      </w:r>
      <w:r w:rsidR="00554FE4">
        <w:t>member</w:t>
      </w:r>
      <w:r>
        <w:t xml:space="preserve"> every 6 months or more, with only just over a third of employers reporting that they do not often replace staff for their occupation, or that retention is not an issue.</w:t>
      </w:r>
    </w:p>
    <w:p w14:paraId="7326DD7A" w14:textId="77777777" w:rsidR="00915192" w:rsidRDefault="00915192" w:rsidP="00261E20">
      <w:pPr>
        <w:pStyle w:val="BodyText"/>
      </w:pPr>
      <w:r>
        <w:t>There was a lot of industry variation to the results. I</w:t>
      </w:r>
      <w:r w:rsidRPr="001C396B">
        <w:t>ndustries such as Accommodation and Food Services showed the highest proportion of employers reporting medium to high replacement rates, reflecting the transient nature of many roles in that sector. In contrast, employers in Professional, Scientific and Technical Services, which tend to involve higher-skilled occupations, reported far lower rates of staff replacement.</w:t>
      </w:r>
      <w:r>
        <w:t xml:space="preserve"> This was reflected from the perspective of occupations. O</w:t>
      </w:r>
      <w:r w:rsidRPr="001C396B">
        <w:t>ccupations such as Labourers and Community and Personal Service Workers were more frequently replaced, while Professionals and Managers were less affected by retention issues.</w:t>
      </w:r>
    </w:p>
    <w:p w14:paraId="350B7DE4" w14:textId="77777777" w:rsidR="00915192" w:rsidRDefault="00915192" w:rsidP="00537382">
      <w:pPr>
        <w:pStyle w:val="Heading3"/>
      </w:pPr>
      <w:bookmarkStart w:id="190" w:name="_Toc206784544"/>
      <w:bookmarkStart w:id="191" w:name="_Toc208923400"/>
      <w:bookmarkStart w:id="192" w:name="_Toc211587019"/>
      <w:r>
        <w:t>Reasons for staff replacement</w:t>
      </w:r>
      <w:bookmarkEnd w:id="190"/>
      <w:bookmarkEnd w:id="191"/>
      <w:bookmarkEnd w:id="192"/>
    </w:p>
    <w:p w14:paraId="14E97550" w14:textId="77777777" w:rsidR="00915192" w:rsidRDefault="00915192" w:rsidP="0005589A">
      <w:pPr>
        <w:pStyle w:val="BodyText"/>
        <w:keepLines/>
      </w:pPr>
      <w:r>
        <w:t>E</w:t>
      </w:r>
      <w:r w:rsidRPr="005E4081">
        <w:t>mployers most commonly attributed regular staff replacement to employees leaving for other job opportunities</w:t>
      </w:r>
      <w:r>
        <w:t xml:space="preserve"> (42%). This is in line with ABS data which showed that</w:t>
      </w:r>
      <w:r w:rsidRPr="008828F8">
        <w:t xml:space="preserve"> 27% of all people who left or lost a job in the 12 months to February 2024 </w:t>
      </w:r>
      <w:r>
        <w:t>did so to</w:t>
      </w:r>
      <w:r w:rsidRPr="008828F8">
        <w:t xml:space="preserve"> obtain a better job or just wanted a change</w:t>
      </w:r>
      <w:r>
        <w:rPr>
          <w:rStyle w:val="FootnoteReference"/>
        </w:rPr>
        <w:footnoteReference w:id="8"/>
      </w:r>
      <w:r w:rsidRPr="008828F8">
        <w:t>.</w:t>
      </w:r>
      <w:r>
        <w:t xml:space="preserve"> The second most common reason (27%) was reported as</w:t>
      </w:r>
      <w:r w:rsidRPr="005E4081">
        <w:t xml:space="preserve"> the nature of the job itself, which in some cases may involve physically demanding or repetitive tasks that contribute to higher turnover. A smaller proportion of employers cited dissatisfaction with job conditions or salary </w:t>
      </w:r>
      <w:r>
        <w:t xml:space="preserve">(15%) </w:t>
      </w:r>
      <w:r w:rsidRPr="005E4081">
        <w:t>as a key factor.</w:t>
      </w:r>
    </w:p>
    <w:p w14:paraId="5B463D9A" w14:textId="481E9452" w:rsidR="00915192" w:rsidRPr="001F2F09" w:rsidRDefault="00915192" w:rsidP="00261E20">
      <w:pPr>
        <w:pStyle w:val="BodyText"/>
      </w:pPr>
      <w:r>
        <w:t xml:space="preserve">As with frequency of staff replacement, there was variation in the results across industries and occupations. </w:t>
      </w:r>
      <w:r w:rsidRPr="00706E00">
        <w:t>For example, in Accommodation and Food Services, the nature of the job was just as likely as external job opportunities to drive turnover</w:t>
      </w:r>
      <w:r>
        <w:t>. This industry was also the most affected by backpacker/visa requirements. I</w:t>
      </w:r>
      <w:r w:rsidRPr="00706E00">
        <w:t xml:space="preserve">n Health Care and Social Assistance and </w:t>
      </w:r>
      <w:r w:rsidR="006C58DF">
        <w:t xml:space="preserve">in </w:t>
      </w:r>
      <w:r w:rsidRPr="00706E00">
        <w:t xml:space="preserve">Retail Trade, dissatisfaction with pay and conditions was more prominent. </w:t>
      </w:r>
      <w:r>
        <w:t xml:space="preserve">These trends are set out in </w:t>
      </w:r>
      <w:r>
        <w:fldChar w:fldCharType="begin"/>
      </w:r>
      <w:r>
        <w:instrText xml:space="preserve"> REF _Ref207616149 </w:instrText>
      </w:r>
      <w:r w:rsidR="00261E20">
        <w:instrText xml:space="preserve"> \* MERGEFORMAT </w:instrText>
      </w:r>
      <w:r>
        <w:fldChar w:fldCharType="separate"/>
      </w:r>
      <w:r w:rsidR="009E6E1D">
        <w:t xml:space="preserve">Figure </w:t>
      </w:r>
      <w:r w:rsidR="009E6E1D">
        <w:rPr>
          <w:noProof/>
        </w:rPr>
        <w:t>24</w:t>
      </w:r>
      <w:r>
        <w:fldChar w:fldCharType="end"/>
      </w:r>
      <w:r>
        <w:t xml:space="preserve">. </w:t>
      </w:r>
      <w:r w:rsidRPr="00706E00">
        <w:t>Among occupation groups, Labourers were most often replaced due to the nature of the work, whereas Technicians and Trades Workers were affected by strong competition in the labour market, suggesting a broader issue of skills shortages.</w:t>
      </w:r>
    </w:p>
    <w:p w14:paraId="30B617FC" w14:textId="3CB91E9F" w:rsidR="00915192" w:rsidRPr="00915192" w:rsidRDefault="00915192" w:rsidP="00915192">
      <w:pPr>
        <w:pStyle w:val="Caption"/>
      </w:pPr>
      <w:bookmarkStart w:id="193" w:name="_Ref207616149"/>
      <w:bookmarkStart w:id="194" w:name="_Toc207899203"/>
      <w:bookmarkStart w:id="195" w:name="_Toc211604173"/>
      <w:r>
        <w:t xml:space="preserve">Figure </w:t>
      </w:r>
      <w:r w:rsidRPr="00915192">
        <w:fldChar w:fldCharType="begin"/>
      </w:r>
      <w:r w:rsidRPr="00915192">
        <w:instrText xml:space="preserve"> SEQ Figure \* ARABIC </w:instrText>
      </w:r>
      <w:r w:rsidRPr="00915192">
        <w:fldChar w:fldCharType="separate"/>
      </w:r>
      <w:r w:rsidR="009E6E1D">
        <w:rPr>
          <w:noProof/>
        </w:rPr>
        <w:t>24</w:t>
      </w:r>
      <w:r w:rsidRPr="00915192">
        <w:fldChar w:fldCharType="end"/>
      </w:r>
      <w:bookmarkEnd w:id="193"/>
      <w:r w:rsidRPr="00915192">
        <w:t>: Reasons for regularly replacing staff for most recently recruited occupations - by selected industries, August 2023 to May 2024</w:t>
      </w:r>
      <w:bookmarkEnd w:id="194"/>
      <w:bookmarkEnd w:id="195"/>
    </w:p>
    <w:p w14:paraId="54C2EC9F" w14:textId="394C40A4" w:rsidR="00915192" w:rsidRPr="00915192" w:rsidRDefault="002A5FDC" w:rsidP="00915192">
      <w:r w:rsidRPr="002A5FDC">
        <w:rPr>
          <w:noProof/>
        </w:rPr>
        <w:drawing>
          <wp:inline distT="0" distB="0" distL="0" distR="0" wp14:anchorId="0DE1CFA7" wp14:editId="296D4F5D">
            <wp:extent cx="5943600" cy="3495675"/>
            <wp:effectExtent l="0" t="0" r="0" b="9525"/>
            <wp:docPr id="665068565" name="Picture 6" descr="Bar graph illustrating the main reasons employers regularly replace staff across five selected industries between August 2023 and May 2024. Common reasons include job competition (the leading factor across most selected industries), nature of the work (notably in Accommodation and Food Services), dissatisfaction with pay and conditions (especially in Health Care and Retail), and lack of commitment or employees getting bored (seen in Manufactu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068565" name="Picture 6" descr="Bar graph illustrating the main reasons employers regularly replace staff across five selected industries between August 2023 and May 2024. Common reasons include job competition (the leading factor across most selected industries), nature of the work (notably in Accommodation and Food Services), dissatisfaction with pay and conditions (especially in Health Care and Retail), and lack of commitment or employees getting bored (seen in Manufacturi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43600" cy="3495675"/>
                    </a:xfrm>
                    <a:prstGeom prst="rect">
                      <a:avLst/>
                    </a:prstGeom>
                    <a:noFill/>
                    <a:ln>
                      <a:noFill/>
                    </a:ln>
                  </pic:spPr>
                </pic:pic>
              </a:graphicData>
            </a:graphic>
          </wp:inline>
        </w:drawing>
      </w:r>
    </w:p>
    <w:p w14:paraId="54FC73F1" w14:textId="0D40F6EA" w:rsidR="00915192" w:rsidRDefault="00915192" w:rsidP="00261E20">
      <w:pPr>
        <w:pStyle w:val="Source"/>
      </w:pPr>
      <w:r>
        <w:t xml:space="preserve">Source: </w:t>
      </w:r>
      <w:r w:rsidR="0055152D">
        <w:t>JSA</w:t>
      </w:r>
      <w:r w:rsidRPr="00B33EDD">
        <w:t xml:space="preserve">, </w:t>
      </w:r>
      <w:r w:rsidR="00921F2D">
        <w:t>REOS</w:t>
      </w:r>
      <w:r w:rsidRPr="00B33EDD">
        <w:t xml:space="preserve">, 2025. </w:t>
      </w:r>
    </w:p>
    <w:p w14:paraId="73F8B8C4" w14:textId="1CB717BB" w:rsidR="00915192" w:rsidRDefault="00915192" w:rsidP="00261E20">
      <w:pPr>
        <w:pStyle w:val="Source"/>
      </w:pPr>
      <w:r>
        <w:t xml:space="preserve">Note: </w:t>
      </w:r>
      <w:r w:rsidR="006A2898" w:rsidRPr="006A2898">
        <w:t>Due to small sample size, caution is advised in interpreting results for the Construction, Manufacturing and Retail Trade industries</w:t>
      </w:r>
      <w:r w:rsidRPr="00B33EDD">
        <w:t>.</w:t>
      </w:r>
    </w:p>
    <w:p w14:paraId="27D53DB4" w14:textId="77777777" w:rsidR="00915192" w:rsidRDefault="00915192" w:rsidP="00537382">
      <w:pPr>
        <w:pStyle w:val="Heading3"/>
      </w:pPr>
      <w:bookmarkStart w:id="196" w:name="_Toc206784545"/>
      <w:bookmarkStart w:id="197" w:name="_Toc208923401"/>
      <w:bookmarkStart w:id="198" w:name="_Toc211587020"/>
      <w:r>
        <w:t>Business impact</w:t>
      </w:r>
      <w:bookmarkEnd w:id="196"/>
      <w:bookmarkEnd w:id="197"/>
      <w:bookmarkEnd w:id="198"/>
    </w:p>
    <w:p w14:paraId="3AACD7AA" w14:textId="12E415A6" w:rsidR="00915192" w:rsidRDefault="00915192" w:rsidP="0005589A">
      <w:pPr>
        <w:pStyle w:val="BodyText"/>
        <w:keepLines/>
      </w:pPr>
      <w:r w:rsidRPr="00614006">
        <w:t>The most significant impact of regular staff replacement reported by employers was the cost and time associated with constant recruitment and training</w:t>
      </w:r>
      <w:r>
        <w:t xml:space="preserve"> (reported by 51% of employers)</w:t>
      </w:r>
      <w:r w:rsidRPr="00614006">
        <w:t>. This was followed by negative effects on existing staff, such as increased workloads or reduced morale, and by decreased productivity or revenue. These impacts were particularly pronounced in industries like Construction, where project continuity depends heavily on workforce stability, and in Retail Trade, where staff turnover can disrupt operations and place pressure on remaining employees</w:t>
      </w:r>
      <w:r>
        <w:t xml:space="preserve"> (</w:t>
      </w:r>
      <w:r>
        <w:fldChar w:fldCharType="begin"/>
      </w:r>
      <w:r>
        <w:instrText xml:space="preserve"> REF _Ref208919583 \h </w:instrText>
      </w:r>
      <w:r w:rsidR="00261E20">
        <w:instrText xml:space="preserve"> \* MERGEFORMAT </w:instrText>
      </w:r>
      <w:r>
        <w:fldChar w:fldCharType="separate"/>
      </w:r>
      <w:r w:rsidR="009E6E1D">
        <w:t xml:space="preserve">Figure </w:t>
      </w:r>
      <w:r w:rsidR="009E6E1D">
        <w:rPr>
          <w:noProof/>
        </w:rPr>
        <w:t>25</w:t>
      </w:r>
      <w:r>
        <w:fldChar w:fldCharType="end"/>
      </w:r>
      <w:r>
        <w:t>)</w:t>
      </w:r>
      <w:r w:rsidRPr="00614006">
        <w:t>.</w:t>
      </w:r>
    </w:p>
    <w:p w14:paraId="13DA7438" w14:textId="55934D5F" w:rsidR="00915192" w:rsidRDefault="00915192" w:rsidP="00915192">
      <w:pPr>
        <w:pStyle w:val="Caption"/>
      </w:pPr>
      <w:bookmarkStart w:id="199" w:name="_Ref208919583"/>
      <w:bookmarkStart w:id="200" w:name="_Toc211604174"/>
      <w:r>
        <w:t xml:space="preserve">Figure </w:t>
      </w:r>
      <w:r>
        <w:fldChar w:fldCharType="begin"/>
      </w:r>
      <w:r>
        <w:instrText xml:space="preserve"> SEQ Figure \* ARABIC </w:instrText>
      </w:r>
      <w:r>
        <w:fldChar w:fldCharType="separate"/>
      </w:r>
      <w:r w:rsidR="009E6E1D">
        <w:rPr>
          <w:noProof/>
        </w:rPr>
        <w:t>25</w:t>
      </w:r>
      <w:r>
        <w:fldChar w:fldCharType="end"/>
      </w:r>
      <w:bookmarkEnd w:id="199"/>
      <w:r>
        <w:t>: Impacts on business due to regularly replacing staff for most recently recruited occupations - by selected industries, August 2023 to May 2024</w:t>
      </w:r>
      <w:bookmarkEnd w:id="200"/>
    </w:p>
    <w:p w14:paraId="3EA94B8E" w14:textId="36732D21" w:rsidR="00915192" w:rsidRPr="00915192" w:rsidRDefault="00A513AA" w:rsidP="00915192">
      <w:r w:rsidRPr="00A513AA">
        <w:rPr>
          <w:noProof/>
        </w:rPr>
        <w:drawing>
          <wp:inline distT="0" distB="0" distL="0" distR="0" wp14:anchorId="633973C7" wp14:editId="3F5EE798">
            <wp:extent cx="5947200" cy="3242368"/>
            <wp:effectExtent l="0" t="0" r="0" b="0"/>
            <wp:docPr id="649947116" name="Picture 23" descr="Bar chart highlights the impact of frequent staff replacement across selected industries. The most significant issue reported by 51% of recruiting employers was the cost and time involved in ongoing recruitment and training. This was followed by negative effects on existing staff. These challenges were especially evident in industries such as Construction, where workforce stability is critical to project continuity, and Health Care and Social Assistance, where high turnover can disrupt operations and increase pressure on remaining employ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47116" name="Picture 23" descr="Bar chart highlights the impact of frequent staff replacement across selected industries. The most significant issue reported by 51% of recruiting employers was the cost and time involved in ongoing recruitment and training. This was followed by negative effects on existing staff. These challenges were especially evident in industries such as Construction, where workforce stability is critical to project continuity, and Health Care and Social Assistance, where high turnover can disrupt operations and increase pressure on remaining employees."/>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47200" cy="3242368"/>
                    </a:xfrm>
                    <a:prstGeom prst="rect">
                      <a:avLst/>
                    </a:prstGeom>
                    <a:noFill/>
                    <a:ln>
                      <a:noFill/>
                    </a:ln>
                  </pic:spPr>
                </pic:pic>
              </a:graphicData>
            </a:graphic>
          </wp:inline>
        </w:drawing>
      </w:r>
    </w:p>
    <w:p w14:paraId="7FC45DCD" w14:textId="22BB40D2" w:rsidR="00915192" w:rsidRDefault="00915192" w:rsidP="00261E20">
      <w:pPr>
        <w:pStyle w:val="Source"/>
      </w:pPr>
      <w:r>
        <w:t xml:space="preserve">Source: JSA, </w:t>
      </w:r>
      <w:r w:rsidR="00214F55">
        <w:t>REOS</w:t>
      </w:r>
      <w:r>
        <w:t>, 2025.</w:t>
      </w:r>
    </w:p>
    <w:p w14:paraId="2B4F6BCC" w14:textId="37161037" w:rsidR="00915192" w:rsidRPr="00614006" w:rsidRDefault="00915192" w:rsidP="00261E20">
      <w:pPr>
        <w:pStyle w:val="Source"/>
      </w:pPr>
      <w:r>
        <w:t xml:space="preserve">Note: Due to low sample size, caution is advised in interpreting results for Construction, Manufacturing and Retail Trade. </w:t>
      </w:r>
    </w:p>
    <w:p w14:paraId="20E7415C" w14:textId="4548FC0D" w:rsidR="00915192" w:rsidRDefault="00915192" w:rsidP="00261E20">
      <w:pPr>
        <w:pStyle w:val="BodyText"/>
      </w:pPr>
      <w:r w:rsidRPr="00614006">
        <w:t>Some employers, particularly in Accommodation and Food Services, reported that regular staff replacement had little or no impact on their business, viewing it as an unavoidable aspect of the roles they offer. However, for occupations such as Technicians and Trades Workers, the consequences were more severe</w:t>
      </w:r>
      <w:r>
        <w:t xml:space="preserve">. Employers regularly replacing </w:t>
      </w:r>
      <w:r w:rsidR="00483763">
        <w:t xml:space="preserve">former </w:t>
      </w:r>
      <w:r w:rsidR="00E6071D">
        <w:t xml:space="preserve">staff in </w:t>
      </w:r>
      <w:r>
        <w:t>these occupations were more likely to report not only</w:t>
      </w:r>
      <w:r w:rsidRPr="00614006">
        <w:t xml:space="preserve"> productivity losses</w:t>
      </w:r>
      <w:r>
        <w:t xml:space="preserve"> but also increased costs and time pressures due to ongoing recruitment and training</w:t>
      </w:r>
      <w:r w:rsidRPr="00614006">
        <w:t xml:space="preserve">. </w:t>
      </w:r>
      <w:r>
        <w:t xml:space="preserve">These retention challenges closely mirror the impacts associated with recruitment difficulty reported by employers, as reflected in </w:t>
      </w:r>
      <w:r>
        <w:fldChar w:fldCharType="begin"/>
      </w:r>
      <w:r>
        <w:instrText xml:space="preserve"> REF _Ref207616328 </w:instrText>
      </w:r>
      <w:r w:rsidR="00261E20">
        <w:instrText xml:space="preserve"> \* MERGEFORMAT </w:instrText>
      </w:r>
      <w:r>
        <w:fldChar w:fldCharType="separate"/>
      </w:r>
      <w:r w:rsidR="009E6E1D">
        <w:t xml:space="preserve">Figure </w:t>
      </w:r>
      <w:r w:rsidR="009E6E1D">
        <w:rPr>
          <w:noProof/>
        </w:rPr>
        <w:t>26</w:t>
      </w:r>
      <w:r>
        <w:fldChar w:fldCharType="end"/>
      </w:r>
      <w:r>
        <w:t xml:space="preserve">. </w:t>
      </w:r>
    </w:p>
    <w:p w14:paraId="62C32E80" w14:textId="428C8D04" w:rsidR="00915192" w:rsidRPr="00915192" w:rsidRDefault="00915192" w:rsidP="00915192">
      <w:pPr>
        <w:pStyle w:val="Caption"/>
      </w:pPr>
      <w:bookmarkStart w:id="201" w:name="_Ref207616328"/>
      <w:bookmarkStart w:id="202" w:name="_Toc207899204"/>
      <w:bookmarkStart w:id="203" w:name="_Toc211604175"/>
      <w:r>
        <w:t xml:space="preserve">Figure </w:t>
      </w:r>
      <w:r w:rsidRPr="00915192">
        <w:fldChar w:fldCharType="begin"/>
      </w:r>
      <w:r w:rsidRPr="00915192">
        <w:instrText xml:space="preserve"> SEQ Figure \* ARABIC </w:instrText>
      </w:r>
      <w:r w:rsidRPr="00915192">
        <w:fldChar w:fldCharType="separate"/>
      </w:r>
      <w:r w:rsidR="009E6E1D">
        <w:rPr>
          <w:noProof/>
        </w:rPr>
        <w:t>26</w:t>
      </w:r>
      <w:r w:rsidRPr="00915192">
        <w:fldChar w:fldCharType="end"/>
      </w:r>
      <w:bookmarkEnd w:id="201"/>
      <w:r w:rsidRPr="00915192">
        <w:t xml:space="preserve">: </w:t>
      </w:r>
      <w:r w:rsidR="00490165" w:rsidRPr="00490165">
        <w:t>Impacts on business due to regularly replacing staff for most recently recruited occupations - by selected industries, August 2023 to May 2024</w:t>
      </w:r>
      <w:bookmarkEnd w:id="202"/>
      <w:bookmarkEnd w:id="203"/>
    </w:p>
    <w:p w14:paraId="74DBDAA9" w14:textId="0911D8AC" w:rsidR="00915192" w:rsidRDefault="00CC5717" w:rsidP="00915192">
      <w:r w:rsidRPr="00CC5717">
        <w:rPr>
          <w:noProof/>
        </w:rPr>
        <w:drawing>
          <wp:inline distT="0" distB="0" distL="0" distR="0" wp14:anchorId="252AA66B" wp14:editId="0C1293DF">
            <wp:extent cx="5948045" cy="3204845"/>
            <wp:effectExtent l="0" t="0" r="0" b="0"/>
            <wp:docPr id="1429296739" name="Picture 26" descr="Bar chart illustrates the negative impact of recruitment difficulties on businesses in service and producing industries. Service industries were more likely to report workforce strain, with 33% of affected employers noting a negative impact on existing staff. In contrast, producing industries experienced greater financial impact, with 33% of affected employers reporting reduced productivity and revenue. 31% of affected employers in producing industries also reported negative impact on their existing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296739" name="Picture 26" descr="Bar chart illustrates the negative impact of recruitment difficulties on businesses in service and producing industries. Service industries were more likely to report workforce strain, with 33% of affected employers noting a negative impact on existing staff. In contrast, producing industries experienced greater financial impact, with 33% of affected employers reporting reduced productivity and revenue. 31% of affected employers in producing industries also reported negative impact on their existing workforc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48045" cy="3204845"/>
                    </a:xfrm>
                    <a:prstGeom prst="rect">
                      <a:avLst/>
                    </a:prstGeom>
                    <a:noFill/>
                    <a:ln>
                      <a:noFill/>
                    </a:ln>
                  </pic:spPr>
                </pic:pic>
              </a:graphicData>
            </a:graphic>
          </wp:inline>
        </w:drawing>
      </w:r>
    </w:p>
    <w:p w14:paraId="31607065" w14:textId="58A8B19A" w:rsidR="00915192" w:rsidRPr="00614006" w:rsidRDefault="00915192" w:rsidP="00261E20">
      <w:pPr>
        <w:pStyle w:val="Source"/>
      </w:pPr>
      <w:r>
        <w:t xml:space="preserve">Source: </w:t>
      </w:r>
      <w:r w:rsidR="00F57CF8">
        <w:t>JSA</w:t>
      </w:r>
      <w:r>
        <w:t xml:space="preserve">, </w:t>
      </w:r>
      <w:r w:rsidR="00921F2D">
        <w:t>REOS</w:t>
      </w:r>
      <w:r>
        <w:t>, 2025</w:t>
      </w:r>
      <w:r w:rsidR="00BE3C21">
        <w:t>.</w:t>
      </w:r>
    </w:p>
    <w:p w14:paraId="5BC494DA" w14:textId="77777777" w:rsidR="00915192" w:rsidRDefault="00915192" w:rsidP="00537382">
      <w:pPr>
        <w:pStyle w:val="Heading3"/>
      </w:pPr>
      <w:bookmarkStart w:id="204" w:name="_Toc206784546"/>
      <w:bookmarkStart w:id="205" w:name="_Toc208923402"/>
      <w:bookmarkStart w:id="206" w:name="_Toc211587021"/>
      <w:r>
        <w:t>Strategies used to retain staff</w:t>
      </w:r>
      <w:bookmarkEnd w:id="204"/>
      <w:bookmarkEnd w:id="205"/>
      <w:bookmarkEnd w:id="206"/>
    </w:p>
    <w:p w14:paraId="1F8F57F3" w14:textId="391A64B4" w:rsidR="00915192" w:rsidRPr="00B554AA" w:rsidRDefault="00915192" w:rsidP="00261E20">
      <w:pPr>
        <w:pStyle w:val="BodyText"/>
      </w:pPr>
      <w:r w:rsidRPr="00B554AA">
        <w:t>In response to retention challenges, nearly one-third of employers</w:t>
      </w:r>
      <w:r>
        <w:t xml:space="preserve"> with medium or high replacement rates</w:t>
      </w:r>
      <w:r w:rsidRPr="00B554AA">
        <w:t xml:space="preserve"> reported offering higher wages or other incentives to retain staff. Flexible or secure work arrangements </w:t>
      </w:r>
      <w:r>
        <w:t xml:space="preserve">(15%) </w:t>
      </w:r>
      <w:r w:rsidRPr="00B554AA">
        <w:t xml:space="preserve">and upskilling opportunities </w:t>
      </w:r>
      <w:r>
        <w:t xml:space="preserve">(13%) </w:t>
      </w:r>
      <w:r w:rsidRPr="00B554AA">
        <w:t>were also used, though to a lesser extent. Interestingly, more than a third of employers indicated that they were not using any specific strategies to retain staff. However, follow-up analysis revealed that some of these “nothing” responses could be reclassified under existing strategy categories, suggesting that informal or unrecognised efforts may still be in place.</w:t>
      </w:r>
    </w:p>
    <w:p w14:paraId="592DB634" w14:textId="022833CF" w:rsidR="00915192" w:rsidRDefault="00915192" w:rsidP="00261E20">
      <w:pPr>
        <w:pStyle w:val="BodyText"/>
      </w:pPr>
      <w:r w:rsidRPr="00B554AA">
        <w:t>Employers in Health Care and Social Assistance were the most proactive, using a combination of financial incentives, flexible</w:t>
      </w:r>
      <w:r>
        <w:t>/secure working</w:t>
      </w:r>
      <w:r w:rsidRPr="00B554AA">
        <w:t xml:space="preserve"> arrangements, and improvements to workplace culture. In contrast, employers in Accommodation and Food Services were less likely to offer higher wages, instead favouring staff discounts and flexible scheduling. By occupation, employers replacing Technicians and Trades Workers were most likely to offer financial incentives, while those replacing Community and Personal Service Workers leaned towards flexible arrangements</w:t>
      </w:r>
      <w:r>
        <w:t xml:space="preserve"> more so than employers replacing other occupations</w:t>
      </w:r>
      <w:r w:rsidRPr="00B554AA">
        <w:t>. Employers replacing Labourers were least likely to offer training.</w:t>
      </w:r>
      <w:r>
        <w:t xml:space="preserve"> </w:t>
      </w:r>
    </w:p>
    <w:p w14:paraId="49B3DA2F" w14:textId="5B582B25" w:rsidR="00915192" w:rsidRDefault="00915192" w:rsidP="00261E20">
      <w:pPr>
        <w:pStyle w:val="BodyText"/>
      </w:pPr>
      <w:r w:rsidRPr="003856BD">
        <w:t>Persistent staff turnover in key industries and occupations presents a barrier to workforce stability and productivity. High replacement rates</w:t>
      </w:r>
      <w:r>
        <w:t xml:space="preserve"> </w:t>
      </w:r>
      <w:r w:rsidRPr="003856BD">
        <w:t>are often driven by job competition, the nature of the work, and dissatisfaction with conditions. These dynamics impose costs on businesses through repeated recruitment and training and can undermine operational continuity. While some employers respond with targeted retention strategies such as wage increases</w:t>
      </w:r>
      <w:r>
        <w:t>/financial incentives</w:t>
      </w:r>
      <w:r w:rsidRPr="003856BD">
        <w:t xml:space="preserve"> or flexible arrangements, a significant proportion do not actively address the issue. These findings point to the need for more tailored </w:t>
      </w:r>
      <w:r w:rsidR="00397B06">
        <w:t>interventions from</w:t>
      </w:r>
      <w:r w:rsidR="005A3AF6">
        <w:t xml:space="preserve"> across the skill system</w:t>
      </w:r>
      <w:r w:rsidRPr="003856BD">
        <w:t xml:space="preserve"> that support retention in high-turnover sectors and promote sustainable employment practices.</w:t>
      </w:r>
    </w:p>
    <w:p w14:paraId="13C60921" w14:textId="77777777" w:rsidR="00915192" w:rsidRDefault="00915192" w:rsidP="00537382">
      <w:pPr>
        <w:pStyle w:val="Heading2"/>
      </w:pPr>
      <w:bookmarkStart w:id="207" w:name="_Toc206784548"/>
      <w:bookmarkStart w:id="208" w:name="_Toc208923403"/>
      <w:bookmarkStart w:id="209" w:name="_Toc211587022"/>
      <w:r>
        <w:t>The regional perspective – the picture across Australia</w:t>
      </w:r>
      <w:bookmarkEnd w:id="207"/>
      <w:bookmarkEnd w:id="208"/>
      <w:bookmarkEnd w:id="209"/>
    </w:p>
    <w:p w14:paraId="2F58F87A" w14:textId="607C04F5" w:rsidR="00915192" w:rsidRDefault="00915192" w:rsidP="00261E20">
      <w:pPr>
        <w:pStyle w:val="BodyText"/>
      </w:pPr>
      <w:r w:rsidRPr="001E4B96">
        <w:t xml:space="preserve">Australia’s labour market is shaped </w:t>
      </w:r>
      <w:r>
        <w:t>by both</w:t>
      </w:r>
      <w:r w:rsidRPr="001E4B96">
        <w:t xml:space="preserve"> national economic trends </w:t>
      </w:r>
      <w:r>
        <w:t xml:space="preserve">and </w:t>
      </w:r>
      <w:r w:rsidRPr="001E4B96">
        <w:t xml:space="preserve">the distinct characteristics and challenges of its diverse regions. </w:t>
      </w:r>
      <w:r w:rsidRPr="008D7426">
        <w:t>Each</w:t>
      </w:r>
      <w:r>
        <w:t xml:space="preserve"> Australian </w:t>
      </w:r>
      <w:r w:rsidRPr="008D7426">
        <w:t>region faces a distinct combination of structural, demographic, and economic factors that shape patterns of workforce participation</w:t>
      </w:r>
      <w:r w:rsidRPr="00915192">
        <w:t xml:space="preserve">. </w:t>
      </w:r>
      <w:r w:rsidRPr="001E4B96">
        <w:t>These regional differences can give rise to specific labour market frictions</w:t>
      </w:r>
      <w:r w:rsidR="00C04D76">
        <w:t>,</w:t>
      </w:r>
      <w:r>
        <w:t xml:space="preserve"> </w:t>
      </w:r>
      <w:r w:rsidRPr="001E4B96">
        <w:t>that are not always visible in national-level data</w:t>
      </w:r>
      <w:r>
        <w:t xml:space="preserve">, </w:t>
      </w:r>
      <w:r w:rsidRPr="001E4B96">
        <w:t>such as skills mismatches, limited job availability, or barriers to mobility</w:t>
      </w:r>
      <w:r>
        <w:t xml:space="preserve">. </w:t>
      </w:r>
      <w:r w:rsidR="00AC6C1B">
        <w:t xml:space="preserve">However, </w:t>
      </w:r>
      <w:r w:rsidR="000D7275">
        <w:t xml:space="preserve">these current frictions also offer opportunities to significantly improve </w:t>
      </w:r>
      <w:r w:rsidR="00AF68F0">
        <w:t>regional labour market outcomes into the future.</w:t>
      </w:r>
    </w:p>
    <w:p w14:paraId="034130B9" w14:textId="32BEDE13" w:rsidR="00915192" w:rsidRPr="00C711CA" w:rsidRDefault="00915192" w:rsidP="00261E20">
      <w:pPr>
        <w:pStyle w:val="BodyText"/>
      </w:pPr>
      <w:r w:rsidRPr="008D7426">
        <w:t xml:space="preserve">Understanding regional labour market dynamics is crucial for developing effective, inclusive, and sustainable employment interventions. By identifying where and why barriers persist, governments can </w:t>
      </w:r>
      <w:r w:rsidR="00944348">
        <w:t>more effectively</w:t>
      </w:r>
      <w:r w:rsidR="00944348" w:rsidRPr="008D7426">
        <w:t xml:space="preserve"> </w:t>
      </w:r>
      <w:r w:rsidRPr="008D7426">
        <w:t>target interventions, including through improved access to education and training, addressing infrastructure and housing constraints, or supporting key local industries.</w:t>
      </w:r>
    </w:p>
    <w:p w14:paraId="76F6D8DC" w14:textId="3F8986E7" w:rsidR="00915192" w:rsidRDefault="00915192" w:rsidP="00537382">
      <w:pPr>
        <w:pStyle w:val="Heading3"/>
      </w:pPr>
      <w:bookmarkStart w:id="210" w:name="_Toc206784549"/>
      <w:bookmarkStart w:id="211" w:name="_Toc208923404"/>
      <w:bookmarkStart w:id="212" w:name="_Toc211587023"/>
      <w:r w:rsidRPr="00030652">
        <w:t xml:space="preserve">Roadmap for </w:t>
      </w:r>
      <w:r w:rsidR="00AA4414">
        <w:t>R</w:t>
      </w:r>
      <w:r w:rsidRPr="00030652">
        <w:t>egional Australia</w:t>
      </w:r>
      <w:bookmarkEnd w:id="210"/>
      <w:bookmarkEnd w:id="211"/>
      <w:bookmarkEnd w:id="212"/>
    </w:p>
    <w:p w14:paraId="76EA5DD7" w14:textId="5E6809FB" w:rsidR="00915192" w:rsidRDefault="00915192" w:rsidP="00261E20">
      <w:pPr>
        <w:pStyle w:val="BodyText"/>
      </w:pPr>
      <w:r>
        <w:t>Regional Australia plays a pivotal role in shaping Australia’s economic and social landscape, with around a third of all Australians calling it home. It also takes up two thirds of employment in key sectors such as agriculture, mining, tourism and renewable energy. Recognising its significance, JSA placed a renewed focus on regional opportunities and challenges in our 2024</w:t>
      </w:r>
      <w:r w:rsidR="003512FC">
        <w:t>–‍</w:t>
      </w:r>
      <w:r>
        <w:t xml:space="preserve">25 Workplan, leading to the development of the </w:t>
      </w:r>
      <w:r w:rsidRPr="00ED4661">
        <w:rPr>
          <w:rStyle w:val="Characteritalic"/>
        </w:rPr>
        <w:t>Jobs and Skills Roadmap for Regional Australia</w:t>
      </w:r>
      <w:r>
        <w:t xml:space="preserve">. This strategic long-term framework outlines a bold and inclusive vision to enhance equity, effectiveness and efficiency across the regional jobs and skills system – now and into the future. </w:t>
      </w:r>
    </w:p>
    <w:p w14:paraId="181F03DC" w14:textId="15289FF7" w:rsidR="00915192" w:rsidRDefault="00915192" w:rsidP="00261E20">
      <w:pPr>
        <w:pStyle w:val="BodyText"/>
      </w:pPr>
      <w:r>
        <w:t xml:space="preserve">In July this year, JSA released phase 1 of the roadmap, which is designed to empower stakeholders to work collaboratively, be adaptable to the diverse needs of communities, and outline a national framework and vision for a more effective and responsive jobs and skills system. Phase 1 of the roadmap sets out the current state of the jobs and skills system in </w:t>
      </w:r>
      <w:r w:rsidR="008F1535">
        <w:t>R</w:t>
      </w:r>
      <w:r>
        <w:t xml:space="preserve">egional Australia and identifies common challenges and barriers that hinder workforce participation, skill development and productivity in regional areas.  </w:t>
      </w:r>
    </w:p>
    <w:p w14:paraId="78E3C10C" w14:textId="463974AA" w:rsidR="00915192" w:rsidRDefault="00915192" w:rsidP="00915192">
      <w:r>
        <w:t xml:space="preserve">The framework and vision for </w:t>
      </w:r>
      <w:r w:rsidR="008F1535">
        <w:t>R</w:t>
      </w:r>
      <w:r>
        <w:t>egional Australia is built around five guiding principles:</w:t>
      </w:r>
    </w:p>
    <w:p w14:paraId="5471D70E" w14:textId="3AB0A341" w:rsidR="00915192" w:rsidRPr="00915192" w:rsidRDefault="00915192" w:rsidP="00FF08E7">
      <w:pPr>
        <w:pStyle w:val="ListBullet"/>
      </w:pPr>
      <w:r>
        <w:t xml:space="preserve">Addressing barriers: People with barriers in </w:t>
      </w:r>
      <w:r w:rsidR="008F1535">
        <w:t>R</w:t>
      </w:r>
      <w:r>
        <w:t>egional Australia receive timely high-quality support to move towards participating in education, training and employment.</w:t>
      </w:r>
    </w:p>
    <w:p w14:paraId="2E540AEE" w14:textId="60C666FE" w:rsidR="00915192" w:rsidRPr="00915192" w:rsidRDefault="00915192" w:rsidP="00FF08E7">
      <w:pPr>
        <w:pStyle w:val="ListBullet"/>
      </w:pPr>
      <w:r>
        <w:t xml:space="preserve">Developing skills: Everyone in </w:t>
      </w:r>
      <w:r w:rsidR="00146E6B">
        <w:t>R</w:t>
      </w:r>
      <w:r>
        <w:t>egional Australia is supported to efficiently develop skills that enable them to meaningfully contribute to community, economy and culture.</w:t>
      </w:r>
    </w:p>
    <w:p w14:paraId="693413F1" w14:textId="1C35EA48" w:rsidR="00915192" w:rsidRPr="00915192" w:rsidRDefault="00915192" w:rsidP="00FF08E7">
      <w:pPr>
        <w:pStyle w:val="ListBullet"/>
      </w:pPr>
      <w:r>
        <w:t xml:space="preserve">Quality jobs: Everyone employed in </w:t>
      </w:r>
      <w:r w:rsidR="00146E6B">
        <w:t>R</w:t>
      </w:r>
      <w:r>
        <w:t>egional Australia can work in a quality job that is safe, fair, rewarding and satisfying.</w:t>
      </w:r>
    </w:p>
    <w:p w14:paraId="0DEDE955" w14:textId="77777777" w:rsidR="00915192" w:rsidRPr="00915192" w:rsidRDefault="00915192" w:rsidP="00FF08E7">
      <w:pPr>
        <w:pStyle w:val="ListBullet"/>
      </w:pPr>
      <w:r>
        <w:t>Meeting demand: Regional Australia and its employers can access, attract and develop sufficient suitable labour, including as skills needs change.</w:t>
      </w:r>
    </w:p>
    <w:p w14:paraId="7B1D211D" w14:textId="4BE938E2" w:rsidR="00915192" w:rsidRPr="00915192" w:rsidRDefault="00915192" w:rsidP="00FF08E7">
      <w:pPr>
        <w:pStyle w:val="ListBullet"/>
      </w:pPr>
      <w:r>
        <w:t xml:space="preserve">Efficient matching of labour supply and demand: The labour market in </w:t>
      </w:r>
      <w:r w:rsidR="00DF2F1A">
        <w:t>R</w:t>
      </w:r>
      <w:r>
        <w:t>egional Australia efficiently matches labour demand with labour supply.</w:t>
      </w:r>
    </w:p>
    <w:p w14:paraId="4F82713B" w14:textId="5DC08254" w:rsidR="00915192" w:rsidRDefault="00915192" w:rsidP="002E6277">
      <w:pPr>
        <w:pStyle w:val="Heading4"/>
      </w:pPr>
      <w:r w:rsidRPr="00915192">
        <w:t xml:space="preserve">Living and working in </w:t>
      </w:r>
      <w:r w:rsidR="00146E6B">
        <w:t>R</w:t>
      </w:r>
      <w:r w:rsidRPr="00915192">
        <w:t xml:space="preserve">egional Australia </w:t>
      </w:r>
    </w:p>
    <w:p w14:paraId="5A3ECE15" w14:textId="77D38E27" w:rsidR="00915192" w:rsidRDefault="00915192" w:rsidP="00FF08E7">
      <w:pPr>
        <w:pStyle w:val="BodyText"/>
      </w:pPr>
      <w:r w:rsidRPr="00915192">
        <w:t>Regional Australia offers a wide range of strengths and attractions, presenting a compelling case for those considering work and life outside of Australia’s major cities</w:t>
      </w:r>
      <w:r>
        <w:t xml:space="preserve"> (</w:t>
      </w:r>
      <w:r>
        <w:fldChar w:fldCharType="begin"/>
      </w:r>
      <w:r>
        <w:instrText xml:space="preserve"> REF _Ref207616373 </w:instrText>
      </w:r>
      <w:r w:rsidR="00FF08E7">
        <w:instrText xml:space="preserve"> \* MERGEFORMAT </w:instrText>
      </w:r>
      <w:r>
        <w:fldChar w:fldCharType="separate"/>
      </w:r>
      <w:r w:rsidR="009E6E1D">
        <w:t xml:space="preserve">Figure </w:t>
      </w:r>
      <w:r w:rsidR="009E6E1D">
        <w:rPr>
          <w:noProof/>
        </w:rPr>
        <w:t>27</w:t>
      </w:r>
      <w:r>
        <w:fldChar w:fldCharType="end"/>
      </w:r>
      <w:r>
        <w:t xml:space="preserve">). Those in </w:t>
      </w:r>
      <w:r w:rsidR="00146E6B">
        <w:t>R</w:t>
      </w:r>
      <w:r>
        <w:t xml:space="preserve">egional Australia can experience opportunities for </w:t>
      </w:r>
      <w:r w:rsidRPr="00CF7085">
        <w:t>stronger community ties, better work-life balance, lower job competition, and unique career opportunities in sectors like mining, energy, and agriculture. They also report higher levels of wellbeing</w:t>
      </w:r>
      <w:r>
        <w:t xml:space="preserve"> – </w:t>
      </w:r>
      <w:r w:rsidRPr="008D7426">
        <w:t>linked to lower stress, cost of living, and a greater sense of community. Job satisfaction remains consistently higher in regional areas than in major cities, likely reflecting the flexibility offered by remote and hybrid work arrangements.</w:t>
      </w:r>
    </w:p>
    <w:p w14:paraId="3674D9D1" w14:textId="0ED59725" w:rsidR="00915192" w:rsidRDefault="00915192" w:rsidP="00915192">
      <w:pPr>
        <w:pStyle w:val="Caption"/>
      </w:pPr>
      <w:bookmarkStart w:id="213" w:name="_Ref207616373"/>
      <w:bookmarkStart w:id="214" w:name="_Toc207899205"/>
      <w:bookmarkStart w:id="215" w:name="_Toc211604176"/>
      <w:r>
        <w:t xml:space="preserve">Figure </w:t>
      </w:r>
      <w:r w:rsidRPr="00915192">
        <w:fldChar w:fldCharType="begin"/>
      </w:r>
      <w:r w:rsidRPr="00915192">
        <w:instrText xml:space="preserve"> SEQ Figure \* ARABIC </w:instrText>
      </w:r>
      <w:r w:rsidRPr="00915192">
        <w:fldChar w:fldCharType="separate"/>
      </w:r>
      <w:r w:rsidR="009E6E1D">
        <w:rPr>
          <w:noProof/>
        </w:rPr>
        <w:t>27</w:t>
      </w:r>
      <w:r w:rsidRPr="00915192">
        <w:fldChar w:fldCharType="end"/>
      </w:r>
      <w:bookmarkEnd w:id="213"/>
      <w:r w:rsidRPr="00915192">
        <w:t xml:space="preserve">: Strengths and attractions of </w:t>
      </w:r>
      <w:r w:rsidR="00146E6B">
        <w:t>R</w:t>
      </w:r>
      <w:r w:rsidRPr="00915192">
        <w:t>egional Australia</w:t>
      </w:r>
      <w:bookmarkEnd w:id="214"/>
      <w:bookmarkEnd w:id="215"/>
    </w:p>
    <w:p w14:paraId="0FADAFC8" w14:textId="52E31FC8" w:rsidR="006A5DD3" w:rsidRPr="00EC39A9" w:rsidRDefault="00EC39A9" w:rsidP="006A5DD3">
      <w:pPr>
        <w:pStyle w:val="BodyText"/>
        <w:rPr>
          <w:color w:val="FFFFFF" w:themeColor="background1"/>
        </w:rPr>
      </w:pPr>
      <w:r w:rsidRPr="00915192">
        <w:rPr>
          <w:noProof/>
        </w:rPr>
        <w:drawing>
          <wp:anchor distT="0" distB="0" distL="114300" distR="114300" simplePos="0" relativeHeight="251667456" behindDoc="0" locked="0" layoutInCell="1" allowOverlap="1" wp14:anchorId="4A439A75" wp14:editId="03C8F856">
            <wp:simplePos x="0" y="0"/>
            <wp:positionH relativeFrom="margin">
              <wp:align>left</wp:align>
            </wp:positionH>
            <wp:positionV relativeFrom="paragraph">
              <wp:posOffset>53672</wp:posOffset>
            </wp:positionV>
            <wp:extent cx="5946775" cy="3790315"/>
            <wp:effectExtent l="0" t="0" r="0" b="635"/>
            <wp:wrapNone/>
            <wp:docPr id="47134717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347176" name="Picture 1">
                      <a:extLst>
                        <a:ext uri="{C183D7F6-B498-43B3-948B-1728B52AA6E4}">
                          <adec:decorative xmlns:adec="http://schemas.microsoft.com/office/drawing/2017/decorative" val="1"/>
                        </a:ext>
                      </a:extLst>
                    </pic:cNvPr>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46775" cy="3790315"/>
                    </a:xfrm>
                    <a:prstGeom prst="rect">
                      <a:avLst/>
                    </a:prstGeom>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C39A9">
        <w:rPr>
          <w:color w:val="FFFFFF" w:themeColor="background1"/>
        </w:rPr>
        <w:t>Graphic listing the strengths and attractions of Regional Australia:</w:t>
      </w:r>
    </w:p>
    <w:p w14:paraId="0A97697D" w14:textId="69399D92" w:rsidR="006A5DD3" w:rsidRPr="00EC39A9" w:rsidRDefault="006A5DD3" w:rsidP="006A5DD3">
      <w:pPr>
        <w:pStyle w:val="ListParagraph"/>
        <w:numPr>
          <w:ilvl w:val="0"/>
          <w:numId w:val="75"/>
        </w:numPr>
        <w:spacing w:after="160" w:line="259" w:lineRule="auto"/>
        <w:rPr>
          <w:color w:val="FFFFFF" w:themeColor="background1"/>
        </w:rPr>
      </w:pPr>
      <w:r w:rsidRPr="00EC39A9">
        <w:rPr>
          <w:color w:val="FFFFFF" w:themeColor="background1"/>
        </w:rPr>
        <w:t>Important cultural significance</w:t>
      </w:r>
    </w:p>
    <w:p w14:paraId="6DB69143" w14:textId="743A4C5F" w:rsidR="006A5DD3" w:rsidRPr="00EC39A9" w:rsidRDefault="006A5DD3" w:rsidP="006A5DD3">
      <w:pPr>
        <w:pStyle w:val="ListParagraph"/>
        <w:numPr>
          <w:ilvl w:val="0"/>
          <w:numId w:val="75"/>
        </w:numPr>
        <w:spacing w:after="160" w:line="259" w:lineRule="auto"/>
        <w:rPr>
          <w:color w:val="FFFFFF" w:themeColor="background1"/>
        </w:rPr>
      </w:pPr>
      <w:r w:rsidRPr="00EC39A9">
        <w:rPr>
          <w:color w:val="FFFFFF" w:themeColor="background1"/>
        </w:rPr>
        <w:t>Local ingenuity and innovation</w:t>
      </w:r>
    </w:p>
    <w:p w14:paraId="0FEFA1AB" w14:textId="50BE1D6C" w:rsidR="006A5DD3" w:rsidRPr="00EC39A9" w:rsidRDefault="006A5DD3" w:rsidP="006A5DD3">
      <w:pPr>
        <w:pStyle w:val="ListParagraph"/>
        <w:numPr>
          <w:ilvl w:val="0"/>
          <w:numId w:val="75"/>
        </w:numPr>
        <w:spacing w:after="160" w:line="259" w:lineRule="auto"/>
        <w:rPr>
          <w:color w:val="FFFFFF" w:themeColor="background1"/>
        </w:rPr>
      </w:pPr>
      <w:r w:rsidRPr="00EC39A9">
        <w:rPr>
          <w:color w:val="FFFFFF" w:themeColor="background1"/>
        </w:rPr>
        <w:t>Opportunities for stronger community connection</w:t>
      </w:r>
    </w:p>
    <w:p w14:paraId="7719C701" w14:textId="11F28C9F" w:rsidR="006A5DD3" w:rsidRPr="00EC39A9" w:rsidRDefault="006A5DD3" w:rsidP="006A5DD3">
      <w:pPr>
        <w:pStyle w:val="ListParagraph"/>
        <w:numPr>
          <w:ilvl w:val="0"/>
          <w:numId w:val="75"/>
        </w:numPr>
        <w:spacing w:after="160" w:line="259" w:lineRule="auto"/>
        <w:rPr>
          <w:color w:val="FFFFFF" w:themeColor="background1"/>
        </w:rPr>
      </w:pPr>
      <w:r w:rsidRPr="00EC39A9">
        <w:rPr>
          <w:color w:val="FFFFFF" w:themeColor="background1"/>
        </w:rPr>
        <w:t>Lifestyle and work-life balance</w:t>
      </w:r>
    </w:p>
    <w:p w14:paraId="32F45FCF" w14:textId="3BF9A87D" w:rsidR="006A5DD3" w:rsidRPr="00EC39A9" w:rsidRDefault="006A5DD3" w:rsidP="006A5DD3">
      <w:pPr>
        <w:pStyle w:val="ListParagraph"/>
        <w:numPr>
          <w:ilvl w:val="0"/>
          <w:numId w:val="75"/>
        </w:numPr>
        <w:spacing w:after="160" w:line="259" w:lineRule="auto"/>
        <w:rPr>
          <w:color w:val="FFFFFF" w:themeColor="background1"/>
        </w:rPr>
      </w:pPr>
      <w:r w:rsidRPr="00EC39A9">
        <w:rPr>
          <w:color w:val="FFFFFF" w:themeColor="background1"/>
        </w:rPr>
        <w:t>Lower competition for jobs, leading to better utilisation of skills and higher job satisfaction</w:t>
      </w:r>
    </w:p>
    <w:p w14:paraId="640C5825" w14:textId="6A20ADCA" w:rsidR="006A5DD3" w:rsidRPr="00EC39A9" w:rsidRDefault="006A5DD3" w:rsidP="006A5DD3">
      <w:pPr>
        <w:pStyle w:val="ListParagraph"/>
        <w:numPr>
          <w:ilvl w:val="0"/>
          <w:numId w:val="75"/>
        </w:numPr>
        <w:spacing w:after="160" w:line="259" w:lineRule="auto"/>
        <w:rPr>
          <w:color w:val="FFFFFF" w:themeColor="background1"/>
        </w:rPr>
      </w:pPr>
      <w:r w:rsidRPr="00EC39A9">
        <w:rPr>
          <w:color w:val="FFFFFF" w:themeColor="background1"/>
        </w:rPr>
        <w:t>Broadening work opportunities due to hybrid and remote work</w:t>
      </w:r>
    </w:p>
    <w:p w14:paraId="489E7C60" w14:textId="696CE0B1" w:rsidR="006A5DD3" w:rsidRPr="00EC39A9" w:rsidRDefault="006A5DD3" w:rsidP="006A5DD3">
      <w:pPr>
        <w:pStyle w:val="ListParagraph"/>
        <w:numPr>
          <w:ilvl w:val="0"/>
          <w:numId w:val="75"/>
        </w:numPr>
        <w:spacing w:after="160" w:line="259" w:lineRule="auto"/>
        <w:rPr>
          <w:color w:val="FFFFFF" w:themeColor="background1"/>
        </w:rPr>
      </w:pPr>
      <w:r w:rsidRPr="00EC39A9">
        <w:rPr>
          <w:color w:val="FFFFFF" w:themeColor="background1"/>
        </w:rPr>
        <w:t>Natural beauty – across land, water and sea</w:t>
      </w:r>
    </w:p>
    <w:p w14:paraId="03164F29" w14:textId="0FCC0E9A" w:rsidR="006A5DD3" w:rsidRPr="00EC39A9" w:rsidRDefault="006A5DD3" w:rsidP="006A5DD3">
      <w:pPr>
        <w:pStyle w:val="ListParagraph"/>
        <w:numPr>
          <w:ilvl w:val="0"/>
          <w:numId w:val="75"/>
        </w:numPr>
        <w:spacing w:after="160" w:line="259" w:lineRule="auto"/>
        <w:rPr>
          <w:color w:val="FFFFFF" w:themeColor="background1"/>
        </w:rPr>
      </w:pPr>
      <w:r w:rsidRPr="00EC39A9">
        <w:rPr>
          <w:color w:val="FFFFFF" w:themeColor="background1"/>
        </w:rPr>
        <w:t>Potentially more affordable property compared to some Major City areas</w:t>
      </w:r>
    </w:p>
    <w:p w14:paraId="09E79B09" w14:textId="662EB6BB" w:rsidR="006A5DD3" w:rsidRPr="00EC39A9" w:rsidRDefault="006A5DD3" w:rsidP="006A5DD3">
      <w:pPr>
        <w:pStyle w:val="ListParagraph"/>
        <w:numPr>
          <w:ilvl w:val="0"/>
          <w:numId w:val="75"/>
        </w:numPr>
        <w:spacing w:after="160" w:line="259" w:lineRule="auto"/>
        <w:rPr>
          <w:color w:val="FFFFFF" w:themeColor="background1"/>
        </w:rPr>
      </w:pPr>
      <w:r w:rsidRPr="00EC39A9">
        <w:rPr>
          <w:color w:val="FFFFFF" w:themeColor="background1"/>
        </w:rPr>
        <w:t>Unique career opportunities – including across mining, agriculture and energy</w:t>
      </w:r>
    </w:p>
    <w:p w14:paraId="15335229" w14:textId="2BF33BAD" w:rsidR="006A5DD3" w:rsidRPr="00EC39A9" w:rsidRDefault="006A5DD3" w:rsidP="006A5DD3">
      <w:pPr>
        <w:pStyle w:val="ListParagraph"/>
        <w:numPr>
          <w:ilvl w:val="0"/>
          <w:numId w:val="75"/>
        </w:numPr>
        <w:spacing w:after="160" w:line="259" w:lineRule="auto"/>
        <w:rPr>
          <w:color w:val="FFFFFF" w:themeColor="background1"/>
        </w:rPr>
      </w:pPr>
      <w:r w:rsidRPr="00EC39A9">
        <w:rPr>
          <w:color w:val="FFFFFF" w:themeColor="background1"/>
        </w:rPr>
        <w:t>Important cultural significance</w:t>
      </w:r>
    </w:p>
    <w:p w14:paraId="3BD4E6C4" w14:textId="0E368107" w:rsidR="00915192" w:rsidRPr="00840EB8" w:rsidRDefault="00915192" w:rsidP="00840EB8">
      <w:pPr>
        <w:spacing w:after="2280"/>
      </w:pPr>
    </w:p>
    <w:p w14:paraId="71A5BDC0" w14:textId="74F8765E" w:rsidR="00915192" w:rsidRDefault="00915192" w:rsidP="00EA5E5C">
      <w:pPr>
        <w:pStyle w:val="Source"/>
      </w:pPr>
      <w:r>
        <w:t xml:space="preserve">Source: </w:t>
      </w:r>
      <w:r w:rsidR="007D78EC">
        <w:t>JSA</w:t>
      </w:r>
      <w:r>
        <w:t>, Jobs and Skills Roadmap for Regional Australia – Phase 1</w:t>
      </w:r>
      <w:r w:rsidR="00A50565">
        <w:t>.</w:t>
      </w:r>
    </w:p>
    <w:p w14:paraId="7E6D52B3" w14:textId="43B8E649" w:rsidR="00915192" w:rsidRPr="007B50DC" w:rsidRDefault="00915192" w:rsidP="00FF08E7">
      <w:pPr>
        <w:pStyle w:val="Heading4"/>
      </w:pPr>
      <w:r>
        <w:t>Emerging t</w:t>
      </w:r>
      <w:r w:rsidRPr="007B50DC">
        <w:t>rends</w:t>
      </w:r>
      <w:r>
        <w:t xml:space="preserve"> shaping work and life in </w:t>
      </w:r>
      <w:r w:rsidR="00146E6B">
        <w:t>R</w:t>
      </w:r>
      <w:r>
        <w:t>egional Australia</w:t>
      </w:r>
    </w:p>
    <w:p w14:paraId="430AA938" w14:textId="029D87FE" w:rsidR="00915192" w:rsidRDefault="00915192" w:rsidP="00FF08E7">
      <w:pPr>
        <w:pStyle w:val="BodyText"/>
      </w:pPr>
      <w:r>
        <w:t xml:space="preserve">Several key trends are shaping the future of work and life in </w:t>
      </w:r>
      <w:r w:rsidR="00146E6B">
        <w:t>R</w:t>
      </w:r>
      <w:r>
        <w:t xml:space="preserve">egional Australia, presenting both opportunities and challenges. </w:t>
      </w:r>
    </w:p>
    <w:p w14:paraId="0B0A9D7E" w14:textId="3B848ED0" w:rsidR="00915192" w:rsidRDefault="00915192" w:rsidP="00915192">
      <w:pPr>
        <w:pStyle w:val="Heading5"/>
      </w:pPr>
      <w:r>
        <w:t>Population and demographic change</w:t>
      </w:r>
    </w:p>
    <w:p w14:paraId="31489D93" w14:textId="32FBD180" w:rsidR="00915192" w:rsidRDefault="00915192" w:rsidP="00FF08E7">
      <w:pPr>
        <w:pStyle w:val="BodyText"/>
      </w:pPr>
      <w:r>
        <w:t>Coastal areas are experiencing significant population growth</w:t>
      </w:r>
      <w:r w:rsidRPr="009119A6">
        <w:t xml:space="preserve"> </w:t>
      </w:r>
      <w:r>
        <w:t xml:space="preserve">driven by strong net internal migration. While this may help address labour supply issues, it can exacerbate these issues if people’s skills are not well </w:t>
      </w:r>
      <w:r w:rsidR="00662A69">
        <w:t>aligned with the requirements of</w:t>
      </w:r>
      <w:r>
        <w:t xml:space="preserve"> available jobs. It also risks straining infrastructure and services that cannot keep up with the population increase. </w:t>
      </w:r>
    </w:p>
    <w:p w14:paraId="49D1F016" w14:textId="19296BDA" w:rsidR="00915192" w:rsidRDefault="00915192" w:rsidP="00FF08E7">
      <w:pPr>
        <w:pStyle w:val="BodyText"/>
      </w:pPr>
      <w:r>
        <w:t xml:space="preserve">Regional Australia also mirrors the national and global trend of an ageing population, with declining fertility rates and a shrinking working-age </w:t>
      </w:r>
      <w:r w:rsidR="008827CB">
        <w:t>cohort</w:t>
      </w:r>
      <w:r>
        <w:t>. The Australian working age population</w:t>
      </w:r>
      <w:r w:rsidR="00297C11">
        <w:t xml:space="preserve"> (aged 15-6</w:t>
      </w:r>
      <w:r w:rsidR="00DE170C">
        <w:t>4</w:t>
      </w:r>
      <w:r w:rsidR="00297C11">
        <w:t>)</w:t>
      </w:r>
      <w:r>
        <w:t xml:space="preserve"> as a share of the total population is expected to fall from 65% to 61% over the 40 years from 2023</w:t>
      </w:r>
      <w:r w:rsidR="00D4321F">
        <w:t xml:space="preserve"> to</w:t>
      </w:r>
      <w:r w:rsidR="008B1A32">
        <w:t xml:space="preserve"> </w:t>
      </w:r>
      <w:r>
        <w:t xml:space="preserve">2063, with the share of the population aged 65 and over predicted to increase from 17% to 23% in the same period </w:t>
      </w:r>
      <w:sdt>
        <w:sdtPr>
          <w:id w:val="505874019"/>
          <w:citation/>
        </w:sdtPr>
        <w:sdtContent>
          <w:r w:rsidR="00D11F5B">
            <w:fldChar w:fldCharType="begin"/>
          </w:r>
          <w:r w:rsidR="00D11F5B">
            <w:instrText xml:space="preserve"> CITATION Tre23 \l 3081 </w:instrText>
          </w:r>
          <w:r w:rsidR="00D11F5B">
            <w:fldChar w:fldCharType="separate"/>
          </w:r>
          <w:r w:rsidR="00D52996">
            <w:rPr>
              <w:noProof/>
            </w:rPr>
            <w:t>(Treasury, 2023)</w:t>
          </w:r>
          <w:r w:rsidR="00D11F5B">
            <w:fldChar w:fldCharType="end"/>
          </w:r>
        </w:sdtContent>
      </w:sdt>
      <w:r>
        <w:t>. As at March 2025, the proportion of the population aged over 65 was 19% in major cities compared to 28% in regional areas</w:t>
      </w:r>
      <w:r w:rsidR="00B02852">
        <w:rPr>
          <w:rStyle w:val="FootnoteReference"/>
        </w:rPr>
        <w:footnoteReference w:id="9"/>
      </w:r>
      <w:r>
        <w:t>. Although participation among prime-age workers (25-54 years) is improving in regional areas, it</w:t>
      </w:r>
      <w:r w:rsidR="009D4362">
        <w:t xml:space="preserve"> is</w:t>
      </w:r>
      <w:r>
        <w:t xml:space="preserve"> still </w:t>
      </w:r>
      <w:r w:rsidR="009D4362">
        <w:t>lower than</w:t>
      </w:r>
      <w:r>
        <w:t xml:space="preserve"> major cities</w:t>
      </w:r>
      <w:r w:rsidR="00475711">
        <w:rPr>
          <w:rStyle w:val="FootnoteReference"/>
        </w:rPr>
        <w:footnoteReference w:id="10"/>
      </w:r>
      <w:r>
        <w:t xml:space="preserve">. </w:t>
      </w:r>
    </w:p>
    <w:p w14:paraId="15F4541C" w14:textId="77777777" w:rsidR="00915192" w:rsidRDefault="00915192" w:rsidP="00915192">
      <w:pPr>
        <w:pStyle w:val="Heading5"/>
      </w:pPr>
      <w:r>
        <w:t>Barriers to participation in the jobs and skills system</w:t>
      </w:r>
    </w:p>
    <w:p w14:paraId="594B8106" w14:textId="590C96A7" w:rsidR="00915192" w:rsidRDefault="00915192" w:rsidP="00FF08E7">
      <w:pPr>
        <w:pStyle w:val="BodyText"/>
      </w:pPr>
      <w:r>
        <w:t xml:space="preserve">For many individuals, gaining and sustaining employment is challenging due to the prevalence of barriers that hinder their ability to participate in the jobs and skills system. This is the case for people living in </w:t>
      </w:r>
      <w:r w:rsidR="00C127A7">
        <w:t>R</w:t>
      </w:r>
      <w:r w:rsidR="00B21A30">
        <w:t xml:space="preserve">egional </w:t>
      </w:r>
      <w:r>
        <w:t>Australia, particularly those from priority equity groups, with around 1 in 6 young people not in any form of employment, education or training</w:t>
      </w:r>
      <w:r w:rsidR="009303A5">
        <w:t>.</w:t>
      </w:r>
      <w:r>
        <w:t xml:space="preserve"> Furthermore, i</w:t>
      </w:r>
      <w:r w:rsidRPr="0087103D">
        <w:t>ndividuals with long-term health conditions, First Nations people, and single parents experience significantly lower workforce participation rates compared to the overall regional participation</w:t>
      </w:r>
      <w:r>
        <w:t>.</w:t>
      </w:r>
    </w:p>
    <w:p w14:paraId="40A1AEA1" w14:textId="3E3221B0" w:rsidR="00915192" w:rsidRPr="00915192" w:rsidRDefault="00915192" w:rsidP="00FF08E7">
      <w:pPr>
        <w:pStyle w:val="BodyText"/>
      </w:pPr>
      <w:r w:rsidRPr="005341D0">
        <w:t>The barriers behind reduced participation in employment, education or training (including non</w:t>
      </w:r>
      <w:r w:rsidR="000568AE">
        <w:noBreakHyphen/>
      </w:r>
      <w:r w:rsidRPr="005341D0">
        <w:t>participation) for those that want to work more can vary and are often interconnected.</w:t>
      </w:r>
      <w:r w:rsidRPr="00915192">
        <w:t xml:space="preserve"> They may include financial barriers, lack of digital connectivity, lack of access to childcare, transport barriers, lack of affordable housing, low </w:t>
      </w:r>
      <w:r w:rsidR="000642A6">
        <w:t xml:space="preserve">levels of </w:t>
      </w:r>
      <w:r w:rsidRPr="00915192">
        <w:t xml:space="preserve">foundation skills, as well as disability or health issues. </w:t>
      </w:r>
    </w:p>
    <w:p w14:paraId="15B51C19" w14:textId="2F9B2657" w:rsidR="00915192" w:rsidRDefault="00915192" w:rsidP="00FF08E7">
      <w:pPr>
        <w:pStyle w:val="BodyText"/>
      </w:pPr>
      <w:r>
        <w:t xml:space="preserve">In </w:t>
      </w:r>
      <w:r w:rsidR="00C127A7">
        <w:t>R</w:t>
      </w:r>
      <w:r w:rsidR="00BD612B">
        <w:t>egional</w:t>
      </w:r>
      <w:r>
        <w:t xml:space="preserve"> Australia, school non-attendance rates </w:t>
      </w:r>
      <w:r w:rsidR="005B16B4">
        <w:t xml:space="preserve">have </w:t>
      </w:r>
      <w:r>
        <w:t xml:space="preserve">consistently </w:t>
      </w:r>
      <w:r w:rsidR="00A87BD5">
        <w:t>been higher than</w:t>
      </w:r>
      <w:r>
        <w:t xml:space="preserve"> the rate</w:t>
      </w:r>
      <w:r w:rsidR="00A87BD5">
        <w:t>s</w:t>
      </w:r>
      <w:r>
        <w:t xml:space="preserve"> recorded in Major Cities and remain well above their pre-COVID levels</w:t>
      </w:r>
      <w:r w:rsidR="00A87BD5">
        <w:t xml:space="preserve"> (</w:t>
      </w:r>
      <w:r w:rsidR="00A87BD5">
        <w:fldChar w:fldCharType="begin"/>
      </w:r>
      <w:r w:rsidR="00A87BD5">
        <w:instrText xml:space="preserve"> REF _Ref210816376 \h </w:instrText>
      </w:r>
      <w:r w:rsidR="00A87BD5">
        <w:fldChar w:fldCharType="separate"/>
      </w:r>
      <w:r w:rsidR="009E6E1D">
        <w:t xml:space="preserve">Figure </w:t>
      </w:r>
      <w:r w:rsidR="009E6E1D">
        <w:rPr>
          <w:noProof/>
        </w:rPr>
        <w:t>28</w:t>
      </w:r>
      <w:r w:rsidR="00A87BD5">
        <w:fldChar w:fldCharType="end"/>
      </w:r>
      <w:r w:rsidR="00A87BD5">
        <w:t>)</w:t>
      </w:r>
      <w:r>
        <w:t>. This may reflect the incidence of key emerging barriers due to the disruptions to schooling caused by COVID (</w:t>
      </w:r>
      <w:r w:rsidR="00A87BD5">
        <w:t>and</w:t>
      </w:r>
      <w:r>
        <w:t xml:space="preserve"> other factors in those years, such as natural disasters in certain regions), as well as other factors that may be hindering participation in school. </w:t>
      </w:r>
    </w:p>
    <w:p w14:paraId="6003BB1B" w14:textId="37495A49" w:rsidR="00915192" w:rsidRPr="00915192" w:rsidRDefault="00FF08E7" w:rsidP="00FF08E7">
      <w:pPr>
        <w:pStyle w:val="Caption"/>
      </w:pPr>
      <w:bookmarkStart w:id="216" w:name="_Ref210816376"/>
      <w:bookmarkStart w:id="217" w:name="_Toc211604177"/>
      <w:r>
        <w:t xml:space="preserve">Figure </w:t>
      </w:r>
      <w:r>
        <w:fldChar w:fldCharType="begin"/>
      </w:r>
      <w:r>
        <w:instrText xml:space="preserve"> SEQ Figure \* ARABIC </w:instrText>
      </w:r>
      <w:r>
        <w:fldChar w:fldCharType="separate"/>
      </w:r>
      <w:r w:rsidR="009E6E1D">
        <w:rPr>
          <w:noProof/>
        </w:rPr>
        <w:t>28</w:t>
      </w:r>
      <w:r>
        <w:fldChar w:fldCharType="end"/>
      </w:r>
      <w:bookmarkEnd w:id="216"/>
      <w:r w:rsidR="00915192" w:rsidRPr="00915192">
        <w:t xml:space="preserve">: School student </w:t>
      </w:r>
      <w:r w:rsidR="00E975AF">
        <w:t xml:space="preserve">(year 1 - 10) </w:t>
      </w:r>
      <w:r w:rsidR="00915192" w:rsidRPr="00915192">
        <w:t>non-attendance rates, by Regional Australia and Major City</w:t>
      </w:r>
      <w:bookmarkEnd w:id="217"/>
    </w:p>
    <w:p w14:paraId="0A2DD45A" w14:textId="25008DEF" w:rsidR="00915192" w:rsidRPr="0087103D" w:rsidRDefault="00F17AB2" w:rsidP="00915192">
      <w:r w:rsidRPr="00F17AB2">
        <w:rPr>
          <w:noProof/>
        </w:rPr>
        <w:drawing>
          <wp:inline distT="0" distB="0" distL="0" distR="0" wp14:anchorId="6D017494" wp14:editId="452807C6">
            <wp:extent cx="5948045" cy="2882900"/>
            <wp:effectExtent l="0" t="0" r="0" b="0"/>
            <wp:docPr id="356033360" name="Picture 27" descr="A line chart showing school student non-attendance rates, by Regional Australia and Major City. The chart shows that non-attendance rates in Regional Australia have consistently been higher than the rates recorded in Major C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033360" name="Picture 27" descr="A line chart showing school student non-attendance rates, by Regional Australia and Major City. The chart shows that non-attendance rates in Regional Australia have consistently been higher than the rates recorded in Major Cities. "/>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48045" cy="2882900"/>
                    </a:xfrm>
                    <a:prstGeom prst="rect">
                      <a:avLst/>
                    </a:prstGeom>
                    <a:noFill/>
                    <a:ln>
                      <a:noFill/>
                    </a:ln>
                  </pic:spPr>
                </pic:pic>
              </a:graphicData>
            </a:graphic>
          </wp:inline>
        </w:drawing>
      </w:r>
    </w:p>
    <w:p w14:paraId="1B38367F" w14:textId="4E071650" w:rsidR="00915192" w:rsidRDefault="00915192" w:rsidP="00FF08E7">
      <w:pPr>
        <w:pStyle w:val="Source"/>
      </w:pPr>
      <w:r w:rsidRPr="0087103D">
        <w:t xml:space="preserve">Source: </w:t>
      </w:r>
      <w:r>
        <w:t>Australia Curriculum Assessment and Reporting Authority (ACARA), School Attendance, unpublished data</w:t>
      </w:r>
      <w:r w:rsidR="006A58DF">
        <w:t>.</w:t>
      </w:r>
    </w:p>
    <w:p w14:paraId="56D4D208" w14:textId="75A5359E" w:rsidR="00915192" w:rsidRDefault="00915192" w:rsidP="0076554F">
      <w:pPr>
        <w:pStyle w:val="BodyText"/>
        <w:keepLines/>
      </w:pPr>
      <w:r>
        <w:t xml:space="preserve">The prevalence of barriers that hinder participation in the labour market, including the acquisition of skill through the tertiary and higher education system, as well as completion of apprenticeship and traineeships, likely contributes to recruitment difficulty for employers in </w:t>
      </w:r>
      <w:r w:rsidR="00C127A7">
        <w:t>R</w:t>
      </w:r>
      <w:r w:rsidR="00BC40EB">
        <w:t xml:space="preserve">egional </w:t>
      </w:r>
      <w:r>
        <w:t xml:space="preserve">Australia. Although recruitment difficulty appears to be showing some sign of easing, it continues to remain one of the greatest challenges for </w:t>
      </w:r>
      <w:r w:rsidR="00BC40EB">
        <w:t xml:space="preserve">regional </w:t>
      </w:r>
      <w:r>
        <w:t xml:space="preserve">employers. </w:t>
      </w:r>
    </w:p>
    <w:p w14:paraId="3D8A56BF" w14:textId="56319F98" w:rsidR="00915192" w:rsidRDefault="00915192" w:rsidP="00FF08E7">
      <w:pPr>
        <w:pStyle w:val="BodyText"/>
      </w:pPr>
      <w:r>
        <w:t xml:space="preserve">This is particularly true for essential services jobs including teachers, child carers, nurses, doctors, pharmacists, and emergency services workers, with almost 1 in 10 essential service jobs remaining vacant in </w:t>
      </w:r>
      <w:r w:rsidR="00C127A7">
        <w:t>R</w:t>
      </w:r>
      <w:r w:rsidR="00BC40EB">
        <w:t xml:space="preserve">egional </w:t>
      </w:r>
      <w:r>
        <w:t>Australia</w:t>
      </w:r>
      <w:r w:rsidR="00C6580C">
        <w:t xml:space="preserve"> (</w:t>
      </w:r>
      <w:r w:rsidR="00C6580C">
        <w:fldChar w:fldCharType="begin"/>
      </w:r>
      <w:r w:rsidR="00C6580C">
        <w:instrText xml:space="preserve"> REF _Ref211329551 </w:instrText>
      </w:r>
      <w:r w:rsidR="00C6580C">
        <w:fldChar w:fldCharType="separate"/>
      </w:r>
      <w:r w:rsidR="009E6E1D">
        <w:t xml:space="preserve">Figure </w:t>
      </w:r>
      <w:r w:rsidR="009E6E1D">
        <w:rPr>
          <w:noProof/>
        </w:rPr>
        <w:t>29</w:t>
      </w:r>
      <w:r w:rsidR="00C6580C">
        <w:fldChar w:fldCharType="end"/>
      </w:r>
      <w:r w:rsidR="00C6580C">
        <w:t>).</w:t>
      </w:r>
      <w:r>
        <w:t xml:space="preserve"> This persistent shortage affects community wellbeing and access to critical services. Regional stakeholders report long wait times for medical care, limited educational offerings due to a lack of specialist teachers, and long commutes into the city to receive specialist and urgent medical care. </w:t>
      </w:r>
    </w:p>
    <w:p w14:paraId="3CFEABD7" w14:textId="29A52E5A" w:rsidR="00915192" w:rsidRDefault="00915192" w:rsidP="00915192">
      <w:pPr>
        <w:pStyle w:val="Caption"/>
      </w:pPr>
      <w:bookmarkStart w:id="218" w:name="_Ref211329551"/>
      <w:bookmarkStart w:id="219" w:name="_Toc211604178"/>
      <w:r>
        <w:t xml:space="preserve">Figure </w:t>
      </w:r>
      <w:r w:rsidRPr="00915192">
        <w:fldChar w:fldCharType="begin"/>
      </w:r>
      <w:r w:rsidRPr="00915192">
        <w:instrText xml:space="preserve"> SEQ Figure \* ARABIC </w:instrText>
      </w:r>
      <w:r w:rsidRPr="00915192">
        <w:fldChar w:fldCharType="separate"/>
      </w:r>
      <w:r w:rsidR="009E6E1D">
        <w:rPr>
          <w:noProof/>
        </w:rPr>
        <w:t>29</w:t>
      </w:r>
      <w:r w:rsidRPr="00915192">
        <w:fldChar w:fldCharType="end"/>
      </w:r>
      <w:bookmarkEnd w:id="218"/>
      <w:r w:rsidRPr="00915192">
        <w:t xml:space="preserve">: Essential services vacancy ratio (job advertisements adjusted for proportion of jobs advertised online as a proportion of employed persons), </w:t>
      </w:r>
      <w:r w:rsidR="00F817B6">
        <w:t>M</w:t>
      </w:r>
      <w:r w:rsidRPr="00915192">
        <w:t xml:space="preserve">ajor </w:t>
      </w:r>
      <w:r w:rsidR="00F817B6">
        <w:t>C</w:t>
      </w:r>
      <w:r w:rsidRPr="00915192">
        <w:t xml:space="preserve">ity and </w:t>
      </w:r>
      <w:r w:rsidR="00E84CF9">
        <w:t>R</w:t>
      </w:r>
      <w:r w:rsidRPr="00915192">
        <w:t>egional Australia</w:t>
      </w:r>
      <w:bookmarkEnd w:id="219"/>
    </w:p>
    <w:p w14:paraId="0D6A4440" w14:textId="01F12B0E" w:rsidR="000C5DC4" w:rsidRPr="000C5DC4" w:rsidRDefault="000C5DC4" w:rsidP="000C5DC4">
      <w:pPr>
        <w:pStyle w:val="BodyText"/>
      </w:pPr>
      <w:r w:rsidRPr="000C5DC4">
        <w:rPr>
          <w:noProof/>
        </w:rPr>
        <w:drawing>
          <wp:inline distT="0" distB="0" distL="0" distR="0" wp14:anchorId="020B43C5" wp14:editId="663DD8DC">
            <wp:extent cx="5948045" cy="2754630"/>
            <wp:effectExtent l="0" t="0" r="0" b="7620"/>
            <wp:docPr id="1272896013" name="Picture 14" descr="The chart shows that while the vacancy rate has shown signs of improvement over the last year, almost 1 in 10 essential service jobs remain vacant, with this figure likely to be understated as employers chose not to continue advertising chronically hard to fill vacanc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96013" name="Picture 14" descr="The chart shows that while the vacancy rate has shown signs of improvement over the last year, almost 1 in 10 essential service jobs remain vacant, with this figure likely to be understated as employers chose not to continue advertising chronically hard to fill vacancies.  "/>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948045" cy="2754630"/>
                    </a:xfrm>
                    <a:prstGeom prst="rect">
                      <a:avLst/>
                    </a:prstGeom>
                    <a:noFill/>
                    <a:ln>
                      <a:noFill/>
                    </a:ln>
                  </pic:spPr>
                </pic:pic>
              </a:graphicData>
            </a:graphic>
          </wp:inline>
        </w:drawing>
      </w:r>
    </w:p>
    <w:p w14:paraId="4CFFAEF1" w14:textId="7B3C1925" w:rsidR="003E11F4" w:rsidRDefault="00915192" w:rsidP="00FF08E7">
      <w:pPr>
        <w:pStyle w:val="Source"/>
      </w:pPr>
      <w:r>
        <w:t>Source: JSA NERO</w:t>
      </w:r>
      <w:r w:rsidR="00106758">
        <w:t>;</w:t>
      </w:r>
      <w:r>
        <w:t xml:space="preserve"> JSA, IVI, April 2025 (adjusted for proportion of jobs advertised online – JSA, </w:t>
      </w:r>
      <w:r w:rsidR="00921F2D">
        <w:t>REOS</w:t>
      </w:r>
      <w:r>
        <w:t xml:space="preserve">, April 2025). </w:t>
      </w:r>
    </w:p>
    <w:p w14:paraId="268ED981" w14:textId="4993FA8C" w:rsidR="00915192" w:rsidRDefault="00D04442" w:rsidP="00FF08E7">
      <w:pPr>
        <w:pStyle w:val="Source"/>
      </w:pPr>
      <w:r>
        <w:t xml:space="preserve">Note: </w:t>
      </w:r>
      <w:r w:rsidR="001A0831" w:rsidRPr="001A0831">
        <w:t>Definitions of essential services vary, but for the purposes of this analysis essential service occupations include Teachers (early childhood, primary and secondary), Child Carers (inc. Managers), Nurses (Managers, Enrolled and Registered), GPs and Resident Medical Officers, Pharmacists, Police, Fire and Emergency and Ambulance and Paramedics.</w:t>
      </w:r>
    </w:p>
    <w:p w14:paraId="482B0FE0" w14:textId="77777777" w:rsidR="005A1F9D" w:rsidRDefault="005A1F9D" w:rsidP="005A1F9D">
      <w:pPr>
        <w:pStyle w:val="BodyText"/>
      </w:pPr>
      <w:r>
        <w:t xml:space="preserve">These challenges represent significant life stressors extending beyond an individual’s employable skills and capabilities. When interlinked, they pose serious barriers not only to workforce participation but also to productivity, as employees facing these pressures are often unable to fully dedicate themselves to their work, limiting their capacity to contribute effectively to the workplace. </w:t>
      </w:r>
    </w:p>
    <w:p w14:paraId="513AF1B8" w14:textId="6EA1DC1E" w:rsidR="00915192" w:rsidRDefault="00915192" w:rsidP="00537382">
      <w:pPr>
        <w:pStyle w:val="Heading4"/>
      </w:pPr>
      <w:r>
        <w:t>Next steps for the roadmap</w:t>
      </w:r>
    </w:p>
    <w:p w14:paraId="5D580119" w14:textId="5D7392FE" w:rsidR="00915192" w:rsidRDefault="00915192" w:rsidP="00FF08E7">
      <w:pPr>
        <w:pStyle w:val="BodyText"/>
      </w:pPr>
      <w:r>
        <w:t>Phase 1 has developed an overarching regional roadmap at the national level. In</w:t>
      </w:r>
      <w:r w:rsidRPr="00C65752">
        <w:t xml:space="preserve"> </w:t>
      </w:r>
      <w:r>
        <w:t>p</w:t>
      </w:r>
      <w:r w:rsidRPr="00C65752">
        <w:t>hase 2, the roadmap will be refined through consultation</w:t>
      </w:r>
      <w:r>
        <w:t xml:space="preserve"> and feedback</w:t>
      </w:r>
      <w:r w:rsidRPr="00C65752">
        <w:t xml:space="preserve"> </w:t>
      </w:r>
      <w:r>
        <w:t xml:space="preserve">from key </w:t>
      </w:r>
      <w:r w:rsidRPr="00C65752">
        <w:t xml:space="preserve">stakeholders across </w:t>
      </w:r>
      <w:r w:rsidR="00C127A7">
        <w:t>R</w:t>
      </w:r>
      <w:r w:rsidRPr="00C65752">
        <w:t xml:space="preserve">egional Australia. </w:t>
      </w:r>
      <w:r>
        <w:t xml:space="preserve">Phase 2 will also see JSA seek to </w:t>
      </w:r>
      <w:r w:rsidRPr="00C65752">
        <w:t xml:space="preserve">support </w:t>
      </w:r>
      <w:r>
        <w:t xml:space="preserve">the </w:t>
      </w:r>
      <w:r w:rsidRPr="00C65752">
        <w:t xml:space="preserve">development of </w:t>
      </w:r>
      <w:r>
        <w:t>jurisdictional</w:t>
      </w:r>
      <w:r w:rsidRPr="00C65752">
        <w:t xml:space="preserve"> roadmaps</w:t>
      </w:r>
      <w:r>
        <w:t xml:space="preserve"> that aim to</w:t>
      </w:r>
      <w:r w:rsidRPr="00C65752">
        <w:t xml:space="preserve"> underpin efforts to </w:t>
      </w:r>
      <w:r>
        <w:t>enhance the jobs and skills system</w:t>
      </w:r>
      <w:r w:rsidRPr="00C65752">
        <w:t xml:space="preserve"> across </w:t>
      </w:r>
      <w:r w:rsidR="00C127A7">
        <w:t>R</w:t>
      </w:r>
      <w:r w:rsidRPr="00C65752">
        <w:t>egional Australia.</w:t>
      </w:r>
    </w:p>
    <w:p w14:paraId="142F1372" w14:textId="77777777" w:rsidR="00915192" w:rsidRDefault="00915192" w:rsidP="00537382">
      <w:pPr>
        <w:pStyle w:val="Heading2"/>
      </w:pPr>
      <w:bookmarkStart w:id="220" w:name="_Toc206784550"/>
      <w:bookmarkStart w:id="221" w:name="_Toc208923405"/>
      <w:bookmarkStart w:id="222" w:name="_Toc211587024"/>
      <w:r>
        <w:t xml:space="preserve">Summary of chapter </w:t>
      </w:r>
      <w:bookmarkEnd w:id="220"/>
      <w:r>
        <w:t>three</w:t>
      </w:r>
      <w:bookmarkEnd w:id="221"/>
      <w:bookmarkEnd w:id="222"/>
    </w:p>
    <w:p w14:paraId="6D09BD73" w14:textId="6DDC2932" w:rsidR="00915192" w:rsidRDefault="00915192" w:rsidP="00FF08E7">
      <w:pPr>
        <w:pStyle w:val="BodyText"/>
      </w:pPr>
      <w:r w:rsidRPr="00451953">
        <w:t xml:space="preserve">Australia’s labour market continues to face persistent barriers that limit productivity and participation, despite ongoing economic transformation. </w:t>
      </w:r>
      <w:r w:rsidRPr="00FD5092">
        <w:t xml:space="preserve">These barriers are evident in occupation shortages, recruitment challenges, and regional disparities, and they reflect deeper structural issues in how skills are developed, </w:t>
      </w:r>
      <w:r w:rsidR="00ED3BA7">
        <w:t>retained, and connected to</w:t>
      </w:r>
      <w:r w:rsidR="00740F24">
        <w:t xml:space="preserve"> job requirements</w:t>
      </w:r>
      <w:r w:rsidRPr="00FD5092">
        <w:t>. Understanding these dynamics is essential for designing targeted interventions that support a more inclusive and responsive labour market.</w:t>
      </w:r>
    </w:p>
    <w:p w14:paraId="29B5D818" w14:textId="528653F3" w:rsidR="00915192" w:rsidRDefault="00915192" w:rsidP="00FF08E7">
      <w:pPr>
        <w:pStyle w:val="BodyText"/>
      </w:pPr>
      <w:r w:rsidRPr="00C717AD">
        <w:t xml:space="preserve">From an occupational perspective, shortages often arise due to long training pathways, misalignment between qualifications and job-readiness, or challenges in attracting and retaining workers. These shortages signal inefficiencies in labour allocation and can constrain productivity growth. Persistent shortages, defined as those lasting </w:t>
      </w:r>
      <w:r>
        <w:t>over 5 years</w:t>
      </w:r>
      <w:r w:rsidRPr="00C717AD">
        <w:t>, suggest systemic issues that require sustained attention. Analysis also shows that industries with above-average workforce shortages</w:t>
      </w:r>
      <w:r>
        <w:t xml:space="preserve"> – </w:t>
      </w:r>
      <w:r w:rsidRPr="00C717AD">
        <w:t xml:space="preserve">such as Construction, </w:t>
      </w:r>
      <w:r>
        <w:t xml:space="preserve">Mining, and </w:t>
      </w:r>
      <w:r w:rsidRPr="00C717AD">
        <w:t>Health</w:t>
      </w:r>
      <w:r>
        <w:t xml:space="preserve"> Care and Social Assistance – </w:t>
      </w:r>
      <w:r w:rsidRPr="00C717AD">
        <w:t>tend to experience weak productivity growth, indicating that poor skill matching may be compounding economic pressures.</w:t>
      </w:r>
    </w:p>
    <w:p w14:paraId="402FD92D" w14:textId="77777777" w:rsidR="00915192" w:rsidRDefault="00915192" w:rsidP="00FF08E7">
      <w:pPr>
        <w:pStyle w:val="BodyText"/>
      </w:pPr>
      <w:r w:rsidRPr="000C4D8C">
        <w:t xml:space="preserve">Addressing occupation shortages requires tailored responses. Where training gaps are the primary issue, expanding education and training pipelines is critical. Suitability gaps call for better alignment between training outcomes and employer expectations, while retention challenges often stem from job quality, workplace culture, and industry conditions. Migration, flexible training models, and improved pathways into employment can all play a role in alleviating shortages. Case studies </w:t>
      </w:r>
      <w:r>
        <w:t>can</w:t>
      </w:r>
      <w:r w:rsidRPr="000C4D8C">
        <w:t xml:space="preserve"> illustrate the complexity of occupation-specific shortag</w:t>
      </w:r>
      <w:r>
        <w:t xml:space="preserve">es and </w:t>
      </w:r>
      <w:r w:rsidRPr="008C536B">
        <w:t>highlight the need for multifaceted strategies that combine education reform, workforce support, and regulatory adaptation.</w:t>
      </w:r>
    </w:p>
    <w:p w14:paraId="06AB5FA1" w14:textId="77777777" w:rsidR="00915192" w:rsidRPr="00D73990" w:rsidRDefault="00915192" w:rsidP="00FF08E7">
      <w:pPr>
        <w:pStyle w:val="BodyText"/>
      </w:pPr>
      <w:r w:rsidRPr="00D73990">
        <w:t xml:space="preserve">From the employer perspective, </w:t>
      </w:r>
      <w:r>
        <w:t xml:space="preserve">staff retention and </w:t>
      </w:r>
      <w:r w:rsidRPr="00D73990">
        <w:t xml:space="preserve">recruitment difficulty </w:t>
      </w:r>
      <w:r>
        <w:t>are</w:t>
      </w:r>
      <w:r w:rsidRPr="00D73990">
        <w:t xml:space="preserve"> widespread issue</w:t>
      </w:r>
      <w:r>
        <w:t>s</w:t>
      </w:r>
      <w:r w:rsidRPr="00D73990">
        <w:t xml:space="preserve"> with tangible business impacts. Frequent staff replacement</w:t>
      </w:r>
      <w:r>
        <w:t xml:space="preserve"> </w:t>
      </w:r>
      <w:r w:rsidRPr="00D73990">
        <w:t>leads to increased recruitment and training costs, reduced productivity, and pressure on existing staff. Employers most commonly cite job competition and the nature of the work as reasons for turnover, with dissatisfaction around pay and conditions also playing a role. While some employers respond with financial incentives, flexible arrangements, or upskilling opportunities, many do not actively address retention, pointing to a need for more targeted support and awareness.</w:t>
      </w:r>
    </w:p>
    <w:p w14:paraId="20FAE4ED" w14:textId="4FC56CB6" w:rsidR="00422E53" w:rsidRPr="00D73990" w:rsidRDefault="00422E53" w:rsidP="00FF08E7">
      <w:pPr>
        <w:pStyle w:val="BodyText"/>
      </w:pPr>
      <w:r w:rsidRPr="00422E53">
        <w:t>Regionally, labour market barriers are shaped by demographic trends, infrastructure limitations, and socioeconomic constraints.</w:t>
      </w:r>
      <w:r w:rsidR="00B25C47">
        <w:t xml:space="preserve"> </w:t>
      </w:r>
      <w:r w:rsidR="00097ECC">
        <w:t>D</w:t>
      </w:r>
      <w:r w:rsidRPr="00422E53">
        <w:t>istinct challenges</w:t>
      </w:r>
      <w:r w:rsidR="00E010CC">
        <w:t xml:space="preserve"> </w:t>
      </w:r>
      <w:r w:rsidRPr="00422E53">
        <w:t>inclu</w:t>
      </w:r>
      <w:r w:rsidR="00097ECC">
        <w:t>de</w:t>
      </w:r>
      <w:r w:rsidRPr="00422E53">
        <w:t xml:space="preserve"> </w:t>
      </w:r>
      <w:r w:rsidR="00DF2F1A">
        <w:t>recruitment difficulty</w:t>
      </w:r>
      <w:r w:rsidRPr="00422E53">
        <w:t xml:space="preserve"> </w:t>
      </w:r>
      <w:r w:rsidR="00DB1193">
        <w:t>and</w:t>
      </w:r>
      <w:r w:rsidRPr="00422E53">
        <w:t xml:space="preserve"> limited access to training</w:t>
      </w:r>
      <w:r w:rsidR="00E010CC">
        <w:t xml:space="preserve">. </w:t>
      </w:r>
      <w:r w:rsidR="00887151">
        <w:t>Breaking down these barriers will</w:t>
      </w:r>
      <w:r w:rsidRPr="00422E53">
        <w:t xml:space="preserve"> require </w:t>
      </w:r>
      <w:r w:rsidR="00887151">
        <w:t>r</w:t>
      </w:r>
      <w:r w:rsidRPr="00422E53">
        <w:t>esponses</w:t>
      </w:r>
      <w:r w:rsidR="00887151">
        <w:t xml:space="preserve"> tailored to </w:t>
      </w:r>
      <w:r w:rsidR="00325392">
        <w:t>individual regions</w:t>
      </w:r>
      <w:r w:rsidRPr="00422E53">
        <w:t xml:space="preserve">. </w:t>
      </w:r>
      <w:r w:rsidRPr="0004316C">
        <w:rPr>
          <w:rStyle w:val="Characteritalic"/>
        </w:rPr>
        <w:t>The Jobs and Skills Roadmap for Regional Australia</w:t>
      </w:r>
      <w:r w:rsidRPr="00422E53">
        <w:t xml:space="preserve"> outlines a strategic framework to address these issues, focusing on improving access to quality jobs, supporting skill development, and enhancing labour market efficiency.</w:t>
      </w:r>
    </w:p>
    <w:p w14:paraId="55DDAB4A" w14:textId="3FA16936" w:rsidR="00CD1305" w:rsidRDefault="00EA3C39" w:rsidP="000143FF">
      <w:pPr>
        <w:pStyle w:val="BodyText"/>
      </w:pPr>
      <w:r w:rsidRPr="00EA3C39">
        <w:t>Together, these insights reveal the multifaceted nature of labour market frictions and the importance of coordinated, evidence-based responses. To support workforce resilience and productivity across Australia, smarter job design, improved training pathways, and better information on employer demand must be coupled with policy flexibility that allows regions to adapt to their specific workforce and skills needs. Regional voices must be meaningfully included in consultation processes to ensure that decisions reflect local realities</w:t>
      </w:r>
      <w:r w:rsidR="00CD1305">
        <w:t xml:space="preserve">. </w:t>
      </w:r>
    </w:p>
    <w:p w14:paraId="09A57B64" w14:textId="77777777" w:rsidR="006E252D" w:rsidRDefault="006E252D" w:rsidP="008A0E4B">
      <w:pPr>
        <w:pStyle w:val="BodyText"/>
        <w:sectPr w:rsidR="006E252D" w:rsidSect="00480B35">
          <w:headerReference w:type="even" r:id="rId93"/>
          <w:headerReference w:type="default" r:id="rId94"/>
          <w:footerReference w:type="even" r:id="rId95"/>
          <w:footerReference w:type="default" r:id="rId96"/>
          <w:pgSz w:w="11907" w:h="16839" w:code="9"/>
          <w:pgMar w:top="1440" w:right="1270" w:bottom="1440" w:left="1270" w:header="720" w:footer="720" w:gutter="0"/>
          <w:cols w:space="720"/>
          <w:docGrid w:linePitch="360"/>
        </w:sectPr>
      </w:pPr>
    </w:p>
    <w:p w14:paraId="2640CDEF" w14:textId="76AA0BA4" w:rsidR="00CD1305" w:rsidRDefault="00CD1305" w:rsidP="000E2B29">
      <w:pPr>
        <w:pStyle w:val="Heading1"/>
      </w:pPr>
      <w:bookmarkStart w:id="223" w:name="_Toc211587025"/>
      <w:r>
        <w:t xml:space="preserve">The </w:t>
      </w:r>
      <w:r w:rsidR="00B37AFA">
        <w:t>f</w:t>
      </w:r>
      <w:r>
        <w:t xml:space="preserve">uture </w:t>
      </w:r>
      <w:r w:rsidR="00B37AFA">
        <w:t>l</w:t>
      </w:r>
      <w:r>
        <w:t xml:space="preserve">abour </w:t>
      </w:r>
      <w:r w:rsidR="00B37AFA">
        <w:t>m</w:t>
      </w:r>
      <w:r>
        <w:t>arket</w:t>
      </w:r>
      <w:bookmarkEnd w:id="223"/>
    </w:p>
    <w:p w14:paraId="78492919" w14:textId="74B6DCC8" w:rsidR="00B177D8" w:rsidRDefault="00B177D8" w:rsidP="00F3267B">
      <w:pPr>
        <w:pStyle w:val="BodyText"/>
      </w:pPr>
      <w:r w:rsidRPr="00FC29B6">
        <w:t>As Australia navigates technological change, demographic shifts, and evolving industry needs, anticipating how jobs and skills will change is critical to ensuring individuals and businesses are ready to adapt. This forward-looking perspective is essential not only for equipping people with the right skills, but also for enabling productivity, participation, and inclusive growth in a dynamic economy.</w:t>
      </w:r>
    </w:p>
    <w:p w14:paraId="29BA8B8F" w14:textId="19C5B450" w:rsidR="00B177D8" w:rsidRDefault="00B177D8" w:rsidP="00F3267B">
      <w:pPr>
        <w:pStyle w:val="BodyText"/>
      </w:pPr>
      <w:r>
        <w:t>JSA’s employment</w:t>
      </w:r>
      <w:r w:rsidRPr="00B902D9">
        <w:t xml:space="preserve"> projections help identify which</w:t>
      </w:r>
      <w:r w:rsidR="00D97A5C">
        <w:t xml:space="preserve"> occupations</w:t>
      </w:r>
      <w:r w:rsidRPr="00B902D9">
        <w:t xml:space="preserve"> are likely to be in demand, where new opportunities may arise, and what risks need to be managed.</w:t>
      </w:r>
      <w:r>
        <w:t xml:space="preserve"> We are also seeking to better understand </w:t>
      </w:r>
      <w:r w:rsidRPr="00B902D9">
        <w:t>how rapidly evolving technologies are reshaping skill requirements across industries.</w:t>
      </w:r>
      <w:r>
        <w:t xml:space="preserve"> Transformative</w:t>
      </w:r>
      <w:r w:rsidRPr="00FC29B6">
        <w:t xml:space="preserve"> technologies such as AI are already reshaping tasks and occupations, and while their full impact is still unfolding, they also offer powerful opportunities to drive innovation. Long</w:t>
      </w:r>
      <w:r>
        <w:noBreakHyphen/>
      </w:r>
      <w:r w:rsidRPr="00FC29B6">
        <w:t xml:space="preserve">term productivity growth depends on finding better ways to do things – whether through process innovations that improve efficiency or product innovations that open up new markets and reduce waste. </w:t>
      </w:r>
    </w:p>
    <w:p w14:paraId="7488C0F1" w14:textId="743DBD17" w:rsidR="00B177D8" w:rsidRPr="00FC29B6" w:rsidRDefault="0084627A" w:rsidP="00F3267B">
      <w:pPr>
        <w:pStyle w:val="BodyText"/>
      </w:pPr>
      <w:r>
        <w:t>Improved</w:t>
      </w:r>
      <w:r w:rsidR="00B177D8">
        <w:t xml:space="preserve"> </w:t>
      </w:r>
      <w:r w:rsidR="003354FC">
        <w:t xml:space="preserve">alignment </w:t>
      </w:r>
      <w:r w:rsidR="00B177D8">
        <w:t xml:space="preserve">between </w:t>
      </w:r>
      <w:r w:rsidR="003354FC">
        <w:t xml:space="preserve">skills and the requirements of </w:t>
      </w:r>
      <w:r w:rsidR="00B177D8">
        <w:t xml:space="preserve">jobs is central to this process. </w:t>
      </w:r>
      <w:r w:rsidR="00B177D8" w:rsidRPr="00FC29B6">
        <w:t>Unlocking this potential requires a workforce equipped with the skills, knowledge, and creativity to generate ideas, deploy new technologies, and adapt to change. It requires individuals to reskill throughout their working lives</w:t>
      </w:r>
      <w:r w:rsidR="00A5098C">
        <w:t>, supported by employers</w:t>
      </w:r>
      <w:r w:rsidR="00B177D8" w:rsidRPr="00FC29B6">
        <w:t xml:space="preserve"> and an education and training system that keeps pace with how innovation and technology are being applied across industries.</w:t>
      </w:r>
    </w:p>
    <w:p w14:paraId="68B6F717" w14:textId="77777777" w:rsidR="00480B35" w:rsidRDefault="00B177D8" w:rsidP="00F3267B">
      <w:pPr>
        <w:pStyle w:val="BodyText"/>
        <w:sectPr w:rsidR="00480B35" w:rsidSect="00480B35">
          <w:headerReference w:type="default" r:id="rId97"/>
          <w:footerReference w:type="default" r:id="rId98"/>
          <w:type w:val="oddPage"/>
          <w:pgSz w:w="11907" w:h="16839" w:code="9"/>
          <w:pgMar w:top="1440" w:right="1270" w:bottom="1440" w:left="3402" w:header="720" w:footer="720" w:gutter="0"/>
          <w:cols w:space="720"/>
          <w:docGrid w:linePitch="360"/>
        </w:sectPr>
      </w:pPr>
      <w:r w:rsidRPr="003A1DF9">
        <w:t>JSA contributes to this foresight by analysing emerging trends and modelling future scenarios, as well as undertaking targeted studies that dive deep into the implications of impending change. Our work helps identify which capabilities are likely to be in demand, where new opportunities may arise, and what risks need to be managed. Through our data, analysis, and deep engagement, JSA supports more strategic planning across government, education, and industry – helping to ensure that Australia’s skills system is not just reactive, but prepared and proactive.</w:t>
      </w:r>
    </w:p>
    <w:p w14:paraId="793D8000" w14:textId="77777777" w:rsidR="00B177D8" w:rsidRPr="00085E1E" w:rsidRDefault="00B177D8" w:rsidP="00B177D8">
      <w:pPr>
        <w:pStyle w:val="Heading2"/>
      </w:pPr>
      <w:bookmarkStart w:id="224" w:name="_Toc207702149"/>
      <w:bookmarkStart w:id="225" w:name="_Toc208923407"/>
      <w:bookmarkStart w:id="226" w:name="_Toc211587026"/>
      <w:r>
        <w:t>Australia’s changing labour market</w:t>
      </w:r>
      <w:bookmarkEnd w:id="224"/>
      <w:bookmarkEnd w:id="225"/>
      <w:bookmarkEnd w:id="226"/>
    </w:p>
    <w:p w14:paraId="47647DBB" w14:textId="4813359E" w:rsidR="00B177D8" w:rsidRPr="00DD1BF7" w:rsidRDefault="00B177D8" w:rsidP="00ED4661">
      <w:pPr>
        <w:pStyle w:val="BodyText"/>
      </w:pPr>
      <w:r w:rsidRPr="00DD1BF7">
        <w:t>Australia’s labour market has changed markedly over recent decades. The makeup of our workforce is different, with more women and mature-aged workers participating in paid work. The types of jobs people are doing have shifted, with strong growth in service-oriented industries such as Health Care and Social Assistance, Professional</w:t>
      </w:r>
      <w:r>
        <w:t xml:space="preserve">, </w:t>
      </w:r>
      <w:r w:rsidR="00B31022">
        <w:t>S</w:t>
      </w:r>
      <w:r>
        <w:t>cientific and Research</w:t>
      </w:r>
      <w:r w:rsidRPr="00DD1BF7">
        <w:t xml:space="preserve"> Services, and Education</w:t>
      </w:r>
      <w:r>
        <w:t xml:space="preserve"> and Training</w:t>
      </w:r>
      <w:r w:rsidRPr="00DD1BF7">
        <w:t>. These sectors now account for a significant share of total employment, reflecting broader structural changes in the economy</w:t>
      </w:r>
      <w:r w:rsidR="00D91B64">
        <w:t xml:space="preserve"> such as globalisation</w:t>
      </w:r>
      <w:r w:rsidR="003B1F08">
        <w:t xml:space="preserve"> and</w:t>
      </w:r>
      <w:r w:rsidR="002A2715">
        <w:t xml:space="preserve"> technology innovation</w:t>
      </w:r>
      <w:r w:rsidRPr="00DD1BF7">
        <w:t>. At the same time, employment in producing industrie</w:t>
      </w:r>
      <w:r w:rsidR="00DC121C">
        <w:t>s, such as</w:t>
      </w:r>
      <w:r w:rsidRPr="00DD1BF7">
        <w:t xml:space="preserve"> Manufacturing and Agriculture</w:t>
      </w:r>
      <w:r>
        <w:t>, Forestry and Fishing</w:t>
      </w:r>
      <w:r w:rsidRPr="00DD1BF7">
        <w:t xml:space="preserve"> ha</w:t>
      </w:r>
      <w:r w:rsidR="008F1861">
        <w:t>ve</w:t>
      </w:r>
      <w:r w:rsidRPr="00DD1BF7">
        <w:t xml:space="preserve"> declined. People's experiences in their jobs have also transformed, with workplaces becoming more inclusive and flexible, and a growing share of employment concentrated in higher-skilled occupations. These shifts underscore the importance of preparing for future workforce needs and ensuring that policy and training systems support Australians to thrive.</w:t>
      </w:r>
    </w:p>
    <w:p w14:paraId="753840FA" w14:textId="77777777" w:rsidR="00B177D8" w:rsidRDefault="00B177D8" w:rsidP="00ED4661">
      <w:pPr>
        <w:pStyle w:val="BodyText"/>
      </w:pPr>
      <w:r>
        <w:t>JSA’s</w:t>
      </w:r>
      <w:r w:rsidRPr="00DD1BF7">
        <w:t xml:space="preserve"> data and analysis illuminate these trends, helping government and stakeholders understand where growth is occurring, where structural shifts are underway, and what this means for workforce planning. By tracking changes across industries, occupations and skill levels, we support the design of effective interventions and contribute insights that activate informed dialogue across the skills ecosystem. Our work enables practical responses to evolving workforce demands and helps ensure that Australians are equipped for the jobs of today and tomorrow.</w:t>
      </w:r>
    </w:p>
    <w:p w14:paraId="0A21B30E" w14:textId="77777777" w:rsidR="00B177D8" w:rsidRDefault="00B177D8" w:rsidP="00B177D8">
      <w:pPr>
        <w:pStyle w:val="Heading3"/>
      </w:pPr>
      <w:bookmarkStart w:id="227" w:name="_Toc207702150"/>
      <w:bookmarkStart w:id="228" w:name="_Toc208923408"/>
      <w:bookmarkStart w:id="229" w:name="_Toc211587027"/>
      <w:r>
        <w:t>Industry employment growth</w:t>
      </w:r>
      <w:r>
        <w:rPr>
          <w:rStyle w:val="FootnoteReference"/>
        </w:rPr>
        <w:footnoteReference w:id="11"/>
      </w:r>
      <w:bookmarkEnd w:id="227"/>
      <w:bookmarkEnd w:id="228"/>
      <w:bookmarkEnd w:id="229"/>
    </w:p>
    <w:p w14:paraId="49DED9DB" w14:textId="106CC09D" w:rsidR="00B177D8" w:rsidRDefault="00B177D8" w:rsidP="00BB2F8C">
      <w:pPr>
        <w:pStyle w:val="BodyText"/>
      </w:pPr>
      <w:r>
        <w:t>Health Care and Social Assistance had the largest employment growth over the 10 years to May 2025 (up by 886,700, to stand at more than 2.3 million), followed by Professional, Scientific and Technical Services (up by 359,700, to around 1.3 million), Education and Training (up by 337,800, to almost 1.3 million) and Construction (up by 307,900, to more than 1.3 million) (</w:t>
      </w:r>
      <w:r>
        <w:fldChar w:fldCharType="begin"/>
      </w:r>
      <w:r>
        <w:instrText xml:space="preserve"> REF _Ref207620686 \h </w:instrText>
      </w:r>
      <w:r w:rsidR="00BB2F8C">
        <w:instrText xml:space="preserve"> \* MERGEFORMAT </w:instrText>
      </w:r>
      <w:r>
        <w:fldChar w:fldCharType="separate"/>
      </w:r>
      <w:r w:rsidR="009E6E1D">
        <w:t xml:space="preserve">Figure </w:t>
      </w:r>
      <w:r w:rsidR="009E6E1D">
        <w:rPr>
          <w:noProof/>
        </w:rPr>
        <w:t>30</w:t>
      </w:r>
      <w:r>
        <w:fldChar w:fldCharType="end"/>
      </w:r>
      <w:r>
        <w:t>).</w:t>
      </w:r>
    </w:p>
    <w:p w14:paraId="05588220" w14:textId="77777777" w:rsidR="00B177D8" w:rsidRDefault="00B177D8" w:rsidP="00BB2F8C">
      <w:pPr>
        <w:pStyle w:val="BodyText"/>
      </w:pPr>
      <w:r>
        <w:t>Employment fell over the past decade in Manufacturing (down by 29,300, to 870,700 in May 2025), Information Media and Telecommunications (down by 25,200, to 184,000), Wholesale Trade (down by 24,400, to 358,000) and Agriculture, Forestry and Fishing (down by 9,000, to 304,200).</w:t>
      </w:r>
    </w:p>
    <w:p w14:paraId="2F84B7C1" w14:textId="487BD9B2" w:rsidR="00B177D8" w:rsidRDefault="00B177D8" w:rsidP="0076554F">
      <w:pPr>
        <w:pStyle w:val="Caption"/>
        <w:spacing w:after="240"/>
      </w:pPr>
      <w:bookmarkStart w:id="230" w:name="_Ref207620686"/>
      <w:bookmarkStart w:id="231" w:name="_Toc207899210"/>
      <w:bookmarkStart w:id="232" w:name="_Toc211604179"/>
      <w:r>
        <w:t xml:space="preserve">Figure </w:t>
      </w:r>
      <w:r w:rsidRPr="00B177D8">
        <w:fldChar w:fldCharType="begin"/>
      </w:r>
      <w:r w:rsidRPr="00B177D8">
        <w:instrText xml:space="preserve"> SEQ Figure \* ARABIC </w:instrText>
      </w:r>
      <w:r w:rsidRPr="00B177D8">
        <w:fldChar w:fldCharType="separate"/>
      </w:r>
      <w:r w:rsidR="009E6E1D">
        <w:rPr>
          <w:noProof/>
        </w:rPr>
        <w:t>30</w:t>
      </w:r>
      <w:r w:rsidRPr="00B177D8">
        <w:fldChar w:fldCharType="end"/>
      </w:r>
      <w:bookmarkEnd w:id="230"/>
      <w:r w:rsidRPr="00B177D8">
        <w:t>: Industry employment change</w:t>
      </w:r>
      <w:r w:rsidR="00A3057A">
        <w:t xml:space="preserve"> by headcount</w:t>
      </w:r>
      <w:r w:rsidRPr="00B177D8">
        <w:t>, 10 years to May 2025 ('000)</w:t>
      </w:r>
      <w:bookmarkEnd w:id="231"/>
      <w:bookmarkEnd w:id="232"/>
    </w:p>
    <w:p w14:paraId="75982A2E" w14:textId="032D085D" w:rsidR="009216E8" w:rsidRPr="009216E8" w:rsidRDefault="009216E8" w:rsidP="0076554F">
      <w:pPr>
        <w:pStyle w:val="BodyText"/>
        <w:spacing w:before="0" w:after="0"/>
      </w:pPr>
      <w:r w:rsidRPr="009216E8">
        <w:rPr>
          <w:noProof/>
        </w:rPr>
        <w:drawing>
          <wp:inline distT="0" distB="0" distL="0" distR="0" wp14:anchorId="127AF621" wp14:editId="08A3BC1F">
            <wp:extent cx="5948045" cy="4388485"/>
            <wp:effectExtent l="0" t="0" r="0" b="0"/>
            <wp:docPr id="1084804680" name="Picture 13" descr="Bar chart shows employment growth for industries over the 10 years to May 2025, with the largest growth in Health Care and Social Assistance, followed by Professional, Scientific and Technical Services and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804680" name="Picture 13" descr="Bar chart shows employment growth for industries over the 10 years to May 2025, with the largest growth in Health Care and Social Assistance, followed by Professional, Scientific and Technical Services and Education and Traini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948045" cy="4388485"/>
                    </a:xfrm>
                    <a:prstGeom prst="rect">
                      <a:avLst/>
                    </a:prstGeom>
                    <a:noFill/>
                    <a:ln>
                      <a:noFill/>
                    </a:ln>
                  </pic:spPr>
                </pic:pic>
              </a:graphicData>
            </a:graphic>
          </wp:inline>
        </w:drawing>
      </w:r>
    </w:p>
    <w:p w14:paraId="7D24A241" w14:textId="05C5EC69" w:rsidR="00B177D8" w:rsidRDefault="00B177D8" w:rsidP="0076554F">
      <w:pPr>
        <w:pStyle w:val="Source"/>
        <w:spacing w:before="0"/>
      </w:pPr>
      <w:r w:rsidRPr="00DD2815">
        <w:t xml:space="preserve">Source: ABS, Labour Force, Detailed, May 2025, data trended by </w:t>
      </w:r>
      <w:r w:rsidR="00455126">
        <w:t>JSA</w:t>
      </w:r>
      <w:r w:rsidR="00FD7158">
        <w:t>.</w:t>
      </w:r>
    </w:p>
    <w:p w14:paraId="7B19BE6E" w14:textId="67D324FF" w:rsidR="00B177D8" w:rsidRDefault="00B177D8" w:rsidP="00EC6E25">
      <w:pPr>
        <w:pStyle w:val="BodyText"/>
      </w:pPr>
      <w:r>
        <w:t>Employment in service industries had strong growth over the 10 years to May 2025 (up by 27%), compared with employment in producing industries (up by 14%) (</w:t>
      </w:r>
      <w:r>
        <w:fldChar w:fldCharType="begin"/>
      </w:r>
      <w:r>
        <w:instrText xml:space="preserve"> REF _Ref207620663 \h </w:instrText>
      </w:r>
      <w:r w:rsidR="00EC6E25">
        <w:instrText xml:space="preserve"> \* MERGEFORMAT </w:instrText>
      </w:r>
      <w:r>
        <w:fldChar w:fldCharType="separate"/>
      </w:r>
      <w:r w:rsidR="009E6E1D">
        <w:t>Figure 31</w:t>
      </w:r>
      <w:r>
        <w:fldChar w:fldCharType="end"/>
      </w:r>
      <w:r>
        <w:t>). This is the continuation of a trend in recent decades that has seen service-based industries become increasingly important for Australian employment.</w:t>
      </w:r>
    </w:p>
    <w:p w14:paraId="25AB7581" w14:textId="77777777" w:rsidR="00B177D8" w:rsidRDefault="00B177D8" w:rsidP="00EC6E25">
      <w:pPr>
        <w:pStyle w:val="BodyText"/>
      </w:pPr>
      <w:r>
        <w:t>Service industries account for a significant share of Australian employment in 2025 (around 80%). Notably, almost 90% of employment growth over the past 10 years has been in service industries.</w:t>
      </w:r>
    </w:p>
    <w:p w14:paraId="3DC79853" w14:textId="6E50EA79" w:rsidR="00B177D8" w:rsidRPr="00B177D8" w:rsidRDefault="00B177D8" w:rsidP="0076554F">
      <w:pPr>
        <w:pStyle w:val="Caption"/>
      </w:pPr>
      <w:bookmarkStart w:id="233" w:name="_Ref207620663"/>
      <w:bookmarkStart w:id="234" w:name="_Toc211604180"/>
      <w:bookmarkStart w:id="235" w:name="_Ref207620656"/>
      <w:bookmarkStart w:id="236" w:name="_Toc207899211"/>
      <w:r>
        <w:t xml:space="preserve">Figure </w:t>
      </w:r>
      <w:r w:rsidRPr="00B177D8">
        <w:fldChar w:fldCharType="begin"/>
      </w:r>
      <w:r w:rsidRPr="00B177D8">
        <w:instrText xml:space="preserve"> SEQ Figure \* ARABIC </w:instrText>
      </w:r>
      <w:r w:rsidRPr="00B177D8">
        <w:fldChar w:fldCharType="separate"/>
      </w:r>
      <w:r w:rsidR="009E6E1D">
        <w:rPr>
          <w:noProof/>
        </w:rPr>
        <w:t>31</w:t>
      </w:r>
      <w:r w:rsidRPr="00B177D8">
        <w:fldChar w:fldCharType="end"/>
      </w:r>
      <w:bookmarkEnd w:id="233"/>
      <w:r w:rsidRPr="00B177D8">
        <w:t>: Industry employment change 10 years to May 2025, 'Service Industries' and 'Producing Industries'</w:t>
      </w:r>
      <w:bookmarkEnd w:id="234"/>
      <w:r w:rsidRPr="00B177D8">
        <w:t xml:space="preserve"> </w:t>
      </w:r>
      <w:bookmarkEnd w:id="235"/>
      <w:bookmarkEnd w:id="236"/>
    </w:p>
    <w:p w14:paraId="79D05750" w14:textId="68991510" w:rsidR="00B177D8" w:rsidRDefault="003A34DB" w:rsidP="0076554F">
      <w:pPr>
        <w:pStyle w:val="Source"/>
        <w:spacing w:before="0" w:after="0"/>
      </w:pPr>
      <w:r w:rsidRPr="003A34DB">
        <w:rPr>
          <w:rStyle w:val="Strong"/>
          <w:noProof/>
        </w:rPr>
        <w:drawing>
          <wp:inline distT="0" distB="0" distL="0" distR="0" wp14:anchorId="5E400764" wp14:editId="59A1DA07">
            <wp:extent cx="5753818" cy="2216267"/>
            <wp:effectExtent l="0" t="0" r="0" b="0"/>
            <wp:docPr id="809129305" name="Picture 28" descr="Bar chart shows employment growth over the 10 years to May 2025. Service industries employment increased by 27% over this period, while producing industries employment increased by 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129305" name="Picture 28" descr="Bar chart shows employment growth over the 10 years to May 2025. Service industries employment increased by 27% over this period, while producing industries employment increased by 14%. "/>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61529" cy="2219237"/>
                    </a:xfrm>
                    <a:prstGeom prst="rect">
                      <a:avLst/>
                    </a:prstGeom>
                    <a:noFill/>
                    <a:ln>
                      <a:noFill/>
                    </a:ln>
                  </pic:spPr>
                </pic:pic>
              </a:graphicData>
            </a:graphic>
          </wp:inline>
        </w:drawing>
      </w:r>
      <w:r w:rsidR="00B177D8" w:rsidRPr="00A072B9">
        <w:t xml:space="preserve">Source: ABS, Labour Force, Detailed, May 2025, data trended by </w:t>
      </w:r>
      <w:r w:rsidR="00F57041">
        <w:t>JSA.</w:t>
      </w:r>
    </w:p>
    <w:p w14:paraId="0485B187" w14:textId="32CFC5EF" w:rsidR="00B177D8" w:rsidRDefault="00B177D8" w:rsidP="00EC6E25">
      <w:pPr>
        <w:pStyle w:val="BodyText"/>
      </w:pPr>
      <w:r>
        <w:t xml:space="preserve">As </w:t>
      </w:r>
      <w:r>
        <w:fldChar w:fldCharType="begin"/>
      </w:r>
      <w:r>
        <w:instrText xml:space="preserve"> REF _Ref207620753 \h </w:instrText>
      </w:r>
      <w:r w:rsidR="00EC6E25">
        <w:instrText xml:space="preserve"> \* MERGEFORMAT </w:instrText>
      </w:r>
      <w:r>
        <w:fldChar w:fldCharType="separate"/>
      </w:r>
      <w:r w:rsidR="009E6E1D">
        <w:t xml:space="preserve">Figure </w:t>
      </w:r>
      <w:r w:rsidR="009E6E1D">
        <w:rPr>
          <w:noProof/>
        </w:rPr>
        <w:t>32</w:t>
      </w:r>
      <w:r>
        <w:fldChar w:fldCharType="end"/>
      </w:r>
      <w:r>
        <w:t xml:space="preserve"> shows, Health Care and Social Assistance now accounts for 16% of total Australian employment, up from 13% a decade ago. Over the same period the Manufacturing share of employment fell from 8% to 6%.</w:t>
      </w:r>
    </w:p>
    <w:p w14:paraId="2A4F40A2" w14:textId="77F1CE74" w:rsidR="00B177D8" w:rsidRDefault="00B177D8" w:rsidP="00B177D8">
      <w:pPr>
        <w:pStyle w:val="Caption"/>
      </w:pPr>
      <w:bookmarkStart w:id="237" w:name="_Ref207620753"/>
      <w:bookmarkStart w:id="238" w:name="_Toc207899212"/>
      <w:bookmarkStart w:id="239" w:name="_Toc211604181"/>
      <w:r>
        <w:t xml:space="preserve">Figure </w:t>
      </w:r>
      <w:r w:rsidRPr="00B177D8">
        <w:fldChar w:fldCharType="begin"/>
      </w:r>
      <w:r w:rsidRPr="00B177D8">
        <w:instrText xml:space="preserve"> SEQ Figure \* ARABIC </w:instrText>
      </w:r>
      <w:r w:rsidRPr="00B177D8">
        <w:fldChar w:fldCharType="separate"/>
      </w:r>
      <w:r w:rsidR="009E6E1D">
        <w:rPr>
          <w:noProof/>
        </w:rPr>
        <w:t>32</w:t>
      </w:r>
      <w:r w:rsidRPr="00B177D8">
        <w:fldChar w:fldCharType="end"/>
      </w:r>
      <w:bookmarkEnd w:id="237"/>
      <w:bookmarkEnd w:id="238"/>
      <w:r w:rsidRPr="00B177D8">
        <w:t xml:space="preserve">: </w:t>
      </w:r>
      <w:r w:rsidR="009F56EA">
        <w:t>I</w:t>
      </w:r>
      <w:r w:rsidR="009F56EA" w:rsidRPr="009F56EA">
        <w:t>ndustry share of total employment 2015 and 2025, grouped by 'Service Industries' and 'Producing Industries' (%)</w:t>
      </w:r>
      <w:bookmarkEnd w:id="239"/>
    </w:p>
    <w:p w14:paraId="3D6F632A" w14:textId="45F45AB6" w:rsidR="00B177D8" w:rsidRDefault="00C52F85" w:rsidP="0076554F">
      <w:pPr>
        <w:pStyle w:val="BodyText"/>
        <w:spacing w:after="0"/>
      </w:pPr>
      <w:r w:rsidRPr="00C52F85">
        <w:rPr>
          <w:noProof/>
        </w:rPr>
        <w:drawing>
          <wp:inline distT="0" distB="0" distL="0" distR="0" wp14:anchorId="23B4EFAB" wp14:editId="05A82AF6">
            <wp:extent cx="5948045" cy="4989830"/>
            <wp:effectExtent l="0" t="0" r="0" b="1270"/>
            <wp:docPr id="932587838" name="Picture 1" descr="Bar chart shows the employment share increased over the 10 year period for a range of industries including Health Care and Social Assistance. Over the same period, the employment share decreased for some industries, including Manufacturing and Retail T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587838" name="Picture 1" descr="Bar chart shows the employment share increased over the 10 year period for a range of industries including Health Care and Social Assistance. Over the same period, the employment share decreased for some industries, including Manufacturing and Retail Trad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948045" cy="4989830"/>
                    </a:xfrm>
                    <a:prstGeom prst="rect">
                      <a:avLst/>
                    </a:prstGeom>
                    <a:noFill/>
                    <a:ln>
                      <a:noFill/>
                    </a:ln>
                  </pic:spPr>
                </pic:pic>
              </a:graphicData>
            </a:graphic>
          </wp:inline>
        </w:drawing>
      </w:r>
    </w:p>
    <w:p w14:paraId="753C13B4" w14:textId="490473CF" w:rsidR="00B177D8" w:rsidRDefault="00B177D8" w:rsidP="0076554F">
      <w:pPr>
        <w:pStyle w:val="Source"/>
        <w:spacing w:before="0"/>
      </w:pPr>
      <w:r w:rsidRPr="00A072B9">
        <w:t xml:space="preserve">Source: ABS, Labour Force, Detailed, May 2025, data trended by </w:t>
      </w:r>
      <w:r w:rsidR="00705445">
        <w:t>JSA.</w:t>
      </w:r>
    </w:p>
    <w:p w14:paraId="1CCCCB3E" w14:textId="77777777" w:rsidR="00B177D8" w:rsidRDefault="00B177D8" w:rsidP="00B177D8">
      <w:pPr>
        <w:pStyle w:val="Heading3"/>
      </w:pPr>
      <w:bookmarkStart w:id="240" w:name="_Toc207702151"/>
      <w:bookmarkStart w:id="241" w:name="_Toc208923409"/>
      <w:bookmarkStart w:id="242" w:name="_Toc211587028"/>
      <w:r>
        <w:t>Employment growth by occupation</w:t>
      </w:r>
      <w:bookmarkEnd w:id="240"/>
      <w:bookmarkEnd w:id="241"/>
      <w:bookmarkEnd w:id="242"/>
    </w:p>
    <w:p w14:paraId="779DBDE5" w14:textId="79EF369C" w:rsidR="00B177D8" w:rsidRDefault="00B177D8" w:rsidP="00EC6E25">
      <w:pPr>
        <w:pStyle w:val="BodyText"/>
      </w:pPr>
      <w:r>
        <w:t xml:space="preserve">Looking at employment in occupation </w:t>
      </w:r>
      <w:r w:rsidR="00264ACE">
        <w:t xml:space="preserve">major </w:t>
      </w:r>
      <w:r>
        <w:t>groups (</w:t>
      </w:r>
      <w:r>
        <w:fldChar w:fldCharType="begin"/>
      </w:r>
      <w:r>
        <w:instrText xml:space="preserve"> REF _Ref207717208 \h </w:instrText>
      </w:r>
      <w:r w:rsidR="00EC6E25">
        <w:instrText xml:space="preserve"> \* MERGEFORMAT </w:instrText>
      </w:r>
      <w:r>
        <w:fldChar w:fldCharType="separate"/>
      </w:r>
      <w:r w:rsidR="009E6E1D">
        <w:t xml:space="preserve">Figure </w:t>
      </w:r>
      <w:r w:rsidR="009E6E1D">
        <w:rPr>
          <w:noProof/>
        </w:rPr>
        <w:t>33</w:t>
      </w:r>
      <w:r>
        <w:fldChar w:fldCharType="end"/>
      </w:r>
      <w:r>
        <w:t>), Professionals had the largest growth over the 10 years to May 2025 (up by 1,253,700, to stand at more than 3.9 million), followed by Community and Personal Service Workers (up by 525,500, to around 1.7 million), Managers (up by 344,400, to more than 1.8 million) and Technicians and Trades Workers (up by 271,400, to almost 2 million).</w:t>
      </w:r>
    </w:p>
    <w:p w14:paraId="798AF91E" w14:textId="77777777" w:rsidR="00B177D8" w:rsidRDefault="00B177D8" w:rsidP="00EC6E25">
      <w:pPr>
        <w:pStyle w:val="BodyText"/>
      </w:pPr>
      <w:r>
        <w:t>Employment growth was relatively low over the past decade for Sales Workers (up by just 42,800, to around 1.1 million) and Labourers (up by 103,400, to around 1.2 million).</w:t>
      </w:r>
    </w:p>
    <w:p w14:paraId="6383E8B6" w14:textId="650D1963" w:rsidR="00B177D8" w:rsidRDefault="00B177D8" w:rsidP="00B177D8">
      <w:pPr>
        <w:pStyle w:val="Caption"/>
      </w:pPr>
      <w:bookmarkStart w:id="243" w:name="_Ref207717208"/>
      <w:bookmarkStart w:id="244" w:name="_Toc207899213"/>
      <w:bookmarkStart w:id="245" w:name="_Toc211604182"/>
      <w:r>
        <w:t xml:space="preserve">Figure </w:t>
      </w:r>
      <w:r w:rsidRPr="00B177D8">
        <w:fldChar w:fldCharType="begin"/>
      </w:r>
      <w:r w:rsidRPr="00B177D8">
        <w:instrText xml:space="preserve"> SEQ Figure \* ARABIC </w:instrText>
      </w:r>
      <w:r w:rsidRPr="00B177D8">
        <w:fldChar w:fldCharType="separate"/>
      </w:r>
      <w:r w:rsidR="009E6E1D">
        <w:rPr>
          <w:noProof/>
        </w:rPr>
        <w:t>33</w:t>
      </w:r>
      <w:r w:rsidRPr="00B177D8">
        <w:fldChar w:fldCharType="end"/>
      </w:r>
      <w:bookmarkEnd w:id="243"/>
      <w:r w:rsidRPr="00B177D8">
        <w:t>: Occupation major group employment change</w:t>
      </w:r>
      <w:r w:rsidR="00044BD4">
        <w:t xml:space="preserve"> by headcount</w:t>
      </w:r>
      <w:r w:rsidRPr="00B177D8">
        <w:t>, 10 years to May 2025 ('000)</w:t>
      </w:r>
      <w:bookmarkEnd w:id="244"/>
      <w:bookmarkEnd w:id="245"/>
    </w:p>
    <w:p w14:paraId="4E82786E" w14:textId="0F9FAC3C" w:rsidR="00EA4331" w:rsidRPr="00EA4331" w:rsidRDefault="00EA4331" w:rsidP="00EA4331">
      <w:pPr>
        <w:pStyle w:val="BodyText"/>
      </w:pPr>
      <w:r w:rsidRPr="00EA4331">
        <w:rPr>
          <w:noProof/>
        </w:rPr>
        <w:drawing>
          <wp:inline distT="0" distB="0" distL="0" distR="0" wp14:anchorId="7B9F33DD" wp14:editId="0768E4FB">
            <wp:extent cx="5947200" cy="3221190"/>
            <wp:effectExtent l="0" t="0" r="0" b="0"/>
            <wp:docPr id="1688929313" name="Chart 1" descr="Bar chart shows occupation groups employment growth with the largest growth for Professionals, followed by Community and Personal Service Workers and Technicians and Trades Workers.">
              <a:extLst xmlns:a="http://schemas.openxmlformats.org/drawingml/2006/main">
                <a:ext uri="{FF2B5EF4-FFF2-40B4-BE49-F238E27FC236}">
                  <a16:creationId xmlns:a16="http://schemas.microsoft.com/office/drawing/2014/main" id="{1BB905F3-1D10-42E2-8C75-FAEDE7E87F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0B4067C8" w14:textId="4ADB97BA" w:rsidR="00B177D8" w:rsidRDefault="00B177D8" w:rsidP="00EC6E25">
      <w:pPr>
        <w:pStyle w:val="Source"/>
      </w:pPr>
      <w:r w:rsidRPr="00DD2815">
        <w:t xml:space="preserve">Source: ABS, Labour Force, Detailed, May 2025, data trended by </w:t>
      </w:r>
      <w:r w:rsidR="00B423A1">
        <w:t>JSA.</w:t>
      </w:r>
    </w:p>
    <w:p w14:paraId="0A517E0B" w14:textId="1F4DF9A0" w:rsidR="00B177D8" w:rsidRDefault="00B177D8" w:rsidP="00EC6E25">
      <w:pPr>
        <w:pStyle w:val="BodyText"/>
      </w:pPr>
      <w:r>
        <w:fldChar w:fldCharType="begin"/>
      </w:r>
      <w:r>
        <w:instrText xml:space="preserve"> REF _Ref207621281 \h </w:instrText>
      </w:r>
      <w:r w:rsidR="00EC6E25">
        <w:instrText xml:space="preserve"> \* MERGEFORMAT </w:instrText>
      </w:r>
      <w:r>
        <w:fldChar w:fldCharType="separate"/>
      </w:r>
      <w:r w:rsidR="009E6E1D">
        <w:t xml:space="preserve">Figure </w:t>
      </w:r>
      <w:r w:rsidR="009E6E1D">
        <w:rPr>
          <w:noProof/>
        </w:rPr>
        <w:t>34</w:t>
      </w:r>
      <w:r>
        <w:fldChar w:fldCharType="end"/>
      </w:r>
      <w:r>
        <w:t xml:space="preserve"> shows the 10 occupation</w:t>
      </w:r>
      <w:r w:rsidR="00264ACE">
        <w:t xml:space="preserve"> unit groups</w:t>
      </w:r>
      <w:r>
        <w:t xml:space="preserve"> that had the largest employment growth over the past decade. Reflecting strong growth in the Health Care and Social Assistance industry, Aged and Disabled Carers had the largest rise in employment over the 10 years to May 2025 (up by 225,900), followed by Registered Nurses (up by 107,600).</w:t>
      </w:r>
    </w:p>
    <w:p w14:paraId="735D26AA" w14:textId="05CBECF1" w:rsidR="00B177D8" w:rsidRDefault="00B177D8" w:rsidP="00B177D8">
      <w:pPr>
        <w:pStyle w:val="Caption"/>
      </w:pPr>
      <w:bookmarkStart w:id="246" w:name="_Ref207621281"/>
      <w:bookmarkStart w:id="247" w:name="_Toc207899214"/>
      <w:bookmarkStart w:id="248" w:name="_Toc211604183"/>
      <w:r>
        <w:t xml:space="preserve">Figure </w:t>
      </w:r>
      <w:r w:rsidRPr="00B177D8">
        <w:fldChar w:fldCharType="begin"/>
      </w:r>
      <w:r w:rsidRPr="00B177D8">
        <w:instrText xml:space="preserve"> SEQ Figure \* ARABIC </w:instrText>
      </w:r>
      <w:r w:rsidRPr="00B177D8">
        <w:fldChar w:fldCharType="separate"/>
      </w:r>
      <w:r w:rsidR="009E6E1D">
        <w:rPr>
          <w:noProof/>
        </w:rPr>
        <w:t>34</w:t>
      </w:r>
      <w:r w:rsidRPr="00B177D8">
        <w:fldChar w:fldCharType="end"/>
      </w:r>
      <w:bookmarkEnd w:id="246"/>
      <w:r w:rsidRPr="00B177D8">
        <w:t>: Top 10 occupations, employment growth</w:t>
      </w:r>
      <w:r w:rsidR="00044BD4">
        <w:t xml:space="preserve"> by headcount</w:t>
      </w:r>
      <w:r w:rsidRPr="00B177D8">
        <w:t xml:space="preserve"> over 10 years to May 2025 ('000)</w:t>
      </w:r>
      <w:bookmarkEnd w:id="247"/>
      <w:bookmarkEnd w:id="248"/>
    </w:p>
    <w:p w14:paraId="43D74CD7" w14:textId="2FC1F793" w:rsidR="00470EED" w:rsidRPr="00470EED" w:rsidRDefault="00470EED" w:rsidP="00470EED">
      <w:pPr>
        <w:pStyle w:val="BodyText"/>
      </w:pPr>
      <w:r w:rsidRPr="00470EED">
        <w:rPr>
          <w:noProof/>
        </w:rPr>
        <w:drawing>
          <wp:inline distT="0" distB="0" distL="0" distR="0" wp14:anchorId="3F439C51" wp14:editId="143DD79F">
            <wp:extent cx="5948045" cy="3809365"/>
            <wp:effectExtent l="0" t="0" r="0" b="635"/>
            <wp:docPr id="1430843014" name="Chart 1" descr="Bar chart shows occupation employment growth with the largest growth for Aged and Disabled Carers, followed by Registered Nurses and Software and Applications Programmers.">
              <a:extLst xmlns:a="http://schemas.openxmlformats.org/drawingml/2006/main">
                <a:ext uri="{FF2B5EF4-FFF2-40B4-BE49-F238E27FC236}">
                  <a16:creationId xmlns:a16="http://schemas.microsoft.com/office/drawing/2014/main" id="{DBBB752C-9DD0-463E-9E92-64D6767117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5CDD4D88" w14:textId="65589801" w:rsidR="00B177D8" w:rsidRDefault="00B177D8" w:rsidP="00EC6E25">
      <w:pPr>
        <w:pStyle w:val="Source"/>
      </w:pPr>
      <w:r w:rsidRPr="00DD2815">
        <w:t xml:space="preserve">Source: ABS, Labour Force, Detailed, May 2025, data trended by </w:t>
      </w:r>
      <w:r w:rsidR="008E784C">
        <w:t>JSA.</w:t>
      </w:r>
    </w:p>
    <w:p w14:paraId="238246B1" w14:textId="63BF1FDA" w:rsidR="00B177D8" w:rsidRDefault="00B177D8" w:rsidP="00B177D8">
      <w:pPr>
        <w:pStyle w:val="Heading3"/>
      </w:pPr>
      <w:bookmarkStart w:id="249" w:name="_Toc207702152"/>
      <w:bookmarkStart w:id="250" w:name="_Toc208923410"/>
      <w:bookmarkStart w:id="251" w:name="_Toc211587029"/>
      <w:r>
        <w:t xml:space="preserve">Employment growth by </w:t>
      </w:r>
      <w:r w:rsidR="00100A25">
        <w:t>s</w:t>
      </w:r>
      <w:r>
        <w:t xml:space="preserve">kill </w:t>
      </w:r>
      <w:r w:rsidR="00100A25">
        <w:t>l</w:t>
      </w:r>
      <w:r>
        <w:t>evel</w:t>
      </w:r>
      <w:r>
        <w:rPr>
          <w:rStyle w:val="FootnoteReference"/>
        </w:rPr>
        <w:footnoteReference w:id="12"/>
      </w:r>
      <w:bookmarkEnd w:id="249"/>
      <w:bookmarkEnd w:id="250"/>
      <w:bookmarkEnd w:id="251"/>
    </w:p>
    <w:p w14:paraId="57DEAB72" w14:textId="77777777" w:rsidR="00B177D8" w:rsidRDefault="00B177D8" w:rsidP="00EC6E25">
      <w:pPr>
        <w:pStyle w:val="BodyText"/>
      </w:pPr>
      <w:r>
        <w:t>There was significant employment growth in higher-skilled occupations (particularly at the highest skill level) over the past 10 years, while employment growth in lower-skilled occupations has been relatively low.</w:t>
      </w:r>
      <w:r w:rsidRPr="00301B94">
        <w:t xml:space="preserve"> </w:t>
      </w:r>
      <w:r>
        <w:t>This is a continuation of a long-term trend that has seen a shift towards higher-skilled occupations.</w:t>
      </w:r>
      <w:r w:rsidRPr="005972D1">
        <w:t xml:space="preserve"> </w:t>
      </w:r>
      <w:r>
        <w:t>Over the 10 years to May 2025:</w:t>
      </w:r>
    </w:p>
    <w:p w14:paraId="146428A1" w14:textId="4B451623" w:rsidR="00B177D8" w:rsidRPr="00B177D8" w:rsidRDefault="00B177D8" w:rsidP="00B27A80">
      <w:pPr>
        <w:pStyle w:val="ListBullet"/>
      </w:pPr>
      <w:r>
        <w:t xml:space="preserve">Employment in Skill Level 1 occupations (the highest skill level, commensurate with a </w:t>
      </w:r>
      <w:r w:rsidR="00602CAF">
        <w:t>bachelor's</w:t>
      </w:r>
      <w:r>
        <w:t xml:space="preserve"> degree or higher) increased by 1,501,900 (or 41.2%).</w:t>
      </w:r>
    </w:p>
    <w:p w14:paraId="617777C3" w14:textId="0F558294" w:rsidR="00B177D8" w:rsidRPr="00B177D8" w:rsidRDefault="00B177D8" w:rsidP="00B27A80">
      <w:pPr>
        <w:pStyle w:val="ListBullet"/>
      </w:pPr>
      <w:r>
        <w:t xml:space="preserve">Skill Level 2-4 occupations (which typically have a </w:t>
      </w:r>
      <w:r w:rsidR="009F3408">
        <w:t>VET</w:t>
      </w:r>
      <w:r>
        <w:t xml:space="preserve"> pathway to employment) increased by 1,327,700 (or 21.5%).</w:t>
      </w:r>
    </w:p>
    <w:p w14:paraId="3F3A546C" w14:textId="0F51AB86" w:rsidR="00B177D8" w:rsidRPr="00B177D8" w:rsidRDefault="00B177D8" w:rsidP="00B27A80">
      <w:pPr>
        <w:pStyle w:val="ListBullet"/>
      </w:pPr>
      <w:r>
        <w:t xml:space="preserve">Employment in Skill Level 5 occupations (the lowest skill level, commensurate with </w:t>
      </w:r>
      <w:r w:rsidR="000E7037">
        <w:t>C</w:t>
      </w:r>
      <w:r>
        <w:t>ertificate I or secondary education) rose by just 79,500 (or 4.2%).</w:t>
      </w:r>
    </w:p>
    <w:p w14:paraId="3BC5923E" w14:textId="4495E9D6" w:rsidR="00B177D8" w:rsidRDefault="00B177D8" w:rsidP="0076554F">
      <w:pPr>
        <w:pStyle w:val="BodyText"/>
        <w:keepNext/>
        <w:keepLines/>
      </w:pPr>
      <w:r>
        <w:fldChar w:fldCharType="begin"/>
      </w:r>
      <w:r>
        <w:instrText xml:space="preserve"> REF _Ref207621340 \h </w:instrText>
      </w:r>
      <w:r w:rsidR="00B27A80">
        <w:instrText xml:space="preserve"> \* MERGEFORMAT </w:instrText>
      </w:r>
      <w:r>
        <w:fldChar w:fldCharType="separate"/>
      </w:r>
      <w:r w:rsidR="009E6E1D">
        <w:t xml:space="preserve">Figure </w:t>
      </w:r>
      <w:r w:rsidR="009E6E1D">
        <w:rPr>
          <w:noProof/>
        </w:rPr>
        <w:t>35</w:t>
      </w:r>
      <w:r>
        <w:fldChar w:fldCharType="end"/>
      </w:r>
      <w:r w:rsidRPr="005972D1">
        <w:t xml:space="preserve"> shows Skill Level 1 occupations accounted for 35% of Australian employment in May 2025, (up from 31% in 2015), while Skill Level 5 occupations account for 14% (down from 16% in 2015).</w:t>
      </w:r>
    </w:p>
    <w:p w14:paraId="25883AA7" w14:textId="0CC48EC2" w:rsidR="00B177D8" w:rsidRPr="00B177D8" w:rsidRDefault="00B177D8" w:rsidP="00B177D8">
      <w:pPr>
        <w:pStyle w:val="Caption"/>
      </w:pPr>
      <w:bookmarkStart w:id="252" w:name="_Ref207621340"/>
      <w:bookmarkStart w:id="253" w:name="_Toc211604184"/>
      <w:bookmarkStart w:id="254" w:name="_Toc207899215"/>
      <w:r>
        <w:t xml:space="preserve">Figure </w:t>
      </w:r>
      <w:r w:rsidRPr="00B177D8">
        <w:fldChar w:fldCharType="begin"/>
      </w:r>
      <w:r w:rsidRPr="00B177D8">
        <w:instrText xml:space="preserve"> SEQ Figure \* ARABIC </w:instrText>
      </w:r>
      <w:r w:rsidRPr="00B177D8">
        <w:fldChar w:fldCharType="separate"/>
      </w:r>
      <w:r w:rsidR="009E6E1D">
        <w:rPr>
          <w:noProof/>
        </w:rPr>
        <w:t>35</w:t>
      </w:r>
      <w:r w:rsidRPr="00B177D8">
        <w:fldChar w:fldCharType="end"/>
      </w:r>
      <w:bookmarkEnd w:id="252"/>
      <w:r w:rsidRPr="00B177D8">
        <w:t xml:space="preserve">: Share of total employment by </w:t>
      </w:r>
      <w:r w:rsidR="00347EFC">
        <w:t>s</w:t>
      </w:r>
      <w:r w:rsidRPr="00B177D8">
        <w:t xml:space="preserve">kill </w:t>
      </w:r>
      <w:r w:rsidR="00347EFC">
        <w:t>l</w:t>
      </w:r>
      <w:r w:rsidRPr="00B177D8">
        <w:t>evel, 2015 and 2025</w:t>
      </w:r>
      <w:bookmarkEnd w:id="253"/>
      <w:r w:rsidRPr="00B177D8">
        <w:t xml:space="preserve"> </w:t>
      </w:r>
      <w:bookmarkEnd w:id="254"/>
    </w:p>
    <w:p w14:paraId="763EE23F" w14:textId="59CDAA6A" w:rsidR="00B177D8" w:rsidRDefault="00241A17" w:rsidP="00B177D8">
      <w:r w:rsidRPr="00241A17">
        <w:rPr>
          <w:noProof/>
        </w:rPr>
        <w:drawing>
          <wp:inline distT="0" distB="0" distL="0" distR="0" wp14:anchorId="30BFA9C8" wp14:editId="55304721">
            <wp:extent cx="5948045" cy="2936875"/>
            <wp:effectExtent l="0" t="0" r="0" b="0"/>
            <wp:docPr id="1584832103" name="Picture 29" descr="Bar chart shows the employment share increased over the 10 year period for Skill Level 1 occupations. Over the same period, the employment share decreased for Skill Level 5 occup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832103" name="Picture 29" descr="Bar chart shows the employment share increased over the 10 year period for Skill Level 1 occupations. Over the same period, the employment share decreased for Skill Level 5 occupations."/>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948045" cy="2936875"/>
                    </a:xfrm>
                    <a:prstGeom prst="rect">
                      <a:avLst/>
                    </a:prstGeom>
                    <a:noFill/>
                    <a:ln>
                      <a:noFill/>
                    </a:ln>
                  </pic:spPr>
                </pic:pic>
              </a:graphicData>
            </a:graphic>
          </wp:inline>
        </w:drawing>
      </w:r>
    </w:p>
    <w:p w14:paraId="657A72F6" w14:textId="12CC4B9D" w:rsidR="00B177D8" w:rsidRDefault="00B177D8" w:rsidP="00B07302">
      <w:pPr>
        <w:pStyle w:val="Source"/>
      </w:pPr>
      <w:r w:rsidRPr="00DD2815">
        <w:t xml:space="preserve">Source: ABS, Labour Force, Detailed, May 2025, data trended by </w:t>
      </w:r>
      <w:r w:rsidR="002B0331">
        <w:t>JSA.</w:t>
      </w:r>
    </w:p>
    <w:p w14:paraId="25992CBF" w14:textId="77777777" w:rsidR="00B177D8" w:rsidRPr="00F0240D" w:rsidRDefault="00B177D8" w:rsidP="00B07302">
      <w:pPr>
        <w:pStyle w:val="BodyText"/>
      </w:pPr>
      <w:r w:rsidRPr="00CF7085">
        <w:t>Employment growth patterns reflect ongoing structural shifts in Australia’s labour market, driven by demographic, economic, and technological change. The rise of service industries, increased demand for care and professional roles, and the concentration of jobs in higher-skilled occupations signal an evolving workforce. Understanding these trends is key to anticipating future needs. Employment projections offer a forward-looking view of job growth, informing planning, investment, and policy across the skills ecosystem.</w:t>
      </w:r>
    </w:p>
    <w:p w14:paraId="00566C04" w14:textId="21D8E657" w:rsidR="00B177D8" w:rsidRDefault="00752577" w:rsidP="00B177D8">
      <w:pPr>
        <w:pStyle w:val="Heading2"/>
      </w:pPr>
      <w:bookmarkStart w:id="255" w:name="_Toc207702153"/>
      <w:bookmarkStart w:id="256" w:name="_Toc208923411"/>
      <w:bookmarkStart w:id="257" w:name="_Toc211587030"/>
      <w:r>
        <w:t>E</w:t>
      </w:r>
      <w:r w:rsidR="00B177D8">
        <w:t>mployment projections</w:t>
      </w:r>
      <w:bookmarkEnd w:id="255"/>
      <w:bookmarkEnd w:id="256"/>
      <w:r>
        <w:t xml:space="preserve"> </w:t>
      </w:r>
      <w:r w:rsidR="003512FC">
        <w:t>–</w:t>
      </w:r>
      <w:r>
        <w:t xml:space="preserve"> 2025</w:t>
      </w:r>
      <w:bookmarkEnd w:id="257"/>
    </w:p>
    <w:p w14:paraId="29F7FAB2" w14:textId="77777777" w:rsidR="00117758" w:rsidRPr="00117758" w:rsidRDefault="00117758" w:rsidP="001B2FE2">
      <w:pPr>
        <w:pStyle w:val="BodyText"/>
      </w:pPr>
      <w:r w:rsidRPr="00117758">
        <w:t xml:space="preserve">JSA’s employment projections are useful for understanding the impact of the current economic and labour market outlook on Australia’s future workforce needs. The projections give insights into trends and growth areas in the labour market and are used by industry and governments to inform policy decisions and workforce planning activities. </w:t>
      </w:r>
    </w:p>
    <w:p w14:paraId="295947F2" w14:textId="3A272F03" w:rsidR="00117758" w:rsidRPr="00117758" w:rsidRDefault="00117758" w:rsidP="001B2FE2">
      <w:pPr>
        <w:pStyle w:val="BodyText"/>
      </w:pPr>
      <w:r w:rsidRPr="00117758">
        <w:t xml:space="preserve">This year, JSA has worked with Victoria University (VU) to produce employment projections to 2035, using the VU Employment Forecasting Model (VUEF) which is underpinned by a computable general equilibrium (CGE) model. </w:t>
      </w:r>
    </w:p>
    <w:p w14:paraId="6129DB1D" w14:textId="77777777" w:rsidR="00117758" w:rsidRPr="00117758" w:rsidRDefault="00117758" w:rsidP="001B2FE2">
      <w:pPr>
        <w:pStyle w:val="BodyText"/>
      </w:pPr>
      <w:r w:rsidRPr="00117758">
        <w:t>The VUEF model brings together a large body of demographic data, employment data, and macroeconomic data, as well as forecasts from government and industry bodies, into a single set of detailed employment forecasts for Australia.</w:t>
      </w:r>
    </w:p>
    <w:p w14:paraId="1DC7DD53" w14:textId="77777777" w:rsidR="00117758" w:rsidRPr="00117758" w:rsidRDefault="00117758" w:rsidP="001B2FE2">
      <w:pPr>
        <w:pStyle w:val="BodyText"/>
      </w:pPr>
      <w:r w:rsidRPr="00117758">
        <w:t>The employment projections outlined in this chapter have been calibrated to the macroeconomic and labour market outlook provided by the Australian Treasury. It offers a 5</w:t>
      </w:r>
      <w:r w:rsidRPr="00117758">
        <w:noBreakHyphen/>
        <w:t>year outlook to highlight the shorter-term employment trends, and a 10-year horizon, to show the impact of longer-term or structural trends.</w:t>
      </w:r>
    </w:p>
    <w:p w14:paraId="17828150" w14:textId="77777777" w:rsidR="00117758" w:rsidRPr="00117758" w:rsidRDefault="00117758" w:rsidP="001B2FE2">
      <w:pPr>
        <w:pStyle w:val="BodyText"/>
      </w:pPr>
      <w:r w:rsidRPr="00117758">
        <w:t xml:space="preserve">It is important to note however, that like any model these projections are based on assumptions and contain a degree of inherent uncertainty. They should be used as indicative of the future trends based on our current knowledge, rather than a precise prediction of the future. </w:t>
      </w:r>
    </w:p>
    <w:p w14:paraId="481712C2" w14:textId="5C251ED0" w:rsidR="00B177D8" w:rsidRDefault="00B177D8" w:rsidP="00B177D8">
      <w:pPr>
        <w:pStyle w:val="Heading3"/>
      </w:pPr>
      <w:bookmarkStart w:id="258" w:name="_Toc207702154"/>
      <w:bookmarkStart w:id="259" w:name="_Toc208923412"/>
      <w:bookmarkStart w:id="260" w:name="_Toc211587031"/>
      <w:r>
        <w:t>Overall employment growth</w:t>
      </w:r>
      <w:bookmarkEnd w:id="258"/>
      <w:bookmarkEnd w:id="259"/>
      <w:r w:rsidR="00DB3F8B">
        <w:rPr>
          <w:rStyle w:val="FootnoteReference"/>
        </w:rPr>
        <w:footnoteReference w:id="13"/>
      </w:r>
      <w:bookmarkEnd w:id="260"/>
    </w:p>
    <w:p w14:paraId="736D84DC" w14:textId="77777777" w:rsidR="008810F7" w:rsidRDefault="008810F7" w:rsidP="001B2FE2">
      <w:pPr>
        <w:pStyle w:val="BodyText"/>
      </w:pPr>
      <w:r w:rsidRPr="00161A4F">
        <w:t>Over the 5 years from May 202</w:t>
      </w:r>
      <w:r>
        <w:t>5</w:t>
      </w:r>
      <w:r w:rsidRPr="00161A4F">
        <w:t xml:space="preserve"> to May 20</w:t>
      </w:r>
      <w:r>
        <w:t>30</w:t>
      </w:r>
      <w:r w:rsidRPr="00161A4F">
        <w:t>, total employment in Australia is projected to increase by 6.</w:t>
      </w:r>
      <w:r>
        <w:t>5</w:t>
      </w:r>
      <w:r w:rsidRPr="00161A4F">
        <w:t>%, or around 9</w:t>
      </w:r>
      <w:r>
        <w:t>61</w:t>
      </w:r>
      <w:r w:rsidRPr="00161A4F">
        <w:t xml:space="preserve">,000 people, </w:t>
      </w:r>
      <w:r>
        <w:t xml:space="preserve">rising to </w:t>
      </w:r>
      <w:r w:rsidRPr="00161A4F">
        <w:t>15.</w:t>
      </w:r>
      <w:r>
        <w:t>7</w:t>
      </w:r>
      <w:r w:rsidRPr="00161A4F">
        <w:t xml:space="preserve"> million employed persons. </w:t>
      </w:r>
    </w:p>
    <w:p w14:paraId="4B8ED412" w14:textId="6AC1810E" w:rsidR="008810F7" w:rsidRDefault="008810F7" w:rsidP="001B2FE2">
      <w:pPr>
        <w:pStyle w:val="BodyText"/>
      </w:pPr>
      <w:r w:rsidRPr="00161A4F">
        <w:t>Over the 10 years from May 202</w:t>
      </w:r>
      <w:r>
        <w:t>5</w:t>
      </w:r>
      <w:r w:rsidRPr="00161A4F">
        <w:t xml:space="preserve"> to May 203</w:t>
      </w:r>
      <w:r>
        <w:t>5</w:t>
      </w:r>
      <w:r w:rsidRPr="00161A4F">
        <w:t>, total employment is projected to increase by 13.</w:t>
      </w:r>
      <w:r>
        <w:t>3</w:t>
      </w:r>
      <w:r w:rsidRPr="00161A4F">
        <w:t xml:space="preserve">%, or nearly 2.0 million people, reaching </w:t>
      </w:r>
      <w:r>
        <w:t xml:space="preserve">over </w:t>
      </w:r>
      <w:r w:rsidRPr="00161A4F">
        <w:t>16.</w:t>
      </w:r>
      <w:r>
        <w:t>6</w:t>
      </w:r>
      <w:r w:rsidRPr="00161A4F">
        <w:t xml:space="preserve"> million employed persons</w:t>
      </w:r>
      <w:r>
        <w:t>.</w:t>
      </w:r>
    </w:p>
    <w:p w14:paraId="416AA2F6" w14:textId="41E948E1" w:rsidR="008810F7" w:rsidRPr="0037670C" w:rsidRDefault="008810F7" w:rsidP="001B2FE2">
      <w:pPr>
        <w:pStyle w:val="BodyText"/>
      </w:pPr>
      <w:r>
        <w:t>Projected growth rates across the forecast period are slightly</w:t>
      </w:r>
      <w:r w:rsidRPr="00161A4F">
        <w:t xml:space="preserve"> weaker than those included in </w:t>
      </w:r>
      <w:r w:rsidR="0028153A">
        <w:t>JSA's</w:t>
      </w:r>
      <w:r w:rsidR="0028153A" w:rsidRPr="00161A4F">
        <w:t xml:space="preserve"> </w:t>
      </w:r>
      <w:r w:rsidRPr="00161A4F">
        <w:t>202</w:t>
      </w:r>
      <w:r>
        <w:t>4</w:t>
      </w:r>
      <w:r w:rsidRPr="00161A4F">
        <w:t xml:space="preserve"> Jobs and Skills Report </w:t>
      </w:r>
      <w:r w:rsidRPr="001B2FE2">
        <w:rPr>
          <w:rStyle w:val="Characteritalic"/>
        </w:rPr>
        <w:t>Better Together</w:t>
      </w:r>
      <w:r w:rsidRPr="008810F7">
        <w:t>.</w:t>
      </w:r>
      <w:r>
        <w:t xml:space="preserve"> However, because of the strength of the labour market across the last financial year, overall employment levels are consistently above those projected a year ago.</w:t>
      </w:r>
    </w:p>
    <w:p w14:paraId="4546B621" w14:textId="77777777" w:rsidR="00B177D8" w:rsidRDefault="00B177D8" w:rsidP="00B177D8">
      <w:pPr>
        <w:pStyle w:val="Heading3"/>
      </w:pPr>
      <w:bookmarkStart w:id="261" w:name="_Toc207702155"/>
      <w:bookmarkStart w:id="262" w:name="_Toc208923413"/>
      <w:bookmarkStart w:id="263" w:name="_Toc211587032"/>
      <w:r>
        <w:t>Industry employment outlook</w:t>
      </w:r>
      <w:bookmarkEnd w:id="261"/>
      <w:bookmarkEnd w:id="262"/>
      <w:bookmarkEnd w:id="263"/>
    </w:p>
    <w:p w14:paraId="65101315" w14:textId="3B6E670D" w:rsidR="006B7188" w:rsidRDefault="00475227" w:rsidP="00085974">
      <w:pPr>
        <w:pStyle w:val="BodyText"/>
      </w:pPr>
      <w:r w:rsidRPr="00EA77C1">
        <w:t xml:space="preserve">The long-term structural shift in employment towards services-related industries is projected to continue over the next decade, with </w:t>
      </w:r>
      <w:r>
        <w:t>the 3 largest service</w:t>
      </w:r>
      <w:r w:rsidRPr="00EA77C1">
        <w:t xml:space="preserve"> industries </w:t>
      </w:r>
      <w:r w:rsidR="007F549F">
        <w:t>(</w:t>
      </w:r>
      <w:r w:rsidRPr="00EA77C1">
        <w:t>i.e. Health Care and Social Assistance, Professional, Scientific and Technical Services</w:t>
      </w:r>
      <w:r>
        <w:t xml:space="preserve"> </w:t>
      </w:r>
      <w:r w:rsidRPr="00EA77C1">
        <w:t>and Education and Training</w:t>
      </w:r>
      <w:r w:rsidR="007F549F">
        <w:t>)</w:t>
      </w:r>
      <w:r w:rsidRPr="00EA77C1">
        <w:t xml:space="preserve"> contributing</w:t>
      </w:r>
      <w:r>
        <w:t xml:space="preserve"> close</w:t>
      </w:r>
      <w:r w:rsidRPr="00EA77C1">
        <w:t xml:space="preserve"> </w:t>
      </w:r>
      <w:r>
        <w:t xml:space="preserve">to </w:t>
      </w:r>
      <w:r w:rsidRPr="00EA77C1">
        <w:t>half (</w:t>
      </w:r>
      <w:r>
        <w:t>49</w:t>
      </w:r>
      <w:r w:rsidRPr="00EA77C1">
        <w:t>%) of the projected employment growth in Australia over this period</w:t>
      </w:r>
      <w:bookmarkStart w:id="264" w:name="_Toc207702156"/>
      <w:bookmarkStart w:id="265" w:name="_Toc208923414"/>
      <w:r w:rsidR="00822732">
        <w:t xml:space="preserve"> (</w:t>
      </w:r>
      <w:r w:rsidR="00822732">
        <w:fldChar w:fldCharType="begin"/>
      </w:r>
      <w:r w:rsidR="00822732">
        <w:instrText xml:space="preserve"> REF _Ref210820286 \h </w:instrText>
      </w:r>
      <w:r w:rsidR="00822732">
        <w:fldChar w:fldCharType="separate"/>
      </w:r>
      <w:r w:rsidR="009E6E1D">
        <w:t xml:space="preserve">Figure </w:t>
      </w:r>
      <w:r w:rsidR="009E6E1D">
        <w:rPr>
          <w:noProof/>
        </w:rPr>
        <w:t>36</w:t>
      </w:r>
      <w:r w:rsidR="00822732">
        <w:fldChar w:fldCharType="end"/>
      </w:r>
      <w:bookmarkEnd w:id="264"/>
      <w:bookmarkEnd w:id="265"/>
      <w:r w:rsidR="00822732">
        <w:t>)</w:t>
      </w:r>
      <w:r w:rsidR="007F549F">
        <w:t>.</w:t>
      </w:r>
    </w:p>
    <w:p w14:paraId="06274E15" w14:textId="61D8E718" w:rsidR="006B7188" w:rsidRDefault="006B7188" w:rsidP="00822732">
      <w:pPr>
        <w:pStyle w:val="Caption"/>
      </w:pPr>
      <w:bookmarkStart w:id="266" w:name="_Ref210820286"/>
      <w:bookmarkStart w:id="267" w:name="_Toc211604185"/>
      <w:r>
        <w:t xml:space="preserve">Figure </w:t>
      </w:r>
      <w:r>
        <w:fldChar w:fldCharType="begin"/>
      </w:r>
      <w:r>
        <w:instrText xml:space="preserve"> SEQ Figure \* ARABIC </w:instrText>
      </w:r>
      <w:r>
        <w:fldChar w:fldCharType="separate"/>
      </w:r>
      <w:r w:rsidR="009E6E1D">
        <w:rPr>
          <w:noProof/>
        </w:rPr>
        <w:t>36</w:t>
      </w:r>
      <w:r>
        <w:fldChar w:fldCharType="end"/>
      </w:r>
      <w:bookmarkEnd w:id="266"/>
      <w:r w:rsidR="00A03006">
        <w:t xml:space="preserve">: </w:t>
      </w:r>
      <w:r w:rsidR="00A03006" w:rsidRPr="006F7665">
        <w:t>5 and 10-year employment outlook</w:t>
      </w:r>
      <w:r w:rsidR="00A03006" w:rsidRPr="00A03006">
        <w:t>, by industry, persons, Australia</w:t>
      </w:r>
      <w:bookmarkEnd w:id="267"/>
    </w:p>
    <w:p w14:paraId="0DF04E04" w14:textId="2DD26D25" w:rsidR="00EA27EF" w:rsidRPr="001840DF" w:rsidRDefault="007A08BE" w:rsidP="0076554F">
      <w:pPr>
        <w:pStyle w:val="Source"/>
        <w:spacing w:after="0"/>
      </w:pPr>
      <w:r w:rsidRPr="007A08BE">
        <w:rPr>
          <w:noProof/>
        </w:rPr>
        <w:drawing>
          <wp:inline distT="0" distB="0" distL="0" distR="0" wp14:anchorId="124FAE78" wp14:editId="35910F67">
            <wp:extent cx="5948045" cy="4773295"/>
            <wp:effectExtent l="0" t="0" r="0" b="8255"/>
            <wp:docPr id="1173405716" name="Picture 12" descr="Figure shows current and projected employment levels in Australia by industry. It also shows the industry shares of total employment and how they are projected to change over the next 5 and 10 years. The overall industry structure of the Australian labour market is projected to remain largely unchanged over the next decade, with most industries maintaining their relative shares of total employment. The most noticeable growth (by share of employment) is projected to occur in the Health Care and Social Assistance industry (up by 1.4  percentage points). Employment in the industry is projected to grow by 290,300 persons (or 12.3 %) to 2030 and by 541,900 persons (or 22.9%) to 2035 - the highest growth of the indus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05716" name="Picture 12" descr="Figure shows current and projected employment levels in Australia by industry. It also shows the industry shares of total employment and how they are projected to change over the next 5 and 10 years. The overall industry structure of the Australian labour market is projected to remain largely unchanged over the next decade, with most industries maintaining their relative shares of total employment. The most noticeable growth (by share of employment) is projected to occur in the Health Care and Social Assistance industry (up by 1.4  percentage points). Employment in the industry is projected to grow by 290,300 persons (or 12.3 %) to 2030 and by 541,900 persons (or 22.9%) to 2035 - the highest growth of the industries."/>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48045" cy="4773295"/>
                    </a:xfrm>
                    <a:prstGeom prst="rect">
                      <a:avLst/>
                    </a:prstGeom>
                    <a:noFill/>
                    <a:ln>
                      <a:noFill/>
                    </a:ln>
                  </pic:spPr>
                </pic:pic>
              </a:graphicData>
            </a:graphic>
          </wp:inline>
        </w:drawing>
      </w:r>
      <w:r w:rsidR="00EA27EF" w:rsidRPr="001840DF">
        <w:t>Source: 202</w:t>
      </w:r>
      <w:r w:rsidR="00EA27EF">
        <w:t>5</w:t>
      </w:r>
      <w:r w:rsidR="00EA27EF" w:rsidRPr="001840DF">
        <w:t>-203</w:t>
      </w:r>
      <w:r w:rsidR="00EA27EF">
        <w:t>5</w:t>
      </w:r>
      <w:r w:rsidR="00EA27EF" w:rsidRPr="001840DF">
        <w:t xml:space="preserve"> Employment Projections, produced by </w:t>
      </w:r>
      <w:r w:rsidR="00491DB7">
        <w:t>VU</w:t>
      </w:r>
      <w:r w:rsidR="00995E04">
        <w:t xml:space="preserve"> </w:t>
      </w:r>
      <w:r w:rsidR="00EA27EF" w:rsidRPr="001840DF">
        <w:t xml:space="preserve">for </w:t>
      </w:r>
      <w:r w:rsidR="007F549F">
        <w:t>JSA</w:t>
      </w:r>
      <w:r w:rsidR="00EA27EF">
        <w:t>.</w:t>
      </w:r>
    </w:p>
    <w:p w14:paraId="39339CB9" w14:textId="4892ACF0" w:rsidR="005D2C82" w:rsidRPr="009D61AE" w:rsidRDefault="005D2C82" w:rsidP="00ED4661">
      <w:pPr>
        <w:pStyle w:val="BodyText"/>
      </w:pPr>
      <w:r w:rsidRPr="009D61AE">
        <w:t xml:space="preserve">The overall industry structure of the Australian labour market is projected to remain largely unchanged over the next decade, with most industries maintaining their relative shares of total employment. The most noticeable </w:t>
      </w:r>
      <w:r>
        <w:t xml:space="preserve">increase </w:t>
      </w:r>
      <w:r w:rsidRPr="009D61AE">
        <w:t xml:space="preserve">(by share of employment) is projected to occur in Health Care and Social Assistance (up by 1.4 percentage points). While Retail Trade is projected to have the largest decrease </w:t>
      </w:r>
      <w:r>
        <w:t xml:space="preserve">in </w:t>
      </w:r>
      <w:r w:rsidRPr="009D61AE">
        <w:t>its share of total employment (</w:t>
      </w:r>
      <w:r w:rsidR="006934D3">
        <w:t>down</w:t>
      </w:r>
      <w:r w:rsidR="00A94EDC">
        <w:t xml:space="preserve"> by</w:t>
      </w:r>
      <w:r w:rsidRPr="009D61AE">
        <w:t xml:space="preserve"> 0.5 point</w:t>
      </w:r>
      <w:r w:rsidR="00A94EDC">
        <w:t>s</w:t>
      </w:r>
      <w:r w:rsidRPr="009D61AE">
        <w:t xml:space="preserve">), it will remain </w:t>
      </w:r>
      <w:r>
        <w:t>one of the</w:t>
      </w:r>
      <w:r w:rsidRPr="009D61AE">
        <w:t xml:space="preserve"> large</w:t>
      </w:r>
      <w:r>
        <w:t>st</w:t>
      </w:r>
      <w:r w:rsidRPr="009D61AE">
        <w:t xml:space="preserve"> employer</w:t>
      </w:r>
      <w:r>
        <w:t>s</w:t>
      </w:r>
      <w:r w:rsidR="00891397">
        <w:t>.</w:t>
      </w:r>
    </w:p>
    <w:p w14:paraId="0C103994" w14:textId="77777777" w:rsidR="005D2C82" w:rsidRDefault="005D2C82" w:rsidP="00ED4661">
      <w:pPr>
        <w:pStyle w:val="BodyText"/>
      </w:pPr>
      <w:r w:rsidRPr="00A16A4D">
        <w:t xml:space="preserve">The top 5 largest employing industries in terms of share of total employment in Australia are the same over both the 5- and 10-year projections: </w:t>
      </w:r>
    </w:p>
    <w:p w14:paraId="1F856F08" w14:textId="214F3033" w:rsidR="001F3CE7" w:rsidRPr="0048360A" w:rsidRDefault="005D2C82" w:rsidP="00ED4661">
      <w:pPr>
        <w:pStyle w:val="ListBullet"/>
      </w:pPr>
      <w:r w:rsidRPr="00DF77E1">
        <w:rPr>
          <w:rStyle w:val="Characterbold"/>
        </w:rPr>
        <w:t>The Health Care and Social Assistance</w:t>
      </w:r>
      <w:r w:rsidRPr="00ED4661">
        <w:rPr>
          <w:rStyle w:val="Characterbold"/>
        </w:rPr>
        <w:t xml:space="preserve"> industry’s</w:t>
      </w:r>
      <w:r w:rsidRPr="0048360A">
        <w:t xml:space="preserve"> share of total employment is projected to increase from 16.1% in 2025 to 17.5% in 2035</w:t>
      </w:r>
      <w:r w:rsidR="00C676E9">
        <w:t>, with e</w:t>
      </w:r>
      <w:r w:rsidRPr="0048360A">
        <w:t>mployment projected to grow by 290,300 persons (or 12.3%) to 2030 and by 541,900 persons (or 22.9%) to 2035.</w:t>
      </w:r>
      <w:r w:rsidR="0048360A">
        <w:t xml:space="preserve"> </w:t>
      </w:r>
    </w:p>
    <w:p w14:paraId="2698318F" w14:textId="1EAFDA06" w:rsidR="005D2C82" w:rsidRPr="005D2C82" w:rsidRDefault="005D2C82" w:rsidP="00ED4661">
      <w:pPr>
        <w:pStyle w:val="ListBullet"/>
      </w:pPr>
      <w:r w:rsidRPr="00ED4661">
        <w:rPr>
          <w:rStyle w:val="Characterbold"/>
        </w:rPr>
        <w:t>The</w:t>
      </w:r>
      <w:r w:rsidR="001F3CE7">
        <w:rPr>
          <w:rStyle w:val="Characterbold"/>
        </w:rPr>
        <w:t xml:space="preserve"> </w:t>
      </w:r>
      <w:r w:rsidRPr="00ED4661">
        <w:rPr>
          <w:rStyle w:val="Characterbold"/>
        </w:rPr>
        <w:t>Professional, Scientific and Technical Services industry’s</w:t>
      </w:r>
      <w:r w:rsidRPr="00431115">
        <w:t xml:space="preserve"> share of total employment is projected to increase from 9.2% in 2025 to 9.6% in 2035</w:t>
      </w:r>
      <w:r w:rsidR="00844826">
        <w:t>, with e</w:t>
      </w:r>
      <w:r w:rsidRPr="00431115">
        <w:t>mployment projected to grow by 136,600 persons (or 10.1%) to 2030 and by 250,100 persons (18.5%) to 2035.</w:t>
      </w:r>
      <w:r w:rsidR="00844826">
        <w:t xml:space="preserve"> </w:t>
      </w:r>
    </w:p>
    <w:p w14:paraId="58226776" w14:textId="4FE569BC" w:rsidR="001F3CE7" w:rsidRPr="00B31450" w:rsidRDefault="005D2C82" w:rsidP="00ED4661">
      <w:pPr>
        <w:pStyle w:val="ListBullet"/>
      </w:pPr>
      <w:r w:rsidRPr="00ED4661">
        <w:rPr>
          <w:rStyle w:val="Characterbold"/>
        </w:rPr>
        <w:t>The Construction industry’s</w:t>
      </w:r>
      <w:r w:rsidRPr="00B31450">
        <w:t xml:space="preserve"> share of total employment is projected to decline slightly from 9.2% in 2025 to 9.1% in 2035. Despite this, employment is projected to grow by 93,500 persons (or 6.9%) to 2030 and by 160,900 persons (or 11.9%) to 2035.</w:t>
      </w:r>
      <w:r w:rsidR="002021F1">
        <w:t xml:space="preserve"> </w:t>
      </w:r>
    </w:p>
    <w:p w14:paraId="0E8405F1" w14:textId="1BE04FC1" w:rsidR="001F3CE7" w:rsidRPr="00B31450" w:rsidRDefault="005D2C82" w:rsidP="00ED4661">
      <w:pPr>
        <w:pStyle w:val="ListBullet"/>
      </w:pPr>
      <w:r w:rsidRPr="00ED4661">
        <w:rPr>
          <w:rStyle w:val="Characterbold"/>
        </w:rPr>
        <w:t>The Retail Trade industry’s</w:t>
      </w:r>
      <w:r w:rsidRPr="00B31450">
        <w:t xml:space="preserve"> share of total employment is projected to decline from 9.2% in 2025 to 8.6% in 2035. Despite this, employment is projected to grow by 34,500 persons (or 2.5%) to 2030 and 93,100 persons (6.9%) to 2035. </w:t>
      </w:r>
    </w:p>
    <w:p w14:paraId="5F512B93" w14:textId="24DE087D" w:rsidR="003C7F36" w:rsidRDefault="005D2C82" w:rsidP="00ED4661">
      <w:pPr>
        <w:pStyle w:val="ListBullet"/>
      </w:pPr>
      <w:r w:rsidRPr="00B31450">
        <w:t>T</w:t>
      </w:r>
      <w:r w:rsidRPr="00ED4661">
        <w:rPr>
          <w:rStyle w:val="Characterbold"/>
        </w:rPr>
        <w:t xml:space="preserve">he Education and </w:t>
      </w:r>
      <w:r w:rsidRPr="00ED4661">
        <w:rPr>
          <w:rStyle w:val="Characterbold"/>
          <w:b w:val="0"/>
        </w:rPr>
        <w:t>Training</w:t>
      </w:r>
      <w:r w:rsidRPr="00ED4661">
        <w:rPr>
          <w:rStyle w:val="Characterbold"/>
        </w:rPr>
        <w:t xml:space="preserve"> industry’s </w:t>
      </w:r>
      <w:r w:rsidRPr="00B31450">
        <w:t xml:space="preserve">share of total employment is projected to remain broadly unchanged between 2025 and 2035 at around 8.6%. Employment is projected to grow by 72,000 persons (5.7%) to 2030 and 157,700 persons (12.4%) to 2035. </w:t>
      </w:r>
    </w:p>
    <w:p w14:paraId="2D92F07C" w14:textId="4A7846CE" w:rsidR="00B177D8" w:rsidRPr="00F54195" w:rsidRDefault="000E6880" w:rsidP="00ED4661">
      <w:pPr>
        <w:pStyle w:val="BodyText"/>
        <w:rPr>
          <w:highlight w:val="yellow"/>
        </w:rPr>
      </w:pPr>
      <w:r>
        <w:t>Detailed projections for</w:t>
      </w:r>
      <w:r w:rsidR="00CC00CF">
        <w:t xml:space="preserve"> each </w:t>
      </w:r>
      <w:r w:rsidR="00D67CDD" w:rsidRPr="00964E80">
        <w:t xml:space="preserve">Australian and New Zealand Standard Industrial Classification </w:t>
      </w:r>
      <w:r w:rsidR="00D67CDD">
        <w:t>(</w:t>
      </w:r>
      <w:r w:rsidR="00CC00CF">
        <w:t>ANZ</w:t>
      </w:r>
      <w:r>
        <w:t>SIC</w:t>
      </w:r>
      <w:r w:rsidR="00D67CDD">
        <w:t>)</w:t>
      </w:r>
      <w:r>
        <w:t xml:space="preserve"> </w:t>
      </w:r>
      <w:r w:rsidR="00D67CDD">
        <w:t>division</w:t>
      </w:r>
      <w:r w:rsidR="005B3F87">
        <w:t xml:space="preserve"> </w:t>
      </w:r>
      <w:r>
        <w:t xml:space="preserve">can be found in Appendix </w:t>
      </w:r>
      <w:r w:rsidR="004709AA">
        <w:t>D</w:t>
      </w:r>
    </w:p>
    <w:p w14:paraId="22C31133" w14:textId="72509AC1" w:rsidR="00961233" w:rsidRDefault="00961233" w:rsidP="009D6BD0">
      <w:pPr>
        <w:pStyle w:val="Heading3"/>
      </w:pPr>
      <w:bookmarkStart w:id="268" w:name="_Toc211587033"/>
      <w:bookmarkStart w:id="269" w:name="_Toc207702157"/>
      <w:bookmarkStart w:id="270" w:name="_Toc208923415"/>
      <w:r>
        <w:t xml:space="preserve">Employment </w:t>
      </w:r>
      <w:r w:rsidR="00931EA4">
        <w:t>o</w:t>
      </w:r>
      <w:r>
        <w:t>utlook</w:t>
      </w:r>
      <w:r w:rsidR="00931EA4">
        <w:t xml:space="preserve"> by </w:t>
      </w:r>
      <w:r w:rsidR="00931EA4" w:rsidRPr="00BA55DF">
        <w:t>occupation</w:t>
      </w:r>
      <w:bookmarkEnd w:id="268"/>
    </w:p>
    <w:p w14:paraId="06A310F8" w14:textId="7B1AD78E" w:rsidR="007E553C" w:rsidRPr="007E553C" w:rsidRDefault="007E553C" w:rsidP="00ED4661">
      <w:pPr>
        <w:pStyle w:val="BodyText"/>
      </w:pPr>
      <w:r w:rsidRPr="007E553C">
        <w:t xml:space="preserve">All occupation </w:t>
      </w:r>
      <w:r w:rsidR="00220817">
        <w:t xml:space="preserve">major </w:t>
      </w:r>
      <w:r w:rsidRPr="007E553C">
        <w:t>groups are projected to increase in employment over the next decade (</w:t>
      </w:r>
      <w:r w:rsidR="00DC4FB9">
        <w:fldChar w:fldCharType="begin"/>
      </w:r>
      <w:r w:rsidR="00DC4FB9">
        <w:instrText xml:space="preserve"> REF _Ref210821015 </w:instrText>
      </w:r>
      <w:r w:rsidR="000A555A">
        <w:instrText xml:space="preserve"> \* MERGEFORMAT </w:instrText>
      </w:r>
      <w:r w:rsidR="00DC4FB9">
        <w:fldChar w:fldCharType="separate"/>
      </w:r>
      <w:r w:rsidR="009E6E1D">
        <w:t xml:space="preserve">Figure </w:t>
      </w:r>
      <w:r w:rsidR="009E6E1D">
        <w:rPr>
          <w:noProof/>
        </w:rPr>
        <w:t>37</w:t>
      </w:r>
      <w:r w:rsidR="00DC4FB9">
        <w:fldChar w:fldCharType="end"/>
      </w:r>
      <w:r w:rsidRPr="007E553C">
        <w:t xml:space="preserve">) with the largest growth among Professionals. </w:t>
      </w:r>
    </w:p>
    <w:p w14:paraId="38CEA328" w14:textId="70C2F7CF" w:rsidR="007E553C" w:rsidRDefault="007E553C" w:rsidP="007E553C">
      <w:pPr>
        <w:pStyle w:val="Caption"/>
      </w:pPr>
      <w:bookmarkStart w:id="271" w:name="_Ref210821015"/>
      <w:bookmarkStart w:id="272" w:name="_Toc181281118"/>
      <w:bookmarkStart w:id="273" w:name="_Ref210821008"/>
      <w:bookmarkStart w:id="274" w:name="_Toc211604186"/>
      <w:r>
        <w:t xml:space="preserve">Figure </w:t>
      </w:r>
      <w:r>
        <w:fldChar w:fldCharType="begin"/>
      </w:r>
      <w:r>
        <w:instrText xml:space="preserve"> SEQ Figure \* ARABIC </w:instrText>
      </w:r>
      <w:r>
        <w:fldChar w:fldCharType="separate"/>
      </w:r>
      <w:r w:rsidR="009E6E1D">
        <w:rPr>
          <w:noProof/>
        </w:rPr>
        <w:t>37</w:t>
      </w:r>
      <w:r>
        <w:fldChar w:fldCharType="end"/>
      </w:r>
      <w:bookmarkEnd w:id="271"/>
      <w:r>
        <w:t>:</w:t>
      </w:r>
      <w:r w:rsidR="003C19DF">
        <w:t xml:space="preserve"> </w:t>
      </w:r>
      <w:r w:rsidRPr="00F66D22">
        <w:t>5 and 10-year employment outlook</w:t>
      </w:r>
      <w:r>
        <w:t>,</w:t>
      </w:r>
      <w:r w:rsidRPr="00F66D22">
        <w:t xml:space="preserve"> by occupation </w:t>
      </w:r>
      <w:r w:rsidR="00264ACE">
        <w:t xml:space="preserve">major </w:t>
      </w:r>
      <w:r w:rsidRPr="00F66D22">
        <w:t>group, persons, Australia</w:t>
      </w:r>
      <w:bookmarkEnd w:id="272"/>
      <w:bookmarkEnd w:id="273"/>
      <w:bookmarkEnd w:id="274"/>
    </w:p>
    <w:p w14:paraId="7FF21FB3" w14:textId="6078F8BD" w:rsidR="007E553C" w:rsidRPr="00AC0957" w:rsidRDefault="00FC255D" w:rsidP="007E553C">
      <w:pPr>
        <w:pStyle w:val="Source"/>
      </w:pPr>
      <w:r w:rsidRPr="00FC255D">
        <w:rPr>
          <w:noProof/>
        </w:rPr>
        <w:drawing>
          <wp:inline distT="0" distB="0" distL="0" distR="0" wp14:anchorId="50F44776" wp14:editId="76390CF4">
            <wp:extent cx="5943600" cy="2743200"/>
            <wp:effectExtent l="0" t="0" r="0" b="0"/>
            <wp:docPr id="1772797394" name="Picture 2" descr="Figure shows current and projected employment levels in Australia by major occupation group. It also shows each occupation's share of total employment and how that is projected to change over the next 5 and 10 years. All major occupation groups are projected to increase in employment over the next decade with the largest growth among Professionals (projected to grow by 456,900 persons or 11.6% to 2030 and by 845,300 persons or 21.4% to 203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797394" name="Picture 2" descr="Figure shows current and projected employment levels in Australia by major occupation group. It also shows each occupation's share of total employment and how that is projected to change over the next 5 and 10 years. All major occupation groups are projected to increase in employment over the next decade with the largest growth among Professionals (projected to grow by 456,900 persons or 11.6% to 2030 and by 845,300 persons or 21.4% to 2035.  "/>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943600" cy="2743200"/>
                    </a:xfrm>
                    <a:prstGeom prst="rect">
                      <a:avLst/>
                    </a:prstGeom>
                    <a:noFill/>
                    <a:ln>
                      <a:noFill/>
                    </a:ln>
                  </pic:spPr>
                </pic:pic>
              </a:graphicData>
            </a:graphic>
          </wp:inline>
        </w:drawing>
      </w:r>
      <w:r w:rsidR="007E553C" w:rsidRPr="00AF6380">
        <w:t>Source: 202</w:t>
      </w:r>
      <w:r w:rsidR="007E553C">
        <w:t>5</w:t>
      </w:r>
      <w:r w:rsidR="007E553C" w:rsidRPr="00AF6380">
        <w:t>-203</w:t>
      </w:r>
      <w:r w:rsidR="007E553C">
        <w:t>5</w:t>
      </w:r>
      <w:r w:rsidR="007E553C" w:rsidRPr="00AF6380">
        <w:t xml:space="preserve"> Employment Projections, produced by </w:t>
      </w:r>
      <w:r w:rsidR="00491DB7">
        <w:t>VU</w:t>
      </w:r>
      <w:r w:rsidR="007E553C" w:rsidRPr="00AF6380">
        <w:t xml:space="preserve"> for </w:t>
      </w:r>
      <w:r w:rsidR="0072483F">
        <w:t>JSA</w:t>
      </w:r>
      <w:r w:rsidR="007E553C">
        <w:t>.</w:t>
      </w:r>
    </w:p>
    <w:p w14:paraId="06B72345" w14:textId="77777777" w:rsidR="007E553C" w:rsidRPr="007E553C" w:rsidRDefault="007E553C" w:rsidP="00ED4661">
      <w:pPr>
        <w:pStyle w:val="BodyText"/>
      </w:pPr>
      <w:r w:rsidRPr="007E553C">
        <w:t>The occupation major groups projected to experience the highest employment growth over the next 5 and 10 years include:</w:t>
      </w:r>
    </w:p>
    <w:p w14:paraId="43E4AFED" w14:textId="0B762AF0" w:rsidR="007E553C" w:rsidRPr="007E553C" w:rsidRDefault="007E553C" w:rsidP="00ED4661">
      <w:pPr>
        <w:pStyle w:val="ListBullet"/>
      </w:pPr>
      <w:r w:rsidRPr="00ED4661">
        <w:rPr>
          <w:rStyle w:val="Characterbold"/>
        </w:rPr>
        <w:t>Professionals</w:t>
      </w:r>
      <w:r w:rsidRPr="00557969">
        <w:t xml:space="preserve"> </w:t>
      </w:r>
      <w:r w:rsidR="00715F3C">
        <w:t xml:space="preserve">are </w:t>
      </w:r>
      <w:r w:rsidRPr="00557969">
        <w:t>projected to grow by 4</w:t>
      </w:r>
      <w:r w:rsidRPr="007E553C">
        <w:t>56,900 persons</w:t>
      </w:r>
      <w:r w:rsidR="00C20C1E">
        <w:t xml:space="preserve"> (</w:t>
      </w:r>
      <w:r w:rsidRPr="007E553C">
        <w:t>11.6%</w:t>
      </w:r>
      <w:r w:rsidR="00C20C1E">
        <w:t>)</w:t>
      </w:r>
      <w:r w:rsidRPr="007E553C">
        <w:t xml:space="preserve"> to 2030</w:t>
      </w:r>
      <w:r w:rsidR="00C20C1E">
        <w:t>,</w:t>
      </w:r>
      <w:r w:rsidRPr="007E553C">
        <w:t xml:space="preserve"> and by 845,300 persons </w:t>
      </w:r>
      <w:r w:rsidR="00C20C1E">
        <w:t>(</w:t>
      </w:r>
      <w:r w:rsidRPr="007E553C">
        <w:t>21.4%</w:t>
      </w:r>
      <w:r w:rsidR="00C20C1E">
        <w:t>)</w:t>
      </w:r>
      <w:r w:rsidRPr="007E553C">
        <w:t xml:space="preserve"> to 2035.</w:t>
      </w:r>
      <w:r w:rsidR="000A5471">
        <w:t xml:space="preserve"> The t</w:t>
      </w:r>
      <w:r>
        <w:t>op 3 occupations</w:t>
      </w:r>
      <w:r w:rsidR="000A5471">
        <w:t xml:space="preserve"> in this group,</w:t>
      </w:r>
      <w:r>
        <w:t xml:space="preserve"> by share of employment in May 2035</w:t>
      </w:r>
      <w:r w:rsidR="008D4FE7">
        <w:t>,</w:t>
      </w:r>
      <w:r>
        <w:t xml:space="preserve"> are Registered Nurses (9.6%), Accountants (5.1%) and Software and Application Programmers (4.9%)</w:t>
      </w:r>
      <w:r w:rsidR="008D4FE7">
        <w:t xml:space="preserve">. </w:t>
      </w:r>
      <w:r>
        <w:t>The</w:t>
      </w:r>
      <w:r w:rsidRPr="007E553C">
        <w:t xml:space="preserve"> occupations that are projected to have the strongest employment growth over the decade are mostly those in the health therapy area</w:t>
      </w:r>
      <w:r w:rsidR="00C13A48">
        <w:t>.</w:t>
      </w:r>
      <w:r w:rsidRPr="007E553C">
        <w:t xml:space="preserve"> </w:t>
      </w:r>
      <w:r w:rsidR="00C13A48">
        <w:t>F</w:t>
      </w:r>
      <w:r w:rsidRPr="007E553C">
        <w:t>or example</w:t>
      </w:r>
      <w:r w:rsidR="002F6A90">
        <w:t>,</w:t>
      </w:r>
      <w:r w:rsidRPr="007E553C">
        <w:t xml:space="preserve"> Physiotherapists are projected to increase by 3</w:t>
      </w:r>
      <w:r w:rsidR="004C7FF4">
        <w:t>5</w:t>
      </w:r>
      <w:r w:rsidRPr="007E553C">
        <w:t>.</w:t>
      </w:r>
      <w:r w:rsidR="004C7FF4">
        <w:t>1</w:t>
      </w:r>
      <w:r w:rsidRPr="007E553C">
        <w:t>% over the next 10 years.</w:t>
      </w:r>
    </w:p>
    <w:p w14:paraId="05326BAF" w14:textId="4B4CE282" w:rsidR="007E553C" w:rsidRPr="00557969" w:rsidRDefault="007E553C" w:rsidP="00ED4661">
      <w:pPr>
        <w:pStyle w:val="ListBullet"/>
      </w:pPr>
      <w:r w:rsidRPr="00ED4661">
        <w:rPr>
          <w:rStyle w:val="Characterbold"/>
        </w:rPr>
        <w:t>Managers</w:t>
      </w:r>
      <w:r w:rsidRPr="001E51B8">
        <w:t xml:space="preserve"> </w:t>
      </w:r>
      <w:r w:rsidR="0081747F">
        <w:t xml:space="preserve">are </w:t>
      </w:r>
      <w:r w:rsidRPr="001E51B8">
        <w:t>projected to grow by 143,400 persons</w:t>
      </w:r>
      <w:r w:rsidR="0081747F">
        <w:t xml:space="preserve"> (</w:t>
      </w:r>
      <w:r w:rsidRPr="001E51B8">
        <w:t>7.7%</w:t>
      </w:r>
      <w:r w:rsidR="0081747F">
        <w:t>)</w:t>
      </w:r>
      <w:r w:rsidRPr="001E51B8">
        <w:t xml:space="preserve"> to 2030 and by 279,600 people</w:t>
      </w:r>
      <w:r w:rsidR="0081747F">
        <w:t xml:space="preserve"> (</w:t>
      </w:r>
      <w:r w:rsidRPr="001E51B8">
        <w:t>14.9%</w:t>
      </w:r>
      <w:r w:rsidR="0081747F">
        <w:t>)</w:t>
      </w:r>
      <w:r w:rsidRPr="001E51B8">
        <w:t xml:space="preserve"> to 2035.</w:t>
      </w:r>
      <w:r w:rsidR="0081747F">
        <w:t xml:space="preserve"> The t</w:t>
      </w:r>
      <w:r>
        <w:t xml:space="preserve">op 3 occupations </w:t>
      </w:r>
      <w:r w:rsidR="0081747F">
        <w:t xml:space="preserve">in this group, </w:t>
      </w:r>
      <w:r>
        <w:t>by share of employment in May 2035</w:t>
      </w:r>
      <w:r w:rsidR="0081747F">
        <w:t>,</w:t>
      </w:r>
      <w:r>
        <w:t xml:space="preserve"> are</w:t>
      </w:r>
      <w:r w:rsidR="0081747F">
        <w:t xml:space="preserve"> </w:t>
      </w:r>
      <w:r>
        <w:t>Retail Managers (12.4%), Advertising, Public Relations and Sales Managers (9.0%) and Construction Managers (7.3%)</w:t>
      </w:r>
      <w:r w:rsidR="0081747F">
        <w:t xml:space="preserve">. </w:t>
      </w:r>
      <w:r>
        <w:t xml:space="preserve">The occupations that are projected to have the strongest employment growth over the decade are </w:t>
      </w:r>
      <w:r w:rsidRPr="00D227E5">
        <w:t>Health and Welfare Services Managers</w:t>
      </w:r>
      <w:r>
        <w:t xml:space="preserve"> (27.1%), </w:t>
      </w:r>
      <w:r w:rsidRPr="00D227E5">
        <w:t>ICT Managers</w:t>
      </w:r>
      <w:r>
        <w:t xml:space="preserve"> (25.5%) and </w:t>
      </w:r>
      <w:r w:rsidRPr="00D227E5">
        <w:t>Research and Development Managers</w:t>
      </w:r>
      <w:r>
        <w:t xml:space="preserve"> (22.8%).</w:t>
      </w:r>
    </w:p>
    <w:p w14:paraId="2EA85AFD" w14:textId="43EB4C0D" w:rsidR="007E553C" w:rsidRPr="0011453A" w:rsidRDefault="007E553C" w:rsidP="00ED4661">
      <w:pPr>
        <w:pStyle w:val="ListBullet"/>
      </w:pPr>
      <w:r w:rsidRPr="00ED4661">
        <w:rPr>
          <w:rStyle w:val="Characterbold"/>
        </w:rPr>
        <w:t>Community and Personal Service Workers</w:t>
      </w:r>
      <w:r w:rsidRPr="0011453A">
        <w:t xml:space="preserve"> </w:t>
      </w:r>
      <w:r w:rsidR="0081747F" w:rsidRPr="0011453A">
        <w:t xml:space="preserve">are </w:t>
      </w:r>
      <w:r w:rsidRPr="0011453A">
        <w:t>projected to grow by 122,000 persons</w:t>
      </w:r>
      <w:r w:rsidR="0081747F" w:rsidRPr="0011453A">
        <w:t xml:space="preserve"> (</w:t>
      </w:r>
      <w:r w:rsidRPr="0011453A">
        <w:t>7.1%</w:t>
      </w:r>
      <w:r w:rsidR="0081747F" w:rsidRPr="0011453A">
        <w:t>)</w:t>
      </w:r>
      <w:r w:rsidRPr="0011453A">
        <w:t xml:space="preserve"> to 2030 and by 236,100 people </w:t>
      </w:r>
      <w:r w:rsidR="0081747F" w:rsidRPr="0011453A">
        <w:t>(</w:t>
      </w:r>
      <w:r w:rsidRPr="0011453A">
        <w:t>13.7%</w:t>
      </w:r>
      <w:r w:rsidR="0081747F" w:rsidRPr="0011453A">
        <w:t>)</w:t>
      </w:r>
      <w:r w:rsidRPr="0011453A">
        <w:t xml:space="preserve"> to 2035. T</w:t>
      </w:r>
      <w:r w:rsidR="0081747F" w:rsidRPr="0011453A">
        <w:t>he t</w:t>
      </w:r>
      <w:r w:rsidRPr="0011453A">
        <w:t>op 3 occupations by share of employment in this group in May 2035 are Aged and Disabled Carers (22.3%), Child Carers (9.2%) and Education Aides (7.5%)</w:t>
      </w:r>
      <w:r w:rsidR="0081747F" w:rsidRPr="0011453A">
        <w:t xml:space="preserve">. </w:t>
      </w:r>
      <w:r w:rsidRPr="0011453A">
        <w:t>The occupations that are projected to have the strongest employment growth over the decade are mostly those in health and care field</w:t>
      </w:r>
      <w:r w:rsidR="00317320" w:rsidRPr="0011453A">
        <w:t>s</w:t>
      </w:r>
      <w:r w:rsidRPr="0011453A">
        <w:t>, with top 3 being Dental Assistants (26.8%), Nursing Support and Personal Care Workers (24.7%) and Ambulance Officers and Paramedics (22.6%).</w:t>
      </w:r>
    </w:p>
    <w:p w14:paraId="0BB7559C" w14:textId="77777777" w:rsidR="007E553C" w:rsidRPr="007E553C" w:rsidRDefault="007E553C" w:rsidP="00ED4661">
      <w:pPr>
        <w:pStyle w:val="BodyText"/>
      </w:pPr>
      <w:r w:rsidRPr="007E553C">
        <w:t>It is expected that the shift towards employment in occupation groups such as Professionals and Managers will continue over the next decade. Currently, these two occupation groups constitute 39.6% of total employment in Australia and this employment share is projected to increase to 41.7% by May 2035. Growth in care and support occupations is also expected to continue with the employment share of Community and Personal Services Workers projected to increase slightly from 11.7% in May 2025 to 11.8% by May 2035.</w:t>
      </w:r>
    </w:p>
    <w:p w14:paraId="135BEFE8" w14:textId="327717F1" w:rsidR="007E553C" w:rsidRDefault="007E553C" w:rsidP="00B319CE">
      <w:pPr>
        <w:pStyle w:val="BodyText"/>
      </w:pPr>
      <w:r w:rsidRPr="007E553C">
        <w:t>While Technicians and Trades Workers, the second largest occupation major group, is projected to increase by 195,800 (9.8%) in the next decade, they would represent a slightly reduced share of the workforce (from 13.6% in May 2025 to 13.1% in May 2035), showing a similar trend to the Construction industry</w:t>
      </w:r>
      <w:r w:rsidR="00C50953">
        <w:t xml:space="preserve">. </w:t>
      </w:r>
    </w:p>
    <w:p w14:paraId="48615BE9" w14:textId="4627C281" w:rsidR="006818D3" w:rsidRPr="001F3CE7" w:rsidRDefault="006818D3" w:rsidP="006818D3">
      <w:pPr>
        <w:pStyle w:val="BodyText"/>
      </w:pPr>
      <w:r>
        <w:t xml:space="preserve">Detailed projections for each </w:t>
      </w:r>
      <w:r w:rsidR="00D768F9">
        <w:t>occupation major group</w:t>
      </w:r>
      <w:r>
        <w:t xml:space="preserve"> can be found </w:t>
      </w:r>
      <w:r w:rsidR="007B1159">
        <w:t>in Appendix D</w:t>
      </w:r>
      <w:r w:rsidR="001B151E">
        <w:t>.</w:t>
      </w:r>
    </w:p>
    <w:p w14:paraId="7920851B" w14:textId="33A02BF4" w:rsidR="00B177D8" w:rsidRPr="00BA55DF" w:rsidRDefault="00B177D8" w:rsidP="009D6BD0">
      <w:pPr>
        <w:pStyle w:val="Heading3"/>
      </w:pPr>
      <w:bookmarkStart w:id="275" w:name="_Toc211587034"/>
      <w:r w:rsidRPr="00BA55DF">
        <w:t>Employment outlook for states and territories</w:t>
      </w:r>
      <w:bookmarkEnd w:id="269"/>
      <w:bookmarkEnd w:id="270"/>
      <w:bookmarkEnd w:id="275"/>
    </w:p>
    <w:p w14:paraId="02EF2473" w14:textId="7455C4D9" w:rsidR="00B51D0C" w:rsidRDefault="0031756A" w:rsidP="00ED4661">
      <w:pPr>
        <w:pStyle w:val="BodyText"/>
      </w:pPr>
      <w:r w:rsidRPr="0031756A">
        <w:t>Employment is projected to increase in all states and territories over the 10 years to May 2035</w:t>
      </w:r>
      <w:r w:rsidR="00C975F6">
        <w:t xml:space="preserve"> </w:t>
      </w:r>
      <w:r w:rsidR="006A3076">
        <w:t>(</w:t>
      </w:r>
      <w:r w:rsidR="002773CD">
        <w:fldChar w:fldCharType="begin"/>
      </w:r>
      <w:r w:rsidR="002773CD">
        <w:instrText xml:space="preserve"> REF _Ref210824608 \h </w:instrText>
      </w:r>
      <w:r w:rsidR="002773CD">
        <w:fldChar w:fldCharType="separate"/>
      </w:r>
      <w:r w:rsidR="009E6E1D">
        <w:t xml:space="preserve">Figure </w:t>
      </w:r>
      <w:r w:rsidR="009E6E1D">
        <w:rPr>
          <w:noProof/>
        </w:rPr>
        <w:t>38</w:t>
      </w:r>
      <w:r w:rsidR="002773CD">
        <w:fldChar w:fldCharType="end"/>
      </w:r>
      <w:r w:rsidR="006A3076">
        <w:t>)</w:t>
      </w:r>
      <w:r w:rsidRPr="00F57C3F">
        <w:t>.</w:t>
      </w:r>
      <w:r w:rsidRPr="0031756A">
        <w:t xml:space="preserve"> The largest increase in employment by persons is projected for Victoria (579,500 persons or an increase of 15.3%), closely followed by NSW (576,800 persons or 12.7%), Queensland (401,700 or 13.3%), and WA (227,400 or 13.6%)</w:t>
      </w:r>
      <w:r w:rsidR="007F36DB">
        <w:t>.</w:t>
      </w:r>
      <w:bookmarkStart w:id="276" w:name="_Ref181123585"/>
      <w:bookmarkStart w:id="277" w:name="_Toc181281119"/>
    </w:p>
    <w:p w14:paraId="3CA60CB9" w14:textId="317ED95F" w:rsidR="0031756A" w:rsidRDefault="00752577" w:rsidP="00752577">
      <w:pPr>
        <w:pStyle w:val="Caption"/>
      </w:pPr>
      <w:bookmarkStart w:id="278" w:name="_Ref210824608"/>
      <w:bookmarkStart w:id="279" w:name="_Ref210821562"/>
      <w:bookmarkStart w:id="280" w:name="_Toc211604187"/>
      <w:r>
        <w:t xml:space="preserve">Figure </w:t>
      </w:r>
      <w:r w:rsidR="00716DF1">
        <w:fldChar w:fldCharType="begin"/>
      </w:r>
      <w:r w:rsidR="00716DF1">
        <w:instrText xml:space="preserve"> SEQ Figure \* ARABIC </w:instrText>
      </w:r>
      <w:r w:rsidR="00716DF1">
        <w:fldChar w:fldCharType="separate"/>
      </w:r>
      <w:r w:rsidR="009E6E1D">
        <w:rPr>
          <w:noProof/>
        </w:rPr>
        <w:t>38</w:t>
      </w:r>
      <w:r w:rsidR="00716DF1">
        <w:fldChar w:fldCharType="end"/>
      </w:r>
      <w:bookmarkEnd w:id="278"/>
      <w:r w:rsidR="0031756A">
        <w:t xml:space="preserve">: </w:t>
      </w:r>
      <w:r w:rsidR="0031756A" w:rsidRPr="00CB2C02">
        <w:t>5 and 10-year employment outlook</w:t>
      </w:r>
      <w:r w:rsidR="0031756A">
        <w:t>,</w:t>
      </w:r>
      <w:r w:rsidR="0031756A" w:rsidRPr="00CB2C02">
        <w:t xml:space="preserve"> by state and territory, persons</w:t>
      </w:r>
      <w:bookmarkEnd w:id="276"/>
      <w:bookmarkEnd w:id="277"/>
      <w:bookmarkEnd w:id="279"/>
      <w:bookmarkEnd w:id="280"/>
    </w:p>
    <w:p w14:paraId="25FC4680" w14:textId="251DC76F" w:rsidR="0031756A" w:rsidRDefault="005B12C0" w:rsidP="0031756A">
      <w:pPr>
        <w:pStyle w:val="Source"/>
      </w:pPr>
      <w:r w:rsidRPr="005B12C0">
        <w:rPr>
          <w:noProof/>
        </w:rPr>
        <w:drawing>
          <wp:inline distT="0" distB="0" distL="0" distR="0" wp14:anchorId="5651A26F" wp14:editId="1963EAF2">
            <wp:extent cx="5943600" cy="2821305"/>
            <wp:effectExtent l="0" t="0" r="0" b="0"/>
            <wp:docPr id="5232285" name="Picture 7" descr="Figure shows current and projected employment levels by State and Territory, and the growth levels and rates over the next 5 and 10 years. Employment is projected to grow in all States and Territories over the next decade, with the largest employment increases projected for Victoria (up 579,500) and NSW (up 576,800) by May 2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2285" name="Picture 7" descr="Figure shows current and projected employment levels by State and Territory, and the growth levels and rates over the next 5 and 10 years. Employment is projected to grow in all States and Territories over the next decade, with the largest employment increases projected for Victoria (up 579,500) and NSW (up 576,800) by May 203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43600" cy="2821305"/>
                    </a:xfrm>
                    <a:prstGeom prst="rect">
                      <a:avLst/>
                    </a:prstGeom>
                    <a:noFill/>
                    <a:ln>
                      <a:noFill/>
                    </a:ln>
                  </pic:spPr>
                </pic:pic>
              </a:graphicData>
            </a:graphic>
          </wp:inline>
        </w:drawing>
      </w:r>
      <w:r w:rsidR="0031756A" w:rsidRPr="00081C05">
        <w:t>Source: 202</w:t>
      </w:r>
      <w:r w:rsidR="0031756A">
        <w:t>5</w:t>
      </w:r>
      <w:r w:rsidR="0031756A" w:rsidRPr="00081C05">
        <w:t>-203</w:t>
      </w:r>
      <w:r w:rsidR="0031756A">
        <w:t>5</w:t>
      </w:r>
      <w:r w:rsidR="0031756A" w:rsidRPr="00081C05">
        <w:t xml:space="preserve"> Employment Projections, produced by </w:t>
      </w:r>
      <w:r w:rsidR="00634691">
        <w:t>VU</w:t>
      </w:r>
      <w:r w:rsidR="0031756A" w:rsidRPr="00081C05">
        <w:t xml:space="preserve"> for </w:t>
      </w:r>
      <w:r w:rsidR="00360499">
        <w:t>JSA</w:t>
      </w:r>
      <w:r w:rsidR="0031756A">
        <w:t>.</w:t>
      </w:r>
    </w:p>
    <w:p w14:paraId="21A2C178" w14:textId="6E2E4F83" w:rsidR="0031756A" w:rsidRPr="00F27787" w:rsidRDefault="0056487D" w:rsidP="0076554F">
      <w:pPr>
        <w:pStyle w:val="BodyText"/>
        <w:keepNext/>
      </w:pPr>
      <w:r>
        <w:t>Common themes are found when a</w:t>
      </w:r>
      <w:r w:rsidR="0031756A" w:rsidRPr="00F27787">
        <w:t>nalysing trends in industry employment across the states and territories over the 10 years to May 2035</w:t>
      </w:r>
      <w:r>
        <w:t xml:space="preserve">. </w:t>
      </w:r>
    </w:p>
    <w:p w14:paraId="7BE4D56F" w14:textId="70D74A49" w:rsidR="0031756A" w:rsidRPr="0031756A" w:rsidRDefault="0031756A" w:rsidP="0076554F">
      <w:pPr>
        <w:pStyle w:val="ListBullet"/>
        <w:keepLines/>
        <w:ind w:left="357" w:hanging="357"/>
      </w:pPr>
      <w:r w:rsidRPr="00ED4661">
        <w:rPr>
          <w:rStyle w:val="Characterbold"/>
        </w:rPr>
        <w:t>Health Care and Social Assistance</w:t>
      </w:r>
      <w:r w:rsidRPr="00A656A0">
        <w:t xml:space="preserve"> is the largest employing industry by share of employment in 203</w:t>
      </w:r>
      <w:r w:rsidRPr="0031756A">
        <w:t xml:space="preserve">5 in all states and territories, except for the Australian Capital Territory where Public Administration and Safety is the largest. </w:t>
      </w:r>
      <w:r w:rsidR="006E0D9A">
        <w:t xml:space="preserve">Over the next decade, </w:t>
      </w:r>
      <w:r w:rsidRPr="0031756A">
        <w:t>Health Care and Social Assistance is projected to be the highest contributing industry to employment growth across all states and territories</w:t>
      </w:r>
      <w:r w:rsidR="006E0D9A">
        <w:t xml:space="preserve"> </w:t>
      </w:r>
      <w:r w:rsidRPr="0031756A">
        <w:t>except for Tasmania and South Australia.</w:t>
      </w:r>
    </w:p>
    <w:p w14:paraId="14DCF00C" w14:textId="010408D8" w:rsidR="0031756A" w:rsidRPr="0051633F" w:rsidRDefault="0031756A" w:rsidP="00ED4661">
      <w:pPr>
        <w:pStyle w:val="ListBullet"/>
      </w:pPr>
      <w:r w:rsidRPr="00ED4661">
        <w:rPr>
          <w:rStyle w:val="Characterbold"/>
        </w:rPr>
        <w:t>Professional, Scientific and Technical Services</w:t>
      </w:r>
      <w:r w:rsidRPr="0051633F">
        <w:t xml:space="preserve"> is projected to be the second largest employing industry in N</w:t>
      </w:r>
      <w:r>
        <w:t xml:space="preserve">ew </w:t>
      </w:r>
      <w:r w:rsidRPr="0051633F">
        <w:t>S</w:t>
      </w:r>
      <w:r>
        <w:t xml:space="preserve">outh </w:t>
      </w:r>
      <w:r w:rsidRPr="0051633F">
        <w:t>W</w:t>
      </w:r>
      <w:r>
        <w:t>ales</w:t>
      </w:r>
      <w:r w:rsidRPr="0051633F">
        <w:t xml:space="preserve"> and Victoria, </w:t>
      </w:r>
      <w:r w:rsidR="004B4439">
        <w:t>representing</w:t>
      </w:r>
      <w:r w:rsidRPr="0051633F">
        <w:t xml:space="preserve"> over 10.0% of employment in these jurisdictions. </w:t>
      </w:r>
      <w:r w:rsidR="00585368">
        <w:t>Over the next decade, t</w:t>
      </w:r>
      <w:r w:rsidRPr="0051633F">
        <w:t xml:space="preserve">his industry is projected to be the second highest contributor to employment growth </w:t>
      </w:r>
      <w:r w:rsidR="00513565">
        <w:t>in all</w:t>
      </w:r>
      <w:r w:rsidRPr="0051633F">
        <w:t xml:space="preserve"> states and territories except </w:t>
      </w:r>
      <w:r w:rsidRPr="00A656A0">
        <w:t>T</w:t>
      </w:r>
      <w:r>
        <w:t>asmania</w:t>
      </w:r>
      <w:r w:rsidRPr="0051633F">
        <w:t xml:space="preserve"> and S</w:t>
      </w:r>
      <w:r>
        <w:t xml:space="preserve">outh </w:t>
      </w:r>
      <w:r w:rsidRPr="0051633F">
        <w:t>A</w:t>
      </w:r>
      <w:r>
        <w:t>ustralia</w:t>
      </w:r>
      <w:r w:rsidR="00C03B34">
        <w:t>,</w:t>
      </w:r>
      <w:r>
        <w:t xml:space="preserve"> </w:t>
      </w:r>
      <w:r w:rsidRPr="0051633F">
        <w:t>where it is the highest contributor</w:t>
      </w:r>
      <w:r w:rsidR="00E006D9">
        <w:t>,</w:t>
      </w:r>
      <w:r>
        <w:t xml:space="preserve"> and Western Australia, where Education and Training is projected to be the second highest contributor.</w:t>
      </w:r>
    </w:p>
    <w:p w14:paraId="7AF1C569" w14:textId="5F6C273F" w:rsidR="0031756A" w:rsidRDefault="0031756A">
      <w:pPr>
        <w:pStyle w:val="ListBullet"/>
      </w:pPr>
      <w:r w:rsidRPr="00ED4661">
        <w:rPr>
          <w:rStyle w:val="Characterbold"/>
        </w:rPr>
        <w:t>Construction</w:t>
      </w:r>
      <w:r w:rsidRPr="004F5A67">
        <w:t xml:space="preserve"> is projected to be the third largest employing industry in N</w:t>
      </w:r>
      <w:r>
        <w:t xml:space="preserve">ew </w:t>
      </w:r>
      <w:r w:rsidRPr="004F5A67">
        <w:t>S</w:t>
      </w:r>
      <w:r>
        <w:t xml:space="preserve">outh </w:t>
      </w:r>
      <w:r w:rsidRPr="004F5A67">
        <w:t>W</w:t>
      </w:r>
      <w:r>
        <w:t>ales</w:t>
      </w:r>
      <w:r w:rsidRPr="004F5A67">
        <w:t xml:space="preserve">, Victoria and Tasmania and </w:t>
      </w:r>
      <w:r w:rsidR="004F5308">
        <w:t xml:space="preserve">the </w:t>
      </w:r>
      <w:r w:rsidRPr="004F5A67">
        <w:t xml:space="preserve">second largest in </w:t>
      </w:r>
      <w:r>
        <w:t>Queensland</w:t>
      </w:r>
      <w:r w:rsidRPr="004F5A67">
        <w:t>, S</w:t>
      </w:r>
      <w:r>
        <w:t xml:space="preserve">outh </w:t>
      </w:r>
      <w:r w:rsidRPr="004F5A67">
        <w:t>A</w:t>
      </w:r>
      <w:r>
        <w:t>ustralia</w:t>
      </w:r>
      <w:r w:rsidRPr="004F5A67">
        <w:t xml:space="preserve"> and W</w:t>
      </w:r>
      <w:r>
        <w:t xml:space="preserve">estern </w:t>
      </w:r>
      <w:r w:rsidRPr="004F5A67">
        <w:t>A</w:t>
      </w:r>
      <w:r>
        <w:t>ustralia</w:t>
      </w:r>
      <w:r w:rsidRPr="004F5A67">
        <w:t xml:space="preserve">. It is projected to </w:t>
      </w:r>
      <w:r>
        <w:t xml:space="preserve">be an important </w:t>
      </w:r>
      <w:r w:rsidRPr="004F5A67">
        <w:t xml:space="preserve">contributor to employment growth across all states and territories. </w:t>
      </w:r>
    </w:p>
    <w:p w14:paraId="4F5029BF" w14:textId="1278E163" w:rsidR="00544A62" w:rsidRPr="00544A62" w:rsidRDefault="00544A62" w:rsidP="00ED4661">
      <w:pPr>
        <w:pStyle w:val="ListBullet"/>
        <w:numPr>
          <w:ilvl w:val="0"/>
          <w:numId w:val="0"/>
        </w:numPr>
      </w:pPr>
      <w:r w:rsidRPr="00544A62">
        <w:t xml:space="preserve">Detailed projections for each state and territory can be found in Appendix </w:t>
      </w:r>
      <w:r w:rsidR="00C604B2">
        <w:t>D</w:t>
      </w:r>
      <w:r w:rsidRPr="00544A62">
        <w:t xml:space="preserve">. </w:t>
      </w:r>
    </w:p>
    <w:p w14:paraId="517D99DE" w14:textId="38E6A8EB" w:rsidR="00B177D8" w:rsidRDefault="00B177D8" w:rsidP="00B177D8">
      <w:pPr>
        <w:pStyle w:val="Heading3"/>
      </w:pPr>
      <w:bookmarkStart w:id="281" w:name="_Toc207702158"/>
      <w:bookmarkStart w:id="282" w:name="_Toc208923416"/>
      <w:bookmarkStart w:id="283" w:name="_Toc211587035"/>
      <w:r>
        <w:t>Employment outlook by skill level</w:t>
      </w:r>
      <w:bookmarkEnd w:id="281"/>
      <w:bookmarkEnd w:id="282"/>
      <w:bookmarkEnd w:id="283"/>
    </w:p>
    <w:p w14:paraId="53BE91DD" w14:textId="71D77E43" w:rsidR="00F244E7" w:rsidRPr="00F244E7" w:rsidRDefault="00F244E7" w:rsidP="00ED4661">
      <w:pPr>
        <w:pStyle w:val="BodyText"/>
      </w:pPr>
      <w:r w:rsidRPr="00F244E7">
        <w:t>Recent years have seen the vast majority of employment growth occur in jobs that typically require post-secondary qualifications. The 2025 projections suggest that this trend will continue, with more than 90% of the employment growth over the next 10 years occurring in these occupations (covering skill levels 1 to 4). Over half (54.3%) occurs in occupations related to a bachelor’s degree or higher as the primary education pathway (</w:t>
      </w:r>
      <w:r w:rsidR="00D042A8">
        <w:t>S</w:t>
      </w:r>
      <w:r w:rsidRPr="00F244E7">
        <w:t xml:space="preserve">kill </w:t>
      </w:r>
      <w:r w:rsidR="00D042A8">
        <w:t>L</w:t>
      </w:r>
      <w:r w:rsidRPr="00F244E7">
        <w:t>evel 1), and a further 40.1% in occupations with VET as the primary pathway (</w:t>
      </w:r>
      <w:r w:rsidR="009C5029">
        <w:t>S</w:t>
      </w:r>
      <w:r w:rsidRPr="00F244E7">
        <w:t xml:space="preserve">kill </w:t>
      </w:r>
      <w:r w:rsidR="009C5029">
        <w:t>L</w:t>
      </w:r>
      <w:r w:rsidRPr="00F244E7">
        <w:t>evels 2 to 4) (</w:t>
      </w:r>
      <w:r w:rsidR="008E6182">
        <w:fldChar w:fldCharType="begin"/>
      </w:r>
      <w:r w:rsidR="008E6182">
        <w:instrText xml:space="preserve"> REF _Ref210822145 </w:instrText>
      </w:r>
      <w:r w:rsidR="008E6182">
        <w:fldChar w:fldCharType="separate"/>
      </w:r>
      <w:r w:rsidR="009E6E1D">
        <w:t xml:space="preserve">Figure </w:t>
      </w:r>
      <w:r w:rsidR="009E6E1D">
        <w:rPr>
          <w:noProof/>
        </w:rPr>
        <w:t>39</w:t>
      </w:r>
      <w:r w:rsidR="008E6182">
        <w:fldChar w:fldCharType="end"/>
      </w:r>
      <w:r w:rsidRPr="00F244E7">
        <w:t>). While the overall trend is consistent with last year’s projections, the proportion of higher education qualified roles is higher, and the proportion with VET pathways is lower than in last year’s Jobs and Skills Report. The</w:t>
      </w:r>
      <w:r w:rsidR="00085974">
        <w:t xml:space="preserve"> lower growth is mainly among </w:t>
      </w:r>
      <w:r w:rsidR="00D042A8">
        <w:t>S</w:t>
      </w:r>
      <w:r w:rsidR="00085974">
        <w:t xml:space="preserve">kill </w:t>
      </w:r>
      <w:r w:rsidR="00D042A8">
        <w:t>L</w:t>
      </w:r>
      <w:r w:rsidR="00085974">
        <w:t xml:space="preserve">evel 4 occupations, </w:t>
      </w:r>
      <w:r w:rsidRPr="00F244E7">
        <w:t xml:space="preserve">with the outlook for </w:t>
      </w:r>
      <w:r w:rsidR="00A14DB5">
        <w:t>S</w:t>
      </w:r>
      <w:r w:rsidR="00A14DB5" w:rsidRPr="00F244E7">
        <w:t xml:space="preserve">kill </w:t>
      </w:r>
      <w:r w:rsidR="00A14DB5">
        <w:t>L</w:t>
      </w:r>
      <w:r w:rsidRPr="00F244E7">
        <w:t>evel 3 slightly more positive than last year.</w:t>
      </w:r>
      <w:r w:rsidR="007D38C4">
        <w:t xml:space="preserve"> </w:t>
      </w:r>
      <w:r w:rsidR="00C86083">
        <w:t>However, it is important to note that a</w:t>
      </w:r>
      <w:r w:rsidR="007D38C4" w:rsidRPr="00E0190D">
        <w:t xml:space="preserve"> key factor in the modelling framework is </w:t>
      </w:r>
      <w:r w:rsidR="007D38C4" w:rsidRPr="007D38C4">
        <w:t>that the current and forecast educational attainment profile of the population is considered when forecasting employment by occupation and industry</w:t>
      </w:r>
      <w:r w:rsidR="0078160E">
        <w:t xml:space="preserve"> (and therefore by skill level), which is discussed further below</w:t>
      </w:r>
      <w:r w:rsidR="007D38C4" w:rsidRPr="007D38C4">
        <w:t>.</w:t>
      </w:r>
    </w:p>
    <w:p w14:paraId="50EE9CE2" w14:textId="4FEF77EF" w:rsidR="00F244E7" w:rsidRDefault="00F244E7" w:rsidP="00F244E7">
      <w:pPr>
        <w:pStyle w:val="Caption"/>
      </w:pPr>
      <w:bookmarkStart w:id="284" w:name="_Ref210822145"/>
      <w:bookmarkStart w:id="285" w:name="_Toc181281121"/>
      <w:bookmarkStart w:id="286" w:name="_Toc211604188"/>
      <w:r>
        <w:t xml:space="preserve">Figure </w:t>
      </w:r>
      <w:r>
        <w:fldChar w:fldCharType="begin"/>
      </w:r>
      <w:r>
        <w:instrText xml:space="preserve"> SEQ Figure \* ARABIC </w:instrText>
      </w:r>
      <w:r>
        <w:fldChar w:fldCharType="separate"/>
      </w:r>
      <w:r w:rsidR="009E6E1D">
        <w:rPr>
          <w:noProof/>
        </w:rPr>
        <w:t>39</w:t>
      </w:r>
      <w:r>
        <w:fldChar w:fldCharType="end"/>
      </w:r>
      <w:bookmarkEnd w:id="284"/>
      <w:r>
        <w:t>:</w:t>
      </w:r>
      <w:r w:rsidRPr="00C8423A">
        <w:t xml:space="preserve"> </w:t>
      </w:r>
      <w:r w:rsidRPr="003A49BF">
        <w:t>5 and 10-year employment outlook, by skill level of occupation, persons, Australia</w:t>
      </w:r>
      <w:bookmarkEnd w:id="285"/>
      <w:bookmarkEnd w:id="286"/>
    </w:p>
    <w:p w14:paraId="01BB5308" w14:textId="64810B00" w:rsidR="00F244E7" w:rsidRDefault="005B0C53" w:rsidP="00F244E7">
      <w:pPr>
        <w:pStyle w:val="Source"/>
      </w:pPr>
      <w:r w:rsidRPr="005B0C53">
        <w:rPr>
          <w:noProof/>
        </w:rPr>
        <w:drawing>
          <wp:inline distT="0" distB="0" distL="0" distR="0" wp14:anchorId="45599195" wp14:editId="1E2D6B01">
            <wp:extent cx="5938520" cy="2454275"/>
            <wp:effectExtent l="0" t="0" r="5080" b="3175"/>
            <wp:docPr id="1794809398" name="Picture 11" descr="Figure shows current and projected employment levels in Australia by skill level of occupation, and how that is projected to change over the next 5 and 10 years. Employment is projected to increase over the next decade for skill level 1 occupations the most (commensurate with bachelor degree an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809398" name="Picture 11" descr="Figure shows current and projected employment levels in Australia by skill level of occupation, and how that is projected to change over the next 5 and 10 years. Employment is projected to increase over the next decade for skill level 1 occupations the most (commensurate with bachelor degree and above)."/>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938520" cy="2454275"/>
                    </a:xfrm>
                    <a:prstGeom prst="rect">
                      <a:avLst/>
                    </a:prstGeom>
                    <a:noFill/>
                    <a:ln>
                      <a:noFill/>
                    </a:ln>
                  </pic:spPr>
                </pic:pic>
              </a:graphicData>
            </a:graphic>
          </wp:inline>
        </w:drawing>
      </w:r>
      <w:r w:rsidR="00F244E7" w:rsidRPr="001D0DC3">
        <w:t>Source: 202</w:t>
      </w:r>
      <w:r w:rsidR="00F244E7">
        <w:t>5</w:t>
      </w:r>
      <w:r w:rsidR="00F244E7" w:rsidRPr="001D0DC3">
        <w:t>-203</w:t>
      </w:r>
      <w:r w:rsidR="00F244E7">
        <w:t>5</w:t>
      </w:r>
      <w:r w:rsidR="00F244E7" w:rsidRPr="001D0DC3">
        <w:t xml:space="preserve"> Employment Projections, produced by </w:t>
      </w:r>
      <w:r w:rsidR="00634691">
        <w:t>VU</w:t>
      </w:r>
      <w:r w:rsidR="00F244E7" w:rsidRPr="001D0DC3">
        <w:t xml:space="preserve"> for </w:t>
      </w:r>
      <w:r w:rsidR="006E4FF3">
        <w:t>JSA</w:t>
      </w:r>
      <w:r w:rsidR="00F244E7">
        <w:t>.</w:t>
      </w:r>
    </w:p>
    <w:p w14:paraId="0A6CFF00" w14:textId="5C4ADCD8" w:rsidR="00F244E7" w:rsidRPr="00AB12A0" w:rsidRDefault="00F244E7" w:rsidP="00ED4661">
      <w:pPr>
        <w:pStyle w:val="Source"/>
      </w:pPr>
      <w:r w:rsidRPr="00AB12A0">
        <w:t xml:space="preserve">Note: Skill </w:t>
      </w:r>
      <w:r w:rsidR="00D52D99">
        <w:t>L</w:t>
      </w:r>
      <w:r w:rsidRPr="00AB12A0">
        <w:t>evel 1 relates to bachelor</w:t>
      </w:r>
      <w:r>
        <w:t>’s</w:t>
      </w:r>
      <w:r w:rsidRPr="00AB12A0">
        <w:t xml:space="preserve"> degree or higher qualification; Skill </w:t>
      </w:r>
      <w:r w:rsidR="00D52D99">
        <w:t>L</w:t>
      </w:r>
      <w:r w:rsidRPr="00AB12A0">
        <w:t xml:space="preserve">evel 2 relates to advanced diploma or diploma; Skill </w:t>
      </w:r>
      <w:r w:rsidR="00D52D99">
        <w:t>L</w:t>
      </w:r>
      <w:r w:rsidRPr="00AB12A0">
        <w:t xml:space="preserve">evel 3 relates to Certificate IV or III (including at least 2 years’ on-the-job training); Skill </w:t>
      </w:r>
      <w:r w:rsidR="00D52D99">
        <w:t>L</w:t>
      </w:r>
      <w:r w:rsidRPr="00AB12A0">
        <w:t>evel 4 relates to Certificate II or III; Skill Level 5 relates to Certificate I or secondary education.</w:t>
      </w:r>
    </w:p>
    <w:p w14:paraId="127F531C" w14:textId="21DC78BC" w:rsidR="00F244E7" w:rsidRDefault="00F244E7" w:rsidP="005E1267">
      <w:pPr>
        <w:pStyle w:val="BodyText"/>
      </w:pPr>
      <w:r w:rsidRPr="00517148">
        <w:t xml:space="preserve">The stronger growth in higher skill </w:t>
      </w:r>
      <w:r w:rsidRPr="00F244E7" w:rsidDel="00D243A7">
        <w:t>l</w:t>
      </w:r>
      <w:r w:rsidRPr="00F244E7">
        <w:t>evel</w:t>
      </w:r>
      <w:r w:rsidR="00FD7A74">
        <w:t xml:space="preserve"> occupation</w:t>
      </w:r>
      <w:r w:rsidRPr="00F244E7">
        <w:t>s</w:t>
      </w:r>
      <w:r w:rsidRPr="00517148">
        <w:t xml:space="preserve"> results in an increase in the proportion of people employed in jobs at </w:t>
      </w:r>
      <w:r w:rsidR="00E70784">
        <w:t>s</w:t>
      </w:r>
      <w:r w:rsidRPr="00F244E7">
        <w:t xml:space="preserve">kill </w:t>
      </w:r>
      <w:r w:rsidR="00E70784">
        <w:t>l</w:t>
      </w:r>
      <w:r w:rsidRPr="00F244E7">
        <w:t>evels</w:t>
      </w:r>
      <w:r w:rsidRPr="00517148">
        <w:t xml:space="preserve"> 1 to 4 across this period – the share rising from 86.3% in May 2025 to 87.3% in May 2035. On the other hand, employment in low skill jobs (</w:t>
      </w:r>
      <w:r w:rsidR="00FD7A74">
        <w:t>S</w:t>
      </w:r>
      <w:r w:rsidRPr="00F244E7">
        <w:t xml:space="preserve">kill </w:t>
      </w:r>
      <w:r w:rsidR="00FD7A74">
        <w:t>L</w:t>
      </w:r>
      <w:r w:rsidRPr="00F244E7">
        <w:t>evel</w:t>
      </w:r>
      <w:r w:rsidRPr="00517148">
        <w:t xml:space="preserve"> 5, where a formal post school qualification is not required) is projected to decline from 13.7% in 2025 to 12.7% in 2035 </w:t>
      </w:r>
    </w:p>
    <w:p w14:paraId="20AC70D8" w14:textId="2F66DA03" w:rsidR="0067444C" w:rsidRDefault="0067444C" w:rsidP="0067444C">
      <w:pPr>
        <w:pStyle w:val="BodyText"/>
      </w:pPr>
      <w:r>
        <w:t xml:space="preserve">Detailed projections </w:t>
      </w:r>
      <w:r w:rsidR="00185F95">
        <w:t xml:space="preserve">by </w:t>
      </w:r>
      <w:r w:rsidR="000C1ECE">
        <w:t>s</w:t>
      </w:r>
      <w:r w:rsidR="00185F95">
        <w:t xml:space="preserve">kill </w:t>
      </w:r>
      <w:r w:rsidR="000C1ECE">
        <w:t>l</w:t>
      </w:r>
      <w:r w:rsidR="00185F95">
        <w:t>evel</w:t>
      </w:r>
      <w:r>
        <w:t xml:space="preserve"> can be found in Appendix </w:t>
      </w:r>
      <w:r w:rsidR="00C604B2">
        <w:t>D.</w:t>
      </w:r>
    </w:p>
    <w:p w14:paraId="3924EC9B" w14:textId="77777777" w:rsidR="00E0190D" w:rsidRPr="00AC0957" w:rsidRDefault="00E0190D" w:rsidP="00E0190D">
      <w:pPr>
        <w:pStyle w:val="Heading3"/>
        <w:numPr>
          <w:ilvl w:val="2"/>
          <w:numId w:val="2"/>
        </w:numPr>
      </w:pPr>
      <w:bookmarkStart w:id="287" w:name="_Toc211587036"/>
      <w:r>
        <w:t>The impacts of education on the employment outlook</w:t>
      </w:r>
      <w:bookmarkEnd w:id="287"/>
    </w:p>
    <w:p w14:paraId="5895CB0D" w14:textId="18E11885" w:rsidR="00E0190D" w:rsidRPr="00E0190D" w:rsidRDefault="00E0190D" w:rsidP="00ED4661">
      <w:pPr>
        <w:pStyle w:val="BodyText"/>
      </w:pPr>
      <w:r w:rsidRPr="00E0190D">
        <w:t>A key factor in the VUEF modelling framework is the skills</w:t>
      </w:r>
      <w:r w:rsidRPr="00E0190D">
        <w:rPr>
          <w:rStyle w:val="FootnoteReference"/>
        </w:rPr>
        <w:footnoteReference w:id="14"/>
      </w:r>
      <w:r w:rsidRPr="00E0190D">
        <w:t xml:space="preserve"> supply constraint, which ensures that the current and forecast educational attainment profile of the population is considered when forecasting employment by occupation and industry. The model effectively projects ‘equilibrium’ employment</w:t>
      </w:r>
      <w:r w:rsidR="00B113F2">
        <w:t xml:space="preserve"> </w:t>
      </w:r>
      <w:r w:rsidR="00292294" w:rsidRPr="00292294">
        <w:t>–</w:t>
      </w:r>
      <w:r w:rsidR="00B113F2">
        <w:t xml:space="preserve"> </w:t>
      </w:r>
      <w:r w:rsidRPr="00E0190D">
        <w:t>that is, there is a deliberate consideration of the impacts of both demand for and supply of labour for each occupation, with the impact of constraints through the availability of labour limiting the overall size of the workforce in each area.</w:t>
      </w:r>
    </w:p>
    <w:p w14:paraId="059B9C46" w14:textId="77777777" w:rsidR="00E0190D" w:rsidRPr="00E0190D" w:rsidRDefault="00E0190D" w:rsidP="00ED4661">
      <w:pPr>
        <w:pStyle w:val="BodyText"/>
      </w:pPr>
      <w:r w:rsidRPr="00E0190D">
        <w:t>For example, as there is a relatively limited supply of people with qualifications at the Certificate III and IV levels in the Engineering field of study, there are constraints on the supply of qualified tradespeople, and therefore limits on the possible rate of expansion in employment in the construction sector.</w:t>
      </w:r>
    </w:p>
    <w:p w14:paraId="3DC6E825" w14:textId="1B53B1E9" w:rsidR="00E0190D" w:rsidRPr="00E0190D" w:rsidRDefault="00E0190D" w:rsidP="00ED4661">
      <w:pPr>
        <w:pStyle w:val="BodyText"/>
      </w:pPr>
      <w:r w:rsidRPr="00E0190D">
        <w:t>The projected composition of skills in the Australian labour market is based on observed trends in educational attainment by age, gender and level and field of qualification. There are specific trends seen in the educational attainment of younger people in recent years</w:t>
      </w:r>
      <w:r w:rsidR="00D17AC3">
        <w:t xml:space="preserve">; </w:t>
      </w:r>
      <w:r w:rsidRPr="00E0190D">
        <w:t xml:space="preserve">a strong increase in higher education qualifications (bachelor’s degree and above), a stagnation in the number of people with VET qualifications, and a reduction in the number of people who do not undertake post-secondary qualifications. </w:t>
      </w:r>
      <w:r w:rsidR="00A07747">
        <w:t>As y</w:t>
      </w:r>
      <w:r w:rsidR="00CF1F0B" w:rsidRPr="00CF1F0B">
        <w:t>oung people have a far greater propensity to undertake higher education than the retiring cohorts that they replace in the labour market, there is a very strong underlying trajectory in the supply of bachelor-educated workers.</w:t>
      </w:r>
    </w:p>
    <w:p w14:paraId="12C4AE8F" w14:textId="1A63571D" w:rsidR="00E0190D" w:rsidRPr="00E0190D" w:rsidRDefault="00E0190D" w:rsidP="00ED4661">
      <w:pPr>
        <w:pStyle w:val="BodyText"/>
      </w:pPr>
      <w:r w:rsidRPr="00E0190D">
        <w:t>This results</w:t>
      </w:r>
      <w:r w:rsidR="000D033C">
        <w:t xml:space="preserve"> in a workforce </w:t>
      </w:r>
      <w:r w:rsidR="005D42E4">
        <w:t xml:space="preserve">able to </w:t>
      </w:r>
      <w:r w:rsidRPr="00E0190D">
        <w:t xml:space="preserve">supply </w:t>
      </w:r>
      <w:r w:rsidR="005D42E4">
        <w:t xml:space="preserve">workers </w:t>
      </w:r>
      <w:r w:rsidRPr="00E0190D">
        <w:t>to high skill occupations (</w:t>
      </w:r>
      <w:r w:rsidR="00EA1346">
        <w:t>S</w:t>
      </w:r>
      <w:r w:rsidR="00EA1346" w:rsidRPr="00E0190D">
        <w:t xml:space="preserve">kill </w:t>
      </w:r>
      <w:r w:rsidR="00EA1346">
        <w:t>L</w:t>
      </w:r>
      <w:r w:rsidRPr="00E0190D">
        <w:t>evel 1)</w:t>
      </w:r>
      <w:r w:rsidR="005D42E4">
        <w:t xml:space="preserve"> that grow</w:t>
      </w:r>
      <w:r w:rsidR="003140C0">
        <w:t xml:space="preserve"> at a faster rate than </w:t>
      </w:r>
      <w:r w:rsidRPr="00E0190D">
        <w:t>other occupations</w:t>
      </w:r>
      <w:r w:rsidR="002E39A0">
        <w:t xml:space="preserve">.  However, growth in supply is </w:t>
      </w:r>
      <w:r w:rsidR="00706182">
        <w:t>somewhat</w:t>
      </w:r>
      <w:r w:rsidR="002E39A0">
        <w:t xml:space="preserve"> faster than the growth in the </w:t>
      </w:r>
      <w:r w:rsidR="00706182">
        <w:t xml:space="preserve">demand for </w:t>
      </w:r>
      <w:r w:rsidR="002E39A0">
        <w:t>high</w:t>
      </w:r>
      <w:r w:rsidR="00716852">
        <w:t>-</w:t>
      </w:r>
      <w:r w:rsidR="002E39A0">
        <w:t>skilled occupations themselves</w:t>
      </w:r>
      <w:r w:rsidR="00716852">
        <w:t xml:space="preserve"> </w:t>
      </w:r>
      <w:r w:rsidR="00F7705F">
        <w:t xml:space="preserve">- </w:t>
      </w:r>
      <w:r w:rsidR="00716852">
        <w:t xml:space="preserve">resulting in </w:t>
      </w:r>
      <w:r w:rsidR="00F7705F">
        <w:t>the risk of an over-supply of qualified graduates.</w:t>
      </w:r>
      <w:r w:rsidRPr="00E0190D">
        <w:t xml:space="preserve"> </w:t>
      </w:r>
      <w:r w:rsidR="009C615C">
        <w:t>Conversely</w:t>
      </w:r>
      <w:r w:rsidRPr="00E0190D">
        <w:t xml:space="preserve">, the growth in graduates across the Certificate level </w:t>
      </w:r>
      <w:r w:rsidR="00467F10">
        <w:t xml:space="preserve">is </w:t>
      </w:r>
      <w:r w:rsidRPr="00E0190D">
        <w:t xml:space="preserve">insufficient to satisfy employment demands at skill levels 3 and 4. The impact of these shortfalls can already be seen in the JSA’s </w:t>
      </w:r>
      <w:r w:rsidR="00520955">
        <w:t>OSL</w:t>
      </w:r>
      <w:r w:rsidRPr="00E0190D">
        <w:t>, with many key trades such as Electricians, Carpenters, Painters and Plumbers currently experiencing national shortages.</w:t>
      </w:r>
    </w:p>
    <w:p w14:paraId="1E6952A2" w14:textId="79978385" w:rsidR="00E0190D" w:rsidRPr="00AC0957" w:rsidRDefault="00E0190D" w:rsidP="002E6277">
      <w:pPr>
        <w:pStyle w:val="Heading4"/>
      </w:pPr>
      <w:r>
        <w:t xml:space="preserve">Analysing how a more </w:t>
      </w:r>
      <w:r w:rsidRPr="0067724D">
        <w:t xml:space="preserve">responsive educational </w:t>
      </w:r>
      <w:r>
        <w:t>system could reduce occupation shortages</w:t>
      </w:r>
    </w:p>
    <w:p w14:paraId="4993CA8C" w14:textId="77777777" w:rsidR="00E0190D" w:rsidRPr="00E0190D" w:rsidRDefault="00E0190D" w:rsidP="00ED4661">
      <w:pPr>
        <w:pStyle w:val="BodyText"/>
      </w:pPr>
      <w:r w:rsidRPr="00E0190D">
        <w:t>To help understand the extent of these issues, but also how changes in education could alleviate them in the future, JSA and VU have analysed an alternative scenario where skill supply constraints are lessened through an increased response of educational attainment to economic demand. This results in increasing supply of people with Certificate III and IV level qualification, reflected in occupations at skill levels 3 and 4, where the demand is both unmet and persistently strong.</w:t>
      </w:r>
      <w:r w:rsidRPr="00E0190D">
        <w:rPr>
          <w:rStyle w:val="FootnoteReference"/>
        </w:rPr>
        <w:footnoteReference w:id="15"/>
      </w:r>
      <w:r w:rsidRPr="00E0190D">
        <w:t xml:space="preserve"> </w:t>
      </w:r>
    </w:p>
    <w:p w14:paraId="45CE3174" w14:textId="77777777" w:rsidR="00E0190D" w:rsidRPr="00E0190D" w:rsidRDefault="00E0190D" w:rsidP="00ED4661">
      <w:pPr>
        <w:pStyle w:val="BodyText"/>
      </w:pPr>
      <w:r w:rsidRPr="00E0190D">
        <w:t>Overall, the same number of people decide to undertake post-secondary education as in the baseline, but their choice of level and field of study is dictated by the projected demand for labour assumed by the models’ estimates of economic output by industry.</w:t>
      </w:r>
    </w:p>
    <w:p w14:paraId="124C0BC1" w14:textId="77777777" w:rsidR="00E0190D" w:rsidRPr="00E0190D" w:rsidRDefault="00E0190D" w:rsidP="00ED4661">
      <w:pPr>
        <w:pStyle w:val="BodyText"/>
      </w:pPr>
      <w:r w:rsidRPr="00E0190D">
        <w:t xml:space="preserve">The resulting outlook would expect significantly more VET qualified people across all fields, particularly in the fields of health and society and culture. While relatively less in percentage terms, the increases in Certificate III and IV qualifications in Engineering and Architecture and Building would allow strong increases in employment in these areas. </w:t>
      </w:r>
    </w:p>
    <w:p w14:paraId="0A6BB213" w14:textId="77777777" w:rsidR="00E0190D" w:rsidRPr="00AC0957" w:rsidRDefault="00E0190D" w:rsidP="002E6277">
      <w:pPr>
        <w:pStyle w:val="Heading4"/>
      </w:pPr>
      <w:bookmarkStart w:id="288" w:name="_Toc181281034"/>
      <w:r w:rsidRPr="00AC0957">
        <w:t>Key results by occupation skill level</w:t>
      </w:r>
      <w:bookmarkEnd w:id="288"/>
    </w:p>
    <w:p w14:paraId="79C7F791" w14:textId="4EC3D543" w:rsidR="00C27CA1" w:rsidRDefault="00E0190D" w:rsidP="00752577">
      <w:pPr>
        <w:pStyle w:val="BodyText"/>
      </w:pPr>
      <w:r w:rsidRPr="00E0190D">
        <w:t>In general, compared to the baseline, the switch in educational attainment from bachelor level degrees to Certificate level, and the resultant change in the type of supply to the labour market, means there is a shift away from professional and managerial occupations towards other occupations groups under this unconstrained skill supply scenario</w:t>
      </w:r>
      <w:r w:rsidR="005F3930">
        <w:t>.</w:t>
      </w:r>
    </w:p>
    <w:p w14:paraId="609B36E7" w14:textId="206F3752" w:rsidR="00E0190D" w:rsidRPr="00E0190D" w:rsidRDefault="00E0190D" w:rsidP="00752577">
      <w:pPr>
        <w:pStyle w:val="BodyText"/>
      </w:pPr>
      <w:r w:rsidRPr="00E0190D">
        <w:t>It is important to note that employment for Professionals and Managers grows in both the baseline and the unconstrained supply scenarios</w:t>
      </w:r>
      <w:r w:rsidR="00027BC5">
        <w:t xml:space="preserve">, </w:t>
      </w:r>
      <w:r w:rsidRPr="00E0190D">
        <w:t>and both still actually outpace overall employment growth</w:t>
      </w:r>
      <w:r w:rsidR="00027BC5">
        <w:t xml:space="preserve">. This means </w:t>
      </w:r>
      <w:r w:rsidRPr="00E0190D">
        <w:t>both still increase their share of overall employment</w:t>
      </w:r>
      <w:r w:rsidR="00336CB7">
        <w:t xml:space="preserve"> across the forecast period</w:t>
      </w:r>
      <w:r w:rsidR="00027BC5">
        <w:t xml:space="preserve">, </w:t>
      </w:r>
      <w:r w:rsidRPr="00E0190D">
        <w:t>however</w:t>
      </w:r>
      <w:r w:rsidR="00027BC5">
        <w:t>,</w:t>
      </w:r>
      <w:r w:rsidRPr="00E0190D">
        <w:t xml:space="preserve"> in the unconstrained supply scenario employment growth is far more balanced between the occupational groups.  </w:t>
      </w:r>
    </w:p>
    <w:p w14:paraId="3D961801" w14:textId="0187B73A" w:rsidR="00E0190D" w:rsidRPr="00631DE2" w:rsidRDefault="00E0190D" w:rsidP="00752577">
      <w:pPr>
        <w:pStyle w:val="BodyText"/>
      </w:pPr>
      <w:r w:rsidRPr="00E0190D">
        <w:t>In this scenario</w:t>
      </w:r>
      <w:r w:rsidR="00913B79">
        <w:t>,</w:t>
      </w:r>
      <w:r w:rsidRPr="00E0190D">
        <w:t xml:space="preserve"> 93.8% of the employment growth over the next 10 years is estimated to be in occupations commensurate with post-secondary qualifications (</w:t>
      </w:r>
      <w:r w:rsidR="00257552">
        <w:t>s</w:t>
      </w:r>
      <w:r w:rsidR="00257552" w:rsidRPr="00E0190D">
        <w:t xml:space="preserve">kill </w:t>
      </w:r>
      <w:r w:rsidR="00257552">
        <w:t>l</w:t>
      </w:r>
      <w:r w:rsidR="00257552" w:rsidRPr="00E0190D">
        <w:t xml:space="preserve">evels </w:t>
      </w:r>
      <w:r w:rsidRPr="00E0190D">
        <w:t xml:space="preserve">1 to 4) – compared with 94.4% in the baseline case. However, the proportion of the projected growth in </w:t>
      </w:r>
      <w:r w:rsidR="00657752">
        <w:t xml:space="preserve">Skill Level 1 </w:t>
      </w:r>
      <w:r w:rsidRPr="00E0190D">
        <w:t xml:space="preserve">occupations </w:t>
      </w:r>
      <w:r w:rsidR="00C12C57">
        <w:t>(</w:t>
      </w:r>
      <w:r w:rsidR="00292294">
        <w:t xml:space="preserve">those </w:t>
      </w:r>
      <w:r w:rsidRPr="00E0190D">
        <w:t>related to a bachelor’s degree or higher as the primary education pathway</w:t>
      </w:r>
      <w:r w:rsidR="00C12C57">
        <w:t>)</w:t>
      </w:r>
      <w:r w:rsidRPr="00E0190D">
        <w:t xml:space="preserve"> </w:t>
      </w:r>
      <w:r w:rsidR="00292294">
        <w:t xml:space="preserve">declines </w:t>
      </w:r>
      <w:r w:rsidR="00871EA1">
        <w:t>from 54.3% to 48.9%</w:t>
      </w:r>
      <w:r w:rsidR="00E45BC2">
        <w:t>,</w:t>
      </w:r>
      <w:r w:rsidRPr="00E0190D">
        <w:t xml:space="preserve"> </w:t>
      </w:r>
      <w:r w:rsidR="00444BEA">
        <w:t>while</w:t>
      </w:r>
      <w:r w:rsidR="00677F89">
        <w:t xml:space="preserve"> this</w:t>
      </w:r>
      <w:r w:rsidRPr="00E0190D">
        <w:t xml:space="preserve"> increases from 40.1% to 44.9% for </w:t>
      </w:r>
      <w:r w:rsidR="00657752">
        <w:t xml:space="preserve">Skill Level </w:t>
      </w:r>
      <w:r w:rsidR="001C3A02">
        <w:t xml:space="preserve">2 to 4 </w:t>
      </w:r>
      <w:r w:rsidRPr="00E0190D">
        <w:t xml:space="preserve">occupations </w:t>
      </w:r>
      <w:r w:rsidR="001C3A02">
        <w:t xml:space="preserve">(those </w:t>
      </w:r>
      <w:r w:rsidRPr="00E0190D">
        <w:t>with VET as the primary pathway).</w:t>
      </w:r>
      <w:r w:rsidRPr="00E0190D">
        <w:rPr>
          <w:rStyle w:val="FootnoteReference"/>
        </w:rPr>
        <w:footnoteReference w:id="16"/>
      </w:r>
      <w:r w:rsidRPr="00E0190D">
        <w:t xml:space="preserve"> </w:t>
      </w:r>
      <w:r w:rsidR="00C3687A">
        <w:t xml:space="preserve">These results are very similar </w:t>
      </w:r>
      <w:r w:rsidR="00602C35">
        <w:t>to</w:t>
      </w:r>
      <w:r w:rsidR="00602C35" w:rsidRPr="00F244E7">
        <w:t xml:space="preserve"> </w:t>
      </w:r>
      <w:r w:rsidR="0026558A">
        <w:t xml:space="preserve">the equivalent </w:t>
      </w:r>
      <w:r w:rsidR="00A759E3">
        <w:t>analysis presented in</w:t>
      </w:r>
      <w:r w:rsidR="00602C35" w:rsidRPr="00F244E7">
        <w:t xml:space="preserve"> last year’s Jobs and Skills Report</w:t>
      </w:r>
      <w:r w:rsidR="00A759E3">
        <w:t xml:space="preserve">, where </w:t>
      </w:r>
      <w:r w:rsidR="000578ED">
        <w:t xml:space="preserve">the proportion of projected growth </w:t>
      </w:r>
      <w:r w:rsidR="009B185B">
        <w:t>in Skill Level 1 occupations was 48.5% and the proportion of projected growth in Skill Level 2 to 4 occupations was 45.0%.</w:t>
      </w:r>
    </w:p>
    <w:p w14:paraId="431A52EC" w14:textId="38C349B4" w:rsidR="00555530" w:rsidRDefault="00E0190D" w:rsidP="00752577">
      <w:pPr>
        <w:pStyle w:val="BodyText"/>
      </w:pPr>
      <w:r w:rsidRPr="00E0190D">
        <w:t xml:space="preserve">Compared to the baseline 10-year employment projections, employment in the unconstrained scenario is projected to see an additional 46,100 workers at </w:t>
      </w:r>
      <w:r w:rsidR="004646C4">
        <w:t>S</w:t>
      </w:r>
      <w:r w:rsidR="004646C4" w:rsidRPr="00E0190D">
        <w:t xml:space="preserve">kill </w:t>
      </w:r>
      <w:r w:rsidR="004646C4">
        <w:t>L</w:t>
      </w:r>
      <w:r w:rsidRPr="00E0190D">
        <w:t xml:space="preserve">evel 4 (up 1.2% on the baseline expectation) and 34,600 more (up 1.5%) at </w:t>
      </w:r>
      <w:r w:rsidR="004646C4">
        <w:t>S</w:t>
      </w:r>
      <w:r w:rsidR="004646C4" w:rsidRPr="00E0190D">
        <w:t xml:space="preserve">kill </w:t>
      </w:r>
      <w:r w:rsidR="004646C4">
        <w:t>L</w:t>
      </w:r>
      <w:r w:rsidRPr="00E0190D">
        <w:t xml:space="preserve">evel 3. This is offset by lower growth in projected employment for </w:t>
      </w:r>
      <w:r w:rsidR="004D7187">
        <w:t>S</w:t>
      </w:r>
      <w:r w:rsidR="004D7187" w:rsidRPr="00E0190D">
        <w:t xml:space="preserve">kill </w:t>
      </w:r>
      <w:r w:rsidR="004D7187">
        <w:t>L</w:t>
      </w:r>
      <w:r w:rsidRPr="00E0190D">
        <w:t>evel 1 occupations, with 106,900 fewer persons lowering employment by around 1.7% (</w:t>
      </w:r>
      <w:r w:rsidR="0032105B">
        <w:fldChar w:fldCharType="begin"/>
      </w:r>
      <w:r w:rsidR="0032105B">
        <w:instrText xml:space="preserve"> REF _Ref179898210 \h </w:instrText>
      </w:r>
      <w:r w:rsidR="0032105B">
        <w:fldChar w:fldCharType="separate"/>
      </w:r>
      <w:r w:rsidR="009E6E1D">
        <w:t xml:space="preserve">Figure </w:t>
      </w:r>
      <w:r w:rsidR="009E6E1D">
        <w:rPr>
          <w:noProof/>
        </w:rPr>
        <w:t>40</w:t>
      </w:r>
      <w:r w:rsidR="0032105B">
        <w:fldChar w:fldCharType="end"/>
      </w:r>
      <w:r w:rsidRPr="00E0190D">
        <w:t>)</w:t>
      </w:r>
      <w:r w:rsidR="00DF2F1A">
        <w:t>.</w:t>
      </w:r>
    </w:p>
    <w:p w14:paraId="3DBABA58" w14:textId="00143633" w:rsidR="00555530" w:rsidRPr="001F3CE7" w:rsidRDefault="00555530" w:rsidP="00555530">
      <w:pPr>
        <w:pStyle w:val="BodyText"/>
      </w:pPr>
      <w:r>
        <w:t xml:space="preserve">A more detailed breakdown of this data can be found in Appendix </w:t>
      </w:r>
      <w:r w:rsidR="00C604B2">
        <w:t>D</w:t>
      </w:r>
      <w:r w:rsidR="00C4547F">
        <w:t>.</w:t>
      </w:r>
      <w:r w:rsidR="00400330">
        <w:t xml:space="preserve"> </w:t>
      </w:r>
    </w:p>
    <w:p w14:paraId="70BA44E9" w14:textId="1673075D" w:rsidR="00E0190D" w:rsidRDefault="00E0190D" w:rsidP="00555530">
      <w:pPr>
        <w:pStyle w:val="Caption"/>
      </w:pPr>
      <w:bookmarkStart w:id="289" w:name="_Ref179898210"/>
      <w:bookmarkStart w:id="290" w:name="_Toc181281123"/>
      <w:bookmarkStart w:id="291" w:name="_Toc211604189"/>
      <w:r>
        <w:t xml:space="preserve">Figure </w:t>
      </w:r>
      <w:r>
        <w:fldChar w:fldCharType="begin"/>
      </w:r>
      <w:r>
        <w:instrText xml:space="preserve"> SEQ Figure \* ARABIC </w:instrText>
      </w:r>
      <w:r>
        <w:fldChar w:fldCharType="separate"/>
      </w:r>
      <w:r w:rsidR="009E6E1D">
        <w:rPr>
          <w:noProof/>
        </w:rPr>
        <w:t>40</w:t>
      </w:r>
      <w:r>
        <w:fldChar w:fldCharType="end"/>
      </w:r>
      <w:bookmarkEnd w:id="289"/>
      <w:r>
        <w:t>: ‘Unconstrained skill supply’ scenario – d</w:t>
      </w:r>
      <w:r w:rsidRPr="00282E93">
        <w:t>eviation from baseline employment projections for May 203</w:t>
      </w:r>
      <w:r>
        <w:t>5</w:t>
      </w:r>
      <w:r w:rsidRPr="00282E93">
        <w:t>, by skill level, Australia</w:t>
      </w:r>
      <w:bookmarkEnd w:id="290"/>
      <w:bookmarkEnd w:id="291"/>
    </w:p>
    <w:p w14:paraId="34F29E79" w14:textId="1CF5ABA3" w:rsidR="00E0190D" w:rsidRPr="00E0190D" w:rsidRDefault="00CD2A7C" w:rsidP="006070A0">
      <w:pPr>
        <w:pStyle w:val="BodyText"/>
      </w:pPr>
      <w:r w:rsidRPr="00CD2A7C">
        <w:rPr>
          <w:noProof/>
        </w:rPr>
        <w:drawing>
          <wp:inline distT="0" distB="0" distL="0" distR="0" wp14:anchorId="1E35A843" wp14:editId="4F333441">
            <wp:extent cx="5947200" cy="2657178"/>
            <wp:effectExtent l="0" t="0" r="0" b="0"/>
            <wp:docPr id="1083162795" name="Picture 6" descr="Figure shows change in projected employment by skill level of occupation under the 'Unconstrained Skill Supply' scenario compared to the Baseline. In the Unconstrained Skill Supply scenario, there is negative growth in employment for skill level 1 occupations (commensurate with bachelor degree and above), and higher growth in employment for all other skill levels (when compared to the Baseline projec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162795" name="Picture 6" descr="Figure shows change in projected employment by skill level of occupation under the 'Unconstrained Skill Supply' scenario compared to the Baseline. In the Unconstrained Skill Supply scenario, there is negative growth in employment for skill level 1 occupations (commensurate with bachelor degree and above), and higher growth in employment for all other skill levels (when compared to the Baseline projections). "/>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947200" cy="2657178"/>
                    </a:xfrm>
                    <a:prstGeom prst="rect">
                      <a:avLst/>
                    </a:prstGeom>
                    <a:noFill/>
                    <a:ln>
                      <a:noFill/>
                    </a:ln>
                  </pic:spPr>
                </pic:pic>
              </a:graphicData>
            </a:graphic>
          </wp:inline>
        </w:drawing>
      </w:r>
    </w:p>
    <w:p w14:paraId="5AB65D4D" w14:textId="5428DEA8" w:rsidR="00E0190D" w:rsidRPr="00E0190D" w:rsidRDefault="00E0190D" w:rsidP="00E0190D">
      <w:pPr>
        <w:pStyle w:val="Source"/>
      </w:pPr>
      <w:r w:rsidRPr="00E0190D">
        <w:t xml:space="preserve">Source: 2025-2035 Employment projections (unrestricted skills supply scenario), produced by </w:t>
      </w:r>
      <w:r w:rsidR="00634691">
        <w:t>VU</w:t>
      </w:r>
      <w:r w:rsidRPr="00E0190D">
        <w:t xml:space="preserve"> for </w:t>
      </w:r>
      <w:r w:rsidR="002955A2">
        <w:t>JSA</w:t>
      </w:r>
      <w:r w:rsidRPr="00E0190D">
        <w:t xml:space="preserve">. </w:t>
      </w:r>
    </w:p>
    <w:p w14:paraId="561BA75B" w14:textId="77777777" w:rsidR="004470FE" w:rsidRPr="004470FE" w:rsidRDefault="004470FE" w:rsidP="004470FE">
      <w:pPr>
        <w:pStyle w:val="Source"/>
      </w:pPr>
      <w:r w:rsidRPr="004470FE">
        <w:rPr>
          <w:rFonts w:eastAsiaTheme="minorEastAsia"/>
        </w:rPr>
        <w:t>Note: In the unconstrained scenario, educational and training attainment is fully responsive to labour market demand, whereas in the baseline scenario it is based on recently observed trends in educational attainment by age, gender, and level and field of education.</w:t>
      </w:r>
    </w:p>
    <w:p w14:paraId="3AF05FAA" w14:textId="77777777" w:rsidR="00E0190D" w:rsidRPr="00AC0957" w:rsidRDefault="00E0190D" w:rsidP="002E6277">
      <w:pPr>
        <w:pStyle w:val="Heading4"/>
      </w:pPr>
      <w:r>
        <w:t>Implications for key occupations in shortage</w:t>
      </w:r>
    </w:p>
    <w:p w14:paraId="3292C4FD" w14:textId="788CC6CD" w:rsidR="00E0190D" w:rsidRPr="00E0190D" w:rsidRDefault="00E0190D" w:rsidP="00ED4661">
      <w:pPr>
        <w:pStyle w:val="BodyText"/>
      </w:pPr>
      <w:r w:rsidRPr="00E0190D">
        <w:t xml:space="preserve">Of more importance may be the impact on occupations that are currently in shortage. This is most pronounced at </w:t>
      </w:r>
      <w:r w:rsidR="002955A2">
        <w:t>Skill Level</w:t>
      </w:r>
      <w:r w:rsidRPr="00E0190D">
        <w:t xml:space="preserve"> 3, where over 80% of the additional projected employment growth would be in occupations that are on JSA’s </w:t>
      </w:r>
      <w:r w:rsidR="003C1A3C">
        <w:t>OSL</w:t>
      </w:r>
      <w:r w:rsidRPr="00E0190D">
        <w:t xml:space="preserve">. The scenario analysed here would suggest that increases in the supply of suitably qualified labour would allow around an additional 28,100 jobs in </w:t>
      </w:r>
      <w:r w:rsidR="003C1A3C">
        <w:t>Skill Level</w:t>
      </w:r>
      <w:r w:rsidRPr="00E0190D">
        <w:t xml:space="preserve"> 3 occupations that are currently on the OSL, above the projected growth in the baseline.</w:t>
      </w:r>
    </w:p>
    <w:p w14:paraId="439BFBA5" w14:textId="0336206D" w:rsidR="00E0190D" w:rsidRPr="00E0190D" w:rsidRDefault="00E0190D" w:rsidP="00ED4661">
      <w:pPr>
        <w:pStyle w:val="BodyText"/>
      </w:pPr>
      <w:r w:rsidRPr="00E0190D">
        <w:t xml:space="preserve">Looking just at occupations in shortage at </w:t>
      </w:r>
      <w:r w:rsidR="003C1A3C" w:rsidRPr="003C1A3C">
        <w:t xml:space="preserve">Skill Level </w:t>
      </w:r>
      <w:r w:rsidRPr="00E0190D">
        <w:t>3, the scenario would project an increase in employment of Technicians and Trades workers, crucial for the construction sector, including Electricians (around 4,300 additional people employed), Carpenters and Joiners (2,500 more) and Plumbers (1,500 more). Beyond construction trades there would also likely be increases in Metal Fitters and Machinists (3,300 more), Chefs (2,000 more) and Hairdressers (1,800 more).</w:t>
      </w:r>
    </w:p>
    <w:p w14:paraId="5211CBB2" w14:textId="08E91642" w:rsidR="00E0190D" w:rsidRPr="00E0190D" w:rsidRDefault="00E0190D" w:rsidP="00ED4661">
      <w:pPr>
        <w:pStyle w:val="BodyText"/>
      </w:pPr>
      <w:r w:rsidRPr="00E0190D">
        <w:t xml:space="preserve">At </w:t>
      </w:r>
      <w:r w:rsidR="003C1A3C" w:rsidRPr="003C1A3C">
        <w:t>Skill Level</w:t>
      </w:r>
      <w:r w:rsidRPr="00E0190D">
        <w:t xml:space="preserve"> 4 we would expect stronger employment for Aged and Disabled Carers (an additional 10,600 employed) and Nursing Support and Personal Care Workers (3,500 more)</w:t>
      </w:r>
      <w:r w:rsidR="003C1A3C">
        <w:t>.</w:t>
      </w:r>
      <w:r w:rsidRPr="00E0190D">
        <w:t xml:space="preserve"> </w:t>
      </w:r>
    </w:p>
    <w:p w14:paraId="11B9ADD7" w14:textId="24629E2F" w:rsidR="00E0190D" w:rsidRDefault="00E0190D" w:rsidP="00ED4661">
      <w:pPr>
        <w:pStyle w:val="BodyText"/>
      </w:pPr>
      <w:r w:rsidRPr="00E0190D">
        <w:t>These increases may not fully address the issue of shortage in all of these occupations, but they would suggest some easing in many of the supply pressures that limit the ability of employers to find the workers they need.</w:t>
      </w:r>
    </w:p>
    <w:p w14:paraId="6C67CD58" w14:textId="77777777" w:rsidR="00B177D8" w:rsidRDefault="00B177D8" w:rsidP="00B177D8">
      <w:pPr>
        <w:pStyle w:val="Heading2"/>
      </w:pPr>
      <w:bookmarkStart w:id="292" w:name="_Toc207702162"/>
      <w:bookmarkStart w:id="293" w:name="_Toc208923420"/>
      <w:bookmarkStart w:id="294" w:name="_Toc211587037"/>
      <w:r>
        <w:t>Emerging technology</w:t>
      </w:r>
      <w:bookmarkEnd w:id="292"/>
      <w:bookmarkEnd w:id="293"/>
      <w:bookmarkEnd w:id="294"/>
    </w:p>
    <w:p w14:paraId="653DACC4" w14:textId="6D2DA88F" w:rsidR="00B177D8" w:rsidRPr="001431F1" w:rsidRDefault="00B177D8" w:rsidP="00B07302">
      <w:pPr>
        <w:pStyle w:val="BodyText"/>
      </w:pPr>
      <w:r w:rsidRPr="001431F1">
        <w:t xml:space="preserve">Innovation, including the adoption of emerging technologies, is a key driver of long-term productivity growth. As Australia seeks to lift productivity, the ability to deploy and utilise new technologies will depend not only on access to innovation but on the skills and capabilities of the workforce. </w:t>
      </w:r>
      <w:r w:rsidR="003D58DF">
        <w:t>Connecting</w:t>
      </w:r>
      <w:r w:rsidRPr="001431F1">
        <w:t xml:space="preserve"> workers to evolving roles and supporting skills acquisition will be central to translating technological potential into economic gains.</w:t>
      </w:r>
    </w:p>
    <w:p w14:paraId="0A19C887" w14:textId="77777777" w:rsidR="00B177D8" w:rsidRPr="001431F1" w:rsidRDefault="00B177D8" w:rsidP="00B07302">
      <w:pPr>
        <w:pStyle w:val="BodyText"/>
      </w:pPr>
      <w:r w:rsidRPr="001431F1">
        <w:t>At the same time, the pace and nature of technological change bring risks. Without deliberate planning, innovation may deepen existing labour market frictions, displace workers, or entrench inequalities</w:t>
      </w:r>
      <w:r>
        <w:t xml:space="preserve"> – </w:t>
      </w:r>
      <w:r w:rsidRPr="001431F1">
        <w:t>particularly for groups facing structural barriers to upskilling or transition. Ensuring that all Australians can participate in a changing economy requires inclusive approaches to training, support and workforce development.</w:t>
      </w:r>
    </w:p>
    <w:p w14:paraId="1A2E970C" w14:textId="0422B42E" w:rsidR="00B177D8" w:rsidRPr="001431F1" w:rsidRDefault="00B177D8" w:rsidP="00B07302">
      <w:pPr>
        <w:pStyle w:val="BodyText"/>
      </w:pPr>
      <w:r>
        <w:t>This year, JSA has explored</w:t>
      </w:r>
      <w:r w:rsidRPr="001431F1">
        <w:t xml:space="preserve"> how </w:t>
      </w:r>
      <w:r>
        <w:t>Gen AI is</w:t>
      </w:r>
      <w:r w:rsidRPr="001431F1">
        <w:t xml:space="preserve"> reshaping skills needs across the labour market. </w:t>
      </w:r>
      <w:r>
        <w:t>Our</w:t>
      </w:r>
      <w:r w:rsidRPr="001431F1">
        <w:t xml:space="preserve"> Gen AI Capacity Study is the first national, whole-of-labour-market study focused on the potential opportunities and challenges of </w:t>
      </w:r>
      <w:r w:rsidR="005F4A7D">
        <w:t>G</w:t>
      </w:r>
      <w:r w:rsidRPr="001431F1">
        <w:t xml:space="preserve">en </w:t>
      </w:r>
      <w:r w:rsidR="00A86EF5">
        <w:t>AI</w:t>
      </w:r>
      <w:r w:rsidRPr="001431F1">
        <w:t xml:space="preserve"> for Australia’s workforce, providing critical insights to guide policy, planning and investment.</w:t>
      </w:r>
    </w:p>
    <w:p w14:paraId="08655D16" w14:textId="77777777" w:rsidR="00B177D8" w:rsidRDefault="00B177D8" w:rsidP="00B177D8">
      <w:pPr>
        <w:pStyle w:val="Heading3"/>
      </w:pPr>
      <w:bookmarkStart w:id="295" w:name="_Toc207702163"/>
      <w:bookmarkStart w:id="296" w:name="_Toc208923421"/>
      <w:bookmarkStart w:id="297" w:name="_Toc211587038"/>
      <w:r>
        <w:t>Artificial intelligence – insights from the Gen AI capacity study</w:t>
      </w:r>
      <w:bookmarkEnd w:id="295"/>
      <w:bookmarkEnd w:id="296"/>
      <w:bookmarkEnd w:id="297"/>
    </w:p>
    <w:p w14:paraId="33B0D189" w14:textId="77777777" w:rsidR="00B177D8" w:rsidRPr="00797E1D" w:rsidRDefault="00B177D8" w:rsidP="00B07302">
      <w:pPr>
        <w:pStyle w:val="BodyText"/>
      </w:pPr>
      <w:r w:rsidRPr="008D7426">
        <w:t xml:space="preserve">Australia is at a pivotal point in its transition to a Gen AI-enabled economy, with early opportunities to boost productivity, reshape work, and strengthen national capabilities. However, this shift also presents </w:t>
      </w:r>
      <w:r>
        <w:t>challenges</w:t>
      </w:r>
      <w:r w:rsidRPr="008D7426">
        <w:t>, including workforce displacement, inequality, and skills mismatches. As an early mover in digital and AI transformation, Australia has the chance to shape its path, provided there is strategic focus, urgency, and shared commitment.</w:t>
      </w:r>
      <w:r w:rsidRPr="00797E1D">
        <w:t xml:space="preserve"> </w:t>
      </w:r>
    </w:p>
    <w:p w14:paraId="2163459F" w14:textId="231D12E2" w:rsidR="00B177D8" w:rsidRDefault="00B177D8" w:rsidP="00B07302">
      <w:pPr>
        <w:pStyle w:val="BodyText"/>
      </w:pPr>
      <w:r>
        <w:t>Australia is at an early stage of AI adoption</w:t>
      </w:r>
      <w:r w:rsidR="007D7A62">
        <w:t xml:space="preserve">. </w:t>
      </w:r>
      <w:r>
        <w:t>Some of the earliest and fastest adopters are concentrated in the technology sector, where AI tools are being integrated into software development, data analysis and administrative workflows. Many larger companies are investing in AI and developing AI capabilities, with 57% of ASX200 companies</w:t>
      </w:r>
      <w:r w:rsidR="002A171B">
        <w:t xml:space="preserve"> in 2024</w:t>
      </w:r>
      <w:r>
        <w:t xml:space="preserve"> mentioning AI</w:t>
      </w:r>
      <w:r w:rsidR="003512FC">
        <w:noBreakHyphen/>
      </w:r>
      <w:r>
        <w:t>related investments in their annual reports.</w:t>
      </w:r>
    </w:p>
    <w:p w14:paraId="787297DC" w14:textId="77777777" w:rsidR="00B177D8" w:rsidRPr="00224881" w:rsidRDefault="00B177D8" w:rsidP="002E6277">
      <w:pPr>
        <w:pStyle w:val="Heading4"/>
      </w:pPr>
      <w:r>
        <w:t xml:space="preserve">The impact of Gen AI on the labour market </w:t>
      </w:r>
    </w:p>
    <w:p w14:paraId="5F38CE7A" w14:textId="6D06E778" w:rsidR="00B177D8" w:rsidRPr="002B7183" w:rsidRDefault="00B177D8" w:rsidP="00B07302">
      <w:pPr>
        <w:pStyle w:val="BodyText"/>
      </w:pPr>
      <w:r>
        <w:t xml:space="preserve">Gen AI has the capacity to be used across a wide range of tasks and occupations, with the potential to significantly reshape workplace dynamics and the labour market. </w:t>
      </w:r>
      <w:r w:rsidRPr="002B7183">
        <w:t>Gen AI’s impact on the labour market can be understood through three key mechanisms</w:t>
      </w:r>
      <w:r>
        <w:t>: automation, augmentation and adapt</w:t>
      </w:r>
      <w:r w:rsidR="006F6865">
        <w:t>at</w:t>
      </w:r>
      <w:r>
        <w:t>ion.</w:t>
      </w:r>
    </w:p>
    <w:p w14:paraId="21560C64" w14:textId="18712D55" w:rsidR="00B177D8" w:rsidRPr="00DA30BB" w:rsidRDefault="00B177D8" w:rsidP="00B07302">
      <w:pPr>
        <w:pStyle w:val="BodyText"/>
      </w:pPr>
      <w:r>
        <w:t>T</w:t>
      </w:r>
      <w:r w:rsidRPr="001B75C5">
        <w:t>he extent of Gen AI’s impact will vary depending on how much automation and augmentation occurs within each occupation, and how different sectors respond to productivity gains.</w:t>
      </w:r>
      <w:r w:rsidR="003C48F0">
        <w:t xml:space="preserve"> Exposure analysis indicates 31% of Australia’s workforce are currently in highly augmentable occupations, compared to 4% in highly automatable occupations</w:t>
      </w:r>
      <w:r>
        <w:t xml:space="preserve">. </w:t>
      </w:r>
      <w:r w:rsidRPr="00DA30BB">
        <w:t>These changes may increase overall output, which in turn could boost demand for labour. If managed well, this demand could help absorb displaced workers and lead to higher overall employment and workforce participation — although the types of jobs and industries may shift.</w:t>
      </w:r>
    </w:p>
    <w:p w14:paraId="7D262BA5" w14:textId="77777777" w:rsidR="00B177D8" w:rsidRPr="00F9562B" w:rsidRDefault="00B177D8" w:rsidP="00B07302">
      <w:pPr>
        <w:pStyle w:val="BodyText"/>
      </w:pPr>
      <w:r w:rsidRPr="00DA30BB">
        <w:t>Realising these benefits will depend on how adaptable employers and workers are, and how responsive the labour market is to change. A dynamic and flexible system will be essential to reallocate labour effectively and minimise risks such as unemployment or inequality</w:t>
      </w:r>
      <w:r>
        <w:t xml:space="preserve">. </w:t>
      </w:r>
    </w:p>
    <w:p w14:paraId="3C65588B" w14:textId="77777777" w:rsidR="00B177D8" w:rsidRPr="00C97B53" w:rsidDel="00B67625" w:rsidRDefault="00B177D8" w:rsidP="008F06FF">
      <w:pPr>
        <w:pStyle w:val="Heading4"/>
      </w:pPr>
      <w:r w:rsidDel="00B67625">
        <w:t>Shadow use and its influence on exposure/adoption</w:t>
      </w:r>
    </w:p>
    <w:p w14:paraId="1702B33A" w14:textId="2C8FA399" w:rsidR="00B177D8" w:rsidDel="00B67625" w:rsidRDefault="00B177D8" w:rsidP="00B07302">
      <w:pPr>
        <w:pStyle w:val="BodyText"/>
      </w:pPr>
      <w:r w:rsidDel="00B67625">
        <w:t>A significant trend in the adoption of Gen AI is worker-led shadow use, where employees independently adopt and experiment with AI tools outside formal employer involvement or awareness. Around 27% of workers use Gen AI secretly at wor</w:t>
      </w:r>
      <w:r w:rsidR="00D346ED">
        <w:t>k</w:t>
      </w:r>
      <w:sdt>
        <w:sdtPr>
          <w:id w:val="-1724980118"/>
          <w:citation/>
        </w:sdtPr>
        <w:sdtContent>
          <w:r w:rsidR="00D346ED" w:rsidDel="00B67625">
            <w:fldChar w:fldCharType="begin"/>
          </w:r>
          <w:r w:rsidR="00D346ED" w:rsidDel="00B67625">
            <w:instrText xml:space="preserve">CITATION Placeholder1 \l 3081 </w:instrText>
          </w:r>
          <w:r w:rsidR="00D346ED" w:rsidDel="00B67625">
            <w:fldChar w:fldCharType="separate"/>
          </w:r>
          <w:r w:rsidR="00D52996">
            <w:rPr>
              <w:noProof/>
            </w:rPr>
            <w:t xml:space="preserve"> (Deloitte Access Economics, 2024)</w:t>
          </w:r>
          <w:r w:rsidR="00D346ED" w:rsidDel="00B67625">
            <w:fldChar w:fldCharType="end"/>
          </w:r>
        </w:sdtContent>
      </w:sdt>
      <w:r w:rsidR="00C54796">
        <w:t>.</w:t>
      </w:r>
      <w:r w:rsidDel="00B67625">
        <w:t xml:space="preserve"> </w:t>
      </w:r>
      <w:r w:rsidR="00650741">
        <w:t>Gen AI use also varies according to age</w:t>
      </w:r>
      <w:r w:rsidR="00650741" w:rsidDel="00B67625">
        <w:t xml:space="preserve">, with </w:t>
      </w:r>
      <w:r w:rsidR="00A7102A">
        <w:t xml:space="preserve">white-collar workers </w:t>
      </w:r>
      <w:r w:rsidR="00DF2F1A" w:rsidRPr="00DF2F1A">
        <w:t>in the 27</w:t>
      </w:r>
      <w:r w:rsidR="00DF2F1A">
        <w:t>-</w:t>
      </w:r>
      <w:r w:rsidR="00DF2F1A" w:rsidRPr="00DF2F1A">
        <w:t>42 year old age bracket</w:t>
      </w:r>
      <w:r w:rsidR="00650741" w:rsidDel="00B67625">
        <w:t xml:space="preserve"> </w:t>
      </w:r>
      <w:r w:rsidR="00650741">
        <w:t>most likely to adopt</w:t>
      </w:r>
      <w:r w:rsidR="00650741" w:rsidDel="00B67625">
        <w:t xml:space="preserve"> AI tools at work</w:t>
      </w:r>
      <w:r w:rsidR="00650741">
        <w:t xml:space="preserve"> </w:t>
      </w:r>
      <w:sdt>
        <w:sdtPr>
          <w:id w:val="1582497923"/>
          <w:citation/>
        </w:sdtPr>
        <w:sdtContent>
          <w:r w:rsidR="00650741">
            <w:fldChar w:fldCharType="begin"/>
          </w:r>
          <w:r w:rsidR="00650741">
            <w:instrText xml:space="preserve"> CITATION Fus24 \l 3081 </w:instrText>
          </w:r>
          <w:r w:rsidR="00650741">
            <w:fldChar w:fldCharType="separate"/>
          </w:r>
          <w:r w:rsidR="00D52996">
            <w:rPr>
              <w:noProof/>
            </w:rPr>
            <w:t>(Fusion Digital Agency, 2024)</w:t>
          </w:r>
          <w:r w:rsidR="00650741">
            <w:fldChar w:fldCharType="end"/>
          </w:r>
        </w:sdtContent>
      </w:sdt>
      <w:r w:rsidR="00650741">
        <w:t>.</w:t>
      </w:r>
      <w:r w:rsidDel="00B67625">
        <w:t xml:space="preserve"> This indicates a grassroots enthusiasm for Gen AI use, and a strong appetite for innovation and productivity gains as individuals source their own tools and training to recoup time or be rewarded for improved output quality. </w:t>
      </w:r>
    </w:p>
    <w:p w14:paraId="5DA26CAB" w14:textId="77777777" w:rsidR="00B177D8" w:rsidRPr="00A77FBE" w:rsidDel="00B67625" w:rsidRDefault="00B177D8" w:rsidP="00B07302">
      <w:pPr>
        <w:pStyle w:val="BodyText"/>
      </w:pPr>
      <w:r w:rsidDel="00B67625">
        <w:t xml:space="preserve">While this bottom-up approach may foster rapid learning and expertise development for worker adoption, it also introduces governance risks. When AI tools are used without employer oversight, responsibilities related to data security, ethical use and compliance may shift onto individual employees, who may not be equipped to navigate these risks. While shadow-use could yield positive and efficient outcomes, it may lack the uniformity that an organisation-level adoption could provide. This would enable deeper implementation of AI tools and governance frameworks and data. </w:t>
      </w:r>
    </w:p>
    <w:p w14:paraId="3B2FC998" w14:textId="77777777" w:rsidR="00B177D8" w:rsidRPr="005E6B46" w:rsidRDefault="00B177D8" w:rsidP="008F06FF">
      <w:pPr>
        <w:pStyle w:val="Heading4"/>
      </w:pPr>
      <w:r w:rsidRPr="005E6B46">
        <w:t>Potential</w:t>
      </w:r>
      <w:r>
        <w:t xml:space="preserve"> opportunities</w:t>
      </w:r>
      <w:r w:rsidRPr="005E6B46">
        <w:t xml:space="preserve"> </w:t>
      </w:r>
    </w:p>
    <w:p w14:paraId="33558E28" w14:textId="1A1FB74D" w:rsidR="00B177D8" w:rsidRDefault="00B177D8" w:rsidP="00B07302">
      <w:pPr>
        <w:pStyle w:val="BodyText"/>
      </w:pPr>
      <w:r>
        <w:t>Early evidence at the workplace level suggests that Gen AI is already contributing to productivity gains (although the impact varies across organisations, tasks and sectors). In many cases, Gen</w:t>
      </w:r>
      <w:r w:rsidR="00AA4DAC">
        <w:t> </w:t>
      </w:r>
      <w:r>
        <w:t>AI enables workers to complete tasks more quickly or improve the quality of their outputs. For example, office workers using Gen AI report time savings and enhanced output quality</w:t>
      </w:r>
      <w:r w:rsidR="00E246B8">
        <w:t>.</w:t>
      </w:r>
    </w:p>
    <w:p w14:paraId="743B6860" w14:textId="77777777" w:rsidR="00B177D8" w:rsidRPr="005F69FE" w:rsidRDefault="00B177D8" w:rsidP="00B07302">
      <w:pPr>
        <w:pStyle w:val="BodyText"/>
      </w:pPr>
      <w:r w:rsidRPr="005F69FE">
        <w:t>When Gen AI is used to automate or augment tasks, it can save time — and how that time is reallocated will vary depending on the context. Saved time might be:</w:t>
      </w:r>
    </w:p>
    <w:p w14:paraId="26200E88" w14:textId="77777777" w:rsidR="00B177D8" w:rsidRPr="00B177D8" w:rsidRDefault="00B177D8" w:rsidP="00B07302">
      <w:pPr>
        <w:pStyle w:val="ListBullet"/>
      </w:pPr>
      <w:r w:rsidRPr="005F69FE">
        <w:t>redeployed to other tasks within the same role</w:t>
      </w:r>
    </w:p>
    <w:p w14:paraId="36DA415D" w14:textId="77777777" w:rsidR="00B177D8" w:rsidRPr="00B177D8" w:rsidRDefault="00B177D8" w:rsidP="00B07302">
      <w:pPr>
        <w:pStyle w:val="ListBullet"/>
      </w:pPr>
      <w:r w:rsidRPr="005F69FE">
        <w:t>shifted to new or higher-value tasks</w:t>
      </w:r>
    </w:p>
    <w:p w14:paraId="6E0A4AF9" w14:textId="06F08161" w:rsidR="00B177D8" w:rsidRPr="00B177D8" w:rsidRDefault="00622FC8" w:rsidP="00B07302">
      <w:pPr>
        <w:pStyle w:val="ListBullet"/>
      </w:pPr>
      <w:r>
        <w:t xml:space="preserve">recouped </w:t>
      </w:r>
      <w:r w:rsidR="00BD66C5">
        <w:t>as</w:t>
      </w:r>
      <w:r>
        <w:t xml:space="preserve"> leisure time or </w:t>
      </w:r>
      <w:r w:rsidR="00B177D8" w:rsidRPr="005F69FE">
        <w:t>reduced working hours</w:t>
      </w:r>
      <w:r>
        <w:t>.</w:t>
      </w:r>
    </w:p>
    <w:p w14:paraId="1BEB2985" w14:textId="5F7E3CC3" w:rsidR="00B177D8" w:rsidRDefault="00B177D8" w:rsidP="00B07302">
      <w:pPr>
        <w:pStyle w:val="BodyText"/>
      </w:pPr>
      <w:r>
        <w:t xml:space="preserve">As Gen AI automates routine tasks, it may create opportunities for job adaptation and occupational transformation, particularly in higher-skilled roles. This shift could lead to more efficient, productive and specialised occupations, as workers focus on tasks requiring human judgement, creativity and oversight. </w:t>
      </w:r>
    </w:p>
    <w:p w14:paraId="27A49EEC" w14:textId="77777777" w:rsidR="00B177D8" w:rsidRDefault="00B177D8" w:rsidP="00B07302">
      <w:pPr>
        <w:pStyle w:val="BodyText"/>
      </w:pPr>
      <w:r>
        <w:t xml:space="preserve">Gen AI driven adaptation can </w:t>
      </w:r>
      <w:r w:rsidRPr="00385BEE">
        <w:t>be observed through several emerging patterns:</w:t>
      </w:r>
    </w:p>
    <w:p w14:paraId="717181C6" w14:textId="77777777" w:rsidR="00B177D8" w:rsidRPr="00B177D8" w:rsidRDefault="00B177D8" w:rsidP="00B07302">
      <w:pPr>
        <w:pStyle w:val="ListBullet"/>
      </w:pPr>
      <w:r w:rsidRPr="00B07302">
        <w:rPr>
          <w:rStyle w:val="Characterbold"/>
        </w:rPr>
        <w:t>Job hybridisation:</w:t>
      </w:r>
      <w:r w:rsidRPr="00B177D8">
        <w:t xml:space="preserve"> Roles that were previously distinct may merge as AI automates overlapping tasks. </w:t>
      </w:r>
    </w:p>
    <w:p w14:paraId="2A8C720E" w14:textId="77777777" w:rsidR="00B177D8" w:rsidRPr="00B177D8" w:rsidRDefault="00B177D8" w:rsidP="00B07302">
      <w:pPr>
        <w:pStyle w:val="ListBullet"/>
      </w:pPr>
      <w:r w:rsidRPr="00B07302">
        <w:rPr>
          <w:rStyle w:val="Characterbold"/>
        </w:rPr>
        <w:t>Job specialisation:</w:t>
      </w:r>
      <w:r w:rsidRPr="00B177D8">
        <w:t xml:space="preserve"> New roles may emerge that combine niche AI-related tasks from different domains. </w:t>
      </w:r>
    </w:p>
    <w:p w14:paraId="690056EE" w14:textId="77777777" w:rsidR="00B177D8" w:rsidRPr="00B177D8" w:rsidRDefault="00B177D8" w:rsidP="00B07302">
      <w:pPr>
        <w:pStyle w:val="ListBullet"/>
      </w:pPr>
      <w:r w:rsidRPr="00B07302">
        <w:rPr>
          <w:rStyle w:val="Characterbold"/>
        </w:rPr>
        <w:t>Emerging trends:</w:t>
      </w:r>
      <w:r w:rsidRPr="00B177D8">
        <w:t xml:space="preserve"> Novel applications of AI are giving rise to entirely new occupations. </w:t>
      </w:r>
    </w:p>
    <w:p w14:paraId="4D13CC1D" w14:textId="77777777" w:rsidR="00B177D8" w:rsidRDefault="00B177D8" w:rsidP="008F06FF">
      <w:pPr>
        <w:pStyle w:val="Heading4"/>
      </w:pPr>
      <w:r w:rsidRPr="00331764">
        <w:t>Labour market disruption</w:t>
      </w:r>
      <w:r>
        <w:t xml:space="preserve"> and displacement</w:t>
      </w:r>
    </w:p>
    <w:p w14:paraId="0B8A64B5" w14:textId="392D7E44" w:rsidR="00B177D8" w:rsidRDefault="00B177D8" w:rsidP="00B07302">
      <w:pPr>
        <w:pStyle w:val="BodyText"/>
      </w:pPr>
      <w:r w:rsidRPr="00981DE5">
        <w:t xml:space="preserve">Although international reports highlight job losses due to Gen AI, current evidence suggests that large-scale displacement is not </w:t>
      </w:r>
      <w:r w:rsidR="00126B22">
        <w:t>currently</w:t>
      </w:r>
      <w:r w:rsidR="00126B22" w:rsidRPr="00981DE5">
        <w:t xml:space="preserve"> </w:t>
      </w:r>
      <w:r w:rsidRPr="00981DE5">
        <w:t xml:space="preserve">occurring in Australia. </w:t>
      </w:r>
      <w:r w:rsidRPr="007634E9">
        <w:t>The Gen AI Capacity Study modelled three adoption scenarios to explore how the pace and depth of AI integration may affect employment across industries and occupations</w:t>
      </w:r>
      <w:r>
        <w:t>, examining different trajectories for augmentation and adoption and different rates of take up across market and non-market sectors.</w:t>
      </w:r>
    </w:p>
    <w:p w14:paraId="57462402" w14:textId="045C0F00" w:rsidR="00B177D8" w:rsidRDefault="00B177D8" w:rsidP="00B07302">
      <w:pPr>
        <w:pStyle w:val="BodyText"/>
      </w:pPr>
      <w:r>
        <w:t>Occupations projected to experience the greatest declines</w:t>
      </w:r>
      <w:r w:rsidR="00F64EBF">
        <w:t xml:space="preserve"> by 2050</w:t>
      </w:r>
      <w:r w:rsidR="00A20785">
        <w:t xml:space="preserve">, </w:t>
      </w:r>
      <w:r w:rsidR="00F64EBF" w:rsidRPr="00F64EBF">
        <w:t>relative to JSA’s employment projections</w:t>
      </w:r>
      <w:r w:rsidR="00F64EBF">
        <w:t>,</w:t>
      </w:r>
      <w:r>
        <w:t xml:space="preserve"> are General Clerks, Receptionists, Accounting Clerks and Bookkeepers, Sales, Marketing and Public Relations Professionals, and Business and Systems Analysts and Programmers.</w:t>
      </w:r>
      <w:r>
        <w:rPr>
          <w:rStyle w:val="FootnoteReference"/>
        </w:rPr>
        <w:footnoteReference w:id="17"/>
      </w:r>
      <w:r>
        <w:t xml:space="preserve"> </w:t>
      </w:r>
      <w:r w:rsidRPr="00981DE5">
        <w:t xml:space="preserve">Corresponding industry impacts are expected in </w:t>
      </w:r>
      <w:r w:rsidR="00AE306F">
        <w:t>R</w:t>
      </w:r>
      <w:r w:rsidRPr="00981DE5">
        <w:t xml:space="preserve">etail </w:t>
      </w:r>
      <w:r w:rsidR="00AE306F">
        <w:t>T</w:t>
      </w:r>
      <w:r w:rsidRPr="00981DE5">
        <w:t xml:space="preserve">rade, </w:t>
      </w:r>
      <w:r w:rsidR="00AE306F">
        <w:t>P</w:t>
      </w:r>
      <w:r w:rsidRPr="00981DE5">
        <w:t xml:space="preserve">ublic </w:t>
      </w:r>
      <w:r w:rsidR="00AE306F">
        <w:t>A</w:t>
      </w:r>
      <w:r w:rsidRPr="00981DE5">
        <w:t xml:space="preserve">dministration and </w:t>
      </w:r>
      <w:r w:rsidR="00AE306F">
        <w:t>Safety</w:t>
      </w:r>
      <w:r w:rsidRPr="00981DE5">
        <w:t xml:space="preserve">, </w:t>
      </w:r>
      <w:r w:rsidR="00AE306F">
        <w:t>F</w:t>
      </w:r>
      <w:r w:rsidRPr="00981DE5">
        <w:t xml:space="preserve">inancial </w:t>
      </w:r>
      <w:r w:rsidR="00AE306F">
        <w:t>and Insurance S</w:t>
      </w:r>
      <w:r w:rsidRPr="00981DE5">
        <w:t xml:space="preserve">ervices, </w:t>
      </w:r>
      <w:r w:rsidR="00AE306F">
        <w:t>P</w:t>
      </w:r>
      <w:r w:rsidRPr="00981DE5">
        <w:t>rofessional</w:t>
      </w:r>
      <w:r w:rsidR="00333047">
        <w:t>, Scientific</w:t>
      </w:r>
      <w:r w:rsidRPr="00981DE5">
        <w:t xml:space="preserve"> and </w:t>
      </w:r>
      <w:r w:rsidR="00333047">
        <w:t>Technical</w:t>
      </w:r>
      <w:r w:rsidRPr="00981DE5">
        <w:t xml:space="preserve"> </w:t>
      </w:r>
      <w:r w:rsidR="00333047">
        <w:t>S</w:t>
      </w:r>
      <w:r w:rsidRPr="00981DE5">
        <w:t xml:space="preserve">ervices, and </w:t>
      </w:r>
      <w:r w:rsidR="00451AF7">
        <w:t>Rental, Hiring, and Real Estate Services</w:t>
      </w:r>
      <w:r w:rsidRPr="00981DE5">
        <w:t>. At the same time,</w:t>
      </w:r>
      <w:r w:rsidR="008D2AFA">
        <w:t xml:space="preserve"> relative</w:t>
      </w:r>
      <w:r w:rsidRPr="00981DE5">
        <w:t xml:space="preserve"> growth is projected in occupations such as </w:t>
      </w:r>
      <w:r w:rsidR="00D460E3">
        <w:t>C</w:t>
      </w:r>
      <w:r w:rsidRPr="00981DE5">
        <w:t xml:space="preserve">leaners, </w:t>
      </w:r>
      <w:r w:rsidR="00D460E3">
        <w:t>M</w:t>
      </w:r>
      <w:r w:rsidRPr="00981DE5">
        <w:t xml:space="preserve">idwifery and </w:t>
      </w:r>
      <w:r w:rsidR="00D460E3">
        <w:t>N</w:t>
      </w:r>
      <w:r w:rsidRPr="00981DE5">
        <w:t xml:space="preserve">ursing </w:t>
      </w:r>
      <w:r w:rsidR="00D460E3">
        <w:t>P</w:t>
      </w:r>
      <w:r w:rsidRPr="00981DE5">
        <w:t xml:space="preserve">rofessionals, </w:t>
      </w:r>
      <w:r w:rsidR="00D460E3">
        <w:t>B</w:t>
      </w:r>
      <w:r w:rsidRPr="00981DE5">
        <w:t xml:space="preserve">usiness </w:t>
      </w:r>
      <w:r w:rsidR="00D460E3">
        <w:t>A</w:t>
      </w:r>
      <w:r w:rsidRPr="00981DE5">
        <w:t xml:space="preserve">dministration </w:t>
      </w:r>
      <w:r w:rsidR="00D460E3">
        <w:t>M</w:t>
      </w:r>
      <w:r w:rsidRPr="00981DE5">
        <w:t xml:space="preserve">anagers, </w:t>
      </w:r>
      <w:r w:rsidR="00D460E3">
        <w:t>C</w:t>
      </w:r>
      <w:r w:rsidRPr="00981DE5">
        <w:t xml:space="preserve">onstruction and </w:t>
      </w:r>
      <w:r w:rsidR="00D460E3">
        <w:t>M</w:t>
      </w:r>
      <w:r w:rsidRPr="00981DE5">
        <w:t xml:space="preserve">ining </w:t>
      </w:r>
      <w:r w:rsidR="00D460E3">
        <w:t>L</w:t>
      </w:r>
      <w:r w:rsidRPr="00981DE5">
        <w:t xml:space="preserve">abourers, and </w:t>
      </w:r>
      <w:r w:rsidR="00D460E3">
        <w:t>H</w:t>
      </w:r>
      <w:r w:rsidRPr="00981DE5">
        <w:t xml:space="preserve">ospitality </w:t>
      </w:r>
      <w:r w:rsidR="00E009FA">
        <w:t>W</w:t>
      </w:r>
      <w:r w:rsidRPr="00981DE5">
        <w:t>orkers</w:t>
      </w:r>
      <w:r>
        <w:t xml:space="preserve"> –</w:t>
      </w:r>
      <w:r w:rsidRPr="00981DE5">
        <w:t xml:space="preserve"> with gains expected in </w:t>
      </w:r>
      <w:r w:rsidR="00BD4683">
        <w:t>C</w:t>
      </w:r>
      <w:r w:rsidR="00BD4683" w:rsidRPr="00981DE5">
        <w:t>onstruction</w:t>
      </w:r>
      <w:r w:rsidRPr="00981DE5">
        <w:t xml:space="preserve">, </w:t>
      </w:r>
      <w:r w:rsidR="00BD4683">
        <w:t>A</w:t>
      </w:r>
      <w:r w:rsidRPr="00981DE5">
        <w:t xml:space="preserve">ccommodation and </w:t>
      </w:r>
      <w:r w:rsidR="00BD4683">
        <w:t>F</w:t>
      </w:r>
      <w:r w:rsidRPr="00981DE5">
        <w:t xml:space="preserve">ood </w:t>
      </w:r>
      <w:r w:rsidR="00BD4683">
        <w:t>S</w:t>
      </w:r>
      <w:r w:rsidRPr="00981DE5">
        <w:t xml:space="preserve">ervices, </w:t>
      </w:r>
      <w:r w:rsidR="005B17E1">
        <w:t>M</w:t>
      </w:r>
      <w:r w:rsidRPr="00981DE5">
        <w:t xml:space="preserve">anufacturing, </w:t>
      </w:r>
      <w:r w:rsidR="005B17E1">
        <w:t>E</w:t>
      </w:r>
      <w:r w:rsidRPr="00981DE5">
        <w:t xml:space="preserve">ducation and </w:t>
      </w:r>
      <w:r w:rsidR="005B17E1">
        <w:t>Training</w:t>
      </w:r>
      <w:r w:rsidRPr="00981DE5">
        <w:t xml:space="preserve">, and </w:t>
      </w:r>
      <w:r w:rsidR="005B17E1">
        <w:t>A</w:t>
      </w:r>
      <w:r w:rsidRPr="00981DE5">
        <w:t>griculture</w:t>
      </w:r>
      <w:r w:rsidR="00DE5E2C">
        <w:t>, Forestry and Fishing</w:t>
      </w:r>
      <w:r w:rsidRPr="00981DE5">
        <w:t>.</w:t>
      </w:r>
    </w:p>
    <w:p w14:paraId="38E039AB" w14:textId="77777777" w:rsidR="00B177D8" w:rsidRPr="00B054C1" w:rsidRDefault="00B177D8" w:rsidP="008F06FF">
      <w:pPr>
        <w:pStyle w:val="Heading4"/>
      </w:pPr>
      <w:r w:rsidRPr="00B054C1">
        <w:t xml:space="preserve">Uneven </w:t>
      </w:r>
      <w:r>
        <w:t>e</w:t>
      </w:r>
      <w:r w:rsidRPr="00B054C1">
        <w:t xml:space="preserve">ffects </w:t>
      </w:r>
      <w:r>
        <w:t>a</w:t>
      </w:r>
      <w:r w:rsidRPr="00B054C1">
        <w:t xml:space="preserve">cross </w:t>
      </w:r>
      <w:r>
        <w:t>c</w:t>
      </w:r>
      <w:r w:rsidRPr="00B054C1">
        <w:t>ohorts</w:t>
      </w:r>
    </w:p>
    <w:p w14:paraId="2EB102F5" w14:textId="548F6796" w:rsidR="006F17F4" w:rsidRPr="006F17F4" w:rsidRDefault="006F17F4" w:rsidP="006F17F4">
      <w:pPr>
        <w:pStyle w:val="BodyText"/>
      </w:pPr>
      <w:r w:rsidRPr="006F17F4">
        <w:t>The effects of Gen AI on employment and productivity are not evenly distributed. For example, based on the current composition of occupations women face greater exposure to both automation and augmentation. Meanwhile, in regional and remote areas, the occupational makeup is less prone to automation or augmentation than in urban centres. While lower exposure suggests less scope for disruption, it may also suggest less scope for labour</w:t>
      </w:r>
      <w:r w:rsidR="00F672D6">
        <w:noBreakHyphen/>
      </w:r>
      <w:r w:rsidRPr="006F17F4">
        <w:t>augmenting uses of Gen AI and its productivity-improving effects.</w:t>
      </w:r>
      <w:r w:rsidRPr="006F17F4" w:rsidDel="008C7F53">
        <w:t xml:space="preserve"> </w:t>
      </w:r>
    </w:p>
    <w:p w14:paraId="57CB460C" w14:textId="77777777" w:rsidR="006F17F4" w:rsidRPr="00582A4C" w:rsidRDefault="006F17F4" w:rsidP="006F17F4">
      <w:pPr>
        <w:pStyle w:val="BodyText"/>
      </w:pPr>
      <w:r w:rsidRPr="006F17F4">
        <w:t>Digital exclusion also contributes to uneven effects across cohorts. Nearly one in four Australians lack the connectivity or skills needed to engage with Gen AI tools, with exclusion highest among First Nations people, those with disability, older adults, and individuals with lower education or income.</w:t>
      </w:r>
    </w:p>
    <w:p w14:paraId="2C4B1A6B" w14:textId="77777777" w:rsidR="006F17F4" w:rsidRPr="00582A4C" w:rsidRDefault="006F17F4" w:rsidP="006F17F4">
      <w:pPr>
        <w:pStyle w:val="BodyText"/>
      </w:pPr>
      <w:r w:rsidRPr="006F17F4">
        <w:t>While Gen AI offers potential for inclusion, such as through assistive technologies, its benefits will only be realised if access to training and tools is equitable. Without targeted support, Gen AI risks deepening existing inequalities and leaving vulnerable cohorts further behind.</w:t>
      </w:r>
    </w:p>
    <w:p w14:paraId="6AB7865D" w14:textId="77777777" w:rsidR="00B177D8" w:rsidRDefault="00B177D8" w:rsidP="008F06FF">
      <w:pPr>
        <w:pStyle w:val="Heading4"/>
      </w:pPr>
      <w:r>
        <w:t>Stewardship and managing varying effects of Gen AI</w:t>
      </w:r>
    </w:p>
    <w:p w14:paraId="1DAA8E8E" w14:textId="1C85C421" w:rsidR="00B177D8" w:rsidRPr="007926FA" w:rsidRDefault="00B177D8" w:rsidP="00B07302">
      <w:pPr>
        <w:pStyle w:val="BodyText"/>
      </w:pPr>
      <w:r>
        <w:t xml:space="preserve">Stewardship and managing the uneven impacts of Gen AI will be essential to a successful national transition. Government should take a leading role in </w:t>
      </w:r>
      <w:r w:rsidR="00225A97">
        <w:t xml:space="preserve">convening </w:t>
      </w:r>
      <w:r>
        <w:t>labour market actors and responding with urgency to both the opportunities and risks presented by Gen A</w:t>
      </w:r>
      <w:r w:rsidR="006A7C54">
        <w:t>I</w:t>
      </w:r>
      <w:r w:rsidR="001A75D4">
        <w:t xml:space="preserve">. </w:t>
      </w:r>
      <w:r w:rsidR="001A75D4" w:rsidRPr="003533B6">
        <w:t>Australian governments should</w:t>
      </w:r>
      <w:r w:rsidR="001A75D4">
        <w:t xml:space="preserve"> also</w:t>
      </w:r>
      <w:r w:rsidR="001A75D4" w:rsidRPr="003533B6">
        <w:t xml:space="preserve"> work towards being exemplars for principles-based implementation of digital and AI technologies in government and human services over the medium</w:t>
      </w:r>
      <w:r w:rsidR="00F63245">
        <w:t>-</w:t>
      </w:r>
      <w:r w:rsidR="001A75D4" w:rsidRPr="003533B6">
        <w:t>term</w:t>
      </w:r>
      <w:r w:rsidR="00927F6D">
        <w:t>.</w:t>
      </w:r>
    </w:p>
    <w:p w14:paraId="332B9F39" w14:textId="77777777" w:rsidR="00B177D8" w:rsidRDefault="00B177D8" w:rsidP="008F06FF">
      <w:pPr>
        <w:pStyle w:val="Heading4"/>
      </w:pPr>
      <w:r w:rsidRPr="00EF3BAC">
        <w:t xml:space="preserve">Training and </w:t>
      </w:r>
      <w:r>
        <w:t xml:space="preserve">educational </w:t>
      </w:r>
      <w:r w:rsidRPr="00EF3BAC">
        <w:t xml:space="preserve">support for </w:t>
      </w:r>
      <w:r>
        <w:t xml:space="preserve">a Gen AI enabled workforce  </w:t>
      </w:r>
    </w:p>
    <w:p w14:paraId="2B882C0B" w14:textId="77777777" w:rsidR="00B177D8" w:rsidRPr="00293347" w:rsidRDefault="00B177D8" w:rsidP="00B07302">
      <w:pPr>
        <w:pStyle w:val="BodyText"/>
      </w:pPr>
      <w:r w:rsidRPr="00293347">
        <w:t>As Gen AI reshapes jobs and accelerates occupational change, lifelong learning will become essential to maintaining employment and productivity. Workers will need ongoing opportunities to upskill and reskill, supported by flexible and responsive education and training systems.</w:t>
      </w:r>
    </w:p>
    <w:p w14:paraId="220E6FC6" w14:textId="77777777" w:rsidR="00B177D8" w:rsidRPr="00293347" w:rsidRDefault="00B177D8" w:rsidP="00B07302">
      <w:pPr>
        <w:pStyle w:val="BodyText"/>
      </w:pPr>
      <w:r w:rsidRPr="00293347">
        <w:t>To meet these needs, training packages and delivery models across both VET and higher education must be updated in a timely and agile manner. Embedding digital and AI-related skills into qualifications will help ensure learners are equipped for a fast-changing labour market.</w:t>
      </w:r>
    </w:p>
    <w:p w14:paraId="1EE2C73D" w14:textId="5546AB59" w:rsidR="00B177D8" w:rsidRPr="00293347" w:rsidRDefault="00B177D8" w:rsidP="00B07302">
      <w:pPr>
        <w:pStyle w:val="BodyText"/>
      </w:pPr>
      <w:r w:rsidRPr="00293347">
        <w:t xml:space="preserve">These efforts must also be inclusive and, where needed, targeted to address digital access gaps and occupational vulnerabilities </w:t>
      </w:r>
      <w:r>
        <w:t>–</w:t>
      </w:r>
      <w:r w:rsidRPr="00293347">
        <w:t xml:space="preserve"> particularly among cohort groups such as women and First Nations </w:t>
      </w:r>
      <w:r w:rsidR="0006522E">
        <w:t>people</w:t>
      </w:r>
      <w:r w:rsidRPr="00293347">
        <w:t xml:space="preserve">. </w:t>
      </w:r>
      <w:r w:rsidR="00261871">
        <w:t xml:space="preserve">As noted by </w:t>
      </w:r>
      <w:r w:rsidR="005D6500">
        <w:t>the Future Skills Organisation</w:t>
      </w:r>
      <w:r w:rsidR="00D53D41">
        <w:t>,</w:t>
      </w:r>
      <w:r w:rsidR="00D53D41" w:rsidRPr="00D53D41">
        <w:t xml:space="preserve"> VET must adapt to meeting growing AI skills demands to remain industry-relevant</w:t>
      </w:r>
      <w:r w:rsidR="009B76F7">
        <w:t xml:space="preserve"> </w:t>
      </w:r>
      <w:sdt>
        <w:sdtPr>
          <w:id w:val="-52389193"/>
          <w:citation/>
        </w:sdtPr>
        <w:sdtContent>
          <w:r w:rsidR="00D53D41">
            <w:fldChar w:fldCharType="begin"/>
          </w:r>
          <w:r w:rsidR="00D53D41">
            <w:instrText xml:space="preserve">CITATION Org25 \l 3081 </w:instrText>
          </w:r>
          <w:r w:rsidR="00D53D41">
            <w:fldChar w:fldCharType="separate"/>
          </w:r>
          <w:r w:rsidR="00D52996">
            <w:rPr>
              <w:noProof/>
            </w:rPr>
            <w:t>(Future Skills Organisation, 2025)</w:t>
          </w:r>
          <w:r w:rsidR="00D53D41">
            <w:fldChar w:fldCharType="end"/>
          </w:r>
        </w:sdtContent>
      </w:sdt>
      <w:r w:rsidR="00953092" w:rsidRPr="00953092">
        <w:t xml:space="preserve">. </w:t>
      </w:r>
      <w:r w:rsidRPr="00293347">
        <w:t xml:space="preserve">Support </w:t>
      </w:r>
      <w:r w:rsidR="00E36FCE">
        <w:t xml:space="preserve">for </w:t>
      </w:r>
      <w:r w:rsidRPr="00293347">
        <w:t xml:space="preserve">flexible program design, </w:t>
      </w:r>
      <w:r w:rsidR="00E36FCE" w:rsidRPr="00293347">
        <w:t xml:space="preserve">educators </w:t>
      </w:r>
      <w:r w:rsidR="00E36FCE">
        <w:t xml:space="preserve">to develop their own digital and AI related skills, </w:t>
      </w:r>
      <w:r w:rsidRPr="00293347">
        <w:t>and a mix of formal and informal learning pathways will help build a well-functioning learning ecosystem.</w:t>
      </w:r>
    </w:p>
    <w:p w14:paraId="7D022D7F" w14:textId="65AF5DA1" w:rsidR="00B177D8" w:rsidRPr="00293347" w:rsidRDefault="00B177D8" w:rsidP="00B07302">
      <w:pPr>
        <w:pStyle w:val="BodyText"/>
      </w:pPr>
      <w:r w:rsidRPr="00293347">
        <w:t>Collaboration between industry and education providers will be critical to ensure training remains relevant and aligned with emerging workforce needs, enabling a more adaptive and resilient skills system.</w:t>
      </w:r>
      <w:r w:rsidR="00314906">
        <w:t xml:space="preserve"> </w:t>
      </w:r>
    </w:p>
    <w:p w14:paraId="57986622" w14:textId="77777777" w:rsidR="00B177D8" w:rsidRDefault="00B177D8" w:rsidP="008F06FF">
      <w:pPr>
        <w:pStyle w:val="Heading4"/>
      </w:pPr>
      <w:r>
        <w:t xml:space="preserve">Supporting labour mobility and organisational adaptability </w:t>
      </w:r>
    </w:p>
    <w:p w14:paraId="0C931014" w14:textId="77777777" w:rsidR="00B177D8" w:rsidRPr="00056056" w:rsidRDefault="00B177D8" w:rsidP="00B07302">
      <w:pPr>
        <w:pStyle w:val="BodyText"/>
      </w:pPr>
      <w:r w:rsidRPr="00056056">
        <w:t>As Gen AI continues to reshape work processes and skill requirements, the ability of workers and employers to adapt will determine how effectively Australia can respond to change.</w:t>
      </w:r>
      <w:r>
        <w:t xml:space="preserve"> </w:t>
      </w:r>
      <w:r w:rsidRPr="00056056">
        <w:t>Labour mobility plays a central role in this transition. Workers will need support to move within and across occupations as tasks evolve. Some roles face repeated exposure to automation with limited pathways for progression, making targeted upskilling and transition support essential to prevent displacement and enable advancement into higher-skilled roles.</w:t>
      </w:r>
    </w:p>
    <w:p w14:paraId="00DC8E0F" w14:textId="77777777" w:rsidR="00B177D8" w:rsidRPr="00056056" w:rsidRDefault="00B177D8" w:rsidP="00B07302">
      <w:pPr>
        <w:pStyle w:val="BodyText"/>
      </w:pPr>
      <w:r w:rsidRPr="00056056">
        <w:t>At the same time, organisational adaptability will shape how employers respond to productivity gains and redesign work processes. This capacity varies by business size, sector and readiness, and must be supported through policy, capability building, and access to tools and guidance.</w:t>
      </w:r>
    </w:p>
    <w:p w14:paraId="2842912B" w14:textId="77777777" w:rsidR="00B177D8" w:rsidRDefault="00B177D8" w:rsidP="00B177D8">
      <w:pPr>
        <w:pStyle w:val="Heading2"/>
      </w:pPr>
      <w:bookmarkStart w:id="298" w:name="_Toc207702164"/>
      <w:bookmarkStart w:id="299" w:name="_Toc208923422"/>
      <w:bookmarkStart w:id="300" w:name="_Toc211587039"/>
      <w:r>
        <w:t xml:space="preserve">Key points from chapter </w:t>
      </w:r>
      <w:bookmarkEnd w:id="298"/>
      <w:r>
        <w:t>four</w:t>
      </w:r>
      <w:bookmarkEnd w:id="299"/>
      <w:bookmarkEnd w:id="300"/>
    </w:p>
    <w:p w14:paraId="42F55EC8" w14:textId="45384CBE" w:rsidR="00FA7754" w:rsidRPr="00FA7754" w:rsidRDefault="00B177D8" w:rsidP="00EA5E5C">
      <w:pPr>
        <w:pStyle w:val="BodyText"/>
      </w:pPr>
      <w:r w:rsidRPr="009650EB">
        <w:t xml:space="preserve">Australia’s labour market is undergoing structural transformation, with strong growth in service industries and higher-skilled occupations. </w:t>
      </w:r>
      <w:r w:rsidR="00FA7754" w:rsidRPr="00FA7754">
        <w:t>In contrast, traditional producing industries like Manufacturing and Agriculture have experienced employment declines. These changes reflect broader demographic and economic trends, including increased workforce participation by women and older Australians, as well as a growing emphasis on inclusive and flexible work environments.</w:t>
      </w:r>
    </w:p>
    <w:p w14:paraId="5A41EA2F" w14:textId="649EECD9" w:rsidR="00FA7754" w:rsidRDefault="00FA7754" w:rsidP="0017585C">
      <w:pPr>
        <w:pStyle w:val="BodyText"/>
      </w:pPr>
      <w:r w:rsidRPr="00FA7754">
        <w:t>Occupational growth has been strongest in roles requiring higher qualifications, particularly those aligned with Skill Level 1 (</w:t>
      </w:r>
      <w:r w:rsidR="00602CAF" w:rsidRPr="00FA7754">
        <w:t>bachelor's</w:t>
      </w:r>
      <w:r w:rsidRPr="00FA7754">
        <w:t xml:space="preserve"> degree or higher), which now represent a growing proportion of the workforce. Meanwhile, employment in lower-skilled roles has stagnated. This trend underscores the need for education and training systems to be responsive to evolving labour market demands. To ensure Australians are equipped for the jobs of the future, tertiary education attainment</w:t>
      </w:r>
      <w:r w:rsidR="00D3187B">
        <w:t xml:space="preserve"> minimum</w:t>
      </w:r>
      <w:r w:rsidRPr="00FA7754">
        <w:t xml:space="preserve"> targets should be aligned with these workforce shifts. A</w:t>
      </w:r>
      <w:r w:rsidR="0076554F">
        <w:t> </w:t>
      </w:r>
      <w:r w:rsidRPr="00FA7754">
        <w:t>balanced approach between VET and higher education is essential</w:t>
      </w:r>
      <w:r w:rsidR="00F63245">
        <w:t xml:space="preserve"> </w:t>
      </w:r>
      <w:r w:rsidR="00F63245" w:rsidRPr="00F63245">
        <w:t>–</w:t>
      </w:r>
      <w:r w:rsidR="00F63245">
        <w:t xml:space="preserve"> </w:t>
      </w:r>
      <w:r w:rsidRPr="00FA7754">
        <w:t>one that reflects both medium and long</w:t>
      </w:r>
      <w:r w:rsidR="009C44CA">
        <w:t xml:space="preserve"> </w:t>
      </w:r>
      <w:r w:rsidRPr="00FA7754">
        <w:t>term skill requirements across the economy.</w:t>
      </w:r>
    </w:p>
    <w:tbl>
      <w:tblPr>
        <w:tblStyle w:val="CustomTablepulloutbox2"/>
        <w:tblW w:w="0" w:type="auto"/>
        <w:tblLook w:val="04A0" w:firstRow="1" w:lastRow="0" w:firstColumn="1" w:lastColumn="0" w:noHBand="0" w:noVBand="1"/>
      </w:tblPr>
      <w:tblGrid>
        <w:gridCol w:w="9027"/>
      </w:tblGrid>
      <w:tr w:rsidR="00B331B1" w14:paraId="50C5E62A" w14:textId="77777777" w:rsidTr="000C3E1F">
        <w:tc>
          <w:tcPr>
            <w:tcW w:w="9027" w:type="dxa"/>
          </w:tcPr>
          <w:p w14:paraId="161F4D03" w14:textId="65AB2B84" w:rsidR="00B331B1" w:rsidRDefault="00B331B1" w:rsidP="00907907">
            <w:pPr>
              <w:pStyle w:val="BoxHeading"/>
            </w:pPr>
            <w:bookmarkStart w:id="301" w:name="_Hlk211589065"/>
            <w:r w:rsidRPr="00B331B1">
              <w:t>Recommendation 1</w:t>
            </w:r>
          </w:p>
          <w:p w14:paraId="49DA24E3" w14:textId="45349706" w:rsidR="00B331B1" w:rsidRPr="00F33932" w:rsidRDefault="00B331B1" w:rsidP="00B331B1">
            <w:pPr>
              <w:pStyle w:val="BodyText"/>
              <w:rPr>
                <w:lang w:val="en-GB" w:eastAsia="en-AU"/>
              </w:rPr>
            </w:pPr>
            <w:r w:rsidRPr="00052091">
              <w:rPr>
                <w:rStyle w:val="Characterbold"/>
              </w:rPr>
              <w:t>The tertiary education attainment minimum targets should be aligned with labour market demand. The minimum targets in the VET and higher education systems should consider the skills required by the labour market both in the medium and long term.</w:t>
            </w:r>
          </w:p>
        </w:tc>
      </w:tr>
    </w:tbl>
    <w:bookmarkEnd w:id="301"/>
    <w:p w14:paraId="3045E243" w14:textId="77777777" w:rsidR="00F33932" w:rsidRPr="008538B8" w:rsidRDefault="00F33932" w:rsidP="00F33932">
      <w:pPr>
        <w:pStyle w:val="BodyText"/>
      </w:pPr>
      <w:r w:rsidRPr="008538B8">
        <w:t>The rapid emergence of Gen AI is reshaping Australia’s labour market, with early signs of productivity gains and job transformation across market and non-market sectors. However, the effects of Gen AI are not evenly distributed. For example, women are on average more exposed to both automation and augmentation than men, with potentially greater scope for disruption but also for productivity improvements from labour-augmenting uses of Gen AI.</w:t>
      </w:r>
    </w:p>
    <w:p w14:paraId="0405F8CA" w14:textId="77777777" w:rsidR="00F33932" w:rsidRPr="007D4FD6" w:rsidRDefault="00F33932" w:rsidP="00F33932">
      <w:pPr>
        <w:pStyle w:val="BodyText"/>
      </w:pPr>
      <w:r w:rsidRPr="007D4FD6">
        <w:t xml:space="preserve">To ensure an inclusive and future-ready workforce, </w:t>
      </w:r>
      <w:r w:rsidRPr="00B93E13">
        <w:rPr>
          <w:rStyle w:val="Strong"/>
          <w:b w:val="0"/>
        </w:rPr>
        <w:t>Australian governments should commit to a system-wide uplift in digital and AI capabilities</w:t>
      </w:r>
      <w:r w:rsidRPr="007D4FD6">
        <w:t xml:space="preserve">, targeting both learners and industry. This includes embedding contemporary digital and AI skills into the design and delivery of VET and higher education qualifications. Education and training systems must become more agile and responsive to the fast-evolving demands of the digital economy. Lifelong learning, flexible delivery models, and strong collaboration between industry and education providers will be essential. </w:t>
      </w:r>
    </w:p>
    <w:p w14:paraId="57E4B0FD" w14:textId="22CC75F6" w:rsidR="00B331B1" w:rsidRDefault="00F33932" w:rsidP="0017585C">
      <w:pPr>
        <w:pStyle w:val="BodyText"/>
      </w:pPr>
      <w:r w:rsidRPr="008538B8">
        <w:t>Australian governments should also work towards being exemplars for principles-based implementation of digital and AI technologies in the non-market sector. This implementation should have regard to principles of equity, proportionality, productivity and technology-neutrality.</w:t>
      </w:r>
    </w:p>
    <w:tbl>
      <w:tblPr>
        <w:tblStyle w:val="CustomTablepulloutbox2"/>
        <w:tblW w:w="0" w:type="auto"/>
        <w:tblLook w:val="04A0" w:firstRow="1" w:lastRow="0" w:firstColumn="1" w:lastColumn="0" w:noHBand="0" w:noVBand="1"/>
      </w:tblPr>
      <w:tblGrid>
        <w:gridCol w:w="9027"/>
      </w:tblGrid>
      <w:tr w:rsidR="00F33932" w14:paraId="4CAF2637" w14:textId="77777777" w:rsidTr="00F7714A">
        <w:tc>
          <w:tcPr>
            <w:tcW w:w="9027" w:type="dxa"/>
          </w:tcPr>
          <w:p w14:paraId="74E2FCBE" w14:textId="77777777" w:rsidR="00F33932" w:rsidRDefault="00F33932" w:rsidP="00F7714A">
            <w:pPr>
              <w:pStyle w:val="BoxHeading"/>
            </w:pPr>
            <w:r>
              <w:t>Recommendation 2</w:t>
            </w:r>
          </w:p>
          <w:p w14:paraId="430703F4" w14:textId="77777777" w:rsidR="00F33932" w:rsidRDefault="00F33932" w:rsidP="00F7714A">
            <w:pPr>
              <w:pStyle w:val="BodyText"/>
              <w:rPr>
                <w:lang w:val="en-GB" w:eastAsia="en-AU"/>
              </w:rPr>
            </w:pPr>
            <w:r w:rsidRPr="00EA5E5C">
              <w:rPr>
                <w:rStyle w:val="Characterbold"/>
              </w:rPr>
              <w:t>Australian governments should commit to digital and AI capability uplift across the skills system as a priority. Whole-of-system efforts should target uplift across the</w:t>
            </w:r>
            <w:r>
              <w:rPr>
                <w:rStyle w:val="Characterbold"/>
              </w:rPr>
              <w:t xml:space="preserve"> </w:t>
            </w:r>
            <w:r w:rsidRPr="00EA5E5C">
              <w:rPr>
                <w:rStyle w:val="Characterbold"/>
              </w:rPr>
              <w:t xml:space="preserve">population, in line with the spectrum of needs and aspirations of learners and industry </w:t>
            </w:r>
            <w:r w:rsidRPr="00EA5E5C">
              <w:rPr>
                <w:rStyle w:val="Characteritalic"/>
              </w:rPr>
              <w:t>(</w:t>
            </w:r>
            <w:r>
              <w:rPr>
                <w:rStyle w:val="Characteritalic"/>
              </w:rPr>
              <w:t>Our</w:t>
            </w:r>
            <w:r w:rsidRPr="00EA5E5C">
              <w:rPr>
                <w:rStyle w:val="Characteritalic"/>
              </w:rPr>
              <w:t xml:space="preserve"> Gen AI Transition – recommendation 5)</w:t>
            </w:r>
            <w:r>
              <w:rPr>
                <w:rStyle w:val="Characteritalic"/>
              </w:rPr>
              <w:t>.</w:t>
            </w:r>
          </w:p>
          <w:p w14:paraId="5AD23103" w14:textId="017C02C8" w:rsidR="00F33932" w:rsidRDefault="00F33932" w:rsidP="00F7714A">
            <w:pPr>
              <w:pStyle w:val="BodyText"/>
            </w:pPr>
          </w:p>
        </w:tc>
      </w:tr>
    </w:tbl>
    <w:p w14:paraId="06D0B0F7" w14:textId="77777777" w:rsidR="00B96D75" w:rsidRDefault="00B96D75" w:rsidP="00B177D8"/>
    <w:tbl>
      <w:tblPr>
        <w:tblStyle w:val="CustomTablepulloutbox2"/>
        <w:tblW w:w="0" w:type="auto"/>
        <w:tblLook w:val="04A0" w:firstRow="1" w:lastRow="0" w:firstColumn="1" w:lastColumn="0" w:noHBand="0" w:noVBand="1"/>
      </w:tblPr>
      <w:tblGrid>
        <w:gridCol w:w="9027"/>
      </w:tblGrid>
      <w:tr w:rsidR="007E4723" w14:paraId="4CD4FC44" w14:textId="77777777" w:rsidTr="00240CE4">
        <w:tc>
          <w:tcPr>
            <w:tcW w:w="9027" w:type="dxa"/>
          </w:tcPr>
          <w:p w14:paraId="5E4524CA" w14:textId="77777777" w:rsidR="007E4723" w:rsidRPr="0088181F" w:rsidRDefault="007E4723" w:rsidP="00240CE4">
            <w:pPr>
              <w:pStyle w:val="BoxHeading"/>
            </w:pPr>
            <w:r>
              <w:t>Recommendation 3</w:t>
            </w:r>
          </w:p>
          <w:p w14:paraId="1DA13758" w14:textId="77777777" w:rsidR="007E4723" w:rsidRDefault="007E4723" w:rsidP="00240CE4">
            <w:pPr>
              <w:pStyle w:val="BodyText"/>
            </w:pPr>
            <w:r w:rsidRPr="00EA5E5C">
              <w:rPr>
                <w:rStyle w:val="Characterbold"/>
              </w:rPr>
              <w:t>Australian governments should prioritise efforts to embed contemporary data, digital and AI skills in the design and delivery of higher education and VET qualifications. This should include consideration of mechanisms to enable qualification design and delivery to respond to fast-evolving digital and AI skill requirements for different study and career pathways</w:t>
            </w:r>
            <w:r>
              <w:rPr>
                <w:rStyle w:val="Characterbold"/>
              </w:rPr>
              <w:t xml:space="preserve"> </w:t>
            </w:r>
            <w:r w:rsidRPr="00EA5E5C">
              <w:rPr>
                <w:rStyle w:val="Characteritalic"/>
              </w:rPr>
              <w:t>(</w:t>
            </w:r>
            <w:r>
              <w:rPr>
                <w:rStyle w:val="Characteritalic"/>
              </w:rPr>
              <w:t>Our</w:t>
            </w:r>
            <w:r w:rsidRPr="00EA5E5C">
              <w:rPr>
                <w:rStyle w:val="Characteritalic"/>
              </w:rPr>
              <w:t xml:space="preserve"> Gen AI Transition – recommendation 7)</w:t>
            </w:r>
            <w:r>
              <w:rPr>
                <w:rStyle w:val="Characteritalic"/>
              </w:rPr>
              <w:t>.</w:t>
            </w:r>
          </w:p>
        </w:tc>
      </w:tr>
    </w:tbl>
    <w:p w14:paraId="2D8CEDBA" w14:textId="77777777" w:rsidR="00F33932" w:rsidRDefault="00F33932" w:rsidP="00B177D8"/>
    <w:p w14:paraId="17D353BE" w14:textId="77777777" w:rsidR="00F33932" w:rsidRDefault="00F33932" w:rsidP="00B177D8">
      <w:pPr>
        <w:sectPr w:rsidR="00F33932" w:rsidSect="00480B35">
          <w:headerReference w:type="even" r:id="rId110"/>
          <w:headerReference w:type="default" r:id="rId111"/>
          <w:footerReference w:type="even" r:id="rId112"/>
          <w:footerReference w:type="default" r:id="rId113"/>
          <w:pgSz w:w="11907" w:h="16839" w:code="9"/>
          <w:pgMar w:top="1440" w:right="1270" w:bottom="1440" w:left="1270" w:header="720" w:footer="720" w:gutter="0"/>
          <w:cols w:space="720"/>
          <w:docGrid w:linePitch="360"/>
        </w:sectPr>
      </w:pPr>
    </w:p>
    <w:p w14:paraId="0B1349EC" w14:textId="77777777" w:rsidR="006E252D" w:rsidRDefault="006E252D" w:rsidP="00B177D8">
      <w:pPr>
        <w:sectPr w:rsidR="006E252D" w:rsidSect="00480B35">
          <w:headerReference w:type="even" r:id="rId114"/>
          <w:footerReference w:type="even" r:id="rId115"/>
          <w:pgSz w:w="11907" w:h="16839" w:code="9"/>
          <w:pgMar w:top="1440" w:right="1270" w:bottom="1440" w:left="1270" w:header="720" w:footer="720" w:gutter="0"/>
          <w:cols w:space="720"/>
          <w:docGrid w:linePitch="360"/>
        </w:sectPr>
      </w:pPr>
    </w:p>
    <w:p w14:paraId="5C3BA88C" w14:textId="49FD694E" w:rsidR="00B570F3" w:rsidRPr="00B570F3" w:rsidRDefault="004A5FF2" w:rsidP="00B570F3">
      <w:pPr>
        <w:pStyle w:val="Heading1"/>
      </w:pPr>
      <w:bookmarkStart w:id="302" w:name="_Toc207613550"/>
      <w:bookmarkStart w:id="303" w:name="_Toc208923423"/>
      <w:bookmarkStart w:id="304" w:name="_Toc211587040"/>
      <w:r>
        <w:t>Improved</w:t>
      </w:r>
      <w:r w:rsidRPr="00B570F3">
        <w:t xml:space="preserve"> </w:t>
      </w:r>
      <w:r w:rsidR="00B570F3" w:rsidRPr="00B570F3">
        <w:t>matching and the skills system</w:t>
      </w:r>
      <w:bookmarkEnd w:id="302"/>
      <w:bookmarkEnd w:id="303"/>
      <w:bookmarkEnd w:id="304"/>
    </w:p>
    <w:p w14:paraId="77BDDF18" w14:textId="50EB9A4E" w:rsidR="00B570F3" w:rsidRPr="00B570F3" w:rsidRDefault="004A5FF2" w:rsidP="00190416">
      <w:pPr>
        <w:pStyle w:val="BodyText"/>
      </w:pPr>
      <w:r>
        <w:t>Improved</w:t>
      </w:r>
      <w:r w:rsidR="00B570F3" w:rsidRPr="00B570F3">
        <w:t xml:space="preserve"> matching in the labour market relies on a national skills system that is connected, coordinated, and responsive. As the nature of work continues to shift, so do the skills that workers need, with growing demand for capabilities that are adaptable, applied, and contextualised to the workplace. </w:t>
      </w:r>
    </w:p>
    <w:p w14:paraId="4A248C8F" w14:textId="77777777" w:rsidR="00B570F3" w:rsidRPr="00B570F3" w:rsidRDefault="00B570F3" w:rsidP="00190416">
      <w:pPr>
        <w:pStyle w:val="BodyText"/>
      </w:pPr>
      <w:r w:rsidRPr="00B570F3">
        <w:t>These shifts have wide-reaching implications for productivity and participation, and they demand a system that can adapt quickly and effectively. Achieving this requires stronger alignment across education and training, government, and industry, with a shared focus on equipping individuals with the skills and capabilities needed to thrive in a changing economy.</w:t>
      </w:r>
    </w:p>
    <w:p w14:paraId="77313911" w14:textId="77777777" w:rsidR="00B570F3" w:rsidRPr="00B570F3" w:rsidRDefault="00B570F3" w:rsidP="00B570F3">
      <w:pPr>
        <w:pStyle w:val="Heading2"/>
      </w:pPr>
      <w:bookmarkStart w:id="305" w:name="_Toc207613551"/>
      <w:bookmarkStart w:id="306" w:name="_Toc208923424"/>
      <w:bookmarkStart w:id="307" w:name="_Toc211587041"/>
      <w:r w:rsidRPr="00B570F3">
        <w:t>Outcomes in the current system</w:t>
      </w:r>
      <w:bookmarkEnd w:id="305"/>
      <w:bookmarkEnd w:id="306"/>
      <w:bookmarkEnd w:id="307"/>
    </w:p>
    <w:p w14:paraId="36672954" w14:textId="66C18E6E" w:rsidR="00B570F3" w:rsidRDefault="00B570F3" w:rsidP="00190416">
      <w:pPr>
        <w:pStyle w:val="BodyText"/>
      </w:pPr>
      <w:r>
        <w:t xml:space="preserve">Australia’s tertiary education system is largely separated into two distinct sectors – higher education and VET. Higher education offers academic and professional qualifications through universities and other institutions, while VET is typically focused on </w:t>
      </w:r>
      <w:r w:rsidR="003B4D5C" w:rsidRPr="003B4D5C">
        <w:t>provid</w:t>
      </w:r>
      <w:r w:rsidR="003B4D5C">
        <w:t>ing</w:t>
      </w:r>
      <w:r w:rsidR="003B4D5C" w:rsidRPr="003B4D5C">
        <w:t xml:space="preserve"> workplace skills, technical knowledge and qualifications for rewarding jobs and careers</w:t>
      </w:r>
      <w:r w:rsidR="00441A26">
        <w:t>,</w:t>
      </w:r>
      <w:r w:rsidR="003B4D5C" w:rsidRPr="003B4D5C" w:rsidDel="003B4D5C">
        <w:t xml:space="preserve"> </w:t>
      </w:r>
      <w:r>
        <w:t xml:space="preserve">delivered through </w:t>
      </w:r>
      <w:r w:rsidR="004E5F40">
        <w:t>a range of providers</w:t>
      </w:r>
      <w:r>
        <w:t>. The sectors differ in structure, culture, and educational approaches – yet both are equally important in delivering high-quality education and training that meets diverse student needs and the evolving requirements of industry. Skilled migration complements the domestic skills system by enabling a responsive and flexible approach to addressing labour market needs that cannot be met quickly or sufficiently through local supply</w:t>
      </w:r>
      <w:r w:rsidR="00BF7A6D">
        <w:t>,</w:t>
      </w:r>
      <w:r>
        <w:t xml:space="preserve"> and contributing to the </w:t>
      </w:r>
      <w:r w:rsidR="00602CAF">
        <w:t>long-term</w:t>
      </w:r>
      <w:r>
        <w:t xml:space="preserve"> human capital of our nation. </w:t>
      </w:r>
    </w:p>
    <w:p w14:paraId="63EFBB92" w14:textId="77777777" w:rsidR="00480B35" w:rsidRDefault="00B570F3" w:rsidP="00190416">
      <w:pPr>
        <w:pStyle w:val="BodyText"/>
        <w:sectPr w:rsidR="00480B35" w:rsidSect="00480B35">
          <w:headerReference w:type="default" r:id="rId116"/>
          <w:footerReference w:type="default" r:id="rId117"/>
          <w:type w:val="oddPage"/>
          <w:pgSz w:w="11907" w:h="16839" w:code="9"/>
          <w:pgMar w:top="1440" w:right="1270" w:bottom="1440" w:left="3402" w:header="720" w:footer="720" w:gutter="0"/>
          <w:cols w:space="720"/>
          <w:docGrid w:linePitch="360"/>
        </w:sectPr>
      </w:pPr>
      <w:r w:rsidRPr="004B2702">
        <w:t>Understanding the outcomes delivered by each sector is essential for assessing how well the tertiary educatio</w:t>
      </w:r>
      <w:r>
        <w:t xml:space="preserve">n </w:t>
      </w:r>
      <w:r w:rsidRPr="004B2702">
        <w:t>system</w:t>
      </w:r>
      <w:r>
        <w:t xml:space="preserve"> is</w:t>
      </w:r>
      <w:r w:rsidRPr="004B2702">
        <w:t xml:space="preserve"> meeting </w:t>
      </w:r>
      <w:r>
        <w:t>its</w:t>
      </w:r>
      <w:r w:rsidRPr="004B2702">
        <w:t xml:space="preserve"> objectives. </w:t>
      </w:r>
      <w:r w:rsidRPr="00C040C9">
        <w:t>A</w:t>
      </w:r>
      <w:r>
        <w:t xml:space="preserve"> key</w:t>
      </w:r>
      <w:r w:rsidRPr="00C040C9">
        <w:t xml:space="preserve"> priority for </w:t>
      </w:r>
      <w:r>
        <w:t>JSA</w:t>
      </w:r>
      <w:r w:rsidRPr="00C040C9">
        <w:t xml:space="preserve"> is providing independent advice on the effectiveness of </w:t>
      </w:r>
      <w:r>
        <w:t>these</w:t>
      </w:r>
      <w:r w:rsidRPr="00C040C9">
        <w:t xml:space="preserve"> systems to meet Australia’s future skills and workforce needs.</w:t>
      </w:r>
      <w:r w:rsidR="00090775">
        <w:t xml:space="preserve"> </w:t>
      </w:r>
      <w:r w:rsidRPr="004B2702">
        <w:t xml:space="preserve">Examining current performance provides insight into how effectively students are being supported, how responsive training is to industry needs, and where opportunities exist to strengthen alignment </w:t>
      </w:r>
      <w:r>
        <w:t>across the skills system</w:t>
      </w:r>
      <w:r w:rsidRPr="004B2702">
        <w:t>.</w:t>
      </w:r>
      <w:r>
        <w:t xml:space="preserve"> </w:t>
      </w:r>
    </w:p>
    <w:p w14:paraId="2E4577E0" w14:textId="77777777" w:rsidR="00B570F3" w:rsidRDefault="00B570F3" w:rsidP="00B570F3">
      <w:pPr>
        <w:pStyle w:val="Heading3"/>
      </w:pPr>
      <w:bookmarkStart w:id="308" w:name="_Toc207613552"/>
      <w:bookmarkStart w:id="309" w:name="_Toc208923425"/>
      <w:bookmarkStart w:id="310" w:name="_Toc211587042"/>
      <w:r w:rsidRPr="00CE4ACB">
        <w:t>Understanding VET outcomes</w:t>
      </w:r>
      <w:bookmarkEnd w:id="308"/>
      <w:bookmarkEnd w:id="309"/>
      <w:bookmarkEnd w:id="310"/>
    </w:p>
    <w:p w14:paraId="3A148D30" w14:textId="300C2341" w:rsidR="00B570F3" w:rsidRDefault="00B570F3" w:rsidP="00190416">
      <w:pPr>
        <w:pStyle w:val="BodyText"/>
      </w:pPr>
      <w:r>
        <w:t xml:space="preserve">Last year’s Jobs and Skills </w:t>
      </w:r>
      <w:r w:rsidR="004F3D53">
        <w:t>R</w:t>
      </w:r>
      <w:r>
        <w:t xml:space="preserve">eport outlined findings from JSA’s VNDA project, which </w:t>
      </w:r>
      <w:r w:rsidRPr="00086A15">
        <w:t>brings together a range of government administrative data assets to track the employment, economic and further study outcomes of VET students. </w:t>
      </w:r>
      <w:r>
        <w:t xml:space="preserve">This helps us uncover insights into how well the system is delivering the skills students need to succeed post-training, as well as other social or structural factors that may be influencing student outcomes and require strategic intervention. </w:t>
      </w:r>
    </w:p>
    <w:p w14:paraId="56068F6F" w14:textId="77777777" w:rsidR="00223C84" w:rsidRPr="00223C84" w:rsidRDefault="00B570F3" w:rsidP="00223C84">
      <w:pPr>
        <w:pStyle w:val="BodyText"/>
      </w:pPr>
      <w:r>
        <w:t xml:space="preserve">Post-training outcomes are shaped by a complex interplay of individual circumstances, labour market conditions, and structural factors. To help expand our understanding of some of the dynamics at play for individuals post-training, the </w:t>
      </w:r>
      <w:r w:rsidR="00233696">
        <w:t xml:space="preserve">upcoming </w:t>
      </w:r>
      <w:r>
        <w:t xml:space="preserve">VNDA </w:t>
      </w:r>
      <w:r w:rsidR="00233696">
        <w:t xml:space="preserve">report </w:t>
      </w:r>
      <w:r w:rsidR="00A84418">
        <w:t xml:space="preserve">will </w:t>
      </w:r>
      <w:r w:rsidR="00233696">
        <w:t>explore</w:t>
      </w:r>
      <w:r>
        <w:t xml:space="preserve"> the nature of </w:t>
      </w:r>
      <w:r w:rsidR="00223C84" w:rsidRPr="00527DAC">
        <w:t xml:space="preserve">employment after training (part-time </w:t>
      </w:r>
      <w:r w:rsidR="00223C84" w:rsidRPr="00223C84">
        <w:t>compared to full-time employment), and insights on outcomes for students who partially complete a VET qualification (for example completion of only some units or courses).</w:t>
      </w:r>
    </w:p>
    <w:p w14:paraId="6EFF103F" w14:textId="7182F90A" w:rsidR="00D56F8B" w:rsidRDefault="00B570F3" w:rsidP="00B73356">
      <w:pPr>
        <w:pStyle w:val="BodyText"/>
      </w:pPr>
      <w:r w:rsidRPr="00B73356">
        <w:t>This year’s VNDA results highlight the benefits of completing a VET qualification, with student outcomes in 2020</w:t>
      </w:r>
      <w:r w:rsidR="003512FC">
        <w:t>–</w:t>
      </w:r>
      <w:r w:rsidRPr="00B73356">
        <w:t>21 improving from 2019</w:t>
      </w:r>
      <w:r w:rsidR="003512FC">
        <w:t>–</w:t>
      </w:r>
      <w:r w:rsidRPr="00B73356">
        <w:t>20. In 2020</w:t>
      </w:r>
      <w:r w:rsidR="003512FC">
        <w:t>–</w:t>
      </w:r>
      <w:r w:rsidRPr="00B73356">
        <w:t>21 VET graduates had a median income of $51,100, representing an uplift of $14,100 when compared to pre-training median income. Additionally, 88% of VET graduates were employed, compared to 72% prior to commencing training. Among VET graduates who received income support prior to study, 48% were no longer on income support a year after completion (income support exit rate). For further</w:t>
      </w:r>
      <w:r w:rsidR="002A0420">
        <w:t xml:space="preserve"> VET</w:t>
      </w:r>
      <w:r w:rsidRPr="00B73356">
        <w:t xml:space="preserve"> study, 29% of VET graduates enrolled in an</w:t>
      </w:r>
      <w:r w:rsidR="00897E22">
        <w:t>other</w:t>
      </w:r>
      <w:r w:rsidRPr="00B73356">
        <w:t xml:space="preserve"> VET qualification after completion, </w:t>
      </w:r>
      <w:r w:rsidR="009164DC">
        <w:t>which included</w:t>
      </w:r>
      <w:r w:rsidRPr="00B73356">
        <w:t xml:space="preserve"> 17% of VET graduates </w:t>
      </w:r>
      <w:r w:rsidR="009164DC">
        <w:t xml:space="preserve">who </w:t>
      </w:r>
      <w:r w:rsidR="00D559A6">
        <w:t>pursued</w:t>
      </w:r>
      <w:r w:rsidR="00D559A6" w:rsidRPr="00B73356">
        <w:t xml:space="preserve"> </w:t>
      </w:r>
      <w:r w:rsidR="00D56F8B">
        <w:t xml:space="preserve">a </w:t>
      </w:r>
      <w:r w:rsidRPr="00B73356">
        <w:t xml:space="preserve">higher-level VET qualification. </w:t>
      </w:r>
    </w:p>
    <w:p w14:paraId="64EC8193" w14:textId="0D1A854E" w:rsidR="00B570F3" w:rsidRPr="00B73356" w:rsidRDefault="00B570F3" w:rsidP="00B73356">
      <w:pPr>
        <w:pStyle w:val="BodyText"/>
      </w:pPr>
      <w:r w:rsidRPr="00B73356">
        <w:t>Understanding patterns is critical for designing responsive and inclusive training systems. Analysing partial completions helps move beyond binary measures of success and supports more flexible models that recognise diverse learner needs. Comparing employment reveals where additional support may be needed – whether to help graduates transition to full-time work, sustain self-employment, or overcome structural barriers. Together, these insights inform targeted interventions, improve retention and outcomes, and ensure training programs are aligned with the realities of post-training experiences across regions, sectors, and learner cohorts.</w:t>
      </w:r>
    </w:p>
    <w:p w14:paraId="6033CEF3" w14:textId="77777777" w:rsidR="00B570F3" w:rsidRDefault="00B570F3" w:rsidP="00B570F3">
      <w:pPr>
        <w:pStyle w:val="Heading4"/>
      </w:pPr>
      <w:r>
        <w:t>Part-time and full-time employment after training</w:t>
      </w:r>
    </w:p>
    <w:p w14:paraId="280DD539" w14:textId="0E962DC9" w:rsidR="00F927E2" w:rsidRDefault="00B570F3" w:rsidP="00B73356">
      <w:pPr>
        <w:pStyle w:val="BodyText"/>
      </w:pPr>
      <w:r w:rsidRPr="00DE23B0">
        <w:t xml:space="preserve">Comparing part-time and full-time employment outcomes helps assess how effectively </w:t>
      </w:r>
      <w:r w:rsidR="0096152B">
        <w:t>the VET system is</w:t>
      </w:r>
      <w:r w:rsidRPr="00DE23B0">
        <w:t xml:space="preserve"> supporting graduates into secure and sustainable work.</w:t>
      </w:r>
      <w:r w:rsidRPr="00B570F3">
        <w:t xml:space="preserve"> </w:t>
      </w:r>
      <w:r w:rsidRPr="005B0A32">
        <w:t xml:space="preserve">For some, part-time roles may serve as a stepping stone – particularly in sectors with high levels of casualisation – offering a way to gain experience and build networks. </w:t>
      </w:r>
      <w:r>
        <w:t xml:space="preserve">Part-time roles are also a normal feature of some occupations or industry sectors. </w:t>
      </w:r>
      <w:r w:rsidRPr="005B0A32">
        <w:t>For other</w:t>
      </w:r>
      <w:r>
        <w:t xml:space="preserve"> individuals</w:t>
      </w:r>
      <w:r w:rsidRPr="005B0A32">
        <w:t>, part-time work may reflect constraints, such as limited availability of full</w:t>
      </w:r>
      <w:r>
        <w:noBreakHyphen/>
      </w:r>
      <w:r w:rsidRPr="005B0A32">
        <w:t xml:space="preserve">time roles or personal circumstances that restrict full-time participation. </w:t>
      </w:r>
    </w:p>
    <w:p w14:paraId="4780EF2C" w14:textId="5AF37003" w:rsidR="00B570F3" w:rsidRDefault="00B570F3" w:rsidP="00B73356">
      <w:pPr>
        <w:pStyle w:val="BodyText"/>
      </w:pPr>
      <w:r w:rsidRPr="00254E64">
        <w:t>Differences in employment type intersect with gender, regional labour markets, and sectoral norms, influencing access to benefits and long-term financial security</w:t>
      </w:r>
      <w:r>
        <w:t xml:space="preserve"> and training return on investment</w:t>
      </w:r>
      <w:r w:rsidRPr="00254E64">
        <w:t xml:space="preserve">. </w:t>
      </w:r>
      <w:r>
        <w:t>This can</w:t>
      </w:r>
      <w:r w:rsidRPr="009C0181">
        <w:t xml:space="preserve"> inform workplace planning, identif</w:t>
      </w:r>
      <w:r>
        <w:t>y</w:t>
      </w:r>
      <w:r w:rsidRPr="009C0181">
        <w:t xml:space="preserve"> underemployment and guide policy interventions in job creation, income support reform and skills-matching. These insights </w:t>
      </w:r>
      <w:r>
        <w:t xml:space="preserve">can assist VET alignment with </w:t>
      </w:r>
      <w:r w:rsidRPr="009C0181">
        <w:t>labour market needs and support diverse, inclusive and meaningful pathways into the workforce.</w:t>
      </w:r>
    </w:p>
    <w:p w14:paraId="0A30E48B" w14:textId="44206DB2" w:rsidR="00B570F3" w:rsidRDefault="00B570F3" w:rsidP="00EA5E5C">
      <w:pPr>
        <w:pStyle w:val="BodyText"/>
      </w:pPr>
      <w:r>
        <w:t>New VNDA insights on part and full-time employment are reported across several cohorts in the labour market (</w:t>
      </w:r>
      <w:r w:rsidR="00A9228E">
        <w:fldChar w:fldCharType="begin"/>
      </w:r>
      <w:r w:rsidR="00A9228E">
        <w:instrText xml:space="preserve"> REF _Ref210838163 </w:instrText>
      </w:r>
      <w:r w:rsidR="00A9228E">
        <w:fldChar w:fldCharType="separate"/>
      </w:r>
      <w:r w:rsidR="009E6E1D">
        <w:t xml:space="preserve">Figure </w:t>
      </w:r>
      <w:r w:rsidR="009E6E1D">
        <w:rPr>
          <w:noProof/>
        </w:rPr>
        <w:t>41</w:t>
      </w:r>
      <w:r w:rsidR="00A9228E">
        <w:fldChar w:fldCharType="end"/>
      </w:r>
      <w:r w:rsidR="00400330">
        <w:t>)</w:t>
      </w:r>
      <w:r w:rsidR="00A9228E">
        <w:t xml:space="preserve">. </w:t>
      </w:r>
      <w:r>
        <w:t xml:space="preserve">Across all cohorts, after training VET graduates were more likely to be working full time than prior to enrolment. For females and </w:t>
      </w:r>
      <w:r w:rsidR="00E21A41">
        <w:t>for</w:t>
      </w:r>
      <w:r>
        <w:t xml:space="preserve"> First Nations</w:t>
      </w:r>
      <w:r w:rsidR="00AC764E">
        <w:t xml:space="preserve"> graduates</w:t>
      </w:r>
      <w:r>
        <w:t>, the increase in full-time employment post-training was 16 percentage points, compared to 15</w:t>
      </w:r>
      <w:r w:rsidR="0005589A">
        <w:t> </w:t>
      </w:r>
      <w:r>
        <w:t>percentage points for all VET graduates. The increase for people with disability was lowe</w:t>
      </w:r>
      <w:r w:rsidR="005E073F">
        <w:t>r</w:t>
      </w:r>
      <w:r>
        <w:t xml:space="preserve"> at </w:t>
      </w:r>
      <w:r w:rsidR="005E073F">
        <w:t>12</w:t>
      </w:r>
      <w:r w:rsidR="0005589A">
        <w:t> </w:t>
      </w:r>
      <w:r>
        <w:t xml:space="preserve">percentage points, which may reflect persistent structural barriers for this cohort. </w:t>
      </w:r>
    </w:p>
    <w:p w14:paraId="5D331F5B" w14:textId="23973E5F" w:rsidR="00B620D3" w:rsidRDefault="00540C04" w:rsidP="00540C04">
      <w:pPr>
        <w:pStyle w:val="Caption"/>
      </w:pPr>
      <w:bookmarkStart w:id="311" w:name="_Ref210838163"/>
      <w:bookmarkStart w:id="312" w:name="_Ref207631114"/>
      <w:bookmarkStart w:id="313" w:name="_Toc207899219"/>
      <w:bookmarkStart w:id="314" w:name="_Toc211604190"/>
      <w:r>
        <w:t xml:space="preserve">Figure </w:t>
      </w:r>
      <w:r>
        <w:fldChar w:fldCharType="begin"/>
      </w:r>
      <w:r>
        <w:instrText xml:space="preserve"> SEQ Figure \* ARABIC </w:instrText>
      </w:r>
      <w:r>
        <w:fldChar w:fldCharType="separate"/>
      </w:r>
      <w:r w:rsidR="009E6E1D">
        <w:rPr>
          <w:noProof/>
        </w:rPr>
        <w:t>41</w:t>
      </w:r>
      <w:r>
        <w:fldChar w:fldCharType="end"/>
      </w:r>
      <w:bookmarkEnd w:id="311"/>
      <w:r>
        <w:t xml:space="preserve">: </w:t>
      </w:r>
      <w:bookmarkEnd w:id="312"/>
      <w:r w:rsidR="00B30C51">
        <w:t>E</w:t>
      </w:r>
      <w:r w:rsidR="00D12543" w:rsidRPr="00BD141F">
        <w:t xml:space="preserve">mployment </w:t>
      </w:r>
      <w:r w:rsidR="001F443C">
        <w:t xml:space="preserve">outcomes </w:t>
      </w:r>
      <w:r w:rsidR="00B30C51">
        <w:t>prior to and post</w:t>
      </w:r>
      <w:r w:rsidR="001F443C">
        <w:t xml:space="preserve"> training</w:t>
      </w:r>
      <w:r w:rsidR="00B67396">
        <w:t xml:space="preserve"> </w:t>
      </w:r>
      <w:r w:rsidR="003002E7">
        <w:t>across priority groups</w:t>
      </w:r>
      <w:bookmarkEnd w:id="313"/>
      <w:bookmarkEnd w:id="314"/>
      <w:r w:rsidR="00E460B3">
        <w:t xml:space="preserve"> </w:t>
      </w:r>
    </w:p>
    <w:p w14:paraId="0FA0628E" w14:textId="20C790E3" w:rsidR="00442CF8" w:rsidRDefault="00AA20C8" w:rsidP="00AA20C8">
      <w:pPr>
        <w:pStyle w:val="BodyText"/>
      </w:pPr>
      <w:r w:rsidRPr="00AA20C8">
        <w:rPr>
          <w:noProof/>
        </w:rPr>
        <w:drawing>
          <wp:inline distT="0" distB="0" distL="0" distR="0" wp14:anchorId="28FB8EA4" wp14:editId="7944700B">
            <wp:extent cx="5948045" cy="2466340"/>
            <wp:effectExtent l="0" t="0" r="0" b="0"/>
            <wp:docPr id="1521225094" name="Picture 7" descr="Column chart showing VNDA  2020-21 student outcomes for part-time and full-time employment prior and post training for all students, female graduates, First Nations graduates and graduates with disabil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225094" name="Picture 7" descr="Column chart showing VNDA  2020-21 student outcomes for part-time and full-time employment prior and post training for all students, female graduates, First Nations graduates and graduates with disabilty."/>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948045" cy="2466340"/>
                    </a:xfrm>
                    <a:prstGeom prst="rect">
                      <a:avLst/>
                    </a:prstGeom>
                    <a:noFill/>
                    <a:ln>
                      <a:noFill/>
                    </a:ln>
                  </pic:spPr>
                </pic:pic>
              </a:graphicData>
            </a:graphic>
          </wp:inline>
        </w:drawing>
      </w:r>
    </w:p>
    <w:p w14:paraId="63DA5039" w14:textId="009D53C8" w:rsidR="00B570F3" w:rsidRDefault="00287D11" w:rsidP="00B73356">
      <w:pPr>
        <w:pStyle w:val="Source"/>
        <w:rPr>
          <w:highlight w:val="yellow"/>
        </w:rPr>
      </w:pPr>
      <w:r w:rsidRPr="00287D11">
        <w:rPr>
          <w:noProof/>
        </w:rPr>
        <w:drawing>
          <wp:inline distT="0" distB="0" distL="0" distR="0" wp14:anchorId="104973B8" wp14:editId="038B049B">
            <wp:extent cx="5948045" cy="2466340"/>
            <wp:effectExtent l="0" t="0" r="0" b="0"/>
            <wp:docPr id="218059112"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59112" name="Picture 10">
                      <a:extLst>
                        <a:ext uri="{C183D7F6-B498-43B3-948B-1728B52AA6E4}">
                          <adec:decorative xmlns:adec="http://schemas.microsoft.com/office/drawing/2017/decorative" val="1"/>
                        </a:ext>
                      </a:extLst>
                    </pic:cNvPr>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948045" cy="2466340"/>
                    </a:xfrm>
                    <a:prstGeom prst="rect">
                      <a:avLst/>
                    </a:prstGeom>
                    <a:noFill/>
                    <a:ln>
                      <a:noFill/>
                    </a:ln>
                  </pic:spPr>
                </pic:pic>
              </a:graphicData>
            </a:graphic>
          </wp:inline>
        </w:drawing>
      </w:r>
      <w:r w:rsidR="00540C04">
        <w:t xml:space="preserve">Source: </w:t>
      </w:r>
      <w:r w:rsidR="00656FE3">
        <w:t>ABS,</w:t>
      </w:r>
      <w:r w:rsidR="00540C04">
        <w:t xml:space="preserve"> </w:t>
      </w:r>
      <w:r w:rsidR="00B570F3" w:rsidRPr="00020336">
        <w:t xml:space="preserve">PLIDA, 2002 – 2023, </w:t>
      </w:r>
      <w:r w:rsidR="005C4F0C">
        <w:t>VNDA</w:t>
      </w:r>
      <w:r w:rsidR="00B570F3" w:rsidRPr="00020336">
        <w:t>, ABS DataLab. Findings based on use of PLIDA data.</w:t>
      </w:r>
      <w:r w:rsidR="00B570F3">
        <w:rPr>
          <w:highlight w:val="yellow"/>
        </w:rPr>
        <w:t xml:space="preserve"> </w:t>
      </w:r>
    </w:p>
    <w:p w14:paraId="4944772B" w14:textId="77777777" w:rsidR="00B570F3" w:rsidRDefault="00B570F3" w:rsidP="00B570F3">
      <w:pPr>
        <w:pStyle w:val="Heading4"/>
      </w:pPr>
      <w:r>
        <w:t xml:space="preserve">Partial completion </w:t>
      </w:r>
    </w:p>
    <w:p w14:paraId="629C8C01" w14:textId="3D95F483" w:rsidR="00B570F3" w:rsidRPr="00ED5AD3" w:rsidRDefault="00B570F3" w:rsidP="00544396">
      <w:pPr>
        <w:pStyle w:val="BodyText"/>
      </w:pPr>
      <w:r w:rsidRPr="00ED5AD3">
        <w:t>People may only complete part of a VET qualification for a range of reasons, many of which reflect broader labour market dynamics and individual circumstances. Some learners exit early after gaining employment, particularly when specific units meet job requirements without needing the full qualification. Others face barriers such as financial pressures</w:t>
      </w:r>
      <w:r w:rsidR="001B0410">
        <w:t xml:space="preserve"> or </w:t>
      </w:r>
      <w:r w:rsidRPr="00ED5AD3">
        <w:t xml:space="preserve">caring responsibilities that interrupt their studies. In some cases, course design or delivery may not align with learner expectations or needs, leading to disengagement. </w:t>
      </w:r>
      <w:r w:rsidR="00FC5F23" w:rsidRPr="00ED5AD3">
        <w:t>Structural</w:t>
      </w:r>
      <w:r w:rsidRPr="00ED5AD3">
        <w:t xml:space="preserve"> factors also play a role, including the availability of skill sets and micro credentials, or transitions to other education pathways. </w:t>
      </w:r>
    </w:p>
    <w:p w14:paraId="2AB3E4F8" w14:textId="77777777" w:rsidR="00B570F3" w:rsidRDefault="00B570F3" w:rsidP="00544396">
      <w:pPr>
        <w:pStyle w:val="BodyText"/>
      </w:pPr>
      <w:r w:rsidRPr="00ED5AD3">
        <w:t>For policy makers and education providers, understanding these varied motivations</w:t>
      </w:r>
      <w:r>
        <w:t xml:space="preserve"> and underlying VET outcomes</w:t>
      </w:r>
      <w:r w:rsidRPr="00ED5AD3">
        <w:t xml:space="preserve"> is critical. It enables more nuanced measures of success beyond completion rates, supports the design of flexible and responsive training models, and informs targeted interventions to improve retention and outcomes – especially for learners at risk of disengagement or in regions with limited access to training.</w:t>
      </w:r>
    </w:p>
    <w:p w14:paraId="5263D96E" w14:textId="401C3F69" w:rsidR="00B570F3" w:rsidRPr="00B570F3" w:rsidRDefault="00B570F3" w:rsidP="00544396">
      <w:pPr>
        <w:pStyle w:val="BodyText"/>
      </w:pPr>
      <w:r>
        <w:t>Students p</w:t>
      </w:r>
      <w:r w:rsidRPr="00B570F3">
        <w:t xml:space="preserve">artially completing a course still achieved improved economic outcomes, albeit not the full extent of the employment and income uplift as reported by completers of full VET qualifications. When examining the student outcome results </w:t>
      </w:r>
      <w:r w:rsidR="005A7190">
        <w:t xml:space="preserve">in </w:t>
      </w:r>
      <w:r w:rsidR="005A7190">
        <w:fldChar w:fldCharType="begin"/>
      </w:r>
      <w:r w:rsidR="005A7190">
        <w:instrText xml:space="preserve"> REF _Ref211339019 \h </w:instrText>
      </w:r>
      <w:r w:rsidR="005A7190">
        <w:fldChar w:fldCharType="separate"/>
      </w:r>
      <w:r w:rsidR="009E6E1D">
        <w:t xml:space="preserve">Figure </w:t>
      </w:r>
      <w:r w:rsidR="009E6E1D">
        <w:rPr>
          <w:noProof/>
        </w:rPr>
        <w:t>42</w:t>
      </w:r>
      <w:r w:rsidR="005A7190">
        <w:fldChar w:fldCharType="end"/>
      </w:r>
      <w:r w:rsidRPr="00B570F3">
        <w:t>, it is important to note that students partially completing a course were studying for typically half the time (148 days) than graduates of a full qualification (296 days).</w:t>
      </w:r>
    </w:p>
    <w:p w14:paraId="5B993AE8" w14:textId="77777777" w:rsidR="00B570F3" w:rsidRPr="00B570F3" w:rsidRDefault="00B570F3" w:rsidP="00544396">
      <w:pPr>
        <w:pStyle w:val="BodyText"/>
      </w:pPr>
      <w:r w:rsidRPr="00B570F3">
        <w:t>Nationally, partial completers had a post-training median income uplift of $7,000 and earned a median employee income post-training of $44,400, compared to median income uplift of $14,100 and median income $51,100 for full VET qualification graduates. Further, 74% of VET partial completers were employed after their study, representing a 9-percentage point increase from prior to enrolment. This is compared to a post-training employment rate of 88% and 16 percentage point increase for graduates of a full VET qualification. The income support exit rate was lower for VET partial completers, compared to full VET qualification graduates. Among VET partial completers who received income support prior to study, 28% were no longer on income support after training.</w:t>
      </w:r>
    </w:p>
    <w:p w14:paraId="2075D057" w14:textId="3C69C076" w:rsidR="00B570F3" w:rsidRDefault="00B570F3" w:rsidP="00B570F3">
      <w:pPr>
        <w:pStyle w:val="Caption"/>
      </w:pPr>
      <w:bookmarkStart w:id="315" w:name="_Ref211339019"/>
      <w:bookmarkStart w:id="316" w:name="_Toc211604191"/>
      <w:r>
        <w:t xml:space="preserve">Figure </w:t>
      </w:r>
      <w:r>
        <w:fldChar w:fldCharType="begin"/>
      </w:r>
      <w:r>
        <w:instrText xml:space="preserve"> SEQ Figure \* ARABIC </w:instrText>
      </w:r>
      <w:r>
        <w:fldChar w:fldCharType="separate"/>
      </w:r>
      <w:r w:rsidR="009E6E1D">
        <w:rPr>
          <w:noProof/>
        </w:rPr>
        <w:t>42</w:t>
      </w:r>
      <w:r>
        <w:fldChar w:fldCharType="end"/>
      </w:r>
      <w:bookmarkEnd w:id="315"/>
      <w:r w:rsidR="003A03EB">
        <w:t>:</w:t>
      </w:r>
      <w:r>
        <w:t xml:space="preserve"> </w:t>
      </w:r>
      <w:r w:rsidRPr="00A0484E">
        <w:t>Students outcomes for partial completers and graduates across priority groups</w:t>
      </w:r>
      <w:bookmarkEnd w:id="316"/>
    </w:p>
    <w:p w14:paraId="6D873BC1" w14:textId="4841CAF7" w:rsidR="00544396" w:rsidRPr="00B570F3" w:rsidRDefault="00671C73" w:rsidP="00544396">
      <w:pPr>
        <w:pStyle w:val="Source"/>
      </w:pPr>
      <w:r w:rsidRPr="00671C73">
        <w:rPr>
          <w:noProof/>
        </w:rPr>
        <w:drawing>
          <wp:inline distT="0" distB="0" distL="0" distR="0" wp14:anchorId="0909D936" wp14:editId="050B8E7C">
            <wp:extent cx="5948045" cy="2474595"/>
            <wp:effectExtent l="0" t="0" r="0" b="1905"/>
            <wp:docPr id="778792003" name="Picture 6" descr="Column chart showing VNDA partial completers and gradautes student outcomes for all students, female, First Nations, people with disabilty and Culturally and Linguistically diverse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792003" name="Picture 6" descr="Column chart showing VNDA partial completers and gradautes student outcomes for all students, female, First Nations, people with disabilty and Culturally and Linguistically diverse students"/>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948045" cy="2474595"/>
                    </a:xfrm>
                    <a:prstGeom prst="rect">
                      <a:avLst/>
                    </a:prstGeom>
                    <a:noFill/>
                    <a:ln>
                      <a:noFill/>
                    </a:ln>
                  </pic:spPr>
                </pic:pic>
              </a:graphicData>
            </a:graphic>
          </wp:inline>
        </w:drawing>
      </w:r>
      <w:r w:rsidR="00544396">
        <w:t xml:space="preserve">Source: </w:t>
      </w:r>
      <w:r w:rsidR="00656FE3">
        <w:t>ABS,</w:t>
      </w:r>
      <w:r w:rsidR="00544396">
        <w:t xml:space="preserve"> </w:t>
      </w:r>
      <w:r w:rsidR="003628F4" w:rsidRPr="003628F4">
        <w:t xml:space="preserve">PLIDA, 2002 – 2023, </w:t>
      </w:r>
      <w:r w:rsidR="00734378">
        <w:t>VNDA</w:t>
      </w:r>
      <w:r w:rsidR="003628F4" w:rsidRPr="003628F4">
        <w:t>, ABS DataLab. Findings based on use of PLIDA data.</w:t>
      </w:r>
    </w:p>
    <w:p w14:paraId="71A99532" w14:textId="77777777" w:rsidR="00B570F3" w:rsidRPr="00C90B23" w:rsidRDefault="00B570F3" w:rsidP="00B570F3">
      <w:pPr>
        <w:pStyle w:val="Heading3"/>
      </w:pPr>
      <w:bookmarkStart w:id="317" w:name="_Toc207613553"/>
      <w:bookmarkStart w:id="318" w:name="_Toc208923426"/>
      <w:bookmarkStart w:id="319" w:name="_Toc211587043"/>
      <w:r w:rsidRPr="00C90B23">
        <w:t>Lifting the hood on apprenticeships and traineeships</w:t>
      </w:r>
      <w:bookmarkEnd w:id="317"/>
      <w:bookmarkEnd w:id="318"/>
      <w:bookmarkEnd w:id="319"/>
    </w:p>
    <w:p w14:paraId="11CD9B66" w14:textId="50B414CF" w:rsidR="00B570F3" w:rsidRDefault="00B570F3" w:rsidP="00544396">
      <w:pPr>
        <w:pStyle w:val="BodyText"/>
      </w:pPr>
      <w:r w:rsidRPr="00C90B23">
        <w:t xml:space="preserve">Apprenticeships and traineeships (collectively referred to as Australian Apprenticeships) play an essential role in parts of the labour market. They </w:t>
      </w:r>
      <w:r w:rsidR="00125243">
        <w:t>connect</w:t>
      </w:r>
      <w:r w:rsidRPr="00C90B23">
        <w:t xml:space="preserve"> formal training with real-world industry experience, allowing students to earn while they learn and benefit from both institutional and workplace skilling. While all Australian Apprenticeships share common features, there can be major differences between qualifications, industries and jurisdictions. </w:t>
      </w:r>
    </w:p>
    <w:p w14:paraId="17CF51D4" w14:textId="77777777" w:rsidR="00B570F3" w:rsidRPr="00925B84" w:rsidRDefault="00B570F3" w:rsidP="00B570F3">
      <w:pPr>
        <w:pStyle w:val="Heading4"/>
      </w:pPr>
      <w:r w:rsidRPr="00925B84">
        <w:t>Growth and composition</w:t>
      </w:r>
    </w:p>
    <w:p w14:paraId="0782E738" w14:textId="30F06EBC" w:rsidR="00B570F3" w:rsidRDefault="00B570F3" w:rsidP="0076554F">
      <w:pPr>
        <w:pStyle w:val="BodyText"/>
        <w:keepLines/>
      </w:pPr>
      <w:r w:rsidRPr="00180BD8">
        <w:t xml:space="preserve">The performance of the Australian Apprenticeships system is often judged by the overall growth in commencements and completions, which in recent years has softened. However, the composition of commencements </w:t>
      </w:r>
      <w:r>
        <w:t xml:space="preserve">reveals </w:t>
      </w:r>
      <w:r w:rsidRPr="00180BD8">
        <w:t xml:space="preserve">significant shifts </w:t>
      </w:r>
      <w:r>
        <w:t>(</w:t>
      </w:r>
      <w:r>
        <w:fldChar w:fldCharType="begin"/>
      </w:r>
      <w:r>
        <w:instrText xml:space="preserve"> REF _Ref207791491 \h </w:instrText>
      </w:r>
      <w:r w:rsidR="00544396">
        <w:instrText xml:space="preserve"> \* MERGEFORMAT </w:instrText>
      </w:r>
      <w:r>
        <w:fldChar w:fldCharType="separate"/>
      </w:r>
      <w:r w:rsidR="009E6E1D">
        <w:t xml:space="preserve">Figure </w:t>
      </w:r>
      <w:r w:rsidR="009E6E1D">
        <w:rPr>
          <w:noProof/>
        </w:rPr>
        <w:t>43</w:t>
      </w:r>
      <w:r>
        <w:fldChar w:fldCharType="end"/>
      </w:r>
      <w:r>
        <w:t xml:space="preserve">). </w:t>
      </w:r>
      <w:r w:rsidRPr="00180BD8">
        <w:t>For example, while the overall number of apprentices in training has declined since 2022, this has mostly occurred in non-priority occupations (based on the 2025 Australian Apprenticeships Priority List). Since 2019 there are now 11,500 fewer apprentices in non-priority occupations and 53,200 more in priority occupations.</w:t>
      </w:r>
    </w:p>
    <w:p w14:paraId="75703D5F" w14:textId="1A195AF9" w:rsidR="00327FF4" w:rsidRDefault="00B570F3" w:rsidP="00D01DBE">
      <w:pPr>
        <w:pStyle w:val="Caption"/>
      </w:pPr>
      <w:bookmarkStart w:id="320" w:name="_Ref207791491"/>
      <w:bookmarkStart w:id="321" w:name="_Toc207899220"/>
      <w:bookmarkStart w:id="322" w:name="_Toc211604192"/>
      <w:r>
        <w:t xml:space="preserve">Figure </w:t>
      </w:r>
      <w:r>
        <w:fldChar w:fldCharType="begin"/>
      </w:r>
      <w:r>
        <w:instrText xml:space="preserve"> SEQ Figure \* ARABIC </w:instrText>
      </w:r>
      <w:r>
        <w:fldChar w:fldCharType="separate"/>
      </w:r>
      <w:r w:rsidR="009E6E1D">
        <w:rPr>
          <w:noProof/>
        </w:rPr>
        <w:t>43</w:t>
      </w:r>
      <w:r>
        <w:fldChar w:fldCharType="end"/>
      </w:r>
      <w:bookmarkEnd w:id="320"/>
      <w:r>
        <w:t xml:space="preserve">: Apprentices and trainees in-training by </w:t>
      </w:r>
      <w:r w:rsidR="001468CA">
        <w:t xml:space="preserve">headcount, </w:t>
      </w:r>
      <w:r>
        <w:t>occupation status on the 2025 Australian Apprenticeships Priority List</w:t>
      </w:r>
      <w:bookmarkEnd w:id="321"/>
      <w:bookmarkEnd w:id="322"/>
    </w:p>
    <w:p w14:paraId="533DFAE6" w14:textId="52AEE632" w:rsidR="00544396" w:rsidRPr="00F55943" w:rsidRDefault="00D01DBE" w:rsidP="00F55943">
      <w:pPr>
        <w:pStyle w:val="Source"/>
      </w:pPr>
      <w:r w:rsidRPr="00D01DBE">
        <w:rPr>
          <w:noProof/>
        </w:rPr>
        <w:drawing>
          <wp:inline distT="0" distB="0" distL="0" distR="0" wp14:anchorId="05CB70B5" wp14:editId="4EED963A">
            <wp:extent cx="5947200" cy="2744862"/>
            <wp:effectExtent l="0" t="0" r="0" b="0"/>
            <wp:docPr id="414396899" name="Picture 9" descr="Line graph: Since 2019 there are now 4,500 fewer apprentices in non-priority occupations and 54,400 more in priority occup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396899" name="Picture 9" descr="Line graph: Since 2019 there are now 4,500 fewer apprentices in non-priority occupations and 54,400 more in priority occupations."/>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47200" cy="2744862"/>
                    </a:xfrm>
                    <a:prstGeom prst="rect">
                      <a:avLst/>
                    </a:prstGeom>
                    <a:noFill/>
                    <a:ln>
                      <a:noFill/>
                    </a:ln>
                  </pic:spPr>
                </pic:pic>
              </a:graphicData>
            </a:graphic>
          </wp:inline>
        </w:drawing>
      </w:r>
      <w:r w:rsidR="00544396" w:rsidRPr="00F55943">
        <w:t xml:space="preserve">Source: </w:t>
      </w:r>
      <w:r w:rsidR="005406BF" w:rsidRPr="00F55943">
        <w:t>NCVER Apprentices and Trainees, 2025, VOCSTATS, extracted on 25/9/2025</w:t>
      </w:r>
      <w:r w:rsidR="00544396" w:rsidRPr="00F55943">
        <w:t>.</w:t>
      </w:r>
    </w:p>
    <w:p w14:paraId="0725FFB8" w14:textId="50B64989" w:rsidR="00544396" w:rsidRPr="00F55943" w:rsidRDefault="00B570F3" w:rsidP="00F55943">
      <w:pPr>
        <w:pStyle w:val="Source"/>
      </w:pPr>
      <w:r w:rsidRPr="00F55943">
        <w:t xml:space="preserve">Note: </w:t>
      </w:r>
      <w:r w:rsidR="000435DD" w:rsidRPr="00F55943">
        <w:t>This analysis is indicative only and makes assumptions about which occupation apprentices are working in.</w:t>
      </w:r>
    </w:p>
    <w:p w14:paraId="43BAB620" w14:textId="270F8C59" w:rsidR="00B570F3" w:rsidRPr="00B570F3" w:rsidRDefault="00B570F3" w:rsidP="00544396">
      <w:pPr>
        <w:pStyle w:val="BodyText"/>
      </w:pPr>
      <w:r w:rsidRPr="00994FF0">
        <w:t>Of the 100 largest apprenticeship occupations, 68 have grown since 2019, while 32 have declined (</w:t>
      </w:r>
      <w:r w:rsidRPr="00B570F3">
        <w:fldChar w:fldCharType="begin"/>
      </w:r>
      <w:r w:rsidRPr="00B570F3">
        <w:instrText xml:space="preserve"> REF _Ref207791558 \h </w:instrText>
      </w:r>
      <w:r w:rsidRPr="00B570F3">
        <w:fldChar w:fldCharType="separate"/>
      </w:r>
      <w:r w:rsidR="009E6E1D">
        <w:t xml:space="preserve">Figure </w:t>
      </w:r>
      <w:r w:rsidR="009E6E1D">
        <w:rPr>
          <w:noProof/>
        </w:rPr>
        <w:t>44</w:t>
      </w:r>
      <w:r w:rsidRPr="00B570F3">
        <w:fldChar w:fldCharType="end"/>
      </w:r>
      <w:r w:rsidRPr="00B570F3">
        <w:t>). The biggest declines have been in non-trade occupations like Travel Consultant, Sales Assistant and Storepersons. Growth has been most significant in key trade occupations like Electricians, Carpenters and Motor Mechanics, but also care economy occupations like Child Care Worker and Aged and Disabled Carer. These 5 occupations now account for 36% of all commencements, up from just 26% in 2019.</w:t>
      </w:r>
    </w:p>
    <w:p w14:paraId="0890DFA7" w14:textId="54825883" w:rsidR="00327FF4" w:rsidRDefault="001103B7" w:rsidP="004420BB">
      <w:pPr>
        <w:pStyle w:val="Caption"/>
      </w:pPr>
      <w:bookmarkStart w:id="323" w:name="_Ref207791558"/>
      <w:bookmarkStart w:id="324" w:name="_Toc207899221"/>
      <w:bookmarkStart w:id="325" w:name="_Toc211604193"/>
      <w:r>
        <w:t xml:space="preserve">Figure </w:t>
      </w:r>
      <w:r w:rsidR="00B570F3">
        <w:fldChar w:fldCharType="begin"/>
      </w:r>
      <w:r w:rsidR="00B570F3">
        <w:instrText xml:space="preserve"> SEQ Figure \* ARABIC </w:instrText>
      </w:r>
      <w:r w:rsidR="00B570F3">
        <w:fldChar w:fldCharType="separate"/>
      </w:r>
      <w:r w:rsidR="009E6E1D">
        <w:rPr>
          <w:noProof/>
        </w:rPr>
        <w:t>44</w:t>
      </w:r>
      <w:r w:rsidR="00B570F3">
        <w:fldChar w:fldCharType="end"/>
      </w:r>
      <w:bookmarkEnd w:id="323"/>
      <w:r w:rsidR="00B570F3">
        <w:t xml:space="preserve">: </w:t>
      </w:r>
      <w:r w:rsidR="00B570F3" w:rsidRPr="004E3C5F">
        <w:t xml:space="preserve">Change in </w:t>
      </w:r>
      <w:r w:rsidR="00B570F3">
        <w:t>Australian A</w:t>
      </w:r>
      <w:r w:rsidR="00B570F3" w:rsidRPr="004E3C5F">
        <w:t>pprentices in-training, 2019-2024</w:t>
      </w:r>
      <w:r w:rsidR="005D6179">
        <w:t xml:space="preserve"> by headcount (</w:t>
      </w:r>
      <w:r w:rsidR="00B570F3" w:rsidRPr="004E3C5F">
        <w:t>Top 100 occupations</w:t>
      </w:r>
      <w:bookmarkEnd w:id="324"/>
      <w:r w:rsidR="005D6179">
        <w:t>)</w:t>
      </w:r>
      <w:bookmarkEnd w:id="325"/>
    </w:p>
    <w:p w14:paraId="0B33BC41" w14:textId="5DF25C30" w:rsidR="00B570F3" w:rsidRDefault="004420BB" w:rsidP="00544396">
      <w:pPr>
        <w:pStyle w:val="Source"/>
      </w:pPr>
      <w:r w:rsidRPr="004420BB">
        <w:rPr>
          <w:noProof/>
        </w:rPr>
        <w:drawing>
          <wp:inline distT="0" distB="0" distL="0" distR="0" wp14:anchorId="3FE79E6C" wp14:editId="720E372E">
            <wp:extent cx="5943600" cy="2898775"/>
            <wp:effectExtent l="0" t="0" r="0" b="0"/>
            <wp:docPr id="1030766948" name="Picture 10" descr="Of the 100 largest apprenticeship occupations, 67 have grown since 2019, while 33 have declined. The biggest declines have been in non-trade occupations like Travel Consultant, Sales Assistant and Storepersons. Growth has been most significant in key trade occupations like Electricians, Carpenters and Motor Mechanics, but also care economy occupations like Child Care Worker and Aged and Disabled Carer. These 5 occupations now account for 36% of all commencements, up from just 26% in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766948" name="Picture 10" descr="Of the 100 largest apprenticeship occupations, 67 have grown since 2019, while 33 have declined. The biggest declines have been in non-trade occupations like Travel Consultant, Sales Assistant and Storepersons. Growth has been most significant in key trade occupations like Electricians, Carpenters and Motor Mechanics, but also care economy occupations like Child Care Worker and Aged and Disabled Carer. These 5 occupations now account for 36% of all commencements, up from just 26% in 2019."/>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943600" cy="2898775"/>
                    </a:xfrm>
                    <a:prstGeom prst="rect">
                      <a:avLst/>
                    </a:prstGeom>
                    <a:noFill/>
                    <a:ln>
                      <a:noFill/>
                    </a:ln>
                  </pic:spPr>
                </pic:pic>
              </a:graphicData>
            </a:graphic>
          </wp:inline>
        </w:drawing>
      </w:r>
      <w:r w:rsidR="00B570F3">
        <w:t xml:space="preserve">Source: </w:t>
      </w:r>
      <w:r w:rsidR="00497EC9" w:rsidRPr="00497EC9">
        <w:t>NCVER Apprentices and Trainees, 2025, VOCSTATS, extracted on 25/9/2025</w:t>
      </w:r>
      <w:r w:rsidR="00B570F3" w:rsidRPr="00961CF1">
        <w:t>.</w:t>
      </w:r>
    </w:p>
    <w:p w14:paraId="277762C7" w14:textId="5C8F36F5" w:rsidR="00497EC9" w:rsidRDefault="00CB2579" w:rsidP="00EA5E5C">
      <w:pPr>
        <w:pStyle w:val="Source"/>
      </w:pPr>
      <w:r>
        <w:t xml:space="preserve">Note: </w:t>
      </w:r>
      <w:r w:rsidRPr="00CB2579">
        <w:t>This analysis makes assumptions about which occupation apprentices are working in.</w:t>
      </w:r>
    </w:p>
    <w:p w14:paraId="5AC9C541" w14:textId="1CBBA5EE" w:rsidR="00B570F3" w:rsidRDefault="00B570F3" w:rsidP="00544396">
      <w:pPr>
        <w:pStyle w:val="BodyText"/>
      </w:pPr>
      <w:r>
        <w:t xml:space="preserve">It is also important to note that for some apprentice-reliant occupations, the key driver of workforce shortages is not a lack of commencements. Poor completion rates, occupation retention and </w:t>
      </w:r>
      <w:r w:rsidR="00EE14C4">
        <w:t>r</w:t>
      </w:r>
      <w:r w:rsidR="00926400" w:rsidRPr="00631554">
        <w:t>egistered training organisation</w:t>
      </w:r>
      <w:r w:rsidR="00926400">
        <w:t xml:space="preserve"> </w:t>
      </w:r>
      <w:r w:rsidR="004A265E">
        <w:t>(</w:t>
      </w:r>
      <w:r>
        <w:t>RTO</w:t>
      </w:r>
      <w:r w:rsidR="004A265E">
        <w:t>)</w:t>
      </w:r>
      <w:r>
        <w:t xml:space="preserve"> capacity can be major constraints in growing the workforce. For example, Chefs, Child Care Workers and Metal Fabricators have below average rates of retention according to JSA’s occupation shortage research. Increasing the throughput of apprentices in these areas is unlikely to resolve shortages without meaningful progress to address the underlying drivers. </w:t>
      </w:r>
    </w:p>
    <w:p w14:paraId="26834855" w14:textId="6DFCFA06" w:rsidR="00891D20" w:rsidRPr="00891D20" w:rsidRDefault="00891D20" w:rsidP="00891D20">
      <w:pPr>
        <w:pStyle w:val="BodyText"/>
      </w:pPr>
      <w:r w:rsidRPr="00891D20">
        <w:t xml:space="preserve">There may also be a finite number of students both willing and able to engage with the apprenticeships system. As identified by </w:t>
      </w:r>
      <w:r w:rsidR="00A63DC2" w:rsidRPr="00F3193E">
        <w:t>National Centre for Vocational Education Research</w:t>
      </w:r>
      <w:r w:rsidR="00A63DC2" w:rsidRPr="00891D20">
        <w:t xml:space="preserve"> </w:t>
      </w:r>
      <w:r w:rsidR="003B572C">
        <w:t>(</w:t>
      </w:r>
      <w:r w:rsidRPr="00891D20">
        <w:t>NCVER</w:t>
      </w:r>
      <w:r w:rsidR="003B572C">
        <w:t>)</w:t>
      </w:r>
      <w:r w:rsidRPr="00891D20">
        <w:t xml:space="preserve"> in 2024, the profile of young people choosing apprenticeships over university study has remained largely unchanged since 2007 </w:t>
      </w:r>
      <w:sdt>
        <w:sdtPr>
          <w:id w:val="1649006094"/>
          <w:citation/>
        </w:sdtPr>
        <w:sdtContent>
          <w:r w:rsidR="00824182">
            <w:fldChar w:fldCharType="begin"/>
          </w:r>
          <w:r w:rsidR="00824182">
            <w:instrText xml:space="preserve"> CITATION Wau24 \l 3081 </w:instrText>
          </w:r>
          <w:r w:rsidR="00824182">
            <w:fldChar w:fldCharType="separate"/>
          </w:r>
          <w:r w:rsidR="00D52996">
            <w:rPr>
              <w:noProof/>
            </w:rPr>
            <w:t>(Waugh, Forrest, &amp; Dowling, 2024)</w:t>
          </w:r>
          <w:r w:rsidR="00824182">
            <w:fldChar w:fldCharType="end"/>
          </w:r>
        </w:sdtContent>
      </w:sdt>
      <w:r w:rsidRPr="00891D20">
        <w:t>. Notably, migrants and first-generation Australians have become less likely to pursue apprenticeships, while approximately 60% of young people now enter university by age 22. Without efforts to broaden the appeal, awareness, and accessibility of the apprenticeship model, growing the overall pipeline of commencements may become increasingly difficult.</w:t>
      </w:r>
    </w:p>
    <w:p w14:paraId="1EDCC293" w14:textId="5FFA577C" w:rsidR="00891D20" w:rsidRPr="00891D20" w:rsidRDefault="00891D20" w:rsidP="00891D20">
      <w:pPr>
        <w:pStyle w:val="BodyText"/>
      </w:pPr>
      <w:r w:rsidRPr="00891D20">
        <w:t xml:space="preserve">Another challenge lies in expanding the capacity of RTOs and employers to take on additional apprentices. For example, </w:t>
      </w:r>
      <w:r w:rsidR="00A0019D">
        <w:t>Powering Skills Organisation (</w:t>
      </w:r>
      <w:r w:rsidRPr="00891D20">
        <w:t>PSO</w:t>
      </w:r>
      <w:r w:rsidR="00A0019D">
        <w:t>)</w:t>
      </w:r>
      <w:r w:rsidRPr="00891D20">
        <w:t xml:space="preserve"> recent</w:t>
      </w:r>
      <w:r w:rsidR="004B6E34">
        <w:t>ly released their</w:t>
      </w:r>
      <w:r w:rsidRPr="00891D20">
        <w:t xml:space="preserve"> Workforce Plan</w:t>
      </w:r>
      <w:r w:rsidR="00F974AD">
        <w:t xml:space="preserve"> for 2025 which</w:t>
      </w:r>
      <w:r w:rsidRPr="00891D20">
        <w:t xml:space="preserve"> highlighted that demand for electrotechnology apprenticeships significantly exceeds the number of available vacancies and training places </w:t>
      </w:r>
      <w:sdt>
        <w:sdtPr>
          <w:id w:val="64077987"/>
          <w:citation/>
        </w:sdtPr>
        <w:sdtContent>
          <w:r w:rsidR="00824182">
            <w:fldChar w:fldCharType="begin"/>
          </w:r>
          <w:r w:rsidR="00824182">
            <w:instrText xml:space="preserve"> CITATION Pow25 \l 3081 </w:instrText>
          </w:r>
          <w:r w:rsidR="00824182">
            <w:fldChar w:fldCharType="separate"/>
          </w:r>
          <w:r w:rsidR="00D52996">
            <w:rPr>
              <w:noProof/>
            </w:rPr>
            <w:t>(Powering Skills Organisation Ltd, 2025)</w:t>
          </w:r>
          <w:r w:rsidR="00824182">
            <w:fldChar w:fldCharType="end"/>
          </w:r>
        </w:sdtContent>
      </w:sdt>
      <w:r w:rsidRPr="00891D20">
        <w:t>. These training bottlenecks likely vary across industries and regions, and their relative importance may shift over time as labour market conditions evolve. This highlights the need for more granular analysis of the demand and supply factors behind apprenticeship use.</w:t>
      </w:r>
    </w:p>
    <w:p w14:paraId="09F81505" w14:textId="77777777" w:rsidR="00B570F3" w:rsidRPr="00A97702" w:rsidRDefault="00B570F3" w:rsidP="00B570F3">
      <w:pPr>
        <w:pStyle w:val="Heading4"/>
      </w:pPr>
      <w:r w:rsidRPr="00A97702">
        <w:t>Varying degrees of reliance</w:t>
      </w:r>
    </w:p>
    <w:p w14:paraId="0D4B0B28" w14:textId="4A01C2BA" w:rsidR="00B570F3" w:rsidRPr="00544396" w:rsidRDefault="00B570F3" w:rsidP="00544396">
      <w:pPr>
        <w:pStyle w:val="BodyText"/>
      </w:pPr>
      <w:r w:rsidRPr="00544396">
        <w:t>The role of apprenticeships in supplying skilled labour varies across occupations</w:t>
      </w:r>
      <w:r w:rsidR="001E0175">
        <w:t xml:space="preserve"> (</w:t>
      </w:r>
      <w:r w:rsidR="001E0175">
        <w:fldChar w:fldCharType="begin"/>
      </w:r>
      <w:r w:rsidR="001E0175">
        <w:instrText xml:space="preserve"> REF _Ref211339096 \h </w:instrText>
      </w:r>
      <w:r w:rsidR="001E0175">
        <w:fldChar w:fldCharType="separate"/>
      </w:r>
      <w:r w:rsidR="009E6E1D">
        <w:t xml:space="preserve">Table </w:t>
      </w:r>
      <w:r w:rsidR="009E6E1D">
        <w:rPr>
          <w:noProof/>
        </w:rPr>
        <w:t>7</w:t>
      </w:r>
      <w:r w:rsidR="001E0175">
        <w:fldChar w:fldCharType="end"/>
      </w:r>
      <w:r w:rsidR="001E0175">
        <w:t>)</w:t>
      </w:r>
      <w:r w:rsidRPr="00544396">
        <w:t>. For Electricians and Plumbers, an apprenticeship is often a specified requirement for state-based occupational licensing. In other regulated occupations – particularly trades – an apprenticeship might not be explicitly required, but it is the primary pathway to obtaining the relevant qualification. In these areas, the performance of the Australian Apprenticeships system is strongly linked to labour supply.</w:t>
      </w:r>
    </w:p>
    <w:p w14:paraId="4129641A" w14:textId="40FAE9E6" w:rsidR="00B570F3" w:rsidRPr="00B570F3" w:rsidRDefault="00B570F3" w:rsidP="00B570F3">
      <w:pPr>
        <w:pStyle w:val="BodyText"/>
      </w:pPr>
      <w:r w:rsidRPr="00544396">
        <w:t xml:space="preserve">There are also many “mixed pathways” where apprenticeship and non-apprenticeship options are used to attain the same qualification. These include trades such </w:t>
      </w:r>
      <w:r w:rsidR="00485038">
        <w:t>as</w:t>
      </w:r>
      <w:r w:rsidRPr="00544396">
        <w:t xml:space="preserve"> Motor Mechanics and Painting Trades Workers, as well as non-trades like Hospitality</w:t>
      </w:r>
      <w:r w:rsidR="00986F9E">
        <w:t xml:space="preserve">, </w:t>
      </w:r>
      <w:r w:rsidR="002007AB">
        <w:t>Public Administration</w:t>
      </w:r>
      <w:r w:rsidRPr="00544396">
        <w:t xml:space="preserve"> and Civil Construction. Given the flexibility in how these qualifications are delivered, apprenticeship uptake is typically driven by student and employer preferences – which, in turn, can be influenced by incentives and other interventions.</w:t>
      </w:r>
      <w:bookmarkStart w:id="326" w:name="_Ref207791744"/>
    </w:p>
    <w:p w14:paraId="6BF20053" w14:textId="43077F11" w:rsidR="00B570F3" w:rsidRDefault="00B570F3" w:rsidP="00B570F3">
      <w:pPr>
        <w:pStyle w:val="Caption"/>
      </w:pPr>
      <w:bookmarkStart w:id="327" w:name="_Ref211339096"/>
      <w:bookmarkStart w:id="328" w:name="_Toc210206857"/>
      <w:r>
        <w:t xml:space="preserve">Table </w:t>
      </w:r>
      <w:r>
        <w:fldChar w:fldCharType="begin"/>
      </w:r>
      <w:r>
        <w:instrText xml:space="preserve"> SEQ Table \* ARABIC </w:instrText>
      </w:r>
      <w:r>
        <w:fldChar w:fldCharType="separate"/>
      </w:r>
      <w:r w:rsidR="009E6E1D">
        <w:rPr>
          <w:noProof/>
        </w:rPr>
        <w:t>7</w:t>
      </w:r>
      <w:r>
        <w:fldChar w:fldCharType="end"/>
      </w:r>
      <w:bookmarkEnd w:id="326"/>
      <w:bookmarkEnd w:id="327"/>
      <w:r>
        <w:t xml:space="preserve">: </w:t>
      </w:r>
      <w:r w:rsidRPr="00E120B1">
        <w:t xml:space="preserve"> Illustrative example of Australian Apprenticeship use in key occupations</w:t>
      </w:r>
      <w:bookmarkEnd w:id="328"/>
    </w:p>
    <w:tbl>
      <w:tblPr>
        <w:tblStyle w:val="CustomTablebasic"/>
        <w:tblW w:w="0" w:type="auto"/>
        <w:tblLook w:val="04A0" w:firstRow="1" w:lastRow="0" w:firstColumn="1" w:lastColumn="0" w:noHBand="0" w:noVBand="1"/>
      </w:tblPr>
      <w:tblGrid>
        <w:gridCol w:w="2254"/>
        <w:gridCol w:w="2254"/>
        <w:gridCol w:w="2254"/>
        <w:gridCol w:w="2254"/>
      </w:tblGrid>
      <w:tr w:rsidR="00FC5F23" w14:paraId="2D7B9C76" w14:textId="77777777" w:rsidTr="00ED4661">
        <w:trPr>
          <w:cnfStyle w:val="100000000000" w:firstRow="1" w:lastRow="0" w:firstColumn="0" w:lastColumn="0" w:oddVBand="0" w:evenVBand="0" w:oddHBand="0" w:evenHBand="0" w:firstRowFirstColumn="0" w:firstRowLastColumn="0" w:lastRowFirstColumn="0" w:lastRowLastColumn="0"/>
        </w:trPr>
        <w:tc>
          <w:tcPr>
            <w:tcW w:w="2254" w:type="dxa"/>
          </w:tcPr>
          <w:p w14:paraId="3E0369E9" w14:textId="77777777" w:rsidR="00B570F3" w:rsidRPr="00B570F3" w:rsidRDefault="00B570F3" w:rsidP="00B570F3">
            <w:r w:rsidRPr="00B570F3">
              <w:t>Predominantly apprenticeship based</w:t>
            </w:r>
          </w:p>
        </w:tc>
        <w:tc>
          <w:tcPr>
            <w:tcW w:w="2254" w:type="dxa"/>
          </w:tcPr>
          <w:p w14:paraId="2402EFEE" w14:textId="77777777" w:rsidR="00B570F3" w:rsidRPr="00B570F3" w:rsidRDefault="00B570F3" w:rsidP="00B570F3">
            <w:r w:rsidRPr="00B570F3">
              <w:t>Mixed use</w:t>
            </w:r>
          </w:p>
        </w:tc>
        <w:tc>
          <w:tcPr>
            <w:tcW w:w="2254" w:type="dxa"/>
          </w:tcPr>
          <w:p w14:paraId="1FBB4099" w14:textId="77777777" w:rsidR="00B570F3" w:rsidRPr="00B570F3" w:rsidRDefault="00B570F3" w:rsidP="00B570F3">
            <w:r w:rsidRPr="00B570F3">
              <w:t>Predominantly institutional based</w:t>
            </w:r>
          </w:p>
        </w:tc>
        <w:tc>
          <w:tcPr>
            <w:tcW w:w="2254" w:type="dxa"/>
          </w:tcPr>
          <w:p w14:paraId="6DA9FDD4" w14:textId="77777777" w:rsidR="00B570F3" w:rsidRPr="00B570F3" w:rsidRDefault="00B570F3" w:rsidP="00B570F3">
            <w:r w:rsidRPr="00B570F3">
              <w:t>Formal training is less common</w:t>
            </w:r>
          </w:p>
        </w:tc>
      </w:tr>
      <w:tr w:rsidR="00B570F3" w14:paraId="06FDAD6F" w14:textId="77777777" w:rsidTr="00ED4661">
        <w:tc>
          <w:tcPr>
            <w:tcW w:w="2254" w:type="dxa"/>
          </w:tcPr>
          <w:p w14:paraId="7A2E2AD0" w14:textId="77777777" w:rsidR="00B570F3" w:rsidRPr="00B570F3" w:rsidRDefault="00B570F3" w:rsidP="001A230D">
            <w:pPr>
              <w:pStyle w:val="TableListBullet"/>
            </w:pPr>
            <w:r w:rsidRPr="00B570F3">
              <w:t>Plumbers</w:t>
            </w:r>
          </w:p>
          <w:p w14:paraId="582D667F" w14:textId="77777777" w:rsidR="00B570F3" w:rsidRPr="00B570F3" w:rsidRDefault="00B570F3" w:rsidP="001A230D">
            <w:pPr>
              <w:pStyle w:val="TableListBullet"/>
            </w:pPr>
            <w:r w:rsidRPr="00B570F3">
              <w:t>Electricians</w:t>
            </w:r>
          </w:p>
          <w:p w14:paraId="60C1F691" w14:textId="77777777" w:rsidR="00B570F3" w:rsidRPr="00B570F3" w:rsidRDefault="00B570F3" w:rsidP="001A230D">
            <w:pPr>
              <w:pStyle w:val="TableListBullet"/>
            </w:pPr>
            <w:r w:rsidRPr="00B570F3">
              <w:t>Carpenters and Joiners</w:t>
            </w:r>
          </w:p>
          <w:p w14:paraId="0C1D101D" w14:textId="77777777" w:rsidR="00B570F3" w:rsidRPr="00B570F3" w:rsidRDefault="00B570F3" w:rsidP="001A230D">
            <w:pPr>
              <w:pStyle w:val="TableListBullet"/>
            </w:pPr>
            <w:r w:rsidRPr="00B570F3">
              <w:t>Hairdressers</w:t>
            </w:r>
          </w:p>
          <w:p w14:paraId="51FFF08A" w14:textId="77777777" w:rsidR="00B570F3" w:rsidRPr="00B570F3" w:rsidRDefault="00B570F3" w:rsidP="001A230D">
            <w:pPr>
              <w:pStyle w:val="TableListBullet"/>
            </w:pPr>
            <w:r w:rsidRPr="00B570F3">
              <w:t>Butchers and Smallgoods Makers</w:t>
            </w:r>
          </w:p>
        </w:tc>
        <w:tc>
          <w:tcPr>
            <w:tcW w:w="2254" w:type="dxa"/>
          </w:tcPr>
          <w:p w14:paraId="62BBCD53" w14:textId="77777777" w:rsidR="00B570F3" w:rsidRPr="00B570F3" w:rsidRDefault="00B570F3" w:rsidP="001A230D">
            <w:pPr>
              <w:pStyle w:val="TableListBullet"/>
            </w:pPr>
            <w:r w:rsidRPr="00B570F3">
              <w:t>Motor Mechanics</w:t>
            </w:r>
          </w:p>
          <w:p w14:paraId="59C0D845" w14:textId="77777777" w:rsidR="00B570F3" w:rsidRPr="00B570F3" w:rsidRDefault="00B570F3" w:rsidP="001A230D">
            <w:pPr>
              <w:pStyle w:val="TableListBullet"/>
            </w:pPr>
            <w:r w:rsidRPr="00B570F3">
              <w:t>Painting Trades Workers</w:t>
            </w:r>
          </w:p>
          <w:p w14:paraId="5635B737" w14:textId="77777777" w:rsidR="00B570F3" w:rsidRPr="00B570F3" w:rsidRDefault="00B570F3" w:rsidP="001A230D">
            <w:pPr>
              <w:pStyle w:val="TableListBullet"/>
            </w:pPr>
            <w:r w:rsidRPr="00B570F3">
              <w:t>Wall and Floor Tilers</w:t>
            </w:r>
          </w:p>
          <w:p w14:paraId="774A7425" w14:textId="2A92997A" w:rsidR="00B570F3" w:rsidRPr="00B570F3" w:rsidRDefault="00B570F3" w:rsidP="001A230D">
            <w:pPr>
              <w:pStyle w:val="TableListBullet"/>
            </w:pPr>
            <w:r w:rsidRPr="00B570F3">
              <w:t>Structural Steel and Welding Trades Workers</w:t>
            </w:r>
          </w:p>
        </w:tc>
        <w:tc>
          <w:tcPr>
            <w:tcW w:w="2254" w:type="dxa"/>
          </w:tcPr>
          <w:p w14:paraId="7E569EDB" w14:textId="77777777" w:rsidR="00B570F3" w:rsidRPr="00B570F3" w:rsidRDefault="00B570F3" w:rsidP="001A230D">
            <w:pPr>
              <w:pStyle w:val="TableListBullet"/>
            </w:pPr>
            <w:r w:rsidRPr="00B570F3">
              <w:t>Chefs</w:t>
            </w:r>
          </w:p>
          <w:p w14:paraId="5C193BA8" w14:textId="77777777" w:rsidR="00B570F3" w:rsidRPr="00B570F3" w:rsidRDefault="00B570F3" w:rsidP="001A230D">
            <w:pPr>
              <w:pStyle w:val="TableListBullet"/>
            </w:pPr>
            <w:r w:rsidRPr="00B570F3">
              <w:t>Child Carers</w:t>
            </w:r>
          </w:p>
          <w:p w14:paraId="4F127EDC" w14:textId="77777777" w:rsidR="00B570F3" w:rsidRPr="00B570F3" w:rsidRDefault="00B570F3" w:rsidP="001A230D">
            <w:pPr>
              <w:pStyle w:val="TableListBullet"/>
            </w:pPr>
            <w:r w:rsidRPr="00B570F3">
              <w:t>Aged and Disabled Carers</w:t>
            </w:r>
          </w:p>
          <w:p w14:paraId="1399AE2B" w14:textId="77777777" w:rsidR="00B570F3" w:rsidRPr="00B570F3" w:rsidRDefault="00B570F3" w:rsidP="001A230D">
            <w:pPr>
              <w:pStyle w:val="TableListBullet"/>
            </w:pPr>
            <w:r w:rsidRPr="00B570F3">
              <w:t>Crane, Hoist and Lift Operators</w:t>
            </w:r>
          </w:p>
        </w:tc>
        <w:tc>
          <w:tcPr>
            <w:tcW w:w="2254" w:type="dxa"/>
          </w:tcPr>
          <w:p w14:paraId="09BB5ED9" w14:textId="77777777" w:rsidR="00B570F3" w:rsidRPr="00B570F3" w:rsidRDefault="00B570F3" w:rsidP="001A230D">
            <w:pPr>
              <w:pStyle w:val="TableListBullet"/>
            </w:pPr>
            <w:r w:rsidRPr="00B570F3">
              <w:t>Sales Assistants</w:t>
            </w:r>
          </w:p>
          <w:p w14:paraId="74325949" w14:textId="77777777" w:rsidR="00B570F3" w:rsidRPr="00B570F3" w:rsidRDefault="00B570F3" w:rsidP="001A230D">
            <w:pPr>
              <w:pStyle w:val="TableListBullet"/>
            </w:pPr>
            <w:r w:rsidRPr="00B570F3">
              <w:t>Scaffolders</w:t>
            </w:r>
          </w:p>
          <w:p w14:paraId="4A983709" w14:textId="77777777" w:rsidR="00B570F3" w:rsidRPr="00B570F3" w:rsidRDefault="00B570F3" w:rsidP="001A230D">
            <w:pPr>
              <w:pStyle w:val="TableListBullet"/>
            </w:pPr>
            <w:r w:rsidRPr="00B570F3">
              <w:t>Concreters</w:t>
            </w:r>
          </w:p>
          <w:p w14:paraId="4C84354D" w14:textId="77777777" w:rsidR="00B570F3" w:rsidRPr="00B570F3" w:rsidRDefault="00B570F3" w:rsidP="001A230D">
            <w:pPr>
              <w:pStyle w:val="TableListBullet"/>
            </w:pPr>
            <w:r w:rsidRPr="00B570F3">
              <w:t>Hospitality Workers</w:t>
            </w:r>
          </w:p>
        </w:tc>
      </w:tr>
    </w:tbl>
    <w:p w14:paraId="58552003" w14:textId="69565701" w:rsidR="00A05766" w:rsidRPr="00B570F3" w:rsidRDefault="0053743D" w:rsidP="00FE6535">
      <w:pPr>
        <w:pStyle w:val="Source"/>
      </w:pPr>
      <w:r>
        <w:t xml:space="preserve">Source: </w:t>
      </w:r>
      <w:r w:rsidR="00310846" w:rsidRPr="00310846">
        <w:t>NCVER Total VET Activity 2024, ABS, Census of Population and Housing, 2021, internal JSA analysis.</w:t>
      </w:r>
    </w:p>
    <w:p w14:paraId="267A159D" w14:textId="3CE16FEA" w:rsidR="00B570F3" w:rsidRPr="00544396" w:rsidRDefault="00B570F3" w:rsidP="00544396">
      <w:pPr>
        <w:pStyle w:val="BodyText"/>
      </w:pPr>
      <w:r w:rsidRPr="00544396">
        <w:t>Across all Certificate III qualifications in 202</w:t>
      </w:r>
      <w:r w:rsidR="006718F9">
        <w:t>4,</w:t>
      </w:r>
      <w:r w:rsidRPr="00544396">
        <w:t xml:space="preserve"> Australian Apprenticeships represented 37% of trade completions and 16% of non-trade completions (</w:t>
      </w:r>
      <w:r w:rsidRPr="00544396">
        <w:fldChar w:fldCharType="begin"/>
      </w:r>
      <w:r w:rsidRPr="00544396">
        <w:instrText xml:space="preserve"> REF _Ref207792828 \h </w:instrText>
      </w:r>
      <w:r w:rsidR="00544396" w:rsidRPr="00544396">
        <w:instrText xml:space="preserve"> \* MERGEFORMAT </w:instrText>
      </w:r>
      <w:r w:rsidRPr="00544396">
        <w:fldChar w:fldCharType="separate"/>
      </w:r>
      <w:r w:rsidR="009E6E1D">
        <w:t xml:space="preserve">Figure </w:t>
      </w:r>
      <w:r w:rsidR="009E6E1D">
        <w:rPr>
          <w:noProof/>
        </w:rPr>
        <w:t>45</w:t>
      </w:r>
      <w:r w:rsidRPr="00544396">
        <w:fldChar w:fldCharType="end"/>
      </w:r>
      <w:r w:rsidRPr="00544396">
        <w:t xml:space="preserve">). </w:t>
      </w:r>
      <w:r w:rsidR="00DF2F1A" w:rsidRPr="00DF2F1A">
        <w:t>They were most common in Electrotechnology Electrician, Plumbing, and Driving Operations, and less common in the care economy and Personal Services.</w:t>
      </w:r>
      <w:r w:rsidRPr="00544396">
        <w:t xml:space="preserve"> There are also significant differences across states and territories for some pathways. For example, Civil Construction apprenticeships are common in Tasmania and the ACT (87% and 81% of enrolments respectively), however in all other jurisdictions they represent less than a third of enrolments. </w:t>
      </w:r>
    </w:p>
    <w:p w14:paraId="349BFAFB" w14:textId="6907E1A6" w:rsidR="00B570F3" w:rsidRDefault="00B570F3" w:rsidP="00B570F3">
      <w:pPr>
        <w:pStyle w:val="Caption"/>
      </w:pPr>
      <w:bookmarkStart w:id="329" w:name="_Ref207792828"/>
      <w:bookmarkStart w:id="330" w:name="_Toc207899222"/>
      <w:bookmarkStart w:id="331" w:name="_Toc211604194"/>
      <w:r>
        <w:t xml:space="preserve">Figure </w:t>
      </w:r>
      <w:r>
        <w:fldChar w:fldCharType="begin"/>
      </w:r>
      <w:r>
        <w:instrText xml:space="preserve"> SEQ Figure \* ARABIC </w:instrText>
      </w:r>
      <w:r>
        <w:fldChar w:fldCharType="separate"/>
      </w:r>
      <w:r w:rsidR="009E6E1D">
        <w:rPr>
          <w:noProof/>
        </w:rPr>
        <w:t>45</w:t>
      </w:r>
      <w:r>
        <w:fldChar w:fldCharType="end"/>
      </w:r>
      <w:bookmarkEnd w:id="329"/>
      <w:r>
        <w:t xml:space="preserve">: </w:t>
      </w:r>
      <w:r w:rsidRPr="00C47563">
        <w:t>Apprentices and Trainees as a share of Certificate III completions, 202</w:t>
      </w:r>
      <w:bookmarkEnd w:id="330"/>
      <w:r w:rsidR="001E196F">
        <w:t>4</w:t>
      </w:r>
      <w:bookmarkEnd w:id="331"/>
    </w:p>
    <w:p w14:paraId="768657CE" w14:textId="4ABFDAD8" w:rsidR="00B570F3" w:rsidRDefault="00900CB8" w:rsidP="006D5786">
      <w:pPr>
        <w:pStyle w:val="Source"/>
      </w:pPr>
      <w:r w:rsidRPr="00900CB8">
        <w:rPr>
          <w:noProof/>
        </w:rPr>
        <w:drawing>
          <wp:inline distT="0" distB="0" distL="0" distR="0" wp14:anchorId="267DF7F2" wp14:editId="1A2E31C0">
            <wp:extent cx="5943600" cy="3482340"/>
            <wp:effectExtent l="0" t="0" r="0" b="3810"/>
            <wp:docPr id="445502496" name="Picture 11" descr="Across all Certificate III qualification completions in 2024, Australian Apprenticeships represented 35% of trade completions and 14% of non-trade completions. They were most common in Plumbing, Electrotechnology Electrician, and Driving Operations, and less common in horticulture, the care economy and personal serv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02496" name="Picture 11" descr="Across all Certificate III qualification completions in 2024, Australian Apprenticeships represented 35% of trade completions and 14% of non-trade completions. They were most common in Plumbing, Electrotechnology Electrician, and Driving Operations, and less common in horticulture, the care economy and personal services. "/>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943600" cy="3482340"/>
                    </a:xfrm>
                    <a:prstGeom prst="rect">
                      <a:avLst/>
                    </a:prstGeom>
                    <a:noFill/>
                    <a:ln>
                      <a:noFill/>
                    </a:ln>
                  </pic:spPr>
                </pic:pic>
              </a:graphicData>
            </a:graphic>
          </wp:inline>
        </w:drawing>
      </w:r>
      <w:r w:rsidR="00B570F3">
        <w:t xml:space="preserve">Source: </w:t>
      </w:r>
      <w:r w:rsidR="002D6F07" w:rsidRPr="002D6F07">
        <w:t>NCVER Total VET Activity, 2025, VOCSTATS, extracted on 25/9/2025</w:t>
      </w:r>
      <w:r w:rsidR="00B570F3">
        <w:t xml:space="preserve">. </w:t>
      </w:r>
    </w:p>
    <w:p w14:paraId="0303FAB9" w14:textId="77777777" w:rsidR="00222491" w:rsidRDefault="00F5698D" w:rsidP="0004316C">
      <w:pPr>
        <w:pStyle w:val="Source"/>
      </w:pPr>
      <w:r>
        <w:t xml:space="preserve">Note: </w:t>
      </w:r>
      <w:r w:rsidRPr="00F5698D">
        <w:t>Certificate III completions grouped by program.</w:t>
      </w:r>
      <w:r w:rsidR="008A4D72">
        <w:t xml:space="preserve"> </w:t>
      </w:r>
    </w:p>
    <w:p w14:paraId="1AE37253" w14:textId="1C86808C" w:rsidR="00B570F3" w:rsidRPr="00DE24DE" w:rsidRDefault="00B570F3" w:rsidP="00544396">
      <w:pPr>
        <w:pStyle w:val="BodyText"/>
      </w:pPr>
      <w:r w:rsidRPr="00DE24DE">
        <w:t xml:space="preserve">There are also occupations where an Australian Apprenticeship pathway is available, but many workers are unqualified. These include </w:t>
      </w:r>
      <w:r w:rsidRPr="00B570F3">
        <w:t>Truck Drivers</w:t>
      </w:r>
      <w:r w:rsidRPr="00DE24DE">
        <w:t xml:space="preserve">, </w:t>
      </w:r>
      <w:r w:rsidRPr="00B570F3">
        <w:t xml:space="preserve">Earthmoving Plant Operators, </w:t>
      </w:r>
      <w:r w:rsidRPr="00475E3B">
        <w:t xml:space="preserve">and </w:t>
      </w:r>
      <w:r w:rsidRPr="00B570F3">
        <w:t>Meat Boners and Slicers and Slaughterers</w:t>
      </w:r>
      <w:r w:rsidR="00222491">
        <w:t>,</w:t>
      </w:r>
      <w:r w:rsidRPr="00884A5C" w:rsidDel="007D46D9">
        <w:t xml:space="preserve"> </w:t>
      </w:r>
      <w:r w:rsidRPr="00DE24DE">
        <w:t>where less than half of workers have a post-school qualification. In these occupations, the apprenticeship system might not be a prerequisite to entry, but it may play an important role in workforce attraction and skilling. For example, the Heavy Vehicle Apprenticeship was introduced in Queensland to help professionalise the road freight industry and offer an attractive training pathway for school leavers</w:t>
      </w:r>
      <w:r>
        <w:t xml:space="preserve"> </w:t>
      </w:r>
      <w:sdt>
        <w:sdtPr>
          <w:id w:val="1867868171"/>
          <w:citation/>
        </w:sdtPr>
        <w:sdtContent>
          <w:r>
            <w:fldChar w:fldCharType="begin"/>
          </w:r>
          <w:r>
            <w:instrText xml:space="preserve"> CITATION Ind25 \l 3081 </w:instrText>
          </w:r>
          <w:r>
            <w:fldChar w:fldCharType="separate"/>
          </w:r>
          <w:r w:rsidR="00D52996">
            <w:rPr>
              <w:noProof/>
            </w:rPr>
            <w:t>(Industry Skills Australia Limited, 2025)</w:t>
          </w:r>
          <w:r>
            <w:fldChar w:fldCharType="end"/>
          </w:r>
        </w:sdtContent>
      </w:sdt>
      <w:r w:rsidRPr="00DE24DE">
        <w:t>. A similar proposal is being explored in the agricultural sector as an alternative to existing traineeship and institutional-based options.</w:t>
      </w:r>
    </w:p>
    <w:p w14:paraId="22A590A1" w14:textId="77777777" w:rsidR="00B570F3" w:rsidRPr="00D92D75" w:rsidRDefault="00B570F3" w:rsidP="00B570F3">
      <w:pPr>
        <w:pStyle w:val="Heading4"/>
      </w:pPr>
      <w:r w:rsidRPr="00D92D75">
        <w:t>Outcomes and value proposition</w:t>
      </w:r>
    </w:p>
    <w:p w14:paraId="44AA25FD" w14:textId="1878E8A9" w:rsidR="00B570F3" w:rsidRPr="00D92D75" w:rsidRDefault="00B570F3" w:rsidP="00544396">
      <w:pPr>
        <w:pStyle w:val="BodyText"/>
      </w:pPr>
      <w:r w:rsidRPr="00D92D75">
        <w:t xml:space="preserve">Apprenticeships can achieve strong completion outcomes. This is particularly evident in key fields such as </w:t>
      </w:r>
      <w:r w:rsidRPr="00B570F3">
        <w:t>Engineering and Related Technologies</w:t>
      </w:r>
      <w:r w:rsidRPr="00D92D75">
        <w:t>, where apprentices consistently outperform non-apprentices (</w:t>
      </w:r>
      <w:r>
        <w:fldChar w:fldCharType="begin"/>
      </w:r>
      <w:r>
        <w:instrText xml:space="preserve"> REF _Ref207793580 \h </w:instrText>
      </w:r>
      <w:r w:rsidR="00544396">
        <w:instrText xml:space="preserve"> \* MERGEFORMAT </w:instrText>
      </w:r>
      <w:r>
        <w:fldChar w:fldCharType="separate"/>
      </w:r>
      <w:r w:rsidR="009E6E1D">
        <w:t xml:space="preserve">Figure </w:t>
      </w:r>
      <w:r w:rsidR="009E6E1D">
        <w:rPr>
          <w:noProof/>
        </w:rPr>
        <w:t>46</w:t>
      </w:r>
      <w:r>
        <w:fldChar w:fldCharType="end"/>
      </w:r>
      <w:r w:rsidRPr="00D92D75">
        <w:t xml:space="preserve">). While the differences in completion rates are less pronounced in areas like </w:t>
      </w:r>
      <w:r w:rsidRPr="00884A5C">
        <w:t>Education</w:t>
      </w:r>
      <w:r w:rsidRPr="00D92D75">
        <w:t xml:space="preserve">, </w:t>
      </w:r>
      <w:r w:rsidRPr="00884A5C">
        <w:t>Management and Commerce</w:t>
      </w:r>
      <w:r w:rsidRPr="00D92D75">
        <w:t xml:space="preserve">, and </w:t>
      </w:r>
      <w:r w:rsidRPr="00884A5C">
        <w:t>Food, Hospitality and Personal Services</w:t>
      </w:r>
      <w:r w:rsidRPr="00D92D75">
        <w:t xml:space="preserve">, they still result in around or above the overall average completion rates. However, some individual qualifications, including </w:t>
      </w:r>
      <w:r>
        <w:t xml:space="preserve">certificates in </w:t>
      </w:r>
      <w:r w:rsidRPr="00884A5C">
        <w:t>Retail</w:t>
      </w:r>
      <w:r w:rsidRPr="00D92D75">
        <w:t xml:space="preserve">, </w:t>
      </w:r>
      <w:r w:rsidRPr="00884A5C">
        <w:t>Hospitality</w:t>
      </w:r>
      <w:r w:rsidRPr="00D92D75">
        <w:t xml:space="preserve">, </w:t>
      </w:r>
      <w:r w:rsidRPr="00884A5C">
        <w:t>Travel</w:t>
      </w:r>
      <w:r w:rsidRPr="00D92D75">
        <w:t xml:space="preserve">, </w:t>
      </w:r>
      <w:r w:rsidRPr="00884A5C">
        <w:t>Supply Chain Operations</w:t>
      </w:r>
      <w:r w:rsidRPr="00D92D75">
        <w:t xml:space="preserve">, and </w:t>
      </w:r>
      <w:r w:rsidRPr="00884A5C">
        <w:t>Community Pharmacy</w:t>
      </w:r>
      <w:r w:rsidRPr="00D92D75">
        <w:t>, have apprenticeship-level completion rates as low as 30%. This reinforces the need to assess the performance and value of apprenticeships at an individual level, rather than in aggregate.</w:t>
      </w:r>
    </w:p>
    <w:p w14:paraId="6DA0080C" w14:textId="792AC456" w:rsidR="008C4BA4" w:rsidRDefault="00B570F3" w:rsidP="008C4BA4">
      <w:pPr>
        <w:pStyle w:val="Caption"/>
      </w:pPr>
      <w:bookmarkStart w:id="332" w:name="_Ref207793580"/>
      <w:bookmarkStart w:id="333" w:name="_Toc207899224"/>
      <w:bookmarkStart w:id="334" w:name="_Toc211604195"/>
      <w:r>
        <w:t xml:space="preserve">Figure </w:t>
      </w:r>
      <w:r>
        <w:fldChar w:fldCharType="begin"/>
      </w:r>
      <w:r>
        <w:instrText xml:space="preserve"> SEQ Figure \* ARABIC </w:instrText>
      </w:r>
      <w:r>
        <w:fldChar w:fldCharType="separate"/>
      </w:r>
      <w:r w:rsidR="009E6E1D">
        <w:rPr>
          <w:noProof/>
        </w:rPr>
        <w:t>46</w:t>
      </w:r>
      <w:r>
        <w:fldChar w:fldCharType="end"/>
      </w:r>
      <w:bookmarkEnd w:id="332"/>
      <w:r>
        <w:t xml:space="preserve">: </w:t>
      </w:r>
      <w:r w:rsidR="00073E33" w:rsidRPr="00073E33">
        <w:t>Apprentices and trainees, and VET completion rates by field of education, students commencing in 2019</w:t>
      </w:r>
      <w:bookmarkEnd w:id="333"/>
      <w:bookmarkEnd w:id="334"/>
    </w:p>
    <w:p w14:paraId="3A906120" w14:textId="672EAA11" w:rsidR="008C4BA4" w:rsidRDefault="008C4BA4" w:rsidP="00331608">
      <w:pPr>
        <w:pStyle w:val="Source"/>
      </w:pPr>
      <w:r w:rsidRPr="008C4BA4">
        <w:rPr>
          <w:noProof/>
        </w:rPr>
        <w:drawing>
          <wp:inline distT="0" distB="0" distL="0" distR="0" wp14:anchorId="50E0D81D" wp14:editId="286AEA56">
            <wp:extent cx="5948045" cy="3241040"/>
            <wp:effectExtent l="0" t="0" r="0" b="0"/>
            <wp:docPr id="1157579134" name="Picture 1" descr="In Engineering and Related Technologies, apprentices consistently outperform non-apprentices. Differences in completion rates are less pronounced in areas like Education, Management and Commerce, and Food, Hospitality and Personal Services, they still result in around or above the overall average completion rates. However, some individual qualifications, including certificates in Retail, Hospitality, Travel, Supply Chain Operations, and Community Pharmacy, have apprenticeship-level completion rates as low a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579134" name="Picture 1" descr="In Engineering and Related Technologies, apprentices consistently outperform non-apprentices. Differences in completion rates are less pronounced in areas like Education, Management and Commerce, and Food, Hospitality and Personal Services, they still result in around or above the overall average completion rates. However, some individual qualifications, including certificates in Retail, Hospitality, Travel, Supply Chain Operations, and Community Pharmacy, have apprenticeship-level completion rates as low as 3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948045" cy="3241040"/>
                    </a:xfrm>
                    <a:prstGeom prst="rect">
                      <a:avLst/>
                    </a:prstGeom>
                    <a:noFill/>
                    <a:ln>
                      <a:noFill/>
                    </a:ln>
                  </pic:spPr>
                </pic:pic>
              </a:graphicData>
            </a:graphic>
          </wp:inline>
        </w:drawing>
      </w:r>
    </w:p>
    <w:p w14:paraId="2B3A5CE7" w14:textId="40F2B82D" w:rsidR="00B570F3" w:rsidRPr="00331608" w:rsidRDefault="00B570F3" w:rsidP="00331608">
      <w:pPr>
        <w:pStyle w:val="Source"/>
      </w:pPr>
      <w:r w:rsidRPr="00331608">
        <w:t xml:space="preserve">Source: NCVER 2024, VET qualification completion rates; NCVER 2024, Completion and attrition rates for apprentices and trainees. </w:t>
      </w:r>
    </w:p>
    <w:p w14:paraId="790AC34F" w14:textId="77777777" w:rsidR="00B570F3" w:rsidRPr="00331608" w:rsidRDefault="00B570F3" w:rsidP="00331608">
      <w:pPr>
        <w:pStyle w:val="Source"/>
      </w:pPr>
      <w:r w:rsidRPr="00331608">
        <w:t xml:space="preserve">Note: Apprentice and trainee completion rates are at the apprenticeship-level, meaning they do not include changes of employers if the qualification remains the same. </w:t>
      </w:r>
    </w:p>
    <w:p w14:paraId="2CF3B326" w14:textId="77777777" w:rsidR="00B570F3" w:rsidRPr="00304DE6" w:rsidRDefault="00B570F3" w:rsidP="00B570F3">
      <w:pPr>
        <w:pStyle w:val="Heading4"/>
      </w:pPr>
      <w:r w:rsidRPr="00304DE6">
        <w:t>Women in trades – good progress but from a low base</w:t>
      </w:r>
    </w:p>
    <w:p w14:paraId="1C2C7F9D" w14:textId="1147DABE" w:rsidR="00B570F3" w:rsidRDefault="00B570F3" w:rsidP="00544396">
      <w:pPr>
        <w:pStyle w:val="BodyText"/>
      </w:pPr>
      <w:r w:rsidRPr="00304DE6">
        <w:t xml:space="preserve">As noted by JSA’s </w:t>
      </w:r>
      <w:r w:rsidRPr="00171A71">
        <w:rPr>
          <w:rStyle w:val="Characteritalic"/>
        </w:rPr>
        <w:t xml:space="preserve">Gender Economic Equality </w:t>
      </w:r>
      <w:r w:rsidR="008C4BA4">
        <w:rPr>
          <w:rStyle w:val="Characteritalic"/>
        </w:rPr>
        <w:t>S</w:t>
      </w:r>
      <w:r w:rsidRPr="00171A71">
        <w:rPr>
          <w:rStyle w:val="Characteritalic"/>
        </w:rPr>
        <w:t>tudy</w:t>
      </w:r>
      <w:r w:rsidRPr="00304DE6">
        <w:t xml:space="preserve">, trades are some of the most gender segregated occupations in the labour market. Around 99% of </w:t>
      </w:r>
      <w:r w:rsidRPr="00884A5C">
        <w:t>Bricklayers and Stonemasons</w:t>
      </w:r>
      <w:r w:rsidRPr="00304DE6">
        <w:t xml:space="preserve">, </w:t>
      </w:r>
      <w:r w:rsidRPr="00884A5C">
        <w:t>Plumbers</w:t>
      </w:r>
      <w:r w:rsidRPr="00304DE6">
        <w:t xml:space="preserve">, and </w:t>
      </w:r>
      <w:r w:rsidRPr="00884A5C">
        <w:t>Carpenters and Joiners</w:t>
      </w:r>
      <w:r w:rsidRPr="00304DE6">
        <w:t xml:space="preserve"> were men in 2021</w:t>
      </w:r>
      <w:sdt>
        <w:sdtPr>
          <w:id w:val="549350308"/>
          <w:citation/>
        </w:sdtPr>
        <w:sdtContent>
          <w:r w:rsidRPr="00304DE6">
            <w:fldChar w:fldCharType="begin"/>
          </w:r>
          <w:r w:rsidRPr="00304DE6">
            <w:instrText xml:space="preserve"> CITATION Job251 \l 3081 </w:instrText>
          </w:r>
          <w:r w:rsidRPr="00304DE6">
            <w:fldChar w:fldCharType="separate"/>
          </w:r>
          <w:r w:rsidR="00D52996">
            <w:rPr>
              <w:noProof/>
            </w:rPr>
            <w:t xml:space="preserve"> (Jobs and Skills Australia, 2025)</w:t>
          </w:r>
          <w:r w:rsidRPr="00304DE6">
            <w:fldChar w:fldCharType="end"/>
          </w:r>
        </w:sdtContent>
      </w:sdt>
      <w:r w:rsidRPr="00304DE6">
        <w:t>.</w:t>
      </w:r>
    </w:p>
    <w:p w14:paraId="15557133" w14:textId="4A7479D2" w:rsidR="00B570F3" w:rsidRPr="007D73A4" w:rsidRDefault="00171A71" w:rsidP="00E11D8A">
      <w:pPr>
        <w:pStyle w:val="BodyText"/>
      </w:pPr>
      <w:r w:rsidRPr="007D73A4">
        <w:t>In aggregate, there has been little progress in the share of women undertaking a trade-based apprenticeship (</w:t>
      </w:r>
      <w:r w:rsidRPr="00B570F3">
        <w:fldChar w:fldCharType="begin"/>
      </w:r>
      <w:r w:rsidRPr="00B570F3">
        <w:instrText xml:space="preserve"> REF _Ref207794078 \h </w:instrText>
      </w:r>
      <w:r>
        <w:instrText xml:space="preserve"> \* MERGEFORMAT </w:instrText>
      </w:r>
      <w:r w:rsidRPr="00B570F3">
        <w:fldChar w:fldCharType="separate"/>
      </w:r>
      <w:r w:rsidR="009E6E1D">
        <w:t xml:space="preserve">Figure </w:t>
      </w:r>
      <w:r w:rsidR="009E6E1D">
        <w:rPr>
          <w:noProof/>
        </w:rPr>
        <w:t>47</w:t>
      </w:r>
      <w:r w:rsidRPr="00B570F3">
        <w:fldChar w:fldCharType="end"/>
      </w:r>
      <w:r w:rsidRPr="00B570F3">
        <w:t>). By Q1 202</w:t>
      </w:r>
      <w:r>
        <w:t>5</w:t>
      </w:r>
      <w:r w:rsidRPr="00B570F3">
        <w:t xml:space="preserve"> females comprised 11.</w:t>
      </w:r>
      <w:r>
        <w:t>5</w:t>
      </w:r>
      <w:r w:rsidRPr="00B570F3">
        <w:t xml:space="preserve">% of all trade apprentices in training, slightly </w:t>
      </w:r>
      <w:r>
        <w:t>up</w:t>
      </w:r>
      <w:r w:rsidRPr="00B570F3">
        <w:t xml:space="preserve"> from 11.</w:t>
      </w:r>
      <w:r>
        <w:t>1</w:t>
      </w:r>
      <w:r w:rsidRPr="00B570F3">
        <w:t>% a decade prior. At that time, most female apprenticeships were in Hairdressing and Food Trade. However, since then, there has been positive progress at the occupation level for several large trade apprenticeships. For example, in 202</w:t>
      </w:r>
      <w:r>
        <w:t>5</w:t>
      </w:r>
      <w:r w:rsidRPr="00B570F3">
        <w:t xml:space="preserve"> there w</w:t>
      </w:r>
      <w:r>
        <w:t>as</w:t>
      </w:r>
      <w:r w:rsidRPr="00B570F3">
        <w:t xml:space="preserve"> around </w:t>
      </w:r>
      <w:r w:rsidR="008C4BA4">
        <w:t>4</w:t>
      </w:r>
      <w:r w:rsidRPr="00B570F3">
        <w:t xml:space="preserve"> times as many female Electrician apprentices than in 201</w:t>
      </w:r>
      <w:r>
        <w:t>5</w:t>
      </w:r>
      <w:r w:rsidRPr="00B570F3">
        <w:t xml:space="preserve">, with </w:t>
      </w:r>
      <w:r>
        <w:t xml:space="preserve">significant </w:t>
      </w:r>
      <w:r w:rsidRPr="00B570F3">
        <w:t xml:space="preserve">growth </w:t>
      </w:r>
      <w:r>
        <w:t xml:space="preserve">also </w:t>
      </w:r>
      <w:r w:rsidRPr="00B570F3">
        <w:t xml:space="preserve">observed for Carpenters and Joiners, Motor Mechanics, Plumbers and Sheetmetal Workers. Combined, there were </w:t>
      </w:r>
      <w:r>
        <w:t>more</w:t>
      </w:r>
      <w:r w:rsidRPr="00B570F3">
        <w:t xml:space="preserve"> female apprentices in these male-dominant trades than there were undertaking a hairdressing apprenticeship in 202</w:t>
      </w:r>
      <w:r>
        <w:t>5</w:t>
      </w:r>
      <w:r w:rsidR="00B570F3" w:rsidRPr="00B570F3">
        <w:t>.</w:t>
      </w:r>
    </w:p>
    <w:p w14:paraId="1B459A8E" w14:textId="086D37B5" w:rsidR="00B570F3" w:rsidRPr="005B2AA2" w:rsidRDefault="00B570F3" w:rsidP="0076554F">
      <w:pPr>
        <w:pStyle w:val="Caption"/>
      </w:pPr>
      <w:bookmarkStart w:id="335" w:name="_Ref207794078"/>
      <w:bookmarkStart w:id="336" w:name="_Toc207899226"/>
      <w:bookmarkStart w:id="337" w:name="_Toc211604196"/>
      <w:r>
        <w:t xml:space="preserve">Figure </w:t>
      </w:r>
      <w:r>
        <w:fldChar w:fldCharType="begin"/>
      </w:r>
      <w:r>
        <w:instrText xml:space="preserve"> SEQ Figure \* ARABIC </w:instrText>
      </w:r>
      <w:r>
        <w:fldChar w:fldCharType="separate"/>
      </w:r>
      <w:r w:rsidR="009E6E1D">
        <w:rPr>
          <w:noProof/>
        </w:rPr>
        <w:t>47</w:t>
      </w:r>
      <w:r>
        <w:fldChar w:fldCharType="end"/>
      </w:r>
      <w:bookmarkEnd w:id="335"/>
      <w:r>
        <w:t xml:space="preserve">: </w:t>
      </w:r>
      <w:r w:rsidR="00171A71">
        <w:t xml:space="preserve">Proportion of </w:t>
      </w:r>
      <w:r w:rsidR="008C4BA4">
        <w:t>f</w:t>
      </w:r>
      <w:r w:rsidRPr="002A28C6">
        <w:t xml:space="preserve">emale apprentices in-training, select trade occupations </w:t>
      </w:r>
      <w:bookmarkEnd w:id="336"/>
      <w:r w:rsidR="003E30F5">
        <w:t>2015</w:t>
      </w:r>
      <w:r w:rsidR="00171A71">
        <w:t>–</w:t>
      </w:r>
      <w:r w:rsidR="003E30F5">
        <w:t>2025</w:t>
      </w:r>
      <w:bookmarkEnd w:id="337"/>
    </w:p>
    <w:p w14:paraId="5846EB69" w14:textId="1F06C1AD" w:rsidR="00B570F3" w:rsidRDefault="009354EB" w:rsidP="00544396">
      <w:pPr>
        <w:pStyle w:val="Source"/>
      </w:pPr>
      <w:r w:rsidRPr="009354EB">
        <w:rPr>
          <w:noProof/>
        </w:rPr>
        <w:drawing>
          <wp:inline distT="0" distB="0" distL="0" distR="0" wp14:anchorId="0E143A96" wp14:editId="26C571E3">
            <wp:extent cx="5930900" cy="2432685"/>
            <wp:effectExtent l="0" t="0" r="0" b="5715"/>
            <wp:docPr id="399413743" name="Picture 5" descr="Overall female apprentices in training have increased from 11% to 12% from 2015 to 2025. This has increased from 2% to 7% for electricians, from 1% to 3% for carpenters and joiners, from 2% to 7% for motor mechanics, from 1% to 3% for plumbers and from 1% to 5% for sheetmetal wor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413743" name="Picture 5" descr="Overall female apprentices in training have increased from 11% to 12% from 2015 to 2025. This has increased from 2% to 7% for electricians, from 1% to 3% for carpenters and joiners, from 2% to 7% for motor mechanics, from 1% to 3% for plumbers and from 1% to 5% for sheetmetal workers."/>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930900" cy="2432685"/>
                    </a:xfrm>
                    <a:prstGeom prst="rect">
                      <a:avLst/>
                    </a:prstGeom>
                    <a:noFill/>
                    <a:ln>
                      <a:noFill/>
                    </a:ln>
                  </pic:spPr>
                </pic:pic>
              </a:graphicData>
            </a:graphic>
          </wp:inline>
        </w:drawing>
      </w:r>
      <w:r w:rsidR="00B570F3">
        <w:t xml:space="preserve">Source: </w:t>
      </w:r>
      <w:r w:rsidR="00C958A1" w:rsidRPr="00C958A1">
        <w:t>NCVER Apprentices and Trainees, 2025, VOCSTATS, extracted on 25/9/2025</w:t>
      </w:r>
      <w:r w:rsidR="00171A71" w:rsidRPr="00171A71">
        <w:t xml:space="preserve"> for the January-March quarter</w:t>
      </w:r>
      <w:r w:rsidR="00C958A1" w:rsidRPr="00C958A1">
        <w:t>.</w:t>
      </w:r>
    </w:p>
    <w:p w14:paraId="33C21355" w14:textId="77777777" w:rsidR="00B570F3" w:rsidRDefault="00B570F3" w:rsidP="00544396">
      <w:pPr>
        <w:pStyle w:val="BodyText"/>
      </w:pPr>
      <w:r w:rsidRPr="003E2057">
        <w:t xml:space="preserve">Given many critical trade occupations are in shortage, it is vital that these apprenticeship pathways continue to broaden their appeal and access. As noted by JSA’s clean energy capacity study: </w:t>
      </w:r>
    </w:p>
    <w:p w14:paraId="376C64D8" w14:textId="051F0D16" w:rsidR="00B570F3" w:rsidRPr="00A57698" w:rsidRDefault="00B570F3" w:rsidP="0004316C">
      <w:pPr>
        <w:pStyle w:val="Quote"/>
      </w:pPr>
      <w:r w:rsidRPr="00B570F3">
        <w:t xml:space="preserve">“For there to be genuine transformational change, women’s participation needs to be front of mind in every aspect of education and training programs and supports. It also requires a critical mass of women and girls in classrooms, on worksites, as teachers and trainers, and as employers and supervisors” </w:t>
      </w:r>
      <w:sdt>
        <w:sdtPr>
          <w:id w:val="599997564"/>
          <w:citation/>
        </w:sdtPr>
        <w:sdtContent>
          <w:r w:rsidRPr="00B570F3">
            <w:fldChar w:fldCharType="begin"/>
          </w:r>
          <w:r w:rsidRPr="00B570F3">
            <w:instrText xml:space="preserve"> CITATION Job231 \l 3081 </w:instrText>
          </w:r>
          <w:r w:rsidRPr="00B570F3">
            <w:fldChar w:fldCharType="separate"/>
          </w:r>
          <w:r w:rsidR="00D52996">
            <w:rPr>
              <w:noProof/>
            </w:rPr>
            <w:t>(Jobs and Skills Australia, 2023)</w:t>
          </w:r>
          <w:r w:rsidRPr="00B570F3">
            <w:fldChar w:fldCharType="end"/>
          </w:r>
        </w:sdtContent>
      </w:sdt>
      <w:r w:rsidRPr="00B570F3">
        <w:t>.</w:t>
      </w:r>
    </w:p>
    <w:p w14:paraId="54657873" w14:textId="77777777" w:rsidR="00B570F3" w:rsidRPr="00CE4ACB" w:rsidRDefault="00B570F3" w:rsidP="00B570F3">
      <w:pPr>
        <w:pStyle w:val="Heading3"/>
      </w:pPr>
      <w:bookmarkStart w:id="338" w:name="_Toc207613554"/>
      <w:bookmarkStart w:id="339" w:name="_Toc208923427"/>
      <w:bookmarkStart w:id="340" w:name="_Toc211587044"/>
      <w:r w:rsidRPr="00CE4ACB">
        <w:t xml:space="preserve">Understanding </w:t>
      </w:r>
      <w:r>
        <w:t>higher education</w:t>
      </w:r>
      <w:r w:rsidRPr="00CE4ACB">
        <w:t xml:space="preserve"> outcomes</w:t>
      </w:r>
      <w:bookmarkEnd w:id="338"/>
      <w:bookmarkEnd w:id="339"/>
      <w:bookmarkEnd w:id="340"/>
    </w:p>
    <w:p w14:paraId="53CAC6A4" w14:textId="12DDE605" w:rsidR="00B570F3" w:rsidRDefault="00B570F3" w:rsidP="00D73A3C">
      <w:pPr>
        <w:pStyle w:val="BodyText"/>
      </w:pPr>
      <w:r>
        <w:t xml:space="preserve">There is more work to be done to understand </w:t>
      </w:r>
      <w:r w:rsidR="008C4BA4">
        <w:t xml:space="preserve">post-study </w:t>
      </w:r>
      <w:r>
        <w:t xml:space="preserve">outcomes for students undertaking higher education qualifications in the same way we understand VET outcomes. Currently, the Australian Government runs a Graduate Outcomes Survey (GOS), and a Graduate Outcomes Survey – Longitudinal (GOS-L) annually, administered by the Social Research Centre. </w:t>
      </w:r>
    </w:p>
    <w:p w14:paraId="25336CE1" w14:textId="494CEFEA" w:rsidR="00B570F3" w:rsidRDefault="00B570F3" w:rsidP="00D73A3C">
      <w:pPr>
        <w:pStyle w:val="BodyText"/>
      </w:pPr>
      <w:r>
        <w:t xml:space="preserve">The GOS surveys graduates 4 months after graduation about their employment outcomes and further study activities. This includes information about earnings, the occupation they are employed in, and how their skills are being utilised. At August 2025, over 116,000 graduates </w:t>
      </w:r>
      <w:r w:rsidR="00B05B3E">
        <w:t xml:space="preserve">had responded </w:t>
      </w:r>
      <w:sdt>
        <w:sdtPr>
          <w:id w:val="-396353737"/>
          <w:citation/>
        </w:sdtPr>
        <w:sdtContent>
          <w:r>
            <w:fldChar w:fldCharType="begin"/>
          </w:r>
          <w:r>
            <w:instrText xml:space="preserve"> CITATION QIL25 \l 3081 </w:instrText>
          </w:r>
          <w:r>
            <w:fldChar w:fldCharType="separate"/>
          </w:r>
          <w:r w:rsidR="00D52996">
            <w:rPr>
              <w:noProof/>
            </w:rPr>
            <w:t>(QILT, n.d.)</w:t>
          </w:r>
          <w:r>
            <w:fldChar w:fldCharType="end"/>
          </w:r>
        </w:sdtContent>
      </w:sdt>
      <w:r>
        <w:t>. This is supplemented by the GOS-L, which measures medium-term employment outcomes and further study by surveying cohorts from the GOS around 3 years after graduation, with over 40,000 graduates</w:t>
      </w:r>
      <w:r w:rsidR="009768EC">
        <w:t xml:space="preserve"> responding</w:t>
      </w:r>
      <w:r>
        <w:t xml:space="preserve"> at August 2025 </w:t>
      </w:r>
      <w:sdt>
        <w:sdtPr>
          <w:id w:val="-422028672"/>
          <w:citation/>
        </w:sdtPr>
        <w:sdtContent>
          <w:r>
            <w:fldChar w:fldCharType="begin"/>
          </w:r>
          <w:r>
            <w:instrText xml:space="preserve"> CITATION QIL251 \l 3081 </w:instrText>
          </w:r>
          <w:r>
            <w:fldChar w:fldCharType="separate"/>
          </w:r>
          <w:r w:rsidR="00D52996">
            <w:rPr>
              <w:noProof/>
            </w:rPr>
            <w:t>(QILT, n.d.)</w:t>
          </w:r>
          <w:r>
            <w:fldChar w:fldCharType="end"/>
          </w:r>
        </w:sdtContent>
      </w:sdt>
      <w:r>
        <w:t xml:space="preserve">. </w:t>
      </w:r>
    </w:p>
    <w:p w14:paraId="40E4AB69" w14:textId="7BC5FF8E" w:rsidR="00B570F3" w:rsidRDefault="00B570F3" w:rsidP="0005589A">
      <w:pPr>
        <w:pStyle w:val="BodyText"/>
        <w:keepNext/>
        <w:keepLines/>
      </w:pPr>
      <w:r>
        <w:t>The 2023 GOS found that the proportion of domestic graduates employed full-time 4-6 months after graduation had risen slightly over the last year, following a sharper increase in 2022. The full-time employment rates were higher for those completing postgraduate than undergraduate study, though this may partly reflect that some undergraduates (18%) went on to further study</w:t>
      </w:r>
      <w:sdt>
        <w:sdtPr>
          <w:id w:val="1668976671"/>
          <w:citation/>
        </w:sdtPr>
        <w:sdtContent>
          <w:r>
            <w:fldChar w:fldCharType="begin"/>
          </w:r>
          <w:r>
            <w:instrText xml:space="preserve"> CITATION Soc24 \l 3081 </w:instrText>
          </w:r>
          <w:r>
            <w:fldChar w:fldCharType="separate"/>
          </w:r>
          <w:r w:rsidR="00D52996">
            <w:rPr>
              <w:noProof/>
            </w:rPr>
            <w:t xml:space="preserve"> (Social Research Centre, 2024)</w:t>
          </w:r>
          <w:r>
            <w:fldChar w:fldCharType="end"/>
          </w:r>
        </w:sdtContent>
      </w:sdt>
      <w:r>
        <w:t xml:space="preserve">. This was also reflected in results from the 2023 GOS-L, which showed a similar improvement in </w:t>
      </w:r>
      <w:r w:rsidRPr="00B570F3">
        <w:t>medium-term</w:t>
      </w:r>
      <w:r>
        <w:t xml:space="preserve"> outcomes in 2022 and 2023. However, results from the GOS-L reveal it can take some time for graduates to establish themselves in the workforce. The proportion of graduates in full-time employment increases significantly between the GOS and GOS-L – generally by around 20 percentage points </w:t>
      </w:r>
      <w:sdt>
        <w:sdtPr>
          <w:id w:val="1544488600"/>
          <w:citation/>
        </w:sdtPr>
        <w:sdtContent>
          <w:r>
            <w:fldChar w:fldCharType="begin"/>
          </w:r>
          <w:r>
            <w:instrText xml:space="preserve"> CITATION Soc241 \l 3081 </w:instrText>
          </w:r>
          <w:r>
            <w:fldChar w:fldCharType="separate"/>
          </w:r>
          <w:r w:rsidR="00D52996">
            <w:rPr>
              <w:noProof/>
            </w:rPr>
            <w:t>(Social Research Centre, 2024)</w:t>
          </w:r>
          <w:r>
            <w:fldChar w:fldCharType="end"/>
          </w:r>
        </w:sdtContent>
      </w:sdt>
      <w:r>
        <w:t>.</w:t>
      </w:r>
    </w:p>
    <w:p w14:paraId="1F90B36A" w14:textId="000F95A9" w:rsidR="00B570F3" w:rsidRDefault="00B570F3" w:rsidP="00D73A3C">
      <w:pPr>
        <w:pStyle w:val="BodyText"/>
      </w:pPr>
      <w:r w:rsidRPr="00C30258">
        <w:t xml:space="preserve">Skills utilisation is </w:t>
      </w:r>
      <w:r>
        <w:t xml:space="preserve">an important factor to consider in relation to both productivity and return on investment for training. Results from the 2023 GOS-L showed that skills utilisation tended to improve for this cohort as they established themselves in the labour market (that is, between the 2020 GOS and the 2023 GOS-L – noting the potential impact of COVID-19 on this cohort). This was true for all degree types, though it was more pronounced for those with undergraduate degrees and when all employment types were considered </w:t>
      </w:r>
      <w:sdt>
        <w:sdtPr>
          <w:id w:val="226346054"/>
          <w:citation/>
        </w:sdtPr>
        <w:sdtContent>
          <w:r>
            <w:fldChar w:fldCharType="begin"/>
          </w:r>
          <w:r>
            <w:instrText xml:space="preserve"> CITATION Soc241 \l 3081 </w:instrText>
          </w:r>
          <w:r>
            <w:fldChar w:fldCharType="separate"/>
          </w:r>
          <w:r w:rsidR="00D52996">
            <w:rPr>
              <w:noProof/>
            </w:rPr>
            <w:t>(Social Research Centre, 2024)</w:t>
          </w:r>
          <w:r>
            <w:fldChar w:fldCharType="end"/>
          </w:r>
        </w:sdtContent>
      </w:sdt>
      <w:r>
        <w:t>.</w:t>
      </w:r>
    </w:p>
    <w:p w14:paraId="0D3F9BF0" w14:textId="69CE28DA" w:rsidR="00B570F3" w:rsidRPr="00C30258" w:rsidRDefault="001656B3" w:rsidP="001656B3">
      <w:r w:rsidRPr="00366074">
        <w:t>Th</w:t>
      </w:r>
      <w:r>
        <w:t>is work</w:t>
      </w:r>
      <w:r w:rsidRPr="00366074">
        <w:t xml:space="preserve"> also provide</w:t>
      </w:r>
      <w:r w:rsidR="006A25BA">
        <w:t>s</w:t>
      </w:r>
      <w:r>
        <w:t xml:space="preserve"> </w:t>
      </w:r>
      <w:r w:rsidR="00B570F3">
        <w:t xml:space="preserve">data on underemployment, outcomes for different cohorts and demographic groups, insights by study area and institution, further study, and employment characteristics like salary. </w:t>
      </w:r>
    </w:p>
    <w:p w14:paraId="5C4E0307" w14:textId="163F7635" w:rsidR="00B570F3" w:rsidRPr="00821099" w:rsidRDefault="00B570F3" w:rsidP="00D73A3C">
      <w:pPr>
        <w:pStyle w:val="BodyText"/>
      </w:pPr>
      <w:r>
        <w:t>Work is being done to</w:t>
      </w:r>
      <w:r w:rsidRPr="00821099">
        <w:t xml:space="preserve"> explor</w:t>
      </w:r>
      <w:r>
        <w:t>e</w:t>
      </w:r>
      <w:r w:rsidRPr="00821099">
        <w:t xml:space="preserve"> how administrative data could be used to build on the rich findings of more traditional surveys like the GOS and GOS-L, and strengthen the overall evidence base. As outlined in chapter </w:t>
      </w:r>
      <w:r w:rsidR="00BC01AE">
        <w:t>two</w:t>
      </w:r>
      <w:r w:rsidRPr="00821099">
        <w:t>, administrative data can offer broader population coverage and help illuminate outcomes for groups that are often underrepresented in surveys. While it has some limitations – including gaps in key variables and variability in data quality – this project aims to complement survey-based approaches by leveraging the unique strengths of administrative data to deepen and extend existing insights.</w:t>
      </w:r>
    </w:p>
    <w:p w14:paraId="37D71044" w14:textId="5E994DCC" w:rsidR="00B570F3" w:rsidRPr="00B570F3" w:rsidRDefault="00B570F3" w:rsidP="00D73A3C">
      <w:pPr>
        <w:pStyle w:val="BodyText"/>
      </w:pPr>
      <w:r w:rsidRPr="00B570F3">
        <w:fldChar w:fldCharType="begin"/>
      </w:r>
      <w:r w:rsidRPr="00B570F3">
        <w:instrText xml:space="preserve"> REF _Ref208683915 \h </w:instrText>
      </w:r>
      <w:r w:rsidR="00D73A3C">
        <w:instrText xml:space="preserve"> \* MERGEFORMAT </w:instrText>
      </w:r>
      <w:r w:rsidRPr="00B570F3">
        <w:fldChar w:fldCharType="separate"/>
      </w:r>
      <w:r w:rsidR="009E6E1D">
        <w:t xml:space="preserve">Figure </w:t>
      </w:r>
      <w:r w:rsidR="009E6E1D">
        <w:rPr>
          <w:noProof/>
        </w:rPr>
        <w:t>48</w:t>
      </w:r>
      <w:r w:rsidRPr="00B570F3">
        <w:fldChar w:fldCharType="end"/>
      </w:r>
      <w:r w:rsidRPr="00B570F3">
        <w:t xml:space="preserve"> provides an indication of the range of occupations entered by graduates one year after their studies by showing the percentage of graduates working in the three most common occupational groups for each Broad Field of Study. The highest concentration was amongst Education graduates, 72% of whom became School Teachers, with no other occupational group accounting for more than 4%. Engineering and Related Technologies had the second highest concentration of graduates in an occupational group behind Education, with 60% of graduates working as Engineering Professionals. </w:t>
      </w:r>
    </w:p>
    <w:p w14:paraId="566A351D" w14:textId="7E065FF5" w:rsidR="008C2CD0" w:rsidRDefault="00B570F3" w:rsidP="00B570F3">
      <w:pPr>
        <w:pStyle w:val="Caption"/>
      </w:pPr>
      <w:bookmarkStart w:id="341" w:name="_Ref208683915"/>
      <w:bookmarkStart w:id="342" w:name="_Toc211604197"/>
      <w:bookmarkStart w:id="343" w:name="_Toc208925289"/>
      <w:r>
        <w:t xml:space="preserve">Figure </w:t>
      </w:r>
      <w:r w:rsidRPr="00B570F3">
        <w:fldChar w:fldCharType="begin"/>
      </w:r>
      <w:r w:rsidRPr="00B570F3">
        <w:instrText xml:space="preserve"> SEQ Figure \* ARABIC </w:instrText>
      </w:r>
      <w:r w:rsidRPr="00B570F3">
        <w:fldChar w:fldCharType="separate"/>
      </w:r>
      <w:r w:rsidR="009E6E1D">
        <w:rPr>
          <w:noProof/>
        </w:rPr>
        <w:t>48</w:t>
      </w:r>
      <w:r w:rsidRPr="00B570F3">
        <w:fldChar w:fldCharType="end"/>
      </w:r>
      <w:bookmarkEnd w:id="341"/>
      <w:r w:rsidRPr="00B570F3">
        <w:t>: Percentage of graduates employed in the top three most common occupational groups for each field of study one year after graduation</w:t>
      </w:r>
      <w:bookmarkEnd w:id="342"/>
      <w:r w:rsidRPr="00B570F3">
        <w:t xml:space="preserve"> </w:t>
      </w:r>
      <w:bookmarkEnd w:id="343"/>
    </w:p>
    <w:p w14:paraId="6A211544" w14:textId="1182C45A" w:rsidR="00B570F3" w:rsidRDefault="00F16A7E" w:rsidP="00B570F3">
      <w:pPr>
        <w:pStyle w:val="Source"/>
      </w:pPr>
      <w:r w:rsidRPr="00F16A7E">
        <w:rPr>
          <w:noProof/>
        </w:rPr>
        <w:drawing>
          <wp:inline distT="0" distB="0" distL="0" distR="0" wp14:anchorId="509B8D00" wp14:editId="6F0CBE65">
            <wp:extent cx="5948045" cy="5436235"/>
            <wp:effectExtent l="0" t="0" r="0" b="0"/>
            <wp:docPr id="1856209411" name="Picture 4" descr="A bar chart showing the percentage of graduates employed in the top three most common occupation groups for each field of study one year after graduation. Education includes School Teachers, Child Carers and Tertiary Education Teachers. Health shows Midwifery and Nursing Professionals, Health Therapy Professionals and Medical Practition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09411" name="Picture 4" descr="A bar chart showing the percentage of graduates employed in the top three most common occupation groups for each field of study one year after graduation. Education includes School Teachers, Child Carers and Tertiary Education Teachers. Health shows Midwifery and Nursing Professionals, Health Therapy Professionals and Medical Practitioners. "/>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948045" cy="5436235"/>
                    </a:xfrm>
                    <a:prstGeom prst="rect">
                      <a:avLst/>
                    </a:prstGeom>
                    <a:noFill/>
                    <a:ln>
                      <a:noFill/>
                    </a:ln>
                  </pic:spPr>
                </pic:pic>
              </a:graphicData>
            </a:graphic>
          </wp:inline>
        </w:drawing>
      </w:r>
      <w:r w:rsidR="00B570F3">
        <w:t xml:space="preserve">Source: </w:t>
      </w:r>
      <w:r w:rsidR="00357088">
        <w:t>ABS</w:t>
      </w:r>
      <w:r w:rsidR="00790A85">
        <w:t xml:space="preserve"> </w:t>
      </w:r>
      <w:r w:rsidR="00B570F3">
        <w:t>PLIDA</w:t>
      </w:r>
      <w:r w:rsidR="000467AB">
        <w:t>, 2025</w:t>
      </w:r>
      <w:r w:rsidR="00B570F3">
        <w:t>.</w:t>
      </w:r>
    </w:p>
    <w:p w14:paraId="1239B19D" w14:textId="56061A6F" w:rsidR="00B570F3" w:rsidRPr="00B570F3" w:rsidRDefault="00B570F3" w:rsidP="00D73A3C">
      <w:pPr>
        <w:pStyle w:val="BodyText"/>
      </w:pPr>
      <w:r w:rsidRPr="00936AA6">
        <w:t xml:space="preserve">Graduate income from employment increased over time, rising by </w:t>
      </w:r>
      <w:r w:rsidRPr="00B570F3">
        <w:t>34% over the first five years after graduation. Income levels differed significantly across different fields of education</w:t>
      </w:r>
      <w:r w:rsidR="001E0175">
        <w:t xml:space="preserve"> (</w:t>
      </w:r>
      <w:r w:rsidR="001E0175">
        <w:fldChar w:fldCharType="begin"/>
      </w:r>
      <w:r w:rsidR="001E0175">
        <w:instrText xml:space="preserve"> REF _Ref205906237 \h </w:instrText>
      </w:r>
      <w:r w:rsidR="001E0175">
        <w:fldChar w:fldCharType="separate"/>
      </w:r>
      <w:r w:rsidR="009E6E1D">
        <w:t xml:space="preserve">Figure </w:t>
      </w:r>
      <w:r w:rsidR="009E6E1D">
        <w:rPr>
          <w:noProof/>
        </w:rPr>
        <w:t>49</w:t>
      </w:r>
      <w:r w:rsidR="001E0175">
        <w:fldChar w:fldCharType="end"/>
      </w:r>
      <w:r w:rsidR="001E0175">
        <w:t>)</w:t>
      </w:r>
      <w:r w:rsidRPr="00B570F3">
        <w:t xml:space="preserve">. Mining Engineering, Medical Studies, and General Medicine leading in both starting pay and growth. Graduates in fields like Geology and Actuarial Studies saw substantial growth from lower starting incomes. </w:t>
      </w:r>
    </w:p>
    <w:p w14:paraId="25DB6239" w14:textId="6CD633B1" w:rsidR="00171A71" w:rsidRDefault="00B570F3" w:rsidP="00171A71">
      <w:pPr>
        <w:pStyle w:val="Caption"/>
      </w:pPr>
      <w:bookmarkStart w:id="344" w:name="_Ref205906237"/>
      <w:bookmarkStart w:id="345" w:name="_Toc208925287"/>
      <w:bookmarkStart w:id="346" w:name="_Toc211604198"/>
      <w:r>
        <w:t xml:space="preserve">Figure </w:t>
      </w:r>
      <w:r w:rsidRPr="00B570F3">
        <w:fldChar w:fldCharType="begin"/>
      </w:r>
      <w:r w:rsidRPr="00B570F3">
        <w:instrText xml:space="preserve"> SEQ Figure \* ARABIC </w:instrText>
      </w:r>
      <w:r w:rsidRPr="00B570F3">
        <w:fldChar w:fldCharType="separate"/>
      </w:r>
      <w:r w:rsidR="009E6E1D">
        <w:rPr>
          <w:noProof/>
        </w:rPr>
        <w:t>49</w:t>
      </w:r>
      <w:r w:rsidRPr="00B570F3">
        <w:fldChar w:fldCharType="end"/>
      </w:r>
      <w:bookmarkEnd w:id="344"/>
      <w:r w:rsidR="00D24698">
        <w:t>:</w:t>
      </w:r>
      <w:r w:rsidRPr="00B570F3">
        <w:t xml:space="preserve"> Top 30 fields of education with highest median annual income growth between 1-5 years post completion</w:t>
      </w:r>
      <w:bookmarkEnd w:id="345"/>
      <w:bookmarkEnd w:id="346"/>
    </w:p>
    <w:p w14:paraId="3693F492" w14:textId="42028277" w:rsidR="00171A71" w:rsidRDefault="00171A71" w:rsidP="00D26EEF">
      <w:pPr>
        <w:pStyle w:val="Source"/>
      </w:pPr>
      <w:r w:rsidRPr="00171A71">
        <w:rPr>
          <w:noProof/>
        </w:rPr>
        <w:drawing>
          <wp:inline distT="0" distB="0" distL="0" distR="0" wp14:anchorId="21252569" wp14:editId="48099489">
            <wp:extent cx="5947410" cy="4842510"/>
            <wp:effectExtent l="0" t="0" r="0" b="0"/>
            <wp:docPr id="1963030972" name="Picture 7" descr="Figure shows the top 30 fields of education that had the highest median income growth between one and five years post completion. The top three fields of education associated with a relatively high starting median annual income and a high median annual income in year five were Mining Engineering, Medical Studies and General Medicine. Graduates in fields like Geology and Actuarial Studies saw substantial growth from lower starting in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30972" name="Picture 7" descr="Figure shows the top 30 fields of education that had the highest median income growth between one and five years post completion. The top three fields of education associated with a relatively high starting median annual income and a high median annual income in year five were Mining Engineering, Medical Studies and General Medicine. Graduates in fields like Geology and Actuarial Studies saw substantial growth from lower starting incomes."/>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947410" cy="4842510"/>
                    </a:xfrm>
                    <a:prstGeom prst="rect">
                      <a:avLst/>
                    </a:prstGeom>
                    <a:noFill/>
                    <a:ln>
                      <a:noFill/>
                    </a:ln>
                  </pic:spPr>
                </pic:pic>
              </a:graphicData>
            </a:graphic>
          </wp:inline>
        </w:drawing>
      </w:r>
    </w:p>
    <w:p w14:paraId="32088DBE" w14:textId="16EDA9B3" w:rsidR="00B570F3" w:rsidRDefault="00B570F3" w:rsidP="00171A71">
      <w:pPr>
        <w:pStyle w:val="Source"/>
        <w:spacing w:before="0"/>
      </w:pPr>
      <w:r>
        <w:t>Source: A</w:t>
      </w:r>
      <w:r w:rsidR="00BE2551">
        <w:t>BS</w:t>
      </w:r>
      <w:r>
        <w:t>, PLIDA</w:t>
      </w:r>
      <w:r w:rsidR="00C12C08">
        <w:t>, 2025</w:t>
      </w:r>
      <w:r>
        <w:t xml:space="preserve">. </w:t>
      </w:r>
    </w:p>
    <w:p w14:paraId="0D326D12" w14:textId="21C28EA7" w:rsidR="00B570F3" w:rsidRPr="00B570F3" w:rsidRDefault="00B570F3" w:rsidP="00D73A3C">
      <w:pPr>
        <w:pStyle w:val="BodyText"/>
      </w:pPr>
      <w:r w:rsidRPr="00117956">
        <w:t xml:space="preserve">There </w:t>
      </w:r>
      <w:r w:rsidRPr="00B570F3">
        <w:t xml:space="preserve">was a substantial difference in employment earnings between undergraduates and postgraduates, but this varied significantly between fields of study. </w:t>
      </w:r>
      <w:r w:rsidRPr="00B570F3">
        <w:fldChar w:fldCharType="begin"/>
      </w:r>
      <w:r w:rsidRPr="00B570F3">
        <w:instrText xml:space="preserve"> REF _Ref206740935 \h </w:instrText>
      </w:r>
      <w:r w:rsidR="00D73A3C">
        <w:instrText xml:space="preserve"> \* MERGEFORMAT </w:instrText>
      </w:r>
      <w:r w:rsidRPr="00B570F3">
        <w:fldChar w:fldCharType="separate"/>
      </w:r>
      <w:r w:rsidR="009E6E1D">
        <w:t xml:space="preserve">Figure </w:t>
      </w:r>
      <w:r w:rsidR="009E6E1D">
        <w:rPr>
          <w:noProof/>
        </w:rPr>
        <w:t>50</w:t>
      </w:r>
      <w:r w:rsidRPr="00B570F3">
        <w:fldChar w:fldCharType="end"/>
      </w:r>
      <w:r w:rsidRPr="00B570F3">
        <w:t xml:space="preserve"> shows the top 30 fields of education with the largest difference in employment earnings between people with undergraduate and postgraduate degrees. These included a range of business management fields, education, engineering and science related fields.</w:t>
      </w:r>
    </w:p>
    <w:p w14:paraId="628F041C" w14:textId="5F614BFC" w:rsidR="00B570F3" w:rsidRDefault="00B570F3" w:rsidP="00B570F3">
      <w:pPr>
        <w:pStyle w:val="Caption"/>
      </w:pPr>
      <w:bookmarkStart w:id="347" w:name="_Ref206740935"/>
      <w:bookmarkStart w:id="348" w:name="_Toc208925288"/>
      <w:bookmarkStart w:id="349" w:name="_Toc211604199"/>
      <w:r>
        <w:t xml:space="preserve">Figure </w:t>
      </w:r>
      <w:r w:rsidRPr="00B570F3">
        <w:fldChar w:fldCharType="begin"/>
      </w:r>
      <w:r w:rsidRPr="00B570F3">
        <w:instrText xml:space="preserve"> SEQ Figure \* ARABIC </w:instrText>
      </w:r>
      <w:r w:rsidRPr="00B570F3">
        <w:fldChar w:fldCharType="separate"/>
      </w:r>
      <w:r w:rsidR="009E6E1D">
        <w:rPr>
          <w:noProof/>
        </w:rPr>
        <w:t>50</w:t>
      </w:r>
      <w:r w:rsidRPr="00B570F3">
        <w:fldChar w:fldCharType="end"/>
      </w:r>
      <w:bookmarkEnd w:id="347"/>
      <w:r w:rsidRPr="00B570F3">
        <w:t>: Top 30 fields of education with the largest difference in median annual income between undergraduates and postgraduates after five years</w:t>
      </w:r>
      <w:bookmarkEnd w:id="348"/>
      <w:bookmarkEnd w:id="349"/>
    </w:p>
    <w:p w14:paraId="239D8555" w14:textId="476FD7DE" w:rsidR="00B570F3" w:rsidRDefault="00FF2DF8" w:rsidP="00D73A3C">
      <w:pPr>
        <w:pStyle w:val="Source"/>
      </w:pPr>
      <w:r w:rsidRPr="00FF2DF8">
        <w:t xml:space="preserve"> </w:t>
      </w:r>
      <w:r w:rsidRPr="00FF2DF8">
        <w:rPr>
          <w:noProof/>
        </w:rPr>
        <w:drawing>
          <wp:inline distT="0" distB="0" distL="0" distR="0" wp14:anchorId="5940D357" wp14:editId="020DBC31">
            <wp:extent cx="5948045" cy="4815840"/>
            <wp:effectExtent l="0" t="0" r="0" b="3810"/>
            <wp:docPr id="59846495" name="Picture 2" descr="Bar chart showing the top 30 fields of education with the largest difference in median annual income between undergraduates and postgraduates after five years, with Business Management and Education Studies showing the highest g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46495" name="Picture 2" descr="Bar chart showing the top 30 fields of education with the largest difference in median annual income between undergraduates and postgraduates after five years, with Business Management and Education Studies showing the highest gains."/>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948045" cy="4815840"/>
                    </a:xfrm>
                    <a:prstGeom prst="rect">
                      <a:avLst/>
                    </a:prstGeom>
                    <a:noFill/>
                    <a:ln>
                      <a:noFill/>
                    </a:ln>
                  </pic:spPr>
                </pic:pic>
              </a:graphicData>
            </a:graphic>
          </wp:inline>
        </w:drawing>
      </w:r>
      <w:r w:rsidR="00B570F3">
        <w:t xml:space="preserve">Source: </w:t>
      </w:r>
      <w:r w:rsidR="00A55FE1">
        <w:t>ABS</w:t>
      </w:r>
      <w:r w:rsidR="00B570F3">
        <w:t>, PLIDA</w:t>
      </w:r>
      <w:r w:rsidR="00A55FE1">
        <w:t>, 2025</w:t>
      </w:r>
      <w:r w:rsidR="00B570F3">
        <w:t>.</w:t>
      </w:r>
    </w:p>
    <w:p w14:paraId="6D10DB94" w14:textId="77777777" w:rsidR="00B570F3" w:rsidRDefault="00B570F3" w:rsidP="00D73A3C">
      <w:pPr>
        <w:pStyle w:val="BodyText"/>
      </w:pPr>
      <w:r>
        <w:t>Our findings show that completing a higher education qualification leads to improved labour market outcomes. Students can use our findings together with existing data to better understand the potential links between fields of education and occupation and income, which could inform their choices in higher education. Universities can draw on this material to strengthen industry linkages. Industry and policy makers can apply the findings in workforce planning.</w:t>
      </w:r>
    </w:p>
    <w:p w14:paraId="3AC4A478" w14:textId="42982112" w:rsidR="00B570F3" w:rsidRDefault="00B570F3" w:rsidP="00D73A3C">
      <w:pPr>
        <w:pStyle w:val="BodyText"/>
      </w:pPr>
      <w:r w:rsidRPr="00B570F3">
        <w:t xml:space="preserve">This research is the first in an ongoing stream of work on higher education. </w:t>
      </w:r>
      <w:r>
        <w:t>In collaboration with the Australian Centre for Student Equity and Success, f</w:t>
      </w:r>
      <w:r w:rsidRPr="00A67A02">
        <w:t>uture phases of research will focus on cohort analysis, in particular students who are historically underrepresented in higher education, their transition into the labour market and their progression.</w:t>
      </w:r>
    </w:p>
    <w:p w14:paraId="24E6520F" w14:textId="77777777" w:rsidR="00B570F3" w:rsidRPr="00CE4ACB" w:rsidRDefault="00B570F3" w:rsidP="00B570F3">
      <w:pPr>
        <w:pStyle w:val="Heading3"/>
      </w:pPr>
      <w:bookmarkStart w:id="350" w:name="_Toc207613555"/>
      <w:bookmarkStart w:id="351" w:name="_Toc208923428"/>
      <w:bookmarkStart w:id="352" w:name="_Toc211587045"/>
      <w:r>
        <w:t>Pathways between VET and higher education</w:t>
      </w:r>
      <w:bookmarkEnd w:id="350"/>
      <w:bookmarkEnd w:id="351"/>
      <w:bookmarkEnd w:id="352"/>
    </w:p>
    <w:p w14:paraId="32E6C159" w14:textId="7573F4D3" w:rsidR="00B570F3" w:rsidRPr="001B3E64" w:rsidRDefault="00B570F3" w:rsidP="00D73A3C">
      <w:pPr>
        <w:pStyle w:val="BodyText"/>
      </w:pPr>
      <w:r>
        <w:t>Students do</w:t>
      </w:r>
      <w:r w:rsidR="008C4BA4">
        <w:t xml:space="preserve"> no</w:t>
      </w:r>
      <w:r>
        <w:t xml:space="preserve">t exclusively undertake VET or higher education qualifications. </w:t>
      </w:r>
      <w:r w:rsidRPr="001B3E64">
        <w:t xml:space="preserve">Learners move between these systems as their goals, circumstances, and career interests evolve. Understanding the pathways between </w:t>
      </w:r>
      <w:r>
        <w:t>VET</w:t>
      </w:r>
      <w:r w:rsidRPr="001B3E64">
        <w:t xml:space="preserve"> and </w:t>
      </w:r>
      <w:r>
        <w:t>h</w:t>
      </w:r>
      <w:r w:rsidRPr="001B3E64">
        <w:t xml:space="preserve">igher </w:t>
      </w:r>
      <w:r>
        <w:t>e</w:t>
      </w:r>
      <w:r w:rsidRPr="001B3E64">
        <w:t xml:space="preserve">ducation </w:t>
      </w:r>
      <w:r>
        <w:t>–</w:t>
      </w:r>
      <w:r w:rsidRPr="001B3E64">
        <w:t xml:space="preserve"> in both directions</w:t>
      </w:r>
      <w:r>
        <w:t xml:space="preserve"> –</w:t>
      </w:r>
      <w:r w:rsidRPr="001B3E64">
        <w:t xml:space="preserve"> is essential to building a more flexible, inclusive, and responsive tertiary education system. By mapping these transitions, policymakers and providers can </w:t>
      </w:r>
      <w:r w:rsidR="00435AD6">
        <w:t>more effectively</w:t>
      </w:r>
      <w:r w:rsidR="00435AD6" w:rsidRPr="001B3E64">
        <w:t xml:space="preserve"> </w:t>
      </w:r>
      <w:r w:rsidRPr="001B3E64">
        <w:t>support diverse learning journeys, recognise prior learning, and facilitate lifelong education.</w:t>
      </w:r>
    </w:p>
    <w:p w14:paraId="59943A23" w14:textId="2D904201" w:rsidR="00B570F3" w:rsidRPr="007A1C14" w:rsidRDefault="00B570F3" w:rsidP="00D73A3C">
      <w:pPr>
        <w:pStyle w:val="BodyText"/>
      </w:pPr>
      <w:r w:rsidRPr="007A1C14">
        <w:t xml:space="preserve">From a workforce perspective, understanding how individuals move between VET and higher education is critical to supporting upskilling and reskilling in response to changing job demands. </w:t>
      </w:r>
      <w:r>
        <w:t>As explored in the Gen AI capacity study, m</w:t>
      </w:r>
      <w:r w:rsidRPr="007A1C14">
        <w:t xml:space="preserve">any roles </w:t>
      </w:r>
      <w:r>
        <w:t>are increasingly</w:t>
      </w:r>
      <w:r w:rsidRPr="007A1C14">
        <w:t xml:space="preserve"> requir</w:t>
      </w:r>
      <w:r>
        <w:t>ing</w:t>
      </w:r>
      <w:r w:rsidRPr="007A1C14">
        <w:t xml:space="preserve"> hybrid skillsets – combining technical expertise from VET with analytical or managerial capabilities developed through higher education. Insights into these transitions can help </w:t>
      </w:r>
      <w:r>
        <w:t xml:space="preserve">support efforts to </w:t>
      </w:r>
      <w:r w:rsidRPr="007A1C14">
        <w:t>improve labour mobility and ensure that education remains aligned with industry needs.</w:t>
      </w:r>
    </w:p>
    <w:p w14:paraId="26874382" w14:textId="7074C680" w:rsidR="00B570F3" w:rsidRPr="007A1C14" w:rsidRDefault="00B570F3" w:rsidP="00D73A3C">
      <w:pPr>
        <w:pStyle w:val="BodyText"/>
      </w:pPr>
      <w:r w:rsidRPr="007A1C14">
        <w:t xml:space="preserve">Equity is another key consideration. Some cohorts – including First Nations </w:t>
      </w:r>
      <w:r w:rsidR="0006522E">
        <w:t>people</w:t>
      </w:r>
      <w:r w:rsidRPr="007A1C14">
        <w:t xml:space="preserve">, women, </w:t>
      </w:r>
      <w:r w:rsidR="00AC299C">
        <w:t>and people from low socio</w:t>
      </w:r>
      <w:r w:rsidR="000F46A9">
        <w:t>-economic</w:t>
      </w:r>
      <w:r w:rsidRPr="007A1C14">
        <w:t xml:space="preserve"> backgrounds – may be more likely to begin in VET and later transition into higher education</w:t>
      </w:r>
      <w:r w:rsidR="00EE4026">
        <w:t xml:space="preserve"> </w:t>
      </w:r>
      <w:sdt>
        <w:sdtPr>
          <w:id w:val="-279419287"/>
          <w:citation/>
        </w:sdtPr>
        <w:sdtContent>
          <w:r w:rsidR="00EE4026">
            <w:fldChar w:fldCharType="begin"/>
          </w:r>
          <w:r w:rsidR="00EE4026">
            <w:instrText xml:space="preserve"> CITATION Dep231 \l 3081 </w:instrText>
          </w:r>
          <w:r w:rsidR="00EE4026">
            <w:fldChar w:fldCharType="separate"/>
          </w:r>
          <w:r w:rsidR="00D52996">
            <w:rPr>
              <w:noProof/>
            </w:rPr>
            <w:t>(Department of Education, 2023)</w:t>
          </w:r>
          <w:r w:rsidR="00EE4026">
            <w:fldChar w:fldCharType="end"/>
          </w:r>
        </w:sdtContent>
      </w:sdt>
      <w:r w:rsidRPr="007A1C14">
        <w:t>, or face barriers accessing higher education. Data on pathways can inform targeted interventions that improve access, outcomes, and recognition of skills for underrepresented groups.</w:t>
      </w:r>
    </w:p>
    <w:p w14:paraId="2E359032" w14:textId="77777777" w:rsidR="00B570F3" w:rsidRPr="006F2154" w:rsidRDefault="00B570F3" w:rsidP="00D73A3C">
      <w:pPr>
        <w:pStyle w:val="BodyText"/>
      </w:pPr>
      <w:r w:rsidRPr="0020300A">
        <w:t>Finally, understanding these pathways supports better policy and funding decisions. It enables the design of evidence-based instruments that follow the learner across systems, evaluate return on investment, and guide reforms that are grounded in real-world experience</w:t>
      </w:r>
      <w:r>
        <w:t>s</w:t>
      </w:r>
      <w:r w:rsidRPr="0020300A">
        <w:t>. As JSA continues to build integrated data assets, these insights will be vital to shaping a tertiary system that is inclusive, efficient, and fit for the future.</w:t>
      </w:r>
    </w:p>
    <w:p w14:paraId="57E989F5" w14:textId="77777777" w:rsidR="00B570F3" w:rsidRPr="000E6DF1" w:rsidRDefault="00B570F3" w:rsidP="00B570F3">
      <w:pPr>
        <w:pStyle w:val="Heading4"/>
      </w:pPr>
      <w:r w:rsidRPr="000E6DF1">
        <w:t>Exploring VE</w:t>
      </w:r>
      <w:r w:rsidRPr="00F2382C">
        <w:t>T-higher education</w:t>
      </w:r>
      <w:r w:rsidRPr="000E6DF1">
        <w:t xml:space="preserve"> </w:t>
      </w:r>
      <w:r w:rsidRPr="00F2382C">
        <w:t>p</w:t>
      </w:r>
      <w:r w:rsidRPr="000E6DF1">
        <w:t xml:space="preserve">athways </w:t>
      </w:r>
      <w:r w:rsidRPr="00F2382C">
        <w:t>t</w:t>
      </w:r>
      <w:r w:rsidRPr="000E6DF1">
        <w:t xml:space="preserve">hrough </w:t>
      </w:r>
      <w:r w:rsidRPr="00F2382C">
        <w:t>l</w:t>
      </w:r>
      <w:r w:rsidRPr="000E6DF1">
        <w:t xml:space="preserve">ongitudinal </w:t>
      </w:r>
      <w:r w:rsidRPr="00F2382C">
        <w:t>a</w:t>
      </w:r>
      <w:r w:rsidRPr="000E6DF1">
        <w:t xml:space="preserve">dministrative </w:t>
      </w:r>
      <w:r w:rsidRPr="00F2382C">
        <w:t>d</w:t>
      </w:r>
      <w:r w:rsidRPr="000E6DF1">
        <w:t>ata</w:t>
      </w:r>
    </w:p>
    <w:p w14:paraId="355E53E5" w14:textId="47361869" w:rsidR="00B570F3" w:rsidRPr="000E6DF1" w:rsidRDefault="00B570F3" w:rsidP="00D73A3C">
      <w:pPr>
        <w:pStyle w:val="BodyText"/>
      </w:pPr>
      <w:r w:rsidRPr="00D27373">
        <w:t>JSA</w:t>
      </w:r>
      <w:r w:rsidRPr="000E6DF1">
        <w:t xml:space="preserve"> is developing a longitudinal data asset to better understand how Australians navigate post</w:t>
      </w:r>
      <w:r w:rsidR="003512FC">
        <w:noBreakHyphen/>
      </w:r>
      <w:r w:rsidRPr="000E6DF1">
        <w:t xml:space="preserve">school education and transition into the workforce. This project focuses on the pathways between </w:t>
      </w:r>
      <w:r>
        <w:t>VET</w:t>
      </w:r>
      <w:r w:rsidRPr="000E6DF1">
        <w:t xml:space="preserve"> and </w:t>
      </w:r>
      <w:r>
        <w:t>h</w:t>
      </w:r>
      <w:r w:rsidRPr="000E6DF1">
        <w:t xml:space="preserve">igher </w:t>
      </w:r>
      <w:r>
        <w:t>e</w:t>
      </w:r>
      <w:r w:rsidRPr="000E6DF1">
        <w:t>ducation, and how these transitions shape labour market outcomes over time. By linking administrative data from multiple sources</w:t>
      </w:r>
      <w:r>
        <w:t xml:space="preserve"> – </w:t>
      </w:r>
      <w:r w:rsidRPr="000E6DF1">
        <w:t xml:space="preserve">including </w:t>
      </w:r>
      <w:r w:rsidR="004B78D2">
        <w:t>Person Level Integrated Data Asset</w:t>
      </w:r>
      <w:r w:rsidRPr="000E6DF1">
        <w:t xml:space="preserve"> </w:t>
      </w:r>
      <w:r w:rsidR="004B78D2">
        <w:t>(</w:t>
      </w:r>
      <w:r>
        <w:t>PLIDA</w:t>
      </w:r>
      <w:r w:rsidR="004B78D2">
        <w:t>)</w:t>
      </w:r>
      <w:r w:rsidRPr="000E6DF1">
        <w:t>, Total VET Activity</w:t>
      </w:r>
      <w:r>
        <w:rPr>
          <w:rStyle w:val="FootnoteReference"/>
        </w:rPr>
        <w:footnoteReference w:id="18"/>
      </w:r>
      <w:r w:rsidRPr="000E6DF1">
        <w:t>, and higher education records</w:t>
      </w:r>
      <w:r>
        <w:t xml:space="preserve"> – </w:t>
      </w:r>
      <w:r w:rsidRPr="000E6DF1">
        <w:t>this work aims to build a comprehensive, enduring dataset that supports a wide range of policy and research uses.</w:t>
      </w:r>
    </w:p>
    <w:p w14:paraId="7EC55480" w14:textId="3C61625C" w:rsidR="00B570F3" w:rsidRDefault="00B570F3" w:rsidP="00D73A3C">
      <w:pPr>
        <w:pStyle w:val="BodyText"/>
      </w:pPr>
      <w:r w:rsidRPr="000E6DF1">
        <w:t xml:space="preserve">The proof-of-concept phase </w:t>
      </w:r>
      <w:r w:rsidRPr="00680D93">
        <w:t xml:space="preserve">for this project </w:t>
      </w:r>
      <w:r w:rsidRPr="000E6DF1">
        <w:t xml:space="preserve">has demonstrated the potential of administrative data to track individuals across education sectors and into employment. It highlights how people combine VET and </w:t>
      </w:r>
      <w:r w:rsidRPr="00680D93">
        <w:t>higher education</w:t>
      </w:r>
      <w:r w:rsidRPr="000E6DF1">
        <w:t xml:space="preserve"> qualifications, the timing and sequencing of their study, and the occupations they enter. For example, the data reveal common pathways into occupations like nursing, where individuals often complete a VET qualification before progressing to </w:t>
      </w:r>
      <w:r w:rsidR="00673775">
        <w:t>higher education</w:t>
      </w:r>
      <w:r>
        <w:t xml:space="preserve"> in order to become a Registered Nurse</w:t>
      </w:r>
      <w:r w:rsidRPr="000E6DF1">
        <w:t xml:space="preserve">. </w:t>
      </w:r>
      <w:r>
        <w:t xml:space="preserve">For some, this VET qualification is in Nursing, but the next two most common pathways into </w:t>
      </w:r>
      <w:r w:rsidR="00052F7C">
        <w:t>higher education</w:t>
      </w:r>
      <w:r>
        <w:t xml:space="preserve"> are from a VET qualification in Human Welfare Studies and Services, or in Other Health. </w:t>
      </w:r>
    </w:p>
    <w:p w14:paraId="7347AA4F" w14:textId="48D0CD45" w:rsidR="00B570F3" w:rsidRDefault="00B570F3" w:rsidP="00D73A3C">
      <w:pPr>
        <w:pStyle w:val="BodyText"/>
      </w:pPr>
      <w:r>
        <w:fldChar w:fldCharType="begin"/>
      </w:r>
      <w:r>
        <w:instrText xml:space="preserve"> REF _Ref207630911 \h </w:instrText>
      </w:r>
      <w:r w:rsidR="00D73A3C">
        <w:instrText xml:space="preserve"> \* MERGEFORMAT </w:instrText>
      </w:r>
      <w:r>
        <w:fldChar w:fldCharType="separate"/>
      </w:r>
      <w:r w:rsidR="009E6E1D">
        <w:t xml:space="preserve">Figure </w:t>
      </w:r>
      <w:r w:rsidR="009E6E1D">
        <w:rPr>
          <w:noProof/>
        </w:rPr>
        <w:t>51</w:t>
      </w:r>
      <w:r>
        <w:fldChar w:fldCharType="end"/>
      </w:r>
      <w:r>
        <w:t xml:space="preserve"> shows the top ten largest VET pathways by headcount, the flow from those VET fields of education to higher education field of education, and onward into occupations. It demonstrates how this data can illuminate different sources of labour supply. </w:t>
      </w:r>
      <w:r w:rsidRPr="000E6DF1">
        <w:t xml:space="preserve">These insights can inform more flexible and responsive education pathways that </w:t>
      </w:r>
      <w:r w:rsidR="00CB7A10">
        <w:t>are more</w:t>
      </w:r>
      <w:r w:rsidR="00CB7A10" w:rsidRPr="000E6DF1">
        <w:t xml:space="preserve"> </w:t>
      </w:r>
      <w:r w:rsidRPr="000E6DF1">
        <w:t>align</w:t>
      </w:r>
      <w:r w:rsidR="00CB7A10">
        <w:t>ed</w:t>
      </w:r>
      <w:r w:rsidRPr="000E6DF1">
        <w:t xml:space="preserve"> with workforce needs.</w:t>
      </w:r>
      <w:r>
        <w:t xml:space="preserve"> </w:t>
      </w:r>
    </w:p>
    <w:p w14:paraId="1F5D83A0" w14:textId="5E12849C" w:rsidR="00B570F3" w:rsidRPr="00B570F3" w:rsidRDefault="00B570F3" w:rsidP="00B570F3">
      <w:pPr>
        <w:pStyle w:val="Caption"/>
      </w:pPr>
      <w:bookmarkStart w:id="353" w:name="_Ref207630911"/>
      <w:bookmarkStart w:id="354" w:name="_Toc207899229"/>
      <w:bookmarkStart w:id="355" w:name="_Toc211604200"/>
      <w:r>
        <w:t xml:space="preserve">Figure </w:t>
      </w:r>
      <w:r w:rsidRPr="00B570F3">
        <w:fldChar w:fldCharType="begin"/>
      </w:r>
      <w:r w:rsidRPr="00B570F3">
        <w:instrText xml:space="preserve"> SEQ Figure \* ARABIC </w:instrText>
      </w:r>
      <w:r w:rsidRPr="00B570F3">
        <w:fldChar w:fldCharType="separate"/>
      </w:r>
      <w:r w:rsidR="009E6E1D">
        <w:rPr>
          <w:noProof/>
        </w:rPr>
        <w:t>51</w:t>
      </w:r>
      <w:r w:rsidRPr="00B570F3">
        <w:fldChar w:fldCharType="end"/>
      </w:r>
      <w:bookmarkEnd w:id="353"/>
      <w:r w:rsidRPr="00B570F3">
        <w:t xml:space="preserve">: VET to </w:t>
      </w:r>
      <w:r w:rsidR="00D23023">
        <w:t>h</w:t>
      </w:r>
      <w:r w:rsidR="00091DA7">
        <w:t xml:space="preserve">igher </w:t>
      </w:r>
      <w:r w:rsidR="00D23023">
        <w:t>e</w:t>
      </w:r>
      <w:r w:rsidR="00091DA7">
        <w:t>ducation</w:t>
      </w:r>
      <w:r w:rsidRPr="00B570F3">
        <w:t xml:space="preserve"> by field of education and occupation</w:t>
      </w:r>
      <w:bookmarkEnd w:id="354"/>
      <w:bookmarkEnd w:id="355"/>
    </w:p>
    <w:p w14:paraId="51728C2B" w14:textId="3CE2DFEF" w:rsidR="00B570F3" w:rsidRPr="000E6DF1" w:rsidRDefault="00DD2322" w:rsidP="00D73A3C">
      <w:pPr>
        <w:pStyle w:val="Source"/>
      </w:pPr>
      <w:r w:rsidRPr="00DD2322">
        <w:rPr>
          <w:noProof/>
        </w:rPr>
        <w:drawing>
          <wp:inline distT="0" distB="0" distL="0" distR="0" wp14:anchorId="51C30156" wp14:editId="3940BA38">
            <wp:extent cx="5948045" cy="4442851"/>
            <wp:effectExtent l="0" t="0" r="0" b="0"/>
            <wp:docPr id="1118767053" name="Picture 4" descr="A sankey chart showing the completions between VET to Higher Education and their resulting occupations, with the most common pathways between both sectors in nursing and working as a registered nurse post comple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767053" name="Picture 4" descr="A sankey chart showing the completions between VET to Higher Education and their resulting occupations, with the most common pathways between both sectors in nursing and working as a registered nurse post completion. "/>
                    <pic:cNvPicPr>
                      <a:picLocks noChangeAspect="1" noChangeArrowheads="1"/>
                    </pic:cNvPicPr>
                  </pic:nvPicPr>
                  <pic:blipFill>
                    <a:blip r:embed="rId129">
                      <a:extLst>
                        <a:ext uri="{28A0092B-C50C-407E-A947-70E740481C1C}">
                          <a14:useLocalDpi xmlns:a14="http://schemas.microsoft.com/office/drawing/2010/main" val="0"/>
                        </a:ext>
                      </a:extLst>
                    </a:blip>
                    <a:stretch>
                      <a:fillRect/>
                    </a:stretch>
                  </pic:blipFill>
                  <pic:spPr bwMode="auto">
                    <a:xfrm>
                      <a:off x="0" y="0"/>
                      <a:ext cx="5948045" cy="4442851"/>
                    </a:xfrm>
                    <a:prstGeom prst="rect">
                      <a:avLst/>
                    </a:prstGeom>
                    <a:noFill/>
                    <a:ln>
                      <a:noFill/>
                    </a:ln>
                  </pic:spPr>
                </pic:pic>
              </a:graphicData>
            </a:graphic>
          </wp:inline>
        </w:drawing>
      </w:r>
      <w:r w:rsidR="00B570F3">
        <w:t xml:space="preserve">Source: </w:t>
      </w:r>
      <w:r w:rsidR="00853E01">
        <w:t>ABS</w:t>
      </w:r>
      <w:r w:rsidR="00B570F3">
        <w:t>, PLIDA</w:t>
      </w:r>
      <w:r w:rsidR="00C937F5">
        <w:t>, 2025</w:t>
      </w:r>
      <w:r w:rsidR="00B570F3">
        <w:t>.</w:t>
      </w:r>
    </w:p>
    <w:p w14:paraId="3278206B" w14:textId="0CDB0948" w:rsidR="00B570F3" w:rsidRDefault="00B570F3" w:rsidP="00D73A3C">
      <w:pPr>
        <w:pStyle w:val="BodyText"/>
      </w:pPr>
      <w:r>
        <w:t xml:space="preserve">The transition from VET to higher education can be an enabling pathway for cohorts of Australians historically facing barriers to participation. The inverse pathway is actually more common, however. </w:t>
      </w:r>
      <w:r w:rsidRPr="00EE4F4A">
        <w:t xml:space="preserve">The majority of people who completed both VET and higher education </w:t>
      </w:r>
      <w:r>
        <w:t>between 2014 and 2022</w:t>
      </w:r>
      <w:r w:rsidRPr="00EE4F4A">
        <w:t xml:space="preserve"> </w:t>
      </w:r>
      <w:r>
        <w:t xml:space="preserve">actually </w:t>
      </w:r>
      <w:r w:rsidRPr="00EE4F4A">
        <w:t>enrolled in higher education first</w:t>
      </w:r>
      <w:r>
        <w:t xml:space="preserve"> </w:t>
      </w:r>
      <w:r w:rsidRPr="00EE4F4A">
        <w:t>(52%).</w:t>
      </w:r>
      <w:r>
        <w:t xml:space="preserve"> While VET to higher education often seems to be a direct path, students often take a few years after completing higher education to enrol in VET. </w:t>
      </w:r>
      <w:r w:rsidR="007C6606">
        <w:fldChar w:fldCharType="begin"/>
      </w:r>
      <w:r w:rsidR="007C6606">
        <w:instrText xml:space="preserve"> REF _Ref207630962 \h </w:instrText>
      </w:r>
      <w:r w:rsidR="007C6606">
        <w:fldChar w:fldCharType="separate"/>
      </w:r>
      <w:r w:rsidR="009E6E1D">
        <w:t xml:space="preserve">Figure </w:t>
      </w:r>
      <w:r w:rsidR="009E6E1D">
        <w:rPr>
          <w:noProof/>
        </w:rPr>
        <w:t>52</w:t>
      </w:r>
      <w:r w:rsidR="007C6606">
        <w:fldChar w:fldCharType="end"/>
      </w:r>
      <w:r w:rsidR="008401BB">
        <w:fldChar w:fldCharType="begin"/>
      </w:r>
      <w:r w:rsidR="008401BB">
        <w:fldChar w:fldCharType="separate"/>
      </w:r>
      <w:r w:rsidR="008401BB">
        <w:fldChar w:fldCharType="end"/>
      </w:r>
      <w:r w:rsidR="008401BB">
        <w:t xml:space="preserve"> </w:t>
      </w:r>
      <w:r>
        <w:t>shows that, while the majority</w:t>
      </w:r>
      <w:r w:rsidRPr="0089376F">
        <w:t xml:space="preserve"> of students who completed a VET program and went on to enrol in higher ed</w:t>
      </w:r>
      <w:r w:rsidR="007C6606">
        <w:t>ucation</w:t>
      </w:r>
      <w:r w:rsidRPr="0089376F">
        <w:t xml:space="preserve"> did so within </w:t>
      </w:r>
      <w:r>
        <w:t>one</w:t>
      </w:r>
      <w:r w:rsidRPr="0089376F">
        <w:t xml:space="preserve"> year</w:t>
      </w:r>
      <w:r>
        <w:t xml:space="preserve">, </w:t>
      </w:r>
      <w:r w:rsidRPr="007F2526">
        <w:t>those who completed higher ed</w:t>
      </w:r>
      <w:r>
        <w:t>ucation</w:t>
      </w:r>
      <w:r w:rsidRPr="007F2526">
        <w:t xml:space="preserve"> </w:t>
      </w:r>
      <w:r>
        <w:t>first were almost as likely to enrol in VET four years later as within the first</w:t>
      </w:r>
      <w:r w:rsidRPr="007F2526">
        <w:t xml:space="preserve"> year</w:t>
      </w:r>
      <w:r>
        <w:t xml:space="preserve"> – perhaps underscoring a need to reskill or refresh skills over the life course. </w:t>
      </w:r>
    </w:p>
    <w:p w14:paraId="458077B2" w14:textId="276F17A1" w:rsidR="00B570F3" w:rsidRPr="00B570F3" w:rsidRDefault="00B570F3" w:rsidP="00B570F3">
      <w:pPr>
        <w:pStyle w:val="Caption"/>
      </w:pPr>
      <w:bookmarkStart w:id="356" w:name="_Ref207630962"/>
      <w:bookmarkStart w:id="357" w:name="_Toc207899230"/>
      <w:bookmarkStart w:id="358" w:name="_Toc211604201"/>
      <w:r>
        <w:t xml:space="preserve">Figure </w:t>
      </w:r>
      <w:r w:rsidRPr="00B570F3">
        <w:fldChar w:fldCharType="begin"/>
      </w:r>
      <w:r w:rsidRPr="00B570F3">
        <w:instrText xml:space="preserve"> SEQ Figure \* ARABIC </w:instrText>
      </w:r>
      <w:r w:rsidRPr="00B570F3">
        <w:fldChar w:fldCharType="separate"/>
      </w:r>
      <w:r w:rsidR="009E6E1D">
        <w:rPr>
          <w:noProof/>
        </w:rPr>
        <w:t>52</w:t>
      </w:r>
      <w:r w:rsidRPr="00B570F3">
        <w:fldChar w:fldCharType="end"/>
      </w:r>
      <w:bookmarkEnd w:id="356"/>
      <w:r w:rsidRPr="00B570F3">
        <w:t>: Number of years between completing study in one sector and enrolling in the other for student who studied in both VET and higher education between 2014 and 2022</w:t>
      </w:r>
      <w:bookmarkEnd w:id="357"/>
      <w:bookmarkEnd w:id="358"/>
    </w:p>
    <w:p w14:paraId="68B9EAA1" w14:textId="77777777" w:rsidR="00E73054" w:rsidRDefault="008A36BF" w:rsidP="00D73A3C">
      <w:pPr>
        <w:pStyle w:val="Source"/>
      </w:pPr>
      <w:r w:rsidRPr="008A36BF">
        <w:rPr>
          <w:noProof/>
        </w:rPr>
        <w:drawing>
          <wp:inline distT="0" distB="0" distL="0" distR="0" wp14:anchorId="570C9A61" wp14:editId="3DD4E125">
            <wp:extent cx="5947200" cy="3262897"/>
            <wp:effectExtent l="0" t="0" r="0" b="0"/>
            <wp:docPr id="2124763880" name="Picture 5" descr="A visual showing the years between completing in one sector and enrolling in the other, showing  the majority of students who completed a VET program and went on to enrol in higher education did so within one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763880" name="Picture 5" descr="A visual showing the years between completing in one sector and enrolling in the other, showing  the majority of students who completed a VET program and went on to enrol in higher education did so within one year."/>
                    <pic:cNvPicPr>
                      <a:picLocks noChangeAspect="1" noChangeArrowheads="1"/>
                    </pic:cNvPicPr>
                  </pic:nvPicPr>
                  <pic:blipFill>
                    <a:blip r:embed="rId130">
                      <a:extLst>
                        <a:ext uri="{28A0092B-C50C-407E-A947-70E740481C1C}">
                          <a14:useLocalDpi xmlns:a14="http://schemas.microsoft.com/office/drawing/2010/main" val="0"/>
                        </a:ext>
                      </a:extLst>
                    </a:blip>
                    <a:stretch>
                      <a:fillRect/>
                    </a:stretch>
                  </pic:blipFill>
                  <pic:spPr bwMode="auto">
                    <a:xfrm>
                      <a:off x="0" y="0"/>
                      <a:ext cx="5947200" cy="3262897"/>
                    </a:xfrm>
                    <a:prstGeom prst="rect">
                      <a:avLst/>
                    </a:prstGeom>
                    <a:noFill/>
                    <a:ln>
                      <a:noFill/>
                    </a:ln>
                  </pic:spPr>
                </pic:pic>
              </a:graphicData>
            </a:graphic>
          </wp:inline>
        </w:drawing>
      </w:r>
    </w:p>
    <w:p w14:paraId="0996BDD9" w14:textId="58DE71A0" w:rsidR="00B570F3" w:rsidRDefault="00B570F3" w:rsidP="00D73A3C">
      <w:pPr>
        <w:pStyle w:val="Source"/>
      </w:pPr>
      <w:r>
        <w:t xml:space="preserve">Source: </w:t>
      </w:r>
      <w:r w:rsidR="00A91DE2">
        <w:t>ABS</w:t>
      </w:r>
      <w:r>
        <w:t>, PLIDA</w:t>
      </w:r>
      <w:r w:rsidR="00A91DE2">
        <w:t>, 2025</w:t>
      </w:r>
      <w:r>
        <w:t>.</w:t>
      </w:r>
    </w:p>
    <w:p w14:paraId="76FDEB7F" w14:textId="4026B6B5" w:rsidR="00B570F3" w:rsidRPr="000E6DF1" w:rsidRDefault="00B570F3" w:rsidP="00D73A3C">
      <w:pPr>
        <w:pStyle w:val="BodyText"/>
      </w:pPr>
      <w:r w:rsidRPr="000E6DF1">
        <w:t>The project also sheds light on the scale and diversity of VET engagement. While VET touches more individuals than often assumed, many enrolments are in single subjects rather than full programs</w:t>
      </w:r>
      <w:r w:rsidRPr="004C1DEE">
        <w:t xml:space="preserve"> – </w:t>
      </w:r>
      <w:r w:rsidRPr="000E6DF1">
        <w:t xml:space="preserve">suggesting a strong role for micro-skilling and targeted upskilling. This is particularly evident among individuals who complete a </w:t>
      </w:r>
      <w:r w:rsidR="00182CD6">
        <w:t>higher education</w:t>
      </w:r>
      <w:r w:rsidRPr="000E6DF1">
        <w:t xml:space="preserve"> qualification and later return to VET for short courses in areas like first aid or occupational health and safety.</w:t>
      </w:r>
    </w:p>
    <w:p w14:paraId="064053C9" w14:textId="7D4D3C26" w:rsidR="00B570F3" w:rsidRPr="000E6DF1" w:rsidRDefault="00B570F3" w:rsidP="00D73A3C">
      <w:pPr>
        <w:pStyle w:val="BodyText"/>
      </w:pPr>
      <w:r w:rsidRPr="000E6DF1">
        <w:t xml:space="preserve">By analysing enrolment and completion patterns, the project identifies how different cohorts engage with tertiary education. For instance, younger people are more likely to complete </w:t>
      </w:r>
      <w:r w:rsidRPr="001455E9">
        <w:t>higher education</w:t>
      </w:r>
      <w:r w:rsidRPr="000E6DF1">
        <w:t xml:space="preserve"> courses, while older learners often use VET. The data also reveal gender and First Nations differences in completion rates, highlighting areas where targeted support may be needed.</w:t>
      </w:r>
    </w:p>
    <w:p w14:paraId="6CDB082E" w14:textId="77777777" w:rsidR="00B570F3" w:rsidRPr="000E6DF1" w:rsidRDefault="00B570F3" w:rsidP="00D73A3C">
      <w:pPr>
        <w:pStyle w:val="BodyText"/>
      </w:pPr>
      <w:r w:rsidRPr="000E6DF1">
        <w:t>Importantly, the project explores not just education pathways but also labour market outcomes. Using linked tax and occupation data, it examines how qualifications translate into employment, earnings, and occupational mobility. This enables a deeper understanding of the return on investment in education and the role of tertiary education in meeting Australia’s evolving skills needs.</w:t>
      </w:r>
    </w:p>
    <w:p w14:paraId="29D5B576" w14:textId="77777777" w:rsidR="00B570F3" w:rsidRPr="000E6DF1" w:rsidRDefault="00B570F3" w:rsidP="00D73A3C">
      <w:pPr>
        <w:pStyle w:val="BodyText"/>
      </w:pPr>
      <w:r w:rsidRPr="000E6DF1">
        <w:t xml:space="preserve">The next phase will expand the dataset by incorporating additional years of data, new sources (such as health and family data), and more detailed variables. This will enhance the ability </w:t>
      </w:r>
      <w:r w:rsidRPr="00686170">
        <w:t xml:space="preserve">of data users </w:t>
      </w:r>
      <w:r w:rsidRPr="000E6DF1">
        <w:t>to analyse transitions over time, identify barriers to completion, and explore how education and employment intersect across life stages.</w:t>
      </w:r>
    </w:p>
    <w:p w14:paraId="069F4750" w14:textId="77777777" w:rsidR="00B570F3" w:rsidRPr="000E6DF1" w:rsidRDefault="00B570F3" w:rsidP="00D73A3C">
      <w:pPr>
        <w:pStyle w:val="BodyText"/>
      </w:pPr>
      <w:r w:rsidRPr="000E6DF1">
        <w:t>Ultimately, this work will support more informed policy decisions by providing a clearer picture of how Australians move through the education system and into work. It will help identify where pathways are working well, where they could be strengthened, and how education and training can better support individuals and the economy.</w:t>
      </w:r>
    </w:p>
    <w:p w14:paraId="277F7A91" w14:textId="77777777" w:rsidR="00B570F3" w:rsidRPr="00553BEE" w:rsidRDefault="00B570F3" w:rsidP="00B570F3">
      <w:pPr>
        <w:pStyle w:val="Heading2"/>
      </w:pPr>
      <w:bookmarkStart w:id="359" w:name="_Toc207613556"/>
      <w:bookmarkStart w:id="360" w:name="_Toc208923429"/>
      <w:bookmarkStart w:id="361" w:name="_Toc211587046"/>
      <w:r>
        <w:t>Supporting the system to work better together</w:t>
      </w:r>
      <w:bookmarkEnd w:id="359"/>
      <w:bookmarkEnd w:id="360"/>
      <w:bookmarkEnd w:id="361"/>
      <w:r>
        <w:t xml:space="preserve"> </w:t>
      </w:r>
    </w:p>
    <w:p w14:paraId="608DD07C" w14:textId="77777777" w:rsidR="00B570F3" w:rsidRPr="00B570F3" w:rsidRDefault="00B570F3" w:rsidP="00D73A3C">
      <w:pPr>
        <w:pStyle w:val="BodyText"/>
      </w:pPr>
      <w:r w:rsidRPr="00B570F3">
        <w:t>Australia’s tertiary education system has long been fragmented, with structural, cultural, and regulatory barriers limiting learners’ ability to move between education pathways, access relevant training, and adapt to changing labour market demands. This constrains the system’s responsiveness to workforce needs and restricts learners seeking flexible, targeted skill development, especially in emerging and transforming jobs. These challenges are even more acute for cohorts facing systemic disadvantage, who often encounter additional barriers to accessing and navigating the system. Addressing emerging skills challenges such as the net zero transition, digital transformation, and demographic shifts will require more modern, adaptable qualification and training approaches.</w:t>
      </w:r>
    </w:p>
    <w:p w14:paraId="3B840DA6" w14:textId="77777777" w:rsidR="00B570F3" w:rsidRPr="00B570F3" w:rsidRDefault="00B570F3" w:rsidP="00B570F3">
      <w:pPr>
        <w:pStyle w:val="Heading3"/>
        <w:rPr>
          <w:rFonts w:eastAsia="Calibri"/>
        </w:rPr>
      </w:pPr>
      <w:bookmarkStart w:id="362" w:name="_Toc207613557"/>
      <w:bookmarkStart w:id="363" w:name="_Toc208923430"/>
      <w:bookmarkStart w:id="364" w:name="_Toc211587047"/>
      <w:r>
        <w:t>Tertiary harmonisation</w:t>
      </w:r>
      <w:bookmarkEnd w:id="362"/>
      <w:bookmarkEnd w:id="363"/>
      <w:bookmarkEnd w:id="364"/>
    </w:p>
    <w:p w14:paraId="540C62A9" w14:textId="3BBCCCB2" w:rsidR="00B570F3" w:rsidRPr="00B570F3" w:rsidRDefault="00B570F3" w:rsidP="00D73A3C">
      <w:pPr>
        <w:pStyle w:val="BodyText"/>
      </w:pPr>
      <w:r w:rsidRPr="00B570F3">
        <w:t xml:space="preserve">Last year’s Jobs and Skills Report introduced JSA’s work on tertiary harmonisation, framing it as a critical response to these issues. Harmonisation refers to the strategic alignment of the </w:t>
      </w:r>
      <w:r w:rsidR="00D23023">
        <w:t>h</w:t>
      </w:r>
      <w:r w:rsidRPr="00B570F3">
        <w:t xml:space="preserve">igher </w:t>
      </w:r>
      <w:r w:rsidR="00451E31">
        <w:t>e</w:t>
      </w:r>
      <w:r w:rsidRPr="00B570F3">
        <w:t xml:space="preserve">ducation and VET sectors. It involves the effective coordination and cooperation of key system actors, to enable learners to obtain the combination of knowledge, skills and their application needed to be successful in a changing labour market.  </w:t>
      </w:r>
    </w:p>
    <w:p w14:paraId="7A31C090" w14:textId="251A42D9" w:rsidR="00B570F3" w:rsidRPr="00B570F3" w:rsidRDefault="00B570F3" w:rsidP="00D73A3C">
      <w:pPr>
        <w:pStyle w:val="BodyText"/>
      </w:pPr>
      <w:r w:rsidRPr="00B570F3">
        <w:t xml:space="preserve">In February 2025, JSA released the report </w:t>
      </w:r>
      <w:r w:rsidRPr="00ED4661">
        <w:rPr>
          <w:rStyle w:val="Characteritalic"/>
        </w:rPr>
        <w:t>Opportunity and Productivity: Towards a Tertiary Harmonisation Roadmap</w:t>
      </w:r>
      <w:r w:rsidRPr="00B570F3">
        <w:t xml:space="preserve">. The report emphasised the rationale for a harmonised system that is rooted in connectivity, enables learning mobility, and presents clearer pathways between education and employment. It </w:t>
      </w:r>
      <w:r w:rsidR="009345A0" w:rsidRPr="009345A0">
        <w:t>proposed</w:t>
      </w:r>
      <w:r w:rsidRPr="00B570F3">
        <w:t xml:space="preserve"> that realising the benefits of a </w:t>
      </w:r>
      <w:r w:rsidR="009345A0" w:rsidRPr="009345A0">
        <w:t>harmonised</w:t>
      </w:r>
      <w:r w:rsidRPr="00B570F3">
        <w:t xml:space="preserve"> tertiary education system requires </w:t>
      </w:r>
      <w:r w:rsidR="009345A0" w:rsidRPr="009345A0">
        <w:t>coordinated action from key</w:t>
      </w:r>
      <w:r w:rsidRPr="00B570F3">
        <w:t xml:space="preserve"> stakeholders</w:t>
      </w:r>
      <w:r w:rsidR="007B16E8">
        <w:t xml:space="preserve">, </w:t>
      </w:r>
      <w:r w:rsidR="009345A0" w:rsidRPr="009345A0">
        <w:t>referred to as</w:t>
      </w:r>
      <w:r w:rsidRPr="00B570F3">
        <w:t xml:space="preserve"> ‘system </w:t>
      </w:r>
      <w:r w:rsidR="009345A0" w:rsidRPr="009345A0">
        <w:t>actors’</w:t>
      </w:r>
      <w:r w:rsidR="007B16E8">
        <w:t xml:space="preserve">, </w:t>
      </w:r>
      <w:r w:rsidR="009345A0" w:rsidRPr="009345A0">
        <w:t>supported</w:t>
      </w:r>
      <w:r w:rsidRPr="00B570F3">
        <w:t xml:space="preserve"> by </w:t>
      </w:r>
      <w:r w:rsidR="009345A0" w:rsidRPr="009345A0">
        <w:t>a fit-for-purpose</w:t>
      </w:r>
      <w:r w:rsidRPr="00B570F3">
        <w:t xml:space="preserve"> system architecture</w:t>
      </w:r>
      <w:r w:rsidR="009345A0" w:rsidRPr="009345A0">
        <w:t xml:space="preserve"> that enables collaboration and alignment across sectors</w:t>
      </w:r>
    </w:p>
    <w:p w14:paraId="61B545FA" w14:textId="65E793CE" w:rsidR="00B570F3" w:rsidRPr="00B570F3" w:rsidRDefault="00B570F3" w:rsidP="00D73A3C">
      <w:pPr>
        <w:pStyle w:val="BodyText"/>
      </w:pPr>
      <w:r w:rsidRPr="00B570F3">
        <w:t>Early priorities include creating a national credit transfer system, launching an innovation fund to support collaborative qualifications, and encouraging providers to participate in a VET–</w:t>
      </w:r>
      <w:r w:rsidR="00451E31">
        <w:t>h</w:t>
      </w:r>
      <w:r w:rsidRPr="00B570F3">
        <w:t xml:space="preserve">igher </w:t>
      </w:r>
      <w:r w:rsidR="00451E31">
        <w:t>e</w:t>
      </w:r>
      <w:r w:rsidRPr="00B570F3">
        <w:t xml:space="preserve">ducation Collaboration Agenda. The report also calls for reforms to funding models to ensure parity between sectors, and for the development of a </w:t>
      </w:r>
      <w:r w:rsidR="006F233B">
        <w:t>NST</w:t>
      </w:r>
      <w:r w:rsidRPr="00B570F3">
        <w:t xml:space="preserve"> and a reformed Australian Qualifications Framework </w:t>
      </w:r>
      <w:r w:rsidR="00A61891">
        <w:t>(AQF)</w:t>
      </w:r>
      <w:r w:rsidRPr="00B570F3">
        <w:t xml:space="preserve"> to support a shared language and flexible qualification design. Medium-term actions include building a Tertiary Education National Data Asset, developing digital tools to help students and employers navigate the system, and establishing nationally agreed funding principles. These steps aim to create a more connected, efficient, and inclusive tertiary system that better supports learners, employers, and national priorities.</w:t>
      </w:r>
    </w:p>
    <w:p w14:paraId="024A76CB" w14:textId="77777777" w:rsidR="00B570F3" w:rsidRDefault="00B570F3" w:rsidP="00B570F3">
      <w:pPr>
        <w:pStyle w:val="Heading4"/>
      </w:pPr>
      <w:r>
        <w:t>Tertiary harmonisation and skills matching</w:t>
      </w:r>
    </w:p>
    <w:p w14:paraId="7DBBFD98" w14:textId="0756A8C1" w:rsidR="00B570F3" w:rsidRPr="00B570F3" w:rsidRDefault="00B570F3" w:rsidP="00D73A3C">
      <w:pPr>
        <w:pStyle w:val="BodyText"/>
      </w:pPr>
      <w:r>
        <w:t>Tertiary harmonisation</w:t>
      </w:r>
      <w:r w:rsidRPr="00D55839">
        <w:t xml:space="preserve"> also promotes qualification reform, including the development of </w:t>
      </w:r>
      <w:r w:rsidRPr="00884A5C">
        <w:t>nested and hybrid models</w:t>
      </w:r>
      <w:r w:rsidRPr="00D55839">
        <w:t xml:space="preserve"> that allow for more flexible and targeted </w:t>
      </w:r>
      <w:r>
        <w:t>trainin</w:t>
      </w:r>
      <w:r w:rsidRPr="00D55839">
        <w:t>g</w:t>
      </w:r>
      <w:r w:rsidR="002D573A">
        <w:t>. These models</w:t>
      </w:r>
      <w:r>
        <w:t xml:space="preserve"> reflect real</w:t>
      </w:r>
      <w:r w:rsidR="00A72A52">
        <w:noBreakHyphen/>
      </w:r>
      <w:r>
        <w:t xml:space="preserve">world job requirements, </w:t>
      </w:r>
      <w:r w:rsidR="001B7374">
        <w:t>and allow for</w:t>
      </w:r>
      <w:r>
        <w:t xml:space="preserve"> increased </w:t>
      </w:r>
      <w:r w:rsidRPr="00447104">
        <w:t>transparency and recognition of the knowledge, skills and capabilities that learners possess and that employers require</w:t>
      </w:r>
      <w:r w:rsidRPr="00D55839">
        <w:t>. Industry collaboration is central to this effort, with employers increasingly co-investing in training and contributing to the design of programs that blend practical and academic content.</w:t>
      </w:r>
      <w:r w:rsidR="002657C7">
        <w:t xml:space="preserve"> </w:t>
      </w:r>
    </w:p>
    <w:p w14:paraId="2FFCA4BC" w14:textId="7037A3A0" w:rsidR="00B570F3" w:rsidRDefault="00B570F3" w:rsidP="00B55E08">
      <w:pPr>
        <w:pStyle w:val="BodyText"/>
        <w:keepLines/>
      </w:pPr>
      <w:r w:rsidRPr="004A3F1C">
        <w:t>In response to a growing national shortage of systems engineers</w:t>
      </w:r>
      <w:r>
        <w:t xml:space="preserve">, </w:t>
      </w:r>
      <w:r w:rsidRPr="004A3F1C">
        <w:t>the A</w:t>
      </w:r>
      <w:r>
        <w:t>I</w:t>
      </w:r>
      <w:r w:rsidRPr="004A3F1C">
        <w:t xml:space="preserve"> Group Centre for Education and Training partnered with </w:t>
      </w:r>
      <w:r w:rsidR="007766B5">
        <w:t>the</w:t>
      </w:r>
      <w:r w:rsidRPr="004A3F1C">
        <w:t xml:space="preserve"> </w:t>
      </w:r>
      <w:r w:rsidR="00293842" w:rsidRPr="00A819D2">
        <w:t>Royal Melbourne Institute of Technology</w:t>
      </w:r>
      <w:r w:rsidR="00293842">
        <w:t xml:space="preserve"> </w:t>
      </w:r>
      <w:r w:rsidR="003913BB">
        <w:t>(</w:t>
      </w:r>
      <w:r w:rsidRPr="004A3F1C">
        <w:t>RMIT</w:t>
      </w:r>
      <w:r w:rsidR="003913BB">
        <w:t>)</w:t>
      </w:r>
      <w:r w:rsidRPr="004A3F1C">
        <w:t xml:space="preserve"> University and industry stakeholders to co-design a dual qualification pathway</w:t>
      </w:r>
      <w:r>
        <w:t xml:space="preserve"> including an apprenticeship</w:t>
      </w:r>
      <w:r w:rsidRPr="004A3F1C">
        <w:t>. This program enables students to complete an Advanced Diploma of Engineering followed by a Bachelor of Engineering (Mechanical Engineering) (Industry Practice) (Honours), while maintaining paid employment with an industry partner throughout their studies</w:t>
      </w:r>
      <w:r>
        <w:t xml:space="preserve"> and gain important work-relevant skills and experience (</w:t>
      </w:r>
      <w:r>
        <w:fldChar w:fldCharType="begin"/>
      </w:r>
      <w:r>
        <w:instrText xml:space="preserve"> REF _Ref207630996 \h </w:instrText>
      </w:r>
      <w:r w:rsidR="00D73A3C">
        <w:instrText xml:space="preserve"> \* MERGEFORMAT </w:instrText>
      </w:r>
      <w:r>
        <w:fldChar w:fldCharType="separate"/>
      </w:r>
      <w:r w:rsidR="009E6E1D">
        <w:t xml:space="preserve">Figure </w:t>
      </w:r>
      <w:r w:rsidR="009E6E1D">
        <w:rPr>
          <w:noProof/>
        </w:rPr>
        <w:t>53</w:t>
      </w:r>
      <w:r>
        <w:fldChar w:fldCharType="end"/>
      </w:r>
      <w:r>
        <w:t>)</w:t>
      </w:r>
      <w:r w:rsidRPr="004A3F1C">
        <w:t>.</w:t>
      </w:r>
    </w:p>
    <w:p w14:paraId="0A489C16" w14:textId="0A8A117F" w:rsidR="00B570F3" w:rsidRPr="00B570F3" w:rsidRDefault="00B570F3" w:rsidP="00B570F3">
      <w:pPr>
        <w:pStyle w:val="Caption"/>
      </w:pPr>
      <w:bookmarkStart w:id="365" w:name="_Ref207630996"/>
      <w:bookmarkStart w:id="366" w:name="_Toc207899231"/>
      <w:bookmarkStart w:id="367" w:name="_Toc211604202"/>
      <w:r>
        <w:t xml:space="preserve">Figure </w:t>
      </w:r>
      <w:r w:rsidRPr="00B570F3">
        <w:fldChar w:fldCharType="begin"/>
      </w:r>
      <w:r w:rsidRPr="00B570F3">
        <w:instrText xml:space="preserve"> SEQ Figure \* ARABIC </w:instrText>
      </w:r>
      <w:r w:rsidRPr="00B570F3">
        <w:fldChar w:fldCharType="separate"/>
      </w:r>
      <w:r w:rsidR="009E6E1D">
        <w:rPr>
          <w:noProof/>
        </w:rPr>
        <w:t>53</w:t>
      </w:r>
      <w:r w:rsidRPr="00B570F3">
        <w:fldChar w:fldCharType="end"/>
      </w:r>
      <w:bookmarkEnd w:id="365"/>
      <w:r w:rsidRPr="00B570F3">
        <w:t>: Engineering dual qualification – AI Group and RMIT</w:t>
      </w:r>
      <w:bookmarkEnd w:id="366"/>
      <w:bookmarkEnd w:id="367"/>
    </w:p>
    <w:p w14:paraId="1E98BF07" w14:textId="77777777" w:rsidR="00B570F3" w:rsidRDefault="00B570F3" w:rsidP="00B570F3">
      <w:r w:rsidRPr="00B570F3">
        <w:rPr>
          <w:noProof/>
        </w:rPr>
        <w:drawing>
          <wp:inline distT="0" distB="0" distL="0" distR="0" wp14:anchorId="5B259B60" wp14:editId="58DE7B7B">
            <wp:extent cx="5947200" cy="3120619"/>
            <wp:effectExtent l="0" t="0" r="0" b="3810"/>
            <wp:docPr id="229743773" name="Picture 1" descr="A visualisation of the information previously mention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743773" name="Picture 1" descr="A visualisation of the information previously mentioned. "/>
                    <pic:cNvPicPr/>
                  </pic:nvPicPr>
                  <pic:blipFill>
                    <a:blip r:embed="rId131">
                      <a:extLst>
                        <a:ext uri="{28A0092B-C50C-407E-A947-70E740481C1C}">
                          <a14:useLocalDpi xmlns:a14="http://schemas.microsoft.com/office/drawing/2010/main" val="0"/>
                        </a:ext>
                      </a:extLst>
                    </a:blip>
                    <a:stretch>
                      <a:fillRect/>
                    </a:stretch>
                  </pic:blipFill>
                  <pic:spPr>
                    <a:xfrm>
                      <a:off x="0" y="0"/>
                      <a:ext cx="5947200" cy="3120619"/>
                    </a:xfrm>
                    <a:prstGeom prst="rect">
                      <a:avLst/>
                    </a:prstGeom>
                  </pic:spPr>
                </pic:pic>
              </a:graphicData>
            </a:graphic>
          </wp:inline>
        </w:drawing>
      </w:r>
    </w:p>
    <w:p w14:paraId="2FF726B1" w14:textId="77777777" w:rsidR="00045628" w:rsidRPr="00B570F3" w:rsidRDefault="00045628" w:rsidP="00B570F3"/>
    <w:p w14:paraId="64E52A82" w14:textId="6882D839" w:rsidR="00B570F3" w:rsidRPr="004A3F1C" w:rsidRDefault="00B570F3" w:rsidP="00D73A3C">
      <w:pPr>
        <w:pStyle w:val="Source"/>
      </w:pPr>
      <w:r>
        <w:t xml:space="preserve">Source: </w:t>
      </w:r>
      <w:r w:rsidR="00A50308">
        <w:t>JSA</w:t>
      </w:r>
      <w:r>
        <w:t xml:space="preserve">, </w:t>
      </w:r>
      <w:r w:rsidRPr="000A734D">
        <w:t>Opportunity and Productivity: Towards a Tertiary Harmonisation Roadmap</w:t>
      </w:r>
      <w:r w:rsidR="008C4BA4">
        <w:t>.</w:t>
      </w:r>
    </w:p>
    <w:p w14:paraId="469CBB8E" w14:textId="77777777" w:rsidR="00B570F3" w:rsidRPr="004A3F1C" w:rsidRDefault="00B570F3" w:rsidP="00D73A3C">
      <w:pPr>
        <w:pStyle w:val="BodyText"/>
      </w:pPr>
      <w:r w:rsidRPr="004A3F1C">
        <w:t xml:space="preserve">This initiative exemplifies how harmonisation can directly improve skills matching between education and employment. By embedding industry needs into qualification design and delivery, the program ensures that graduates possess both the theoretical knowledge and practical competencies required in the workplace. Employers benefit from a reliable pipeline of job-ready talent with precisely the skills needed to meet current and emerging demands. For students, the model offers financial support, accelerated progression, and </w:t>
      </w:r>
      <w:r>
        <w:t>good employability prospects, d</w:t>
      </w:r>
      <w:r w:rsidRPr="004A3F1C">
        <w:t>emonstrating how harmonised education can efficiently align skills supply with labour market needs.</w:t>
      </w:r>
    </w:p>
    <w:p w14:paraId="05D419DF" w14:textId="77777777" w:rsidR="00B570F3" w:rsidRDefault="00B570F3" w:rsidP="00B570F3">
      <w:pPr>
        <w:pStyle w:val="Heading4"/>
      </w:pPr>
      <w:r>
        <w:t>Tertiary harmonisation and productivity</w:t>
      </w:r>
    </w:p>
    <w:p w14:paraId="34F126FA" w14:textId="77E132A4" w:rsidR="00B570F3" w:rsidRDefault="00B570F3" w:rsidP="00D73A3C">
      <w:pPr>
        <w:pStyle w:val="BodyText"/>
      </w:pPr>
      <w:r>
        <w:t>Tertiary h</w:t>
      </w:r>
      <w:r w:rsidRPr="0071020D">
        <w:t xml:space="preserve">armonisation </w:t>
      </w:r>
      <w:r w:rsidR="006F3A38" w:rsidRPr="006F3A38">
        <w:t>is also a strategic investment in human capital, with</w:t>
      </w:r>
      <w:r>
        <w:t xml:space="preserve"> </w:t>
      </w:r>
      <w:r w:rsidRPr="0071020D">
        <w:t xml:space="preserve">the potential to boost national productivity by increasing the volume and relevance of tertiary-educated workers. </w:t>
      </w:r>
      <w:r w:rsidRPr="006F3A38">
        <w:t>The report</w:t>
      </w:r>
      <w:r>
        <w:t xml:space="preserve"> puts forward a framework for measuring the impact and benefits of tertiary harmonisation </w:t>
      </w:r>
      <w:r w:rsidR="00D73A3C">
        <w:t>(</w:t>
      </w:r>
      <w:r w:rsidR="00D73A3C">
        <w:fldChar w:fldCharType="begin"/>
      </w:r>
      <w:r w:rsidR="00D73A3C">
        <w:instrText xml:space="preserve"> REF _Ref210205827 \h </w:instrText>
      </w:r>
      <w:r w:rsidR="00D73A3C">
        <w:fldChar w:fldCharType="separate"/>
      </w:r>
      <w:r w:rsidR="009E6E1D" w:rsidRPr="0051567B">
        <w:t xml:space="preserve">Figure </w:t>
      </w:r>
      <w:r w:rsidR="009E6E1D">
        <w:rPr>
          <w:noProof/>
        </w:rPr>
        <w:t>54</w:t>
      </w:r>
      <w:r w:rsidR="00D73A3C">
        <w:fldChar w:fldCharType="end"/>
      </w:r>
      <w:r w:rsidR="00D73A3C">
        <w:t>)</w:t>
      </w:r>
      <w:r w:rsidR="008C4BA4">
        <w:t>.</w:t>
      </w:r>
    </w:p>
    <w:p w14:paraId="06C14271" w14:textId="1ACE79B1" w:rsidR="0051567B" w:rsidRPr="0051567B" w:rsidRDefault="0051567B" w:rsidP="0051567B">
      <w:pPr>
        <w:pStyle w:val="Caption"/>
      </w:pPr>
      <w:bookmarkStart w:id="368" w:name="_Ref210205827"/>
      <w:bookmarkStart w:id="369" w:name="_Ref210205823"/>
      <w:bookmarkStart w:id="370" w:name="_Toc211604203"/>
      <w:r w:rsidRPr="0051567B">
        <w:t xml:space="preserve">Figure </w:t>
      </w:r>
      <w:r w:rsidRPr="0051567B">
        <w:fldChar w:fldCharType="begin"/>
      </w:r>
      <w:r w:rsidRPr="0051567B">
        <w:instrText xml:space="preserve"> SEQ Figure \* ARABIC </w:instrText>
      </w:r>
      <w:r w:rsidRPr="0051567B">
        <w:fldChar w:fldCharType="separate"/>
      </w:r>
      <w:r w:rsidR="009E6E1D">
        <w:rPr>
          <w:noProof/>
        </w:rPr>
        <w:t>54</w:t>
      </w:r>
      <w:r w:rsidRPr="0051567B">
        <w:fldChar w:fldCharType="end"/>
      </w:r>
      <w:bookmarkEnd w:id="368"/>
      <w:r w:rsidRPr="0051567B">
        <w:t>: Linking productivity and tertiary harmonisation: impacts and benefits</w:t>
      </w:r>
      <w:bookmarkEnd w:id="369"/>
      <w:bookmarkEnd w:id="370"/>
    </w:p>
    <w:p w14:paraId="6D931739" w14:textId="10407AF4" w:rsidR="0051567B" w:rsidRDefault="00552794" w:rsidP="00BF5C04">
      <w:r w:rsidRPr="00552794">
        <w:rPr>
          <w:noProof/>
        </w:rPr>
        <w:drawing>
          <wp:inline distT="0" distB="0" distL="0" distR="0" wp14:anchorId="0C265BC2" wp14:editId="05D80C09">
            <wp:extent cx="5948045" cy="3721875"/>
            <wp:effectExtent l="0" t="0" r="0" b="0"/>
            <wp:docPr id="590314155" name="Picture 6" descr="A diagram illustrating the cascading impacts of tertiary harmonisation. It begins with individual-level benefits such as maximised human capital and better job matching, progressing to shared benefits like higher wages and job satisfaction, and culminating in economy-wide outcomes including increased GDP, reduced unemployment, and improved productivity. The diagram is structured in tiers, showing how benefits for workers and employers lead to broader national g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314155" name="Picture 6" descr="A diagram illustrating the cascading impacts of tertiary harmonisation. It begins with individual-level benefits such as maximised human capital and better job matching, progressing to shared benefits like higher wages and job satisfaction, and culminating in economy-wide outcomes including increased GDP, reduced unemployment, and improved productivity. The diagram is structured in tiers, showing how benefits for workers and employers lead to broader national gains."/>
                    <pic:cNvPicPr>
                      <a:picLocks noChangeAspect="1" noChangeArrowheads="1"/>
                    </pic:cNvPicPr>
                  </pic:nvPicPr>
                  <pic:blipFill>
                    <a:blip r:embed="rId132">
                      <a:extLst>
                        <a:ext uri="{28A0092B-C50C-407E-A947-70E740481C1C}">
                          <a14:useLocalDpi xmlns:a14="http://schemas.microsoft.com/office/drawing/2010/main" val="0"/>
                        </a:ext>
                      </a:extLst>
                    </a:blip>
                    <a:stretch>
                      <a:fillRect/>
                    </a:stretch>
                  </pic:blipFill>
                  <pic:spPr bwMode="auto">
                    <a:xfrm>
                      <a:off x="0" y="0"/>
                      <a:ext cx="5948045" cy="3721875"/>
                    </a:xfrm>
                    <a:prstGeom prst="rect">
                      <a:avLst/>
                    </a:prstGeom>
                    <a:noFill/>
                    <a:ln>
                      <a:noFill/>
                    </a:ln>
                  </pic:spPr>
                </pic:pic>
              </a:graphicData>
            </a:graphic>
          </wp:inline>
        </w:drawing>
      </w:r>
    </w:p>
    <w:p w14:paraId="45C3CE1E" w14:textId="5DE27C23" w:rsidR="00AB14AD" w:rsidRDefault="00B570F3" w:rsidP="00D73A3C">
      <w:pPr>
        <w:pStyle w:val="BodyText"/>
      </w:pPr>
      <w:r w:rsidRPr="00A06B0F">
        <w:t>The central</w:t>
      </w:r>
      <w:r w:rsidRPr="00B570F3">
        <w:t xml:space="preserve"> economic argument for a harmonised tertiary education system is that by making both VET and </w:t>
      </w:r>
      <w:r w:rsidR="009866CB">
        <w:t>h</w:t>
      </w:r>
      <w:r w:rsidRPr="00B570F3">
        <w:t xml:space="preserve">igher </w:t>
      </w:r>
      <w:r w:rsidR="009866CB">
        <w:t>e</w:t>
      </w:r>
      <w:r w:rsidRPr="00B570F3">
        <w:t xml:space="preserve">ducation simultaneously accessible to individuals, school leavers and workers will be able to more readily obtain the skills they need from either part of the system. Industry will be better positioned to obtain the workforce skills they need. A more harmonised system will provide greater transparency of the knowledge, skills and capabilities that workers possess, and that employers need from VET and </w:t>
      </w:r>
      <w:r w:rsidR="009866CB">
        <w:t>h</w:t>
      </w:r>
      <w:r w:rsidRPr="00B570F3">
        <w:t xml:space="preserve">igher </w:t>
      </w:r>
      <w:r w:rsidR="009866CB">
        <w:t>e</w:t>
      </w:r>
      <w:r w:rsidRPr="00B570F3">
        <w:t xml:space="preserve">ducation. </w:t>
      </w:r>
    </w:p>
    <w:p w14:paraId="227109AE" w14:textId="6DA961DF" w:rsidR="00B570F3" w:rsidRPr="00B570F3" w:rsidRDefault="008F3462" w:rsidP="00D939BB">
      <w:pPr>
        <w:pStyle w:val="BodyText"/>
      </w:pPr>
      <w:r w:rsidRPr="008F3462">
        <w:t xml:space="preserve">A </w:t>
      </w:r>
      <w:r w:rsidR="00051393">
        <w:t>NST</w:t>
      </w:r>
      <w:r w:rsidRPr="008F3462">
        <w:t xml:space="preserve"> mapped onto both VET and </w:t>
      </w:r>
      <w:r w:rsidR="009866CB">
        <w:t>h</w:t>
      </w:r>
      <w:r w:rsidRPr="008F3462">
        <w:t xml:space="preserve">igher </w:t>
      </w:r>
      <w:r w:rsidR="009866CB">
        <w:t>e</w:t>
      </w:r>
      <w:r w:rsidRPr="008F3462">
        <w:t xml:space="preserve">ducation credentials would </w:t>
      </w:r>
      <w:r w:rsidR="006F0416">
        <w:t>more effectively</w:t>
      </w:r>
      <w:r w:rsidR="006F0416" w:rsidRPr="008F3462">
        <w:t xml:space="preserve"> </w:t>
      </w:r>
      <w:r w:rsidR="00817FAA">
        <w:t>connect</w:t>
      </w:r>
      <w:r w:rsidR="00817FAA" w:rsidRPr="008F3462">
        <w:t xml:space="preserve"> </w:t>
      </w:r>
      <w:r w:rsidRPr="008F3462">
        <w:t xml:space="preserve">people </w:t>
      </w:r>
      <w:r w:rsidR="00817FAA">
        <w:t>with</w:t>
      </w:r>
      <w:r w:rsidRPr="008F3462">
        <w:t xml:space="preserve"> jobs. This would lead to fewer skills shortages and higher productivity, in turn leading to higher </w:t>
      </w:r>
      <w:r w:rsidR="00F47777" w:rsidRPr="008F3462">
        <w:t>wages.</w:t>
      </w:r>
      <w:r w:rsidR="00F47777" w:rsidRPr="00B570F3">
        <w:t xml:space="preserve"> It</w:t>
      </w:r>
      <w:r w:rsidR="00B570F3" w:rsidRPr="00B570F3">
        <w:t xml:space="preserve"> is through this that a more connected and holistic tertiary education system would lower the </w:t>
      </w:r>
      <w:r w:rsidR="00002B6A">
        <w:t>N</w:t>
      </w:r>
      <w:r w:rsidR="00B570F3" w:rsidRPr="00B570F3">
        <w:t>on-</w:t>
      </w:r>
      <w:r w:rsidR="00002B6A">
        <w:t>A</w:t>
      </w:r>
      <w:r w:rsidR="00B570F3" w:rsidRPr="00B570F3">
        <w:t xml:space="preserve">ccelerating </w:t>
      </w:r>
      <w:r w:rsidR="00002B6A">
        <w:t>I</w:t>
      </w:r>
      <w:r w:rsidR="00B570F3" w:rsidRPr="00B570F3">
        <w:t xml:space="preserve">nflation </w:t>
      </w:r>
      <w:r w:rsidR="00002B6A">
        <w:t>R</w:t>
      </w:r>
      <w:r w:rsidR="00B570F3" w:rsidRPr="00B570F3">
        <w:t xml:space="preserve">ate of </w:t>
      </w:r>
      <w:r w:rsidR="00002B6A">
        <w:t>U</w:t>
      </w:r>
      <w:r w:rsidR="00B570F3" w:rsidRPr="00B570F3">
        <w:t>nemployment (NAIRU) - that is, a lower level of unemployment consistent with stable inflation.</w:t>
      </w:r>
    </w:p>
    <w:p w14:paraId="31A9B3D7" w14:textId="77777777" w:rsidR="00A516EE" w:rsidRPr="00A516EE" w:rsidRDefault="00A516EE" w:rsidP="00D939BB">
      <w:pPr>
        <w:pStyle w:val="BodyText"/>
      </w:pPr>
      <w:r w:rsidRPr="00A516EE">
        <w:t>With higher labour productivity, the benefits of tertiary harmonisation should also lead to higher levels of output (GDP) – both in aggregate, and on a per capita basis – with the benefits of higher productivity also spilling over into the rest of the economy via multiplier effects, including those that arise from higher real wages.</w:t>
      </w:r>
    </w:p>
    <w:p w14:paraId="782A2420" w14:textId="77777777" w:rsidR="00B570F3" w:rsidRDefault="00B570F3" w:rsidP="00D73A3C">
      <w:pPr>
        <w:pStyle w:val="Heading5"/>
      </w:pPr>
      <w:r>
        <w:t>Supporting the system to work better together</w:t>
      </w:r>
    </w:p>
    <w:p w14:paraId="3C720672" w14:textId="4ADE84BC" w:rsidR="00B86012" w:rsidRPr="00B86012" w:rsidRDefault="00B86012" w:rsidP="00D939BB">
      <w:pPr>
        <w:pStyle w:val="BodyText"/>
      </w:pPr>
      <w:bookmarkStart w:id="371" w:name="_Toc207613558"/>
      <w:bookmarkStart w:id="372" w:name="_Toc208923431"/>
      <w:r w:rsidRPr="00B86012">
        <w:t>To enable sustained progress, the Australian Government has announced the establishment of a new Tertiary System Advisory Council, led by ATEC, to help drive tertiary harmonisation. This governance structure will include representatives from the Australian Government, state and territory governments, the VET sector, higher education,</w:t>
      </w:r>
      <w:r w:rsidR="00FF0B9B">
        <w:t xml:space="preserve"> </w:t>
      </w:r>
      <w:r w:rsidRPr="00B86012">
        <w:t xml:space="preserve">unions and employers. </w:t>
      </w:r>
    </w:p>
    <w:p w14:paraId="629E45BB" w14:textId="77777777" w:rsidR="00B570F3" w:rsidRPr="00CE4ACB" w:rsidRDefault="00B570F3" w:rsidP="00B570F3">
      <w:pPr>
        <w:pStyle w:val="Heading3"/>
      </w:pPr>
      <w:bookmarkStart w:id="373" w:name="_Toc211587048"/>
      <w:r w:rsidRPr="00CE4ACB">
        <w:t>National Skills Taxonomy</w:t>
      </w:r>
      <w:bookmarkEnd w:id="371"/>
      <w:bookmarkEnd w:id="372"/>
      <w:bookmarkEnd w:id="373"/>
    </w:p>
    <w:p w14:paraId="6CE60B5F" w14:textId="3E8D4666" w:rsidR="00B570F3" w:rsidRPr="00B570F3" w:rsidRDefault="00B570F3" w:rsidP="00B55E08">
      <w:pPr>
        <w:pStyle w:val="BodyText"/>
        <w:keepLines/>
      </w:pPr>
      <w:r w:rsidRPr="00A048F3">
        <w:t xml:space="preserve">Over the past year, JSA has progressed work on the NST, a key enabler of reform and a foundational element in advancing tertiary system harmonisation. The NST </w:t>
      </w:r>
      <w:r w:rsidRPr="00B570F3">
        <w:t xml:space="preserve">is intended to provide a shared, evidence-based framework for defining and applying skills – a ‘common language’ that supports more cohesive collaboration across education, training, industry, and employment. Its implementation creates opportunities </w:t>
      </w:r>
      <w:r w:rsidR="00F25184">
        <w:t xml:space="preserve">to </w:t>
      </w:r>
      <w:r w:rsidRPr="00B570F3">
        <w:t xml:space="preserve">improve mobility across sectors, helping simplify educational pathways for learners at all stages by reducing system complexity and supporting more flexible, responsive learning options. </w:t>
      </w:r>
    </w:p>
    <w:p w14:paraId="504F1FB1" w14:textId="36CD6432" w:rsidR="00B570F3" w:rsidRPr="00B570F3" w:rsidRDefault="00B570F3" w:rsidP="00D73A3C">
      <w:pPr>
        <w:pStyle w:val="BodyText"/>
      </w:pPr>
      <w:r w:rsidRPr="00154ACA">
        <w:t>The NST is being developed through a convergence of data-driven techniques and extensive consultation with industry, education,</w:t>
      </w:r>
      <w:r w:rsidRPr="00B570F3">
        <w:t xml:space="preserve"> JSCs, and government stakeholders. Central to this work is a skills-first approach, which prioritises the value of skills over how they were a</w:t>
      </w:r>
      <w:r w:rsidR="000D77D0">
        <w:t>c</w:t>
      </w:r>
      <w:r w:rsidRPr="00B570F3">
        <w:t>quired, reflecting a shift towards more flexible and responsive workforce development.</w:t>
      </w:r>
    </w:p>
    <w:p w14:paraId="067F9D99" w14:textId="0D911E25" w:rsidR="00B570F3" w:rsidRPr="00B570F3" w:rsidRDefault="00B570F3" w:rsidP="00D73A3C">
      <w:pPr>
        <w:pStyle w:val="BodyText"/>
      </w:pPr>
      <w:r w:rsidRPr="00884A5C">
        <w:t>A shared understanding of skills and their application enables more consistent workforce analysis, improving labour market insights and informing targeted policy. Defining skills</w:t>
      </w:r>
      <w:r w:rsidR="000D77D0">
        <w:t xml:space="preserve"> </w:t>
      </w:r>
      <w:r w:rsidRPr="00B570F3">
        <w:t>in practical contexts strengthens links between learning and employment, supports career mobility through transferable skills, and promotes productivity, inclusion, and lifelong learning.</w:t>
      </w:r>
    </w:p>
    <w:p w14:paraId="68CDB751" w14:textId="77777777" w:rsidR="00B570F3" w:rsidRDefault="00B570F3" w:rsidP="008F06FF">
      <w:pPr>
        <w:pStyle w:val="Heading4"/>
      </w:pPr>
      <w:r>
        <w:t>Consultation outcomes</w:t>
      </w:r>
    </w:p>
    <w:p w14:paraId="36FE9C3B" w14:textId="77777777" w:rsidR="00B570F3" w:rsidRPr="00B570F3" w:rsidRDefault="00B570F3" w:rsidP="00D73A3C">
      <w:pPr>
        <w:pStyle w:val="BodyText"/>
      </w:pPr>
      <w:r>
        <w:t>From late June to early August 2024, JSA undertook a public consultation process to inform the development of the NST. In addition, JSA held virtual and in-person workshops and interviews to gather feedback from stakeholders. The consultation process</w:t>
      </w:r>
      <w:r w:rsidRPr="00B570F3">
        <w:t xml:space="preserve"> drew strong and diverse engagement across stakeholder groups (engaging 443 stakeholders across sectors), highlighting widespread interest in developing a more coherent and usable national framework for skills. Key stakeholder groups included Australian and state and territory government agencies, JSCs, universities, VET providers, unions, employers and industry peak bodies. The consultation also drew on the expertise of skills advisors, researchers, consultants, and technical experts. </w:t>
      </w:r>
    </w:p>
    <w:p w14:paraId="60BC5C4C" w14:textId="77777777" w:rsidR="00B570F3" w:rsidRDefault="00B570F3" w:rsidP="00D73A3C">
      <w:pPr>
        <w:pStyle w:val="BodyText"/>
      </w:pPr>
      <w:r w:rsidRPr="00DC6C2F">
        <w:t>Feedback</w:t>
      </w:r>
      <w:r>
        <w:t xml:space="preserve"> </w:t>
      </w:r>
      <w:r w:rsidRPr="00DC6C2F">
        <w:t xml:space="preserve">underscored both the potential value of the NST and the complexity of its implementation. </w:t>
      </w:r>
      <w:r>
        <w:t>M</w:t>
      </w:r>
      <w:r w:rsidRPr="00DC6C2F">
        <w:t>ajor themes that emerged</w:t>
      </w:r>
      <w:r>
        <w:t xml:space="preserve"> focused on the </w:t>
      </w:r>
      <w:r w:rsidRPr="00DC6C2F">
        <w:t>NST’s purpose, design, governance, and its role in supporting broader education, workforce, and policy objectives</w:t>
      </w:r>
      <w:r>
        <w:t>:</w:t>
      </w:r>
    </w:p>
    <w:p w14:paraId="352DB9C9" w14:textId="77777777" w:rsidR="00B570F3" w:rsidRPr="00B570F3" w:rsidRDefault="00B570F3" w:rsidP="00266731">
      <w:pPr>
        <w:pStyle w:val="ListBullet"/>
      </w:pPr>
      <w:r w:rsidRPr="00266731">
        <w:rPr>
          <w:rStyle w:val="Characterbold"/>
        </w:rPr>
        <w:t>Stakeholders are open to the development of an NST</w:t>
      </w:r>
      <w:r w:rsidRPr="00B570F3">
        <w:t>. There was broad agreement among stakeholders on the need for a common language of skills, and to address issues relating to fragmentation, outdated content, and usability in existing taxonomies.</w:t>
      </w:r>
    </w:p>
    <w:p w14:paraId="363D1642" w14:textId="77777777" w:rsidR="00B570F3" w:rsidRPr="00B570F3" w:rsidRDefault="00B570F3" w:rsidP="00266731">
      <w:pPr>
        <w:pStyle w:val="ListBullet"/>
      </w:pPr>
      <w:r w:rsidRPr="00266731">
        <w:rPr>
          <w:rStyle w:val="Characterbold"/>
        </w:rPr>
        <w:t>Greater clarity on the direction for the NST is needed.</w:t>
      </w:r>
      <w:r w:rsidRPr="00B570F3">
        <w:t xml:space="preserve"> The draft vision for the NST was broadly supported but seen as needing refinement – with stakeholders calling for a clearer articulation of the NST’s purpose and objectives. Key principles such as being dynamic, interoperable, and accessible were widely endorsed, and stakeholders also emphasised the importance of equity, lifelong learning, and broader societal outcomes in the vision.</w:t>
      </w:r>
    </w:p>
    <w:p w14:paraId="608BAB54" w14:textId="77777777" w:rsidR="00B570F3" w:rsidRPr="00B570F3" w:rsidRDefault="00B570F3" w:rsidP="00B55E08">
      <w:pPr>
        <w:pStyle w:val="ListBullet"/>
        <w:keepLines/>
        <w:ind w:left="357" w:hanging="357"/>
      </w:pPr>
      <w:r w:rsidRPr="00266731">
        <w:rPr>
          <w:rStyle w:val="Characterbold"/>
        </w:rPr>
        <w:t>Value from identified use cases cannot be delivered by an NST alone.</w:t>
      </w:r>
      <w:r w:rsidRPr="00B570F3">
        <w:t xml:space="preserve"> Stakeholders identified a wide range of potential applications for the NST, including career planning, course development, credit recognition and recognition of prior learning, workforce planning, skills-first hiring, labour market analysis, skilled migration, migrant skills recognition, and industrial relations and skills policy. However, they stressed that the NST alone cannot deliver these outcomes. Complementary reforms, updates to tertiary education frameworks, and institutional process changes are required to realise the full value of these use cases.</w:t>
      </w:r>
    </w:p>
    <w:p w14:paraId="6938AF0C" w14:textId="397ADC52" w:rsidR="00B570F3" w:rsidRPr="00B570F3" w:rsidRDefault="00B570F3" w:rsidP="00266731">
      <w:pPr>
        <w:pStyle w:val="ListBullet"/>
      </w:pPr>
      <w:r w:rsidRPr="00266731">
        <w:rPr>
          <w:rStyle w:val="Characterbold"/>
        </w:rPr>
        <w:t>Design considerations will influence potential adoption and use.</w:t>
      </w:r>
      <w:r w:rsidRPr="00B570F3">
        <w:t xml:space="preserve"> Effective design of the NST was seen as essential. Feedback noted that the NST should be designed for flexibility and integration, enabling alignment with existing frameworks and employer systems. </w:t>
      </w:r>
    </w:p>
    <w:p w14:paraId="3EA05107" w14:textId="7C337FE5" w:rsidR="00B570F3" w:rsidRPr="00B570F3" w:rsidRDefault="00B570F3" w:rsidP="00266731">
      <w:pPr>
        <w:pStyle w:val="ListBullet"/>
      </w:pPr>
      <w:r w:rsidRPr="00266731">
        <w:rPr>
          <w:rStyle w:val="Characterbold"/>
        </w:rPr>
        <w:t>Successful implementation requires a staged and iterative approach.</w:t>
      </w:r>
      <w:r w:rsidRPr="00B570F3">
        <w:t xml:space="preserve"> Stakeholders strongly advised against a rushed rollout. They recommended a phased implementation that begins with a clear, shared definition of “skill” and builds iteratively through stakeholder engagement and user testing. The NST should be developed in alignment with ongoing reforms (e.g. </w:t>
      </w:r>
      <w:r w:rsidR="00A61891">
        <w:t>AQF</w:t>
      </w:r>
      <w:r w:rsidRPr="00B570F3">
        <w:t>, ANZSCO, VET reform) to manage dependencies and avoid reform fatigue. Governance should be inclusive and tripartite. A flexible update cycle combining formal reviews and demand-led changes was also recommended.</w:t>
      </w:r>
    </w:p>
    <w:p w14:paraId="27514213" w14:textId="77777777" w:rsidR="00B570F3" w:rsidRPr="00B570F3" w:rsidRDefault="00B570F3" w:rsidP="00B570F3">
      <w:pPr>
        <w:pStyle w:val="Heading2"/>
      </w:pPr>
      <w:bookmarkStart w:id="374" w:name="_Toc207613559"/>
      <w:bookmarkStart w:id="375" w:name="_Toc208923432"/>
      <w:bookmarkStart w:id="376" w:name="_Toc211587049"/>
      <w:r w:rsidRPr="00B570F3">
        <w:t>The skilled migration system</w:t>
      </w:r>
      <w:bookmarkEnd w:id="374"/>
      <w:bookmarkEnd w:id="375"/>
      <w:bookmarkEnd w:id="376"/>
    </w:p>
    <w:p w14:paraId="7360A625" w14:textId="77777777" w:rsidR="00B570F3" w:rsidRPr="00B570F3" w:rsidRDefault="00B570F3" w:rsidP="00266731">
      <w:pPr>
        <w:pStyle w:val="BodyText"/>
      </w:pPr>
      <w:r w:rsidRPr="00EC1B72">
        <w:t xml:space="preserve">Australia’s </w:t>
      </w:r>
      <w:r w:rsidRPr="00B570F3">
        <w:t>skilled migration system plays a role in complementing the domestic skills system by addressing immediate skill shortages and supporting long-term prosperity. While the domestic education and training system builds foundational capabilities, skilled migration provides a flexible mechanism to fill gaps that cannot be met quickly or sufficiently through local supply. It also supports the ongoing development of Australia’s human capital and innovation through the permanent skilled migration program.</w:t>
      </w:r>
    </w:p>
    <w:p w14:paraId="5DD2D213" w14:textId="77777777" w:rsidR="00B570F3" w:rsidRPr="00B570F3" w:rsidRDefault="00B570F3" w:rsidP="00266731">
      <w:pPr>
        <w:pStyle w:val="BodyText"/>
      </w:pPr>
      <w:r w:rsidRPr="00160D88">
        <w:t xml:space="preserve">Following the </w:t>
      </w:r>
      <w:r w:rsidRPr="00B570F3">
        <w:t xml:space="preserve">Migration Review, the Australian Government’s </w:t>
      </w:r>
      <w:r w:rsidRPr="0004316C">
        <w:rPr>
          <w:rStyle w:val="Characteritalic"/>
        </w:rPr>
        <w:t>Migration Strategy</w:t>
      </w:r>
      <w:r w:rsidRPr="00B570F3">
        <w:t xml:space="preserve"> established a formal role for JSA in defining skills needs using evidence and tripartite advice. JSA also has a role in helping to ensure local workers’ skills and job opportunities are prioritised, and that the migration system complements the domestic skills and training system and is guided to areas of best use.</w:t>
      </w:r>
    </w:p>
    <w:p w14:paraId="7BD20DD2" w14:textId="57949E27" w:rsidR="00B570F3" w:rsidRPr="00B570F3" w:rsidRDefault="00B570F3" w:rsidP="00266731">
      <w:pPr>
        <w:pStyle w:val="BodyText"/>
      </w:pPr>
      <w:r>
        <w:t xml:space="preserve">Australia’s </w:t>
      </w:r>
      <w:r w:rsidRPr="00B570F3">
        <w:t>CSOL is a single, consolidated list of occupations that are currently eligible for temporary skilled migration to Australia under the Core Skills Stream of the Skills in Demand visa, and the Direct Entry Stream of the permanent Employer Nomination Scheme visa. The Minister for Immigration</w:t>
      </w:r>
      <w:r w:rsidR="00DC2F1E">
        <w:t xml:space="preserve"> and </w:t>
      </w:r>
      <w:r w:rsidRPr="00B570F3">
        <w:t xml:space="preserve">Citizenship is the legislated decision maker on the CSOL, however, JSA is responsible for labour market analysis and stakeholder engagement that informs the Government’s final decision. </w:t>
      </w:r>
    </w:p>
    <w:p w14:paraId="44693936" w14:textId="77777777" w:rsidR="00B570F3" w:rsidRDefault="00B570F3" w:rsidP="00266731">
      <w:pPr>
        <w:pStyle w:val="BodyText"/>
      </w:pPr>
      <w:r>
        <w:t>A</w:t>
      </w:r>
      <w:r w:rsidRPr="00437E6D">
        <w:t xml:space="preserve"> Migration Labour Market Indicator Model (JSA Migration Model) </w:t>
      </w:r>
      <w:r>
        <w:t xml:space="preserve">is used </w:t>
      </w:r>
      <w:r w:rsidRPr="00437E6D">
        <w:t xml:space="preserve">to </w:t>
      </w:r>
      <w:r>
        <w:t>support this process. The model</w:t>
      </w:r>
      <w:r w:rsidRPr="00437E6D">
        <w:t xml:space="preserve">: </w:t>
      </w:r>
    </w:p>
    <w:p w14:paraId="13C49347" w14:textId="6F6F0804" w:rsidR="00B570F3" w:rsidRPr="00B570F3" w:rsidRDefault="00B570F3" w:rsidP="00266731">
      <w:pPr>
        <w:pStyle w:val="ListBullet"/>
      </w:pPr>
      <w:r>
        <w:t>S</w:t>
      </w:r>
      <w:r w:rsidRPr="00B570F3">
        <w:t>tarts with JSA’s </w:t>
      </w:r>
      <w:r w:rsidR="007C4D80">
        <w:t>OSL</w:t>
      </w:r>
      <w:r w:rsidRPr="00B570F3">
        <w:t>, which is developed through a robust, evidence</w:t>
      </w:r>
      <w:r w:rsidR="00000A64">
        <w:noBreakHyphen/>
      </w:r>
      <w:r w:rsidRPr="00B570F3">
        <w:t xml:space="preserve">based process involving extensive consultation with </w:t>
      </w:r>
      <w:r w:rsidR="00916579">
        <w:t>Australian Government agencies</w:t>
      </w:r>
      <w:r w:rsidRPr="00B570F3">
        <w:t>, state and territory governments, as well as other tripartite partners.</w:t>
      </w:r>
    </w:p>
    <w:p w14:paraId="7752C948" w14:textId="77777777" w:rsidR="00B570F3" w:rsidRPr="00B570F3" w:rsidRDefault="00B570F3" w:rsidP="00B02F4D">
      <w:pPr>
        <w:pStyle w:val="ListBullet"/>
        <w:keepNext/>
        <w:keepLines/>
        <w:ind w:left="357" w:hanging="357"/>
      </w:pPr>
      <w:r w:rsidRPr="00730EA8">
        <w:t>Assesses whether migration is an appropriate response to identified shortages, drawing on data such as migrant labour market outcomes, the relative reliance on sponsored visa holders, vacancy rates, expected domestic supply, and market wages.</w:t>
      </w:r>
    </w:p>
    <w:p w14:paraId="3E00BBBA" w14:textId="77777777" w:rsidR="00B570F3" w:rsidRPr="00B570F3" w:rsidRDefault="00B570F3" w:rsidP="00266731">
      <w:pPr>
        <w:pStyle w:val="ListBullet"/>
      </w:pPr>
      <w:r w:rsidRPr="00730EA8">
        <w:t>Incorporates structured stakeholder engagement</w:t>
      </w:r>
      <w:r w:rsidRPr="00B570F3">
        <w:t>, both in occupations experiencing shortages and those that are not, to gather diverse perspectives on the suitability of migration pathways for certain occupations.</w:t>
      </w:r>
    </w:p>
    <w:p w14:paraId="3D2EB00D" w14:textId="77777777" w:rsidR="00B570F3" w:rsidRPr="00B570F3" w:rsidRDefault="00B570F3" w:rsidP="00266731">
      <w:pPr>
        <w:pStyle w:val="ListBullet"/>
      </w:pPr>
      <w:r w:rsidRPr="00730EA8">
        <w:t>Includes occupations required under international trade agreements, ensuring Australia meets its obligations.</w:t>
      </w:r>
    </w:p>
    <w:p w14:paraId="4324C8A0" w14:textId="77777777" w:rsidR="00B570F3" w:rsidRPr="00B570F3" w:rsidRDefault="00B570F3" w:rsidP="00266731">
      <w:pPr>
        <w:pStyle w:val="BodyText"/>
      </w:pPr>
      <w:r w:rsidRPr="00A936F5">
        <w:t xml:space="preserve">Consultations to inform </w:t>
      </w:r>
      <w:r w:rsidRPr="00B570F3">
        <w:t xml:space="preserve">JSA’s advice to Government on the 2025 CSOL opened on 25 August 2025, and JSA is also committed to the ongoing refinement of the JSA Migration Model to ensure it continues to effectively support the implementation of the </w:t>
      </w:r>
      <w:r w:rsidRPr="008C4BA4">
        <w:rPr>
          <w:rStyle w:val="Characteritalic"/>
        </w:rPr>
        <w:t>Migration Strategy</w:t>
      </w:r>
      <w:r w:rsidRPr="00B570F3">
        <w:t xml:space="preserve">. This includes integrating new and emerging labour market data, as well as drawing on insights from other JSA modelling projects. </w:t>
      </w:r>
    </w:p>
    <w:p w14:paraId="75317D29" w14:textId="77777777" w:rsidR="00B570F3" w:rsidRPr="00B570F3" w:rsidRDefault="00B570F3" w:rsidP="00266731">
      <w:pPr>
        <w:pStyle w:val="BodyText"/>
      </w:pPr>
      <w:r>
        <w:t>JSA is exploring the use of further datasets from the ABS and other relevant administrative sources. These efforts will enhance the evidence base underpinning migration policy and ensure that recommendations are grounded in the most up-to-date and robust data available.</w:t>
      </w:r>
    </w:p>
    <w:p w14:paraId="069B8256" w14:textId="77777777" w:rsidR="00B570F3" w:rsidRPr="00CE4ACB" w:rsidRDefault="00B570F3" w:rsidP="00B570F3">
      <w:pPr>
        <w:pStyle w:val="Heading3"/>
      </w:pPr>
      <w:bookmarkStart w:id="377" w:name="_Toc207613560"/>
      <w:bookmarkStart w:id="378" w:name="_Toc208923433"/>
      <w:bookmarkStart w:id="379" w:name="_Toc211587050"/>
      <w:r w:rsidRPr="00CE4ACB">
        <w:t>International students study</w:t>
      </w:r>
      <w:bookmarkEnd w:id="377"/>
      <w:bookmarkEnd w:id="378"/>
      <w:bookmarkEnd w:id="379"/>
    </w:p>
    <w:p w14:paraId="16E3DB36" w14:textId="5D50A1BD" w:rsidR="00B570F3" w:rsidRPr="002E1952" w:rsidRDefault="00B570F3" w:rsidP="00266731">
      <w:pPr>
        <w:pStyle w:val="BodyText"/>
      </w:pPr>
      <w:r w:rsidRPr="002E1952">
        <w:t xml:space="preserve">Strong post-study employment outcomes for international students are essential to meeting Australia’s skills needs over the medium to long term. This means fully utilising the right skills of the right students, in the right locations at the right time, which in turn may require closer alignment of patterns of study choices, post-study work rights and enabling visas. To support this, on </w:t>
      </w:r>
      <w:r>
        <w:t>25 September</w:t>
      </w:r>
      <w:r w:rsidRPr="002E1952">
        <w:t xml:space="preserve"> 2025, JSA released </w:t>
      </w:r>
      <w:r w:rsidR="0001770C">
        <w:t>our</w:t>
      </w:r>
      <w:r w:rsidR="0001770C" w:rsidRPr="002E1952">
        <w:t xml:space="preserve"> </w:t>
      </w:r>
      <w:r w:rsidRPr="0004316C">
        <w:rPr>
          <w:rStyle w:val="Characteritalic"/>
        </w:rPr>
        <w:t>Internation</w:t>
      </w:r>
      <w:r w:rsidR="00FB6E1E" w:rsidRPr="0004316C">
        <w:rPr>
          <w:rStyle w:val="Characteritalic"/>
        </w:rPr>
        <w:t>al</w:t>
      </w:r>
      <w:r w:rsidRPr="0004316C">
        <w:rPr>
          <w:rStyle w:val="Characteritalic"/>
        </w:rPr>
        <w:t xml:space="preserve"> Students and Outcomes Pathways Study</w:t>
      </w:r>
      <w:r>
        <w:rPr>
          <w:rStyle w:val="Characteritalic"/>
        </w:rPr>
        <w:t xml:space="preserve"> </w:t>
      </w:r>
      <w:r w:rsidR="000E5232">
        <w:rPr>
          <w:rStyle w:val="Characteritalic"/>
        </w:rPr>
        <w:t>Report</w:t>
      </w:r>
      <w:r w:rsidRPr="002E1952">
        <w:t xml:space="preserve"> which included 11 recommendations for the Australian </w:t>
      </w:r>
      <w:r w:rsidR="008C4BA4">
        <w:t>G</w:t>
      </w:r>
      <w:r w:rsidRPr="002E1952">
        <w:t>overnment to consider.</w:t>
      </w:r>
    </w:p>
    <w:p w14:paraId="3E5D6269" w14:textId="25E524FC" w:rsidR="00B570F3" w:rsidRPr="002E1952" w:rsidRDefault="00B570F3" w:rsidP="00266731">
      <w:pPr>
        <w:pStyle w:val="BodyText"/>
      </w:pPr>
      <w:r w:rsidRPr="002E1952">
        <w:t xml:space="preserve">Australia is one of the top study destinations for international students, with its tertiary institutions enrolling the second highest share of international students among the OECD and partner countries </w:t>
      </w:r>
      <w:sdt>
        <w:sdtPr>
          <w:id w:val="-3589049"/>
          <w:citation/>
        </w:sdtPr>
        <w:sdtContent>
          <w:r w:rsidR="008E1620">
            <w:fldChar w:fldCharType="begin"/>
          </w:r>
          <w:r w:rsidR="008E1620">
            <w:instrText xml:space="preserve"> CITATION OEC23 \l 3081 </w:instrText>
          </w:r>
          <w:r w:rsidR="008E1620">
            <w:fldChar w:fldCharType="separate"/>
          </w:r>
          <w:r w:rsidR="00D52996">
            <w:rPr>
              <w:noProof/>
            </w:rPr>
            <w:t>(OECD, 2023)</w:t>
          </w:r>
          <w:r w:rsidR="008E1620">
            <w:fldChar w:fldCharType="end"/>
          </w:r>
        </w:sdtContent>
      </w:sdt>
      <w:r w:rsidRPr="002E1952">
        <w:t>. Australia’s strong reputation for the quality of its education is highly valued at home and internationally, including by the source countries of the students.</w:t>
      </w:r>
    </w:p>
    <w:p w14:paraId="1F952E0A" w14:textId="77777777" w:rsidR="00B570F3" w:rsidRDefault="00B570F3" w:rsidP="008F06FF">
      <w:pPr>
        <w:pStyle w:val="Heading4"/>
      </w:pPr>
      <w:r w:rsidRPr="002E1952">
        <w:t>System-wide objectives and measures of success</w:t>
      </w:r>
    </w:p>
    <w:p w14:paraId="3913EB95" w14:textId="77777777" w:rsidR="00B570F3" w:rsidRDefault="00B570F3" w:rsidP="00266731">
      <w:pPr>
        <w:pStyle w:val="BodyText"/>
      </w:pPr>
      <w:r w:rsidRPr="00957442">
        <w:t>Over the past 30 years, Australia has been welcoming increasing numbers of international students to study, and often, to come here to stay. Australia is one of the most highly sought destinations for international students worldwide. The decisions of international students to come here have been informed by Australia’s reputation for high-quality education offerings as well as the enabling visa policy settings.</w:t>
      </w:r>
    </w:p>
    <w:p w14:paraId="4C418493" w14:textId="175934D1" w:rsidR="00B570F3" w:rsidRDefault="00B570F3" w:rsidP="00266731">
      <w:pPr>
        <w:pStyle w:val="BodyText"/>
      </w:pPr>
      <w:r w:rsidRPr="008610F3">
        <w:t>The characteristics of Australia’s international student cohort are changing. There is a growing proportion of students pursuing work and migration aspirations, alongside greater engagement in VET pathways. Changing enrolment patterns indicate this trend will strengthen as the weight of enrolment numbers moves from China to South Asian and other countries. These trends also influence patterns of course selection, based on post-study visa settings</w:t>
      </w:r>
      <w:r w:rsidR="007277DE">
        <w:t>.</w:t>
      </w:r>
    </w:p>
    <w:p w14:paraId="0887E641" w14:textId="26ECA428" w:rsidR="00B570F3" w:rsidRDefault="00B570F3" w:rsidP="00B02F4D">
      <w:pPr>
        <w:pStyle w:val="BodyText"/>
        <w:keepNext/>
        <w:keepLines/>
      </w:pPr>
      <w:r>
        <w:t xml:space="preserve">The higher education system would benefit from the development of a shared set of objectives for the for future of the Australian international education sector. </w:t>
      </w:r>
      <w:r w:rsidR="007277DE">
        <w:t>T</w:t>
      </w:r>
      <w:r>
        <w:t xml:space="preserve">his should include </w:t>
      </w:r>
      <w:r w:rsidRPr="00950262">
        <w:t>its</w:t>
      </w:r>
      <w:r>
        <w:t xml:space="preserve"> </w:t>
      </w:r>
      <w:r w:rsidRPr="00950262">
        <w:t>contribution to Australia’s total economic activity and its contribution to building Australia’s skilled workforce over the medium to long term</w:t>
      </w:r>
      <w:r>
        <w:t xml:space="preserve">. </w:t>
      </w:r>
    </w:p>
    <w:p w14:paraId="6098FFD6" w14:textId="77777777" w:rsidR="00B570F3" w:rsidRDefault="00B570F3" w:rsidP="008F06FF">
      <w:pPr>
        <w:pStyle w:val="Heading4"/>
      </w:pPr>
      <w:r w:rsidRPr="000E42C1">
        <w:t>Supporting policy infrastructure</w:t>
      </w:r>
    </w:p>
    <w:p w14:paraId="689BA5BB" w14:textId="77777777" w:rsidR="00B570F3" w:rsidRDefault="00B570F3" w:rsidP="00266731">
      <w:pPr>
        <w:pStyle w:val="BodyText"/>
      </w:pPr>
      <w:r w:rsidRPr="002712D3">
        <w:t>Better access to integrated and linked datasets is progressively allowing more detailed analysis and insights into different international student cohorts over time.</w:t>
      </w:r>
      <w:r>
        <w:t xml:space="preserve"> Building on this, the sector would benefit from active monitoring of </w:t>
      </w:r>
      <w:r w:rsidRPr="008245A4">
        <w:t>the impact of international student pathways and integrity measures implemented from 2024 onwards</w:t>
      </w:r>
      <w:r>
        <w:t>, as well as</w:t>
      </w:r>
      <w:r w:rsidRPr="008245A4">
        <w:t xml:space="preserve"> further qualitative research with international students and graduates about their motivations and decision making in relation to labour market participation and fields of study</w:t>
      </w:r>
      <w:r>
        <w:t xml:space="preserve">. </w:t>
      </w:r>
    </w:p>
    <w:p w14:paraId="3631F3D7" w14:textId="77777777" w:rsidR="00B570F3" w:rsidRPr="002E1952" w:rsidRDefault="00B570F3" w:rsidP="008F06FF">
      <w:pPr>
        <w:pStyle w:val="Heading4"/>
      </w:pPr>
      <w:r w:rsidRPr="00703FBC">
        <w:t>Successful transitions from study into the skilled workforce</w:t>
      </w:r>
    </w:p>
    <w:p w14:paraId="35645114" w14:textId="5FC117AF" w:rsidR="00B570F3" w:rsidRDefault="00B570F3" w:rsidP="00266731">
      <w:pPr>
        <w:pStyle w:val="BodyText"/>
      </w:pPr>
      <w:r w:rsidRPr="00361BDE">
        <w:t xml:space="preserve">The changing characteristics of Australia’s international student cohort and frequent transitions to other visas after graduation have meant that a significant proportion of students remain in Australia after completing their studies. </w:t>
      </w:r>
      <w:r>
        <w:t xml:space="preserve">However, </w:t>
      </w:r>
      <w:r w:rsidR="00C36A85">
        <w:t>i</w:t>
      </w:r>
      <w:r w:rsidRPr="00061277">
        <w:t>nternational graduates remaining in Australia after their study are less likely to secure employment in their field and at their qualification level</w:t>
      </w:r>
      <w:r w:rsidR="00824BF6">
        <w:t>,</w:t>
      </w:r>
      <w:r w:rsidRPr="00061277">
        <w:t xml:space="preserve"> and </w:t>
      </w:r>
      <w:r w:rsidR="00733F60">
        <w:t xml:space="preserve">they </w:t>
      </w:r>
      <w:r w:rsidRPr="00061277">
        <w:t xml:space="preserve">earn less than </w:t>
      </w:r>
      <w:r w:rsidR="006A26C3">
        <w:t xml:space="preserve">their </w:t>
      </w:r>
      <w:r w:rsidRPr="00061277">
        <w:t>domestic counterparts. These effects are more exaggerated for higher education graduates than VET graduates and for more generic, less vocationally oriented fields of education.</w:t>
      </w:r>
    </w:p>
    <w:p w14:paraId="64873B2A" w14:textId="41786489" w:rsidR="00B570F3" w:rsidRPr="002E1952" w:rsidRDefault="00B570F3" w:rsidP="00266731">
      <w:pPr>
        <w:pStyle w:val="BodyText"/>
      </w:pPr>
      <w:r>
        <w:t>S</w:t>
      </w:r>
      <w:r w:rsidRPr="002E1952">
        <w:t>uccessful transition from education to employment for international students in the Australian labour market is supported by underlying skills development such as improved English language proficiency and work integrated learning. Further, opportunities exist to grow employer appetite for international graduates by making resources available to support greater understanding of the value of international graduates over the medium and long term to the Australian workforce</w:t>
      </w:r>
      <w:r w:rsidR="00122601">
        <w:t>.</w:t>
      </w:r>
    </w:p>
    <w:p w14:paraId="32F59E5D" w14:textId="413D0467" w:rsidR="00B570F3" w:rsidRPr="00B570F3" w:rsidRDefault="00B570F3" w:rsidP="00B570F3">
      <w:pPr>
        <w:pStyle w:val="Heading2"/>
      </w:pPr>
      <w:bookmarkStart w:id="380" w:name="_Toc207613561"/>
      <w:bookmarkStart w:id="381" w:name="_Toc208923434"/>
      <w:bookmarkStart w:id="382" w:name="_Toc211587051"/>
      <w:r w:rsidRPr="00B570F3">
        <w:t xml:space="preserve">Key points from chapter </w:t>
      </w:r>
      <w:bookmarkEnd w:id="380"/>
      <w:r w:rsidRPr="00B570F3">
        <w:t>five</w:t>
      </w:r>
      <w:bookmarkEnd w:id="381"/>
      <w:bookmarkEnd w:id="382"/>
    </w:p>
    <w:p w14:paraId="13C9230A" w14:textId="77777777" w:rsidR="00B570F3" w:rsidRPr="00B570F3" w:rsidRDefault="00B570F3" w:rsidP="00266731">
      <w:pPr>
        <w:pStyle w:val="BodyText"/>
      </w:pPr>
      <w:r w:rsidRPr="00272935">
        <w:t>Better matching in the labour market depends on a national skills system that is connected, coordinated, and responsive. As the nature of work evolves, so too must the system that equips individuals with the skills and capabilities to succeed. A more joined-up approach across VET, higher education, migration, and workforce planning is essential to support inclusive participation, improve productivity, and ensure Australia’s skills system can meet future challenges.</w:t>
      </w:r>
    </w:p>
    <w:p w14:paraId="2651F487" w14:textId="77777777" w:rsidR="00B570F3" w:rsidRPr="00B570F3" w:rsidRDefault="00B570F3" w:rsidP="00266731">
      <w:pPr>
        <w:pStyle w:val="BodyText"/>
      </w:pPr>
      <w:r w:rsidRPr="00272935">
        <w:t xml:space="preserve">Understanding outcomes in the current system is critical to identifying where alignment is working well and where it can be strengthened. JSA’s VNDA project continues to provide valuable insights into VET outcomes, including new analysis of part-time versus full-time employment, and the experiences of students who partially complete qualifications. These findings reveal the diverse ways learners engage with training and transition into work, and highlight the importance of flexible, inclusive models that reflect real-world pathways. </w:t>
      </w:r>
    </w:p>
    <w:p w14:paraId="311E93DE" w14:textId="364415FE" w:rsidR="00B570F3" w:rsidRPr="00B570F3" w:rsidRDefault="00B570F3" w:rsidP="00B02F4D">
      <w:pPr>
        <w:pStyle w:val="BodyText"/>
        <w:keepLines/>
      </w:pPr>
      <w:r w:rsidRPr="00AF65B9">
        <w:t xml:space="preserve">Apprenticeships and traineeships play a vital role in </w:t>
      </w:r>
      <w:r w:rsidR="007472C4">
        <w:t>connectin</w:t>
      </w:r>
      <w:r w:rsidR="007472C4" w:rsidRPr="00AF65B9">
        <w:t xml:space="preserve">g </w:t>
      </w:r>
      <w:r w:rsidRPr="00AF65B9">
        <w:t xml:space="preserve">skills </w:t>
      </w:r>
      <w:r w:rsidR="007472C4">
        <w:t>with</w:t>
      </w:r>
      <w:r w:rsidRPr="00AF65B9">
        <w:t xml:space="preserve"> workforce needs. Early analysis shows a shift toward priority occupations, but also highlights challenges such as low completion rates, retention issues, and limited uptake in some sectors. The system’s value proposition</w:t>
      </w:r>
      <w:r w:rsidRPr="00B570F3">
        <w:t xml:space="preserve"> also varies across occupations and industries. JSA’s work is helping to clarify where apprenticeships are most effective, where uptake is constrained, and how enrolment patterns are changing over time. This includes analysis of gender participation, regional variation, and the impact of incentives – all of which inform efforts to broaden access and improve system performance.</w:t>
      </w:r>
    </w:p>
    <w:p w14:paraId="7D1B87A8" w14:textId="1CB49DB9" w:rsidR="00B570F3" w:rsidRPr="00B570F3" w:rsidRDefault="00B570F3" w:rsidP="00266731">
      <w:pPr>
        <w:pStyle w:val="BodyText"/>
      </w:pPr>
      <w:r w:rsidRPr="00272935">
        <w:t xml:space="preserve">Higher education outcomes are currently tracked through survey data, but JSA is developing a </w:t>
      </w:r>
      <w:r w:rsidRPr="00B570F3">
        <w:t>new administrative data project to build a more comprehensive and inclusive evidence base. The project will complement existing surveys and provide deeper insights into how higher education contributes to workforce development.</w:t>
      </w:r>
      <w:r w:rsidR="00140B05">
        <w:t xml:space="preserve"> </w:t>
      </w:r>
      <w:r w:rsidR="00DB2306">
        <w:t xml:space="preserve">The first phase of this program of work found that higher education leads to strong labour market outcomes across a diverse range of careers. </w:t>
      </w:r>
      <w:r w:rsidR="001040F2">
        <w:t>F</w:t>
      </w:r>
      <w:r w:rsidR="001040F2" w:rsidRPr="001040F2">
        <w:t>uture phases</w:t>
      </w:r>
      <w:r w:rsidR="001040F2">
        <w:t xml:space="preserve"> </w:t>
      </w:r>
      <w:r w:rsidR="001040F2" w:rsidRPr="001040F2">
        <w:t>will focus on cohort analysis, particularly for students historically underrepresented in higher education.</w:t>
      </w:r>
    </w:p>
    <w:p w14:paraId="24303A55" w14:textId="7BF60E6E" w:rsidR="00B570F3" w:rsidRPr="00B570F3" w:rsidRDefault="00B570F3" w:rsidP="00266731">
      <w:pPr>
        <w:pStyle w:val="BodyText"/>
      </w:pPr>
      <w:r>
        <w:t>Transitions</w:t>
      </w:r>
      <w:r w:rsidRPr="00B570F3">
        <w:t xml:space="preserve"> between VET and higher education – in both directions – are increasingly common and essential to a flexible, lifelong learning system. JSA’s longitudinal data work is illuminating how learners move between sectors, the occupations they enter, and how these transitions shape long-term outcomes. </w:t>
      </w:r>
      <w:r w:rsidR="00270ECC" w:rsidRPr="00270ECC">
        <w:t xml:space="preserve">Early findings show that </w:t>
      </w:r>
      <w:r w:rsidR="00DB2306">
        <w:t xml:space="preserve">the VET system trains a broad segment of the Australian </w:t>
      </w:r>
      <w:r w:rsidR="00657AEE">
        <w:t>community.</w:t>
      </w:r>
      <w:r w:rsidR="00DB2306">
        <w:t xml:space="preserve"> Most importantly, the majority of people who hold both VET and </w:t>
      </w:r>
      <w:r w:rsidR="009866CB">
        <w:t>h</w:t>
      </w:r>
      <w:r w:rsidR="00DB2306">
        <w:t xml:space="preserve">igher </w:t>
      </w:r>
      <w:r w:rsidR="009866CB">
        <w:t>e</w:t>
      </w:r>
      <w:r w:rsidR="00DB2306">
        <w:t xml:space="preserve">ducation qualifications enrolled in higher education first. </w:t>
      </w:r>
      <w:r w:rsidRPr="00B570F3">
        <w:t>These insights support more coherent qualification design, better recognition of prior learning, and improved access for underrepresented groups.</w:t>
      </w:r>
    </w:p>
    <w:p w14:paraId="73ED4F9E" w14:textId="79725552" w:rsidR="005A7301" w:rsidRDefault="00B570F3" w:rsidP="00266731">
      <w:pPr>
        <w:pStyle w:val="BodyText"/>
      </w:pPr>
      <w:r w:rsidRPr="00272935">
        <w:t xml:space="preserve">Tertiary harmonisation is a key reform priority. JSA’s work in this area has highlighted the potential of a more collaborative tertiary system to reduce duplication, improve credit recognition, and </w:t>
      </w:r>
      <w:r w:rsidR="00011134">
        <w:t>more effectively</w:t>
      </w:r>
      <w:r w:rsidR="00011134" w:rsidRPr="00272935">
        <w:t xml:space="preserve"> </w:t>
      </w:r>
      <w:r w:rsidRPr="00272935">
        <w:t>align education with workforce needs. Harmonisation also supports lifelong learning and can help address occupation shortages by enabling more flexible and targeted training pathways.</w:t>
      </w:r>
      <w:r w:rsidRPr="00B570F3">
        <w:t xml:space="preserve"> </w:t>
      </w:r>
    </w:p>
    <w:tbl>
      <w:tblPr>
        <w:tblStyle w:val="CustomTablepulloutbox2"/>
        <w:tblW w:w="0" w:type="auto"/>
        <w:tblLook w:val="04A0" w:firstRow="1" w:lastRow="0" w:firstColumn="1" w:lastColumn="0" w:noHBand="0" w:noVBand="1"/>
      </w:tblPr>
      <w:tblGrid>
        <w:gridCol w:w="9027"/>
      </w:tblGrid>
      <w:tr w:rsidR="00B331B1" w14:paraId="04425AC1" w14:textId="77777777" w:rsidTr="000C3E1F">
        <w:tc>
          <w:tcPr>
            <w:tcW w:w="9027" w:type="dxa"/>
          </w:tcPr>
          <w:p w14:paraId="5B1AB0CE" w14:textId="2C8503F8" w:rsidR="00B331B1" w:rsidRDefault="00B331B1" w:rsidP="00907907">
            <w:pPr>
              <w:pStyle w:val="BoxHeading"/>
            </w:pPr>
            <w:r w:rsidRPr="00B331B1">
              <w:t>Recommendation 4</w:t>
            </w:r>
          </w:p>
          <w:p w14:paraId="29FDAF7F" w14:textId="69E41570" w:rsidR="00B331B1" w:rsidRDefault="00B331B1" w:rsidP="00907907">
            <w:pPr>
              <w:pStyle w:val="BodyText"/>
            </w:pPr>
            <w:r w:rsidRPr="00EA5E5C">
              <w:rPr>
                <w:rStyle w:val="Characterbold"/>
              </w:rPr>
              <w:t xml:space="preserve">System actors should work towards a national credit transfer system </w:t>
            </w:r>
            <w:r w:rsidRPr="000A245D">
              <w:rPr>
                <w:rStyle w:val="Characteritalic"/>
              </w:rPr>
              <w:t>(in line with recommendation 9 of the report Opportunity and Productivity: Towards a Tertiary Harmonisation Roadmap</w:t>
            </w:r>
            <w:r>
              <w:rPr>
                <w:rStyle w:val="Characteritalic"/>
              </w:rPr>
              <w:t>)</w:t>
            </w:r>
            <w:r w:rsidRPr="00447FC7">
              <w:rPr>
                <w:lang w:eastAsia="en-GB"/>
              </w:rPr>
              <w:t>.</w:t>
            </w:r>
            <w:r w:rsidRPr="00447FC7">
              <w:t xml:space="preserve"> </w:t>
            </w:r>
          </w:p>
        </w:tc>
      </w:tr>
    </w:tbl>
    <w:p w14:paraId="09DB32A8" w14:textId="63DFE827" w:rsidR="006E252D" w:rsidRDefault="00F33932" w:rsidP="00266731">
      <w:pPr>
        <w:pStyle w:val="BodyText"/>
      </w:pPr>
      <w:r w:rsidRPr="00BD05A9">
        <w:t>The NST</w:t>
      </w:r>
      <w:r w:rsidRPr="00B570F3">
        <w:t xml:space="preserve"> is under development and aims to become a foundational reform to support </w:t>
      </w:r>
      <w:r>
        <w:t xml:space="preserve">improved </w:t>
      </w:r>
      <w:r w:rsidRPr="00B570F3">
        <w:t>matching</w:t>
      </w:r>
      <w:r>
        <w:t xml:space="preserve">. Providing a shared language, the NST will use </w:t>
      </w:r>
      <w:r w:rsidRPr="00B570F3">
        <w:t>evidence-based language for describing skills across education and employment contexts, the NST will enable more coherent qualification design, support skills-first hiring, and improve the quality of labour market insights. JSA is leading this work through extensive consultation and data-driven methods, ensuring the taxonomy is usable, inclusive, and aligned with broader system reforms.</w:t>
      </w:r>
    </w:p>
    <w:tbl>
      <w:tblPr>
        <w:tblStyle w:val="CustomTablepulloutbox2"/>
        <w:tblW w:w="0" w:type="auto"/>
        <w:tblLook w:val="04A0" w:firstRow="1" w:lastRow="0" w:firstColumn="1" w:lastColumn="0" w:noHBand="0" w:noVBand="1"/>
      </w:tblPr>
      <w:tblGrid>
        <w:gridCol w:w="9027"/>
      </w:tblGrid>
      <w:tr w:rsidR="00B331B1" w14:paraId="13B46EAD" w14:textId="77777777" w:rsidTr="000C3E1F">
        <w:tc>
          <w:tcPr>
            <w:tcW w:w="9027" w:type="dxa"/>
          </w:tcPr>
          <w:p w14:paraId="010727E2" w14:textId="390F0FD6" w:rsidR="00B331B1" w:rsidRDefault="00B331B1" w:rsidP="00907907">
            <w:pPr>
              <w:pStyle w:val="BoxHeading"/>
            </w:pPr>
            <w:r w:rsidRPr="00B331B1">
              <w:t>Recommendation 5</w:t>
            </w:r>
          </w:p>
          <w:p w14:paraId="0A91BAB5" w14:textId="6C587822" w:rsidR="00B331B1" w:rsidRPr="00F33932" w:rsidRDefault="00B331B1" w:rsidP="00F33932">
            <w:pPr>
              <w:pStyle w:val="BodyText"/>
              <w:keepNext/>
              <w:keepLines/>
              <w:rPr>
                <w:i/>
              </w:rPr>
            </w:pPr>
            <w:r w:rsidRPr="009447EB">
              <w:rPr>
                <w:rStyle w:val="Characterbold"/>
              </w:rPr>
              <w:t>System actors, governments and stakeholders should work closely with JSA to accelerate the development of a National Skills Taxonomy</w:t>
            </w:r>
            <w:r w:rsidRPr="00EA5E5C">
              <w:rPr>
                <w:rStyle w:val="Characterbold"/>
              </w:rPr>
              <w:t xml:space="preserve"> </w:t>
            </w:r>
            <w:r w:rsidRPr="00232380">
              <w:rPr>
                <w:rStyle w:val="Characteritalic"/>
              </w:rPr>
              <w:t>(</w:t>
            </w:r>
            <w:r w:rsidRPr="000A245D">
              <w:rPr>
                <w:rStyle w:val="Characteritalic"/>
              </w:rPr>
              <w:t>in line with recommendation 16 of the report Opportunity and Productivity: Towards a Tertiary Harmonisation Roadmap</w:t>
            </w:r>
            <w:r>
              <w:rPr>
                <w:rStyle w:val="Characteritalic"/>
              </w:rPr>
              <w:t>).</w:t>
            </w:r>
            <w:r w:rsidRPr="000A245D">
              <w:rPr>
                <w:rStyle w:val="Characteritalic"/>
              </w:rPr>
              <w:t xml:space="preserve"> </w:t>
            </w:r>
            <w:r w:rsidRPr="00447FC7">
              <w:t xml:space="preserve"> </w:t>
            </w:r>
          </w:p>
        </w:tc>
      </w:tr>
    </w:tbl>
    <w:p w14:paraId="1440A29C" w14:textId="77777777" w:rsidR="00F33932" w:rsidRPr="00B570F3" w:rsidRDefault="00F33932" w:rsidP="00F33932">
      <w:pPr>
        <w:pStyle w:val="BodyText"/>
      </w:pPr>
      <w:r w:rsidRPr="00686F1E">
        <w:t>Skilled m</w:t>
      </w:r>
      <w:r w:rsidRPr="00B570F3">
        <w:t xml:space="preserve">igration continues to play a vital role in complementing the domestic skills system. JSA has a formalised role under the </w:t>
      </w:r>
      <w:r w:rsidRPr="00F0035D">
        <w:rPr>
          <w:rStyle w:val="Characteritalic"/>
        </w:rPr>
        <w:t>Migration Strategy</w:t>
      </w:r>
      <w:r w:rsidRPr="00B570F3">
        <w:t xml:space="preserve"> in defining skills needs using evidence and tripartite advice. To help support evidence-based decision-making, JSA has developed a Migration Labour Market Indicator Model to help identify skills needs and assess whether migration is an appropriate response. This includes analysis of labour market data, stakeholder engagement, and alignment with international obligations. JSA’s advice on the CSOL helps ensure that migration policy supports both employer needs and positive outcomes for workers, while maintaining a strong focus on domestic workforce development.</w:t>
      </w:r>
    </w:p>
    <w:p w14:paraId="0659790F" w14:textId="0EAB000F" w:rsidR="00B331B1" w:rsidRDefault="00F33932" w:rsidP="00F33932">
      <w:pPr>
        <w:pStyle w:val="BodyText"/>
      </w:pPr>
      <w:r w:rsidRPr="00272935">
        <w:t>International students </w:t>
      </w:r>
      <w:r>
        <w:t>contribute</w:t>
      </w:r>
      <w:r w:rsidRPr="00272935">
        <w:t xml:space="preserve"> to Australia’s economy and skills base, but face barriers transitioning into skilled employment. JSA’s study into international student outcomes </w:t>
      </w:r>
      <w:r>
        <w:t xml:space="preserve">has </w:t>
      </w:r>
      <w:r w:rsidRPr="00272935">
        <w:t>deepening understanding of these challenges. Insights from administrative data and stakeholder consultations are helping to identify where support is needed to improve employment outcomes and better align education and migration pathways.</w:t>
      </w:r>
    </w:p>
    <w:p w14:paraId="31663A72" w14:textId="77777777" w:rsidR="00B331B1" w:rsidRDefault="00B331B1" w:rsidP="00266731">
      <w:pPr>
        <w:pStyle w:val="BodyText"/>
      </w:pPr>
    </w:p>
    <w:p w14:paraId="4CC36FCF" w14:textId="77777777" w:rsidR="00F33932" w:rsidRDefault="00F33932" w:rsidP="00266731">
      <w:pPr>
        <w:pStyle w:val="BodyText"/>
        <w:sectPr w:rsidR="00F33932" w:rsidSect="00480B35">
          <w:headerReference w:type="even" r:id="rId133"/>
          <w:headerReference w:type="default" r:id="rId134"/>
          <w:footerReference w:type="even" r:id="rId135"/>
          <w:footerReference w:type="default" r:id="rId136"/>
          <w:pgSz w:w="11907" w:h="16839" w:code="9"/>
          <w:pgMar w:top="1440" w:right="1270" w:bottom="1440" w:left="1270" w:header="720" w:footer="720" w:gutter="0"/>
          <w:cols w:space="720"/>
          <w:docGrid w:linePitch="360"/>
        </w:sectPr>
      </w:pPr>
    </w:p>
    <w:p w14:paraId="22F92959" w14:textId="090AB9E4" w:rsidR="00CB182A" w:rsidRDefault="00CB182A" w:rsidP="00CB182A">
      <w:pPr>
        <w:pStyle w:val="Heading1"/>
      </w:pPr>
      <w:bookmarkStart w:id="383" w:name="_Toc207383256"/>
      <w:bookmarkStart w:id="384" w:name="_Toc208923435"/>
      <w:bookmarkStart w:id="385" w:name="_Toc211587052"/>
      <w:r>
        <w:t>Activating an informed dialogue</w:t>
      </w:r>
      <w:bookmarkEnd w:id="383"/>
      <w:bookmarkEnd w:id="384"/>
      <w:bookmarkEnd w:id="385"/>
    </w:p>
    <w:p w14:paraId="4BB3F4E0" w14:textId="77777777" w:rsidR="00CB182A" w:rsidRPr="001A6C0C" w:rsidRDefault="00CB182A" w:rsidP="00CB182A">
      <w:pPr>
        <w:pStyle w:val="BodyText"/>
      </w:pPr>
      <w:r w:rsidRPr="001A6C0C">
        <w:t>Australia’s productivity, participation and skills challenges are complex and evolving</w:t>
      </w:r>
      <w:r>
        <w:t xml:space="preserve"> – </w:t>
      </w:r>
      <w:r w:rsidRPr="001A6C0C">
        <w:t>and they demand a shared response. J</w:t>
      </w:r>
      <w:r>
        <w:t>SA</w:t>
      </w:r>
      <w:r w:rsidRPr="001A6C0C">
        <w:t xml:space="preserve"> plays a central role in activating an informed, evidence-based dialogue across the national skills system. But we don’t just exchange ideas</w:t>
      </w:r>
      <w:r>
        <w:t xml:space="preserve"> – </w:t>
      </w:r>
      <w:r w:rsidRPr="001A6C0C">
        <w:t>we enable productive collaboration. By bringing together government, industry, unions, education providers and the broader community, we help shape a shared understanding of workforce needs and opportunities, and identify practical pathways for action, grounded in data and real-world experience.</w:t>
      </w:r>
    </w:p>
    <w:p w14:paraId="51C62265" w14:textId="6F8ADFDC" w:rsidR="00CB182A" w:rsidRPr="001A6C0C" w:rsidRDefault="00DD3D02" w:rsidP="00CB182A">
      <w:pPr>
        <w:pStyle w:val="BodyText"/>
      </w:pPr>
      <w:r>
        <w:t>The i</w:t>
      </w:r>
      <w:r w:rsidR="001A2BA1">
        <w:t>mproved</w:t>
      </w:r>
      <w:r w:rsidR="00CB182A" w:rsidRPr="001A6C0C">
        <w:t xml:space="preserve"> </w:t>
      </w:r>
      <w:r w:rsidR="008D51EB">
        <w:t>connection</w:t>
      </w:r>
      <w:r w:rsidR="008D51EB" w:rsidRPr="001A6C0C">
        <w:t xml:space="preserve"> </w:t>
      </w:r>
      <w:r w:rsidR="00CB182A" w:rsidRPr="001A6C0C">
        <w:t xml:space="preserve">of skills </w:t>
      </w:r>
      <w:r w:rsidR="008D51EB">
        <w:t>with</w:t>
      </w:r>
      <w:r w:rsidR="00CB182A" w:rsidRPr="001A6C0C">
        <w:t xml:space="preserve"> job</w:t>
      </w:r>
      <w:r w:rsidR="008D51EB">
        <w:t xml:space="preserve"> need</w:t>
      </w:r>
      <w:r w:rsidR="00CB182A" w:rsidRPr="001A6C0C">
        <w:t xml:space="preserve">s depends on better information. Education and training providers need clearer insights into employer demand to shape offerings that align with current and future workforce needs. Students and job seekers need access to high-quality careers advice and transparent information on training outcomes to support informed choices. </w:t>
      </w:r>
      <w:r w:rsidR="00CB182A">
        <w:t xml:space="preserve">Employers need information on the major structural changes affecting the economy and labour market to help them plan </w:t>
      </w:r>
      <w:r w:rsidR="001A2BA1">
        <w:t>more effectively</w:t>
      </w:r>
      <w:r w:rsidR="00CB182A">
        <w:t xml:space="preserve"> for their future workforce. </w:t>
      </w:r>
    </w:p>
    <w:p w14:paraId="57E3E688" w14:textId="77777777" w:rsidR="00480B35" w:rsidRDefault="00CB182A" w:rsidP="00CB182A">
      <w:pPr>
        <w:pStyle w:val="BodyText"/>
        <w:sectPr w:rsidR="00480B35" w:rsidSect="00480B35">
          <w:headerReference w:type="default" r:id="rId137"/>
          <w:footerReference w:type="default" r:id="rId138"/>
          <w:type w:val="oddPage"/>
          <w:pgSz w:w="11907" w:h="16839" w:code="9"/>
          <w:pgMar w:top="1440" w:right="1270" w:bottom="1440" w:left="3402" w:header="720" w:footer="720" w:gutter="0"/>
          <w:cols w:space="720"/>
          <w:docGrid w:linePitch="360"/>
        </w:sectPr>
      </w:pPr>
      <w:r w:rsidRPr="001A6C0C">
        <w:t xml:space="preserve">This chapter highlights how JSA’s engagement, publications and communications are </w:t>
      </w:r>
      <w:r>
        <w:t>supporting</w:t>
      </w:r>
      <w:r w:rsidRPr="001A6C0C">
        <w:t xml:space="preserve"> better decision making across the economy. Through deep collaboration and clear, accessible insights, we aim to empower others to act</w:t>
      </w:r>
      <w:r>
        <w:t xml:space="preserve"> – </w:t>
      </w:r>
      <w:r w:rsidRPr="001A6C0C">
        <w:t>ensuring our evidence is not only shared, but used. In doing so, we contribute to a more responsive and resilient skills system, better equipped to lift participation, improve skills matching, and support long-term productivity growth.</w:t>
      </w:r>
    </w:p>
    <w:p w14:paraId="7704FE10" w14:textId="77777777" w:rsidR="00CB182A" w:rsidRDefault="00CB182A" w:rsidP="00CB182A">
      <w:pPr>
        <w:pStyle w:val="Heading2"/>
      </w:pPr>
      <w:bookmarkStart w:id="386" w:name="_Toc207383257"/>
      <w:bookmarkStart w:id="387" w:name="_Toc208923436"/>
      <w:bookmarkStart w:id="388" w:name="_Toc211587053"/>
      <w:r>
        <w:t>Our reach and engagement</w:t>
      </w:r>
      <w:bookmarkEnd w:id="386"/>
      <w:bookmarkEnd w:id="387"/>
      <w:bookmarkEnd w:id="388"/>
      <w:r>
        <w:t xml:space="preserve"> </w:t>
      </w:r>
    </w:p>
    <w:p w14:paraId="1593B396" w14:textId="77777777" w:rsidR="00CB182A" w:rsidRPr="006B7343" w:rsidRDefault="00CB182A" w:rsidP="00CB182A">
      <w:pPr>
        <w:pStyle w:val="BodyText"/>
      </w:pPr>
      <w:r w:rsidRPr="006B7343">
        <w:t>Publishing insights is more than a reporting function</w:t>
      </w:r>
      <w:r w:rsidRPr="00D050BC">
        <w:t xml:space="preserve"> – </w:t>
      </w:r>
      <w:r w:rsidRPr="006B7343">
        <w:t xml:space="preserve">it’s a way to enable action, build transparency, and extend the reach of evidence across the skills system. </w:t>
      </w:r>
      <w:r w:rsidRPr="00D050BC">
        <w:t>JSA</w:t>
      </w:r>
      <w:r w:rsidRPr="006B7343">
        <w:t xml:space="preserve"> is committed to making our analysis accessible, timely and useful, so it can inform decisions at every level</w:t>
      </w:r>
      <w:r w:rsidRPr="00D050BC">
        <w:t xml:space="preserve"> – </w:t>
      </w:r>
      <w:r w:rsidRPr="006B7343">
        <w:t>from national policy to individual career choices. We continue to invest in improving how we communicate</w:t>
      </w:r>
      <w:r w:rsidRPr="00D050BC">
        <w:t xml:space="preserve"> </w:t>
      </w:r>
      <w:r w:rsidRPr="006B7343">
        <w:t>and expanding our presence across digital and social media platforms.</w:t>
      </w:r>
    </w:p>
    <w:p w14:paraId="5E5D3A10" w14:textId="77777777" w:rsidR="00CB182A" w:rsidRPr="00D050BC" w:rsidRDefault="00CB182A" w:rsidP="00CB182A">
      <w:pPr>
        <w:pStyle w:val="BodyText"/>
      </w:pPr>
      <w:r w:rsidRPr="006B7343">
        <w:t>Our reach reflects growing interest in JSA’s work, both nationally and internationally. By sharing our insights widely and engaging across borders, we contribute to a global conversation about workforce change and skills development</w:t>
      </w:r>
      <w:r w:rsidRPr="00D050BC">
        <w:t xml:space="preserve"> – </w:t>
      </w:r>
      <w:r w:rsidRPr="006B7343">
        <w:t>while ensuring our advice is grounded in best practice and informed by diverse perspectives.</w:t>
      </w:r>
    </w:p>
    <w:p w14:paraId="398956F9" w14:textId="54B90D7C" w:rsidR="00CB182A" w:rsidRPr="006B7343" w:rsidRDefault="00CB182A" w:rsidP="00CB182A">
      <w:pPr>
        <w:pStyle w:val="BodyText"/>
      </w:pPr>
      <w:r w:rsidRPr="00D050BC">
        <w:t>Our insights are shaped not only by data, but by dialogue. We engage widely across the skills system through roundtables, surveys, consultation processes, and codesign approaches with stakeholders. These activities help ensure our advice reflects lived experience, diverse perspectives, and practical realities. By</w:t>
      </w:r>
      <w:r>
        <w:t xml:space="preserve"> </w:t>
      </w:r>
      <w:r w:rsidRPr="00D050BC">
        <w:t xml:space="preserve">embedding </w:t>
      </w:r>
      <w:r w:rsidR="00ED5DB0">
        <w:t>tripartite</w:t>
      </w:r>
      <w:r w:rsidRPr="00D050BC">
        <w:t xml:space="preserve"> engagement into our work, we strengthen the relevance and impact of our insights, and support collaborative action across government, industry, education and the community.</w:t>
      </w:r>
    </w:p>
    <w:p w14:paraId="64DA5C28" w14:textId="77777777" w:rsidR="00CB182A" w:rsidRPr="006B7343" w:rsidRDefault="00CB182A" w:rsidP="00CB182A">
      <w:pPr>
        <w:pStyle w:val="BodyText"/>
      </w:pPr>
      <w:r w:rsidRPr="006B7343">
        <w:t>We also track engagement metrics</w:t>
      </w:r>
      <w:r w:rsidRPr="00D050BC">
        <w:t xml:space="preserve"> – </w:t>
      </w:r>
      <w:r w:rsidRPr="006B7343">
        <w:t>such as website visits, social media reach</w:t>
      </w:r>
      <w:r w:rsidRPr="00D050BC">
        <w:t>, consultation numbers</w:t>
      </w:r>
      <w:r w:rsidRPr="006B7343">
        <w:t xml:space="preserve"> and downloads of our publication</w:t>
      </w:r>
      <w:r w:rsidRPr="00D050BC">
        <w:t>s – a</w:t>
      </w:r>
      <w:r w:rsidRPr="006B7343">
        <w:t>s one way to assess our short-term impact. These indicators help us understand how our work is being accessed and used, and guide ongoing improvements to how we present and share our insights.</w:t>
      </w:r>
    </w:p>
    <w:p w14:paraId="280E523C" w14:textId="77777777" w:rsidR="00CB182A" w:rsidRPr="006B7343" w:rsidRDefault="00CB182A" w:rsidP="00CB182A">
      <w:pPr>
        <w:pStyle w:val="BodyText"/>
      </w:pPr>
      <w:r w:rsidRPr="006B7343">
        <w:t>By making our insights widely available and accessible, we help inform the frameworks, policy guidance and decisions that shape Australia’s skills system and workforce outcomes.</w:t>
      </w:r>
    </w:p>
    <w:p w14:paraId="48758A42" w14:textId="77777777" w:rsidR="00CB182A" w:rsidRDefault="00CB182A" w:rsidP="00CB182A">
      <w:pPr>
        <w:pStyle w:val="Heading3"/>
      </w:pPr>
      <w:bookmarkStart w:id="389" w:name="_Toc207383258"/>
      <w:bookmarkStart w:id="390" w:name="_Toc208923437"/>
      <w:bookmarkStart w:id="391" w:name="_Toc211587054"/>
      <w:r>
        <w:t>Sharing our insights</w:t>
      </w:r>
      <w:bookmarkEnd w:id="389"/>
      <w:bookmarkEnd w:id="390"/>
      <w:bookmarkEnd w:id="391"/>
    </w:p>
    <w:p w14:paraId="6045E43C" w14:textId="4C29F753" w:rsidR="00CB182A" w:rsidRDefault="00CB182A" w:rsidP="00B7419E">
      <w:pPr>
        <w:pStyle w:val="BodyText"/>
      </w:pPr>
      <w:r>
        <w:t xml:space="preserve">Our publications are guided by strategy and driven by impact. We aim to </w:t>
      </w:r>
      <w:r w:rsidRPr="00552E5F">
        <w:t>creat</w:t>
      </w:r>
      <w:r>
        <w:t>e and share</w:t>
      </w:r>
      <w:r w:rsidRPr="00552E5F">
        <w:t xml:space="preserve"> high</w:t>
      </w:r>
      <w:r>
        <w:noBreakHyphen/>
      </w:r>
      <w:r w:rsidRPr="00552E5F">
        <w:t xml:space="preserve">quality </w:t>
      </w:r>
      <w:r>
        <w:t>insights</w:t>
      </w:r>
      <w:r w:rsidRPr="00552E5F">
        <w:t xml:space="preserve"> that maximise </w:t>
      </w:r>
      <w:r>
        <w:t>JSA</w:t>
      </w:r>
      <w:r w:rsidRPr="00552E5F">
        <w:t>’s reach, influence, and effectiveness.</w:t>
      </w:r>
      <w:r>
        <w:t xml:space="preserve"> </w:t>
      </w:r>
      <w:r w:rsidRPr="00210128">
        <w:t>Over the past year, we</w:t>
      </w:r>
      <w:r w:rsidR="00C453B6">
        <w:t xml:space="preserve"> have</w:t>
      </w:r>
      <w:r w:rsidRPr="00210128">
        <w:t xml:space="preserve"> delivered a steady stream of labour market and skills insights</w:t>
      </w:r>
      <w:r>
        <w:t xml:space="preserve"> at a regular cadence</w:t>
      </w:r>
      <w:r w:rsidRPr="00210128">
        <w:t xml:space="preserve">, alongside deeper research that supports long-term planning and reform. </w:t>
      </w:r>
    </w:p>
    <w:p w14:paraId="7451BEF7" w14:textId="3D7557CC" w:rsidR="00CB182A" w:rsidRDefault="00CB182A" w:rsidP="00B7419E">
      <w:pPr>
        <w:pStyle w:val="BodyText"/>
      </w:pPr>
      <w:r>
        <w:t xml:space="preserve">Since last year’s Jobs and Skills </w:t>
      </w:r>
      <w:r w:rsidR="004F3D53">
        <w:t>R</w:t>
      </w:r>
      <w:r>
        <w:t>eport we</w:t>
      </w:r>
      <w:r w:rsidR="00C453B6">
        <w:t xml:space="preserve"> have</w:t>
      </w:r>
      <w:r>
        <w:t xml:space="preserve"> also released the final report for our major capacity study on the food supply chain workforce, identifying critical vulnerabilities and opportunities for strengthening this essential sector. Phase 1 of the </w:t>
      </w:r>
      <w:r w:rsidRPr="00EA0E55">
        <w:rPr>
          <w:rStyle w:val="Characteritalic"/>
        </w:rPr>
        <w:t xml:space="preserve">Jobs and Skills Roadmap for </w:t>
      </w:r>
      <w:r w:rsidR="0091580D">
        <w:rPr>
          <w:rStyle w:val="Characteritalic"/>
        </w:rPr>
        <w:t>R</w:t>
      </w:r>
      <w:r w:rsidRPr="00EA0E55">
        <w:rPr>
          <w:rStyle w:val="Characteritalic"/>
        </w:rPr>
        <w:t>egional Australia</w:t>
      </w:r>
      <w:r>
        <w:t xml:space="preserve"> </w:t>
      </w:r>
      <w:r w:rsidR="0091580D">
        <w:t>explores</w:t>
      </w:r>
      <w:r>
        <w:t xml:space="preserve"> the unique challenges and opportunities facing communities outside major metropolitan areas, including demographic change, digital transformation, the net zero transition, and persistent barriers to participation. We </w:t>
      </w:r>
      <w:r w:rsidR="00260669">
        <w:t xml:space="preserve">have published work from </w:t>
      </w:r>
      <w:r>
        <w:t xml:space="preserve">our </w:t>
      </w:r>
      <w:r w:rsidRPr="00171A71">
        <w:rPr>
          <w:rStyle w:val="Characteritalic"/>
        </w:rPr>
        <w:t>Gender Economic Equality Study</w:t>
      </w:r>
      <w:r>
        <w:t xml:space="preserve">, which shed new light on how deeply gendered Australia’s jobs, work and pay remain – and why addressing these imbalances is essential to lifting productivity and achieving genuine equality. We set out a roadmap for tertiary harmonisation in our report in early 2025. Finally, our landmark report on generative AI provides early insights into how this transformative technology is reshaping work, skills, and the broader labour market, while improving productivity across the Australian economy. </w:t>
      </w:r>
    </w:p>
    <w:p w14:paraId="7F17FC84" w14:textId="5B1A302F" w:rsidR="00CB182A" w:rsidRPr="00552E5F" w:rsidRDefault="00CB182A" w:rsidP="00B55E08">
      <w:pPr>
        <w:pStyle w:val="BodyText"/>
        <w:keepLines/>
      </w:pPr>
      <w:r w:rsidRPr="00E73054">
        <w:t xml:space="preserve">More people than ever are turning to JSA for trusted insights. </w:t>
      </w:r>
      <w:r w:rsidRPr="00E73054">
        <w:fldChar w:fldCharType="begin"/>
      </w:r>
      <w:r w:rsidRPr="00E73054">
        <w:instrText xml:space="preserve"> REF _Ref207631875 \h </w:instrText>
      </w:r>
      <w:r w:rsidR="00B7419E" w:rsidRPr="00E73054">
        <w:instrText xml:space="preserve"> \* MERGEFORMAT </w:instrText>
      </w:r>
      <w:r w:rsidRPr="00E73054">
        <w:fldChar w:fldCharType="separate"/>
      </w:r>
      <w:r w:rsidR="009E6E1D">
        <w:t xml:space="preserve">Figure </w:t>
      </w:r>
      <w:r w:rsidR="009E6E1D">
        <w:rPr>
          <w:noProof/>
        </w:rPr>
        <w:t>55</w:t>
      </w:r>
      <w:r w:rsidRPr="00E73054">
        <w:fldChar w:fldCharType="end"/>
      </w:r>
      <w:r w:rsidRPr="00E73054">
        <w:t xml:space="preserve"> shows that between July 2024 and June 2025, our website attracted over 7.7 million views – up 77% from the year before – and more than 1.68 million unique users, an 88% increase on the previous year. Visitors downloaded </w:t>
      </w:r>
      <w:r w:rsidR="00C453B6">
        <w:t>over</w:t>
      </w:r>
      <w:r w:rsidRPr="00E73054">
        <w:t xml:space="preserve"> 200,000 files, with PDFs and spreadsheets among the most accessed formats. These numbers reflect the growing appetite for clear, practical information on jobs, skills and the labour market. Referrals to the JSA website from ChatGPT grew over 518 times – highlighting the growing role of AI-driven tools and the increasing visibility of our content through conversational AI platforms.</w:t>
      </w:r>
    </w:p>
    <w:p w14:paraId="563F5EA5" w14:textId="5C259B18" w:rsidR="00CB182A" w:rsidRPr="00CB182A" w:rsidRDefault="00CB182A" w:rsidP="00CB182A">
      <w:pPr>
        <w:pStyle w:val="Caption"/>
      </w:pPr>
      <w:bookmarkStart w:id="392" w:name="_Ref207631875"/>
      <w:bookmarkStart w:id="393" w:name="_Toc211604204"/>
      <w:bookmarkStart w:id="394" w:name="_Toc207899232"/>
      <w:r>
        <w:t xml:space="preserve">Figure </w:t>
      </w:r>
      <w:r w:rsidRPr="00CB182A">
        <w:fldChar w:fldCharType="begin"/>
      </w:r>
      <w:r w:rsidRPr="00CB182A">
        <w:instrText xml:space="preserve"> SEQ Figure \* ARABIC </w:instrText>
      </w:r>
      <w:r w:rsidRPr="00CB182A">
        <w:fldChar w:fldCharType="separate"/>
      </w:r>
      <w:r w:rsidR="009E6E1D">
        <w:rPr>
          <w:noProof/>
        </w:rPr>
        <w:t>55</w:t>
      </w:r>
      <w:r w:rsidRPr="00CB182A">
        <w:fldChar w:fldCharType="end"/>
      </w:r>
      <w:bookmarkEnd w:id="392"/>
      <w:r w:rsidRPr="00CB182A">
        <w:t>: JSA website performance and engagement</w:t>
      </w:r>
      <w:bookmarkEnd w:id="393"/>
      <w:r w:rsidRPr="00CB182A">
        <w:t xml:space="preserve"> </w:t>
      </w:r>
      <w:bookmarkEnd w:id="394"/>
    </w:p>
    <w:p w14:paraId="581EC22C" w14:textId="0012735A" w:rsidR="00CB182A" w:rsidRPr="00CB182A" w:rsidRDefault="00CB182A" w:rsidP="00CB182A">
      <w:r w:rsidRPr="00CB182A">
        <w:rPr>
          <w:noProof/>
        </w:rPr>
        <w:drawing>
          <wp:inline distT="0" distB="0" distL="0" distR="0" wp14:anchorId="13419FAB" wp14:editId="250D0A23">
            <wp:extent cx="5947200" cy="2908784"/>
            <wp:effectExtent l="0" t="0" r="0" b="6350"/>
            <wp:docPr id="1280410875" name="Picture 5" descr="A visualisation of the information previously mentioned. ">
              <a:extLst xmlns:a="http://schemas.openxmlformats.org/drawingml/2006/main">
                <a:ext uri="{FF2B5EF4-FFF2-40B4-BE49-F238E27FC236}">
                  <a16:creationId xmlns:a16="http://schemas.microsoft.com/office/drawing/2014/main" id="{6418A74C-25E3-3523-3F92-EA218331E2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410875" name="Picture 5" descr="A visualisation of the information previously mentioned. ">
                      <a:extLst>
                        <a:ext uri="{FF2B5EF4-FFF2-40B4-BE49-F238E27FC236}">
                          <a16:creationId xmlns:a16="http://schemas.microsoft.com/office/drawing/2014/main" id="{6418A74C-25E3-3523-3F92-EA218331E27E}"/>
                        </a:ext>
                      </a:extLst>
                    </pic:cNvPr>
                    <pic:cNvPicPr>
                      <a:picLocks noChangeAspect="1"/>
                    </pic:cNvPicPr>
                  </pic:nvPicPr>
                  <pic:blipFill>
                    <a:blip r:embed="rId139">
                      <a:extLst>
                        <a:ext uri="{28A0092B-C50C-407E-A947-70E740481C1C}">
                          <a14:useLocalDpi xmlns:a14="http://schemas.microsoft.com/office/drawing/2010/main" val="0"/>
                        </a:ext>
                      </a:extLst>
                    </a:blip>
                    <a:stretch>
                      <a:fillRect/>
                    </a:stretch>
                  </pic:blipFill>
                  <pic:spPr>
                    <a:xfrm>
                      <a:off x="0" y="0"/>
                      <a:ext cx="5947200" cy="2908784"/>
                    </a:xfrm>
                    <a:prstGeom prst="rect">
                      <a:avLst/>
                    </a:prstGeom>
                  </pic:spPr>
                </pic:pic>
              </a:graphicData>
            </a:graphic>
          </wp:inline>
        </w:drawing>
      </w:r>
    </w:p>
    <w:p w14:paraId="782366A8" w14:textId="1CE65D35" w:rsidR="00CB182A" w:rsidRPr="0023027C" w:rsidRDefault="00CB182A" w:rsidP="00B7419E">
      <w:pPr>
        <w:pStyle w:val="BodyText"/>
      </w:pPr>
      <w:r w:rsidRPr="0023027C">
        <w:t>To support this growing engagement, we</w:t>
      </w:r>
      <w:r w:rsidR="00C453B6">
        <w:t xml:space="preserve"> have</w:t>
      </w:r>
      <w:r w:rsidRPr="0023027C">
        <w:t xml:space="preserve"> made targeted improvements to how users access and interact with our content. We</w:t>
      </w:r>
      <w:r w:rsidR="00C453B6">
        <w:t xml:space="preserve"> have</w:t>
      </w:r>
      <w:r w:rsidRPr="0023027C">
        <w:t xml:space="preserve"> enhanced all of our dashboards using a modern, interactive web framework and introduced improved metadata tracking. These upgrades allow us to unlock detailed analytics on user behaviour, giving us the ability to refine content design and usability based on real-time engagement patterns.</w:t>
      </w:r>
    </w:p>
    <w:p w14:paraId="01263338" w14:textId="732FB494" w:rsidR="00CB182A" w:rsidRDefault="00CB182A" w:rsidP="00B7419E">
      <w:pPr>
        <w:pStyle w:val="BodyText"/>
      </w:pPr>
      <w:r w:rsidRPr="00791F1A">
        <w:t xml:space="preserve">JSA’s social media presence continues to expand, reflecting increased interest in our work and a growing community of </w:t>
      </w:r>
      <w:r w:rsidRPr="00D070E6">
        <w:t xml:space="preserve">professionals engaging with our insights. Over the past year, our LinkedIn following grew by more than </w:t>
      </w:r>
      <w:r w:rsidRPr="002E1952">
        <w:t>4,227 profiles – an increase of 43% from the last year. Engagement also rose sharply, with 207 comments (up 109%), 861 shares (up 37%) and 5,402 likes (up 28%). Our content made over 281,785 impressions, marking a 23% increase and highlighting the value of our posts in sparking dialogue and sharing knowledge across the sector (</w:t>
      </w:r>
      <w:r w:rsidR="00E4674F">
        <w:fldChar w:fldCharType="begin"/>
      </w:r>
      <w:r w:rsidR="00E4674F">
        <w:instrText xml:space="preserve"> REF _Ref207788106 </w:instrText>
      </w:r>
      <w:r w:rsidR="00E4674F">
        <w:fldChar w:fldCharType="separate"/>
      </w:r>
      <w:r w:rsidR="009E6E1D">
        <w:t xml:space="preserve">Figure </w:t>
      </w:r>
      <w:r w:rsidR="009E6E1D">
        <w:rPr>
          <w:noProof/>
        </w:rPr>
        <w:t>56</w:t>
      </w:r>
      <w:r w:rsidR="00E4674F">
        <w:fldChar w:fldCharType="end"/>
      </w:r>
      <w:r w:rsidRPr="002E1952">
        <w:t>).</w:t>
      </w:r>
      <w:r w:rsidRPr="00D070E6">
        <w:t xml:space="preserve"> These gains in social media engagement complement the strong growth in website traffic, reinforcing JSA’s role as a trusted source of labour market insights and a key contributor to national and global workforce conversations.</w:t>
      </w:r>
      <w:r w:rsidRPr="00791F1A">
        <w:t xml:space="preserve"> </w:t>
      </w:r>
    </w:p>
    <w:p w14:paraId="3187AC4F" w14:textId="0B50752A" w:rsidR="00CB182A" w:rsidRPr="00CB182A" w:rsidRDefault="00CB182A" w:rsidP="00CB182A">
      <w:pPr>
        <w:pStyle w:val="Caption"/>
      </w:pPr>
      <w:bookmarkStart w:id="395" w:name="_Ref207788106"/>
      <w:bookmarkStart w:id="396" w:name="_Toc207899233"/>
      <w:bookmarkStart w:id="397" w:name="_Toc211604205"/>
      <w:r>
        <w:t xml:space="preserve">Figure </w:t>
      </w:r>
      <w:r w:rsidRPr="00CB182A">
        <w:fldChar w:fldCharType="begin"/>
      </w:r>
      <w:r w:rsidRPr="00CB182A">
        <w:instrText xml:space="preserve"> SEQ Figure \* ARABIC </w:instrText>
      </w:r>
      <w:r w:rsidRPr="00CB182A">
        <w:fldChar w:fldCharType="separate"/>
      </w:r>
      <w:r w:rsidR="009E6E1D">
        <w:rPr>
          <w:noProof/>
        </w:rPr>
        <w:t>56</w:t>
      </w:r>
      <w:r w:rsidRPr="00CB182A">
        <w:fldChar w:fldCharType="end"/>
      </w:r>
      <w:bookmarkEnd w:id="395"/>
      <w:r w:rsidRPr="00CB182A">
        <w:t xml:space="preserve">: </w:t>
      </w:r>
      <w:r w:rsidR="007D78EC">
        <w:t>JSA</w:t>
      </w:r>
      <w:r w:rsidRPr="00CB182A">
        <w:t xml:space="preserve"> social media reach and engagement</w:t>
      </w:r>
      <w:bookmarkEnd w:id="396"/>
      <w:bookmarkEnd w:id="397"/>
    </w:p>
    <w:p w14:paraId="3CEA18AF" w14:textId="1E602C2E" w:rsidR="00CB182A" w:rsidRPr="00CB182A" w:rsidRDefault="00CB182A" w:rsidP="00CB182A">
      <w:r w:rsidRPr="00CB182A">
        <w:rPr>
          <w:noProof/>
        </w:rPr>
        <w:drawing>
          <wp:inline distT="0" distB="0" distL="0" distR="0" wp14:anchorId="5B1F73AF" wp14:editId="3D909308">
            <wp:extent cx="5947200" cy="2137324"/>
            <wp:effectExtent l="0" t="0" r="0" b="0"/>
            <wp:docPr id="333869128" name="Picture 1" descr="A visualisation of the information previously mention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869128" name="Picture 1" descr="A visualisation of the information previously mentioned. "/>
                    <pic:cNvPicPr/>
                  </pic:nvPicPr>
                  <pic:blipFill>
                    <a:blip r:embed="rId140">
                      <a:extLst>
                        <a:ext uri="{28A0092B-C50C-407E-A947-70E740481C1C}">
                          <a14:useLocalDpi xmlns:a14="http://schemas.microsoft.com/office/drawing/2010/main" val="0"/>
                        </a:ext>
                      </a:extLst>
                    </a:blip>
                    <a:stretch>
                      <a:fillRect/>
                    </a:stretch>
                  </pic:blipFill>
                  <pic:spPr>
                    <a:xfrm>
                      <a:off x="0" y="0"/>
                      <a:ext cx="5947200" cy="2137324"/>
                    </a:xfrm>
                    <a:prstGeom prst="rect">
                      <a:avLst/>
                    </a:prstGeom>
                  </pic:spPr>
                </pic:pic>
              </a:graphicData>
            </a:graphic>
          </wp:inline>
        </w:drawing>
      </w:r>
    </w:p>
    <w:p w14:paraId="7BC1C993" w14:textId="4A465DD6" w:rsidR="00CB182A" w:rsidRDefault="00CB182A" w:rsidP="00B7419E">
      <w:pPr>
        <w:pStyle w:val="Source"/>
      </w:pPr>
      <w:r>
        <w:t>Source: LinkedIn Analytics</w:t>
      </w:r>
      <w:r w:rsidR="00171A71">
        <w:t>.</w:t>
      </w:r>
    </w:p>
    <w:p w14:paraId="545F0662" w14:textId="17A98D2B" w:rsidR="00CB182A" w:rsidRDefault="00CB182A" w:rsidP="00CB182A">
      <w:r>
        <w:t>In addition to a strong presence on social media, JSA has continued to look for ways to activate an informed dialogue, utilising traditional media to reach as many people as possible. Over the past twelve months (September 2024 to September 2025), JSA has received more than 1</w:t>
      </w:r>
      <w:r w:rsidR="00C453B6">
        <w:t>,</w:t>
      </w:r>
      <w:r>
        <w:t xml:space="preserve">000 mentions in news coverage items including print, digital, radio and TV. In the same span of time, Commissioner Barney Glover received 242 mentions. </w:t>
      </w:r>
    </w:p>
    <w:p w14:paraId="5C84D2B7" w14:textId="77777777" w:rsidR="00CB182A" w:rsidRDefault="00CB182A" w:rsidP="00CB182A">
      <w:pPr>
        <w:pStyle w:val="Heading3"/>
      </w:pPr>
      <w:bookmarkStart w:id="398" w:name="_Toc207383259"/>
      <w:bookmarkStart w:id="399" w:name="_Toc208923438"/>
      <w:bookmarkStart w:id="400" w:name="_Toc211587055"/>
      <w:r>
        <w:t>Working with you</w:t>
      </w:r>
      <w:bookmarkEnd w:id="398"/>
      <w:bookmarkEnd w:id="399"/>
      <w:bookmarkEnd w:id="400"/>
    </w:p>
    <w:p w14:paraId="53E491CC" w14:textId="4AFC3917" w:rsidR="00CB182A" w:rsidRDefault="00CB182A" w:rsidP="00FE6535">
      <w:pPr>
        <w:pStyle w:val="BodyText"/>
      </w:pPr>
      <w:r>
        <w:t>JSA continues to prioritise meaningful engagement with stakeholders across the country. In 2024</w:t>
      </w:r>
      <w:r w:rsidR="003512FC">
        <w:t>–</w:t>
      </w:r>
      <w:r>
        <w:t xml:space="preserve">25 financial year, we undertook </w:t>
      </w:r>
      <w:r w:rsidR="00E72D76">
        <w:t>5 p</w:t>
      </w:r>
      <w:r>
        <w:t>ublic consultation processes, receiving 1313 formal submissions. These consultations were supported by a broad mix of engagement activities – including workshops, interviews, roundtables, meetings and focus groups – held both in person and online (</w:t>
      </w:r>
      <w:r>
        <w:fldChar w:fldCharType="begin"/>
      </w:r>
      <w:r>
        <w:instrText xml:space="preserve"> REF _Ref207632760 \h </w:instrText>
      </w:r>
      <w:r w:rsidR="00B7419E">
        <w:instrText xml:space="preserve"> \* MERGEFORMAT </w:instrText>
      </w:r>
      <w:r>
        <w:fldChar w:fldCharType="separate"/>
      </w:r>
      <w:r w:rsidR="009E6E1D">
        <w:t xml:space="preserve">Figure </w:t>
      </w:r>
      <w:r w:rsidR="009E6E1D">
        <w:rPr>
          <w:noProof/>
        </w:rPr>
        <w:t>57</w:t>
      </w:r>
      <w:r>
        <w:fldChar w:fldCharType="end"/>
      </w:r>
      <w:r>
        <w:t>).</w:t>
      </w:r>
    </w:p>
    <w:p w14:paraId="02BA22B1" w14:textId="778C1D8B" w:rsidR="00CB182A" w:rsidRPr="00CB182A" w:rsidRDefault="00CB182A" w:rsidP="00CB182A">
      <w:pPr>
        <w:pStyle w:val="Caption"/>
      </w:pPr>
      <w:bookmarkStart w:id="401" w:name="_Ref207632760"/>
      <w:bookmarkStart w:id="402" w:name="_Toc207899234"/>
      <w:bookmarkStart w:id="403" w:name="_Toc211604206"/>
      <w:r>
        <w:t xml:space="preserve">Figure </w:t>
      </w:r>
      <w:r w:rsidRPr="00CB182A">
        <w:fldChar w:fldCharType="begin"/>
      </w:r>
      <w:r w:rsidRPr="00CB182A">
        <w:instrText xml:space="preserve"> SEQ Figure \* ARABIC </w:instrText>
      </w:r>
      <w:r w:rsidRPr="00CB182A">
        <w:fldChar w:fldCharType="separate"/>
      </w:r>
      <w:r w:rsidR="009E6E1D">
        <w:rPr>
          <w:noProof/>
        </w:rPr>
        <w:t>57</w:t>
      </w:r>
      <w:r w:rsidRPr="00CB182A">
        <w:fldChar w:fldCharType="end"/>
      </w:r>
      <w:bookmarkEnd w:id="401"/>
      <w:r w:rsidRPr="00CB182A">
        <w:t>: Key consultation figures</w:t>
      </w:r>
      <w:bookmarkEnd w:id="402"/>
      <w:bookmarkEnd w:id="403"/>
    </w:p>
    <w:p w14:paraId="39D1A323" w14:textId="0C396E25" w:rsidR="00CB182A" w:rsidRPr="00811E37" w:rsidRDefault="00CB182A" w:rsidP="00CB182A">
      <w:r w:rsidRPr="00CB182A">
        <w:rPr>
          <w:noProof/>
        </w:rPr>
        <w:drawing>
          <wp:inline distT="0" distB="0" distL="0" distR="0" wp14:anchorId="55F26398" wp14:editId="4BDB739F">
            <wp:extent cx="5866485" cy="2520000"/>
            <wp:effectExtent l="0" t="0" r="1270" b="0"/>
            <wp:docPr id="1331968712" name="Picture 1" descr="A visualisation of the information previously mention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968712" name="Picture 1" descr="A visualisation of the information previously mentioned. "/>
                    <pic:cNvPicPr/>
                  </pic:nvPicPr>
                  <pic:blipFill>
                    <a:blip r:embed="rId141">
                      <a:extLst>
                        <a:ext uri="{28A0092B-C50C-407E-A947-70E740481C1C}">
                          <a14:useLocalDpi xmlns:a14="http://schemas.microsoft.com/office/drawing/2010/main" val="0"/>
                        </a:ext>
                      </a:extLst>
                    </a:blip>
                    <a:stretch>
                      <a:fillRect/>
                    </a:stretch>
                  </pic:blipFill>
                  <pic:spPr>
                    <a:xfrm>
                      <a:off x="0" y="0"/>
                      <a:ext cx="5866485" cy="2520000"/>
                    </a:xfrm>
                    <a:prstGeom prst="rect">
                      <a:avLst/>
                    </a:prstGeom>
                  </pic:spPr>
                </pic:pic>
              </a:graphicData>
            </a:graphic>
          </wp:inline>
        </w:drawing>
      </w:r>
    </w:p>
    <w:p w14:paraId="3A6C5075" w14:textId="77777777" w:rsidR="00CB182A" w:rsidRDefault="00CB182A" w:rsidP="00B7419E">
      <w:pPr>
        <w:pStyle w:val="BodyText"/>
      </w:pPr>
      <w:r w:rsidRPr="00811E37">
        <w:t>Beyond structured consultations, JSA actively participates in ongoing engagement mechanisms such as government committees, steering and working groups, and stakeholder-led forums. We also undertake proactive, reactive and strategic consultation outside formal channels, and maintain a continuous feedback loop with employers through our survey mechanisms. These efforts help ensure our work is grounded in the lived experiences of those shaping and navigating Australia’s labour market.</w:t>
      </w:r>
    </w:p>
    <w:p w14:paraId="78A51B67" w14:textId="77777777" w:rsidR="00C820A3" w:rsidRDefault="00CB182A" w:rsidP="00F0035D">
      <w:pPr>
        <w:pStyle w:val="Heading3"/>
      </w:pPr>
      <w:bookmarkStart w:id="404" w:name="_Toc211587056"/>
      <w:r w:rsidRPr="00CB182A">
        <w:t>Spotlight: National roadshow and place-based engagement</w:t>
      </w:r>
      <w:bookmarkEnd w:id="404"/>
    </w:p>
    <w:p w14:paraId="685761B5" w14:textId="12A1FB64" w:rsidR="00CB182A" w:rsidRPr="0054654A" w:rsidRDefault="00CB182A" w:rsidP="00B7419E">
      <w:pPr>
        <w:pStyle w:val="BodyText"/>
      </w:pPr>
      <w:r>
        <w:t xml:space="preserve">In late 2024, JSA undertook a national roadshow to connect directly with stakeholders across the country. Starting at Parliament House in Canberra on 18 November and visiting every capital city, the roadshow provided a fresh opportunity to share the 2024 Jobs and Skills Report, showcase key products, and discuss future directions. More than 1,000 attendees engaged with tools and insights including the Jobs and Skills Atlas, the </w:t>
      </w:r>
      <w:r w:rsidR="002C63ED">
        <w:t>OSL</w:t>
      </w:r>
      <w:r>
        <w:t>, Employment Projections, Occupation and Industry Profiles, and NERO.</w:t>
      </w:r>
    </w:p>
    <w:p w14:paraId="7B4C4859" w14:textId="6B9AD20E" w:rsidR="00CB182A" w:rsidRPr="0054654A" w:rsidRDefault="00CB182A" w:rsidP="00B7419E">
      <w:pPr>
        <w:pStyle w:val="BodyText"/>
      </w:pPr>
      <w:r>
        <w:t xml:space="preserve">Each city event was shaped around a distinct theme, reflecting </w:t>
      </w:r>
      <w:r w:rsidR="002C63ED">
        <w:t>our</w:t>
      </w:r>
      <w:r>
        <w:t xml:space="preserve"> Commissioner’s Outcomes and local priorities – from regional participation to the clean economy. These sessions created a valuable platform for informed dialogue, enabling deeper understanding of national skills priorities and fostering collaboration across sectors and regions.</w:t>
      </w:r>
    </w:p>
    <w:p w14:paraId="3880783E" w14:textId="77777777" w:rsidR="00CB182A" w:rsidRDefault="00CB182A" w:rsidP="00CB182A">
      <w:pPr>
        <w:pStyle w:val="Heading3"/>
      </w:pPr>
      <w:bookmarkStart w:id="405" w:name="_Toc207383260"/>
      <w:bookmarkStart w:id="406" w:name="_Toc208923439"/>
      <w:bookmarkStart w:id="407" w:name="_Toc211587057"/>
      <w:r>
        <w:t>Jobs and Skills Council collaboration</w:t>
      </w:r>
      <w:bookmarkEnd w:id="405"/>
      <w:bookmarkEnd w:id="406"/>
      <w:bookmarkEnd w:id="407"/>
    </w:p>
    <w:p w14:paraId="3391AA61" w14:textId="6A481689" w:rsidR="00CB182A" w:rsidRDefault="00CB182A" w:rsidP="00B7419E">
      <w:pPr>
        <w:pStyle w:val="BodyText"/>
      </w:pPr>
      <w:r w:rsidRPr="000E4EBB">
        <w:t xml:space="preserve">Last year’s report outlined the evolving architecture of Australia’s workforce and skills system, highlighting the complementary roles of </w:t>
      </w:r>
      <w:r>
        <w:t xml:space="preserve">JSA </w:t>
      </w:r>
      <w:r w:rsidRPr="000E4EBB">
        <w:t xml:space="preserve">and the </w:t>
      </w:r>
      <w:r w:rsidR="002C63ED">
        <w:t>10</w:t>
      </w:r>
      <w:r w:rsidRPr="000E4EBB">
        <w:t xml:space="preserve"> industry-led </w:t>
      </w:r>
      <w:r>
        <w:t>JSCs</w:t>
      </w:r>
      <w:r w:rsidRPr="000E4EBB">
        <w:t xml:space="preserve">. JSA’s remit spans the national landscape, providing economy-wide data, analysis and advice on labour market dynamics, skills needs, and </w:t>
      </w:r>
      <w:r>
        <w:t>skills system performance</w:t>
      </w:r>
      <w:r w:rsidRPr="000E4EBB">
        <w:t>. JSCs operate within specific industries, bringing together employers, unions</w:t>
      </w:r>
      <w:r>
        <w:t>,</w:t>
      </w:r>
      <w:r w:rsidRPr="000E4EBB">
        <w:t xml:space="preserve"> and governments</w:t>
      </w:r>
      <w:r>
        <w:t xml:space="preserve"> </w:t>
      </w:r>
      <w:r w:rsidRPr="000E4EBB">
        <w:t xml:space="preserve">to identify and address sectoral workforce challenges. </w:t>
      </w:r>
    </w:p>
    <w:p w14:paraId="76422C7E" w14:textId="4B93B6E4" w:rsidR="00CB182A" w:rsidRDefault="00CB182A" w:rsidP="00B7419E">
      <w:pPr>
        <w:pStyle w:val="BodyText"/>
      </w:pPr>
      <w:r w:rsidRPr="000E4EBB">
        <w:t>This structure enables a coordinated approach to workforce development, with JSA and JSCs working in partnership to align national insights with industry expertise. JSA supports JSCs by sharing data and</w:t>
      </w:r>
      <w:r>
        <w:t xml:space="preserve"> providing</w:t>
      </w:r>
      <w:r w:rsidRPr="000E4EBB">
        <w:t xml:space="preserve"> technical guidance, while JSCs contribute on-the-ground intelligence that strengthens the national evidence base.</w:t>
      </w:r>
      <w:r>
        <w:t xml:space="preserve"> Last year, key contributions from JSCs informed our two major capacity studies – focused on early childhood education and care</w:t>
      </w:r>
      <w:r w:rsidR="00C453B6">
        <w:t>,</w:t>
      </w:r>
      <w:r>
        <w:t xml:space="preserve"> and the food supply chain – and they also provided critical input into a number of our other key products and analysis. JSCs continued to support capacity and cohort studies through 2025, contributing to major publications on </w:t>
      </w:r>
      <w:r w:rsidR="00946214">
        <w:t xml:space="preserve">Gen </w:t>
      </w:r>
      <w:r>
        <w:t xml:space="preserve">AI and gender economic equity. </w:t>
      </w:r>
    </w:p>
    <w:p w14:paraId="384A60D4" w14:textId="13256D5B" w:rsidR="00CB182A" w:rsidRPr="00CF7085" w:rsidRDefault="00CB182A" w:rsidP="00B7419E">
      <w:pPr>
        <w:pStyle w:val="BodyText"/>
        <w:rPr>
          <w:highlight w:val="yellow"/>
        </w:rPr>
      </w:pPr>
      <w:r w:rsidRPr="000E4EBB">
        <w:t xml:space="preserve">Workforce planning </w:t>
      </w:r>
      <w:r>
        <w:t>is a</w:t>
      </w:r>
      <w:r w:rsidRPr="000E4EBB">
        <w:t xml:space="preserve"> central strategic function of JSCs, with </w:t>
      </w:r>
      <w:r>
        <w:t xml:space="preserve">last year’s </w:t>
      </w:r>
      <w:r w:rsidRPr="000E4EBB">
        <w:t xml:space="preserve">published plans revealing common challenges and opportunities across sectors. </w:t>
      </w:r>
      <w:r w:rsidRPr="00884A5C">
        <w:t xml:space="preserve">JSC workforce plans for 2025 are shaped by several cross-cutting themes, including widespread workforce and skills shortages, and ongoing challenges in attracting and retaining talent. Diversity and inclusion remain key concerns, with many sectors facing ageing workforces, significant gender imbalances in critical roles, and persistent barriers to participation for First Nations people and people with disability. Technological change and the growing demand for digital skills are evident across all plans. There are clear opportunities to improve career awareness and </w:t>
      </w:r>
      <w:r w:rsidR="00D40A65">
        <w:t>more clearly articulate</w:t>
      </w:r>
      <w:r w:rsidRPr="00884A5C">
        <w:t xml:space="preserve"> pathways and progression within industries. All JSCs also highlight </w:t>
      </w:r>
      <w:r w:rsidR="00267C0F">
        <w:t>broader</w:t>
      </w:r>
      <w:r w:rsidR="00267C0F" w:rsidRPr="00884A5C">
        <w:t xml:space="preserve"> </w:t>
      </w:r>
      <w:r w:rsidRPr="00884A5C">
        <w:t>issues within the national training system, including the need for training products to align more closely with evolving industry needs and challenges related to the VET workforce.</w:t>
      </w:r>
      <w:r>
        <w:t xml:space="preserve"> </w:t>
      </w:r>
      <w:r w:rsidRPr="000E4EBB">
        <w:t>JSA contributed to this work by providing cohort-specific data and undertaking targeted studies to support inclusive planning.</w:t>
      </w:r>
    </w:p>
    <w:p w14:paraId="36432876" w14:textId="77777777" w:rsidR="00CB182A" w:rsidRDefault="00CB182A" w:rsidP="00CB182A">
      <w:pPr>
        <w:pStyle w:val="Heading3"/>
      </w:pPr>
      <w:bookmarkStart w:id="408" w:name="_Toc207383261"/>
      <w:bookmarkStart w:id="409" w:name="_Toc208923440"/>
      <w:bookmarkStart w:id="410" w:name="_Toc211587058"/>
      <w:r>
        <w:t>International connections</w:t>
      </w:r>
      <w:bookmarkEnd w:id="408"/>
      <w:bookmarkEnd w:id="409"/>
      <w:bookmarkEnd w:id="410"/>
    </w:p>
    <w:p w14:paraId="49740DDC" w14:textId="2A13DD8F" w:rsidR="00CB182A" w:rsidRDefault="00CB182A" w:rsidP="00B55E08">
      <w:pPr>
        <w:pStyle w:val="BodyText"/>
        <w:keepLines/>
      </w:pPr>
      <w:r>
        <w:t>JSA contributes to a range of international forums focused on workforce development and skills reform. Over the past year, we</w:t>
      </w:r>
      <w:r w:rsidR="00C453B6">
        <w:t xml:space="preserve"> have</w:t>
      </w:r>
      <w:r>
        <w:t xml:space="preserve"> supported Aus4ASEAN, collaborated with the International Labour Organization on skills frameworks and validation for our AI study, and shared insights with the OECD and World Bank on skills-first approaches and potential communities of practice. We also worked with the World Economic Forum on the development of Australia’s NST, helping to shape global thinking on skills classification and application.</w:t>
      </w:r>
    </w:p>
    <w:p w14:paraId="04448658" w14:textId="517B8329" w:rsidR="00CB182A" w:rsidRDefault="00CB182A" w:rsidP="00B7419E">
      <w:pPr>
        <w:pStyle w:val="BodyText"/>
      </w:pPr>
      <w:r>
        <w:t>We</w:t>
      </w:r>
      <w:r w:rsidR="00C453B6">
        <w:t xml:space="preserve"> have</w:t>
      </w:r>
      <w:r>
        <w:t xml:space="preserve"> deepened bilateral relationships across Europe, Asia, North America and the Pacific, sharing Australia’s approach to labour market analysis, skills forecasting and qualifications reform. Our work has ranged from technical advice on skills frameworks and taxonomies to joint discussions on clean energy transitions, sustainable talent development, and future skills needs. In Singapore, </w:t>
      </w:r>
      <w:r w:rsidR="005E50B2">
        <w:t>the</w:t>
      </w:r>
      <w:r>
        <w:t xml:space="preserve"> Commissioner also serves as a special advisor on their skills-first initiative.</w:t>
      </w:r>
    </w:p>
    <w:p w14:paraId="53E29424" w14:textId="77777777" w:rsidR="00CB182A" w:rsidRDefault="00CB182A" w:rsidP="00B7419E">
      <w:pPr>
        <w:pStyle w:val="BodyText"/>
      </w:pPr>
      <w:r>
        <w:t>JSA also provides insights, analysis, and advice to support Australian Government stakeholders ahead of international engagements and negotiations. We work closely with the Department of Foreign Affairs and Trade and the Department of Home Affairs to ensure our advice is consistent with treaty status and international obligations, and to support Australia’s strategic interests in labour mobility and workforce development.</w:t>
      </w:r>
    </w:p>
    <w:p w14:paraId="365A0F6E" w14:textId="568E956C" w:rsidR="00DD3325" w:rsidRDefault="00CB182A" w:rsidP="00B7419E">
      <w:pPr>
        <w:pStyle w:val="BodyText"/>
      </w:pPr>
      <w:r>
        <w:t xml:space="preserve">Our growing international profile is also reflected in website engagement. Between July 2024 and June 2025, Australian viewers accounted for nearly 5 million views, but this was followed by individuals in India, the United States, the United Kingdom and Vietnam. </w:t>
      </w:r>
      <w:r>
        <w:fldChar w:fldCharType="begin"/>
      </w:r>
      <w:r>
        <w:instrText xml:space="preserve"> REF _Ref207632795 \h </w:instrText>
      </w:r>
      <w:r w:rsidR="00B7419E">
        <w:instrText xml:space="preserve"> \* MERGEFORMAT </w:instrText>
      </w:r>
      <w:r>
        <w:fldChar w:fldCharType="separate"/>
      </w:r>
      <w:r w:rsidR="009E6E1D">
        <w:t xml:space="preserve">Figure </w:t>
      </w:r>
      <w:r w:rsidR="009E6E1D">
        <w:rPr>
          <w:noProof/>
        </w:rPr>
        <w:t>58</w:t>
      </w:r>
      <w:r>
        <w:fldChar w:fldCharType="end"/>
      </w:r>
      <w:r>
        <w:t xml:space="preserve"> highlights the breadth of our global engagement and the increasing demand for JSA’s insights across borders.</w:t>
      </w:r>
    </w:p>
    <w:p w14:paraId="05E3D9E4" w14:textId="77777777" w:rsidR="00DD3325" w:rsidRDefault="00DD3325">
      <w:r>
        <w:br w:type="page"/>
      </w:r>
    </w:p>
    <w:p w14:paraId="380ECD72" w14:textId="02031E2B" w:rsidR="00CB182A" w:rsidRDefault="00CB182A" w:rsidP="00CB182A">
      <w:pPr>
        <w:pStyle w:val="Caption"/>
      </w:pPr>
      <w:bookmarkStart w:id="411" w:name="_Ref207632795"/>
      <w:bookmarkStart w:id="412" w:name="_Toc207899235"/>
      <w:bookmarkStart w:id="413" w:name="_Toc211604207"/>
      <w:r>
        <w:t xml:space="preserve">Figure </w:t>
      </w:r>
      <w:r w:rsidRPr="00CB182A">
        <w:fldChar w:fldCharType="begin"/>
      </w:r>
      <w:r w:rsidRPr="00CB182A">
        <w:instrText xml:space="preserve"> SEQ Figure \* ARABIC </w:instrText>
      </w:r>
      <w:r w:rsidRPr="00CB182A">
        <w:fldChar w:fldCharType="separate"/>
      </w:r>
      <w:r w:rsidR="009E6E1D">
        <w:rPr>
          <w:noProof/>
        </w:rPr>
        <w:t>58</w:t>
      </w:r>
      <w:r w:rsidRPr="00CB182A">
        <w:fldChar w:fldCharType="end"/>
      </w:r>
      <w:bookmarkEnd w:id="411"/>
      <w:r w:rsidRPr="00CB182A">
        <w:t>: International engagement</w:t>
      </w:r>
      <w:bookmarkEnd w:id="412"/>
      <w:bookmarkEnd w:id="413"/>
    </w:p>
    <w:p w14:paraId="47F9958E" w14:textId="5B4849C9" w:rsidR="000E28A2" w:rsidRPr="0079410B" w:rsidRDefault="00A62342" w:rsidP="000E28A2">
      <w:pPr>
        <w:pStyle w:val="BodyText"/>
        <w:rPr>
          <w:b/>
          <w:bCs/>
          <w:color w:val="FFFFFF" w:themeColor="background1"/>
          <w:sz w:val="18"/>
          <w:szCs w:val="16"/>
        </w:rPr>
      </w:pPr>
      <w:r w:rsidRPr="0079410B">
        <w:rPr>
          <w:noProof/>
          <w:color w:val="FFFFFF" w:themeColor="background1"/>
          <w:sz w:val="18"/>
          <w:szCs w:val="16"/>
        </w:rPr>
        <w:drawing>
          <wp:anchor distT="0" distB="0" distL="114300" distR="114300" simplePos="0" relativeHeight="251668480" behindDoc="0" locked="0" layoutInCell="1" allowOverlap="1" wp14:anchorId="5B25E838" wp14:editId="79C9159D">
            <wp:simplePos x="0" y="0"/>
            <wp:positionH relativeFrom="margin">
              <wp:align>left</wp:align>
            </wp:positionH>
            <wp:positionV relativeFrom="paragraph">
              <wp:posOffset>84635</wp:posOffset>
            </wp:positionV>
            <wp:extent cx="5947200" cy="5979600"/>
            <wp:effectExtent l="0" t="0" r="0" b="2540"/>
            <wp:wrapNone/>
            <wp:docPr id="83056367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63673" name="Picture 2">
                      <a:extLst>
                        <a:ext uri="{C183D7F6-B498-43B3-948B-1728B52AA6E4}">
                          <adec:decorative xmlns:adec="http://schemas.microsoft.com/office/drawing/2017/decorative" val="1"/>
                        </a:ext>
                      </a:extLst>
                    </pic:cNvPr>
                    <pic:cNvPicPr>
                      <a:picLocks noChangeAspect="1" noChangeArrowheads="1"/>
                    </pic:cNvPicPr>
                  </pic:nvPicPr>
                  <pic:blipFill>
                    <a:blip r:embed="rId142">
                      <a:extLst>
                        <a:ext uri="{28A0092B-C50C-407E-A947-70E740481C1C}">
                          <a14:useLocalDpi xmlns:a14="http://schemas.microsoft.com/office/drawing/2010/main" val="0"/>
                        </a:ext>
                      </a:extLst>
                    </a:blip>
                    <a:stretch>
                      <a:fillRect/>
                    </a:stretch>
                  </pic:blipFill>
                  <pic:spPr bwMode="auto">
                    <a:xfrm>
                      <a:off x="0" y="0"/>
                      <a:ext cx="5947200" cy="597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AB115B" w:rsidRPr="0079410B">
        <w:rPr>
          <w:b/>
          <w:bCs/>
          <w:color w:val="FFFFFF" w:themeColor="background1"/>
          <w:sz w:val="18"/>
          <w:szCs w:val="16"/>
        </w:rPr>
        <w:t>Country notes</w:t>
      </w:r>
    </w:p>
    <w:p w14:paraId="29A66567" w14:textId="63885353" w:rsidR="000E28A2" w:rsidRPr="0079410B" w:rsidRDefault="000E28A2" w:rsidP="000E28A2">
      <w:pPr>
        <w:pStyle w:val="ListParagraph"/>
        <w:numPr>
          <w:ilvl w:val="0"/>
          <w:numId w:val="76"/>
        </w:numPr>
        <w:spacing w:after="160" w:line="259" w:lineRule="auto"/>
        <w:rPr>
          <w:color w:val="FFFFFF" w:themeColor="background1"/>
          <w:sz w:val="18"/>
          <w:szCs w:val="16"/>
        </w:rPr>
      </w:pPr>
      <w:r w:rsidRPr="0079410B">
        <w:rPr>
          <w:color w:val="FFFFFF" w:themeColor="background1"/>
          <w:sz w:val="18"/>
          <w:szCs w:val="16"/>
        </w:rPr>
        <w:t>Canada – Information sharing on skills frameworks and Atlas, including technology and approach</w:t>
      </w:r>
    </w:p>
    <w:p w14:paraId="6F8CE8CC" w14:textId="6F3B9176" w:rsidR="000E28A2" w:rsidRPr="0079410B" w:rsidRDefault="000E28A2" w:rsidP="000E28A2">
      <w:pPr>
        <w:pStyle w:val="ListParagraph"/>
        <w:numPr>
          <w:ilvl w:val="0"/>
          <w:numId w:val="76"/>
        </w:numPr>
        <w:spacing w:after="160" w:line="259" w:lineRule="auto"/>
        <w:rPr>
          <w:color w:val="FFFFFF" w:themeColor="background1"/>
          <w:sz w:val="18"/>
          <w:szCs w:val="16"/>
        </w:rPr>
      </w:pPr>
      <w:r w:rsidRPr="0079410B">
        <w:rPr>
          <w:color w:val="FFFFFF" w:themeColor="background1"/>
          <w:sz w:val="18"/>
          <w:szCs w:val="16"/>
        </w:rPr>
        <w:t xml:space="preserve">China – </w:t>
      </w:r>
      <w:r w:rsidR="0079410B" w:rsidRPr="0079410B">
        <w:rPr>
          <w:color w:val="FFFFFF" w:themeColor="background1"/>
          <w:sz w:val="18"/>
          <w:szCs w:val="16"/>
        </w:rPr>
        <w:t>WorldSkills</w:t>
      </w:r>
      <w:r w:rsidRPr="0079410B">
        <w:rPr>
          <w:color w:val="FFFFFF" w:themeColor="background1"/>
          <w:sz w:val="18"/>
          <w:szCs w:val="16"/>
        </w:rPr>
        <w:t xml:space="preserve"> International 2026 International Skills Championships</w:t>
      </w:r>
    </w:p>
    <w:p w14:paraId="0BCBC5C9" w14:textId="6C01A7DB" w:rsidR="000E28A2" w:rsidRPr="0079410B" w:rsidRDefault="000E28A2" w:rsidP="000E28A2">
      <w:pPr>
        <w:pStyle w:val="ListParagraph"/>
        <w:numPr>
          <w:ilvl w:val="0"/>
          <w:numId w:val="76"/>
        </w:numPr>
        <w:spacing w:after="160" w:line="259" w:lineRule="auto"/>
        <w:rPr>
          <w:color w:val="FFFFFF" w:themeColor="background1"/>
          <w:sz w:val="18"/>
          <w:szCs w:val="16"/>
        </w:rPr>
      </w:pPr>
      <w:r w:rsidRPr="0079410B">
        <w:rPr>
          <w:color w:val="FFFFFF" w:themeColor="background1"/>
          <w:sz w:val="18"/>
          <w:szCs w:val="16"/>
        </w:rPr>
        <w:t>Fiji – Information sharing on Australia’s approach to labour market analysis</w:t>
      </w:r>
    </w:p>
    <w:p w14:paraId="236F643F" w14:textId="578DB9B8" w:rsidR="000E28A2" w:rsidRPr="0079410B" w:rsidRDefault="000E28A2" w:rsidP="000E28A2">
      <w:pPr>
        <w:pStyle w:val="ListParagraph"/>
        <w:numPr>
          <w:ilvl w:val="0"/>
          <w:numId w:val="76"/>
        </w:numPr>
        <w:spacing w:after="160" w:line="259" w:lineRule="auto"/>
        <w:rPr>
          <w:color w:val="FFFFFF" w:themeColor="background1"/>
          <w:sz w:val="18"/>
          <w:szCs w:val="16"/>
        </w:rPr>
      </w:pPr>
      <w:r w:rsidRPr="0079410B">
        <w:rPr>
          <w:color w:val="FFFFFF" w:themeColor="background1"/>
          <w:sz w:val="18"/>
          <w:szCs w:val="16"/>
        </w:rPr>
        <w:t>Germany – Two-way engagement on clean energy</w:t>
      </w:r>
    </w:p>
    <w:p w14:paraId="03658F85" w14:textId="3FB5F784" w:rsidR="000E28A2" w:rsidRPr="0079410B" w:rsidRDefault="000E28A2" w:rsidP="000E28A2">
      <w:pPr>
        <w:pStyle w:val="ListParagraph"/>
        <w:numPr>
          <w:ilvl w:val="0"/>
          <w:numId w:val="76"/>
        </w:numPr>
        <w:spacing w:after="160" w:line="259" w:lineRule="auto"/>
        <w:rPr>
          <w:color w:val="FFFFFF" w:themeColor="background1"/>
          <w:sz w:val="18"/>
          <w:szCs w:val="16"/>
        </w:rPr>
      </w:pPr>
      <w:r w:rsidRPr="0079410B">
        <w:rPr>
          <w:color w:val="FFFFFF" w:themeColor="background1"/>
          <w:sz w:val="18"/>
          <w:szCs w:val="16"/>
        </w:rPr>
        <w:t>Ireland – Engagement on Ireland’s skills audit and Australia’s approach to future skills needs</w:t>
      </w:r>
    </w:p>
    <w:p w14:paraId="6A3F917E" w14:textId="795A3988" w:rsidR="000E28A2" w:rsidRPr="0079410B" w:rsidRDefault="000E28A2" w:rsidP="000E28A2">
      <w:pPr>
        <w:pStyle w:val="ListParagraph"/>
        <w:numPr>
          <w:ilvl w:val="0"/>
          <w:numId w:val="76"/>
        </w:numPr>
        <w:spacing w:after="160" w:line="259" w:lineRule="auto"/>
        <w:rPr>
          <w:color w:val="FFFFFF" w:themeColor="background1"/>
          <w:sz w:val="18"/>
          <w:szCs w:val="16"/>
        </w:rPr>
      </w:pPr>
      <w:r w:rsidRPr="0079410B">
        <w:rPr>
          <w:color w:val="FFFFFF" w:themeColor="background1"/>
          <w:sz w:val="18"/>
          <w:szCs w:val="16"/>
        </w:rPr>
        <w:t>Malaysia – JSA advice on their development of a skills framework</w:t>
      </w:r>
    </w:p>
    <w:p w14:paraId="23BD871C" w14:textId="61E3103E" w:rsidR="000E28A2" w:rsidRPr="0079410B" w:rsidRDefault="000E28A2" w:rsidP="000E28A2">
      <w:pPr>
        <w:pStyle w:val="ListParagraph"/>
        <w:numPr>
          <w:ilvl w:val="0"/>
          <w:numId w:val="76"/>
        </w:numPr>
        <w:spacing w:after="160" w:line="259" w:lineRule="auto"/>
        <w:rPr>
          <w:color w:val="FFFFFF" w:themeColor="background1"/>
          <w:sz w:val="18"/>
          <w:szCs w:val="16"/>
        </w:rPr>
      </w:pPr>
      <w:r w:rsidRPr="0079410B">
        <w:rPr>
          <w:color w:val="FFFFFF" w:themeColor="background1"/>
          <w:sz w:val="18"/>
          <w:szCs w:val="16"/>
        </w:rPr>
        <w:t>Malta – JSA provided skills framework advice via the High Commission of Malta and undertook information sharing on Atlas including its technology and approach</w:t>
      </w:r>
    </w:p>
    <w:p w14:paraId="38F50C12" w14:textId="77777777" w:rsidR="000E28A2" w:rsidRPr="0079410B" w:rsidRDefault="000E28A2" w:rsidP="000E28A2">
      <w:pPr>
        <w:pStyle w:val="ListParagraph"/>
        <w:numPr>
          <w:ilvl w:val="0"/>
          <w:numId w:val="76"/>
        </w:numPr>
        <w:spacing w:after="160" w:line="259" w:lineRule="auto"/>
        <w:rPr>
          <w:color w:val="FFFFFF" w:themeColor="background1"/>
          <w:sz w:val="18"/>
          <w:szCs w:val="16"/>
        </w:rPr>
      </w:pPr>
      <w:r w:rsidRPr="0079410B">
        <w:rPr>
          <w:color w:val="FFFFFF" w:themeColor="background1"/>
          <w:sz w:val="18"/>
          <w:szCs w:val="16"/>
        </w:rPr>
        <w:t>Netherlands – Skills framework information sharing</w:t>
      </w:r>
    </w:p>
    <w:p w14:paraId="2BDCF2A5" w14:textId="77777777" w:rsidR="000E28A2" w:rsidRPr="0079410B" w:rsidRDefault="000E28A2" w:rsidP="000E28A2">
      <w:pPr>
        <w:pStyle w:val="ListParagraph"/>
        <w:numPr>
          <w:ilvl w:val="0"/>
          <w:numId w:val="76"/>
        </w:numPr>
        <w:spacing w:after="160" w:line="259" w:lineRule="auto"/>
        <w:rPr>
          <w:color w:val="FFFFFF" w:themeColor="background1"/>
          <w:sz w:val="18"/>
          <w:szCs w:val="16"/>
        </w:rPr>
      </w:pPr>
      <w:r w:rsidRPr="0079410B">
        <w:rPr>
          <w:color w:val="FFFFFF" w:themeColor="background1"/>
          <w:sz w:val="18"/>
          <w:szCs w:val="16"/>
        </w:rPr>
        <w:t>New Zealand – New Zealand Qualifications Authority on quals reform and taxonomy</w:t>
      </w:r>
    </w:p>
    <w:p w14:paraId="56557131" w14:textId="77777777" w:rsidR="000E28A2" w:rsidRPr="0079410B" w:rsidRDefault="000E28A2" w:rsidP="000E28A2">
      <w:pPr>
        <w:pStyle w:val="ListParagraph"/>
        <w:numPr>
          <w:ilvl w:val="0"/>
          <w:numId w:val="76"/>
        </w:numPr>
        <w:spacing w:after="160" w:line="259" w:lineRule="auto"/>
        <w:rPr>
          <w:color w:val="FFFFFF" w:themeColor="background1"/>
          <w:sz w:val="18"/>
          <w:szCs w:val="16"/>
        </w:rPr>
      </w:pPr>
      <w:r w:rsidRPr="0079410B">
        <w:rPr>
          <w:color w:val="FFFFFF" w:themeColor="background1"/>
          <w:sz w:val="18"/>
          <w:szCs w:val="16"/>
        </w:rPr>
        <w:t>Singapore – Two-way collaboration on skills frameworks and clean energy (Australia Singapore Green Skills Roundtable), JSA Commissioner is a special advisor on their skills-first project</w:t>
      </w:r>
    </w:p>
    <w:p w14:paraId="26E4490F" w14:textId="77777777" w:rsidR="000E28A2" w:rsidRPr="0079410B" w:rsidRDefault="000E28A2" w:rsidP="000E28A2">
      <w:pPr>
        <w:pStyle w:val="ListParagraph"/>
        <w:numPr>
          <w:ilvl w:val="0"/>
          <w:numId w:val="76"/>
        </w:numPr>
        <w:spacing w:after="160" w:line="259" w:lineRule="auto"/>
        <w:rPr>
          <w:color w:val="FFFFFF" w:themeColor="background1"/>
          <w:sz w:val="18"/>
          <w:szCs w:val="16"/>
        </w:rPr>
      </w:pPr>
      <w:r w:rsidRPr="0079410B">
        <w:rPr>
          <w:color w:val="FFFFFF" w:themeColor="background1"/>
          <w:sz w:val="18"/>
          <w:szCs w:val="16"/>
        </w:rPr>
        <w:t>Sweden – Skills framework information sharing</w:t>
      </w:r>
    </w:p>
    <w:p w14:paraId="1ED37947" w14:textId="1C008B98" w:rsidR="000E28A2" w:rsidRPr="0079410B" w:rsidRDefault="000E28A2" w:rsidP="000E28A2">
      <w:pPr>
        <w:pStyle w:val="ListParagraph"/>
        <w:numPr>
          <w:ilvl w:val="0"/>
          <w:numId w:val="76"/>
        </w:numPr>
        <w:spacing w:after="160" w:line="259" w:lineRule="auto"/>
        <w:rPr>
          <w:color w:val="FFFFFF" w:themeColor="background1"/>
          <w:sz w:val="18"/>
          <w:szCs w:val="16"/>
        </w:rPr>
      </w:pPr>
      <w:r w:rsidRPr="0079410B">
        <w:rPr>
          <w:color w:val="FFFFFF" w:themeColor="background1"/>
          <w:sz w:val="18"/>
          <w:szCs w:val="16"/>
        </w:rPr>
        <w:t>Taiwan – Exchange of views on sustainable talent development and economic resilience</w:t>
      </w:r>
    </w:p>
    <w:p w14:paraId="31E04E71" w14:textId="2F6C9618" w:rsidR="000E28A2" w:rsidRPr="0079410B" w:rsidRDefault="000E28A2" w:rsidP="000E28A2">
      <w:pPr>
        <w:pStyle w:val="ListParagraph"/>
        <w:numPr>
          <w:ilvl w:val="0"/>
          <w:numId w:val="76"/>
        </w:numPr>
        <w:spacing w:after="160" w:line="259" w:lineRule="auto"/>
        <w:rPr>
          <w:color w:val="FFFFFF" w:themeColor="background1"/>
          <w:sz w:val="18"/>
          <w:szCs w:val="16"/>
        </w:rPr>
      </w:pPr>
      <w:r w:rsidRPr="0079410B">
        <w:rPr>
          <w:color w:val="FFFFFF" w:themeColor="background1"/>
          <w:sz w:val="18"/>
          <w:szCs w:val="16"/>
        </w:rPr>
        <w:t>UK – Advice on establishment of Skills England and collaboration on a skills taxonomy; engagement with Medr, Wales’ recently established Commission for Tertiary Education and Research on skills forecasting techniques and strategic priorities</w:t>
      </w:r>
    </w:p>
    <w:p w14:paraId="052E20FE" w14:textId="3A157899" w:rsidR="000E28A2" w:rsidRPr="0079410B" w:rsidRDefault="00AB115B" w:rsidP="000E28A2">
      <w:pPr>
        <w:rPr>
          <w:b/>
          <w:bCs/>
          <w:color w:val="FFFFFF" w:themeColor="background1"/>
          <w:sz w:val="18"/>
          <w:szCs w:val="16"/>
        </w:rPr>
      </w:pPr>
      <w:r w:rsidRPr="0079410B">
        <w:rPr>
          <w:b/>
          <w:bCs/>
          <w:color w:val="FFFFFF" w:themeColor="background1"/>
          <w:sz w:val="18"/>
          <w:szCs w:val="16"/>
        </w:rPr>
        <w:t>Organisation notes</w:t>
      </w:r>
    </w:p>
    <w:p w14:paraId="55B45EE1" w14:textId="337A2570" w:rsidR="000E28A2" w:rsidRPr="0079410B" w:rsidRDefault="000E28A2" w:rsidP="000E28A2">
      <w:pPr>
        <w:pStyle w:val="ListParagraph"/>
        <w:numPr>
          <w:ilvl w:val="0"/>
          <w:numId w:val="77"/>
        </w:numPr>
        <w:spacing w:after="160" w:line="259" w:lineRule="auto"/>
        <w:rPr>
          <w:color w:val="FFFFFF" w:themeColor="background1"/>
          <w:sz w:val="18"/>
          <w:szCs w:val="16"/>
        </w:rPr>
      </w:pPr>
      <w:r w:rsidRPr="0079410B">
        <w:rPr>
          <w:color w:val="FFFFFF" w:themeColor="background1"/>
          <w:sz w:val="18"/>
          <w:szCs w:val="16"/>
        </w:rPr>
        <w:t>ASEAN: Support for Aus4ASEAN.</w:t>
      </w:r>
    </w:p>
    <w:p w14:paraId="03A8B6D5" w14:textId="01A3D917" w:rsidR="000E28A2" w:rsidRPr="0079410B" w:rsidRDefault="000E28A2" w:rsidP="000E28A2">
      <w:pPr>
        <w:pStyle w:val="ListParagraph"/>
        <w:numPr>
          <w:ilvl w:val="0"/>
          <w:numId w:val="77"/>
        </w:numPr>
        <w:spacing w:after="160" w:line="259" w:lineRule="auto"/>
        <w:rPr>
          <w:color w:val="FFFFFF" w:themeColor="background1"/>
          <w:sz w:val="18"/>
          <w:szCs w:val="16"/>
        </w:rPr>
      </w:pPr>
      <w:r w:rsidRPr="0079410B">
        <w:rPr>
          <w:color w:val="FFFFFF" w:themeColor="background1"/>
          <w:sz w:val="18"/>
          <w:szCs w:val="16"/>
        </w:rPr>
        <w:t>ESCO: Skills framework information sharing.</w:t>
      </w:r>
    </w:p>
    <w:p w14:paraId="7A7ABBBA" w14:textId="77777777" w:rsidR="000E28A2" w:rsidRPr="0079410B" w:rsidRDefault="000E28A2" w:rsidP="000E28A2">
      <w:pPr>
        <w:pStyle w:val="ListParagraph"/>
        <w:numPr>
          <w:ilvl w:val="0"/>
          <w:numId w:val="77"/>
        </w:numPr>
        <w:spacing w:after="160" w:line="259" w:lineRule="auto"/>
        <w:rPr>
          <w:color w:val="FFFFFF" w:themeColor="background1"/>
          <w:sz w:val="18"/>
          <w:szCs w:val="16"/>
        </w:rPr>
      </w:pPr>
      <w:r w:rsidRPr="0079410B">
        <w:rPr>
          <w:color w:val="FFFFFF" w:themeColor="background1"/>
          <w:sz w:val="18"/>
          <w:szCs w:val="16"/>
        </w:rPr>
        <w:t>ILO: Skills framework collaboration, validation for the AI study.</w:t>
      </w:r>
    </w:p>
    <w:p w14:paraId="5180D12B" w14:textId="77777777" w:rsidR="000E28A2" w:rsidRPr="0079410B" w:rsidRDefault="000E28A2" w:rsidP="000E28A2">
      <w:pPr>
        <w:pStyle w:val="ListParagraph"/>
        <w:numPr>
          <w:ilvl w:val="0"/>
          <w:numId w:val="77"/>
        </w:numPr>
        <w:spacing w:after="160" w:line="259" w:lineRule="auto"/>
        <w:rPr>
          <w:color w:val="FFFFFF" w:themeColor="background1"/>
          <w:sz w:val="18"/>
          <w:szCs w:val="16"/>
        </w:rPr>
      </w:pPr>
      <w:r w:rsidRPr="0079410B">
        <w:rPr>
          <w:color w:val="FFFFFF" w:themeColor="background1"/>
          <w:sz w:val="18"/>
          <w:szCs w:val="16"/>
        </w:rPr>
        <w:t>OECD: Skills first discussion and information sharing.</w:t>
      </w:r>
    </w:p>
    <w:p w14:paraId="55E54F89" w14:textId="77777777" w:rsidR="000E28A2" w:rsidRPr="0079410B" w:rsidRDefault="000E28A2" w:rsidP="000E28A2">
      <w:pPr>
        <w:pStyle w:val="ListParagraph"/>
        <w:numPr>
          <w:ilvl w:val="0"/>
          <w:numId w:val="77"/>
        </w:numPr>
        <w:spacing w:after="160" w:line="259" w:lineRule="auto"/>
        <w:rPr>
          <w:color w:val="FFFFFF" w:themeColor="background1"/>
          <w:sz w:val="18"/>
          <w:szCs w:val="16"/>
        </w:rPr>
      </w:pPr>
      <w:r w:rsidRPr="0079410B">
        <w:rPr>
          <w:color w:val="FFFFFF" w:themeColor="background1"/>
          <w:sz w:val="18"/>
          <w:szCs w:val="16"/>
        </w:rPr>
        <w:t>World Economic Forum: Collaborator on the National Skills Taxonomy.</w:t>
      </w:r>
    </w:p>
    <w:p w14:paraId="592930B5" w14:textId="3D9F375C" w:rsidR="000E28A2" w:rsidRPr="0079410B" w:rsidRDefault="000E28A2" w:rsidP="000E28A2">
      <w:pPr>
        <w:pStyle w:val="ListParagraph"/>
        <w:numPr>
          <w:ilvl w:val="0"/>
          <w:numId w:val="77"/>
        </w:numPr>
        <w:spacing w:after="160" w:line="259" w:lineRule="auto"/>
        <w:rPr>
          <w:color w:val="FFFFFF" w:themeColor="background1"/>
          <w:sz w:val="18"/>
          <w:szCs w:val="16"/>
        </w:rPr>
      </w:pPr>
      <w:r w:rsidRPr="0079410B">
        <w:rPr>
          <w:color w:val="FFFFFF" w:themeColor="background1"/>
          <w:sz w:val="18"/>
          <w:szCs w:val="16"/>
        </w:rPr>
        <w:t>World Bank: Skills-first discussion and potential community of practice.</w:t>
      </w:r>
    </w:p>
    <w:p w14:paraId="1C3E65D9" w14:textId="77777777" w:rsidR="000E28A2" w:rsidRPr="0079410B" w:rsidRDefault="000E28A2" w:rsidP="000E28A2">
      <w:pPr>
        <w:rPr>
          <w:b/>
          <w:bCs/>
          <w:color w:val="FFFFFF" w:themeColor="background1"/>
          <w:sz w:val="18"/>
          <w:szCs w:val="16"/>
        </w:rPr>
      </w:pPr>
      <w:r w:rsidRPr="0079410B">
        <w:rPr>
          <w:b/>
          <w:bCs/>
          <w:color w:val="FFFFFF" w:themeColor="background1"/>
          <w:sz w:val="18"/>
          <w:szCs w:val="16"/>
        </w:rPr>
        <w:t>JSA top website views 2024-25 FY*</w:t>
      </w:r>
    </w:p>
    <w:tbl>
      <w:tblPr>
        <w:tblStyle w:val="CustomTableplaceholder"/>
        <w:tblW w:w="0" w:type="auto"/>
        <w:tblLook w:val="04A0" w:firstRow="1" w:lastRow="0" w:firstColumn="1" w:lastColumn="0" w:noHBand="0" w:noVBand="1"/>
      </w:tblPr>
      <w:tblGrid>
        <w:gridCol w:w="1928"/>
        <w:gridCol w:w="1928"/>
        <w:gridCol w:w="1928"/>
      </w:tblGrid>
      <w:tr w:rsidR="0079410B" w:rsidRPr="0079410B" w14:paraId="3F5A9B58" w14:textId="77777777" w:rsidTr="00A62342">
        <w:tc>
          <w:tcPr>
            <w:tcW w:w="1928" w:type="dxa"/>
          </w:tcPr>
          <w:p w14:paraId="20D6045C" w14:textId="77777777" w:rsidR="000E28A2" w:rsidRPr="0079410B" w:rsidRDefault="000E28A2" w:rsidP="00A95FF0">
            <w:pPr>
              <w:rPr>
                <w:color w:val="FFFFFF" w:themeColor="background1"/>
                <w:sz w:val="18"/>
                <w:szCs w:val="16"/>
              </w:rPr>
            </w:pPr>
            <w:r w:rsidRPr="0079410B">
              <w:rPr>
                <w:color w:val="FFFFFF" w:themeColor="background1"/>
                <w:sz w:val="18"/>
                <w:szCs w:val="16"/>
              </w:rPr>
              <w:t>Country or region</w:t>
            </w:r>
          </w:p>
        </w:tc>
        <w:tc>
          <w:tcPr>
            <w:tcW w:w="1928" w:type="dxa"/>
          </w:tcPr>
          <w:p w14:paraId="4D71FEAF" w14:textId="77777777" w:rsidR="000E28A2" w:rsidRPr="0079410B" w:rsidRDefault="000E28A2" w:rsidP="00A95FF0">
            <w:pPr>
              <w:rPr>
                <w:color w:val="FFFFFF" w:themeColor="background1"/>
                <w:sz w:val="18"/>
                <w:szCs w:val="16"/>
              </w:rPr>
            </w:pPr>
            <w:r w:rsidRPr="0079410B">
              <w:rPr>
                <w:color w:val="FFFFFF" w:themeColor="background1"/>
                <w:sz w:val="18"/>
                <w:szCs w:val="16"/>
              </w:rPr>
              <w:t>Views</w:t>
            </w:r>
          </w:p>
        </w:tc>
        <w:tc>
          <w:tcPr>
            <w:tcW w:w="1928" w:type="dxa"/>
          </w:tcPr>
          <w:p w14:paraId="2944616F" w14:textId="77777777" w:rsidR="000E28A2" w:rsidRPr="0079410B" w:rsidRDefault="000E28A2" w:rsidP="00A95FF0">
            <w:pPr>
              <w:rPr>
                <w:color w:val="FFFFFF" w:themeColor="background1"/>
                <w:sz w:val="18"/>
                <w:szCs w:val="16"/>
              </w:rPr>
            </w:pPr>
            <w:r w:rsidRPr="0079410B">
              <w:rPr>
                <w:color w:val="FFFFFF" w:themeColor="background1"/>
                <w:sz w:val="18"/>
                <w:szCs w:val="16"/>
              </w:rPr>
              <w:t>% of total</w:t>
            </w:r>
          </w:p>
        </w:tc>
      </w:tr>
      <w:tr w:rsidR="0079410B" w:rsidRPr="0079410B" w14:paraId="36168B21" w14:textId="77777777" w:rsidTr="00A62342">
        <w:tc>
          <w:tcPr>
            <w:tcW w:w="1928" w:type="dxa"/>
          </w:tcPr>
          <w:p w14:paraId="12064568" w14:textId="77777777" w:rsidR="000E28A2" w:rsidRPr="0079410B" w:rsidRDefault="000E28A2" w:rsidP="00A95FF0">
            <w:pPr>
              <w:rPr>
                <w:color w:val="FFFFFF" w:themeColor="background1"/>
                <w:sz w:val="18"/>
                <w:szCs w:val="16"/>
              </w:rPr>
            </w:pPr>
            <w:r w:rsidRPr="0079410B">
              <w:rPr>
                <w:color w:val="FFFFFF" w:themeColor="background1"/>
                <w:sz w:val="18"/>
                <w:szCs w:val="16"/>
              </w:rPr>
              <w:t>Australia</w:t>
            </w:r>
          </w:p>
        </w:tc>
        <w:tc>
          <w:tcPr>
            <w:tcW w:w="1928" w:type="dxa"/>
          </w:tcPr>
          <w:p w14:paraId="15A1505F" w14:textId="77777777" w:rsidR="000E28A2" w:rsidRPr="0079410B" w:rsidRDefault="000E28A2" w:rsidP="00A95FF0">
            <w:pPr>
              <w:rPr>
                <w:color w:val="FFFFFF" w:themeColor="background1"/>
                <w:sz w:val="18"/>
                <w:szCs w:val="16"/>
              </w:rPr>
            </w:pPr>
            <w:r w:rsidRPr="0079410B">
              <w:rPr>
                <w:color w:val="FFFFFF" w:themeColor="background1"/>
                <w:sz w:val="18"/>
                <w:szCs w:val="16"/>
              </w:rPr>
              <w:t>4,931,464</w:t>
            </w:r>
          </w:p>
        </w:tc>
        <w:tc>
          <w:tcPr>
            <w:tcW w:w="1928" w:type="dxa"/>
          </w:tcPr>
          <w:p w14:paraId="6894F8B8" w14:textId="77777777" w:rsidR="000E28A2" w:rsidRPr="0079410B" w:rsidRDefault="000E28A2" w:rsidP="00A95FF0">
            <w:pPr>
              <w:rPr>
                <w:color w:val="FFFFFF" w:themeColor="background1"/>
                <w:sz w:val="18"/>
                <w:szCs w:val="16"/>
              </w:rPr>
            </w:pPr>
            <w:r w:rsidRPr="0079410B">
              <w:rPr>
                <w:color w:val="FFFFFF" w:themeColor="background1"/>
                <w:sz w:val="18"/>
                <w:szCs w:val="16"/>
              </w:rPr>
              <w:t>74.27</w:t>
            </w:r>
          </w:p>
        </w:tc>
      </w:tr>
      <w:tr w:rsidR="0079410B" w:rsidRPr="0079410B" w14:paraId="6781644D" w14:textId="77777777" w:rsidTr="00A62342">
        <w:tc>
          <w:tcPr>
            <w:tcW w:w="1928" w:type="dxa"/>
          </w:tcPr>
          <w:p w14:paraId="19E43420" w14:textId="77777777" w:rsidR="000E28A2" w:rsidRPr="0079410B" w:rsidRDefault="000E28A2" w:rsidP="00A95FF0">
            <w:pPr>
              <w:rPr>
                <w:color w:val="FFFFFF" w:themeColor="background1"/>
                <w:sz w:val="18"/>
                <w:szCs w:val="16"/>
              </w:rPr>
            </w:pPr>
            <w:r w:rsidRPr="0079410B">
              <w:rPr>
                <w:color w:val="FFFFFF" w:themeColor="background1"/>
                <w:sz w:val="18"/>
                <w:szCs w:val="16"/>
              </w:rPr>
              <w:t>India</w:t>
            </w:r>
          </w:p>
        </w:tc>
        <w:tc>
          <w:tcPr>
            <w:tcW w:w="1928" w:type="dxa"/>
          </w:tcPr>
          <w:p w14:paraId="62B07FDF" w14:textId="0121EEEB" w:rsidR="000E28A2" w:rsidRPr="0079410B" w:rsidRDefault="000E28A2" w:rsidP="00A95FF0">
            <w:pPr>
              <w:rPr>
                <w:color w:val="FFFFFF" w:themeColor="background1"/>
                <w:sz w:val="18"/>
                <w:szCs w:val="16"/>
              </w:rPr>
            </w:pPr>
            <w:r w:rsidRPr="0079410B">
              <w:rPr>
                <w:color w:val="FFFFFF" w:themeColor="background1"/>
                <w:sz w:val="18"/>
                <w:szCs w:val="16"/>
              </w:rPr>
              <w:t>259,921</w:t>
            </w:r>
          </w:p>
        </w:tc>
        <w:tc>
          <w:tcPr>
            <w:tcW w:w="1928" w:type="dxa"/>
          </w:tcPr>
          <w:p w14:paraId="28267C75" w14:textId="77777777" w:rsidR="000E28A2" w:rsidRPr="0079410B" w:rsidRDefault="000E28A2" w:rsidP="00A95FF0">
            <w:pPr>
              <w:rPr>
                <w:color w:val="FFFFFF" w:themeColor="background1"/>
                <w:sz w:val="18"/>
                <w:szCs w:val="16"/>
              </w:rPr>
            </w:pPr>
            <w:r w:rsidRPr="0079410B">
              <w:rPr>
                <w:color w:val="FFFFFF" w:themeColor="background1"/>
                <w:sz w:val="18"/>
                <w:szCs w:val="16"/>
              </w:rPr>
              <w:t>3.91</w:t>
            </w:r>
          </w:p>
        </w:tc>
      </w:tr>
      <w:tr w:rsidR="0079410B" w:rsidRPr="0079410B" w14:paraId="7334113E" w14:textId="77777777" w:rsidTr="00A62342">
        <w:tc>
          <w:tcPr>
            <w:tcW w:w="1928" w:type="dxa"/>
          </w:tcPr>
          <w:p w14:paraId="69F1C8F8" w14:textId="77777777" w:rsidR="000E28A2" w:rsidRPr="0079410B" w:rsidRDefault="000E28A2" w:rsidP="00A95FF0">
            <w:pPr>
              <w:rPr>
                <w:color w:val="FFFFFF" w:themeColor="background1"/>
                <w:sz w:val="18"/>
                <w:szCs w:val="16"/>
              </w:rPr>
            </w:pPr>
            <w:r w:rsidRPr="0079410B">
              <w:rPr>
                <w:color w:val="FFFFFF" w:themeColor="background1"/>
                <w:sz w:val="18"/>
                <w:szCs w:val="16"/>
              </w:rPr>
              <w:t>USA</w:t>
            </w:r>
          </w:p>
        </w:tc>
        <w:tc>
          <w:tcPr>
            <w:tcW w:w="1928" w:type="dxa"/>
          </w:tcPr>
          <w:p w14:paraId="7BB7BA9E" w14:textId="77777777" w:rsidR="000E28A2" w:rsidRPr="0079410B" w:rsidRDefault="000E28A2" w:rsidP="00A95FF0">
            <w:pPr>
              <w:rPr>
                <w:color w:val="FFFFFF" w:themeColor="background1"/>
                <w:sz w:val="18"/>
                <w:szCs w:val="16"/>
              </w:rPr>
            </w:pPr>
            <w:r w:rsidRPr="0079410B">
              <w:rPr>
                <w:color w:val="FFFFFF" w:themeColor="background1"/>
                <w:sz w:val="18"/>
                <w:szCs w:val="16"/>
              </w:rPr>
              <w:t>197,611</w:t>
            </w:r>
          </w:p>
        </w:tc>
        <w:tc>
          <w:tcPr>
            <w:tcW w:w="1928" w:type="dxa"/>
          </w:tcPr>
          <w:p w14:paraId="527F2826" w14:textId="77777777" w:rsidR="000E28A2" w:rsidRPr="0079410B" w:rsidRDefault="000E28A2" w:rsidP="00A95FF0">
            <w:pPr>
              <w:rPr>
                <w:color w:val="FFFFFF" w:themeColor="background1"/>
                <w:sz w:val="18"/>
                <w:szCs w:val="16"/>
              </w:rPr>
            </w:pPr>
            <w:r w:rsidRPr="0079410B">
              <w:rPr>
                <w:color w:val="FFFFFF" w:themeColor="background1"/>
                <w:sz w:val="18"/>
                <w:szCs w:val="16"/>
              </w:rPr>
              <w:t>2.98</w:t>
            </w:r>
          </w:p>
        </w:tc>
      </w:tr>
      <w:tr w:rsidR="0079410B" w:rsidRPr="0079410B" w14:paraId="6951A360" w14:textId="77777777" w:rsidTr="00A62342">
        <w:tc>
          <w:tcPr>
            <w:tcW w:w="1928" w:type="dxa"/>
          </w:tcPr>
          <w:p w14:paraId="2F8676C1" w14:textId="77777777" w:rsidR="000E28A2" w:rsidRPr="0079410B" w:rsidRDefault="000E28A2" w:rsidP="00A95FF0">
            <w:pPr>
              <w:rPr>
                <w:color w:val="FFFFFF" w:themeColor="background1"/>
                <w:sz w:val="18"/>
                <w:szCs w:val="16"/>
              </w:rPr>
            </w:pPr>
            <w:r w:rsidRPr="0079410B">
              <w:rPr>
                <w:color w:val="FFFFFF" w:themeColor="background1"/>
                <w:sz w:val="18"/>
                <w:szCs w:val="16"/>
              </w:rPr>
              <w:t>UK</w:t>
            </w:r>
          </w:p>
        </w:tc>
        <w:tc>
          <w:tcPr>
            <w:tcW w:w="1928" w:type="dxa"/>
          </w:tcPr>
          <w:p w14:paraId="54868E13" w14:textId="77777777" w:rsidR="000E28A2" w:rsidRPr="0079410B" w:rsidRDefault="000E28A2" w:rsidP="00A95FF0">
            <w:pPr>
              <w:rPr>
                <w:color w:val="FFFFFF" w:themeColor="background1"/>
                <w:sz w:val="18"/>
                <w:szCs w:val="16"/>
              </w:rPr>
            </w:pPr>
            <w:r w:rsidRPr="0079410B">
              <w:rPr>
                <w:color w:val="FFFFFF" w:themeColor="background1"/>
                <w:sz w:val="18"/>
                <w:szCs w:val="16"/>
              </w:rPr>
              <w:t>116.998</w:t>
            </w:r>
          </w:p>
        </w:tc>
        <w:tc>
          <w:tcPr>
            <w:tcW w:w="1928" w:type="dxa"/>
          </w:tcPr>
          <w:p w14:paraId="49053F13" w14:textId="77777777" w:rsidR="000E28A2" w:rsidRPr="0079410B" w:rsidRDefault="000E28A2" w:rsidP="00A95FF0">
            <w:pPr>
              <w:rPr>
                <w:color w:val="FFFFFF" w:themeColor="background1"/>
                <w:sz w:val="18"/>
                <w:szCs w:val="16"/>
              </w:rPr>
            </w:pPr>
            <w:r w:rsidRPr="0079410B">
              <w:rPr>
                <w:color w:val="FFFFFF" w:themeColor="background1"/>
                <w:sz w:val="18"/>
                <w:szCs w:val="16"/>
              </w:rPr>
              <w:t>1.76</w:t>
            </w:r>
          </w:p>
        </w:tc>
      </w:tr>
      <w:tr w:rsidR="0079410B" w:rsidRPr="0079410B" w14:paraId="0C4AFDD9" w14:textId="77777777" w:rsidTr="00A62342">
        <w:tc>
          <w:tcPr>
            <w:tcW w:w="1928" w:type="dxa"/>
          </w:tcPr>
          <w:p w14:paraId="7BF59428" w14:textId="77777777" w:rsidR="000E28A2" w:rsidRPr="0079410B" w:rsidRDefault="000E28A2" w:rsidP="00A95FF0">
            <w:pPr>
              <w:rPr>
                <w:color w:val="FFFFFF" w:themeColor="background1"/>
                <w:sz w:val="18"/>
                <w:szCs w:val="16"/>
              </w:rPr>
            </w:pPr>
            <w:r w:rsidRPr="0079410B">
              <w:rPr>
                <w:color w:val="FFFFFF" w:themeColor="background1"/>
                <w:sz w:val="18"/>
                <w:szCs w:val="16"/>
              </w:rPr>
              <w:t>Vietnam</w:t>
            </w:r>
          </w:p>
        </w:tc>
        <w:tc>
          <w:tcPr>
            <w:tcW w:w="1928" w:type="dxa"/>
          </w:tcPr>
          <w:p w14:paraId="1741AD28" w14:textId="55462DEC" w:rsidR="000E28A2" w:rsidRPr="0079410B" w:rsidRDefault="000E28A2" w:rsidP="00A95FF0">
            <w:pPr>
              <w:rPr>
                <w:color w:val="FFFFFF" w:themeColor="background1"/>
                <w:sz w:val="18"/>
                <w:szCs w:val="16"/>
              </w:rPr>
            </w:pPr>
            <w:r w:rsidRPr="0079410B">
              <w:rPr>
                <w:color w:val="FFFFFF" w:themeColor="background1"/>
                <w:sz w:val="18"/>
                <w:szCs w:val="16"/>
              </w:rPr>
              <w:t>77,161</w:t>
            </w:r>
          </w:p>
        </w:tc>
        <w:tc>
          <w:tcPr>
            <w:tcW w:w="1928" w:type="dxa"/>
          </w:tcPr>
          <w:p w14:paraId="4D9C9D4A" w14:textId="77777777" w:rsidR="000E28A2" w:rsidRPr="0079410B" w:rsidRDefault="000E28A2" w:rsidP="00A95FF0">
            <w:pPr>
              <w:rPr>
                <w:color w:val="FFFFFF" w:themeColor="background1"/>
                <w:sz w:val="18"/>
                <w:szCs w:val="16"/>
              </w:rPr>
            </w:pPr>
            <w:r w:rsidRPr="0079410B">
              <w:rPr>
                <w:color w:val="FFFFFF" w:themeColor="background1"/>
                <w:sz w:val="18"/>
                <w:szCs w:val="16"/>
              </w:rPr>
              <w:t>1.16</w:t>
            </w:r>
          </w:p>
        </w:tc>
      </w:tr>
    </w:tbl>
    <w:p w14:paraId="33F918C4" w14:textId="2F9FC5A7" w:rsidR="000E28A2" w:rsidRPr="0079410B" w:rsidRDefault="000E28A2" w:rsidP="000E28A2">
      <w:pPr>
        <w:rPr>
          <w:color w:val="FFFFFF" w:themeColor="background1"/>
          <w:sz w:val="18"/>
          <w:szCs w:val="16"/>
        </w:rPr>
      </w:pPr>
      <w:r w:rsidRPr="0079410B">
        <w:rPr>
          <w:color w:val="FFFFFF" w:themeColor="background1"/>
          <w:sz w:val="18"/>
          <w:szCs w:val="16"/>
        </w:rPr>
        <w:t>*data to 5 May 2025</w:t>
      </w:r>
    </w:p>
    <w:p w14:paraId="7637F41C" w14:textId="72F80E7D" w:rsidR="000E28A2" w:rsidRPr="0079410B" w:rsidRDefault="000E28A2" w:rsidP="000E28A2">
      <w:pPr>
        <w:rPr>
          <w:color w:val="FFFFFF" w:themeColor="background1"/>
          <w:sz w:val="18"/>
          <w:szCs w:val="16"/>
        </w:rPr>
      </w:pPr>
      <w:r w:rsidRPr="0079410B">
        <w:rPr>
          <w:color w:val="FFFFFF" w:themeColor="background1"/>
          <w:sz w:val="18"/>
          <w:szCs w:val="16"/>
        </w:rPr>
        <w:t xml:space="preserve">JSA also provides insights, analysis, and advice to support briefing for Australian Government stakeholders ahead of international engagement and negotiations, and to endure advice is consistent with treaty status and international obligations. JSA also undertakes joint engagement with DFAT and HA as the respective lead agencies for international relations and labour mobility. </w:t>
      </w:r>
    </w:p>
    <w:p w14:paraId="2CFFF45B" w14:textId="77777777" w:rsidR="00DD3325" w:rsidRPr="00DD3325" w:rsidRDefault="00DD3325" w:rsidP="00DD3325">
      <w:pPr>
        <w:pStyle w:val="BodyText"/>
      </w:pPr>
    </w:p>
    <w:p w14:paraId="584AA2A8" w14:textId="100A75C8" w:rsidR="004A5A41" w:rsidRPr="004A5A41" w:rsidRDefault="004A5A41" w:rsidP="004A5A41"/>
    <w:p w14:paraId="4AB0340D" w14:textId="77777777" w:rsidR="00CB182A" w:rsidRDefault="00CB182A" w:rsidP="00CB182A">
      <w:pPr>
        <w:pStyle w:val="Heading2"/>
      </w:pPr>
      <w:bookmarkStart w:id="414" w:name="_Toc207383262"/>
      <w:bookmarkStart w:id="415" w:name="_Toc208923441"/>
      <w:bookmarkStart w:id="416" w:name="_Toc211587059"/>
      <w:r>
        <w:t>Our impact</w:t>
      </w:r>
      <w:bookmarkEnd w:id="414"/>
      <w:bookmarkEnd w:id="415"/>
      <w:bookmarkEnd w:id="416"/>
    </w:p>
    <w:p w14:paraId="64C9BC2C" w14:textId="495B404A" w:rsidR="00CB182A" w:rsidRPr="00406FFC" w:rsidRDefault="00CB182A" w:rsidP="00B7419E">
      <w:pPr>
        <w:pStyle w:val="BodyText"/>
      </w:pPr>
      <w:r>
        <w:t>JSA’s</w:t>
      </w:r>
      <w:r w:rsidRPr="009433C3">
        <w:t xml:space="preserve"> work is increasingly shaping decisions across government, industry and the broader skills system. </w:t>
      </w:r>
      <w:r w:rsidR="00810D9F">
        <w:t>Over</w:t>
      </w:r>
      <w:r w:rsidRPr="009433C3">
        <w:t xml:space="preserve"> our first two years, we</w:t>
      </w:r>
      <w:r w:rsidR="00C453B6">
        <w:t xml:space="preserve"> have</w:t>
      </w:r>
      <w:r w:rsidRPr="009433C3">
        <w:t xml:space="preserve"> seen short-term impacts emerge, with our analysis and advice referenced in budget submissions and incorporated into stakeholder workplans. </w:t>
      </w:r>
      <w:r>
        <w:t>This year</w:t>
      </w:r>
      <w:r w:rsidRPr="009433C3">
        <w:t>, we began to observe medium-term impacts, with our recommendations informing not only policy development but also implementation. While JSA does not directly control system levers, our influence is reflected in the decisions of others. Measuring our benefit to the Australian economy for</w:t>
      </w:r>
      <w:r>
        <w:t>mally for</w:t>
      </w:r>
      <w:r w:rsidRPr="009433C3">
        <w:t xml:space="preserve"> the first time this year, we</w:t>
      </w:r>
      <w:r w:rsidR="00C453B6">
        <w:t xml:space="preserve"> have</w:t>
      </w:r>
      <w:r w:rsidRPr="009433C3">
        <w:t xml:space="preserve"> focused on </w:t>
      </w:r>
      <w:r>
        <w:t>how we have</w:t>
      </w:r>
      <w:r w:rsidRPr="009433C3">
        <w:t xml:space="preserve"> contribut</w:t>
      </w:r>
      <w:r>
        <w:t>ed</w:t>
      </w:r>
      <w:r w:rsidRPr="009433C3">
        <w:t xml:space="preserve"> to major government initiatives</w:t>
      </w:r>
      <w:r>
        <w:t xml:space="preserve"> and </w:t>
      </w:r>
      <w:r w:rsidRPr="009433C3">
        <w:t>policy, and</w:t>
      </w:r>
      <w:r>
        <w:t xml:space="preserve"> how we have</w:t>
      </w:r>
      <w:r w:rsidRPr="009433C3">
        <w:t xml:space="preserve"> </w:t>
      </w:r>
      <w:r>
        <w:t xml:space="preserve">had </w:t>
      </w:r>
      <w:r w:rsidRPr="009433C3">
        <w:t>broader influence across the skills ecosystem.</w:t>
      </w:r>
    </w:p>
    <w:p w14:paraId="2A44E1F1" w14:textId="77777777" w:rsidR="00CB182A" w:rsidRDefault="00CB182A" w:rsidP="00CB182A">
      <w:pPr>
        <w:pStyle w:val="Heading3"/>
      </w:pPr>
      <w:bookmarkStart w:id="417" w:name="_Toc207383263"/>
      <w:bookmarkStart w:id="418" w:name="_Toc208923442"/>
      <w:bookmarkStart w:id="419" w:name="_Toc211587060"/>
      <w:r>
        <w:t>Supporting policy and other initiatives</w:t>
      </w:r>
      <w:bookmarkEnd w:id="417"/>
      <w:bookmarkEnd w:id="418"/>
      <w:bookmarkEnd w:id="419"/>
    </w:p>
    <w:p w14:paraId="2F9C9AFE" w14:textId="752D0C68" w:rsidR="00CB182A" w:rsidRDefault="00CB182A" w:rsidP="00B7419E">
      <w:pPr>
        <w:pStyle w:val="BodyText"/>
      </w:pPr>
      <w:r>
        <w:t>JSA</w:t>
      </w:r>
      <w:r w:rsidRPr="00E1384D">
        <w:t xml:space="preserve"> plays a key role in shaping the frameworks and policy settings that underpin a more responsive, resilient and equitable skills system. Our guidance is designed to be practical and actionable</w:t>
      </w:r>
      <w:r>
        <w:t xml:space="preserve"> – </w:t>
      </w:r>
      <w:r w:rsidRPr="00E1384D">
        <w:t xml:space="preserve">supporting governments, education providers, and industry to make better informed decisions that align with workforce and regional needs. </w:t>
      </w:r>
      <w:r>
        <w:t>In other words, o</w:t>
      </w:r>
      <w:r w:rsidRPr="00E1384D">
        <w:t>ur work helps translate evidence into coordinated action.</w:t>
      </w:r>
      <w:r>
        <w:t xml:space="preserve"> O</w:t>
      </w:r>
      <w:r w:rsidRPr="00E1384D">
        <w:t>ur contributions are grounded in deep engagement and a commitment to practical impact</w:t>
      </w:r>
      <w:r>
        <w:t>, and</w:t>
      </w:r>
      <w:r w:rsidRPr="00E1384D">
        <w:t xml:space="preserve"> </w:t>
      </w:r>
      <w:r>
        <w:t>i</w:t>
      </w:r>
      <w:r w:rsidRPr="00E1384D">
        <w:t>n doing so, we help ensure that policy responses are not only informed by data but shaped by the lived experience of those across the skills system.</w:t>
      </w:r>
    </w:p>
    <w:p w14:paraId="25F2BDD8" w14:textId="1E98003E" w:rsidR="00CB182A" w:rsidRPr="008C5483" w:rsidRDefault="00CB182A" w:rsidP="00B7419E">
      <w:pPr>
        <w:pStyle w:val="BodyText"/>
      </w:pPr>
      <w:r>
        <w:t>Over the past year, JSA</w:t>
      </w:r>
      <w:r w:rsidRPr="008C5483">
        <w:t xml:space="preserve"> has actively collaborated with </w:t>
      </w:r>
      <w:r w:rsidR="00126D27">
        <w:t>Australian</w:t>
      </w:r>
      <w:r w:rsidRPr="008C5483">
        <w:t xml:space="preserve"> and </w:t>
      </w:r>
      <w:r w:rsidR="00126D27">
        <w:t>s</w:t>
      </w:r>
      <w:r>
        <w:t xml:space="preserve">tate and </w:t>
      </w:r>
      <w:r w:rsidR="00126D27">
        <w:t>t</w:t>
      </w:r>
      <w:r>
        <w:t>erritory</w:t>
      </w:r>
      <w:r w:rsidRPr="008C5483">
        <w:t xml:space="preserve"> governments, contributing to a range of major initiatives </w:t>
      </w:r>
      <w:r w:rsidRPr="00AF3712">
        <w:t>and shaping the design and delivery of programs and tools</w:t>
      </w:r>
      <w:r>
        <w:t xml:space="preserve"> </w:t>
      </w:r>
      <w:r w:rsidRPr="008C5483">
        <w:t>that address critical workforce and skills needs. Our evidence-based advice has supported cross-portfolio policy development across education, employment, and industry, reinforcing our legislative mandate and positioning us as a trusted source of labour market intelligence.</w:t>
      </w:r>
    </w:p>
    <w:p w14:paraId="6C69CA74" w14:textId="50AD5CCB" w:rsidR="00CB182A" w:rsidRDefault="00CB182A" w:rsidP="00B7419E">
      <w:pPr>
        <w:pStyle w:val="BodyText"/>
      </w:pPr>
      <w:r w:rsidRPr="00553E8C">
        <w:t>JSA is recognised as a credible, impartial source of labour market intelligence. Our insights have been cited in ministerial briefings, budget papers, and intergovernmental forums, and are increasingly embedded in government tools and frameworks. While our capacity studies often inform policy in its early stages and may not always be publicly referenced, acknowledgment of JSA’s contribution is growing</w:t>
      </w:r>
      <w:r w:rsidR="00C453B6">
        <w:t>, and</w:t>
      </w:r>
      <w:r w:rsidRPr="00553E8C">
        <w:t xml:space="preserve"> our influence is increasingly visible across the skills ecosystem.</w:t>
      </w:r>
    </w:p>
    <w:p w14:paraId="3188ACD1" w14:textId="77777777" w:rsidR="00CB182A" w:rsidRPr="00CB182A" w:rsidRDefault="00CB182A" w:rsidP="00B7419E">
      <w:pPr>
        <w:pStyle w:val="ListBullet"/>
      </w:pPr>
      <w:r w:rsidRPr="00B7419E">
        <w:rPr>
          <w:rStyle w:val="Characterbold"/>
        </w:rPr>
        <w:t>Migration System Reform:</w:t>
      </w:r>
      <w:r w:rsidRPr="00CB182A">
        <w:t xml:space="preserve"> JSA’s labour market analysis contributed to the redesign of skilled migration settings, aligning visa categories with workforce shortages. Our advice forms the basis of the CSOL – a central element of the </w:t>
      </w:r>
      <w:r w:rsidRPr="001C7345">
        <w:rPr>
          <w:rStyle w:val="Characteritalic"/>
        </w:rPr>
        <w:t>Migration Strategy</w:t>
      </w:r>
      <w:r w:rsidRPr="00CB182A">
        <w:t>, and we deliver advice to support the Skills in Demand visa program. Our cohort study on international student employment outcomes continues to inform discussions across government.</w:t>
      </w:r>
    </w:p>
    <w:p w14:paraId="635A9E52" w14:textId="48E3F18F" w:rsidR="00CB182A" w:rsidRPr="00CB182A" w:rsidRDefault="00CB182A" w:rsidP="00B7419E">
      <w:pPr>
        <w:pStyle w:val="ListBullet"/>
      </w:pPr>
      <w:r w:rsidRPr="00B7419E">
        <w:rPr>
          <w:rStyle w:val="Characterbold"/>
        </w:rPr>
        <w:t>Clean Energy Workforce Capacity Study:</w:t>
      </w:r>
      <w:r w:rsidRPr="00CB182A">
        <w:t xml:space="preserve"> Our analysis shaped planning for the net zero transition and informed policy development across </w:t>
      </w:r>
      <w:r w:rsidR="007010EC">
        <w:t>the Department of E</w:t>
      </w:r>
      <w:r w:rsidR="004A21C1">
        <w:t>mployment and Workplace Relations (</w:t>
      </w:r>
      <w:r w:rsidRPr="00CB182A">
        <w:t>DEWR</w:t>
      </w:r>
      <w:r w:rsidR="004A21C1">
        <w:t>)</w:t>
      </w:r>
      <w:r w:rsidRPr="00CB182A">
        <w:t xml:space="preserve">, </w:t>
      </w:r>
      <w:r w:rsidR="008A4D72">
        <w:t xml:space="preserve">the Department of </w:t>
      </w:r>
      <w:r w:rsidR="00B82CA1">
        <w:t xml:space="preserve">Climate Change, Energy </w:t>
      </w:r>
      <w:r w:rsidR="00B23BB8">
        <w:t xml:space="preserve">the Environment </w:t>
      </w:r>
      <w:r w:rsidR="00B82CA1">
        <w:t>and Water</w:t>
      </w:r>
      <w:r w:rsidRPr="00CB182A">
        <w:t>, and the Net Zero Economy Authority. Recommendations have been implemented, including the National Careers Institute’s release of clean energy career awareness products, expansion of the New Energy Apprenticeships Program and Powering Skills Organisation’s prioritisation of post-trade upskilling in its 2025 Workforce Plan.</w:t>
      </w:r>
    </w:p>
    <w:p w14:paraId="2678AC2C" w14:textId="106E9981" w:rsidR="00CB182A" w:rsidRPr="00CB182A" w:rsidRDefault="00CB182A" w:rsidP="00B7419E">
      <w:pPr>
        <w:pStyle w:val="ListBullet"/>
      </w:pPr>
      <w:r w:rsidRPr="00B7419E">
        <w:rPr>
          <w:rStyle w:val="Characterbold"/>
        </w:rPr>
        <w:t>Early Childhood Education and Care Workforce Study</w:t>
      </w:r>
      <w:r w:rsidRPr="00B7419E">
        <w:rPr>
          <w:rStyle w:val="Characterbolditalic"/>
        </w:rPr>
        <w:t>:</w:t>
      </w:r>
      <w:r w:rsidRPr="00CB182A">
        <w:t xml:space="preserve"> JSA’s September 2024 report recommended long-term wage growth for E</w:t>
      </w:r>
      <w:r w:rsidR="00DD09CA">
        <w:t xml:space="preserve">arly </w:t>
      </w:r>
      <w:r w:rsidRPr="00CB182A">
        <w:t>C</w:t>
      </w:r>
      <w:r w:rsidR="00DD09CA">
        <w:t xml:space="preserve">hildhood </w:t>
      </w:r>
      <w:r w:rsidRPr="00CB182A">
        <w:t>E</w:t>
      </w:r>
      <w:r w:rsidR="00DD09CA">
        <w:t xml:space="preserve">ducation and </w:t>
      </w:r>
      <w:r w:rsidRPr="00CB182A">
        <w:t>C</w:t>
      </w:r>
      <w:r w:rsidR="00DD09CA">
        <w:t>are</w:t>
      </w:r>
      <w:r w:rsidRPr="00CB182A">
        <w:t xml:space="preserve"> workers, supporting evidence for the Government’s 15% pay rise announced in the 2024–25 </w:t>
      </w:r>
      <w:r w:rsidR="00152C25">
        <w:t>Mid</w:t>
      </w:r>
      <w:r w:rsidR="003512FC">
        <w:noBreakHyphen/>
      </w:r>
      <w:r w:rsidR="00152C25">
        <w:t xml:space="preserve">Year Economic </w:t>
      </w:r>
      <w:r w:rsidR="00CB6796">
        <w:t xml:space="preserve">and Fiscal </w:t>
      </w:r>
      <w:r w:rsidR="00152C25">
        <w:t>Outlook</w:t>
      </w:r>
      <w:r w:rsidRPr="00CB182A">
        <w:t xml:space="preserve">. Our advice also prompted </w:t>
      </w:r>
      <w:r w:rsidR="007F28E2">
        <w:t>the</w:t>
      </w:r>
      <w:r w:rsidRPr="00CB182A">
        <w:t xml:space="preserve"> HumanAbility JSC to review entry requirements for the Diploma of Early Childhood Education and Care, with a project now underway to improve accessibility and support workforce retention.</w:t>
      </w:r>
    </w:p>
    <w:p w14:paraId="7E71DB8A" w14:textId="1F742456" w:rsidR="00CB182A" w:rsidRPr="00CB182A" w:rsidRDefault="00CB182A" w:rsidP="00B7419E">
      <w:pPr>
        <w:pStyle w:val="ListBullet"/>
      </w:pPr>
      <w:r w:rsidRPr="00B7419E">
        <w:rPr>
          <w:rStyle w:val="Characterbold"/>
        </w:rPr>
        <w:t>Food Supply Chain Workforce Study:</w:t>
      </w:r>
      <w:r w:rsidRPr="00CB182A">
        <w:t xml:space="preserve"> JSA recommended the development of a national food strategy, which is being progressed through a new National Food Council. Additionally, the Australian Livestock and Rural Transporters Association partnered with I</w:t>
      </w:r>
      <w:r w:rsidR="00C453B6">
        <w:t>ndustry Skills Australia</w:t>
      </w:r>
      <w:r w:rsidRPr="00CB182A">
        <w:t xml:space="preserve"> to develop a nationally recognised skill set for livestock transport.</w:t>
      </w:r>
    </w:p>
    <w:p w14:paraId="710028E1" w14:textId="6F320ABE" w:rsidR="00CB182A" w:rsidRPr="00CB182A" w:rsidRDefault="00CB182A" w:rsidP="00B55E08">
      <w:pPr>
        <w:pStyle w:val="ListBullet"/>
        <w:keepLines/>
        <w:ind w:left="357" w:hanging="357"/>
      </w:pPr>
      <w:r w:rsidRPr="00B7419E">
        <w:rPr>
          <w:rStyle w:val="Characterbold"/>
        </w:rPr>
        <w:t>National Skills Agreement:</w:t>
      </w:r>
      <w:r w:rsidRPr="00CB182A">
        <w:t xml:space="preserve"> JSA worked closely with DEWR to support the development of the N</w:t>
      </w:r>
      <w:r w:rsidR="0035202E">
        <w:t xml:space="preserve">ational </w:t>
      </w:r>
      <w:r w:rsidRPr="00CB182A">
        <w:t>S</w:t>
      </w:r>
      <w:r w:rsidR="0035202E">
        <w:t xml:space="preserve">kills </w:t>
      </w:r>
      <w:r w:rsidRPr="00CB182A">
        <w:t>A</w:t>
      </w:r>
      <w:r w:rsidR="0035202E">
        <w:t>greement</w:t>
      </w:r>
      <w:r w:rsidRPr="00CB182A">
        <w:t xml:space="preserve"> Outcomes Framework, published in December 2024. This first-of-its-kind framework enhances governments’ ability to monitor and respond to VET system performance. JSA’s unique data assets, including </w:t>
      </w:r>
      <w:r w:rsidR="00430B35">
        <w:t>VNDA</w:t>
      </w:r>
      <w:r w:rsidRPr="00CB182A">
        <w:t>, underpin several indicators and measures. We will lead ongoing monitoring and reporting by integrating and analysing national data from multiple sources.</w:t>
      </w:r>
    </w:p>
    <w:p w14:paraId="2E2D215F" w14:textId="77777777" w:rsidR="00CB182A" w:rsidRPr="00CB182A" w:rsidRDefault="00CB182A" w:rsidP="00B7419E">
      <w:pPr>
        <w:pStyle w:val="ListBullet"/>
      </w:pPr>
      <w:r w:rsidRPr="00B7419E">
        <w:rPr>
          <w:rStyle w:val="Characterbold"/>
        </w:rPr>
        <w:t>Australian Apprenticeships Priority List (AAPL):</w:t>
      </w:r>
      <w:r w:rsidRPr="00CB182A">
        <w:t xml:space="preserve"> JSA’s OSL findings were a key input to the April 2025 update to the AAPL, which determines eligibility for government incentives. Our methodology continues to support the development of future updates.</w:t>
      </w:r>
    </w:p>
    <w:p w14:paraId="14660711" w14:textId="77777777" w:rsidR="00CB182A" w:rsidRPr="00CB182A" w:rsidRDefault="00CB182A" w:rsidP="00B7419E">
      <w:pPr>
        <w:pStyle w:val="ListBullet"/>
      </w:pPr>
      <w:r w:rsidRPr="00B7419E">
        <w:rPr>
          <w:rStyle w:val="Characterbold"/>
        </w:rPr>
        <w:t>Employment services:</w:t>
      </w:r>
      <w:r w:rsidRPr="00CB182A">
        <w:t xml:space="preserve"> JSA’s RLMI supports the Workforce Australia program through the delivery of RLMI ratings, which influence job seeker activity requirements based on local labour market conditions. We also produce in-depth profiles and dashboards for all 51 Employment Regions, supporting DEWR’s Local Jobs Program and informing the work of Employment Facilitators.</w:t>
      </w:r>
    </w:p>
    <w:p w14:paraId="2929CA94" w14:textId="520341EB" w:rsidR="00CB182A" w:rsidRPr="00CB182A" w:rsidRDefault="00CB182A" w:rsidP="00B7419E">
      <w:pPr>
        <w:pStyle w:val="ListBullet"/>
      </w:pPr>
      <w:r w:rsidRPr="00B7419E">
        <w:rPr>
          <w:rStyle w:val="Characterbold"/>
        </w:rPr>
        <w:t>Tertiary System Harmonisation:</w:t>
      </w:r>
      <w:r w:rsidRPr="00CB182A">
        <w:t xml:space="preserve"> JSA’s work has shaped the Government’s direction on tertiary reform. </w:t>
      </w:r>
      <w:r w:rsidR="004B7ECB">
        <w:t>JSA</w:t>
      </w:r>
      <w:r w:rsidR="007C6A8A">
        <w:t>'s</w:t>
      </w:r>
      <w:r w:rsidR="004B7ECB">
        <w:t xml:space="preserve"> report</w:t>
      </w:r>
      <w:r w:rsidR="007C6A8A">
        <w:t xml:space="preserve">, </w:t>
      </w:r>
      <w:r w:rsidR="00CA6A18" w:rsidRPr="00837EE3">
        <w:rPr>
          <w:rStyle w:val="Characteritalic"/>
        </w:rPr>
        <w:t xml:space="preserve">Opportunity and Productivity: </w:t>
      </w:r>
      <w:r w:rsidR="00837EE3">
        <w:rPr>
          <w:rStyle w:val="Characteritalic"/>
        </w:rPr>
        <w:t>T</w:t>
      </w:r>
      <w:r w:rsidR="00CA6A18" w:rsidRPr="00837EE3">
        <w:rPr>
          <w:rStyle w:val="Characteritalic"/>
        </w:rPr>
        <w:t>owards a</w:t>
      </w:r>
      <w:r w:rsidRPr="00837EE3" w:rsidDel="0070095F">
        <w:rPr>
          <w:rStyle w:val="Characteritalic"/>
        </w:rPr>
        <w:t xml:space="preserve"> </w:t>
      </w:r>
      <w:r w:rsidDel="004B7ECB">
        <w:rPr>
          <w:rStyle w:val="Characteritalic"/>
        </w:rPr>
        <w:t>T</w:t>
      </w:r>
      <w:r w:rsidRPr="00837EE3" w:rsidDel="0070095F">
        <w:rPr>
          <w:rStyle w:val="Characteritalic"/>
        </w:rPr>
        <w:t xml:space="preserve">ertiary </w:t>
      </w:r>
      <w:r w:rsidDel="004B7ECB">
        <w:rPr>
          <w:rStyle w:val="Characteritalic"/>
        </w:rPr>
        <w:t>H</w:t>
      </w:r>
      <w:r w:rsidRPr="00837EE3">
        <w:rPr>
          <w:rStyle w:val="Characteritalic"/>
        </w:rPr>
        <w:t xml:space="preserve">armonisation </w:t>
      </w:r>
      <w:r w:rsidDel="007C6A8A">
        <w:rPr>
          <w:rStyle w:val="Characteritalic"/>
        </w:rPr>
        <w:t>R</w:t>
      </w:r>
      <w:r w:rsidRPr="00837EE3" w:rsidDel="007C6A8A">
        <w:rPr>
          <w:rStyle w:val="Characteritalic"/>
        </w:rPr>
        <w:t>oadmap</w:t>
      </w:r>
      <w:r w:rsidR="0070095F">
        <w:t>,</w:t>
      </w:r>
      <w:r w:rsidRPr="00CB182A" w:rsidDel="007C6A8A">
        <w:t xml:space="preserve"> </w:t>
      </w:r>
      <w:r w:rsidRPr="00CB182A">
        <w:t xml:space="preserve">informs ATEC’s </w:t>
      </w:r>
      <w:r w:rsidR="00A51EF8">
        <w:t>work on a joined-up tertiary system. T</w:t>
      </w:r>
      <w:r w:rsidRPr="00CB182A">
        <w:t xml:space="preserve">he JSA Commissioner has a formal role in working with </w:t>
      </w:r>
      <w:r w:rsidR="00616338">
        <w:t xml:space="preserve">the </w:t>
      </w:r>
      <w:r w:rsidRPr="00CB182A">
        <w:t xml:space="preserve">ATEC </w:t>
      </w:r>
      <w:r w:rsidR="00616338">
        <w:t>I</w:t>
      </w:r>
      <w:r w:rsidRPr="00CB182A">
        <w:t xml:space="preserve">nterim Commissioners to ensure </w:t>
      </w:r>
      <w:r w:rsidR="001956F2">
        <w:t>that both</w:t>
      </w:r>
      <w:r w:rsidRPr="00CB182A">
        <w:t xml:space="preserve"> </w:t>
      </w:r>
      <w:r w:rsidR="001956F2">
        <w:t>VET and higher education</w:t>
      </w:r>
      <w:r w:rsidRPr="00CB182A">
        <w:t xml:space="preserve"> perspectives are </w:t>
      </w:r>
      <w:r w:rsidR="004F562C">
        <w:t>considered</w:t>
      </w:r>
      <w:r w:rsidRPr="00CB182A">
        <w:t>.</w:t>
      </w:r>
    </w:p>
    <w:p w14:paraId="434D5A78" w14:textId="0BB7097E" w:rsidR="00CB182A" w:rsidRPr="00CB182A" w:rsidRDefault="00CB182A" w:rsidP="00B7419E">
      <w:pPr>
        <w:pStyle w:val="ListBullet"/>
      </w:pPr>
      <w:r w:rsidRPr="00B7419E">
        <w:rPr>
          <w:rStyle w:val="Characterbold"/>
        </w:rPr>
        <w:t>VET workforce:</w:t>
      </w:r>
      <w:r w:rsidRPr="00CB182A">
        <w:t xml:space="preserve"> JSA is delivering the VET Blueprint National Actions Project to support the VET Workforce Blueprint, which was developed in collaboration with states and territories and released in October 2024</w:t>
      </w:r>
      <w:r w:rsidR="00C453B6">
        <w:t>.</w:t>
      </w:r>
      <w:r w:rsidRPr="00CB182A" w:rsidDel="00FA74F6">
        <w:t xml:space="preserve"> </w:t>
      </w:r>
      <w:r w:rsidRPr="00CB182A">
        <w:t>These include comprehensive occupational mapping to strengthen workforce pathways, a data strategy to improve workforce data availability and collection, and an ongoing research program to build a robust evidence base. While the research program is being developed, JSA is undertaking targeted research into the drivers and impacts of VET workforce casualisation</w:t>
      </w:r>
      <w:r w:rsidR="00EA306F">
        <w:t xml:space="preserve"> </w:t>
      </w:r>
      <w:r w:rsidR="00EA306F" w:rsidRPr="00EA306F">
        <w:t xml:space="preserve">– </w:t>
      </w:r>
      <w:r w:rsidRPr="00CB182A">
        <w:t xml:space="preserve">an immediate area of need identified through </w:t>
      </w:r>
      <w:r w:rsidR="00EA306F">
        <w:t>b</w:t>
      </w:r>
      <w:r w:rsidR="00EA306F" w:rsidRPr="00CB182A">
        <w:t xml:space="preserve">lueprint </w:t>
      </w:r>
      <w:r w:rsidRPr="00CB182A">
        <w:t>consultations.</w:t>
      </w:r>
    </w:p>
    <w:p w14:paraId="09948B1C" w14:textId="77777777" w:rsidR="00CB182A" w:rsidRDefault="00CB182A" w:rsidP="00B7419E">
      <w:pPr>
        <w:pStyle w:val="BodyText"/>
      </w:pPr>
      <w:r w:rsidRPr="00E240F5">
        <w:t>JSA’s guidance and research continue to inform the strategic direction of industry partners and stakeholders, fostering innovative approaches to workforce development. Our role in shaping both policy and implementation ensures that Australia’s skills system remains responsive, evidence-based and future-focused.</w:t>
      </w:r>
    </w:p>
    <w:p w14:paraId="22A958A9" w14:textId="77777777" w:rsidR="00CB182A" w:rsidRPr="00BB5896" w:rsidRDefault="00CB182A" w:rsidP="00CB182A">
      <w:pPr>
        <w:pStyle w:val="Heading3"/>
      </w:pPr>
      <w:bookmarkStart w:id="420" w:name="_Toc207383264"/>
      <w:bookmarkStart w:id="421" w:name="_Toc208923443"/>
      <w:bookmarkStart w:id="422" w:name="_Toc211587061"/>
      <w:r w:rsidRPr="00BB5896">
        <w:t xml:space="preserve">Broader </w:t>
      </w:r>
      <w:r>
        <w:t>i</w:t>
      </w:r>
      <w:r w:rsidRPr="00BB5896">
        <w:t xml:space="preserve">nfluence </w:t>
      </w:r>
      <w:r>
        <w:t>a</w:t>
      </w:r>
      <w:r w:rsidRPr="00BB5896">
        <w:t xml:space="preserve">cross the </w:t>
      </w:r>
      <w:r>
        <w:t>s</w:t>
      </w:r>
      <w:r w:rsidRPr="00BB5896">
        <w:t>kills system</w:t>
      </w:r>
      <w:bookmarkEnd w:id="420"/>
      <w:bookmarkEnd w:id="421"/>
      <w:bookmarkEnd w:id="422"/>
    </w:p>
    <w:p w14:paraId="55BB1AAB" w14:textId="77777777" w:rsidR="00CB182A" w:rsidRPr="00BB5896" w:rsidRDefault="00CB182A" w:rsidP="00F12931">
      <w:pPr>
        <w:pStyle w:val="BodyText"/>
      </w:pPr>
      <w:r w:rsidRPr="00BB5896">
        <w:t>JSA’s work continues to influence the broader skills system</w:t>
      </w:r>
      <w:r>
        <w:t xml:space="preserve"> to support better matching</w:t>
      </w:r>
      <w:r w:rsidRPr="00BB5896">
        <w:t>, improved alignment between labour market needs and workforce skills, and promoting accessible pathways and positive outcomes for participants across Australia. Our influence is increasingly visible through citations, expert quotations, replication of findings, and the use of our products to inform decision-making across government, industry, academia and peak bodies.</w:t>
      </w:r>
    </w:p>
    <w:p w14:paraId="05FAF2B5" w14:textId="303E78C9" w:rsidR="00CB182A" w:rsidRPr="00BB5896" w:rsidRDefault="00CB182A" w:rsidP="00F12931">
      <w:pPr>
        <w:pStyle w:val="BodyText"/>
      </w:pPr>
      <w:r>
        <w:t xml:space="preserve">To better understand how our work is being used, JSA commissioned Horiz-in (Health-Innovate Pty Ltd) to scan the public domain using its Knowledge Harvesting Tool – an AI-based bot that identifies where JSA’s work is mentioned or used to create impact. The tool categorised stakeholders citing our work, analysed sentiment, and assessed alignment with </w:t>
      </w:r>
      <w:r w:rsidR="006C6082">
        <w:t>the</w:t>
      </w:r>
      <w:r>
        <w:t xml:space="preserve"> Commissioner’s strategic outcomes.</w:t>
      </w:r>
    </w:p>
    <w:p w14:paraId="073DC267" w14:textId="77777777" w:rsidR="00CB182A" w:rsidRPr="00BB5896" w:rsidRDefault="00CB182A" w:rsidP="00F12931">
      <w:pPr>
        <w:pStyle w:val="BodyText"/>
      </w:pPr>
      <w:r w:rsidRPr="00BB5896">
        <w:t>In 2024–25, Horiz-in identified 123 instances of stakeholders citing the use of JSA’s work to support decision-making, with 61 unique instances of utilisation. While not a comprehensive record, these findings provide a strong indication of how our work is being used to shape thinking and action across the system.</w:t>
      </w:r>
    </w:p>
    <w:p w14:paraId="6757A92E" w14:textId="67AC92A8" w:rsidR="00CB182A" w:rsidRPr="00CB182A" w:rsidRDefault="00CB182A" w:rsidP="00F12931">
      <w:pPr>
        <w:pStyle w:val="ListBullet"/>
      </w:pPr>
      <w:r w:rsidRPr="00F12931">
        <w:rPr>
          <w:rStyle w:val="Characterbold"/>
        </w:rPr>
        <w:t>Sentiment and Purpose:</w:t>
      </w:r>
      <w:r w:rsidRPr="00CB182A">
        <w:t xml:space="preserve"> 92% of citations were categorised as neutral or supportive. Most stakeholders used our work in public discussion or appeal products – such as opinion pieces on occupations in shortage – directly supporting </w:t>
      </w:r>
      <w:r w:rsidR="006C6082">
        <w:t>the</w:t>
      </w:r>
      <w:r w:rsidRPr="00CB182A">
        <w:t xml:space="preserve"> Commissioner’s outcome of activating an informed dialogue. Around 21% of citations were linked to policy development, including stakeholder submissions to consultation processes.</w:t>
      </w:r>
    </w:p>
    <w:p w14:paraId="290239A8" w14:textId="77777777" w:rsidR="00CB182A" w:rsidRPr="00CB182A" w:rsidRDefault="00CB182A" w:rsidP="00F12931">
      <w:pPr>
        <w:pStyle w:val="ListBullet"/>
      </w:pPr>
      <w:r w:rsidRPr="00F12931">
        <w:rPr>
          <w:rStyle w:val="Characterbold"/>
        </w:rPr>
        <w:t>Stakeholder Reach:</w:t>
      </w:r>
      <w:r w:rsidRPr="00CB182A">
        <w:t xml:space="preserve"> Citations came from a diverse mix of stakeholder groups, including government agencies, industry, peak bodies and academia. Our work was used to support industry endeavours, inform policy development, and contribute to public discourse.</w:t>
      </w:r>
    </w:p>
    <w:p w14:paraId="556AA3BE" w14:textId="7949D0C2" w:rsidR="00CB182A" w:rsidRPr="00CB182A" w:rsidRDefault="00CB182A" w:rsidP="00ED4661">
      <w:pPr>
        <w:pStyle w:val="ListBullet"/>
        <w:numPr>
          <w:ilvl w:val="0"/>
          <w:numId w:val="3"/>
        </w:numPr>
      </w:pPr>
      <w:r w:rsidRPr="00F12931">
        <w:rPr>
          <w:rStyle w:val="Characterbold"/>
        </w:rPr>
        <w:t>Most Cited Products:</w:t>
      </w:r>
      <w:r w:rsidRPr="00CB182A">
        <w:t xml:space="preserve"> JSA’s data products were the most commonly referenced, with </w:t>
      </w:r>
      <w:r w:rsidR="008C6F39" w:rsidRPr="00ED4661">
        <w:rPr>
          <w:rStyle w:val="Characteritalic"/>
        </w:rPr>
        <w:t>Opportunity and Productivity:</w:t>
      </w:r>
      <w:r w:rsidR="002744FC">
        <w:rPr>
          <w:rStyle w:val="Characteritalic"/>
        </w:rPr>
        <w:t xml:space="preserve"> </w:t>
      </w:r>
      <w:r w:rsidRPr="00ED4661">
        <w:rPr>
          <w:rStyle w:val="Characteritalic"/>
        </w:rPr>
        <w:t>Towards a Tertiary Harmonisation Roadmap</w:t>
      </w:r>
      <w:r w:rsidRPr="00CB182A">
        <w:t xml:space="preserve"> and </w:t>
      </w:r>
      <w:r w:rsidR="00564285" w:rsidRPr="00ED4661">
        <w:rPr>
          <w:rStyle w:val="Characteritalic"/>
        </w:rPr>
        <w:t xml:space="preserve">Better </w:t>
      </w:r>
      <w:r w:rsidR="008A271C" w:rsidRPr="00ED4661">
        <w:rPr>
          <w:rStyle w:val="Characteritalic"/>
        </w:rPr>
        <w:t>Together:</w:t>
      </w:r>
      <w:r w:rsidRPr="00ED4661">
        <w:rPr>
          <w:rStyle w:val="Characteritalic"/>
        </w:rPr>
        <w:t xml:space="preserve"> </w:t>
      </w:r>
      <w:r w:rsidR="00C02565" w:rsidRPr="00ED4661">
        <w:rPr>
          <w:rStyle w:val="Characteritalic"/>
        </w:rPr>
        <w:t>The</w:t>
      </w:r>
      <w:r w:rsidRPr="00ED4661">
        <w:rPr>
          <w:rStyle w:val="Characteritalic"/>
        </w:rPr>
        <w:t> Jobs and Skills Report 2024</w:t>
      </w:r>
      <w:r w:rsidRPr="00CB182A">
        <w:t> identified as our most frequently cited strategic publications.</w:t>
      </w:r>
    </w:p>
    <w:p w14:paraId="5FD3CE28" w14:textId="1BB22068" w:rsidR="00CD196C" w:rsidRDefault="00CB182A" w:rsidP="00FD5D1A">
      <w:pPr>
        <w:pStyle w:val="ListBullet"/>
      </w:pPr>
      <w:r w:rsidRPr="00F12931">
        <w:rPr>
          <w:rStyle w:val="Characterbold"/>
        </w:rPr>
        <w:t>Strategic Alignment:</w:t>
      </w:r>
      <w:r w:rsidRPr="00CB182A">
        <w:t xml:space="preserve"> Most stakeholder citations aligned with our second Commissioner’s outcome – understanding today’s workforce – with good coverage across all strategic outcomes. This reflects the breadth of JSA’s impact and the relevance of our work to a wide range of policy contexts.</w:t>
      </w:r>
    </w:p>
    <w:p w14:paraId="015BE87A" w14:textId="77777777" w:rsidR="00CB182A" w:rsidRPr="00BB5896" w:rsidRDefault="00CB182A" w:rsidP="001754CD">
      <w:pPr>
        <w:pStyle w:val="ListBullet"/>
        <w:numPr>
          <w:ilvl w:val="0"/>
          <w:numId w:val="0"/>
        </w:numPr>
      </w:pPr>
      <w:r w:rsidRPr="00BB5896">
        <w:t>JSA’s influence across the skills ecosystem is not only reflected in formal policy adoption but also in the way our work informs dialogue, shapes stakeholder positions, and supports evidence-based decision-making. As our tenure progresses, we continue to build trust and credibility, enabling deeper engagement and more effective collaboration across the system.</w:t>
      </w:r>
    </w:p>
    <w:p w14:paraId="3DF22F7E" w14:textId="77777777" w:rsidR="00CB182A" w:rsidRDefault="00CB182A" w:rsidP="00CB182A">
      <w:pPr>
        <w:pStyle w:val="Heading2"/>
      </w:pPr>
      <w:bookmarkStart w:id="423" w:name="_Toc207383266"/>
      <w:bookmarkStart w:id="424" w:name="_Toc208923445"/>
      <w:bookmarkStart w:id="425" w:name="_Toc211587062"/>
      <w:r>
        <w:t xml:space="preserve">Key points from chapter </w:t>
      </w:r>
      <w:bookmarkEnd w:id="423"/>
      <w:r>
        <w:t>six</w:t>
      </w:r>
      <w:bookmarkEnd w:id="424"/>
      <w:bookmarkEnd w:id="425"/>
    </w:p>
    <w:p w14:paraId="0F14BDD5" w14:textId="77777777" w:rsidR="00CB182A" w:rsidRPr="0089025E" w:rsidRDefault="00CB182A" w:rsidP="00F12931">
      <w:pPr>
        <w:pStyle w:val="BodyText"/>
      </w:pPr>
      <w:r w:rsidRPr="0089025E">
        <w:t>Australia’s productivity, participation and skills challenges are complex and evolving. JSA plays a central role in activating informed, evidence-based dialogue across the national skills system</w:t>
      </w:r>
      <w:r>
        <w:t xml:space="preserve"> – </w:t>
      </w:r>
      <w:r w:rsidRPr="0089025E">
        <w:t>bringing together government, industry, unions, education providers and the broader community to shape a shared understanding of workforce needs and identify practical pathways for action.</w:t>
      </w:r>
    </w:p>
    <w:p w14:paraId="29C35724" w14:textId="7514F272" w:rsidR="00CB182A" w:rsidRPr="0089025E" w:rsidRDefault="00C02565" w:rsidP="00F12931">
      <w:pPr>
        <w:pStyle w:val="BodyText"/>
      </w:pPr>
      <w:r>
        <w:t>Improved</w:t>
      </w:r>
      <w:r w:rsidR="00CB182A" w:rsidRPr="0089025E">
        <w:t xml:space="preserve"> </w:t>
      </w:r>
      <w:r w:rsidR="00942C1F">
        <w:t>alignment</w:t>
      </w:r>
      <w:r w:rsidR="00942C1F" w:rsidRPr="0089025E">
        <w:t xml:space="preserve"> </w:t>
      </w:r>
      <w:r w:rsidR="00CB182A" w:rsidRPr="0089025E">
        <w:t xml:space="preserve">of skills </w:t>
      </w:r>
      <w:r w:rsidR="00942C1F">
        <w:t>with</w:t>
      </w:r>
      <w:r w:rsidR="00CB182A" w:rsidRPr="0089025E">
        <w:t xml:space="preserve"> jobs depends on better information. JSA’s publications and data products are designed to support decision-making across the economy, from national policy to individual career choices. Over the past year, JSA has released major studies on </w:t>
      </w:r>
      <w:r w:rsidR="001B151E">
        <w:t>G</w:t>
      </w:r>
      <w:r w:rsidR="00CB182A" w:rsidRPr="0089025E">
        <w:t>en</w:t>
      </w:r>
      <w:r w:rsidR="001B151E">
        <w:t> </w:t>
      </w:r>
      <w:r w:rsidR="00CB182A" w:rsidRPr="0089025E">
        <w:t>AI, gender economic equality, the food supply chain, and</w:t>
      </w:r>
      <w:r w:rsidR="00CB182A">
        <w:t xml:space="preserve"> the</w:t>
      </w:r>
      <w:r w:rsidR="00CB182A" w:rsidRPr="0089025E">
        <w:t xml:space="preserve"> regional workforce</w:t>
      </w:r>
      <w:r w:rsidR="00CB182A">
        <w:t xml:space="preserve"> – </w:t>
      </w:r>
      <w:r w:rsidR="00CB182A" w:rsidRPr="0089025E">
        <w:t>each contributing to long-term reform and improved alignment between workforce needs and training offerings.</w:t>
      </w:r>
    </w:p>
    <w:p w14:paraId="45F2D3D9" w14:textId="76ED7D19" w:rsidR="00CB182A" w:rsidRPr="0089025E" w:rsidRDefault="00CB182A" w:rsidP="00F12931">
      <w:pPr>
        <w:pStyle w:val="BodyText"/>
      </w:pPr>
      <w:r w:rsidRPr="0089025E">
        <w:t xml:space="preserve">JSA continues to invest in expanding </w:t>
      </w:r>
      <w:r w:rsidR="007415C6">
        <w:t>our</w:t>
      </w:r>
      <w:r w:rsidR="007415C6" w:rsidRPr="0089025E">
        <w:t xml:space="preserve"> </w:t>
      </w:r>
      <w:r w:rsidRPr="0089025E">
        <w:t>reach and improving accessibility. Website traffic and social media engagement have grown significantly, supported by enhancements to dashboards, metadata tracking, and personalisation features. These improvements help ensure our insights are accessible, timely and useful</w:t>
      </w:r>
      <w:r>
        <w:t xml:space="preserve"> – </w:t>
      </w:r>
      <w:r w:rsidRPr="0089025E">
        <w:t>empowering individuals and institutions to act.</w:t>
      </w:r>
    </w:p>
    <w:p w14:paraId="0FB60886" w14:textId="24362420" w:rsidR="00CB182A" w:rsidRPr="0089025E" w:rsidRDefault="00CB182A" w:rsidP="00B55E08">
      <w:pPr>
        <w:pStyle w:val="BodyText"/>
        <w:keepLines/>
      </w:pPr>
      <w:r w:rsidRPr="0089025E">
        <w:t xml:space="preserve">Engagement remains central to JSA’s approach. Through roundtables, consultations, codesign processes and a national roadshow, </w:t>
      </w:r>
      <w:r w:rsidR="00A9259C">
        <w:t>we have</w:t>
      </w:r>
      <w:r w:rsidRPr="0089025E">
        <w:t xml:space="preserve"> embedded dialogue into </w:t>
      </w:r>
      <w:r w:rsidR="00A9259C">
        <w:t>our</w:t>
      </w:r>
      <w:r w:rsidRPr="0089025E">
        <w:t xml:space="preserve"> work, ensuring advice reflects lived experience and diverse perspectives.</w:t>
      </w:r>
      <w:r w:rsidRPr="00BE5478">
        <w:t xml:space="preserve"> </w:t>
      </w:r>
      <w:r w:rsidRPr="0089025E">
        <w:t xml:space="preserve">Collaboration with </w:t>
      </w:r>
      <w:r>
        <w:t>JSCs</w:t>
      </w:r>
      <w:r w:rsidRPr="0089025E">
        <w:t xml:space="preserve"> continues to strengthen the national evidence base</w:t>
      </w:r>
      <w:r>
        <w:t>, and</w:t>
      </w:r>
      <w:r w:rsidRPr="0089025E">
        <w:t xml:space="preserve"> </w:t>
      </w:r>
      <w:r>
        <w:t>i</w:t>
      </w:r>
      <w:r w:rsidRPr="0089025E">
        <w:t>nternational partnerships and contributions to global forums have further extended the reach and relevance of JSA’s insights.</w:t>
      </w:r>
    </w:p>
    <w:p w14:paraId="5571A43E" w14:textId="305648A8" w:rsidR="00CB182A" w:rsidRPr="0089025E" w:rsidRDefault="00CB182A" w:rsidP="00F12931">
      <w:pPr>
        <w:pStyle w:val="BodyText"/>
      </w:pPr>
      <w:r w:rsidRPr="0089025E">
        <w:t>JSA’s strategic contributions are shaping policy and implementation across government. Our analysis has informed reforms in skilled migration, clean energy, care and support sectors, early childhood education, and tertiary harmonisation. We are also supporting national action</w:t>
      </w:r>
      <w:r>
        <w:t>s</w:t>
      </w:r>
      <w:r w:rsidRPr="0089025E">
        <w:t xml:space="preserve"> on the VET workforce and contributing to place-based policy design in </w:t>
      </w:r>
      <w:r w:rsidR="00C453B6">
        <w:t>R</w:t>
      </w:r>
      <w:r w:rsidRPr="0089025E">
        <w:t>egional Australia</w:t>
      </w:r>
      <w:r>
        <w:t xml:space="preserve"> – </w:t>
      </w:r>
      <w:r w:rsidRPr="0089025E">
        <w:t>ensuring system settings reflect real-world needs and support inclusive growth.</w:t>
      </w:r>
    </w:p>
    <w:p w14:paraId="2B8A009F" w14:textId="03B6B4C5" w:rsidR="00802B85" w:rsidRDefault="00CB182A" w:rsidP="00F12931">
      <w:pPr>
        <w:pStyle w:val="BodyText"/>
      </w:pPr>
      <w:r>
        <w:t>A</w:t>
      </w:r>
      <w:r w:rsidRPr="00CB182A">
        <w:t>cross the broader skills ecosystem, our work is increasingly being used to inform policy, shape stakeholder positions, and support evidence-based action. Independent analysis shows strong alignment with strategic outcomes and growing influence across government, industry, academia and peak bodies.</w:t>
      </w:r>
    </w:p>
    <w:p w14:paraId="5BCC13B8" w14:textId="77777777" w:rsidR="006E252D" w:rsidRDefault="006E252D" w:rsidP="0096529A">
      <w:pPr>
        <w:pStyle w:val="BodyText"/>
        <w:rPr>
          <w:lang w:eastAsia="en-AU"/>
        </w:rPr>
        <w:sectPr w:rsidR="006E252D" w:rsidSect="00480B35">
          <w:headerReference w:type="even" r:id="rId143"/>
          <w:headerReference w:type="default" r:id="rId144"/>
          <w:footerReference w:type="even" r:id="rId145"/>
          <w:footerReference w:type="default" r:id="rId146"/>
          <w:pgSz w:w="11907" w:h="16839" w:code="9"/>
          <w:pgMar w:top="1440" w:right="1270" w:bottom="1440" w:left="1270" w:header="720" w:footer="720" w:gutter="0"/>
          <w:cols w:space="720"/>
          <w:docGrid w:linePitch="360"/>
        </w:sectPr>
      </w:pPr>
    </w:p>
    <w:bookmarkStart w:id="426" w:name="_Toc211587063" w:displacedByCustomXml="next"/>
    <w:bookmarkStart w:id="427" w:name="_Toc211519516" w:displacedByCustomXml="next"/>
    <w:sdt>
      <w:sdtPr>
        <w:rPr>
          <w:rFonts w:eastAsiaTheme="minorHAnsi" w:cstheme="minorBidi"/>
          <w:b w:val="0"/>
          <w:bCs w:val="0"/>
          <w:color w:val="auto"/>
          <w:sz w:val="22"/>
          <w:szCs w:val="20"/>
          <w:lang w:eastAsia="en-US"/>
        </w:rPr>
        <w:id w:val="-1990389176"/>
        <w:docPartObj>
          <w:docPartGallery w:val="Bibliographies"/>
          <w:docPartUnique/>
        </w:docPartObj>
      </w:sdtPr>
      <w:sdtContent>
        <w:p w14:paraId="47ABED7F" w14:textId="6C20E2F0" w:rsidR="008C2CD0" w:rsidRPr="008C2CD0" w:rsidRDefault="008C2CD0" w:rsidP="00ED4661">
          <w:pPr>
            <w:pStyle w:val="AppendixHeading1"/>
          </w:pPr>
          <w:r w:rsidRPr="008C2CD0">
            <w:t>References</w:t>
          </w:r>
          <w:bookmarkEnd w:id="427"/>
          <w:bookmarkEnd w:id="426"/>
        </w:p>
        <w:sdt>
          <w:sdtPr>
            <w:rPr>
              <w:rFonts w:ascii="Arial" w:hAnsi="Arial"/>
              <w:kern w:val="0"/>
              <w:szCs w:val="20"/>
              <w14:ligatures w14:val="none"/>
            </w:rPr>
            <w:id w:val="-573587230"/>
            <w:bibliography/>
          </w:sdtPr>
          <w:sdtContent>
            <w:p w14:paraId="53B49947" w14:textId="77777777" w:rsidR="00D52996" w:rsidRDefault="008C2CD0" w:rsidP="00D52996">
              <w:pPr>
                <w:pStyle w:val="Bibliography"/>
                <w:ind w:left="720" w:hanging="720"/>
                <w:rPr>
                  <w:noProof/>
                  <w:kern w:val="0"/>
                  <w:sz w:val="24"/>
                  <w:szCs w:val="24"/>
                  <w14:ligatures w14:val="none"/>
                </w:rPr>
              </w:pPr>
              <w:r w:rsidRPr="008C2CD0">
                <w:fldChar w:fldCharType="begin"/>
              </w:r>
              <w:r w:rsidRPr="008C2CD0">
                <w:instrText xml:space="preserve"> BIBLIOGRAPHY </w:instrText>
              </w:r>
              <w:r w:rsidRPr="008C2CD0">
                <w:fldChar w:fldCharType="separate"/>
              </w:r>
              <w:r w:rsidR="00D52996">
                <w:rPr>
                  <w:noProof/>
                </w:rPr>
                <w:t xml:space="preserve">ACTU. (2012). </w:t>
              </w:r>
              <w:r w:rsidR="00D52996">
                <w:rPr>
                  <w:i/>
                  <w:iCs/>
                  <w:noProof/>
                </w:rPr>
                <w:t>Lives on hold: unlocking the potential of Australia's workforce. The report of the independent inquiry into insecure work in Australia.</w:t>
              </w:r>
              <w:r w:rsidR="00D52996">
                <w:rPr>
                  <w:noProof/>
                </w:rPr>
                <w:t xml:space="preserve"> ACTU. Retrieved from https://www.actu.org.au/wp-content/uploads/2023/06/media609158lives-on-hold-final.pdf</w:t>
              </w:r>
            </w:p>
            <w:p w14:paraId="52692CB5" w14:textId="77777777" w:rsidR="00D52996" w:rsidRDefault="00D52996" w:rsidP="00D52996">
              <w:pPr>
                <w:pStyle w:val="Bibliography"/>
                <w:ind w:left="720" w:hanging="720"/>
                <w:rPr>
                  <w:noProof/>
                </w:rPr>
              </w:pPr>
              <w:r>
                <w:rPr>
                  <w:noProof/>
                </w:rPr>
                <w:t xml:space="preserve">AHRC. (2020). </w:t>
              </w:r>
              <w:r>
                <w:rPr>
                  <w:i/>
                  <w:iCs/>
                  <w:noProof/>
                </w:rPr>
                <w:t>Wiyi Yani U Thangani (women's voices): securing our rights, securing our futures.</w:t>
              </w:r>
              <w:r>
                <w:rPr>
                  <w:noProof/>
                </w:rPr>
                <w:t xml:space="preserve"> Australian Human Rights Commission.</w:t>
              </w:r>
            </w:p>
            <w:p w14:paraId="27E4F585" w14:textId="77777777" w:rsidR="00D52996" w:rsidRDefault="00D52996" w:rsidP="00D52996">
              <w:pPr>
                <w:pStyle w:val="Bibliography"/>
                <w:ind w:left="720" w:hanging="720"/>
                <w:rPr>
                  <w:noProof/>
                </w:rPr>
              </w:pPr>
              <w:r>
                <w:rPr>
                  <w:noProof/>
                </w:rPr>
                <w:t xml:space="preserve">AIHW. (2024). </w:t>
              </w:r>
              <w:r>
                <w:rPr>
                  <w:i/>
                  <w:iCs/>
                  <w:noProof/>
                </w:rPr>
                <w:t>People with disability in Australia 2024.</w:t>
              </w:r>
              <w:r>
                <w:rPr>
                  <w:noProof/>
                </w:rPr>
                <w:t xml:space="preserve"> catalogue number DIS 72. Australian Institute of Health and Welfare, Australian Government.</w:t>
              </w:r>
            </w:p>
            <w:p w14:paraId="15ABBA06" w14:textId="77777777" w:rsidR="00D52996" w:rsidRDefault="00D52996" w:rsidP="00D52996">
              <w:pPr>
                <w:pStyle w:val="Bibliography"/>
                <w:ind w:left="720" w:hanging="720"/>
                <w:rPr>
                  <w:noProof/>
                </w:rPr>
              </w:pPr>
              <w:r>
                <w:rPr>
                  <w:noProof/>
                </w:rPr>
                <w:t xml:space="preserve">Andrews, D., Egert, B., &amp; de la Maisonneuve, C. (2025, July 15). </w:t>
              </w:r>
              <w:r>
                <w:rPr>
                  <w:i/>
                  <w:iCs/>
                  <w:noProof/>
                </w:rPr>
                <w:t>Adult skills and productivity: New evidence from PIAAC 2023</w:t>
              </w:r>
              <w:r>
                <w:rPr>
                  <w:noProof/>
                </w:rPr>
                <w:t>. Retrieved August 2025, from CEPR VoxEU: https://cepr.org/voxeu/columns/adult-skills-and-productivity-new-evidence-piaac-2023</w:t>
              </w:r>
            </w:p>
            <w:p w14:paraId="780C2F53" w14:textId="77777777" w:rsidR="00D52996" w:rsidRDefault="00D52996" w:rsidP="00D52996">
              <w:pPr>
                <w:pStyle w:val="Bibliography"/>
                <w:ind w:left="720" w:hanging="720"/>
                <w:rPr>
                  <w:noProof/>
                </w:rPr>
              </w:pPr>
              <w:r>
                <w:rPr>
                  <w:noProof/>
                </w:rPr>
                <w:t xml:space="preserve">Animal Medicines Australia. (2022). </w:t>
              </w:r>
              <w:r>
                <w:rPr>
                  <w:i/>
                  <w:iCs/>
                  <w:noProof/>
                </w:rPr>
                <w:t>Pets in Australia: A national survey of pets and people.</w:t>
              </w:r>
              <w:r>
                <w:rPr>
                  <w:noProof/>
                </w:rPr>
                <w:t xml:space="preserve"> Animal Medicines Australia. Retrieved from https://animalmedicinesaustralia.org.au/resources/pets-in-australia-a-national-survey-of-pets-and-people/</w:t>
              </w:r>
            </w:p>
            <w:p w14:paraId="0680775F" w14:textId="77777777" w:rsidR="00D52996" w:rsidRDefault="00D52996" w:rsidP="00D52996">
              <w:pPr>
                <w:pStyle w:val="Bibliography"/>
                <w:ind w:left="720" w:hanging="720"/>
                <w:rPr>
                  <w:noProof/>
                </w:rPr>
              </w:pPr>
              <w:r>
                <w:rPr>
                  <w:noProof/>
                </w:rPr>
                <w:t xml:space="preserve">Anthony, T. (2004). Labour relations on northern cattle stations: feudal exploitation and accommodation. </w:t>
              </w:r>
              <w:r>
                <w:rPr>
                  <w:i/>
                  <w:iCs/>
                  <w:noProof/>
                </w:rPr>
                <w:t>Australian Review of Public Affairs, 4</w:t>
              </w:r>
              <w:r>
                <w:rPr>
                  <w:noProof/>
                </w:rPr>
                <w:t>(3), 117-136.</w:t>
              </w:r>
            </w:p>
            <w:p w14:paraId="09702080" w14:textId="77777777" w:rsidR="00D52996" w:rsidRDefault="00D52996" w:rsidP="00D52996">
              <w:pPr>
                <w:pStyle w:val="Bibliography"/>
                <w:ind w:left="720" w:hanging="720"/>
                <w:rPr>
                  <w:noProof/>
                </w:rPr>
              </w:pPr>
              <w:r>
                <w:rPr>
                  <w:noProof/>
                </w:rPr>
                <w:t xml:space="preserve">ASQA. (n.d.). </w:t>
              </w:r>
              <w:r>
                <w:rPr>
                  <w:i/>
                  <w:iCs/>
                  <w:noProof/>
                </w:rPr>
                <w:t>Total VET activity</w:t>
              </w:r>
              <w:r>
                <w:rPr>
                  <w:noProof/>
                </w:rPr>
                <w:t>. Retrieved August 2025, from https://www.asqa.gov.au/rtos/requirements-and-responsibilities/data-collection-and-provision/total-vet-activity</w:t>
              </w:r>
            </w:p>
            <w:p w14:paraId="2D9B8FB0" w14:textId="77777777" w:rsidR="00D52996" w:rsidRDefault="00D52996" w:rsidP="00D52996">
              <w:pPr>
                <w:pStyle w:val="Bibliography"/>
                <w:ind w:left="720" w:hanging="720"/>
                <w:rPr>
                  <w:noProof/>
                </w:rPr>
              </w:pPr>
              <w:r>
                <w:rPr>
                  <w:noProof/>
                </w:rPr>
                <w:t>Banks, G. (2012). Productivity policies: the ‘to do’ list. Melbourne: presented at the Economic and Social Outlook Conference, ‘Securing the Future’, 1 November 2012.</w:t>
              </w:r>
            </w:p>
            <w:p w14:paraId="43E42DD3" w14:textId="77777777" w:rsidR="00D52996" w:rsidRDefault="00D52996" w:rsidP="00D52996">
              <w:pPr>
                <w:pStyle w:val="Bibliography"/>
                <w:ind w:left="720" w:hanging="720"/>
                <w:rPr>
                  <w:noProof/>
                </w:rPr>
              </w:pPr>
              <w:r>
                <w:rPr>
                  <w:noProof/>
                </w:rPr>
                <w:t xml:space="preserve">Brinckley, M., Jones, R., Batterham, P., Calear, A., &amp; Lovett, R. (2022). The development and validation of a family functioning measure for Aboriginal and Torres Strait Islander adults. </w:t>
              </w:r>
              <w:r>
                <w:rPr>
                  <w:i/>
                  <w:iCs/>
                  <w:noProof/>
                </w:rPr>
                <w:t>BMC Public Health, 22</w:t>
              </w:r>
              <w:r>
                <w:rPr>
                  <w:noProof/>
                </w:rPr>
                <w:t>(1976).</w:t>
              </w:r>
            </w:p>
            <w:p w14:paraId="23BEDE28" w14:textId="77777777" w:rsidR="00D52996" w:rsidRDefault="00D52996" w:rsidP="00D52996">
              <w:pPr>
                <w:pStyle w:val="Bibliography"/>
                <w:ind w:left="720" w:hanging="720"/>
                <w:rPr>
                  <w:noProof/>
                </w:rPr>
              </w:pPr>
              <w:r>
                <w:rPr>
                  <w:noProof/>
                </w:rPr>
                <w:t xml:space="preserve">Bruno, A., Dunphy, J., &amp; Georgiakakis, F. (2023, September). Recent Trends in Australian Productivity. </w:t>
              </w:r>
              <w:r>
                <w:rPr>
                  <w:i/>
                  <w:iCs/>
                  <w:noProof/>
                </w:rPr>
                <w:t>Bulletin</w:t>
              </w:r>
              <w:r>
                <w:rPr>
                  <w:noProof/>
                </w:rPr>
                <w:t>. Retrieved from https://www.rba.gov.au/publications/bulletin/2023/sep/recent-trends-in-australian-productivity.html</w:t>
              </w:r>
            </w:p>
            <w:p w14:paraId="6C5D6A96" w14:textId="77777777" w:rsidR="00D52996" w:rsidRDefault="00D52996" w:rsidP="00D52996">
              <w:pPr>
                <w:pStyle w:val="Bibliography"/>
                <w:ind w:left="720" w:hanging="720"/>
                <w:rPr>
                  <w:noProof/>
                </w:rPr>
              </w:pPr>
              <w:r>
                <w:rPr>
                  <w:noProof/>
                </w:rPr>
                <w:t xml:space="preserve">Butterworth, P., Leach, L., Strazdins, L., Oleson, S., Rodgers, B., &amp; Broom, D. (2011). The psychosocial quality of work determines whether employment has benefits for mental health: results from a longitudinal national household panel survey. </w:t>
              </w:r>
              <w:r>
                <w:rPr>
                  <w:i/>
                  <w:iCs/>
                  <w:noProof/>
                </w:rPr>
                <w:t>Occupational and environmental medicine</w:t>
              </w:r>
              <w:r>
                <w:rPr>
                  <w:noProof/>
                </w:rPr>
                <w:t>, 806-812.</w:t>
              </w:r>
            </w:p>
            <w:p w14:paraId="56CEF653" w14:textId="77777777" w:rsidR="00D52996" w:rsidRDefault="00D52996" w:rsidP="00D52996">
              <w:pPr>
                <w:pStyle w:val="Bibliography"/>
                <w:ind w:left="720" w:hanging="720"/>
                <w:rPr>
                  <w:noProof/>
                </w:rPr>
              </w:pPr>
              <w:r>
                <w:rPr>
                  <w:noProof/>
                </w:rPr>
                <w:t>Chalmers, J. (2025, June 18). Address to the National Press Club, Canberra: Economic reform in our second term. Retrieved from https://ministers.treasury.gov.au/ministers/jim-chalmers-2022/speeches/address-national-press-club-canberra-5</w:t>
              </w:r>
            </w:p>
            <w:p w14:paraId="5CCCB57A" w14:textId="77777777" w:rsidR="00D52996" w:rsidRDefault="00D52996" w:rsidP="00D52996">
              <w:pPr>
                <w:pStyle w:val="Bibliography"/>
                <w:ind w:left="720" w:hanging="720"/>
                <w:rPr>
                  <w:noProof/>
                </w:rPr>
              </w:pPr>
              <w:r>
                <w:rPr>
                  <w:noProof/>
                </w:rPr>
                <w:t xml:space="preserve">Commonwealth of Australia. (2022). </w:t>
              </w:r>
              <w:r>
                <w:rPr>
                  <w:i/>
                  <w:iCs/>
                  <w:noProof/>
                </w:rPr>
                <w:t>The Senate Select Committee on Job Security - The job insecurity report.</w:t>
              </w:r>
              <w:r>
                <w:rPr>
                  <w:noProof/>
                </w:rPr>
                <w:t xml:space="preserve"> Canberra: Senate Printing Unit. Retrieved from https://parlinfo.aph.gov.au/parlInfo/download/committees/reportsen/024780/toc_pdf/Thejobinsecurityreport.pdf;fileType=application%2Fpdf</w:t>
              </w:r>
            </w:p>
            <w:p w14:paraId="345AF5AB" w14:textId="77777777" w:rsidR="00D52996" w:rsidRDefault="00D52996" w:rsidP="00D52996">
              <w:pPr>
                <w:pStyle w:val="Bibliography"/>
                <w:ind w:left="720" w:hanging="720"/>
                <w:rPr>
                  <w:noProof/>
                </w:rPr>
              </w:pPr>
              <w:r>
                <w:rPr>
                  <w:noProof/>
                </w:rPr>
                <w:t xml:space="preserve">Commonwealth of Australia. (2023). </w:t>
              </w:r>
              <w:r>
                <w:rPr>
                  <w:i/>
                  <w:iCs/>
                  <w:noProof/>
                </w:rPr>
                <w:t>Working Future: the Australian Government's White Paper on Jobs and Opportunities.</w:t>
              </w:r>
              <w:r>
                <w:rPr>
                  <w:noProof/>
                </w:rPr>
                <w:t xml:space="preserve"> Canberra: Commonwealth of Australia. Retrieved from https://treasury.gov.au/sites/default/files/2023-10/p2023-447996-working-future.pdf</w:t>
              </w:r>
            </w:p>
            <w:p w14:paraId="208F6DA0" w14:textId="77777777" w:rsidR="00D52996" w:rsidRDefault="00D52996" w:rsidP="00D52996">
              <w:pPr>
                <w:pStyle w:val="Bibliography"/>
                <w:ind w:left="720" w:hanging="720"/>
                <w:rPr>
                  <w:noProof/>
                </w:rPr>
              </w:pPr>
              <w:r>
                <w:rPr>
                  <w:noProof/>
                </w:rPr>
                <w:t xml:space="preserve">Commonwealth of Australia. (2024). </w:t>
              </w:r>
              <w:r>
                <w:rPr>
                  <w:i/>
                  <w:iCs/>
                  <w:noProof/>
                </w:rPr>
                <w:t>A new way of working together: Closing the Gap.</w:t>
              </w:r>
              <w:r>
                <w:rPr>
                  <w:noProof/>
                </w:rPr>
                <w:t xml:space="preserve"> Canberra: Department of the Prime Minister and Cabinet. Retrieved from https://www.closingthegap.gov.au/</w:t>
              </w:r>
            </w:p>
            <w:p w14:paraId="396D580F" w14:textId="77777777" w:rsidR="00D52996" w:rsidRDefault="00D52996" w:rsidP="00D52996">
              <w:pPr>
                <w:pStyle w:val="Bibliography"/>
                <w:ind w:left="720" w:hanging="720"/>
                <w:rPr>
                  <w:noProof/>
                </w:rPr>
              </w:pPr>
              <w:r>
                <w:rPr>
                  <w:noProof/>
                </w:rPr>
                <w:t xml:space="preserve">Commonwealth of Australia. (2024). </w:t>
              </w:r>
              <w:r>
                <w:rPr>
                  <w:i/>
                  <w:iCs/>
                  <w:noProof/>
                </w:rPr>
                <w:t>National Foundation Skills Strategy 2025-2035: A Strong and Sustainable Australian Adult Foundation Skills Sector.</w:t>
              </w:r>
              <w:r>
                <w:rPr>
                  <w:noProof/>
                </w:rPr>
                <w:t xml:space="preserve"> Australian Government.</w:t>
              </w:r>
            </w:p>
            <w:p w14:paraId="32D8157C" w14:textId="77777777" w:rsidR="00D52996" w:rsidRDefault="00D52996" w:rsidP="00D52996">
              <w:pPr>
                <w:pStyle w:val="Bibliography"/>
                <w:ind w:left="720" w:hanging="720"/>
                <w:rPr>
                  <w:noProof/>
                </w:rPr>
              </w:pPr>
              <w:r>
                <w:rPr>
                  <w:noProof/>
                </w:rPr>
                <w:t xml:space="preserve">De Witte, H. (1999). Job insecurity and psychological well-being: review of the literature and exploration of some unresolved issues. </w:t>
              </w:r>
              <w:r>
                <w:rPr>
                  <w:i/>
                  <w:iCs/>
                  <w:noProof/>
                </w:rPr>
                <w:t>European Journal of Work and Organizational Psychology</w:t>
              </w:r>
              <w:r>
                <w:rPr>
                  <w:noProof/>
                </w:rPr>
                <w:t>, 155-177.</w:t>
              </w:r>
            </w:p>
            <w:p w14:paraId="26BD0E50" w14:textId="77777777" w:rsidR="00D52996" w:rsidRDefault="00D52996" w:rsidP="00D52996">
              <w:pPr>
                <w:pStyle w:val="Bibliography"/>
                <w:ind w:left="720" w:hanging="720"/>
                <w:rPr>
                  <w:noProof/>
                </w:rPr>
              </w:pPr>
              <w:r>
                <w:rPr>
                  <w:noProof/>
                </w:rPr>
                <w:t xml:space="preserve">Deloitte. (2024). </w:t>
              </w:r>
              <w:r>
                <w:rPr>
                  <w:i/>
                  <w:iCs/>
                  <w:noProof/>
                </w:rPr>
                <w:t>Remaking the norm.</w:t>
              </w:r>
              <w:r>
                <w:rPr>
                  <w:noProof/>
                </w:rPr>
                <w:t xml:space="preserve"> Retrieved from https://www.deloitte.com/au/en/services/economics/perspectives/remaking-the-norm.html</w:t>
              </w:r>
            </w:p>
            <w:p w14:paraId="3DDAEBDA" w14:textId="77777777" w:rsidR="00D52996" w:rsidRDefault="00D52996" w:rsidP="00D52996">
              <w:pPr>
                <w:pStyle w:val="Bibliography"/>
                <w:ind w:left="720" w:hanging="720"/>
                <w:rPr>
                  <w:noProof/>
                </w:rPr>
              </w:pPr>
              <w:r>
                <w:rPr>
                  <w:noProof/>
                </w:rPr>
                <w:t xml:space="preserve">Deloitte Access Economics. (2024). </w:t>
              </w:r>
              <w:r>
                <w:rPr>
                  <w:i/>
                  <w:iCs/>
                  <w:noProof/>
                </w:rPr>
                <w:t>Generative AI: Australia Update.</w:t>
              </w:r>
              <w:r>
                <w:rPr>
                  <w:noProof/>
                </w:rPr>
                <w:t xml:space="preserve"> Deloitte AI Institute. Retrieved from https://www.deloitte.com/content/dam/assets-zone1/au/en/docs/services/economics/deloitte-au-generative-ai-australia-update-160524.pdf</w:t>
              </w:r>
            </w:p>
            <w:p w14:paraId="1296ED67" w14:textId="77777777" w:rsidR="00D52996" w:rsidRDefault="00D52996" w:rsidP="00D52996">
              <w:pPr>
                <w:pStyle w:val="Bibliography"/>
                <w:ind w:left="720" w:hanging="720"/>
                <w:rPr>
                  <w:noProof/>
                </w:rPr>
              </w:pPr>
              <w:r>
                <w:rPr>
                  <w:noProof/>
                </w:rPr>
                <w:t xml:space="preserve">Department of Education. (2023). </w:t>
              </w:r>
              <w:r>
                <w:rPr>
                  <w:i/>
                  <w:iCs/>
                  <w:noProof/>
                </w:rPr>
                <w:t>Australian Universities Accord Panel Discussion Paper.</w:t>
              </w:r>
              <w:r>
                <w:rPr>
                  <w:noProof/>
                </w:rPr>
                <w:t xml:space="preserve"> Canberra: Australian Government. Retrieved from https://www.education.gov.au/australian-universities-accord/resources/australian-universities-accord-panel-discussion-paper</w:t>
              </w:r>
            </w:p>
            <w:p w14:paraId="431E4EC7" w14:textId="77777777" w:rsidR="00D52996" w:rsidRDefault="00D52996" w:rsidP="00D52996">
              <w:pPr>
                <w:pStyle w:val="Bibliography"/>
                <w:ind w:left="720" w:hanging="720"/>
                <w:rPr>
                  <w:noProof/>
                </w:rPr>
              </w:pPr>
              <w:r>
                <w:rPr>
                  <w:noProof/>
                </w:rPr>
                <w:t xml:space="preserve">DISR. (2024). </w:t>
              </w:r>
              <w:r>
                <w:rPr>
                  <w:i/>
                  <w:iCs/>
                  <w:noProof/>
                </w:rPr>
                <w:t>Vocational education and training enrolment and completion in STEM and other fields.</w:t>
              </w:r>
              <w:r>
                <w:rPr>
                  <w:noProof/>
                </w:rPr>
                <w:t xml:space="preserve"> Department of Industry, Science and Resources.</w:t>
              </w:r>
            </w:p>
            <w:p w14:paraId="7CC0F145" w14:textId="77777777" w:rsidR="00D52996" w:rsidRDefault="00D52996" w:rsidP="00D52996">
              <w:pPr>
                <w:pStyle w:val="Bibliography"/>
                <w:ind w:left="720" w:hanging="720"/>
                <w:rPr>
                  <w:noProof/>
                </w:rPr>
              </w:pPr>
              <w:r>
                <w:rPr>
                  <w:noProof/>
                </w:rPr>
                <w:t xml:space="preserve">Fusion Digital Agency. (2024). </w:t>
              </w:r>
              <w:r>
                <w:rPr>
                  <w:i/>
                  <w:iCs/>
                  <w:noProof/>
                </w:rPr>
                <w:t>The Impact of AI on the Australian White Collar Workforce.</w:t>
              </w:r>
              <w:r>
                <w:rPr>
                  <w:noProof/>
                </w:rPr>
                <w:t xml:space="preserve"> Retrieved from https://www.google.com/url?sa=t&amp;rct=j&amp;q=&amp;esrc=s&amp;source=web&amp;cd=&amp;ved=2ahUKEwjUl_OpiLSLAxVJcPUHHdGsK6oQFnoECBIQAQ&amp;url=https%3A%2F%2Ffusiondigital.agency%2Fblog-digital-pr%2Fai-australian-white-collar-workforce%2F&amp;usg=AOvVaw2MZZ89PC7i8Oz7Jiuf35ov&amp;opi=89978449</w:t>
              </w:r>
            </w:p>
            <w:p w14:paraId="10F4E120" w14:textId="77777777" w:rsidR="00D52996" w:rsidRDefault="00D52996" w:rsidP="00D52996">
              <w:pPr>
                <w:pStyle w:val="Bibliography"/>
                <w:ind w:left="720" w:hanging="720"/>
                <w:rPr>
                  <w:noProof/>
                </w:rPr>
              </w:pPr>
              <w:r>
                <w:rPr>
                  <w:noProof/>
                </w:rPr>
                <w:t xml:space="preserve">Future Skills Organisation. (2025). </w:t>
              </w:r>
              <w:r>
                <w:rPr>
                  <w:i/>
                  <w:iCs/>
                  <w:noProof/>
                </w:rPr>
                <w:t>Building an AI-enabled workforce:.</w:t>
              </w:r>
              <w:r>
                <w:rPr>
                  <w:noProof/>
                </w:rPr>
                <w:t xml:space="preserve"> </w:t>
              </w:r>
            </w:p>
            <w:p w14:paraId="1D6D423F" w14:textId="77777777" w:rsidR="00D52996" w:rsidRDefault="00D52996" w:rsidP="00D52996">
              <w:pPr>
                <w:pStyle w:val="Bibliography"/>
                <w:ind w:left="720" w:hanging="720"/>
                <w:rPr>
                  <w:noProof/>
                </w:rPr>
              </w:pPr>
              <w:r>
                <w:rPr>
                  <w:noProof/>
                </w:rPr>
                <w:t xml:space="preserve">Guenther, J., Bat, M., Stephens, A., Skewes, J., Boughton, B., Williamson, F., &amp; Wooltorton, S. (2017). </w:t>
              </w:r>
              <w:r>
                <w:rPr>
                  <w:i/>
                  <w:iCs/>
                  <w:noProof/>
                </w:rPr>
                <w:t>Enhancing training advantage for remote Aboriginal and Torres Strait Islander learners.</w:t>
              </w:r>
              <w:r>
                <w:rPr>
                  <w:noProof/>
                </w:rPr>
                <w:t xml:space="preserve"> NCVER.</w:t>
              </w:r>
            </w:p>
            <w:p w14:paraId="03933884" w14:textId="77777777" w:rsidR="00D52996" w:rsidRDefault="00D52996" w:rsidP="00D52996">
              <w:pPr>
                <w:pStyle w:val="Bibliography"/>
                <w:ind w:left="720" w:hanging="720"/>
                <w:rPr>
                  <w:noProof/>
                </w:rPr>
              </w:pPr>
              <w:r>
                <w:rPr>
                  <w:noProof/>
                </w:rPr>
                <w:t xml:space="preserve">Industry Skills Australia Limited. (2025). </w:t>
              </w:r>
              <w:r>
                <w:rPr>
                  <w:i/>
                  <w:iCs/>
                  <w:noProof/>
                </w:rPr>
                <w:t>Transport and Logistics Industry, 2025 Workforce Plan.</w:t>
              </w:r>
              <w:r>
                <w:rPr>
                  <w:noProof/>
                </w:rPr>
                <w:t xml:space="preserve"> </w:t>
              </w:r>
            </w:p>
            <w:p w14:paraId="41EBDA53" w14:textId="77777777" w:rsidR="00D52996" w:rsidRDefault="00D52996" w:rsidP="00D52996">
              <w:pPr>
                <w:pStyle w:val="Bibliography"/>
                <w:ind w:left="720" w:hanging="720"/>
                <w:rPr>
                  <w:noProof/>
                </w:rPr>
              </w:pPr>
              <w:r>
                <w:rPr>
                  <w:noProof/>
                </w:rPr>
                <w:t xml:space="preserve">Jobs and Skills Australia. (2023). </w:t>
              </w:r>
              <w:r>
                <w:rPr>
                  <w:i/>
                  <w:iCs/>
                  <w:noProof/>
                </w:rPr>
                <w:t>First Nations People Workforce Analysis.</w:t>
              </w:r>
              <w:r>
                <w:rPr>
                  <w:noProof/>
                </w:rPr>
                <w:t xml:space="preserve"> Canberra: Australian Government.</w:t>
              </w:r>
            </w:p>
            <w:p w14:paraId="102368BD" w14:textId="77777777" w:rsidR="00D52996" w:rsidRDefault="00D52996" w:rsidP="00D52996">
              <w:pPr>
                <w:pStyle w:val="Bibliography"/>
                <w:ind w:left="720" w:hanging="720"/>
                <w:rPr>
                  <w:noProof/>
                </w:rPr>
              </w:pPr>
              <w:r>
                <w:rPr>
                  <w:noProof/>
                </w:rPr>
                <w:t xml:space="preserve">Jobs and Skills Australia. (2023). </w:t>
              </w:r>
              <w:r>
                <w:rPr>
                  <w:i/>
                  <w:iCs/>
                  <w:noProof/>
                </w:rPr>
                <w:t>The Clean Energy Generation: Workforce needs for a net zero economy.</w:t>
              </w:r>
              <w:r>
                <w:rPr>
                  <w:noProof/>
                </w:rPr>
                <w:t xml:space="preserve"> Canberra: Australian Government.</w:t>
              </w:r>
            </w:p>
            <w:p w14:paraId="3975D22F" w14:textId="77777777" w:rsidR="00D52996" w:rsidRDefault="00D52996" w:rsidP="00D52996">
              <w:pPr>
                <w:pStyle w:val="Bibliography"/>
                <w:ind w:left="720" w:hanging="720"/>
                <w:rPr>
                  <w:noProof/>
                </w:rPr>
              </w:pPr>
              <w:r>
                <w:rPr>
                  <w:noProof/>
                </w:rPr>
                <w:t xml:space="preserve">Jobs and Skills Australia. (2025). </w:t>
              </w:r>
              <w:r>
                <w:rPr>
                  <w:i/>
                  <w:iCs/>
                  <w:noProof/>
                </w:rPr>
                <w:t>Education and training divides - Gendered skills, pathways and outcomes.</w:t>
              </w:r>
              <w:r>
                <w:rPr>
                  <w:noProof/>
                </w:rPr>
                <w:t xml:space="preserve"> Canberra.</w:t>
              </w:r>
            </w:p>
            <w:p w14:paraId="780D1F66" w14:textId="77777777" w:rsidR="00D52996" w:rsidRDefault="00D52996" w:rsidP="00D52996">
              <w:pPr>
                <w:pStyle w:val="Bibliography"/>
                <w:ind w:left="720" w:hanging="720"/>
                <w:rPr>
                  <w:noProof/>
                </w:rPr>
              </w:pPr>
              <w:r>
                <w:rPr>
                  <w:noProof/>
                </w:rPr>
                <w:t xml:space="preserve">Jobs and Skills Australia. (2025, July 3). </w:t>
              </w:r>
              <w:r>
                <w:rPr>
                  <w:i/>
                  <w:iCs/>
                  <w:noProof/>
                </w:rPr>
                <w:t>Jobs and Skills Roadmap for Regional Australia: Phase 1.</w:t>
              </w:r>
              <w:r>
                <w:rPr>
                  <w:noProof/>
                </w:rPr>
                <w:t xml:space="preserve"> Canberra.</w:t>
              </w:r>
            </w:p>
            <w:p w14:paraId="2A7A9374" w14:textId="77777777" w:rsidR="00D52996" w:rsidRDefault="00D52996" w:rsidP="00D52996">
              <w:pPr>
                <w:pStyle w:val="Bibliography"/>
                <w:ind w:left="720" w:hanging="720"/>
                <w:rPr>
                  <w:noProof/>
                </w:rPr>
              </w:pPr>
              <w:r>
                <w:rPr>
                  <w:noProof/>
                </w:rPr>
                <w:t xml:space="preserve">Jobs and Skills Australia. (2025). </w:t>
              </w:r>
              <w:r>
                <w:rPr>
                  <w:i/>
                  <w:iCs/>
                  <w:noProof/>
                </w:rPr>
                <w:t>New perspectives on old problems: Gendered Jobs Work and Pay.</w:t>
              </w:r>
              <w:r>
                <w:rPr>
                  <w:noProof/>
                </w:rPr>
                <w:t xml:space="preserve"> Canberra.</w:t>
              </w:r>
            </w:p>
            <w:p w14:paraId="3B77854F" w14:textId="77777777" w:rsidR="00D52996" w:rsidRDefault="00D52996" w:rsidP="00D52996">
              <w:pPr>
                <w:pStyle w:val="Bibliography"/>
                <w:ind w:left="720" w:hanging="720"/>
                <w:rPr>
                  <w:noProof/>
                </w:rPr>
              </w:pPr>
              <w:r>
                <w:rPr>
                  <w:noProof/>
                </w:rPr>
                <w:t xml:space="preserve">Lake, P., Shamiri, S., Sharma, K., &amp; Bialowas, A. (2024). How efficient is the Australian labour market? Analysing job matching efficiency for regions, occupations and industries. </w:t>
              </w:r>
              <w:r>
                <w:rPr>
                  <w:i/>
                  <w:iCs/>
                  <w:noProof/>
                </w:rPr>
                <w:t>The Australian Journal of Labour Economics, 27</w:t>
              </w:r>
              <w:r>
                <w:rPr>
                  <w:noProof/>
                </w:rPr>
                <w:t>(1), 101-117. Retrieved August 2025, from https://ajle.org/index.php/ajle_home/article/view/217</w:t>
              </w:r>
            </w:p>
            <w:p w14:paraId="7341FC11" w14:textId="77777777" w:rsidR="00D52996" w:rsidRDefault="00D52996" w:rsidP="00D52996">
              <w:pPr>
                <w:pStyle w:val="Bibliography"/>
                <w:ind w:left="720" w:hanging="720"/>
                <w:rPr>
                  <w:noProof/>
                </w:rPr>
              </w:pPr>
              <w:r>
                <w:rPr>
                  <w:noProof/>
                </w:rPr>
                <w:t xml:space="preserve">Li, K., Mooney, E., McArthur, M., Hall, E., &amp; Quain, A. (2024). A comparison between veterinary small animal general practitioners and emergency practitioners in Australia. Part 2: client-related, work-related, and personal burnout. </w:t>
              </w:r>
              <w:r>
                <w:rPr>
                  <w:i/>
                  <w:iCs/>
                  <w:noProof/>
                </w:rPr>
                <w:t>Frontiers in Veterinary Science, 104</w:t>
              </w:r>
              <w:r>
                <w:rPr>
                  <w:noProof/>
                </w:rPr>
                <w:t>. doi:https://doi.org/10.3389/fvets.2024.1355511</w:t>
              </w:r>
            </w:p>
            <w:p w14:paraId="4570063F" w14:textId="77777777" w:rsidR="00D52996" w:rsidRDefault="00D52996" w:rsidP="00D52996">
              <w:pPr>
                <w:pStyle w:val="Bibliography"/>
                <w:ind w:left="720" w:hanging="720"/>
                <w:rPr>
                  <w:noProof/>
                </w:rPr>
              </w:pPr>
              <w:r>
                <w:rPr>
                  <w:noProof/>
                </w:rPr>
                <w:t xml:space="preserve">Marchand, S., &amp; Payne, A. (2022). Youth transitions after high school. In P. P. Dawkins (Ed.), </w:t>
              </w:r>
              <w:r>
                <w:rPr>
                  <w:i/>
                  <w:iCs/>
                  <w:noProof/>
                </w:rPr>
                <w:t>Melbourne Institute compendium 2022: economic and social policy: towards evidence-based policy solutions.</w:t>
              </w:r>
              <w:r>
                <w:rPr>
                  <w:noProof/>
                </w:rPr>
                <w:t xml:space="preserve"> Melbourne: Melbourne Institute Applied Economic and Social Research. Retrieved August 2025, from https://melbourneinstitute.unimelb.edu.au/__data/assets/pdf_file/0006/4367733/Melbourne-Institute-Compendium-2022-Chapter-7.pdf</w:t>
              </w:r>
            </w:p>
            <w:p w14:paraId="75AC7247" w14:textId="77777777" w:rsidR="00D52996" w:rsidRDefault="00D52996" w:rsidP="00D52996">
              <w:pPr>
                <w:pStyle w:val="Bibliography"/>
                <w:ind w:left="720" w:hanging="720"/>
                <w:rPr>
                  <w:noProof/>
                </w:rPr>
              </w:pPr>
              <w:r>
                <w:rPr>
                  <w:noProof/>
                </w:rPr>
                <w:t>Middleton, E. (2023, July 22). Long hours and overworked: regional Australia is facing a vet shortage. The Guardian. Retrieved from https://www.theguardian.com/australia-news/2023/jul/22/regional-australia-veterinary-vet-shortage-australian-veterinary-association-why-hours-overworked</w:t>
              </w:r>
            </w:p>
            <w:p w14:paraId="73A9145D" w14:textId="77777777" w:rsidR="00D52996" w:rsidRDefault="00D52996" w:rsidP="00D52996">
              <w:pPr>
                <w:pStyle w:val="Bibliography"/>
                <w:ind w:left="720" w:hanging="720"/>
                <w:rPr>
                  <w:noProof/>
                </w:rPr>
              </w:pPr>
              <w:r>
                <w:rPr>
                  <w:noProof/>
                </w:rPr>
                <w:t>Morgan, K. (2023, October 11). The acute suicide crisis among veterinarians: 'You're always going to be failing somebody'. BBC News. Retrieved from https://www.bbc.com/worklife/article/20231010-the-acute-suicide-crisis-among-veterinarians-youre-always-going-to-be-failing-somebody</w:t>
              </w:r>
            </w:p>
            <w:p w14:paraId="387F1651" w14:textId="77777777" w:rsidR="00D52996" w:rsidRDefault="00D52996" w:rsidP="00D52996">
              <w:pPr>
                <w:pStyle w:val="Bibliography"/>
                <w:ind w:left="720" w:hanging="720"/>
                <w:rPr>
                  <w:noProof/>
                </w:rPr>
              </w:pPr>
              <w:r>
                <w:rPr>
                  <w:noProof/>
                </w:rPr>
                <w:t xml:space="preserve">Nicol, S., &amp; Kim, J. (2023). Gender budgeting and intersectionality. </w:t>
              </w:r>
              <w:r>
                <w:rPr>
                  <w:i/>
                  <w:iCs/>
                  <w:noProof/>
                </w:rPr>
                <w:t>OECD Journal on Budgeting, 23</w:t>
              </w:r>
              <w:r>
                <w:rPr>
                  <w:noProof/>
                </w:rPr>
                <w:t>(2). doi:10.1787/ffdf0ba7-en</w:t>
              </w:r>
            </w:p>
            <w:p w14:paraId="7E87F5DE" w14:textId="77777777" w:rsidR="00D52996" w:rsidRDefault="00D52996" w:rsidP="00D52996">
              <w:pPr>
                <w:pStyle w:val="Bibliography"/>
                <w:ind w:left="720" w:hanging="720"/>
                <w:rPr>
                  <w:noProof/>
                </w:rPr>
              </w:pPr>
              <w:r>
                <w:rPr>
                  <w:noProof/>
                </w:rPr>
                <w:t xml:space="preserve">OECD. (2017). </w:t>
              </w:r>
              <w:r>
                <w:rPr>
                  <w:i/>
                  <w:iCs/>
                  <w:noProof/>
                </w:rPr>
                <w:t>Connecting People with Jobs: Key Issues for Raising Labour Market Participation in Australia.</w:t>
              </w:r>
              <w:r>
                <w:rPr>
                  <w:noProof/>
                </w:rPr>
                <w:t xml:space="preserve"> Paris: OECD Publishing. doi:https://doi.org/10.1787/9789264269637-en</w:t>
              </w:r>
            </w:p>
            <w:p w14:paraId="40F03AB0" w14:textId="77777777" w:rsidR="00D52996" w:rsidRDefault="00D52996" w:rsidP="00D52996">
              <w:pPr>
                <w:pStyle w:val="Bibliography"/>
                <w:ind w:left="720" w:hanging="720"/>
                <w:rPr>
                  <w:noProof/>
                </w:rPr>
              </w:pPr>
              <w:r>
                <w:rPr>
                  <w:noProof/>
                </w:rPr>
                <w:t xml:space="preserve">OECD. (2023). Regional productivity, local labour markets, and migration in Australia. </w:t>
              </w:r>
              <w:r>
                <w:rPr>
                  <w:i/>
                  <w:iCs/>
                  <w:noProof/>
                </w:rPr>
                <w:t>OECD Regional Development Papers, 39</w:t>
              </w:r>
              <w:r>
                <w:rPr>
                  <w:noProof/>
                </w:rPr>
                <w:t>. doi:https://doi.org/10.1787/3cc8f669-en</w:t>
              </w:r>
            </w:p>
            <w:p w14:paraId="5B084149" w14:textId="77777777" w:rsidR="00D52996" w:rsidRDefault="00D52996" w:rsidP="00D52996">
              <w:pPr>
                <w:pStyle w:val="Bibliography"/>
                <w:ind w:left="720" w:hanging="720"/>
                <w:rPr>
                  <w:noProof/>
                </w:rPr>
              </w:pPr>
              <w:r>
                <w:rPr>
                  <w:noProof/>
                </w:rPr>
                <w:t xml:space="preserve">Powering Skills Organisation Ltd. (2025). </w:t>
              </w:r>
              <w:r>
                <w:rPr>
                  <w:i/>
                  <w:iCs/>
                  <w:noProof/>
                </w:rPr>
                <w:t>High Load, Short Supply: Bridging the Gap to 2030 (2025 Workforce Plan).</w:t>
              </w:r>
              <w:r>
                <w:rPr>
                  <w:noProof/>
                </w:rPr>
                <w:t xml:space="preserve"> </w:t>
              </w:r>
            </w:p>
            <w:p w14:paraId="66BD7512" w14:textId="77777777" w:rsidR="00D52996" w:rsidRDefault="00D52996" w:rsidP="00D52996">
              <w:pPr>
                <w:pStyle w:val="Bibliography"/>
                <w:ind w:left="720" w:hanging="720"/>
                <w:rPr>
                  <w:noProof/>
                </w:rPr>
              </w:pPr>
              <w:r>
                <w:rPr>
                  <w:noProof/>
                </w:rPr>
                <w:t xml:space="preserve">Productivity Commission. (2025). </w:t>
              </w:r>
              <w:r>
                <w:rPr>
                  <w:i/>
                  <w:iCs/>
                  <w:noProof/>
                </w:rPr>
                <w:t>Closing the Gap Annual Data Compilation Report July 2025.</w:t>
              </w:r>
              <w:r>
                <w:rPr>
                  <w:noProof/>
                </w:rPr>
                <w:t xml:space="preserve"> Canberra.</w:t>
              </w:r>
            </w:p>
            <w:p w14:paraId="0D410E6E" w14:textId="77777777" w:rsidR="00D52996" w:rsidRDefault="00D52996" w:rsidP="00D52996">
              <w:pPr>
                <w:pStyle w:val="Bibliography"/>
                <w:ind w:left="720" w:hanging="720"/>
                <w:rPr>
                  <w:noProof/>
                </w:rPr>
              </w:pPr>
              <w:r>
                <w:rPr>
                  <w:noProof/>
                </w:rPr>
                <w:t xml:space="preserve">Productivity Commission. (2025). </w:t>
              </w:r>
              <w:r>
                <w:rPr>
                  <w:i/>
                  <w:iCs/>
                  <w:noProof/>
                </w:rPr>
                <w:t>Growth mindset: how to boost Australia's productivity, 5 productivity inquiries.</w:t>
              </w:r>
              <w:r>
                <w:rPr>
                  <w:noProof/>
                </w:rPr>
                <w:t xml:space="preserve"> Canberra.</w:t>
              </w:r>
            </w:p>
            <w:p w14:paraId="13D3521A" w14:textId="77777777" w:rsidR="00D52996" w:rsidRDefault="00D52996" w:rsidP="00D52996">
              <w:pPr>
                <w:pStyle w:val="Bibliography"/>
                <w:ind w:left="720" w:hanging="720"/>
                <w:rPr>
                  <w:noProof/>
                </w:rPr>
              </w:pPr>
              <w:r>
                <w:rPr>
                  <w:noProof/>
                </w:rPr>
                <w:t xml:space="preserve">Productivity Commission. (2025). </w:t>
              </w:r>
              <w:r>
                <w:rPr>
                  <w:i/>
                  <w:iCs/>
                  <w:noProof/>
                </w:rPr>
                <w:t>Productivity before and after COVID-19.</w:t>
              </w:r>
              <w:r>
                <w:rPr>
                  <w:noProof/>
                </w:rPr>
                <w:t xml:space="preserve"> Canberra: Research paper.</w:t>
              </w:r>
            </w:p>
            <w:p w14:paraId="2D017581" w14:textId="77777777" w:rsidR="00D52996" w:rsidRDefault="00D52996" w:rsidP="00D52996">
              <w:pPr>
                <w:pStyle w:val="Bibliography"/>
                <w:ind w:left="720" w:hanging="720"/>
                <w:rPr>
                  <w:noProof/>
                </w:rPr>
              </w:pPr>
              <w:r>
                <w:rPr>
                  <w:noProof/>
                </w:rPr>
                <w:t xml:space="preserve">QILT. (n.d.). </w:t>
              </w:r>
              <w:r>
                <w:rPr>
                  <w:i/>
                  <w:iCs/>
                  <w:noProof/>
                </w:rPr>
                <w:t>Graduate Outcomes Survey</w:t>
              </w:r>
              <w:r>
                <w:rPr>
                  <w:noProof/>
                </w:rPr>
                <w:t>. Retrieved August 2025, from https://www.qilt.edu.au/surveys/graduate-outcomes-survey-(gos)</w:t>
              </w:r>
            </w:p>
            <w:p w14:paraId="2C05A956" w14:textId="77777777" w:rsidR="00D52996" w:rsidRDefault="00D52996" w:rsidP="00D52996">
              <w:pPr>
                <w:pStyle w:val="Bibliography"/>
                <w:ind w:left="720" w:hanging="720"/>
                <w:rPr>
                  <w:noProof/>
                </w:rPr>
              </w:pPr>
              <w:r>
                <w:rPr>
                  <w:noProof/>
                </w:rPr>
                <w:t xml:space="preserve">QILT. (n.d.). </w:t>
              </w:r>
              <w:r>
                <w:rPr>
                  <w:i/>
                  <w:iCs/>
                  <w:noProof/>
                </w:rPr>
                <w:t>Graduate Outcomes Survey – Longitudinal</w:t>
              </w:r>
              <w:r>
                <w:rPr>
                  <w:noProof/>
                </w:rPr>
                <w:t>. Retrieved August 2025, from https://www.qilt.edu.au/surveys/graduate-outcomes-survey---longitudinal-(gos-l)</w:t>
              </w:r>
            </w:p>
            <w:p w14:paraId="703E090D" w14:textId="77777777" w:rsidR="00D52996" w:rsidRDefault="00D52996" w:rsidP="00D52996">
              <w:pPr>
                <w:pStyle w:val="Bibliography"/>
                <w:ind w:left="720" w:hanging="720"/>
                <w:rPr>
                  <w:noProof/>
                </w:rPr>
              </w:pPr>
              <w:r>
                <w:rPr>
                  <w:noProof/>
                </w:rPr>
                <w:t xml:space="preserve">Richardson, S. (2007). </w:t>
              </w:r>
              <w:r>
                <w:rPr>
                  <w:i/>
                  <w:iCs/>
                  <w:noProof/>
                </w:rPr>
                <w:t>What is a skill shortage?</w:t>
              </w:r>
              <w:r>
                <w:rPr>
                  <w:noProof/>
                </w:rPr>
                <w:t xml:space="preserve"> National Institute of Labour Studies - Flinders University - NCVER. Retrieved from https://www.ncver.edu.au/__data/assets/file/0019/7282/what-is-skill-shortage-4022.pdf</w:t>
              </w:r>
            </w:p>
            <w:p w14:paraId="16EE3C80" w14:textId="77777777" w:rsidR="00D52996" w:rsidRDefault="00D52996" w:rsidP="00D52996">
              <w:pPr>
                <w:pStyle w:val="Bibliography"/>
                <w:ind w:left="720" w:hanging="720"/>
                <w:rPr>
                  <w:noProof/>
                </w:rPr>
              </w:pPr>
              <w:r>
                <w:rPr>
                  <w:noProof/>
                </w:rPr>
                <w:t xml:space="preserve">Secombe, C. (2023). Declining engagement of veterinary services in Australian animal production systems: why has this occurred and what are the risks? </w:t>
              </w:r>
              <w:r>
                <w:rPr>
                  <w:i/>
                  <w:iCs/>
                  <w:noProof/>
                </w:rPr>
                <w:t>Australian Veterinary Journal, 102</w:t>
              </w:r>
              <w:r>
                <w:rPr>
                  <w:noProof/>
                </w:rPr>
                <w:t>(1-2), 30-34. doi:10.1111/avj.13302.</w:t>
              </w:r>
            </w:p>
            <w:p w14:paraId="4C93A8E1" w14:textId="77777777" w:rsidR="00D52996" w:rsidRDefault="00D52996" w:rsidP="00D52996">
              <w:pPr>
                <w:pStyle w:val="Bibliography"/>
                <w:ind w:left="720" w:hanging="720"/>
                <w:rPr>
                  <w:noProof/>
                </w:rPr>
              </w:pPr>
              <w:r>
                <w:rPr>
                  <w:noProof/>
                </w:rPr>
                <w:t xml:space="preserve">Shomos, A., &amp; Forbes, M. (2014). </w:t>
              </w:r>
              <w:r>
                <w:rPr>
                  <w:i/>
                  <w:iCs/>
                  <w:noProof/>
                </w:rPr>
                <w:t>Literacy and Numeracy Skills and Labour Market .</w:t>
              </w:r>
              <w:r>
                <w:rPr>
                  <w:noProof/>
                </w:rPr>
                <w:t xml:space="preserve"> Canberra: Productivity Commission Staff Working Paper.</w:t>
              </w:r>
            </w:p>
            <w:p w14:paraId="57C2AA49" w14:textId="77777777" w:rsidR="00D52996" w:rsidRDefault="00D52996" w:rsidP="00D52996">
              <w:pPr>
                <w:pStyle w:val="Bibliography"/>
                <w:ind w:left="720" w:hanging="720"/>
                <w:rPr>
                  <w:noProof/>
                </w:rPr>
              </w:pPr>
              <w:r>
                <w:rPr>
                  <w:noProof/>
                </w:rPr>
                <w:t xml:space="preserve">SNAICC. (2008). </w:t>
              </w:r>
              <w:r>
                <w:rPr>
                  <w:i/>
                  <w:iCs/>
                  <w:noProof/>
                </w:rPr>
                <w:t>Foster their culture: Caring for Aboriginal and Torres Strait Islander children in out-of-home care.</w:t>
              </w:r>
              <w:r>
                <w:rPr>
                  <w:noProof/>
                </w:rPr>
                <w:t xml:space="preserve"> </w:t>
              </w:r>
            </w:p>
            <w:p w14:paraId="620B9799" w14:textId="77777777" w:rsidR="00D52996" w:rsidRDefault="00D52996" w:rsidP="00D52996">
              <w:pPr>
                <w:pStyle w:val="Bibliography"/>
                <w:ind w:left="720" w:hanging="720"/>
                <w:rPr>
                  <w:noProof/>
                </w:rPr>
              </w:pPr>
              <w:r>
                <w:rPr>
                  <w:noProof/>
                </w:rPr>
                <w:t xml:space="preserve">Social Research Centre. (2024). </w:t>
              </w:r>
              <w:r>
                <w:rPr>
                  <w:i/>
                  <w:iCs/>
                  <w:noProof/>
                </w:rPr>
                <w:t>2023 GOS National Key Findings.</w:t>
              </w:r>
              <w:r>
                <w:rPr>
                  <w:noProof/>
                </w:rPr>
                <w:t xml:space="preserve"> Social Research Centre. Retrieved August 2025, from https://www.qilt.edu.au/surveys/graduate-outcomes-survey-(gos)</w:t>
              </w:r>
            </w:p>
            <w:p w14:paraId="71C3A3B1" w14:textId="77777777" w:rsidR="00D52996" w:rsidRDefault="00D52996" w:rsidP="00D52996">
              <w:pPr>
                <w:pStyle w:val="Bibliography"/>
                <w:ind w:left="720" w:hanging="720"/>
                <w:rPr>
                  <w:noProof/>
                </w:rPr>
              </w:pPr>
              <w:r>
                <w:rPr>
                  <w:noProof/>
                </w:rPr>
                <w:t xml:space="preserve">Social Research Centre. (2024). </w:t>
              </w:r>
              <w:r>
                <w:rPr>
                  <w:i/>
                  <w:iCs/>
                  <w:noProof/>
                </w:rPr>
                <w:t>2023 Graduate Outcomes Survey - Longitudinal: National Report.</w:t>
              </w:r>
              <w:r>
                <w:rPr>
                  <w:noProof/>
                </w:rPr>
                <w:t xml:space="preserve"> Social Research Centre. Retrieved August 2025, from https://www.qilt.edu.au/surveys/graduate-outcomes-survey---longitudinal-(gos-l)</w:t>
              </w:r>
            </w:p>
            <w:p w14:paraId="796BB8B4" w14:textId="77777777" w:rsidR="00D52996" w:rsidRDefault="00D52996" w:rsidP="00D52996">
              <w:pPr>
                <w:pStyle w:val="Bibliography"/>
                <w:ind w:left="720" w:hanging="720"/>
                <w:rPr>
                  <w:noProof/>
                </w:rPr>
              </w:pPr>
              <w:r>
                <w:rPr>
                  <w:noProof/>
                </w:rPr>
                <w:t xml:space="preserve">Treasury. (2023). </w:t>
              </w:r>
              <w:r>
                <w:rPr>
                  <w:i/>
                  <w:iCs/>
                  <w:noProof/>
                </w:rPr>
                <w:t>2023 Intergenerational Report.</w:t>
              </w:r>
              <w:r>
                <w:rPr>
                  <w:noProof/>
                </w:rPr>
                <w:t xml:space="preserve"> </w:t>
              </w:r>
            </w:p>
            <w:p w14:paraId="3499D7E3" w14:textId="77777777" w:rsidR="00D52996" w:rsidRDefault="00D52996" w:rsidP="00D52996">
              <w:pPr>
                <w:pStyle w:val="Bibliography"/>
                <w:ind w:left="720" w:hanging="720"/>
                <w:rPr>
                  <w:noProof/>
                </w:rPr>
              </w:pPr>
              <w:r>
                <w:rPr>
                  <w:noProof/>
                </w:rPr>
                <w:t xml:space="preserve">UTS CIPW. (n.d.). </w:t>
              </w:r>
              <w:r>
                <w:rPr>
                  <w:i/>
                  <w:iCs/>
                  <w:noProof/>
                </w:rPr>
                <w:t>Reclaiming the narrative of the First Nations workforce</w:t>
              </w:r>
              <w:r>
                <w:rPr>
                  <w:noProof/>
                </w:rPr>
                <w:t>. Retrieved September 2025, from Centre for Indigenous People and Work: https://www.uts.edu.au/about/faculties/business/research/centre-for-indigenous-people-and-work-cipw</w:t>
              </w:r>
            </w:p>
            <w:p w14:paraId="0CFBFB1B" w14:textId="77777777" w:rsidR="00D52996" w:rsidRDefault="00D52996" w:rsidP="00D52996">
              <w:pPr>
                <w:pStyle w:val="Bibliography"/>
                <w:ind w:left="720" w:hanging="720"/>
                <w:rPr>
                  <w:noProof/>
                </w:rPr>
              </w:pPr>
              <w:r>
                <w:rPr>
                  <w:noProof/>
                </w:rPr>
                <w:t xml:space="preserve">Waugh, J., Forrest, C., &amp; Dowling, K. (2024). </w:t>
              </w:r>
              <w:r>
                <w:rPr>
                  <w:i/>
                  <w:iCs/>
                  <w:noProof/>
                </w:rPr>
                <w:t>The impact of increasing university participation on the characteristics of apprentices.</w:t>
              </w:r>
              <w:r>
                <w:rPr>
                  <w:noProof/>
                </w:rPr>
                <w:t xml:space="preserve"> NCVER.</w:t>
              </w:r>
            </w:p>
            <w:p w14:paraId="39DCF3E8" w14:textId="77777777" w:rsidR="00D52996" w:rsidRDefault="00D52996" w:rsidP="00D52996">
              <w:pPr>
                <w:pStyle w:val="Bibliography"/>
                <w:ind w:left="720" w:hanging="720"/>
                <w:rPr>
                  <w:noProof/>
                </w:rPr>
              </w:pPr>
              <w:r>
                <w:rPr>
                  <w:noProof/>
                </w:rPr>
                <w:t xml:space="preserve">Young, N., Sherwood, S., Anthony, C., Gilbert, J., Gray, K., &amp; McEwen, C. (2024). </w:t>
              </w:r>
              <w:r>
                <w:rPr>
                  <w:i/>
                  <w:iCs/>
                  <w:noProof/>
                </w:rPr>
                <w:t>A hidden history of Aboriginal women's work in the community controlled health sector [literature review].</w:t>
              </w:r>
              <w:r>
                <w:rPr>
                  <w:noProof/>
                </w:rPr>
                <w:t xml:space="preserve"> Jumbunna Institute for Indigenous Education and Research, UTS Business School.</w:t>
              </w:r>
            </w:p>
            <w:p w14:paraId="13EE66DA" w14:textId="008C5DE1" w:rsidR="0096529A" w:rsidRDefault="008C2CD0" w:rsidP="00D52996">
              <w:r w:rsidRPr="008C2CD0">
                <w:fldChar w:fldCharType="end"/>
              </w:r>
            </w:p>
            <w:p w14:paraId="29C30D7C" w14:textId="6EBF5BDE" w:rsidR="008C2CD0" w:rsidRPr="008C2CD0" w:rsidRDefault="00000000" w:rsidP="00ED4661">
              <w:pPr>
                <w:spacing w:after="200" w:line="276" w:lineRule="auto"/>
              </w:pPr>
            </w:p>
          </w:sdtContent>
        </w:sdt>
      </w:sdtContent>
    </w:sdt>
    <w:p w14:paraId="01D0AF14" w14:textId="77777777" w:rsidR="006E252D" w:rsidRDefault="006E252D" w:rsidP="00CA6B57">
      <w:pPr>
        <w:pStyle w:val="AppendixHeading1"/>
        <w:sectPr w:rsidR="006E252D" w:rsidSect="006E252D">
          <w:footerReference w:type="even" r:id="rId147"/>
          <w:pgSz w:w="11907" w:h="16839" w:code="9"/>
          <w:pgMar w:top="1440" w:right="1270" w:bottom="1440" w:left="1270" w:header="720" w:footer="720" w:gutter="0"/>
          <w:cols w:space="720"/>
          <w:docGrid w:linePitch="360"/>
        </w:sectPr>
      </w:pPr>
    </w:p>
    <w:p w14:paraId="7D9B5155" w14:textId="19B06B9E" w:rsidR="00BB7F43" w:rsidRDefault="00BB7F43" w:rsidP="00CA6B57">
      <w:pPr>
        <w:pStyle w:val="AppendixHeading1"/>
      </w:pPr>
      <w:bookmarkStart w:id="428" w:name="_Toc211519517"/>
      <w:bookmarkStart w:id="429" w:name="_Toc211587064"/>
      <w:r>
        <w:t>Glossary</w:t>
      </w:r>
      <w:bookmarkEnd w:id="428"/>
      <w:bookmarkEnd w:id="429"/>
    </w:p>
    <w:p w14:paraId="250B178B" w14:textId="6C737E8C" w:rsidR="00BB7F43" w:rsidRPr="00BB7F43" w:rsidRDefault="00BB7F43" w:rsidP="00BB7F43">
      <w:pPr>
        <w:pStyle w:val="BodyText"/>
      </w:pPr>
      <w:r w:rsidRPr="00BB7F43">
        <w:t>AAPL</w:t>
      </w:r>
      <w:r w:rsidRPr="00BB7F43">
        <w:tab/>
      </w:r>
      <w:r w:rsidR="007E7EAE">
        <w:tab/>
      </w:r>
      <w:r w:rsidR="007E7EAE">
        <w:tab/>
      </w:r>
      <w:r w:rsidRPr="00BB7F43">
        <w:t>Australian Apprenticeships Priority List</w:t>
      </w:r>
    </w:p>
    <w:p w14:paraId="3592F7BA" w14:textId="45F35694" w:rsidR="00BB7F43" w:rsidRPr="00BB7F43" w:rsidRDefault="00BB7F43" w:rsidP="00BB7F43">
      <w:pPr>
        <w:pStyle w:val="BodyText"/>
      </w:pPr>
      <w:r w:rsidRPr="00BB7F43">
        <w:t>ABS</w:t>
      </w:r>
      <w:r w:rsidRPr="00BB7F43">
        <w:tab/>
      </w:r>
      <w:r w:rsidR="007E7EAE">
        <w:tab/>
      </w:r>
      <w:r w:rsidR="007E7EAE">
        <w:tab/>
      </w:r>
      <w:r w:rsidRPr="00BB7F43">
        <w:t>Australian Bureau of Statistics</w:t>
      </w:r>
    </w:p>
    <w:p w14:paraId="5EB22B17" w14:textId="0F867551" w:rsidR="00BB7F43" w:rsidRPr="00BB7F43" w:rsidRDefault="00BB7F43" w:rsidP="00BB7F43">
      <w:pPr>
        <w:pStyle w:val="BodyText"/>
      </w:pPr>
      <w:r w:rsidRPr="00BB7F43">
        <w:t>AI</w:t>
      </w:r>
      <w:r w:rsidRPr="00BB7F43">
        <w:tab/>
      </w:r>
      <w:r w:rsidR="007E7EAE">
        <w:tab/>
      </w:r>
      <w:r w:rsidR="007E7EAE">
        <w:tab/>
      </w:r>
      <w:r w:rsidR="007E7EAE">
        <w:tab/>
      </w:r>
      <w:r w:rsidRPr="00BB7F43">
        <w:t xml:space="preserve">Artificial Intelligence </w:t>
      </w:r>
    </w:p>
    <w:p w14:paraId="742BFAA0" w14:textId="65A68D4C" w:rsidR="00BB7F43" w:rsidRDefault="00BB7F43" w:rsidP="00BB7F43">
      <w:pPr>
        <w:pStyle w:val="BodyText"/>
      </w:pPr>
      <w:r w:rsidRPr="00BB7F43">
        <w:t xml:space="preserve">ANZSCO </w:t>
      </w:r>
      <w:r w:rsidRPr="00BB7F43">
        <w:tab/>
      </w:r>
      <w:r w:rsidR="007E7EAE">
        <w:tab/>
      </w:r>
      <w:r w:rsidRPr="00BB7F43">
        <w:t>Australian and New Zealand Standard Classification of Occupations</w:t>
      </w:r>
    </w:p>
    <w:p w14:paraId="306245FE" w14:textId="469BE62C" w:rsidR="00DD48F1" w:rsidRPr="00F67AC6" w:rsidRDefault="00DD48F1" w:rsidP="00BB7F43">
      <w:pPr>
        <w:pStyle w:val="BodyText"/>
        <w:rPr>
          <w:highlight w:val="yellow"/>
        </w:rPr>
      </w:pPr>
      <w:r>
        <w:t>ANZSIC</w:t>
      </w:r>
      <w:r w:rsidR="007E7EAE">
        <w:tab/>
      </w:r>
      <w:r w:rsidR="007E7EAE">
        <w:tab/>
      </w:r>
      <w:r w:rsidR="007E7EAE" w:rsidRPr="00964E80">
        <w:t xml:space="preserve">Australian and New Zealand Standard Industrial Classification </w:t>
      </w:r>
    </w:p>
    <w:p w14:paraId="29EB569C" w14:textId="73DBCB9E" w:rsidR="00BB7F43" w:rsidRPr="00BB7F43" w:rsidRDefault="00BB7F43" w:rsidP="00BB7F43">
      <w:pPr>
        <w:pStyle w:val="BodyText"/>
      </w:pPr>
      <w:r w:rsidRPr="00BB7F43">
        <w:t>ASX200</w:t>
      </w:r>
      <w:r w:rsidRPr="00BB7F43">
        <w:tab/>
      </w:r>
      <w:r w:rsidR="00B65785">
        <w:tab/>
      </w:r>
      <w:r w:rsidRPr="00BB7F43">
        <w:t>Australian Securities Exchange (200 largest listed companies)</w:t>
      </w:r>
    </w:p>
    <w:p w14:paraId="287DBE88" w14:textId="55106AAE" w:rsidR="00BB7F43" w:rsidRPr="00BB7F43" w:rsidRDefault="00BB7F43" w:rsidP="00BB7F43">
      <w:pPr>
        <w:pStyle w:val="BodyText"/>
      </w:pPr>
      <w:r w:rsidRPr="00BB7F43">
        <w:t>ATEC</w:t>
      </w:r>
      <w:r w:rsidRPr="00BB7F43">
        <w:tab/>
      </w:r>
      <w:r w:rsidR="00B65785">
        <w:tab/>
      </w:r>
      <w:r w:rsidR="00B8252D">
        <w:tab/>
      </w:r>
      <w:r w:rsidRPr="00BB7F43">
        <w:t>Australian Tertiary Education Commission</w:t>
      </w:r>
    </w:p>
    <w:p w14:paraId="7B034104" w14:textId="699244E2" w:rsidR="00BB7F43" w:rsidRPr="00BB7F43" w:rsidRDefault="00BB7F43" w:rsidP="00BB7F43">
      <w:pPr>
        <w:pStyle w:val="BodyText"/>
      </w:pPr>
      <w:r w:rsidRPr="00BB7F43">
        <w:t>AQF</w:t>
      </w:r>
      <w:r w:rsidRPr="00BB7F43">
        <w:tab/>
      </w:r>
      <w:r w:rsidR="00B8252D">
        <w:tab/>
      </w:r>
      <w:r w:rsidR="00B8252D">
        <w:tab/>
      </w:r>
      <w:r w:rsidRPr="00BB7F43">
        <w:t>Australian Qualifications Framework</w:t>
      </w:r>
    </w:p>
    <w:p w14:paraId="46E23FF2" w14:textId="3D0E7488" w:rsidR="00BB7F43" w:rsidRPr="00BB7F43" w:rsidRDefault="00BB7F43" w:rsidP="00BB7F43">
      <w:pPr>
        <w:pStyle w:val="BodyText"/>
      </w:pPr>
      <w:r w:rsidRPr="00BB7F43">
        <w:t>CALD</w:t>
      </w:r>
      <w:r w:rsidRPr="00BB7F43">
        <w:tab/>
      </w:r>
      <w:r w:rsidR="00B8252D">
        <w:tab/>
      </w:r>
      <w:r w:rsidR="00B8252D">
        <w:tab/>
      </w:r>
      <w:r w:rsidRPr="00BB7F43">
        <w:t>Culturally and Linguistically Diverse</w:t>
      </w:r>
    </w:p>
    <w:p w14:paraId="70BC0CBD" w14:textId="02012059" w:rsidR="00BB7F43" w:rsidRPr="00BB7F43" w:rsidRDefault="00BB7F43" w:rsidP="00BB7F43">
      <w:pPr>
        <w:pStyle w:val="BodyText"/>
      </w:pPr>
      <w:r w:rsidRPr="00BB7F43">
        <w:t>CGE</w:t>
      </w:r>
      <w:r w:rsidRPr="00BB7F43">
        <w:tab/>
      </w:r>
      <w:r w:rsidR="00B8252D">
        <w:tab/>
      </w:r>
      <w:r w:rsidR="00B8252D">
        <w:tab/>
      </w:r>
      <w:r w:rsidRPr="00BB7F43">
        <w:t>Computable General Equilibrium</w:t>
      </w:r>
    </w:p>
    <w:p w14:paraId="7941A917" w14:textId="578EBB9F" w:rsidR="00BB7F43" w:rsidRPr="00BB7F43" w:rsidRDefault="00BB7F43" w:rsidP="00BB7F43">
      <w:pPr>
        <w:pStyle w:val="BodyText"/>
      </w:pPr>
      <w:r w:rsidRPr="00BB7F43">
        <w:t>COVID-19</w:t>
      </w:r>
      <w:r w:rsidRPr="00BB7F43">
        <w:tab/>
      </w:r>
      <w:r w:rsidR="00B8252D">
        <w:tab/>
      </w:r>
      <w:r w:rsidRPr="00BB7F43">
        <w:t>Coronavirus disease 2019</w:t>
      </w:r>
    </w:p>
    <w:p w14:paraId="6700D010" w14:textId="3B7DA725" w:rsidR="00BB7F43" w:rsidRPr="00BB7F43" w:rsidRDefault="00BB7F43" w:rsidP="00BB7F43">
      <w:pPr>
        <w:pStyle w:val="BodyText"/>
      </w:pPr>
      <w:r w:rsidRPr="00BB7F43">
        <w:t>CSOL</w:t>
      </w:r>
      <w:r w:rsidRPr="00BB7F43">
        <w:tab/>
      </w:r>
      <w:r w:rsidR="00B8252D">
        <w:tab/>
      </w:r>
      <w:r w:rsidR="00B8252D">
        <w:tab/>
      </w:r>
      <w:r w:rsidRPr="00BB7F43">
        <w:t>Core Skills Occupation List</w:t>
      </w:r>
    </w:p>
    <w:p w14:paraId="5FD4E1F4" w14:textId="15252BE4" w:rsidR="00BB7F43" w:rsidRPr="00BB7F43" w:rsidRDefault="00BB7F43" w:rsidP="00BB7F43">
      <w:pPr>
        <w:pStyle w:val="BodyText"/>
      </w:pPr>
      <w:r w:rsidRPr="00BB7F43">
        <w:t>DEWR</w:t>
      </w:r>
      <w:r w:rsidR="00B8252D">
        <w:tab/>
      </w:r>
      <w:r w:rsidR="00B8252D">
        <w:tab/>
      </w:r>
      <w:r w:rsidRPr="00BB7F43">
        <w:tab/>
        <w:t xml:space="preserve">Department of Employment and Workplace Relations </w:t>
      </w:r>
    </w:p>
    <w:p w14:paraId="68513D1D" w14:textId="72E7A38E" w:rsidR="00BB7F43" w:rsidRPr="00BB7F43" w:rsidRDefault="00BB7F43" w:rsidP="00BB7F43">
      <w:pPr>
        <w:pStyle w:val="BodyText"/>
      </w:pPr>
      <w:r w:rsidRPr="00BB7F43">
        <w:t>GDP</w:t>
      </w:r>
      <w:r w:rsidRPr="00BB7F43">
        <w:tab/>
      </w:r>
      <w:r w:rsidR="00B8252D">
        <w:tab/>
      </w:r>
      <w:r w:rsidR="00B8252D">
        <w:tab/>
      </w:r>
      <w:r w:rsidRPr="00BB7F43">
        <w:t>Gross Domestic Product</w:t>
      </w:r>
    </w:p>
    <w:p w14:paraId="0FA278AD" w14:textId="20A3A118" w:rsidR="00BB7F43" w:rsidRPr="00BB7F43" w:rsidRDefault="00BB7F43" w:rsidP="00BB7F43">
      <w:pPr>
        <w:pStyle w:val="BodyText"/>
      </w:pPr>
      <w:r w:rsidRPr="00BB7F43">
        <w:t>Gen AI</w:t>
      </w:r>
      <w:r w:rsidRPr="00BB7F43">
        <w:tab/>
      </w:r>
      <w:r w:rsidR="00B8252D">
        <w:tab/>
      </w:r>
      <w:r w:rsidR="00B8252D">
        <w:tab/>
      </w:r>
      <w:r w:rsidRPr="00BB7F43">
        <w:t>Generative AI</w:t>
      </w:r>
    </w:p>
    <w:p w14:paraId="66FC30FA" w14:textId="3F8DAC49" w:rsidR="00BB7F43" w:rsidRPr="00BB7F43" w:rsidRDefault="00BB7F43" w:rsidP="00BB7F43">
      <w:pPr>
        <w:pStyle w:val="BodyText"/>
      </w:pPr>
      <w:r w:rsidRPr="00BB7F43">
        <w:t>GOS</w:t>
      </w:r>
      <w:r w:rsidRPr="00BB7F43">
        <w:tab/>
      </w:r>
      <w:r w:rsidR="00B8252D">
        <w:tab/>
      </w:r>
      <w:r w:rsidR="00B8252D">
        <w:tab/>
      </w:r>
      <w:r w:rsidRPr="00BB7F43">
        <w:t>Graduate Outcome Survey</w:t>
      </w:r>
    </w:p>
    <w:p w14:paraId="73EFE67F" w14:textId="07D4F291" w:rsidR="00BB7F43" w:rsidRPr="00BB7F43" w:rsidRDefault="00BB7F43" w:rsidP="00BB7F43">
      <w:pPr>
        <w:pStyle w:val="BodyText"/>
      </w:pPr>
      <w:r w:rsidRPr="00BB7F43">
        <w:t>GOS-L</w:t>
      </w:r>
      <w:r w:rsidRPr="00BB7F43">
        <w:tab/>
      </w:r>
      <w:r w:rsidR="00B8252D">
        <w:tab/>
      </w:r>
      <w:r w:rsidR="00B8252D">
        <w:tab/>
      </w:r>
      <w:r w:rsidRPr="00BB7F43">
        <w:t>Graduate Outcome Survey - Longitudinal</w:t>
      </w:r>
    </w:p>
    <w:p w14:paraId="556A83C1" w14:textId="64B6707D" w:rsidR="00BB7F43" w:rsidRPr="00BB7F43" w:rsidRDefault="00BB7F43" w:rsidP="00BB7F43">
      <w:pPr>
        <w:pStyle w:val="BodyText"/>
      </w:pPr>
      <w:r w:rsidRPr="00BB7F43">
        <w:t>GSIS</w:t>
      </w:r>
      <w:r w:rsidRPr="00BB7F43">
        <w:tab/>
      </w:r>
      <w:r w:rsidR="00B8252D">
        <w:tab/>
      </w:r>
      <w:r w:rsidR="00B8252D">
        <w:tab/>
      </w:r>
      <w:r w:rsidRPr="00BB7F43">
        <w:t>Gender Segregation Intensity Scale</w:t>
      </w:r>
    </w:p>
    <w:p w14:paraId="21381D2C" w14:textId="387DB991" w:rsidR="00BB7F43" w:rsidRPr="00BB7F43" w:rsidRDefault="00BB7F43" w:rsidP="00BB7F43">
      <w:pPr>
        <w:pStyle w:val="BodyText"/>
      </w:pPr>
      <w:r w:rsidRPr="00BB7F43">
        <w:t>IVI</w:t>
      </w:r>
      <w:r w:rsidRPr="00BB7F43">
        <w:tab/>
      </w:r>
      <w:r w:rsidR="00B8252D">
        <w:tab/>
      </w:r>
      <w:r w:rsidR="00B8252D">
        <w:tab/>
      </w:r>
      <w:r w:rsidR="00B8252D">
        <w:tab/>
      </w:r>
      <w:r w:rsidRPr="00BB7F43">
        <w:t xml:space="preserve">Internet Vacancy Index </w:t>
      </w:r>
    </w:p>
    <w:p w14:paraId="00C3DB0F" w14:textId="50B81692" w:rsidR="00BB7F43" w:rsidRPr="00BB7F43" w:rsidRDefault="00BB7F43" w:rsidP="00BB7F43">
      <w:pPr>
        <w:pStyle w:val="BodyText"/>
      </w:pPr>
      <w:r w:rsidRPr="00BB7F43">
        <w:t>JSA</w:t>
      </w:r>
      <w:r w:rsidRPr="00BB7F43">
        <w:tab/>
      </w:r>
      <w:r w:rsidR="00B8252D">
        <w:tab/>
      </w:r>
      <w:r w:rsidR="00B8252D">
        <w:tab/>
      </w:r>
      <w:r w:rsidRPr="00BB7F43">
        <w:t>Jobs and Skills Australia</w:t>
      </w:r>
    </w:p>
    <w:p w14:paraId="74B77928" w14:textId="56B834B3" w:rsidR="00BB7F43" w:rsidRPr="00BB7F43" w:rsidRDefault="00BB7F43" w:rsidP="00BB7F43">
      <w:pPr>
        <w:pStyle w:val="BodyText"/>
      </w:pPr>
      <w:r w:rsidRPr="00BB7F43">
        <w:t>JSC</w:t>
      </w:r>
      <w:r w:rsidRPr="00BB7F43">
        <w:tab/>
      </w:r>
      <w:r w:rsidR="00B8252D">
        <w:tab/>
      </w:r>
      <w:r w:rsidR="00B8252D">
        <w:tab/>
      </w:r>
      <w:r w:rsidRPr="00BB7F43">
        <w:t>Jobs and Skills Council</w:t>
      </w:r>
    </w:p>
    <w:p w14:paraId="1F7A2F5D" w14:textId="11DCEBB0" w:rsidR="00BB7F43" w:rsidRPr="00BB7F43" w:rsidRDefault="00BB7F43" w:rsidP="00BB7F43">
      <w:pPr>
        <w:pStyle w:val="BodyText"/>
      </w:pPr>
      <w:r w:rsidRPr="00BB7F43">
        <w:t>MUVER</w:t>
      </w:r>
      <w:r w:rsidRPr="00BB7F43">
        <w:tab/>
      </w:r>
      <w:r w:rsidR="00B8252D">
        <w:tab/>
      </w:r>
      <w:r w:rsidRPr="00BB7F43">
        <w:t>Matching, unemployment, vacancies, efficiency, residual</w:t>
      </w:r>
    </w:p>
    <w:p w14:paraId="68AB6B10" w14:textId="3481E939" w:rsidR="00BB7F43" w:rsidRPr="00BB7F43" w:rsidRDefault="00BB7F43" w:rsidP="00BB7F43">
      <w:pPr>
        <w:pStyle w:val="BodyText"/>
      </w:pPr>
      <w:r w:rsidRPr="00BB7F43">
        <w:t>NCVER</w:t>
      </w:r>
      <w:r w:rsidRPr="00BB7F43">
        <w:tab/>
      </w:r>
      <w:r w:rsidR="00B8252D">
        <w:tab/>
      </w:r>
      <w:r w:rsidRPr="00BB7F43">
        <w:t>National Centre for Vocational Education Research</w:t>
      </w:r>
    </w:p>
    <w:p w14:paraId="133744CB" w14:textId="7DD8A6A0" w:rsidR="00BB7F43" w:rsidRPr="00BB7F43" w:rsidRDefault="00BB7F43" w:rsidP="00BB7F43">
      <w:pPr>
        <w:pStyle w:val="BodyText"/>
      </w:pPr>
      <w:r w:rsidRPr="00BB7F43">
        <w:t>NERO</w:t>
      </w:r>
      <w:r w:rsidRPr="00BB7F43">
        <w:tab/>
      </w:r>
      <w:r w:rsidR="00E27657">
        <w:tab/>
      </w:r>
      <w:r w:rsidR="00E27657">
        <w:tab/>
      </w:r>
      <w:r w:rsidR="00E27657">
        <w:tab/>
      </w:r>
      <w:r w:rsidRPr="00BB7F43">
        <w:t>Nowcast of Employment by Region and Occupation</w:t>
      </w:r>
    </w:p>
    <w:p w14:paraId="4A56DC83" w14:textId="7D9C9D71" w:rsidR="00BB7F43" w:rsidRPr="00BB7F43" w:rsidRDefault="00BB7F43" w:rsidP="00BB7F43">
      <w:pPr>
        <w:pStyle w:val="BodyText"/>
      </w:pPr>
      <w:r w:rsidRPr="00BB7F43">
        <w:t>NST</w:t>
      </w:r>
      <w:r w:rsidRPr="00BB7F43">
        <w:tab/>
      </w:r>
      <w:r w:rsidR="00FF06DE">
        <w:tab/>
      </w:r>
      <w:r w:rsidR="00FF06DE">
        <w:tab/>
      </w:r>
      <w:r w:rsidRPr="00BB7F43">
        <w:t>National Skills Taxonomy</w:t>
      </w:r>
    </w:p>
    <w:p w14:paraId="01567359" w14:textId="39C222FD" w:rsidR="00BB7F43" w:rsidRPr="00BB7F43" w:rsidRDefault="00BB7F43" w:rsidP="00BB7F43">
      <w:pPr>
        <w:pStyle w:val="BodyText"/>
      </w:pPr>
      <w:r w:rsidRPr="00BB7F43">
        <w:t xml:space="preserve">OECD </w:t>
      </w:r>
      <w:r w:rsidR="00FF06DE">
        <w:tab/>
      </w:r>
      <w:r w:rsidR="00FF06DE">
        <w:tab/>
      </w:r>
      <w:r w:rsidRPr="00BB7F43">
        <w:tab/>
        <w:t>Organisation for Economic Co-operation and Development</w:t>
      </w:r>
    </w:p>
    <w:p w14:paraId="6C93C411" w14:textId="7A6FA138" w:rsidR="00BB7F43" w:rsidRPr="00BB7F43" w:rsidRDefault="00BB7F43" w:rsidP="00BB7F43">
      <w:pPr>
        <w:pStyle w:val="BodyText"/>
      </w:pPr>
      <w:r w:rsidRPr="00BB7F43">
        <w:t>OSL</w:t>
      </w:r>
      <w:r w:rsidRPr="00BB7F43">
        <w:tab/>
      </w:r>
      <w:r w:rsidR="00FF06DE">
        <w:tab/>
      </w:r>
      <w:r w:rsidR="00FF06DE">
        <w:tab/>
      </w:r>
      <w:r w:rsidRPr="00BB7F43">
        <w:t>Occupation Shortage List</w:t>
      </w:r>
    </w:p>
    <w:p w14:paraId="2CAA436F" w14:textId="021351E0" w:rsidR="002B2913" w:rsidRPr="00BB7F43" w:rsidRDefault="002B2913" w:rsidP="00BB7F43">
      <w:pPr>
        <w:pStyle w:val="BodyText"/>
      </w:pPr>
      <w:r>
        <w:t>PSO</w:t>
      </w:r>
      <w:r>
        <w:tab/>
      </w:r>
      <w:r>
        <w:tab/>
      </w:r>
      <w:r>
        <w:tab/>
        <w:t>Powering Skills Organisation</w:t>
      </w:r>
    </w:p>
    <w:p w14:paraId="7BD5BCDB" w14:textId="4EA06F38" w:rsidR="00BB7F43" w:rsidRPr="00BB7F43" w:rsidRDefault="00BB7F43" w:rsidP="00BB7F43">
      <w:pPr>
        <w:pStyle w:val="BodyText"/>
      </w:pPr>
      <w:r w:rsidRPr="00BB7F43">
        <w:t>QILT</w:t>
      </w:r>
      <w:r w:rsidRPr="00BB7F43">
        <w:tab/>
      </w:r>
      <w:r w:rsidR="00FF06DE">
        <w:tab/>
      </w:r>
      <w:r w:rsidR="00FF06DE">
        <w:tab/>
      </w:r>
      <w:r w:rsidRPr="00BB7F43">
        <w:t>Quality Indicators for Learning and Teaching</w:t>
      </w:r>
    </w:p>
    <w:p w14:paraId="51BB0C87" w14:textId="11F9DF43" w:rsidR="00BB7F43" w:rsidRPr="00BB7F43" w:rsidRDefault="00BB7F43" w:rsidP="00BB7F43">
      <w:pPr>
        <w:pStyle w:val="BodyText"/>
      </w:pPr>
      <w:r w:rsidRPr="00BB7F43">
        <w:t>PIAAC</w:t>
      </w:r>
      <w:r w:rsidR="00FF06DE">
        <w:tab/>
      </w:r>
      <w:r w:rsidR="00FF06DE">
        <w:tab/>
      </w:r>
      <w:r w:rsidRPr="00BB7F43">
        <w:tab/>
        <w:t xml:space="preserve">Programme for </w:t>
      </w:r>
      <w:r w:rsidR="00572960">
        <w:t>the</w:t>
      </w:r>
      <w:r w:rsidRPr="00BB7F43">
        <w:t xml:space="preserve"> International Assessment of Adult Competencies</w:t>
      </w:r>
    </w:p>
    <w:p w14:paraId="0FDC7156" w14:textId="0E178C8D" w:rsidR="00BB7F43" w:rsidRPr="00BB7F43" w:rsidRDefault="00BB7F43" w:rsidP="00BB7F43">
      <w:pPr>
        <w:pStyle w:val="BodyText"/>
      </w:pPr>
      <w:r w:rsidRPr="00BB7F43">
        <w:t>PLIDA</w:t>
      </w:r>
      <w:r w:rsidRPr="00BB7F43">
        <w:tab/>
      </w:r>
      <w:r w:rsidR="00FF06DE">
        <w:tab/>
      </w:r>
      <w:r w:rsidR="00FF06DE">
        <w:tab/>
      </w:r>
      <w:r w:rsidRPr="00BB7F43">
        <w:t xml:space="preserve">Personal Level Integrated Data Asset </w:t>
      </w:r>
    </w:p>
    <w:p w14:paraId="13BBE13C" w14:textId="33B33F22" w:rsidR="00BB7F43" w:rsidRPr="00BB7F43" w:rsidRDefault="00BB7F43" w:rsidP="00BB7F43">
      <w:pPr>
        <w:pStyle w:val="BodyText"/>
      </w:pPr>
      <w:r w:rsidRPr="00BB7F43">
        <w:t>REOS</w:t>
      </w:r>
      <w:r w:rsidR="00FF06DE">
        <w:tab/>
      </w:r>
      <w:r w:rsidR="00FF06DE">
        <w:tab/>
      </w:r>
      <w:r w:rsidRPr="00BB7F43">
        <w:tab/>
        <w:t>Recruitment Experiences and Outlook Survey</w:t>
      </w:r>
    </w:p>
    <w:p w14:paraId="29BC716C" w14:textId="662A6B83" w:rsidR="00BB7F43" w:rsidRPr="00BB7F43" w:rsidRDefault="00BB7F43" w:rsidP="00BB7F43">
      <w:pPr>
        <w:pStyle w:val="BodyText"/>
      </w:pPr>
      <w:r w:rsidRPr="00BB7F43">
        <w:t>RLMI</w:t>
      </w:r>
      <w:r w:rsidRPr="00BB7F43">
        <w:tab/>
      </w:r>
      <w:r w:rsidR="00FF06DE">
        <w:tab/>
      </w:r>
      <w:r w:rsidR="00FF06DE">
        <w:tab/>
      </w:r>
      <w:r w:rsidRPr="00BB7F43">
        <w:t>Regional Labour market indicator</w:t>
      </w:r>
    </w:p>
    <w:p w14:paraId="3D57FFAC" w14:textId="7119E4A6" w:rsidR="00BB7F43" w:rsidRPr="00BB7F43" w:rsidRDefault="00BB7F43" w:rsidP="00BB7F43">
      <w:pPr>
        <w:pStyle w:val="BodyText"/>
      </w:pPr>
      <w:r w:rsidRPr="00BB7F43">
        <w:t>RMIT</w:t>
      </w:r>
      <w:r w:rsidRPr="00BB7F43">
        <w:tab/>
      </w:r>
      <w:r w:rsidR="00FF06DE">
        <w:tab/>
      </w:r>
      <w:r w:rsidR="00FF06DE">
        <w:tab/>
      </w:r>
      <w:r w:rsidRPr="00BB7F43">
        <w:t>Royal Melbourne Institute of Technology</w:t>
      </w:r>
    </w:p>
    <w:p w14:paraId="73F82F3D" w14:textId="43FA4514" w:rsidR="00BB7F43" w:rsidRPr="00BB7F43" w:rsidRDefault="00BB7F43" w:rsidP="00BB7F43">
      <w:pPr>
        <w:pStyle w:val="BodyText"/>
      </w:pPr>
      <w:r w:rsidRPr="00BB7F43">
        <w:t>RTO</w:t>
      </w:r>
      <w:r w:rsidRPr="00BB7F43">
        <w:tab/>
      </w:r>
      <w:r w:rsidR="00FF06DE">
        <w:tab/>
      </w:r>
      <w:r w:rsidR="00FF06DE">
        <w:tab/>
      </w:r>
      <w:r w:rsidRPr="00BB7F43">
        <w:t>Registered training organisation</w:t>
      </w:r>
    </w:p>
    <w:p w14:paraId="15ABD57F" w14:textId="78F31C0F" w:rsidR="00BB7F43" w:rsidRPr="00BB7F43" w:rsidRDefault="00BB7F43" w:rsidP="00BB7F43">
      <w:pPr>
        <w:pStyle w:val="BodyText"/>
      </w:pPr>
      <w:r w:rsidRPr="00BB7F43">
        <w:t>SERA</w:t>
      </w:r>
      <w:r w:rsidRPr="00BB7F43">
        <w:tab/>
      </w:r>
      <w:r w:rsidR="00FF06DE">
        <w:tab/>
      </w:r>
      <w:r w:rsidR="00FF06DE">
        <w:tab/>
      </w:r>
      <w:r w:rsidRPr="00BB7F43">
        <w:t>Survey of Employers who have Recently Advertised</w:t>
      </w:r>
    </w:p>
    <w:p w14:paraId="1C97D267" w14:textId="30D0A064" w:rsidR="00BB7F43" w:rsidRPr="00BB7F43" w:rsidRDefault="00BB7F43" w:rsidP="00BB7F43">
      <w:pPr>
        <w:pStyle w:val="BodyText"/>
      </w:pPr>
      <w:r w:rsidRPr="00BB7F43">
        <w:t>TNV</w:t>
      </w:r>
      <w:r w:rsidRPr="00BB7F43">
        <w:tab/>
      </w:r>
      <w:r w:rsidR="00FF06DE">
        <w:tab/>
      </w:r>
      <w:r w:rsidR="00FF06DE">
        <w:tab/>
      </w:r>
      <w:r w:rsidRPr="00BB7F43">
        <w:t>Total New Vacancies</w:t>
      </w:r>
    </w:p>
    <w:p w14:paraId="076F70A5" w14:textId="116E1A12" w:rsidR="00BB7F43" w:rsidRPr="00BB7F43" w:rsidRDefault="00BB7F43" w:rsidP="00BB7F43">
      <w:pPr>
        <w:pStyle w:val="BodyText"/>
      </w:pPr>
      <w:r w:rsidRPr="00BB7F43">
        <w:t>VET</w:t>
      </w:r>
      <w:r w:rsidRPr="00BB7F43">
        <w:tab/>
      </w:r>
      <w:r w:rsidR="00FF06DE">
        <w:tab/>
      </w:r>
      <w:r w:rsidR="00FF06DE">
        <w:tab/>
      </w:r>
      <w:r w:rsidRPr="00BB7F43">
        <w:t>Vocational Education and Training</w:t>
      </w:r>
    </w:p>
    <w:p w14:paraId="59411865" w14:textId="61C2EDB3" w:rsidR="00BB7F43" w:rsidRPr="00BB7F43" w:rsidRDefault="00BB7F43" w:rsidP="00BB7F43">
      <w:pPr>
        <w:pStyle w:val="BodyText"/>
      </w:pPr>
      <w:r w:rsidRPr="00BB7F43">
        <w:t>VNDA</w:t>
      </w:r>
      <w:r w:rsidRPr="00BB7F43">
        <w:tab/>
      </w:r>
      <w:r w:rsidR="00FF06DE">
        <w:tab/>
      </w:r>
      <w:r w:rsidR="00FF06DE">
        <w:tab/>
      </w:r>
      <w:r w:rsidRPr="00BB7F43">
        <w:t xml:space="preserve">VET National Data Asset </w:t>
      </w:r>
    </w:p>
    <w:p w14:paraId="3151CC36" w14:textId="736E1EC4" w:rsidR="00BB7F43" w:rsidRPr="00BB7F43" w:rsidRDefault="00BB7F43" w:rsidP="00BB7F43">
      <w:pPr>
        <w:pStyle w:val="BodyText"/>
      </w:pPr>
      <w:r w:rsidRPr="00BB7F43">
        <w:t>VU</w:t>
      </w:r>
      <w:r w:rsidRPr="00BB7F43">
        <w:tab/>
      </w:r>
      <w:r w:rsidR="00FF06DE">
        <w:tab/>
      </w:r>
      <w:r w:rsidR="00FF06DE">
        <w:tab/>
      </w:r>
      <w:r w:rsidR="00FF06DE">
        <w:tab/>
      </w:r>
      <w:r w:rsidRPr="00BB7F43">
        <w:t>Victoria University</w:t>
      </w:r>
    </w:p>
    <w:p w14:paraId="52C086EE" w14:textId="07E8E761" w:rsidR="00BB7F43" w:rsidRDefault="00BB7F43" w:rsidP="00F67AC6">
      <w:pPr>
        <w:pStyle w:val="BodyText"/>
      </w:pPr>
      <w:r w:rsidRPr="00BB7F43">
        <w:t>VUEF</w:t>
      </w:r>
      <w:r w:rsidRPr="00BB7F43">
        <w:tab/>
      </w:r>
      <w:r w:rsidR="00FF06DE">
        <w:tab/>
      </w:r>
      <w:r w:rsidR="00FF06DE">
        <w:tab/>
      </w:r>
      <w:r w:rsidRPr="00BB7F43">
        <w:t>Victoria University Employment Forecasting Model</w:t>
      </w:r>
    </w:p>
    <w:p w14:paraId="66920209" w14:textId="77777777" w:rsidR="00480B35" w:rsidRDefault="00480B35" w:rsidP="00F67AC6">
      <w:pPr>
        <w:pStyle w:val="BodyText"/>
        <w:sectPr w:rsidR="00480B35" w:rsidSect="006E252D">
          <w:pgSz w:w="11907" w:h="16839" w:code="9"/>
          <w:pgMar w:top="1440" w:right="1270" w:bottom="1440" w:left="1270" w:header="720" w:footer="720" w:gutter="0"/>
          <w:cols w:space="720"/>
          <w:docGrid w:linePitch="360"/>
        </w:sectPr>
      </w:pPr>
    </w:p>
    <w:p w14:paraId="03DA83E7" w14:textId="43F087EC" w:rsidR="0096529A" w:rsidRPr="0096529A" w:rsidRDefault="0096529A" w:rsidP="00CE6419">
      <w:pPr>
        <w:pStyle w:val="AppendixHeading1"/>
      </w:pPr>
      <w:bookmarkStart w:id="430" w:name="_Toc211519518"/>
      <w:bookmarkStart w:id="431" w:name="_Toc211587065"/>
      <w:r w:rsidRPr="0096529A">
        <w:t>Figures</w:t>
      </w:r>
      <w:bookmarkEnd w:id="430"/>
      <w:bookmarkEnd w:id="431"/>
    </w:p>
    <w:p w14:paraId="72A2E307" w14:textId="339CFF08" w:rsidR="00061EB3" w:rsidRDefault="0096529A">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sidRPr="0096529A">
        <w:fldChar w:fldCharType="begin"/>
      </w:r>
      <w:r w:rsidRPr="0096529A">
        <w:instrText xml:space="preserve"> TOC \c "Figure" </w:instrText>
      </w:r>
      <w:r w:rsidRPr="0096529A">
        <w:fldChar w:fldCharType="separate"/>
      </w:r>
      <w:r w:rsidR="00061EB3">
        <w:rPr>
          <w:noProof/>
        </w:rPr>
        <w:t>Figure 1: GDP per hour worked in OECD countries with data available, 2023 (US dollars)</w:t>
      </w:r>
      <w:r w:rsidR="00061EB3">
        <w:rPr>
          <w:noProof/>
        </w:rPr>
        <w:tab/>
      </w:r>
      <w:r w:rsidR="00061EB3">
        <w:rPr>
          <w:noProof/>
        </w:rPr>
        <w:fldChar w:fldCharType="begin"/>
      </w:r>
      <w:r w:rsidR="00061EB3">
        <w:rPr>
          <w:noProof/>
        </w:rPr>
        <w:instrText xml:space="preserve"> PAGEREF _Toc211604150 \h </w:instrText>
      </w:r>
      <w:r w:rsidR="00061EB3">
        <w:rPr>
          <w:noProof/>
        </w:rPr>
      </w:r>
      <w:r w:rsidR="00061EB3">
        <w:rPr>
          <w:noProof/>
        </w:rPr>
        <w:fldChar w:fldCharType="separate"/>
      </w:r>
      <w:r w:rsidR="009E6E1D">
        <w:rPr>
          <w:noProof/>
        </w:rPr>
        <w:t>15</w:t>
      </w:r>
      <w:r w:rsidR="00061EB3">
        <w:rPr>
          <w:noProof/>
        </w:rPr>
        <w:fldChar w:fldCharType="end"/>
      </w:r>
    </w:p>
    <w:p w14:paraId="6DEC889D" w14:textId="30D5CF20"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2: Labour force participation rate across OECD countries</w:t>
      </w:r>
      <w:r>
        <w:rPr>
          <w:noProof/>
        </w:rPr>
        <w:tab/>
      </w:r>
      <w:r>
        <w:rPr>
          <w:noProof/>
        </w:rPr>
        <w:fldChar w:fldCharType="begin"/>
      </w:r>
      <w:r>
        <w:rPr>
          <w:noProof/>
        </w:rPr>
        <w:instrText xml:space="preserve"> PAGEREF _Toc211604151 \h </w:instrText>
      </w:r>
      <w:r>
        <w:rPr>
          <w:noProof/>
        </w:rPr>
      </w:r>
      <w:r>
        <w:rPr>
          <w:noProof/>
        </w:rPr>
        <w:fldChar w:fldCharType="separate"/>
      </w:r>
      <w:r w:rsidR="009E6E1D">
        <w:rPr>
          <w:noProof/>
        </w:rPr>
        <w:t>17</w:t>
      </w:r>
      <w:r>
        <w:rPr>
          <w:noProof/>
        </w:rPr>
        <w:fldChar w:fldCharType="end"/>
      </w:r>
    </w:p>
    <w:p w14:paraId="2641DFA7" w14:textId="30568ED0"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3: Beveridge curve for Regional Australia and Major City areas of Australia, 2019 to 2025</w:t>
      </w:r>
      <w:r>
        <w:rPr>
          <w:noProof/>
        </w:rPr>
        <w:tab/>
      </w:r>
      <w:r>
        <w:rPr>
          <w:noProof/>
        </w:rPr>
        <w:fldChar w:fldCharType="begin"/>
      </w:r>
      <w:r>
        <w:rPr>
          <w:noProof/>
        </w:rPr>
        <w:instrText xml:space="preserve"> PAGEREF _Toc211604152 \h </w:instrText>
      </w:r>
      <w:r>
        <w:rPr>
          <w:noProof/>
        </w:rPr>
      </w:r>
      <w:r>
        <w:rPr>
          <w:noProof/>
        </w:rPr>
        <w:fldChar w:fldCharType="separate"/>
      </w:r>
      <w:r w:rsidR="009E6E1D">
        <w:rPr>
          <w:noProof/>
        </w:rPr>
        <w:t>21</w:t>
      </w:r>
      <w:r>
        <w:rPr>
          <w:noProof/>
        </w:rPr>
        <w:fldChar w:fldCharType="end"/>
      </w:r>
    </w:p>
    <w:p w14:paraId="482DE3CE" w14:textId="4B0BE4FC"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4: Regional matching efficiency and employment services caseload numbers</w:t>
      </w:r>
      <w:r>
        <w:rPr>
          <w:noProof/>
        </w:rPr>
        <w:tab/>
      </w:r>
      <w:r>
        <w:rPr>
          <w:noProof/>
        </w:rPr>
        <w:fldChar w:fldCharType="begin"/>
      </w:r>
      <w:r>
        <w:rPr>
          <w:noProof/>
        </w:rPr>
        <w:instrText xml:space="preserve"> PAGEREF _Toc211604153 \h </w:instrText>
      </w:r>
      <w:r>
        <w:rPr>
          <w:noProof/>
        </w:rPr>
      </w:r>
      <w:r>
        <w:rPr>
          <w:noProof/>
        </w:rPr>
        <w:fldChar w:fldCharType="separate"/>
      </w:r>
      <w:r w:rsidR="009E6E1D">
        <w:rPr>
          <w:noProof/>
        </w:rPr>
        <w:t>22</w:t>
      </w:r>
      <w:r>
        <w:rPr>
          <w:noProof/>
        </w:rPr>
        <w:fldChar w:fldCharType="end"/>
      </w:r>
    </w:p>
    <w:p w14:paraId="23894362" w14:textId="4F0699AE"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5: JSA's role in improved matching efforts</w:t>
      </w:r>
      <w:r>
        <w:rPr>
          <w:noProof/>
        </w:rPr>
        <w:tab/>
      </w:r>
      <w:r>
        <w:rPr>
          <w:noProof/>
        </w:rPr>
        <w:fldChar w:fldCharType="begin"/>
      </w:r>
      <w:r>
        <w:rPr>
          <w:noProof/>
        </w:rPr>
        <w:instrText xml:space="preserve"> PAGEREF _Toc211604154 \h </w:instrText>
      </w:r>
      <w:r>
        <w:rPr>
          <w:noProof/>
        </w:rPr>
      </w:r>
      <w:r>
        <w:rPr>
          <w:noProof/>
        </w:rPr>
        <w:fldChar w:fldCharType="separate"/>
      </w:r>
      <w:r w:rsidR="009E6E1D">
        <w:rPr>
          <w:noProof/>
        </w:rPr>
        <w:t>24</w:t>
      </w:r>
      <w:r>
        <w:rPr>
          <w:noProof/>
        </w:rPr>
        <w:fldChar w:fldCharType="end"/>
      </w:r>
    </w:p>
    <w:p w14:paraId="63EACF81" w14:textId="528992A0"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6: Participation rate by severity of disability, 2018 and 2022</w:t>
      </w:r>
      <w:r>
        <w:rPr>
          <w:noProof/>
        </w:rPr>
        <w:tab/>
      </w:r>
      <w:r>
        <w:rPr>
          <w:noProof/>
        </w:rPr>
        <w:fldChar w:fldCharType="begin"/>
      </w:r>
      <w:r>
        <w:rPr>
          <w:noProof/>
        </w:rPr>
        <w:instrText xml:space="preserve"> PAGEREF _Toc211604155 \h </w:instrText>
      </w:r>
      <w:r>
        <w:rPr>
          <w:noProof/>
        </w:rPr>
      </w:r>
      <w:r>
        <w:rPr>
          <w:noProof/>
        </w:rPr>
        <w:fldChar w:fldCharType="separate"/>
      </w:r>
      <w:r w:rsidR="009E6E1D">
        <w:rPr>
          <w:noProof/>
        </w:rPr>
        <w:t>30</w:t>
      </w:r>
      <w:r>
        <w:rPr>
          <w:noProof/>
        </w:rPr>
        <w:fldChar w:fldCharType="end"/>
      </w:r>
    </w:p>
    <w:p w14:paraId="42277DF3" w14:textId="3CEB704E"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7: Unemployment rate by severity of disability, 2018 and 2022</w:t>
      </w:r>
      <w:r>
        <w:rPr>
          <w:noProof/>
        </w:rPr>
        <w:tab/>
      </w:r>
      <w:r>
        <w:rPr>
          <w:noProof/>
        </w:rPr>
        <w:fldChar w:fldCharType="begin"/>
      </w:r>
      <w:r>
        <w:rPr>
          <w:noProof/>
        </w:rPr>
        <w:instrText xml:space="preserve"> PAGEREF _Toc211604156 \h </w:instrText>
      </w:r>
      <w:r>
        <w:rPr>
          <w:noProof/>
        </w:rPr>
      </w:r>
      <w:r>
        <w:rPr>
          <w:noProof/>
        </w:rPr>
        <w:fldChar w:fldCharType="separate"/>
      </w:r>
      <w:r w:rsidR="009E6E1D">
        <w:rPr>
          <w:noProof/>
        </w:rPr>
        <w:t>31</w:t>
      </w:r>
      <w:r>
        <w:rPr>
          <w:noProof/>
        </w:rPr>
        <w:fldChar w:fldCharType="end"/>
      </w:r>
    </w:p>
    <w:p w14:paraId="0017B750" w14:textId="4F9FC687"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8: Proportion of employment by Occupation Major Group and Disability status - 2022</w:t>
      </w:r>
      <w:r>
        <w:rPr>
          <w:noProof/>
        </w:rPr>
        <w:tab/>
      </w:r>
      <w:r>
        <w:rPr>
          <w:noProof/>
        </w:rPr>
        <w:fldChar w:fldCharType="begin"/>
      </w:r>
      <w:r>
        <w:rPr>
          <w:noProof/>
        </w:rPr>
        <w:instrText xml:space="preserve"> PAGEREF _Toc211604157 \h </w:instrText>
      </w:r>
      <w:r>
        <w:rPr>
          <w:noProof/>
        </w:rPr>
      </w:r>
      <w:r>
        <w:rPr>
          <w:noProof/>
        </w:rPr>
        <w:fldChar w:fldCharType="separate"/>
      </w:r>
      <w:r w:rsidR="009E6E1D">
        <w:rPr>
          <w:noProof/>
        </w:rPr>
        <w:t>31</w:t>
      </w:r>
      <w:r>
        <w:rPr>
          <w:noProof/>
        </w:rPr>
        <w:fldChar w:fldCharType="end"/>
      </w:r>
    </w:p>
    <w:p w14:paraId="28E017FC" w14:textId="150A4FE9"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9: Proportion of employment by Industry and Disability status - 2022</w:t>
      </w:r>
      <w:r>
        <w:rPr>
          <w:noProof/>
        </w:rPr>
        <w:tab/>
      </w:r>
      <w:r>
        <w:rPr>
          <w:noProof/>
        </w:rPr>
        <w:fldChar w:fldCharType="begin"/>
      </w:r>
      <w:r>
        <w:rPr>
          <w:noProof/>
        </w:rPr>
        <w:instrText xml:space="preserve"> PAGEREF _Toc211604158 \h </w:instrText>
      </w:r>
      <w:r>
        <w:rPr>
          <w:noProof/>
        </w:rPr>
      </w:r>
      <w:r>
        <w:rPr>
          <w:noProof/>
        </w:rPr>
        <w:fldChar w:fldCharType="separate"/>
      </w:r>
      <w:r w:rsidR="009E6E1D">
        <w:rPr>
          <w:noProof/>
        </w:rPr>
        <w:t>32</w:t>
      </w:r>
      <w:r>
        <w:rPr>
          <w:noProof/>
        </w:rPr>
        <w:fldChar w:fldCharType="end"/>
      </w:r>
    </w:p>
    <w:p w14:paraId="3804E090" w14:textId="22228292"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10: Proportion of occupation unit groups' (ANZSCO 4-digit) gender segregation intensity shift, from 2006 to 2021</w:t>
      </w:r>
      <w:r>
        <w:rPr>
          <w:noProof/>
        </w:rPr>
        <w:tab/>
      </w:r>
      <w:r>
        <w:rPr>
          <w:noProof/>
        </w:rPr>
        <w:fldChar w:fldCharType="begin"/>
      </w:r>
      <w:r>
        <w:rPr>
          <w:noProof/>
        </w:rPr>
        <w:instrText xml:space="preserve"> PAGEREF _Toc211604159 \h </w:instrText>
      </w:r>
      <w:r>
        <w:rPr>
          <w:noProof/>
        </w:rPr>
      </w:r>
      <w:r>
        <w:rPr>
          <w:noProof/>
        </w:rPr>
        <w:fldChar w:fldCharType="separate"/>
      </w:r>
      <w:r w:rsidR="009E6E1D">
        <w:rPr>
          <w:noProof/>
        </w:rPr>
        <w:t>33</w:t>
      </w:r>
      <w:r>
        <w:rPr>
          <w:noProof/>
        </w:rPr>
        <w:fldChar w:fldCharType="end"/>
      </w:r>
    </w:p>
    <w:p w14:paraId="2E27B667" w14:textId="5F4CDD85"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11: Distribution of occupational median annual gender pay gaps</w:t>
      </w:r>
      <w:r>
        <w:rPr>
          <w:noProof/>
        </w:rPr>
        <w:tab/>
      </w:r>
      <w:r>
        <w:rPr>
          <w:noProof/>
        </w:rPr>
        <w:fldChar w:fldCharType="begin"/>
      </w:r>
      <w:r>
        <w:rPr>
          <w:noProof/>
        </w:rPr>
        <w:instrText xml:space="preserve"> PAGEREF _Toc211604160 \h </w:instrText>
      </w:r>
      <w:r>
        <w:rPr>
          <w:noProof/>
        </w:rPr>
      </w:r>
      <w:r>
        <w:rPr>
          <w:noProof/>
        </w:rPr>
        <w:fldChar w:fldCharType="separate"/>
      </w:r>
      <w:r w:rsidR="009E6E1D">
        <w:rPr>
          <w:noProof/>
        </w:rPr>
        <w:t>35</w:t>
      </w:r>
      <w:r>
        <w:rPr>
          <w:noProof/>
        </w:rPr>
        <w:fldChar w:fldCharType="end"/>
      </w:r>
    </w:p>
    <w:p w14:paraId="448D48D6" w14:textId="48E34091"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12: Proportion of industry employment for workers aged 15-24</w:t>
      </w:r>
      <w:r>
        <w:rPr>
          <w:noProof/>
        </w:rPr>
        <w:tab/>
      </w:r>
      <w:r>
        <w:rPr>
          <w:noProof/>
        </w:rPr>
        <w:fldChar w:fldCharType="begin"/>
      </w:r>
      <w:r>
        <w:rPr>
          <w:noProof/>
        </w:rPr>
        <w:instrText xml:space="preserve"> PAGEREF _Toc211604161 \h </w:instrText>
      </w:r>
      <w:r>
        <w:rPr>
          <w:noProof/>
        </w:rPr>
      </w:r>
      <w:r>
        <w:rPr>
          <w:noProof/>
        </w:rPr>
        <w:fldChar w:fldCharType="separate"/>
      </w:r>
      <w:r w:rsidR="009E6E1D">
        <w:rPr>
          <w:noProof/>
        </w:rPr>
        <w:t>37</w:t>
      </w:r>
      <w:r>
        <w:rPr>
          <w:noProof/>
        </w:rPr>
        <w:fldChar w:fldCharType="end"/>
      </w:r>
    </w:p>
    <w:p w14:paraId="7B301527" w14:textId="5813AC1C"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13: Proportion of industry employment for workers aged 25-54</w:t>
      </w:r>
      <w:r>
        <w:rPr>
          <w:noProof/>
        </w:rPr>
        <w:tab/>
      </w:r>
      <w:r>
        <w:rPr>
          <w:noProof/>
        </w:rPr>
        <w:fldChar w:fldCharType="begin"/>
      </w:r>
      <w:r>
        <w:rPr>
          <w:noProof/>
        </w:rPr>
        <w:instrText xml:space="preserve"> PAGEREF _Toc211604162 \h </w:instrText>
      </w:r>
      <w:r>
        <w:rPr>
          <w:noProof/>
        </w:rPr>
      </w:r>
      <w:r>
        <w:rPr>
          <w:noProof/>
        </w:rPr>
        <w:fldChar w:fldCharType="separate"/>
      </w:r>
      <w:r w:rsidR="009E6E1D">
        <w:rPr>
          <w:noProof/>
        </w:rPr>
        <w:t>38</w:t>
      </w:r>
      <w:r>
        <w:rPr>
          <w:noProof/>
        </w:rPr>
        <w:fldChar w:fldCharType="end"/>
      </w:r>
    </w:p>
    <w:p w14:paraId="7EA86A15" w14:textId="79916B77"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14: Proportion of industry employment for workers aged 55 and over</w:t>
      </w:r>
      <w:r>
        <w:rPr>
          <w:noProof/>
        </w:rPr>
        <w:tab/>
      </w:r>
      <w:r>
        <w:rPr>
          <w:noProof/>
        </w:rPr>
        <w:fldChar w:fldCharType="begin"/>
      </w:r>
      <w:r>
        <w:rPr>
          <w:noProof/>
        </w:rPr>
        <w:instrText xml:space="preserve"> PAGEREF _Toc211604163 \h </w:instrText>
      </w:r>
      <w:r>
        <w:rPr>
          <w:noProof/>
        </w:rPr>
      </w:r>
      <w:r>
        <w:rPr>
          <w:noProof/>
        </w:rPr>
        <w:fldChar w:fldCharType="separate"/>
      </w:r>
      <w:r w:rsidR="009E6E1D">
        <w:rPr>
          <w:noProof/>
        </w:rPr>
        <w:t>39</w:t>
      </w:r>
      <w:r>
        <w:rPr>
          <w:noProof/>
        </w:rPr>
        <w:fldChar w:fldCharType="end"/>
      </w:r>
    </w:p>
    <w:p w14:paraId="1DFA9DA5" w14:textId="2C9C5DC3"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15: Reasons young applicants were successful in getting the job</w:t>
      </w:r>
      <w:r>
        <w:rPr>
          <w:noProof/>
        </w:rPr>
        <w:tab/>
      </w:r>
      <w:r>
        <w:rPr>
          <w:noProof/>
        </w:rPr>
        <w:fldChar w:fldCharType="begin"/>
      </w:r>
      <w:r>
        <w:rPr>
          <w:noProof/>
        </w:rPr>
        <w:instrText xml:space="preserve"> PAGEREF _Toc211604164 \h </w:instrText>
      </w:r>
      <w:r>
        <w:rPr>
          <w:noProof/>
        </w:rPr>
      </w:r>
      <w:r>
        <w:rPr>
          <w:noProof/>
        </w:rPr>
        <w:fldChar w:fldCharType="separate"/>
      </w:r>
      <w:r w:rsidR="009E6E1D">
        <w:rPr>
          <w:noProof/>
        </w:rPr>
        <w:t>40</w:t>
      </w:r>
      <w:r>
        <w:rPr>
          <w:noProof/>
        </w:rPr>
        <w:fldChar w:fldCharType="end"/>
      </w:r>
    </w:p>
    <w:p w14:paraId="327E79B7" w14:textId="11F11ABD"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16: Reasons young applicants were unsuccessful in getting the job</w:t>
      </w:r>
      <w:r>
        <w:rPr>
          <w:noProof/>
        </w:rPr>
        <w:tab/>
      </w:r>
      <w:r>
        <w:rPr>
          <w:noProof/>
        </w:rPr>
        <w:fldChar w:fldCharType="begin"/>
      </w:r>
      <w:r>
        <w:rPr>
          <w:noProof/>
        </w:rPr>
        <w:instrText xml:space="preserve"> PAGEREF _Toc211604165 \h </w:instrText>
      </w:r>
      <w:r>
        <w:rPr>
          <w:noProof/>
        </w:rPr>
      </w:r>
      <w:r>
        <w:rPr>
          <w:noProof/>
        </w:rPr>
        <w:fldChar w:fldCharType="separate"/>
      </w:r>
      <w:r w:rsidR="009E6E1D">
        <w:rPr>
          <w:noProof/>
        </w:rPr>
        <w:t>41</w:t>
      </w:r>
      <w:r>
        <w:rPr>
          <w:noProof/>
        </w:rPr>
        <w:fldChar w:fldCharType="end"/>
      </w:r>
    </w:p>
    <w:p w14:paraId="391032DA" w14:textId="1047DB41"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17: Distribution of First Nations people in the workforce by occupation major group</w:t>
      </w:r>
      <w:r>
        <w:rPr>
          <w:noProof/>
        </w:rPr>
        <w:tab/>
      </w:r>
      <w:r>
        <w:rPr>
          <w:noProof/>
        </w:rPr>
        <w:fldChar w:fldCharType="begin"/>
      </w:r>
      <w:r>
        <w:rPr>
          <w:noProof/>
        </w:rPr>
        <w:instrText xml:space="preserve"> PAGEREF _Toc211604166 \h </w:instrText>
      </w:r>
      <w:r>
        <w:rPr>
          <w:noProof/>
        </w:rPr>
      </w:r>
      <w:r>
        <w:rPr>
          <w:noProof/>
        </w:rPr>
        <w:fldChar w:fldCharType="separate"/>
      </w:r>
      <w:r w:rsidR="009E6E1D">
        <w:rPr>
          <w:noProof/>
        </w:rPr>
        <w:t>44</w:t>
      </w:r>
      <w:r>
        <w:rPr>
          <w:noProof/>
        </w:rPr>
        <w:fldChar w:fldCharType="end"/>
      </w:r>
    </w:p>
    <w:p w14:paraId="3D7BB913" w14:textId="03F4430E"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18: Percentage of occupations in shortage (%), by composition of First Nations people</w:t>
      </w:r>
      <w:r>
        <w:rPr>
          <w:noProof/>
        </w:rPr>
        <w:tab/>
      </w:r>
      <w:r>
        <w:rPr>
          <w:noProof/>
        </w:rPr>
        <w:fldChar w:fldCharType="begin"/>
      </w:r>
      <w:r>
        <w:rPr>
          <w:noProof/>
        </w:rPr>
        <w:instrText xml:space="preserve"> PAGEREF _Toc211604167 \h </w:instrText>
      </w:r>
      <w:r>
        <w:rPr>
          <w:noProof/>
        </w:rPr>
      </w:r>
      <w:r>
        <w:rPr>
          <w:noProof/>
        </w:rPr>
        <w:fldChar w:fldCharType="separate"/>
      </w:r>
      <w:r w:rsidR="009E6E1D">
        <w:rPr>
          <w:noProof/>
        </w:rPr>
        <w:t>44</w:t>
      </w:r>
      <w:r>
        <w:rPr>
          <w:noProof/>
        </w:rPr>
        <w:fldChar w:fldCharType="end"/>
      </w:r>
    </w:p>
    <w:p w14:paraId="4E77EC9C" w14:textId="0CB717C2"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19: Percentage of occupations in shortage by composition of persons with disability</w:t>
      </w:r>
      <w:r>
        <w:rPr>
          <w:noProof/>
        </w:rPr>
        <w:tab/>
      </w:r>
      <w:r>
        <w:rPr>
          <w:noProof/>
        </w:rPr>
        <w:fldChar w:fldCharType="begin"/>
      </w:r>
      <w:r>
        <w:rPr>
          <w:noProof/>
        </w:rPr>
        <w:instrText xml:space="preserve"> PAGEREF _Toc211604168 \h </w:instrText>
      </w:r>
      <w:r>
        <w:rPr>
          <w:noProof/>
        </w:rPr>
      </w:r>
      <w:r>
        <w:rPr>
          <w:noProof/>
        </w:rPr>
        <w:fldChar w:fldCharType="separate"/>
      </w:r>
      <w:r w:rsidR="009E6E1D">
        <w:rPr>
          <w:noProof/>
        </w:rPr>
        <w:t>45</w:t>
      </w:r>
      <w:r>
        <w:rPr>
          <w:noProof/>
        </w:rPr>
        <w:fldChar w:fldCharType="end"/>
      </w:r>
    </w:p>
    <w:p w14:paraId="69BD0D49" w14:textId="7EA29370"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20: Percentage of occupations in shortage by mature age worker composition</w:t>
      </w:r>
      <w:r>
        <w:rPr>
          <w:noProof/>
        </w:rPr>
        <w:tab/>
      </w:r>
      <w:r>
        <w:rPr>
          <w:noProof/>
        </w:rPr>
        <w:fldChar w:fldCharType="begin"/>
      </w:r>
      <w:r>
        <w:rPr>
          <w:noProof/>
        </w:rPr>
        <w:instrText xml:space="preserve"> PAGEREF _Toc211604169 \h </w:instrText>
      </w:r>
      <w:r>
        <w:rPr>
          <w:noProof/>
        </w:rPr>
      </w:r>
      <w:r>
        <w:rPr>
          <w:noProof/>
        </w:rPr>
        <w:fldChar w:fldCharType="separate"/>
      </w:r>
      <w:r w:rsidR="009E6E1D">
        <w:rPr>
          <w:noProof/>
        </w:rPr>
        <w:t>46</w:t>
      </w:r>
      <w:r>
        <w:rPr>
          <w:noProof/>
        </w:rPr>
        <w:fldChar w:fldCharType="end"/>
      </w:r>
    </w:p>
    <w:p w14:paraId="14B3A9F3" w14:textId="7FC387AE"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21: Percentage point deviation from the 5 year mean productivity growth and percentage point deviation from the 5 year mean workforce shortage, by industry, 2021 to 2025</w:t>
      </w:r>
      <w:r>
        <w:rPr>
          <w:noProof/>
        </w:rPr>
        <w:tab/>
      </w:r>
      <w:r>
        <w:rPr>
          <w:noProof/>
        </w:rPr>
        <w:fldChar w:fldCharType="begin"/>
      </w:r>
      <w:r>
        <w:rPr>
          <w:noProof/>
        </w:rPr>
        <w:instrText xml:space="preserve"> PAGEREF _Toc211604170 \h </w:instrText>
      </w:r>
      <w:r>
        <w:rPr>
          <w:noProof/>
        </w:rPr>
      </w:r>
      <w:r>
        <w:rPr>
          <w:noProof/>
        </w:rPr>
        <w:fldChar w:fldCharType="separate"/>
      </w:r>
      <w:r w:rsidR="009E6E1D">
        <w:rPr>
          <w:noProof/>
        </w:rPr>
        <w:t>55</w:t>
      </w:r>
      <w:r>
        <w:rPr>
          <w:noProof/>
        </w:rPr>
        <w:fldChar w:fldCharType="end"/>
      </w:r>
    </w:p>
    <w:p w14:paraId="4B8B8F7E" w14:textId="29C0B54A"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22: Online job advertisements for Veterinarians and Veterinary Nurses, September 2006 to September 2024</w:t>
      </w:r>
      <w:r>
        <w:rPr>
          <w:noProof/>
        </w:rPr>
        <w:tab/>
      </w:r>
      <w:r>
        <w:rPr>
          <w:noProof/>
        </w:rPr>
        <w:fldChar w:fldCharType="begin"/>
      </w:r>
      <w:r>
        <w:rPr>
          <w:noProof/>
        </w:rPr>
        <w:instrText xml:space="preserve"> PAGEREF _Toc211604171 \h </w:instrText>
      </w:r>
      <w:r>
        <w:rPr>
          <w:noProof/>
        </w:rPr>
      </w:r>
      <w:r>
        <w:rPr>
          <w:noProof/>
        </w:rPr>
        <w:fldChar w:fldCharType="separate"/>
      </w:r>
      <w:r w:rsidR="009E6E1D">
        <w:rPr>
          <w:noProof/>
        </w:rPr>
        <w:t>56</w:t>
      </w:r>
      <w:r>
        <w:rPr>
          <w:noProof/>
        </w:rPr>
        <w:fldChar w:fldCharType="end"/>
      </w:r>
    </w:p>
    <w:p w14:paraId="440CA1CD" w14:textId="1498AF5D"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23: Comparison of JSA TNV and ABS Job Vacancy Survey (JVS) series over time</w:t>
      </w:r>
      <w:r>
        <w:rPr>
          <w:noProof/>
        </w:rPr>
        <w:tab/>
      </w:r>
      <w:r>
        <w:rPr>
          <w:noProof/>
        </w:rPr>
        <w:fldChar w:fldCharType="begin"/>
      </w:r>
      <w:r>
        <w:rPr>
          <w:noProof/>
        </w:rPr>
        <w:instrText xml:space="preserve"> PAGEREF _Toc211604172 \h </w:instrText>
      </w:r>
      <w:r>
        <w:rPr>
          <w:noProof/>
        </w:rPr>
      </w:r>
      <w:r>
        <w:rPr>
          <w:noProof/>
        </w:rPr>
        <w:fldChar w:fldCharType="separate"/>
      </w:r>
      <w:r w:rsidR="009E6E1D">
        <w:rPr>
          <w:noProof/>
        </w:rPr>
        <w:t>57</w:t>
      </w:r>
      <w:r>
        <w:rPr>
          <w:noProof/>
        </w:rPr>
        <w:fldChar w:fldCharType="end"/>
      </w:r>
    </w:p>
    <w:p w14:paraId="33A804D3" w14:textId="5E74D53A"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24: Reasons for regularly replacing staff for most recently recruited occupations - by selected industries, August 2023 to May 2024</w:t>
      </w:r>
      <w:r>
        <w:rPr>
          <w:noProof/>
        </w:rPr>
        <w:tab/>
      </w:r>
      <w:r>
        <w:rPr>
          <w:noProof/>
        </w:rPr>
        <w:fldChar w:fldCharType="begin"/>
      </w:r>
      <w:r>
        <w:rPr>
          <w:noProof/>
        </w:rPr>
        <w:instrText xml:space="preserve"> PAGEREF _Toc211604173 \h </w:instrText>
      </w:r>
      <w:r>
        <w:rPr>
          <w:noProof/>
        </w:rPr>
      </w:r>
      <w:r>
        <w:rPr>
          <w:noProof/>
        </w:rPr>
        <w:fldChar w:fldCharType="separate"/>
      </w:r>
      <w:r w:rsidR="009E6E1D">
        <w:rPr>
          <w:noProof/>
        </w:rPr>
        <w:t>59</w:t>
      </w:r>
      <w:r>
        <w:rPr>
          <w:noProof/>
        </w:rPr>
        <w:fldChar w:fldCharType="end"/>
      </w:r>
    </w:p>
    <w:p w14:paraId="4FCDD3D7" w14:textId="7A8F3A68"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25: Impacts on business due to regularly replacing staff for most recently recruited occupations - by selected industries, August 2023 to May 2024</w:t>
      </w:r>
      <w:r>
        <w:rPr>
          <w:noProof/>
        </w:rPr>
        <w:tab/>
      </w:r>
      <w:r>
        <w:rPr>
          <w:noProof/>
        </w:rPr>
        <w:fldChar w:fldCharType="begin"/>
      </w:r>
      <w:r>
        <w:rPr>
          <w:noProof/>
        </w:rPr>
        <w:instrText xml:space="preserve"> PAGEREF _Toc211604174 \h </w:instrText>
      </w:r>
      <w:r>
        <w:rPr>
          <w:noProof/>
        </w:rPr>
      </w:r>
      <w:r>
        <w:rPr>
          <w:noProof/>
        </w:rPr>
        <w:fldChar w:fldCharType="separate"/>
      </w:r>
      <w:r w:rsidR="009E6E1D">
        <w:rPr>
          <w:noProof/>
        </w:rPr>
        <w:t>60</w:t>
      </w:r>
      <w:r>
        <w:rPr>
          <w:noProof/>
        </w:rPr>
        <w:fldChar w:fldCharType="end"/>
      </w:r>
    </w:p>
    <w:p w14:paraId="2644B9FF" w14:textId="72551091"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26: Impacts on business due to regularly replacing staff for most recently recruited occupations - by selected industries, August 2023 to May 2024</w:t>
      </w:r>
      <w:r>
        <w:rPr>
          <w:noProof/>
        </w:rPr>
        <w:tab/>
      </w:r>
      <w:r>
        <w:rPr>
          <w:noProof/>
        </w:rPr>
        <w:fldChar w:fldCharType="begin"/>
      </w:r>
      <w:r>
        <w:rPr>
          <w:noProof/>
        </w:rPr>
        <w:instrText xml:space="preserve"> PAGEREF _Toc211604175 \h </w:instrText>
      </w:r>
      <w:r>
        <w:rPr>
          <w:noProof/>
        </w:rPr>
      </w:r>
      <w:r>
        <w:rPr>
          <w:noProof/>
        </w:rPr>
        <w:fldChar w:fldCharType="separate"/>
      </w:r>
      <w:r w:rsidR="009E6E1D">
        <w:rPr>
          <w:noProof/>
        </w:rPr>
        <w:t>61</w:t>
      </w:r>
      <w:r>
        <w:rPr>
          <w:noProof/>
        </w:rPr>
        <w:fldChar w:fldCharType="end"/>
      </w:r>
    </w:p>
    <w:p w14:paraId="35A02BC7" w14:textId="1FF34C35"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27: Strengths and attractions of Regional Australia</w:t>
      </w:r>
      <w:r>
        <w:rPr>
          <w:noProof/>
        </w:rPr>
        <w:tab/>
      </w:r>
      <w:r>
        <w:rPr>
          <w:noProof/>
        </w:rPr>
        <w:fldChar w:fldCharType="begin"/>
      </w:r>
      <w:r>
        <w:rPr>
          <w:noProof/>
        </w:rPr>
        <w:instrText xml:space="preserve"> PAGEREF _Toc211604176 \h </w:instrText>
      </w:r>
      <w:r>
        <w:rPr>
          <w:noProof/>
        </w:rPr>
      </w:r>
      <w:r>
        <w:rPr>
          <w:noProof/>
        </w:rPr>
        <w:fldChar w:fldCharType="separate"/>
      </w:r>
      <w:r w:rsidR="009E6E1D">
        <w:rPr>
          <w:noProof/>
        </w:rPr>
        <w:t>63</w:t>
      </w:r>
      <w:r>
        <w:rPr>
          <w:noProof/>
        </w:rPr>
        <w:fldChar w:fldCharType="end"/>
      </w:r>
    </w:p>
    <w:p w14:paraId="5CBC3759" w14:textId="703EFCC2"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28: School student (year 1 - 10) non-attendance rates, by Regional Australia and Major City</w:t>
      </w:r>
      <w:r>
        <w:rPr>
          <w:noProof/>
        </w:rPr>
        <w:tab/>
      </w:r>
      <w:r>
        <w:rPr>
          <w:noProof/>
        </w:rPr>
        <w:fldChar w:fldCharType="begin"/>
      </w:r>
      <w:r>
        <w:rPr>
          <w:noProof/>
        </w:rPr>
        <w:instrText xml:space="preserve"> PAGEREF _Toc211604177 \h </w:instrText>
      </w:r>
      <w:r>
        <w:rPr>
          <w:noProof/>
        </w:rPr>
      </w:r>
      <w:r>
        <w:rPr>
          <w:noProof/>
        </w:rPr>
        <w:fldChar w:fldCharType="separate"/>
      </w:r>
      <w:r w:rsidR="009E6E1D">
        <w:rPr>
          <w:noProof/>
        </w:rPr>
        <w:t>64</w:t>
      </w:r>
      <w:r>
        <w:rPr>
          <w:noProof/>
        </w:rPr>
        <w:fldChar w:fldCharType="end"/>
      </w:r>
    </w:p>
    <w:p w14:paraId="3BA44B2B" w14:textId="5E3F2382"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29: Essential services vacancy ratio (job advertisements adjusted for proportion of jobs advertised online as a proportion of employed persons), Major City and Regional Australia</w:t>
      </w:r>
      <w:r>
        <w:rPr>
          <w:noProof/>
        </w:rPr>
        <w:tab/>
      </w:r>
      <w:r>
        <w:rPr>
          <w:noProof/>
        </w:rPr>
        <w:fldChar w:fldCharType="begin"/>
      </w:r>
      <w:r>
        <w:rPr>
          <w:noProof/>
        </w:rPr>
        <w:instrText xml:space="preserve"> PAGEREF _Toc211604178 \h </w:instrText>
      </w:r>
      <w:r>
        <w:rPr>
          <w:noProof/>
        </w:rPr>
      </w:r>
      <w:r>
        <w:rPr>
          <w:noProof/>
        </w:rPr>
        <w:fldChar w:fldCharType="separate"/>
      </w:r>
      <w:r w:rsidR="009E6E1D">
        <w:rPr>
          <w:noProof/>
        </w:rPr>
        <w:t>65</w:t>
      </w:r>
      <w:r>
        <w:rPr>
          <w:noProof/>
        </w:rPr>
        <w:fldChar w:fldCharType="end"/>
      </w:r>
    </w:p>
    <w:p w14:paraId="28E47170" w14:textId="00CF208F"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30: Industry employment change by headcount, 10 years to May 2025 ('000)</w:t>
      </w:r>
      <w:r>
        <w:rPr>
          <w:noProof/>
        </w:rPr>
        <w:tab/>
      </w:r>
      <w:r>
        <w:rPr>
          <w:noProof/>
        </w:rPr>
        <w:fldChar w:fldCharType="begin"/>
      </w:r>
      <w:r>
        <w:rPr>
          <w:noProof/>
        </w:rPr>
        <w:instrText xml:space="preserve"> PAGEREF _Toc211604179 \h </w:instrText>
      </w:r>
      <w:r>
        <w:rPr>
          <w:noProof/>
        </w:rPr>
      </w:r>
      <w:r>
        <w:rPr>
          <w:noProof/>
        </w:rPr>
        <w:fldChar w:fldCharType="separate"/>
      </w:r>
      <w:r w:rsidR="009E6E1D">
        <w:rPr>
          <w:noProof/>
        </w:rPr>
        <w:t>69</w:t>
      </w:r>
      <w:r>
        <w:rPr>
          <w:noProof/>
        </w:rPr>
        <w:fldChar w:fldCharType="end"/>
      </w:r>
    </w:p>
    <w:p w14:paraId="5EE08DBB" w14:textId="76F689C1"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31: Industry employment change 10 years to May 2025, 'Service Industries' and 'Producing Industries'</w:t>
      </w:r>
      <w:r>
        <w:rPr>
          <w:noProof/>
        </w:rPr>
        <w:tab/>
      </w:r>
      <w:r>
        <w:rPr>
          <w:noProof/>
        </w:rPr>
        <w:fldChar w:fldCharType="begin"/>
      </w:r>
      <w:r>
        <w:rPr>
          <w:noProof/>
        </w:rPr>
        <w:instrText xml:space="preserve"> PAGEREF _Toc211604180 \h </w:instrText>
      </w:r>
      <w:r>
        <w:rPr>
          <w:noProof/>
        </w:rPr>
      </w:r>
      <w:r>
        <w:rPr>
          <w:noProof/>
        </w:rPr>
        <w:fldChar w:fldCharType="separate"/>
      </w:r>
      <w:r w:rsidR="009E6E1D">
        <w:rPr>
          <w:noProof/>
        </w:rPr>
        <w:t>69</w:t>
      </w:r>
      <w:r>
        <w:rPr>
          <w:noProof/>
        </w:rPr>
        <w:fldChar w:fldCharType="end"/>
      </w:r>
    </w:p>
    <w:p w14:paraId="67AA3A0A" w14:textId="559AA07B"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32: Industry share of total employment 2015 and 2025, grouped by 'Service Industries' and 'Producing Industries' (%)</w:t>
      </w:r>
      <w:r>
        <w:rPr>
          <w:noProof/>
        </w:rPr>
        <w:tab/>
      </w:r>
      <w:r>
        <w:rPr>
          <w:noProof/>
        </w:rPr>
        <w:fldChar w:fldCharType="begin"/>
      </w:r>
      <w:r>
        <w:rPr>
          <w:noProof/>
        </w:rPr>
        <w:instrText xml:space="preserve"> PAGEREF _Toc211604181 \h </w:instrText>
      </w:r>
      <w:r>
        <w:rPr>
          <w:noProof/>
        </w:rPr>
      </w:r>
      <w:r>
        <w:rPr>
          <w:noProof/>
        </w:rPr>
        <w:fldChar w:fldCharType="separate"/>
      </w:r>
      <w:r w:rsidR="009E6E1D">
        <w:rPr>
          <w:noProof/>
        </w:rPr>
        <w:t>70</w:t>
      </w:r>
      <w:r>
        <w:rPr>
          <w:noProof/>
        </w:rPr>
        <w:fldChar w:fldCharType="end"/>
      </w:r>
    </w:p>
    <w:p w14:paraId="08817C2F" w14:textId="5B1CD2AD"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33: Occupation major group employment change by headcount, 10 years to May 2025 ('000)</w:t>
      </w:r>
      <w:r>
        <w:rPr>
          <w:noProof/>
        </w:rPr>
        <w:tab/>
      </w:r>
      <w:r>
        <w:rPr>
          <w:noProof/>
        </w:rPr>
        <w:fldChar w:fldCharType="begin"/>
      </w:r>
      <w:r>
        <w:rPr>
          <w:noProof/>
        </w:rPr>
        <w:instrText xml:space="preserve"> PAGEREF _Toc211604182 \h </w:instrText>
      </w:r>
      <w:r>
        <w:rPr>
          <w:noProof/>
        </w:rPr>
      </w:r>
      <w:r>
        <w:rPr>
          <w:noProof/>
        </w:rPr>
        <w:fldChar w:fldCharType="separate"/>
      </w:r>
      <w:r w:rsidR="009E6E1D">
        <w:rPr>
          <w:noProof/>
        </w:rPr>
        <w:t>71</w:t>
      </w:r>
      <w:r>
        <w:rPr>
          <w:noProof/>
        </w:rPr>
        <w:fldChar w:fldCharType="end"/>
      </w:r>
    </w:p>
    <w:p w14:paraId="6A85D5C9" w14:textId="384C019C"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34: Top 10 occupations, employment growth by headcount over 10 years to May 2025 ('000)</w:t>
      </w:r>
      <w:r>
        <w:rPr>
          <w:noProof/>
        </w:rPr>
        <w:tab/>
      </w:r>
      <w:r>
        <w:rPr>
          <w:noProof/>
        </w:rPr>
        <w:fldChar w:fldCharType="begin"/>
      </w:r>
      <w:r>
        <w:rPr>
          <w:noProof/>
        </w:rPr>
        <w:instrText xml:space="preserve"> PAGEREF _Toc211604183 \h </w:instrText>
      </w:r>
      <w:r>
        <w:rPr>
          <w:noProof/>
        </w:rPr>
      </w:r>
      <w:r>
        <w:rPr>
          <w:noProof/>
        </w:rPr>
        <w:fldChar w:fldCharType="separate"/>
      </w:r>
      <w:r w:rsidR="009E6E1D">
        <w:rPr>
          <w:noProof/>
        </w:rPr>
        <w:t>71</w:t>
      </w:r>
      <w:r>
        <w:rPr>
          <w:noProof/>
        </w:rPr>
        <w:fldChar w:fldCharType="end"/>
      </w:r>
    </w:p>
    <w:p w14:paraId="2B67817F" w14:textId="6743CEC7"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35: Share of total employment by skill level, 2015 and 2025</w:t>
      </w:r>
      <w:r>
        <w:rPr>
          <w:noProof/>
        </w:rPr>
        <w:tab/>
      </w:r>
      <w:r>
        <w:rPr>
          <w:noProof/>
        </w:rPr>
        <w:fldChar w:fldCharType="begin"/>
      </w:r>
      <w:r>
        <w:rPr>
          <w:noProof/>
        </w:rPr>
        <w:instrText xml:space="preserve"> PAGEREF _Toc211604184 \h </w:instrText>
      </w:r>
      <w:r>
        <w:rPr>
          <w:noProof/>
        </w:rPr>
      </w:r>
      <w:r>
        <w:rPr>
          <w:noProof/>
        </w:rPr>
        <w:fldChar w:fldCharType="separate"/>
      </w:r>
      <w:r w:rsidR="009E6E1D">
        <w:rPr>
          <w:noProof/>
        </w:rPr>
        <w:t>72</w:t>
      </w:r>
      <w:r>
        <w:rPr>
          <w:noProof/>
        </w:rPr>
        <w:fldChar w:fldCharType="end"/>
      </w:r>
    </w:p>
    <w:p w14:paraId="3CDFBA2E" w14:textId="26D44859"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36: 5 and 10-year employment outlook, by industry, persons, Australia</w:t>
      </w:r>
      <w:r>
        <w:rPr>
          <w:noProof/>
        </w:rPr>
        <w:tab/>
      </w:r>
      <w:r>
        <w:rPr>
          <w:noProof/>
        </w:rPr>
        <w:fldChar w:fldCharType="begin"/>
      </w:r>
      <w:r>
        <w:rPr>
          <w:noProof/>
        </w:rPr>
        <w:instrText xml:space="preserve"> PAGEREF _Toc211604185 \h </w:instrText>
      </w:r>
      <w:r>
        <w:rPr>
          <w:noProof/>
        </w:rPr>
      </w:r>
      <w:r>
        <w:rPr>
          <w:noProof/>
        </w:rPr>
        <w:fldChar w:fldCharType="separate"/>
      </w:r>
      <w:r w:rsidR="009E6E1D">
        <w:rPr>
          <w:noProof/>
        </w:rPr>
        <w:t>74</w:t>
      </w:r>
      <w:r>
        <w:rPr>
          <w:noProof/>
        </w:rPr>
        <w:fldChar w:fldCharType="end"/>
      </w:r>
    </w:p>
    <w:p w14:paraId="6DF656C4" w14:textId="448B61A8"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37: 5 and 10-year employment outlook, by occupation major group, persons, Australia</w:t>
      </w:r>
      <w:r>
        <w:rPr>
          <w:noProof/>
        </w:rPr>
        <w:tab/>
      </w:r>
      <w:r>
        <w:rPr>
          <w:noProof/>
        </w:rPr>
        <w:fldChar w:fldCharType="begin"/>
      </w:r>
      <w:r>
        <w:rPr>
          <w:noProof/>
        </w:rPr>
        <w:instrText xml:space="preserve"> PAGEREF _Toc211604186 \h </w:instrText>
      </w:r>
      <w:r>
        <w:rPr>
          <w:noProof/>
        </w:rPr>
      </w:r>
      <w:r>
        <w:rPr>
          <w:noProof/>
        </w:rPr>
        <w:fldChar w:fldCharType="separate"/>
      </w:r>
      <w:r w:rsidR="009E6E1D">
        <w:rPr>
          <w:noProof/>
        </w:rPr>
        <w:t>75</w:t>
      </w:r>
      <w:r>
        <w:rPr>
          <w:noProof/>
        </w:rPr>
        <w:fldChar w:fldCharType="end"/>
      </w:r>
    </w:p>
    <w:p w14:paraId="1E6B982A" w14:textId="33DD5476"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38: 5 and 10-year employment outlook, by state and territory, persons</w:t>
      </w:r>
      <w:r>
        <w:rPr>
          <w:noProof/>
        </w:rPr>
        <w:tab/>
      </w:r>
      <w:r>
        <w:rPr>
          <w:noProof/>
        </w:rPr>
        <w:fldChar w:fldCharType="begin"/>
      </w:r>
      <w:r>
        <w:rPr>
          <w:noProof/>
        </w:rPr>
        <w:instrText xml:space="preserve"> PAGEREF _Toc211604187 \h </w:instrText>
      </w:r>
      <w:r>
        <w:rPr>
          <w:noProof/>
        </w:rPr>
      </w:r>
      <w:r>
        <w:rPr>
          <w:noProof/>
        </w:rPr>
        <w:fldChar w:fldCharType="separate"/>
      </w:r>
      <w:r w:rsidR="009E6E1D">
        <w:rPr>
          <w:noProof/>
        </w:rPr>
        <w:t>76</w:t>
      </w:r>
      <w:r>
        <w:rPr>
          <w:noProof/>
        </w:rPr>
        <w:fldChar w:fldCharType="end"/>
      </w:r>
    </w:p>
    <w:p w14:paraId="20B93995" w14:textId="471DE5BD"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39: 5 and 10-year employment outlook, by skill level of occupation, persons, Australia</w:t>
      </w:r>
      <w:r>
        <w:rPr>
          <w:noProof/>
        </w:rPr>
        <w:tab/>
      </w:r>
      <w:r>
        <w:rPr>
          <w:noProof/>
        </w:rPr>
        <w:fldChar w:fldCharType="begin"/>
      </w:r>
      <w:r>
        <w:rPr>
          <w:noProof/>
        </w:rPr>
        <w:instrText xml:space="preserve"> PAGEREF _Toc211604188 \h </w:instrText>
      </w:r>
      <w:r>
        <w:rPr>
          <w:noProof/>
        </w:rPr>
      </w:r>
      <w:r>
        <w:rPr>
          <w:noProof/>
        </w:rPr>
        <w:fldChar w:fldCharType="separate"/>
      </w:r>
      <w:r w:rsidR="009E6E1D">
        <w:rPr>
          <w:noProof/>
        </w:rPr>
        <w:t>78</w:t>
      </w:r>
      <w:r>
        <w:rPr>
          <w:noProof/>
        </w:rPr>
        <w:fldChar w:fldCharType="end"/>
      </w:r>
    </w:p>
    <w:p w14:paraId="7CE2D70D" w14:textId="5A34FD04"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40: ‘Unconstrained skill supply’ scenario – deviation from baseline employment projections for May 2035, by skill level, Australia</w:t>
      </w:r>
      <w:r>
        <w:rPr>
          <w:noProof/>
        </w:rPr>
        <w:tab/>
      </w:r>
      <w:r>
        <w:rPr>
          <w:noProof/>
        </w:rPr>
        <w:fldChar w:fldCharType="begin"/>
      </w:r>
      <w:r>
        <w:rPr>
          <w:noProof/>
        </w:rPr>
        <w:instrText xml:space="preserve"> PAGEREF _Toc211604189 \h </w:instrText>
      </w:r>
      <w:r>
        <w:rPr>
          <w:noProof/>
        </w:rPr>
      </w:r>
      <w:r>
        <w:rPr>
          <w:noProof/>
        </w:rPr>
        <w:fldChar w:fldCharType="separate"/>
      </w:r>
      <w:r w:rsidR="009E6E1D">
        <w:rPr>
          <w:noProof/>
        </w:rPr>
        <w:t>80</w:t>
      </w:r>
      <w:r>
        <w:rPr>
          <w:noProof/>
        </w:rPr>
        <w:fldChar w:fldCharType="end"/>
      </w:r>
    </w:p>
    <w:p w14:paraId="25610A55" w14:textId="22CF822A"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41: Employment outcomes prior to and post training across priority groups</w:t>
      </w:r>
      <w:r>
        <w:rPr>
          <w:noProof/>
        </w:rPr>
        <w:tab/>
      </w:r>
      <w:r>
        <w:rPr>
          <w:noProof/>
        </w:rPr>
        <w:fldChar w:fldCharType="begin"/>
      </w:r>
      <w:r>
        <w:rPr>
          <w:noProof/>
        </w:rPr>
        <w:instrText xml:space="preserve"> PAGEREF _Toc211604190 \h </w:instrText>
      </w:r>
      <w:r>
        <w:rPr>
          <w:noProof/>
        </w:rPr>
      </w:r>
      <w:r>
        <w:rPr>
          <w:noProof/>
        </w:rPr>
        <w:fldChar w:fldCharType="separate"/>
      </w:r>
      <w:r w:rsidR="009E6E1D">
        <w:rPr>
          <w:noProof/>
        </w:rPr>
        <w:t>89</w:t>
      </w:r>
      <w:r>
        <w:rPr>
          <w:noProof/>
        </w:rPr>
        <w:fldChar w:fldCharType="end"/>
      </w:r>
    </w:p>
    <w:p w14:paraId="16D6150E" w14:textId="48B015B6"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42: Students outcomes for partial completers and graduates across priority groups</w:t>
      </w:r>
      <w:r>
        <w:rPr>
          <w:noProof/>
        </w:rPr>
        <w:tab/>
      </w:r>
      <w:r>
        <w:rPr>
          <w:noProof/>
        </w:rPr>
        <w:fldChar w:fldCharType="begin"/>
      </w:r>
      <w:r>
        <w:rPr>
          <w:noProof/>
        </w:rPr>
        <w:instrText xml:space="preserve"> PAGEREF _Toc211604191 \h </w:instrText>
      </w:r>
      <w:r>
        <w:rPr>
          <w:noProof/>
        </w:rPr>
      </w:r>
      <w:r>
        <w:rPr>
          <w:noProof/>
        </w:rPr>
        <w:fldChar w:fldCharType="separate"/>
      </w:r>
      <w:r w:rsidR="009E6E1D">
        <w:rPr>
          <w:noProof/>
        </w:rPr>
        <w:t>90</w:t>
      </w:r>
      <w:r>
        <w:rPr>
          <w:noProof/>
        </w:rPr>
        <w:fldChar w:fldCharType="end"/>
      </w:r>
    </w:p>
    <w:p w14:paraId="2DF27A13" w14:textId="28D2D7AE"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43: Apprentices and trainees in-training by headcount, occupation status on the 2025 Australian Apprenticeships Priority List</w:t>
      </w:r>
      <w:r>
        <w:rPr>
          <w:noProof/>
        </w:rPr>
        <w:tab/>
      </w:r>
      <w:r>
        <w:rPr>
          <w:noProof/>
        </w:rPr>
        <w:fldChar w:fldCharType="begin"/>
      </w:r>
      <w:r>
        <w:rPr>
          <w:noProof/>
        </w:rPr>
        <w:instrText xml:space="preserve"> PAGEREF _Toc211604192 \h </w:instrText>
      </w:r>
      <w:r>
        <w:rPr>
          <w:noProof/>
        </w:rPr>
      </w:r>
      <w:r>
        <w:rPr>
          <w:noProof/>
        </w:rPr>
        <w:fldChar w:fldCharType="separate"/>
      </w:r>
      <w:r w:rsidR="009E6E1D">
        <w:rPr>
          <w:noProof/>
        </w:rPr>
        <w:t>91</w:t>
      </w:r>
      <w:r>
        <w:rPr>
          <w:noProof/>
        </w:rPr>
        <w:fldChar w:fldCharType="end"/>
      </w:r>
    </w:p>
    <w:p w14:paraId="4A420963" w14:textId="5B7C10DD"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44: Change in Australian Apprentices in-training, 2019-2024 by headcount (Top 100 occupations)</w:t>
      </w:r>
      <w:r>
        <w:rPr>
          <w:noProof/>
        </w:rPr>
        <w:tab/>
      </w:r>
      <w:r>
        <w:rPr>
          <w:noProof/>
        </w:rPr>
        <w:fldChar w:fldCharType="begin"/>
      </w:r>
      <w:r>
        <w:rPr>
          <w:noProof/>
        </w:rPr>
        <w:instrText xml:space="preserve"> PAGEREF _Toc211604193 \h </w:instrText>
      </w:r>
      <w:r>
        <w:rPr>
          <w:noProof/>
        </w:rPr>
      </w:r>
      <w:r>
        <w:rPr>
          <w:noProof/>
        </w:rPr>
        <w:fldChar w:fldCharType="separate"/>
      </w:r>
      <w:r w:rsidR="009E6E1D">
        <w:rPr>
          <w:noProof/>
        </w:rPr>
        <w:t>92</w:t>
      </w:r>
      <w:r>
        <w:rPr>
          <w:noProof/>
        </w:rPr>
        <w:fldChar w:fldCharType="end"/>
      </w:r>
    </w:p>
    <w:p w14:paraId="626EF6AD" w14:textId="2B6B32AD"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45: Apprentices and Trainees as a share of Certificate III completions, 2024</w:t>
      </w:r>
      <w:r>
        <w:rPr>
          <w:noProof/>
        </w:rPr>
        <w:tab/>
      </w:r>
      <w:r>
        <w:rPr>
          <w:noProof/>
        </w:rPr>
        <w:fldChar w:fldCharType="begin"/>
      </w:r>
      <w:r>
        <w:rPr>
          <w:noProof/>
        </w:rPr>
        <w:instrText xml:space="preserve"> PAGEREF _Toc211604194 \h </w:instrText>
      </w:r>
      <w:r>
        <w:rPr>
          <w:noProof/>
        </w:rPr>
      </w:r>
      <w:r>
        <w:rPr>
          <w:noProof/>
        </w:rPr>
        <w:fldChar w:fldCharType="separate"/>
      </w:r>
      <w:r w:rsidR="009E6E1D">
        <w:rPr>
          <w:noProof/>
        </w:rPr>
        <w:t>94</w:t>
      </w:r>
      <w:r>
        <w:rPr>
          <w:noProof/>
        </w:rPr>
        <w:fldChar w:fldCharType="end"/>
      </w:r>
    </w:p>
    <w:p w14:paraId="55FA3146" w14:textId="3FF2416D"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46: Apprentices and trainees, and VET completion rates by field of education, students commencing in 2019</w:t>
      </w:r>
      <w:r>
        <w:rPr>
          <w:noProof/>
        </w:rPr>
        <w:tab/>
      </w:r>
      <w:r>
        <w:rPr>
          <w:noProof/>
        </w:rPr>
        <w:fldChar w:fldCharType="begin"/>
      </w:r>
      <w:r>
        <w:rPr>
          <w:noProof/>
        </w:rPr>
        <w:instrText xml:space="preserve"> PAGEREF _Toc211604195 \h </w:instrText>
      </w:r>
      <w:r>
        <w:rPr>
          <w:noProof/>
        </w:rPr>
      </w:r>
      <w:r>
        <w:rPr>
          <w:noProof/>
        </w:rPr>
        <w:fldChar w:fldCharType="separate"/>
      </w:r>
      <w:r w:rsidR="009E6E1D">
        <w:rPr>
          <w:noProof/>
        </w:rPr>
        <w:t>95</w:t>
      </w:r>
      <w:r>
        <w:rPr>
          <w:noProof/>
        </w:rPr>
        <w:fldChar w:fldCharType="end"/>
      </w:r>
    </w:p>
    <w:p w14:paraId="7A412FE1" w14:textId="54855D28"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47: Proportion of female apprentices in-training, select trade occupations 2015–2025</w:t>
      </w:r>
      <w:r>
        <w:rPr>
          <w:noProof/>
        </w:rPr>
        <w:tab/>
      </w:r>
      <w:r>
        <w:rPr>
          <w:noProof/>
        </w:rPr>
        <w:fldChar w:fldCharType="begin"/>
      </w:r>
      <w:r>
        <w:rPr>
          <w:noProof/>
        </w:rPr>
        <w:instrText xml:space="preserve"> PAGEREF _Toc211604196 \h </w:instrText>
      </w:r>
      <w:r>
        <w:rPr>
          <w:noProof/>
        </w:rPr>
      </w:r>
      <w:r>
        <w:rPr>
          <w:noProof/>
        </w:rPr>
        <w:fldChar w:fldCharType="separate"/>
      </w:r>
      <w:r w:rsidR="009E6E1D">
        <w:rPr>
          <w:noProof/>
        </w:rPr>
        <w:t>96</w:t>
      </w:r>
      <w:r>
        <w:rPr>
          <w:noProof/>
        </w:rPr>
        <w:fldChar w:fldCharType="end"/>
      </w:r>
    </w:p>
    <w:p w14:paraId="31D6C8B2" w14:textId="739EBCF4"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48: Percentage of graduates employed in the top three most common occupational groups for each field of study one year after graduation</w:t>
      </w:r>
      <w:r>
        <w:rPr>
          <w:noProof/>
        </w:rPr>
        <w:tab/>
      </w:r>
      <w:r>
        <w:rPr>
          <w:noProof/>
        </w:rPr>
        <w:fldChar w:fldCharType="begin"/>
      </w:r>
      <w:r>
        <w:rPr>
          <w:noProof/>
        </w:rPr>
        <w:instrText xml:space="preserve"> PAGEREF _Toc211604197 \h </w:instrText>
      </w:r>
      <w:r>
        <w:rPr>
          <w:noProof/>
        </w:rPr>
      </w:r>
      <w:r>
        <w:rPr>
          <w:noProof/>
        </w:rPr>
        <w:fldChar w:fldCharType="separate"/>
      </w:r>
      <w:r w:rsidR="009E6E1D">
        <w:rPr>
          <w:noProof/>
        </w:rPr>
        <w:t>98</w:t>
      </w:r>
      <w:r>
        <w:rPr>
          <w:noProof/>
        </w:rPr>
        <w:fldChar w:fldCharType="end"/>
      </w:r>
    </w:p>
    <w:p w14:paraId="17DE152E" w14:textId="14F910D6"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49: Top 30 fields of education with highest median annual income growth between 1-5 years post completion</w:t>
      </w:r>
      <w:r>
        <w:rPr>
          <w:noProof/>
        </w:rPr>
        <w:tab/>
      </w:r>
      <w:r>
        <w:rPr>
          <w:noProof/>
        </w:rPr>
        <w:fldChar w:fldCharType="begin"/>
      </w:r>
      <w:r>
        <w:rPr>
          <w:noProof/>
        </w:rPr>
        <w:instrText xml:space="preserve"> PAGEREF _Toc211604198 \h </w:instrText>
      </w:r>
      <w:r>
        <w:rPr>
          <w:noProof/>
        </w:rPr>
      </w:r>
      <w:r>
        <w:rPr>
          <w:noProof/>
        </w:rPr>
        <w:fldChar w:fldCharType="separate"/>
      </w:r>
      <w:r w:rsidR="009E6E1D">
        <w:rPr>
          <w:noProof/>
        </w:rPr>
        <w:t>99</w:t>
      </w:r>
      <w:r>
        <w:rPr>
          <w:noProof/>
        </w:rPr>
        <w:fldChar w:fldCharType="end"/>
      </w:r>
    </w:p>
    <w:p w14:paraId="3DDF483F" w14:textId="6C13478D"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50: Top 30 fields of education with the largest difference in median annual income between undergraduates and postgraduates after five years</w:t>
      </w:r>
      <w:r>
        <w:rPr>
          <w:noProof/>
        </w:rPr>
        <w:tab/>
      </w:r>
      <w:r>
        <w:rPr>
          <w:noProof/>
        </w:rPr>
        <w:fldChar w:fldCharType="begin"/>
      </w:r>
      <w:r>
        <w:rPr>
          <w:noProof/>
        </w:rPr>
        <w:instrText xml:space="preserve"> PAGEREF _Toc211604199 \h </w:instrText>
      </w:r>
      <w:r>
        <w:rPr>
          <w:noProof/>
        </w:rPr>
      </w:r>
      <w:r>
        <w:rPr>
          <w:noProof/>
        </w:rPr>
        <w:fldChar w:fldCharType="separate"/>
      </w:r>
      <w:r w:rsidR="009E6E1D">
        <w:rPr>
          <w:noProof/>
        </w:rPr>
        <w:t>100</w:t>
      </w:r>
      <w:r>
        <w:rPr>
          <w:noProof/>
        </w:rPr>
        <w:fldChar w:fldCharType="end"/>
      </w:r>
    </w:p>
    <w:p w14:paraId="39E37E1E" w14:textId="1475E01D"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51: VET to higher education by field of education and occupation</w:t>
      </w:r>
      <w:r>
        <w:rPr>
          <w:noProof/>
        </w:rPr>
        <w:tab/>
      </w:r>
      <w:r>
        <w:rPr>
          <w:noProof/>
        </w:rPr>
        <w:fldChar w:fldCharType="begin"/>
      </w:r>
      <w:r>
        <w:rPr>
          <w:noProof/>
        </w:rPr>
        <w:instrText xml:space="preserve"> PAGEREF _Toc211604200 \h </w:instrText>
      </w:r>
      <w:r>
        <w:rPr>
          <w:noProof/>
        </w:rPr>
      </w:r>
      <w:r>
        <w:rPr>
          <w:noProof/>
        </w:rPr>
        <w:fldChar w:fldCharType="separate"/>
      </w:r>
      <w:r w:rsidR="009E6E1D">
        <w:rPr>
          <w:noProof/>
        </w:rPr>
        <w:t>102</w:t>
      </w:r>
      <w:r>
        <w:rPr>
          <w:noProof/>
        </w:rPr>
        <w:fldChar w:fldCharType="end"/>
      </w:r>
    </w:p>
    <w:p w14:paraId="676A0795" w14:textId="2EA02483"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52: Number of years between completing study in one sector and enrolling in the other for student who studied in both VET and higher education between 2014 and 2022</w:t>
      </w:r>
      <w:r>
        <w:rPr>
          <w:noProof/>
        </w:rPr>
        <w:tab/>
      </w:r>
      <w:r>
        <w:rPr>
          <w:noProof/>
        </w:rPr>
        <w:fldChar w:fldCharType="begin"/>
      </w:r>
      <w:r>
        <w:rPr>
          <w:noProof/>
        </w:rPr>
        <w:instrText xml:space="preserve"> PAGEREF _Toc211604201 \h </w:instrText>
      </w:r>
      <w:r>
        <w:rPr>
          <w:noProof/>
        </w:rPr>
      </w:r>
      <w:r>
        <w:rPr>
          <w:noProof/>
        </w:rPr>
        <w:fldChar w:fldCharType="separate"/>
      </w:r>
      <w:r w:rsidR="009E6E1D">
        <w:rPr>
          <w:noProof/>
        </w:rPr>
        <w:t>103</w:t>
      </w:r>
      <w:r>
        <w:rPr>
          <w:noProof/>
        </w:rPr>
        <w:fldChar w:fldCharType="end"/>
      </w:r>
    </w:p>
    <w:p w14:paraId="69B1D24B" w14:textId="7B1499C6"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53: Engineering dual qualification – AI Group and RMIT</w:t>
      </w:r>
      <w:r>
        <w:rPr>
          <w:noProof/>
        </w:rPr>
        <w:tab/>
      </w:r>
      <w:r>
        <w:rPr>
          <w:noProof/>
        </w:rPr>
        <w:fldChar w:fldCharType="begin"/>
      </w:r>
      <w:r>
        <w:rPr>
          <w:noProof/>
        </w:rPr>
        <w:instrText xml:space="preserve"> PAGEREF _Toc211604202 \h </w:instrText>
      </w:r>
      <w:r>
        <w:rPr>
          <w:noProof/>
        </w:rPr>
      </w:r>
      <w:r>
        <w:rPr>
          <w:noProof/>
        </w:rPr>
        <w:fldChar w:fldCharType="separate"/>
      </w:r>
      <w:r w:rsidR="009E6E1D">
        <w:rPr>
          <w:noProof/>
        </w:rPr>
        <w:t>105</w:t>
      </w:r>
      <w:r>
        <w:rPr>
          <w:noProof/>
        </w:rPr>
        <w:fldChar w:fldCharType="end"/>
      </w:r>
    </w:p>
    <w:p w14:paraId="65DD680D" w14:textId="4FED93A5"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54: Linking productivity and tertiary harmonisation: impacts and benefits</w:t>
      </w:r>
      <w:r>
        <w:rPr>
          <w:noProof/>
        </w:rPr>
        <w:tab/>
      </w:r>
      <w:r>
        <w:rPr>
          <w:noProof/>
        </w:rPr>
        <w:fldChar w:fldCharType="begin"/>
      </w:r>
      <w:r>
        <w:rPr>
          <w:noProof/>
        </w:rPr>
        <w:instrText xml:space="preserve"> PAGEREF _Toc211604203 \h </w:instrText>
      </w:r>
      <w:r>
        <w:rPr>
          <w:noProof/>
        </w:rPr>
      </w:r>
      <w:r>
        <w:rPr>
          <w:noProof/>
        </w:rPr>
        <w:fldChar w:fldCharType="separate"/>
      </w:r>
      <w:r w:rsidR="009E6E1D">
        <w:rPr>
          <w:noProof/>
        </w:rPr>
        <w:t>106</w:t>
      </w:r>
      <w:r>
        <w:rPr>
          <w:noProof/>
        </w:rPr>
        <w:fldChar w:fldCharType="end"/>
      </w:r>
    </w:p>
    <w:p w14:paraId="79EDAEA2" w14:textId="607333A9"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55: JSA website performance and engagement</w:t>
      </w:r>
      <w:r>
        <w:rPr>
          <w:noProof/>
        </w:rPr>
        <w:tab/>
      </w:r>
      <w:r>
        <w:rPr>
          <w:noProof/>
        </w:rPr>
        <w:fldChar w:fldCharType="begin"/>
      </w:r>
      <w:r>
        <w:rPr>
          <w:noProof/>
        </w:rPr>
        <w:instrText xml:space="preserve"> PAGEREF _Toc211604204 \h </w:instrText>
      </w:r>
      <w:r>
        <w:rPr>
          <w:noProof/>
        </w:rPr>
      </w:r>
      <w:r>
        <w:rPr>
          <w:noProof/>
        </w:rPr>
        <w:fldChar w:fldCharType="separate"/>
      </w:r>
      <w:r w:rsidR="009E6E1D">
        <w:rPr>
          <w:noProof/>
        </w:rPr>
        <w:t>115</w:t>
      </w:r>
      <w:r>
        <w:rPr>
          <w:noProof/>
        </w:rPr>
        <w:fldChar w:fldCharType="end"/>
      </w:r>
    </w:p>
    <w:p w14:paraId="2E517CFB" w14:textId="7B485F17"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56: JSA social media reach and engagement</w:t>
      </w:r>
      <w:r>
        <w:rPr>
          <w:noProof/>
        </w:rPr>
        <w:tab/>
      </w:r>
      <w:r>
        <w:rPr>
          <w:noProof/>
        </w:rPr>
        <w:fldChar w:fldCharType="begin"/>
      </w:r>
      <w:r>
        <w:rPr>
          <w:noProof/>
        </w:rPr>
        <w:instrText xml:space="preserve"> PAGEREF _Toc211604205 \h </w:instrText>
      </w:r>
      <w:r>
        <w:rPr>
          <w:noProof/>
        </w:rPr>
      </w:r>
      <w:r>
        <w:rPr>
          <w:noProof/>
        </w:rPr>
        <w:fldChar w:fldCharType="separate"/>
      </w:r>
      <w:r w:rsidR="009E6E1D">
        <w:rPr>
          <w:noProof/>
        </w:rPr>
        <w:t>116</w:t>
      </w:r>
      <w:r>
        <w:rPr>
          <w:noProof/>
        </w:rPr>
        <w:fldChar w:fldCharType="end"/>
      </w:r>
    </w:p>
    <w:p w14:paraId="0734740A" w14:textId="7903830A"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57: Key consultation figures</w:t>
      </w:r>
      <w:r>
        <w:rPr>
          <w:noProof/>
        </w:rPr>
        <w:tab/>
      </w:r>
      <w:r>
        <w:rPr>
          <w:noProof/>
        </w:rPr>
        <w:fldChar w:fldCharType="begin"/>
      </w:r>
      <w:r>
        <w:rPr>
          <w:noProof/>
        </w:rPr>
        <w:instrText xml:space="preserve"> PAGEREF _Toc211604206 \h </w:instrText>
      </w:r>
      <w:r>
        <w:rPr>
          <w:noProof/>
        </w:rPr>
      </w:r>
      <w:r>
        <w:rPr>
          <w:noProof/>
        </w:rPr>
        <w:fldChar w:fldCharType="separate"/>
      </w:r>
      <w:r w:rsidR="009E6E1D">
        <w:rPr>
          <w:noProof/>
        </w:rPr>
        <w:t>116</w:t>
      </w:r>
      <w:r>
        <w:rPr>
          <w:noProof/>
        </w:rPr>
        <w:fldChar w:fldCharType="end"/>
      </w:r>
    </w:p>
    <w:p w14:paraId="025468B9" w14:textId="6DB88D97" w:rsidR="00061EB3" w:rsidRDefault="00061EB3">
      <w:pPr>
        <w:pStyle w:val="TableofFigures"/>
        <w:tabs>
          <w:tab w:val="right" w:leader="dot" w:pos="9357"/>
        </w:tabs>
        <w:rPr>
          <w:rFonts w:asciiTheme="minorHAnsi" w:eastAsiaTheme="minorEastAsia" w:hAnsiTheme="minorHAnsi"/>
          <w:noProof/>
          <w:kern w:val="2"/>
          <w:sz w:val="24"/>
          <w:szCs w:val="24"/>
          <w:lang w:eastAsia="en-AU"/>
          <w14:ligatures w14:val="standardContextual"/>
        </w:rPr>
      </w:pPr>
      <w:r>
        <w:rPr>
          <w:noProof/>
        </w:rPr>
        <w:t>Figure 58: International engagement</w:t>
      </w:r>
      <w:r>
        <w:rPr>
          <w:noProof/>
        </w:rPr>
        <w:tab/>
      </w:r>
      <w:r>
        <w:rPr>
          <w:noProof/>
        </w:rPr>
        <w:fldChar w:fldCharType="begin"/>
      </w:r>
      <w:r>
        <w:rPr>
          <w:noProof/>
        </w:rPr>
        <w:instrText xml:space="preserve"> PAGEREF _Toc211604207 \h </w:instrText>
      </w:r>
      <w:r>
        <w:rPr>
          <w:noProof/>
        </w:rPr>
      </w:r>
      <w:r>
        <w:rPr>
          <w:noProof/>
        </w:rPr>
        <w:fldChar w:fldCharType="separate"/>
      </w:r>
      <w:r w:rsidR="009E6E1D">
        <w:rPr>
          <w:noProof/>
        </w:rPr>
        <w:t>119</w:t>
      </w:r>
      <w:r>
        <w:rPr>
          <w:noProof/>
        </w:rPr>
        <w:fldChar w:fldCharType="end"/>
      </w:r>
    </w:p>
    <w:p w14:paraId="21DB99FA" w14:textId="7B422073" w:rsidR="009D6BD0" w:rsidRPr="00FD3EE1" w:rsidRDefault="0096529A" w:rsidP="0096529A">
      <w:pPr>
        <w:pStyle w:val="BodyText"/>
        <w:rPr>
          <w:lang w:eastAsia="en-AU"/>
        </w:rPr>
      </w:pPr>
      <w:r w:rsidRPr="0096529A">
        <w:fldChar w:fldCharType="end"/>
      </w:r>
    </w:p>
    <w:p w14:paraId="57626B1A" w14:textId="77777777" w:rsidR="009D6BD0" w:rsidRDefault="009D6BD0">
      <w:pPr>
        <w:spacing w:after="200" w:line="276" w:lineRule="auto"/>
      </w:pPr>
      <w:r>
        <w:br w:type="page"/>
      </w:r>
    </w:p>
    <w:p w14:paraId="418C635D" w14:textId="77777777" w:rsidR="009D6BD0" w:rsidRDefault="009D6BD0" w:rsidP="005E1267">
      <w:pPr>
        <w:pStyle w:val="AppendixHeading1"/>
        <w:sectPr w:rsidR="009D6BD0" w:rsidSect="006E252D">
          <w:pgSz w:w="11907" w:h="16839" w:code="9"/>
          <w:pgMar w:top="1440" w:right="1270" w:bottom="1440" w:left="1270" w:header="720" w:footer="720" w:gutter="0"/>
          <w:cols w:space="720"/>
          <w:docGrid w:linePitch="360"/>
        </w:sectPr>
      </w:pPr>
    </w:p>
    <w:p w14:paraId="55236E56" w14:textId="7A7400F2" w:rsidR="00FD3EE1" w:rsidRDefault="009D6BD0" w:rsidP="005E1267">
      <w:pPr>
        <w:pStyle w:val="AppendixHeading1"/>
      </w:pPr>
      <w:bookmarkStart w:id="432" w:name="_Ref210825640"/>
      <w:bookmarkStart w:id="433" w:name="_Toc211519519"/>
      <w:bookmarkStart w:id="434" w:name="_Toc211587066"/>
      <w:r>
        <w:t xml:space="preserve">Employment Projections </w:t>
      </w:r>
      <w:r w:rsidR="00E25432">
        <w:t>2025</w:t>
      </w:r>
      <w:bookmarkEnd w:id="432"/>
      <w:bookmarkEnd w:id="433"/>
      <w:bookmarkEnd w:id="434"/>
    </w:p>
    <w:p w14:paraId="16771FD7" w14:textId="208D7558" w:rsidR="008302A7" w:rsidRPr="008302A7" w:rsidRDefault="008302A7" w:rsidP="00ED4661">
      <w:pPr>
        <w:pStyle w:val="Caption"/>
      </w:pPr>
      <w:bookmarkStart w:id="435" w:name="_Ref210820448"/>
      <w:r w:rsidRPr="008302A7">
        <w:t xml:space="preserve">Table </w:t>
      </w:r>
      <w:r w:rsidRPr="008302A7">
        <w:fldChar w:fldCharType="begin"/>
      </w:r>
      <w:r w:rsidRPr="008302A7">
        <w:instrText xml:space="preserve"> SEQ Table \* ARABIC </w:instrText>
      </w:r>
      <w:r w:rsidRPr="008302A7">
        <w:fldChar w:fldCharType="separate"/>
      </w:r>
      <w:r w:rsidR="009E6E1D">
        <w:rPr>
          <w:noProof/>
        </w:rPr>
        <w:t>8</w:t>
      </w:r>
      <w:r w:rsidRPr="008302A7">
        <w:fldChar w:fldCharType="end"/>
      </w:r>
      <w:r w:rsidRPr="008302A7">
        <w:t>:</w:t>
      </w:r>
      <w:bookmarkEnd w:id="435"/>
      <w:r w:rsidRPr="008302A7">
        <w:t xml:space="preserve"> Projected employment growth over the next 5 and 10 years, by industry, Australia</w:t>
      </w:r>
    </w:p>
    <w:tbl>
      <w:tblPr>
        <w:tblStyle w:val="CustomTablebasic"/>
        <w:tblW w:w="5000" w:type="pct"/>
        <w:tblBorders>
          <w:top w:val="single" w:sz="4" w:space="0" w:color="4B0985" w:themeColor="text2"/>
          <w:left w:val="single" w:sz="4" w:space="0" w:color="4B0985" w:themeColor="text2"/>
          <w:bottom w:val="single" w:sz="4" w:space="0" w:color="4B0985" w:themeColor="text2"/>
          <w:right w:val="single" w:sz="4" w:space="0" w:color="4B0985" w:themeColor="text2"/>
          <w:insideH w:val="single" w:sz="4" w:space="0" w:color="4B0985" w:themeColor="text2"/>
          <w:insideV w:val="single" w:sz="4" w:space="0" w:color="4B0985" w:themeColor="text2"/>
        </w:tblBorders>
        <w:tblLayout w:type="fixed"/>
        <w:tblLook w:val="04A0" w:firstRow="1" w:lastRow="0" w:firstColumn="1" w:lastColumn="0" w:noHBand="0" w:noVBand="1"/>
      </w:tblPr>
      <w:tblGrid>
        <w:gridCol w:w="1976"/>
        <w:gridCol w:w="994"/>
        <w:gridCol w:w="569"/>
        <w:gridCol w:w="992"/>
        <w:gridCol w:w="567"/>
        <w:gridCol w:w="709"/>
        <w:gridCol w:w="567"/>
        <w:gridCol w:w="992"/>
        <w:gridCol w:w="567"/>
        <w:gridCol w:w="851"/>
        <w:gridCol w:w="573"/>
      </w:tblGrid>
      <w:tr w:rsidR="00FF3E4F" w:rsidRPr="00FF3E4F" w14:paraId="4AB7A168" w14:textId="77777777" w:rsidTr="00C453B6">
        <w:trPr>
          <w:cnfStyle w:val="100000000000" w:firstRow="1" w:lastRow="0" w:firstColumn="0" w:lastColumn="0" w:oddVBand="0" w:evenVBand="0" w:oddHBand="0" w:evenHBand="0" w:firstRowFirstColumn="0" w:firstRowLastColumn="0" w:lastRowFirstColumn="0" w:lastRowLastColumn="0"/>
          <w:trHeight w:val="570"/>
          <w:tblHeader/>
        </w:trPr>
        <w:tc>
          <w:tcPr>
            <w:tcW w:w="1056" w:type="pct"/>
            <w:vMerge w:val="restart"/>
            <w:tcBorders>
              <w:right w:val="single" w:sz="4" w:space="0" w:color="FFFFFF" w:themeColor="background1"/>
            </w:tcBorders>
            <w:tcMar>
              <w:left w:w="57" w:type="dxa"/>
              <w:right w:w="57" w:type="dxa"/>
            </w:tcMar>
            <w:vAlign w:val="center"/>
            <w:hideMark/>
          </w:tcPr>
          <w:p w14:paraId="7A2ADA50" w14:textId="77777777" w:rsidR="00E93868" w:rsidRPr="00FF3E4F" w:rsidRDefault="00E93868" w:rsidP="002C68CC">
            <w:pPr>
              <w:pStyle w:val="TableBodyText"/>
              <w:rPr>
                <w:sz w:val="18"/>
                <w:szCs w:val="18"/>
                <w:lang w:eastAsia="en-AU"/>
              </w:rPr>
            </w:pPr>
            <w:r w:rsidRPr="00FF3E4F">
              <w:rPr>
                <w:sz w:val="18"/>
                <w:szCs w:val="18"/>
                <w:lang w:eastAsia="en-AU"/>
              </w:rPr>
              <w:t>Industry (1-Digit ANZSIC)</w:t>
            </w:r>
          </w:p>
        </w:tc>
        <w:tc>
          <w:tcPr>
            <w:tcW w:w="835" w:type="pct"/>
            <w:gridSpan w:val="2"/>
            <w:tcBorders>
              <w:left w:val="single" w:sz="4" w:space="0" w:color="FFFFFF" w:themeColor="background1"/>
              <w:right w:val="single" w:sz="4" w:space="0" w:color="FFFFFF" w:themeColor="background1"/>
            </w:tcBorders>
            <w:tcMar>
              <w:left w:w="57" w:type="dxa"/>
              <w:right w:w="57" w:type="dxa"/>
            </w:tcMar>
            <w:hideMark/>
          </w:tcPr>
          <w:p w14:paraId="59063748" w14:textId="77777777" w:rsidR="00E93868" w:rsidRPr="00FF3E4F" w:rsidRDefault="00E93868" w:rsidP="000E5528">
            <w:pPr>
              <w:pStyle w:val="TableHeading1"/>
              <w:rPr>
                <w:sz w:val="18"/>
                <w:szCs w:val="18"/>
                <w:lang w:eastAsia="en-AU"/>
              </w:rPr>
            </w:pPr>
            <w:r w:rsidRPr="00FF3E4F">
              <w:rPr>
                <w:sz w:val="18"/>
                <w:szCs w:val="18"/>
                <w:lang w:eastAsia="en-AU"/>
              </w:rPr>
              <w:t>Baseline</w:t>
            </w:r>
          </w:p>
        </w:tc>
        <w:tc>
          <w:tcPr>
            <w:tcW w:w="1515" w:type="pct"/>
            <w:gridSpan w:val="4"/>
            <w:tcBorders>
              <w:left w:val="single" w:sz="4" w:space="0" w:color="FFFFFF" w:themeColor="background1"/>
              <w:right w:val="single" w:sz="4" w:space="0" w:color="FFFFFF" w:themeColor="background1"/>
            </w:tcBorders>
            <w:tcMar>
              <w:left w:w="57" w:type="dxa"/>
              <w:right w:w="57" w:type="dxa"/>
            </w:tcMar>
            <w:hideMark/>
          </w:tcPr>
          <w:p w14:paraId="5E83A7AF" w14:textId="77777777" w:rsidR="00E93868" w:rsidRPr="00FF3E4F" w:rsidRDefault="00E93868" w:rsidP="000E5528">
            <w:pPr>
              <w:pStyle w:val="TableHeading1"/>
              <w:rPr>
                <w:sz w:val="18"/>
                <w:szCs w:val="18"/>
                <w:lang w:eastAsia="en-AU"/>
              </w:rPr>
            </w:pPr>
            <w:r w:rsidRPr="00FF3E4F">
              <w:rPr>
                <w:sz w:val="18"/>
                <w:szCs w:val="18"/>
                <w:lang w:eastAsia="en-AU"/>
              </w:rPr>
              <w:t>5-year outlook</w:t>
            </w:r>
          </w:p>
        </w:tc>
        <w:tc>
          <w:tcPr>
            <w:tcW w:w="1594" w:type="pct"/>
            <w:gridSpan w:val="4"/>
            <w:tcBorders>
              <w:left w:val="single" w:sz="4" w:space="0" w:color="FFFFFF" w:themeColor="background1"/>
            </w:tcBorders>
            <w:tcMar>
              <w:left w:w="57" w:type="dxa"/>
              <w:right w:w="57" w:type="dxa"/>
            </w:tcMar>
            <w:hideMark/>
          </w:tcPr>
          <w:p w14:paraId="7BC4DF4E" w14:textId="77777777" w:rsidR="00E93868" w:rsidRPr="00FF3E4F" w:rsidRDefault="00E93868" w:rsidP="000E5528">
            <w:pPr>
              <w:pStyle w:val="TableHeading1"/>
              <w:rPr>
                <w:sz w:val="18"/>
                <w:szCs w:val="18"/>
                <w:lang w:eastAsia="en-AU"/>
              </w:rPr>
            </w:pPr>
            <w:r w:rsidRPr="00FF3E4F">
              <w:rPr>
                <w:sz w:val="18"/>
                <w:szCs w:val="18"/>
                <w:lang w:eastAsia="en-AU"/>
              </w:rPr>
              <w:t>10-year outlook</w:t>
            </w:r>
          </w:p>
        </w:tc>
      </w:tr>
      <w:tr w:rsidR="00C453B6" w:rsidRPr="00FF3E4F" w14:paraId="3427783E" w14:textId="77777777" w:rsidTr="00C453B6">
        <w:trPr>
          <w:cnfStyle w:val="100000000000" w:firstRow="1" w:lastRow="0" w:firstColumn="0" w:lastColumn="0" w:oddVBand="0" w:evenVBand="0" w:oddHBand="0" w:evenHBand="0" w:firstRowFirstColumn="0" w:firstRowLastColumn="0" w:lastRowFirstColumn="0" w:lastRowLastColumn="0"/>
          <w:trHeight w:val="285"/>
          <w:tblHeader/>
        </w:trPr>
        <w:tc>
          <w:tcPr>
            <w:tcW w:w="1056" w:type="pct"/>
            <w:vMerge/>
            <w:tcMar>
              <w:left w:w="57" w:type="dxa"/>
              <w:right w:w="57" w:type="dxa"/>
            </w:tcMar>
            <w:hideMark/>
          </w:tcPr>
          <w:p w14:paraId="01B7E62E" w14:textId="77777777" w:rsidR="00E93868" w:rsidRPr="00FF3E4F" w:rsidRDefault="00E93868" w:rsidP="00FF3E4F">
            <w:pPr>
              <w:pStyle w:val="TableBodyText"/>
              <w:spacing w:before="0"/>
              <w:rPr>
                <w:sz w:val="18"/>
                <w:szCs w:val="18"/>
                <w:lang w:eastAsia="en-AU"/>
              </w:rPr>
            </w:pPr>
          </w:p>
        </w:tc>
        <w:tc>
          <w:tcPr>
            <w:tcW w:w="531" w:type="pct"/>
            <w:vMerge w:val="restart"/>
            <w:shd w:val="clear" w:color="auto" w:fill="E0D1F5" w:themeFill="accent1" w:themeFillTint="33"/>
            <w:tcMar>
              <w:left w:w="57" w:type="dxa"/>
              <w:right w:w="57" w:type="dxa"/>
            </w:tcMar>
            <w:textDirection w:val="btLr"/>
            <w:hideMark/>
          </w:tcPr>
          <w:p w14:paraId="07062C8F" w14:textId="215C602C" w:rsidR="00E93868" w:rsidRPr="00FF3E4F" w:rsidRDefault="00E93868" w:rsidP="00FF3E4F">
            <w:pPr>
              <w:pStyle w:val="TableHeading1"/>
              <w:spacing w:before="0"/>
              <w:ind w:left="113" w:right="113"/>
              <w:rPr>
                <w:sz w:val="18"/>
                <w:szCs w:val="18"/>
                <w:lang w:eastAsia="en-AU"/>
              </w:rPr>
            </w:pPr>
            <w:r w:rsidRPr="00FF3E4F">
              <w:rPr>
                <w:sz w:val="18"/>
                <w:szCs w:val="18"/>
                <w:lang w:eastAsia="en-AU"/>
              </w:rPr>
              <w:t>Emp</w:t>
            </w:r>
            <w:r w:rsidR="00D66CE2" w:rsidRPr="00FF3E4F">
              <w:rPr>
                <w:sz w:val="18"/>
                <w:szCs w:val="18"/>
              </w:rPr>
              <w:t>'t</w:t>
            </w:r>
            <w:r w:rsidRPr="00FF3E4F">
              <w:rPr>
                <w:sz w:val="18"/>
                <w:szCs w:val="18"/>
                <w:lang w:eastAsia="en-AU"/>
              </w:rPr>
              <w:t xml:space="preserve"> ('000)</w:t>
            </w:r>
            <w:r w:rsidRPr="00FF3E4F">
              <w:rPr>
                <w:sz w:val="18"/>
                <w:szCs w:val="18"/>
                <w:lang w:eastAsia="en-AU"/>
              </w:rPr>
              <w:br/>
              <w:t>May 2025</w:t>
            </w:r>
          </w:p>
        </w:tc>
        <w:tc>
          <w:tcPr>
            <w:tcW w:w="304" w:type="pct"/>
            <w:vMerge w:val="restart"/>
            <w:shd w:val="clear" w:color="auto" w:fill="E0D1F5" w:themeFill="accent1" w:themeFillTint="33"/>
            <w:tcMar>
              <w:left w:w="57" w:type="dxa"/>
              <w:right w:w="57" w:type="dxa"/>
            </w:tcMar>
            <w:textDirection w:val="btLr"/>
            <w:hideMark/>
          </w:tcPr>
          <w:p w14:paraId="12E8261F" w14:textId="7B05C267" w:rsidR="00E93868" w:rsidRPr="00FF3E4F" w:rsidRDefault="00E93868" w:rsidP="00FF3E4F">
            <w:pPr>
              <w:pStyle w:val="TableHeading1"/>
              <w:spacing w:before="0"/>
              <w:ind w:left="113" w:right="113"/>
              <w:rPr>
                <w:sz w:val="18"/>
                <w:szCs w:val="18"/>
                <w:lang w:eastAsia="en-AU"/>
              </w:rPr>
            </w:pPr>
            <w:r w:rsidRPr="00FF3E4F">
              <w:rPr>
                <w:sz w:val="18"/>
                <w:szCs w:val="18"/>
                <w:lang w:eastAsia="en-AU"/>
              </w:rPr>
              <w:t>Share of total emp</w:t>
            </w:r>
            <w:r w:rsidR="005641C3" w:rsidRPr="00FF3E4F">
              <w:rPr>
                <w:sz w:val="18"/>
                <w:szCs w:val="18"/>
              </w:rPr>
              <w:t>'t</w:t>
            </w:r>
            <w:r w:rsidR="00790C82" w:rsidRPr="00FF3E4F">
              <w:rPr>
                <w:sz w:val="18"/>
                <w:szCs w:val="18"/>
              </w:rPr>
              <w:t xml:space="preserve"> (%)</w:t>
            </w:r>
          </w:p>
        </w:tc>
        <w:tc>
          <w:tcPr>
            <w:tcW w:w="530" w:type="pct"/>
            <w:vMerge w:val="restart"/>
            <w:shd w:val="clear" w:color="auto" w:fill="E0D1F5" w:themeFill="accent1" w:themeFillTint="33"/>
            <w:tcMar>
              <w:left w:w="57" w:type="dxa"/>
              <w:right w:w="57" w:type="dxa"/>
            </w:tcMar>
            <w:textDirection w:val="btLr"/>
            <w:hideMark/>
          </w:tcPr>
          <w:p w14:paraId="6F0B3842" w14:textId="517C3A32" w:rsidR="00E93868" w:rsidRPr="00FF3E4F" w:rsidRDefault="00E93868" w:rsidP="00FF3E4F">
            <w:pPr>
              <w:pStyle w:val="TableHeading1"/>
              <w:spacing w:before="0"/>
              <w:ind w:left="113" w:right="113"/>
              <w:rPr>
                <w:sz w:val="18"/>
                <w:szCs w:val="18"/>
                <w:lang w:eastAsia="en-AU"/>
              </w:rPr>
            </w:pPr>
            <w:r w:rsidRPr="00FF3E4F">
              <w:rPr>
                <w:sz w:val="18"/>
                <w:szCs w:val="18"/>
                <w:lang w:eastAsia="en-AU"/>
              </w:rPr>
              <w:t>Emp</w:t>
            </w:r>
            <w:r w:rsidR="005641C3" w:rsidRPr="00FF3E4F">
              <w:rPr>
                <w:sz w:val="18"/>
                <w:szCs w:val="18"/>
              </w:rPr>
              <w:t>'t</w:t>
            </w:r>
            <w:r w:rsidRPr="00FF3E4F">
              <w:rPr>
                <w:sz w:val="18"/>
                <w:szCs w:val="18"/>
                <w:lang w:eastAsia="en-AU"/>
              </w:rPr>
              <w:t xml:space="preserve"> ('000)</w:t>
            </w:r>
            <w:r w:rsidRPr="00FF3E4F">
              <w:rPr>
                <w:sz w:val="18"/>
                <w:szCs w:val="18"/>
                <w:lang w:eastAsia="en-AU"/>
              </w:rPr>
              <w:br/>
              <w:t>May 2030</w:t>
            </w:r>
          </w:p>
        </w:tc>
        <w:tc>
          <w:tcPr>
            <w:tcW w:w="303" w:type="pct"/>
            <w:vMerge w:val="restart"/>
            <w:shd w:val="clear" w:color="auto" w:fill="E0D1F5" w:themeFill="accent1" w:themeFillTint="33"/>
            <w:tcMar>
              <w:left w:w="57" w:type="dxa"/>
              <w:right w:w="57" w:type="dxa"/>
            </w:tcMar>
            <w:textDirection w:val="btLr"/>
            <w:hideMark/>
          </w:tcPr>
          <w:p w14:paraId="1C7A3819" w14:textId="05D0D86C" w:rsidR="00E93868" w:rsidRPr="00FF3E4F" w:rsidRDefault="00E93868" w:rsidP="00FF3E4F">
            <w:pPr>
              <w:pStyle w:val="TableHeading1"/>
              <w:spacing w:before="0"/>
              <w:ind w:left="113" w:right="113"/>
              <w:rPr>
                <w:sz w:val="18"/>
                <w:szCs w:val="18"/>
                <w:lang w:eastAsia="en-AU"/>
              </w:rPr>
            </w:pPr>
            <w:r w:rsidRPr="00FF3E4F">
              <w:rPr>
                <w:sz w:val="18"/>
                <w:szCs w:val="18"/>
                <w:lang w:eastAsia="en-AU"/>
              </w:rPr>
              <w:t>Share of total emp</w:t>
            </w:r>
            <w:r w:rsidR="00D53663" w:rsidRPr="00FF3E4F">
              <w:rPr>
                <w:sz w:val="18"/>
                <w:szCs w:val="18"/>
              </w:rPr>
              <w:t>'t</w:t>
            </w:r>
            <w:r w:rsidR="001650BF" w:rsidRPr="00FF3E4F">
              <w:rPr>
                <w:sz w:val="18"/>
                <w:szCs w:val="18"/>
              </w:rPr>
              <w:t xml:space="preserve"> (%)</w:t>
            </w:r>
          </w:p>
        </w:tc>
        <w:tc>
          <w:tcPr>
            <w:tcW w:w="682" w:type="pct"/>
            <w:gridSpan w:val="2"/>
            <w:shd w:val="clear" w:color="auto" w:fill="E0D1F5" w:themeFill="accent1" w:themeFillTint="33"/>
            <w:noWrap/>
            <w:tcMar>
              <w:left w:w="57" w:type="dxa"/>
              <w:right w:w="57" w:type="dxa"/>
            </w:tcMar>
            <w:hideMark/>
          </w:tcPr>
          <w:p w14:paraId="17C6D98C" w14:textId="77777777" w:rsidR="00E93868" w:rsidRPr="00FF3E4F" w:rsidRDefault="00E93868" w:rsidP="00FF3E4F">
            <w:pPr>
              <w:pStyle w:val="TableHeading1"/>
              <w:spacing w:before="0"/>
              <w:rPr>
                <w:sz w:val="18"/>
                <w:szCs w:val="18"/>
                <w:lang w:eastAsia="en-AU"/>
              </w:rPr>
            </w:pPr>
            <w:r w:rsidRPr="00FF3E4F">
              <w:rPr>
                <w:sz w:val="18"/>
                <w:szCs w:val="18"/>
                <w:lang w:eastAsia="en-AU"/>
              </w:rPr>
              <w:t>Change</w:t>
            </w:r>
          </w:p>
        </w:tc>
        <w:tc>
          <w:tcPr>
            <w:tcW w:w="530" w:type="pct"/>
            <w:vMerge w:val="restart"/>
            <w:shd w:val="clear" w:color="auto" w:fill="E0D1F5" w:themeFill="accent1" w:themeFillTint="33"/>
            <w:tcMar>
              <w:left w:w="57" w:type="dxa"/>
              <w:right w:w="57" w:type="dxa"/>
            </w:tcMar>
            <w:textDirection w:val="btLr"/>
            <w:hideMark/>
          </w:tcPr>
          <w:p w14:paraId="429487C2" w14:textId="4D29313F" w:rsidR="00E93868" w:rsidRPr="00FF3E4F" w:rsidRDefault="00E93868" w:rsidP="00FF3E4F">
            <w:pPr>
              <w:pStyle w:val="TableHeading1"/>
              <w:spacing w:before="0"/>
              <w:ind w:left="113" w:right="113"/>
              <w:rPr>
                <w:sz w:val="18"/>
                <w:szCs w:val="18"/>
                <w:lang w:eastAsia="en-AU"/>
              </w:rPr>
            </w:pPr>
            <w:r w:rsidRPr="00FF3E4F">
              <w:rPr>
                <w:sz w:val="18"/>
                <w:szCs w:val="18"/>
                <w:lang w:eastAsia="en-AU"/>
              </w:rPr>
              <w:t>Emp</w:t>
            </w:r>
            <w:r w:rsidR="00F402CA" w:rsidRPr="00FF3E4F">
              <w:rPr>
                <w:sz w:val="18"/>
                <w:szCs w:val="18"/>
              </w:rPr>
              <w:t>'t</w:t>
            </w:r>
            <w:r w:rsidRPr="00FF3E4F">
              <w:rPr>
                <w:sz w:val="18"/>
                <w:szCs w:val="18"/>
                <w:lang w:eastAsia="en-AU"/>
              </w:rPr>
              <w:t xml:space="preserve"> ('000) </w:t>
            </w:r>
            <w:r w:rsidRPr="00FF3E4F">
              <w:rPr>
                <w:sz w:val="18"/>
                <w:szCs w:val="18"/>
                <w:lang w:eastAsia="en-AU"/>
              </w:rPr>
              <w:br/>
              <w:t>May 2035</w:t>
            </w:r>
          </w:p>
        </w:tc>
        <w:tc>
          <w:tcPr>
            <w:tcW w:w="303" w:type="pct"/>
            <w:vMerge w:val="restart"/>
            <w:shd w:val="clear" w:color="auto" w:fill="E0D1F5" w:themeFill="accent1" w:themeFillTint="33"/>
            <w:tcMar>
              <w:left w:w="57" w:type="dxa"/>
              <w:right w:w="57" w:type="dxa"/>
            </w:tcMar>
            <w:textDirection w:val="btLr"/>
            <w:hideMark/>
          </w:tcPr>
          <w:p w14:paraId="5728E448" w14:textId="145F6BEB" w:rsidR="00E93868" w:rsidRPr="00FF3E4F" w:rsidRDefault="00E93868" w:rsidP="00FF3E4F">
            <w:pPr>
              <w:pStyle w:val="TableHeading1"/>
              <w:spacing w:before="0"/>
              <w:ind w:left="113" w:right="113"/>
              <w:rPr>
                <w:sz w:val="18"/>
                <w:szCs w:val="18"/>
                <w:lang w:eastAsia="en-AU"/>
              </w:rPr>
            </w:pPr>
            <w:r w:rsidRPr="00FF3E4F">
              <w:rPr>
                <w:sz w:val="18"/>
                <w:szCs w:val="18"/>
                <w:lang w:eastAsia="en-AU"/>
              </w:rPr>
              <w:t>Share of total emp</w:t>
            </w:r>
            <w:r w:rsidR="00F402CA" w:rsidRPr="00FF3E4F">
              <w:rPr>
                <w:sz w:val="18"/>
                <w:szCs w:val="18"/>
              </w:rPr>
              <w:t>'t</w:t>
            </w:r>
            <w:r w:rsidR="00CF0798" w:rsidRPr="00FF3E4F">
              <w:rPr>
                <w:sz w:val="18"/>
                <w:szCs w:val="18"/>
              </w:rPr>
              <w:t xml:space="preserve"> (%)</w:t>
            </w:r>
          </w:p>
        </w:tc>
        <w:tc>
          <w:tcPr>
            <w:tcW w:w="761" w:type="pct"/>
            <w:gridSpan w:val="2"/>
            <w:shd w:val="clear" w:color="auto" w:fill="E0D1F5" w:themeFill="accent1" w:themeFillTint="33"/>
            <w:noWrap/>
            <w:tcMar>
              <w:left w:w="57" w:type="dxa"/>
              <w:right w:w="57" w:type="dxa"/>
            </w:tcMar>
            <w:hideMark/>
          </w:tcPr>
          <w:p w14:paraId="56CA90F2" w14:textId="77777777" w:rsidR="00E93868" w:rsidRPr="00FF3E4F" w:rsidRDefault="00E93868" w:rsidP="00FF3E4F">
            <w:pPr>
              <w:pStyle w:val="TableHeading1"/>
              <w:spacing w:before="0"/>
              <w:rPr>
                <w:sz w:val="18"/>
                <w:szCs w:val="18"/>
                <w:lang w:eastAsia="en-AU"/>
              </w:rPr>
            </w:pPr>
            <w:r w:rsidRPr="00FF3E4F">
              <w:rPr>
                <w:sz w:val="18"/>
                <w:szCs w:val="18"/>
                <w:lang w:eastAsia="en-AU"/>
              </w:rPr>
              <w:t>Change</w:t>
            </w:r>
          </w:p>
        </w:tc>
      </w:tr>
      <w:tr w:rsidR="00C453B6" w:rsidRPr="00FF3E4F" w14:paraId="07E3AA74" w14:textId="77777777" w:rsidTr="00C453B6">
        <w:trPr>
          <w:cnfStyle w:val="100000000000" w:firstRow="1" w:lastRow="0" w:firstColumn="0" w:lastColumn="0" w:oddVBand="0" w:evenVBand="0" w:oddHBand="0" w:evenHBand="0" w:firstRowFirstColumn="0" w:firstRowLastColumn="0" w:lastRowFirstColumn="0" w:lastRowLastColumn="0"/>
          <w:trHeight w:val="1128"/>
          <w:tblHeader/>
        </w:trPr>
        <w:tc>
          <w:tcPr>
            <w:tcW w:w="1056" w:type="pct"/>
            <w:vMerge/>
            <w:tcMar>
              <w:left w:w="57" w:type="dxa"/>
              <w:right w:w="57" w:type="dxa"/>
            </w:tcMar>
            <w:hideMark/>
          </w:tcPr>
          <w:p w14:paraId="693CC4AD" w14:textId="77777777" w:rsidR="00E93868" w:rsidRPr="00FF3E4F" w:rsidRDefault="00E93868" w:rsidP="00FF3E4F">
            <w:pPr>
              <w:pStyle w:val="TableBodyText"/>
              <w:spacing w:before="0"/>
              <w:rPr>
                <w:sz w:val="18"/>
                <w:szCs w:val="18"/>
                <w:lang w:eastAsia="en-AU"/>
              </w:rPr>
            </w:pPr>
          </w:p>
        </w:tc>
        <w:tc>
          <w:tcPr>
            <w:tcW w:w="531" w:type="pct"/>
            <w:vMerge/>
            <w:shd w:val="clear" w:color="auto" w:fill="E0D1F5" w:themeFill="accent1" w:themeFillTint="33"/>
            <w:tcMar>
              <w:left w:w="57" w:type="dxa"/>
              <w:right w:w="57" w:type="dxa"/>
            </w:tcMar>
            <w:hideMark/>
          </w:tcPr>
          <w:p w14:paraId="5B521F1A" w14:textId="77777777" w:rsidR="00E93868" w:rsidRPr="00FF3E4F" w:rsidRDefault="00E93868" w:rsidP="00FF3E4F">
            <w:pPr>
              <w:pStyle w:val="TableHeading1"/>
              <w:spacing w:before="0"/>
              <w:rPr>
                <w:sz w:val="18"/>
                <w:szCs w:val="18"/>
                <w:lang w:eastAsia="en-AU"/>
              </w:rPr>
            </w:pPr>
          </w:p>
        </w:tc>
        <w:tc>
          <w:tcPr>
            <w:tcW w:w="304" w:type="pct"/>
            <w:vMerge/>
            <w:shd w:val="clear" w:color="auto" w:fill="E0D1F5" w:themeFill="accent1" w:themeFillTint="33"/>
            <w:tcMar>
              <w:left w:w="57" w:type="dxa"/>
              <w:right w:w="57" w:type="dxa"/>
            </w:tcMar>
            <w:hideMark/>
          </w:tcPr>
          <w:p w14:paraId="788004C1" w14:textId="77777777" w:rsidR="00E93868" w:rsidRPr="00FF3E4F" w:rsidRDefault="00E93868" w:rsidP="00FF3E4F">
            <w:pPr>
              <w:pStyle w:val="TableHeading1"/>
              <w:spacing w:before="0"/>
              <w:rPr>
                <w:sz w:val="18"/>
                <w:szCs w:val="18"/>
                <w:lang w:eastAsia="en-AU"/>
              </w:rPr>
            </w:pPr>
          </w:p>
        </w:tc>
        <w:tc>
          <w:tcPr>
            <w:tcW w:w="530" w:type="pct"/>
            <w:vMerge/>
            <w:shd w:val="clear" w:color="auto" w:fill="E0D1F5" w:themeFill="accent1" w:themeFillTint="33"/>
            <w:tcMar>
              <w:left w:w="57" w:type="dxa"/>
              <w:right w:w="57" w:type="dxa"/>
            </w:tcMar>
            <w:hideMark/>
          </w:tcPr>
          <w:p w14:paraId="624357EC" w14:textId="77777777" w:rsidR="00E93868" w:rsidRPr="00FF3E4F" w:rsidRDefault="00E93868" w:rsidP="00FF3E4F">
            <w:pPr>
              <w:pStyle w:val="TableHeading1"/>
              <w:spacing w:before="0"/>
              <w:rPr>
                <w:sz w:val="18"/>
                <w:szCs w:val="18"/>
                <w:lang w:eastAsia="en-AU"/>
              </w:rPr>
            </w:pPr>
          </w:p>
        </w:tc>
        <w:tc>
          <w:tcPr>
            <w:tcW w:w="303" w:type="pct"/>
            <w:vMerge/>
            <w:shd w:val="clear" w:color="auto" w:fill="E0D1F5" w:themeFill="accent1" w:themeFillTint="33"/>
            <w:tcMar>
              <w:left w:w="57" w:type="dxa"/>
              <w:right w:w="57" w:type="dxa"/>
            </w:tcMar>
            <w:hideMark/>
          </w:tcPr>
          <w:p w14:paraId="4C90E3A8" w14:textId="77777777" w:rsidR="00E93868" w:rsidRPr="00FF3E4F" w:rsidRDefault="00E93868" w:rsidP="00FF3E4F">
            <w:pPr>
              <w:pStyle w:val="TableHeading1"/>
              <w:spacing w:before="0"/>
              <w:rPr>
                <w:sz w:val="18"/>
                <w:szCs w:val="18"/>
                <w:lang w:eastAsia="en-AU"/>
              </w:rPr>
            </w:pPr>
          </w:p>
        </w:tc>
        <w:tc>
          <w:tcPr>
            <w:tcW w:w="379" w:type="pct"/>
            <w:shd w:val="clear" w:color="auto" w:fill="E0D1F5" w:themeFill="accent1" w:themeFillTint="33"/>
            <w:tcMar>
              <w:left w:w="57" w:type="dxa"/>
              <w:right w:w="57" w:type="dxa"/>
            </w:tcMar>
            <w:textDirection w:val="btLr"/>
            <w:hideMark/>
          </w:tcPr>
          <w:p w14:paraId="6D7A8596" w14:textId="77777777" w:rsidR="00E93868" w:rsidRPr="00FF3E4F" w:rsidRDefault="00E93868" w:rsidP="00FF3E4F">
            <w:pPr>
              <w:pStyle w:val="TableHeading1"/>
              <w:spacing w:before="0"/>
              <w:ind w:left="113" w:right="113"/>
              <w:rPr>
                <w:sz w:val="18"/>
                <w:szCs w:val="18"/>
                <w:lang w:eastAsia="en-AU"/>
              </w:rPr>
            </w:pPr>
            <w:r w:rsidRPr="00FF3E4F">
              <w:rPr>
                <w:sz w:val="18"/>
                <w:szCs w:val="18"/>
                <w:lang w:eastAsia="en-AU"/>
              </w:rPr>
              <w:t xml:space="preserve">level </w:t>
            </w:r>
            <w:r w:rsidRPr="00FF3E4F">
              <w:rPr>
                <w:sz w:val="18"/>
                <w:szCs w:val="18"/>
                <w:lang w:eastAsia="en-AU"/>
              </w:rPr>
              <w:br/>
              <w:t>('000)</w:t>
            </w:r>
          </w:p>
        </w:tc>
        <w:tc>
          <w:tcPr>
            <w:tcW w:w="303" w:type="pct"/>
            <w:shd w:val="clear" w:color="auto" w:fill="E0D1F5" w:themeFill="accent1" w:themeFillTint="33"/>
            <w:noWrap/>
            <w:tcMar>
              <w:left w:w="57" w:type="dxa"/>
              <w:right w:w="57" w:type="dxa"/>
            </w:tcMar>
            <w:textDirection w:val="btLr"/>
            <w:hideMark/>
          </w:tcPr>
          <w:p w14:paraId="1063B85E" w14:textId="3CAB54DB" w:rsidR="00E93868" w:rsidRPr="00FF3E4F" w:rsidRDefault="00E93868" w:rsidP="00FF3E4F">
            <w:pPr>
              <w:pStyle w:val="TableHeading1"/>
              <w:spacing w:before="0"/>
              <w:ind w:left="113" w:right="113"/>
              <w:rPr>
                <w:sz w:val="18"/>
                <w:szCs w:val="18"/>
                <w:lang w:eastAsia="en-AU"/>
              </w:rPr>
            </w:pPr>
            <w:r w:rsidRPr="00FF3E4F">
              <w:rPr>
                <w:sz w:val="18"/>
                <w:szCs w:val="18"/>
                <w:lang w:eastAsia="en-AU"/>
              </w:rPr>
              <w:t>%</w:t>
            </w:r>
          </w:p>
        </w:tc>
        <w:tc>
          <w:tcPr>
            <w:tcW w:w="530" w:type="pct"/>
            <w:vMerge/>
            <w:shd w:val="clear" w:color="auto" w:fill="E0D1F5" w:themeFill="accent1" w:themeFillTint="33"/>
            <w:tcMar>
              <w:left w:w="57" w:type="dxa"/>
              <w:right w:w="57" w:type="dxa"/>
            </w:tcMar>
            <w:textDirection w:val="btLr"/>
            <w:hideMark/>
          </w:tcPr>
          <w:p w14:paraId="5CA49EC7" w14:textId="77777777" w:rsidR="00E93868" w:rsidRPr="00FF3E4F" w:rsidRDefault="00E93868" w:rsidP="00FF3E4F">
            <w:pPr>
              <w:pStyle w:val="TableHeading1"/>
              <w:spacing w:before="0"/>
              <w:ind w:left="113" w:right="113"/>
              <w:rPr>
                <w:sz w:val="18"/>
                <w:szCs w:val="18"/>
                <w:lang w:eastAsia="en-AU"/>
              </w:rPr>
            </w:pPr>
          </w:p>
        </w:tc>
        <w:tc>
          <w:tcPr>
            <w:tcW w:w="303" w:type="pct"/>
            <w:vMerge/>
            <w:shd w:val="clear" w:color="auto" w:fill="E0D1F5" w:themeFill="accent1" w:themeFillTint="33"/>
            <w:tcMar>
              <w:left w:w="57" w:type="dxa"/>
              <w:right w:w="57" w:type="dxa"/>
            </w:tcMar>
            <w:textDirection w:val="btLr"/>
            <w:hideMark/>
          </w:tcPr>
          <w:p w14:paraId="326C0DB6" w14:textId="77777777" w:rsidR="00E93868" w:rsidRPr="00FF3E4F" w:rsidRDefault="00E93868" w:rsidP="00FF3E4F">
            <w:pPr>
              <w:pStyle w:val="TableHeading1"/>
              <w:spacing w:before="0"/>
              <w:ind w:left="113" w:right="113"/>
              <w:rPr>
                <w:sz w:val="18"/>
                <w:szCs w:val="18"/>
                <w:lang w:eastAsia="en-AU"/>
              </w:rPr>
            </w:pPr>
          </w:p>
        </w:tc>
        <w:tc>
          <w:tcPr>
            <w:tcW w:w="455" w:type="pct"/>
            <w:shd w:val="clear" w:color="auto" w:fill="E0D1F5" w:themeFill="accent1" w:themeFillTint="33"/>
            <w:tcMar>
              <w:left w:w="57" w:type="dxa"/>
              <w:right w:w="57" w:type="dxa"/>
            </w:tcMar>
            <w:textDirection w:val="btLr"/>
            <w:hideMark/>
          </w:tcPr>
          <w:p w14:paraId="7656DBA7" w14:textId="77777777" w:rsidR="00E93868" w:rsidRPr="00FF3E4F" w:rsidRDefault="00E93868" w:rsidP="00FF3E4F">
            <w:pPr>
              <w:pStyle w:val="TableHeading1"/>
              <w:spacing w:before="0"/>
              <w:ind w:left="113" w:right="113"/>
              <w:rPr>
                <w:sz w:val="18"/>
                <w:szCs w:val="18"/>
                <w:lang w:eastAsia="en-AU"/>
              </w:rPr>
            </w:pPr>
            <w:r w:rsidRPr="00FF3E4F">
              <w:rPr>
                <w:sz w:val="18"/>
                <w:szCs w:val="18"/>
                <w:lang w:eastAsia="en-AU"/>
              </w:rPr>
              <w:t xml:space="preserve">level </w:t>
            </w:r>
            <w:r w:rsidRPr="00FF3E4F">
              <w:rPr>
                <w:sz w:val="18"/>
                <w:szCs w:val="18"/>
                <w:lang w:eastAsia="en-AU"/>
              </w:rPr>
              <w:br/>
              <w:t>('000)</w:t>
            </w:r>
          </w:p>
        </w:tc>
        <w:tc>
          <w:tcPr>
            <w:tcW w:w="306" w:type="pct"/>
            <w:shd w:val="clear" w:color="auto" w:fill="E0D1F5" w:themeFill="accent1" w:themeFillTint="33"/>
            <w:noWrap/>
            <w:tcMar>
              <w:left w:w="57" w:type="dxa"/>
              <w:right w:w="57" w:type="dxa"/>
            </w:tcMar>
            <w:textDirection w:val="btLr"/>
            <w:hideMark/>
          </w:tcPr>
          <w:p w14:paraId="7D357C04" w14:textId="04DB4FD9" w:rsidR="00E93868" w:rsidRPr="00FF3E4F" w:rsidRDefault="00E93868" w:rsidP="00FF3E4F">
            <w:pPr>
              <w:pStyle w:val="TableHeading1"/>
              <w:spacing w:before="0"/>
              <w:ind w:left="113" w:right="113"/>
              <w:rPr>
                <w:sz w:val="18"/>
                <w:szCs w:val="18"/>
                <w:lang w:eastAsia="en-AU"/>
              </w:rPr>
            </w:pPr>
            <w:r w:rsidRPr="00FF3E4F">
              <w:rPr>
                <w:sz w:val="18"/>
                <w:szCs w:val="18"/>
                <w:lang w:eastAsia="en-AU"/>
              </w:rPr>
              <w:t>%</w:t>
            </w:r>
          </w:p>
        </w:tc>
      </w:tr>
      <w:tr w:rsidR="00C453B6" w:rsidRPr="00FF3E4F" w14:paraId="63647DBC" w14:textId="77777777" w:rsidTr="00C453B6">
        <w:trPr>
          <w:trHeight w:val="280"/>
        </w:trPr>
        <w:tc>
          <w:tcPr>
            <w:tcW w:w="1056" w:type="pct"/>
            <w:noWrap/>
            <w:tcMar>
              <w:left w:w="57" w:type="dxa"/>
              <w:right w:w="57" w:type="dxa"/>
            </w:tcMar>
            <w:hideMark/>
          </w:tcPr>
          <w:p w14:paraId="440EE780" w14:textId="77777777" w:rsidR="00E93868" w:rsidRPr="00FF3E4F" w:rsidRDefault="00E93868" w:rsidP="0065586F">
            <w:pPr>
              <w:pStyle w:val="TableBodyText"/>
              <w:rPr>
                <w:sz w:val="18"/>
                <w:szCs w:val="18"/>
                <w:lang w:eastAsia="en-AU"/>
              </w:rPr>
            </w:pPr>
            <w:r w:rsidRPr="00FF3E4F">
              <w:rPr>
                <w:sz w:val="18"/>
                <w:szCs w:val="18"/>
                <w:lang w:eastAsia="en-AU"/>
              </w:rPr>
              <w:t>Agriculture, Forestry and Fishing</w:t>
            </w:r>
          </w:p>
        </w:tc>
        <w:tc>
          <w:tcPr>
            <w:tcW w:w="531" w:type="pct"/>
            <w:noWrap/>
            <w:tcMar>
              <w:left w:w="57" w:type="dxa"/>
              <w:right w:w="57" w:type="dxa"/>
            </w:tcMar>
            <w:hideMark/>
          </w:tcPr>
          <w:p w14:paraId="0AD3FEA8" w14:textId="7C5E415B" w:rsidR="00E93868" w:rsidRPr="00FF3E4F" w:rsidRDefault="00E93868" w:rsidP="00DE27F7">
            <w:pPr>
              <w:pStyle w:val="TableBodyTextright"/>
              <w:rPr>
                <w:sz w:val="18"/>
                <w:szCs w:val="18"/>
                <w:lang w:eastAsia="en-AU"/>
              </w:rPr>
            </w:pPr>
            <w:r w:rsidRPr="00FF3E4F">
              <w:rPr>
                <w:sz w:val="18"/>
                <w:szCs w:val="18"/>
                <w:lang w:eastAsia="en-AU"/>
              </w:rPr>
              <w:t xml:space="preserve">305.4 </w:t>
            </w:r>
          </w:p>
        </w:tc>
        <w:tc>
          <w:tcPr>
            <w:tcW w:w="304" w:type="pct"/>
            <w:noWrap/>
            <w:tcMar>
              <w:left w:w="57" w:type="dxa"/>
              <w:right w:w="57" w:type="dxa"/>
            </w:tcMar>
            <w:hideMark/>
          </w:tcPr>
          <w:p w14:paraId="01DD2EC1" w14:textId="0FA69854" w:rsidR="00E93868" w:rsidRPr="00FF3E4F" w:rsidRDefault="00E93868" w:rsidP="00DE27F7">
            <w:pPr>
              <w:pStyle w:val="TableBodyTextright"/>
              <w:rPr>
                <w:sz w:val="18"/>
                <w:szCs w:val="18"/>
                <w:lang w:eastAsia="en-AU"/>
              </w:rPr>
            </w:pPr>
            <w:r w:rsidRPr="00FF3E4F">
              <w:rPr>
                <w:sz w:val="18"/>
                <w:szCs w:val="18"/>
                <w:lang w:eastAsia="en-AU"/>
              </w:rPr>
              <w:t>2.1</w:t>
            </w:r>
          </w:p>
        </w:tc>
        <w:tc>
          <w:tcPr>
            <w:tcW w:w="530" w:type="pct"/>
            <w:noWrap/>
            <w:tcMar>
              <w:left w:w="57" w:type="dxa"/>
              <w:right w:w="57" w:type="dxa"/>
            </w:tcMar>
            <w:hideMark/>
          </w:tcPr>
          <w:p w14:paraId="1D574CAD" w14:textId="14EF1D84" w:rsidR="00E93868" w:rsidRPr="00FF3E4F" w:rsidRDefault="00E93868" w:rsidP="00DE27F7">
            <w:pPr>
              <w:pStyle w:val="TableBodyTextright"/>
              <w:rPr>
                <w:sz w:val="18"/>
                <w:szCs w:val="18"/>
                <w:lang w:eastAsia="en-AU"/>
              </w:rPr>
            </w:pPr>
            <w:r w:rsidRPr="00FF3E4F">
              <w:rPr>
                <w:sz w:val="18"/>
                <w:szCs w:val="18"/>
                <w:lang w:eastAsia="en-AU"/>
              </w:rPr>
              <w:t xml:space="preserve">303.8 </w:t>
            </w:r>
          </w:p>
        </w:tc>
        <w:tc>
          <w:tcPr>
            <w:tcW w:w="303" w:type="pct"/>
            <w:noWrap/>
            <w:tcMar>
              <w:left w:w="57" w:type="dxa"/>
              <w:right w:w="57" w:type="dxa"/>
            </w:tcMar>
            <w:hideMark/>
          </w:tcPr>
          <w:p w14:paraId="392542EC" w14:textId="30C3FFA8" w:rsidR="00E93868" w:rsidRPr="00FF3E4F" w:rsidRDefault="00E93868" w:rsidP="00DE27F7">
            <w:pPr>
              <w:pStyle w:val="TableBodyTextright"/>
              <w:rPr>
                <w:sz w:val="18"/>
                <w:szCs w:val="18"/>
                <w:lang w:eastAsia="en-AU"/>
              </w:rPr>
            </w:pPr>
            <w:r w:rsidRPr="00FF3E4F">
              <w:rPr>
                <w:sz w:val="18"/>
                <w:szCs w:val="18"/>
                <w:lang w:eastAsia="en-AU"/>
              </w:rPr>
              <w:t>-0.5</w:t>
            </w:r>
          </w:p>
        </w:tc>
        <w:tc>
          <w:tcPr>
            <w:tcW w:w="379" w:type="pct"/>
            <w:noWrap/>
            <w:tcMar>
              <w:left w:w="57" w:type="dxa"/>
              <w:right w:w="57" w:type="dxa"/>
            </w:tcMar>
            <w:hideMark/>
          </w:tcPr>
          <w:p w14:paraId="65851972" w14:textId="7F94A733" w:rsidR="00E93868" w:rsidRPr="00FF3E4F" w:rsidRDefault="00E93868" w:rsidP="00DE27F7">
            <w:pPr>
              <w:pStyle w:val="TableBodyTextright"/>
              <w:rPr>
                <w:sz w:val="18"/>
                <w:szCs w:val="18"/>
                <w:lang w:eastAsia="en-AU"/>
              </w:rPr>
            </w:pPr>
            <w:r w:rsidRPr="00FF3E4F">
              <w:rPr>
                <w:sz w:val="18"/>
                <w:szCs w:val="18"/>
              </w:rPr>
              <w:t>-</w:t>
            </w:r>
            <w:r w:rsidRPr="00FF3E4F">
              <w:rPr>
                <w:sz w:val="18"/>
                <w:szCs w:val="18"/>
                <w:lang w:eastAsia="en-AU"/>
              </w:rPr>
              <w:t xml:space="preserve">1.6 </w:t>
            </w:r>
          </w:p>
        </w:tc>
        <w:tc>
          <w:tcPr>
            <w:tcW w:w="303" w:type="pct"/>
            <w:noWrap/>
            <w:tcMar>
              <w:left w:w="57" w:type="dxa"/>
              <w:right w:w="57" w:type="dxa"/>
            </w:tcMar>
            <w:hideMark/>
          </w:tcPr>
          <w:p w14:paraId="3E2E0FB8" w14:textId="04FBDE38" w:rsidR="00E93868" w:rsidRPr="00FF3E4F" w:rsidRDefault="00E93868" w:rsidP="00DE27F7">
            <w:pPr>
              <w:pStyle w:val="TableBodyTextright"/>
              <w:rPr>
                <w:sz w:val="18"/>
                <w:szCs w:val="18"/>
                <w:lang w:eastAsia="en-AU"/>
              </w:rPr>
            </w:pPr>
            <w:r w:rsidRPr="00FF3E4F">
              <w:rPr>
                <w:sz w:val="18"/>
                <w:szCs w:val="18"/>
                <w:lang w:eastAsia="en-AU"/>
              </w:rPr>
              <w:t>-0.5</w:t>
            </w:r>
          </w:p>
        </w:tc>
        <w:tc>
          <w:tcPr>
            <w:tcW w:w="530" w:type="pct"/>
            <w:noWrap/>
            <w:tcMar>
              <w:left w:w="57" w:type="dxa"/>
              <w:right w:w="57" w:type="dxa"/>
            </w:tcMar>
            <w:hideMark/>
          </w:tcPr>
          <w:p w14:paraId="081DCF81" w14:textId="1D4F138E" w:rsidR="00E93868" w:rsidRPr="00FF3E4F" w:rsidRDefault="00E93868" w:rsidP="00DE27F7">
            <w:pPr>
              <w:pStyle w:val="TableBodyTextright"/>
              <w:rPr>
                <w:sz w:val="18"/>
                <w:szCs w:val="18"/>
                <w:lang w:eastAsia="en-AU"/>
              </w:rPr>
            </w:pPr>
            <w:r w:rsidRPr="00FF3E4F">
              <w:rPr>
                <w:sz w:val="18"/>
                <w:szCs w:val="18"/>
                <w:lang w:eastAsia="en-AU"/>
              </w:rPr>
              <w:t xml:space="preserve">320.2 </w:t>
            </w:r>
          </w:p>
        </w:tc>
        <w:tc>
          <w:tcPr>
            <w:tcW w:w="303" w:type="pct"/>
            <w:noWrap/>
            <w:tcMar>
              <w:left w:w="57" w:type="dxa"/>
              <w:right w:w="57" w:type="dxa"/>
            </w:tcMar>
            <w:hideMark/>
          </w:tcPr>
          <w:p w14:paraId="7AAE2A2D" w14:textId="7E3AA0E4" w:rsidR="00E93868" w:rsidRPr="00FF3E4F" w:rsidRDefault="00E93868" w:rsidP="00DE27F7">
            <w:pPr>
              <w:pStyle w:val="TableBodyTextright"/>
              <w:rPr>
                <w:sz w:val="18"/>
                <w:szCs w:val="18"/>
                <w:lang w:eastAsia="en-AU"/>
              </w:rPr>
            </w:pPr>
            <w:r w:rsidRPr="00FF3E4F">
              <w:rPr>
                <w:sz w:val="18"/>
                <w:szCs w:val="18"/>
                <w:lang w:eastAsia="en-AU"/>
              </w:rPr>
              <w:t>1.9</w:t>
            </w:r>
          </w:p>
        </w:tc>
        <w:tc>
          <w:tcPr>
            <w:tcW w:w="455" w:type="pct"/>
            <w:noWrap/>
            <w:tcMar>
              <w:left w:w="57" w:type="dxa"/>
              <w:right w:w="57" w:type="dxa"/>
            </w:tcMar>
            <w:hideMark/>
          </w:tcPr>
          <w:p w14:paraId="069507E6" w14:textId="0ACFD31B" w:rsidR="00E93868" w:rsidRPr="00FF3E4F" w:rsidRDefault="00E93868" w:rsidP="00DE27F7">
            <w:pPr>
              <w:pStyle w:val="TableBodyTextright"/>
              <w:rPr>
                <w:sz w:val="18"/>
                <w:szCs w:val="18"/>
                <w:lang w:eastAsia="en-AU"/>
              </w:rPr>
            </w:pPr>
            <w:r w:rsidRPr="00FF3E4F">
              <w:rPr>
                <w:sz w:val="18"/>
                <w:szCs w:val="18"/>
                <w:lang w:eastAsia="en-AU"/>
              </w:rPr>
              <w:t xml:space="preserve">14.8 </w:t>
            </w:r>
          </w:p>
        </w:tc>
        <w:tc>
          <w:tcPr>
            <w:tcW w:w="306" w:type="pct"/>
            <w:noWrap/>
            <w:tcMar>
              <w:left w:w="57" w:type="dxa"/>
              <w:right w:w="57" w:type="dxa"/>
            </w:tcMar>
            <w:hideMark/>
          </w:tcPr>
          <w:p w14:paraId="1E5CA64C" w14:textId="49E47AF1" w:rsidR="00E93868" w:rsidRPr="00FF3E4F" w:rsidRDefault="00E93868" w:rsidP="00DE27F7">
            <w:pPr>
              <w:pStyle w:val="TableBodyTextright"/>
              <w:rPr>
                <w:sz w:val="18"/>
                <w:szCs w:val="18"/>
                <w:lang w:eastAsia="en-AU"/>
              </w:rPr>
            </w:pPr>
            <w:r w:rsidRPr="00FF3E4F">
              <w:rPr>
                <w:sz w:val="18"/>
                <w:szCs w:val="18"/>
                <w:lang w:eastAsia="en-AU"/>
              </w:rPr>
              <w:t>4.8</w:t>
            </w:r>
          </w:p>
        </w:tc>
      </w:tr>
      <w:tr w:rsidR="00C453B6" w:rsidRPr="00FF3E4F" w14:paraId="0418404F" w14:textId="77777777" w:rsidTr="00C453B6">
        <w:trPr>
          <w:cnfStyle w:val="000000010000" w:firstRow="0" w:lastRow="0" w:firstColumn="0" w:lastColumn="0" w:oddVBand="0" w:evenVBand="0" w:oddHBand="0" w:evenHBand="1" w:firstRowFirstColumn="0" w:firstRowLastColumn="0" w:lastRowFirstColumn="0" w:lastRowLastColumn="0"/>
          <w:trHeight w:val="280"/>
        </w:trPr>
        <w:tc>
          <w:tcPr>
            <w:tcW w:w="1056" w:type="pct"/>
            <w:noWrap/>
            <w:tcMar>
              <w:left w:w="57" w:type="dxa"/>
              <w:right w:w="57" w:type="dxa"/>
            </w:tcMar>
            <w:hideMark/>
          </w:tcPr>
          <w:p w14:paraId="2138841E" w14:textId="77777777" w:rsidR="00E93868" w:rsidRPr="00FF3E4F" w:rsidRDefault="00E93868" w:rsidP="0065586F">
            <w:pPr>
              <w:pStyle w:val="TableBodyText"/>
              <w:rPr>
                <w:sz w:val="18"/>
                <w:szCs w:val="18"/>
                <w:lang w:eastAsia="en-AU"/>
              </w:rPr>
            </w:pPr>
            <w:r w:rsidRPr="00FF3E4F">
              <w:rPr>
                <w:sz w:val="18"/>
                <w:szCs w:val="18"/>
                <w:lang w:eastAsia="en-AU"/>
              </w:rPr>
              <w:t>Mining</w:t>
            </w:r>
          </w:p>
        </w:tc>
        <w:tc>
          <w:tcPr>
            <w:tcW w:w="531" w:type="pct"/>
            <w:noWrap/>
            <w:tcMar>
              <w:left w:w="57" w:type="dxa"/>
              <w:right w:w="57" w:type="dxa"/>
            </w:tcMar>
            <w:hideMark/>
          </w:tcPr>
          <w:p w14:paraId="10313F2E" w14:textId="1CF349B2" w:rsidR="00E93868" w:rsidRPr="00FF3E4F" w:rsidRDefault="00E93868" w:rsidP="00DE27F7">
            <w:pPr>
              <w:pStyle w:val="TableBodyTextright"/>
              <w:rPr>
                <w:sz w:val="18"/>
                <w:szCs w:val="18"/>
                <w:lang w:eastAsia="en-AU"/>
              </w:rPr>
            </w:pPr>
            <w:r w:rsidRPr="00FF3E4F">
              <w:rPr>
                <w:sz w:val="18"/>
                <w:szCs w:val="18"/>
                <w:lang w:eastAsia="en-AU"/>
              </w:rPr>
              <w:t xml:space="preserve">322.6 </w:t>
            </w:r>
          </w:p>
        </w:tc>
        <w:tc>
          <w:tcPr>
            <w:tcW w:w="304" w:type="pct"/>
            <w:noWrap/>
            <w:tcMar>
              <w:left w:w="57" w:type="dxa"/>
              <w:right w:w="57" w:type="dxa"/>
            </w:tcMar>
            <w:hideMark/>
          </w:tcPr>
          <w:p w14:paraId="4C5177BD" w14:textId="075675A7" w:rsidR="00E93868" w:rsidRPr="00FF3E4F" w:rsidRDefault="00E93868" w:rsidP="00DE27F7">
            <w:pPr>
              <w:pStyle w:val="TableBodyTextright"/>
              <w:rPr>
                <w:sz w:val="18"/>
                <w:szCs w:val="18"/>
                <w:lang w:eastAsia="en-AU"/>
              </w:rPr>
            </w:pPr>
            <w:r w:rsidRPr="00FF3E4F">
              <w:rPr>
                <w:sz w:val="18"/>
                <w:szCs w:val="18"/>
                <w:lang w:eastAsia="en-AU"/>
              </w:rPr>
              <w:t>2.2</w:t>
            </w:r>
          </w:p>
        </w:tc>
        <w:tc>
          <w:tcPr>
            <w:tcW w:w="530" w:type="pct"/>
            <w:noWrap/>
            <w:tcMar>
              <w:left w:w="57" w:type="dxa"/>
              <w:right w:w="57" w:type="dxa"/>
            </w:tcMar>
            <w:hideMark/>
          </w:tcPr>
          <w:p w14:paraId="6C6B780E" w14:textId="39AF585E" w:rsidR="00E93868" w:rsidRPr="00FF3E4F" w:rsidRDefault="00E93868" w:rsidP="00DE27F7">
            <w:pPr>
              <w:pStyle w:val="TableBodyTextright"/>
              <w:rPr>
                <w:sz w:val="18"/>
                <w:szCs w:val="18"/>
                <w:lang w:eastAsia="en-AU"/>
              </w:rPr>
            </w:pPr>
            <w:r w:rsidRPr="00FF3E4F">
              <w:rPr>
                <w:sz w:val="18"/>
                <w:szCs w:val="18"/>
                <w:lang w:eastAsia="en-AU"/>
              </w:rPr>
              <w:t xml:space="preserve">340.7 </w:t>
            </w:r>
          </w:p>
        </w:tc>
        <w:tc>
          <w:tcPr>
            <w:tcW w:w="303" w:type="pct"/>
            <w:noWrap/>
            <w:tcMar>
              <w:left w:w="57" w:type="dxa"/>
              <w:right w:w="57" w:type="dxa"/>
            </w:tcMar>
            <w:hideMark/>
          </w:tcPr>
          <w:p w14:paraId="71E9AE97" w14:textId="7CBDFA73" w:rsidR="00E93868" w:rsidRPr="00FF3E4F" w:rsidRDefault="00E93868" w:rsidP="00DE27F7">
            <w:pPr>
              <w:pStyle w:val="TableBodyTextright"/>
              <w:rPr>
                <w:sz w:val="18"/>
                <w:szCs w:val="18"/>
                <w:lang w:eastAsia="en-AU"/>
              </w:rPr>
            </w:pPr>
            <w:r w:rsidRPr="00FF3E4F">
              <w:rPr>
                <w:sz w:val="18"/>
                <w:szCs w:val="18"/>
                <w:lang w:eastAsia="en-AU"/>
              </w:rPr>
              <w:t>5.6</w:t>
            </w:r>
          </w:p>
        </w:tc>
        <w:tc>
          <w:tcPr>
            <w:tcW w:w="379" w:type="pct"/>
            <w:noWrap/>
            <w:tcMar>
              <w:left w:w="57" w:type="dxa"/>
              <w:right w:w="57" w:type="dxa"/>
            </w:tcMar>
            <w:hideMark/>
          </w:tcPr>
          <w:p w14:paraId="2CDBBA49" w14:textId="73302310" w:rsidR="00E93868" w:rsidRPr="00FF3E4F" w:rsidRDefault="00E93868" w:rsidP="00DE27F7">
            <w:pPr>
              <w:pStyle w:val="TableBodyTextright"/>
              <w:rPr>
                <w:sz w:val="18"/>
                <w:szCs w:val="18"/>
                <w:lang w:eastAsia="en-AU"/>
              </w:rPr>
            </w:pPr>
            <w:r w:rsidRPr="00FF3E4F">
              <w:rPr>
                <w:sz w:val="18"/>
                <w:szCs w:val="18"/>
                <w:lang w:eastAsia="en-AU"/>
              </w:rPr>
              <w:t xml:space="preserve">18.1 </w:t>
            </w:r>
          </w:p>
        </w:tc>
        <w:tc>
          <w:tcPr>
            <w:tcW w:w="303" w:type="pct"/>
            <w:noWrap/>
            <w:tcMar>
              <w:left w:w="57" w:type="dxa"/>
              <w:right w:w="57" w:type="dxa"/>
            </w:tcMar>
            <w:hideMark/>
          </w:tcPr>
          <w:p w14:paraId="04865DDC" w14:textId="4709252B" w:rsidR="00E93868" w:rsidRPr="00FF3E4F" w:rsidRDefault="00E93868" w:rsidP="00DE27F7">
            <w:pPr>
              <w:pStyle w:val="TableBodyTextright"/>
              <w:rPr>
                <w:sz w:val="18"/>
                <w:szCs w:val="18"/>
                <w:lang w:eastAsia="en-AU"/>
              </w:rPr>
            </w:pPr>
            <w:r w:rsidRPr="00FF3E4F">
              <w:rPr>
                <w:sz w:val="18"/>
                <w:szCs w:val="18"/>
                <w:lang w:eastAsia="en-AU"/>
              </w:rPr>
              <w:t>5.6</w:t>
            </w:r>
          </w:p>
        </w:tc>
        <w:tc>
          <w:tcPr>
            <w:tcW w:w="530" w:type="pct"/>
            <w:noWrap/>
            <w:tcMar>
              <w:left w:w="57" w:type="dxa"/>
              <w:right w:w="57" w:type="dxa"/>
            </w:tcMar>
            <w:hideMark/>
          </w:tcPr>
          <w:p w14:paraId="31CB8482" w14:textId="2AA8BCFE" w:rsidR="00E93868" w:rsidRPr="00FF3E4F" w:rsidRDefault="00E93868" w:rsidP="00DE27F7">
            <w:pPr>
              <w:pStyle w:val="TableBodyTextright"/>
              <w:rPr>
                <w:sz w:val="18"/>
                <w:szCs w:val="18"/>
                <w:lang w:eastAsia="en-AU"/>
              </w:rPr>
            </w:pPr>
            <w:r w:rsidRPr="00FF3E4F">
              <w:rPr>
                <w:sz w:val="18"/>
                <w:szCs w:val="18"/>
                <w:lang w:eastAsia="en-AU"/>
              </w:rPr>
              <w:t xml:space="preserve">350.4 </w:t>
            </w:r>
          </w:p>
        </w:tc>
        <w:tc>
          <w:tcPr>
            <w:tcW w:w="303" w:type="pct"/>
            <w:noWrap/>
            <w:tcMar>
              <w:left w:w="57" w:type="dxa"/>
              <w:right w:w="57" w:type="dxa"/>
            </w:tcMar>
            <w:hideMark/>
          </w:tcPr>
          <w:p w14:paraId="67A742EB" w14:textId="1810F44B" w:rsidR="00E93868" w:rsidRPr="00FF3E4F" w:rsidRDefault="00E93868" w:rsidP="00DE27F7">
            <w:pPr>
              <w:pStyle w:val="TableBodyTextright"/>
              <w:rPr>
                <w:sz w:val="18"/>
                <w:szCs w:val="18"/>
                <w:lang w:eastAsia="en-AU"/>
              </w:rPr>
            </w:pPr>
            <w:r w:rsidRPr="00FF3E4F">
              <w:rPr>
                <w:sz w:val="18"/>
                <w:szCs w:val="18"/>
                <w:lang w:eastAsia="en-AU"/>
              </w:rPr>
              <w:t>2.1</w:t>
            </w:r>
          </w:p>
        </w:tc>
        <w:tc>
          <w:tcPr>
            <w:tcW w:w="455" w:type="pct"/>
            <w:noWrap/>
            <w:tcMar>
              <w:left w:w="57" w:type="dxa"/>
              <w:right w:w="57" w:type="dxa"/>
            </w:tcMar>
            <w:hideMark/>
          </w:tcPr>
          <w:p w14:paraId="16BF2D75" w14:textId="6BA62574" w:rsidR="00E93868" w:rsidRPr="00FF3E4F" w:rsidRDefault="00E93868" w:rsidP="00DE27F7">
            <w:pPr>
              <w:pStyle w:val="TableBodyTextright"/>
              <w:rPr>
                <w:sz w:val="18"/>
                <w:szCs w:val="18"/>
                <w:lang w:eastAsia="en-AU"/>
              </w:rPr>
            </w:pPr>
            <w:r w:rsidRPr="00FF3E4F">
              <w:rPr>
                <w:sz w:val="18"/>
                <w:szCs w:val="18"/>
                <w:lang w:eastAsia="en-AU"/>
              </w:rPr>
              <w:t xml:space="preserve">27.8 </w:t>
            </w:r>
          </w:p>
        </w:tc>
        <w:tc>
          <w:tcPr>
            <w:tcW w:w="306" w:type="pct"/>
            <w:noWrap/>
            <w:tcMar>
              <w:left w:w="57" w:type="dxa"/>
              <w:right w:w="57" w:type="dxa"/>
            </w:tcMar>
            <w:hideMark/>
          </w:tcPr>
          <w:p w14:paraId="3F3F8D30" w14:textId="39A84365" w:rsidR="00E93868" w:rsidRPr="00FF3E4F" w:rsidRDefault="00E93868" w:rsidP="00DE27F7">
            <w:pPr>
              <w:pStyle w:val="TableBodyTextright"/>
              <w:rPr>
                <w:sz w:val="18"/>
                <w:szCs w:val="18"/>
                <w:lang w:eastAsia="en-AU"/>
              </w:rPr>
            </w:pPr>
            <w:r w:rsidRPr="00FF3E4F">
              <w:rPr>
                <w:sz w:val="18"/>
                <w:szCs w:val="18"/>
                <w:lang w:eastAsia="en-AU"/>
              </w:rPr>
              <w:t>8.6</w:t>
            </w:r>
          </w:p>
        </w:tc>
      </w:tr>
      <w:tr w:rsidR="00C453B6" w:rsidRPr="00FF3E4F" w14:paraId="7BDF4792" w14:textId="77777777" w:rsidTr="00C453B6">
        <w:trPr>
          <w:trHeight w:val="280"/>
        </w:trPr>
        <w:tc>
          <w:tcPr>
            <w:tcW w:w="1056" w:type="pct"/>
            <w:noWrap/>
            <w:tcMar>
              <w:left w:w="57" w:type="dxa"/>
              <w:right w:w="57" w:type="dxa"/>
            </w:tcMar>
            <w:hideMark/>
          </w:tcPr>
          <w:p w14:paraId="3167D052" w14:textId="77777777" w:rsidR="00E93868" w:rsidRPr="00FF3E4F" w:rsidRDefault="00E93868" w:rsidP="0065586F">
            <w:pPr>
              <w:pStyle w:val="TableBodyText"/>
              <w:rPr>
                <w:sz w:val="18"/>
                <w:szCs w:val="18"/>
                <w:lang w:eastAsia="en-AU"/>
              </w:rPr>
            </w:pPr>
            <w:r w:rsidRPr="00FF3E4F">
              <w:rPr>
                <w:sz w:val="18"/>
                <w:szCs w:val="18"/>
                <w:lang w:eastAsia="en-AU"/>
              </w:rPr>
              <w:t>Manufacturing</w:t>
            </w:r>
          </w:p>
        </w:tc>
        <w:tc>
          <w:tcPr>
            <w:tcW w:w="531" w:type="pct"/>
            <w:noWrap/>
            <w:tcMar>
              <w:left w:w="57" w:type="dxa"/>
              <w:right w:w="57" w:type="dxa"/>
            </w:tcMar>
            <w:hideMark/>
          </w:tcPr>
          <w:p w14:paraId="76AFA769" w14:textId="4F704693" w:rsidR="00E93868" w:rsidRPr="00FF3E4F" w:rsidRDefault="00E93868" w:rsidP="00DE27F7">
            <w:pPr>
              <w:pStyle w:val="TableBodyTextright"/>
              <w:rPr>
                <w:sz w:val="18"/>
                <w:szCs w:val="18"/>
                <w:lang w:eastAsia="en-AU"/>
              </w:rPr>
            </w:pPr>
            <w:r w:rsidRPr="00FF3E4F">
              <w:rPr>
                <w:sz w:val="18"/>
                <w:szCs w:val="18"/>
                <w:lang w:eastAsia="en-AU"/>
              </w:rPr>
              <w:t xml:space="preserve">874.3 </w:t>
            </w:r>
          </w:p>
        </w:tc>
        <w:tc>
          <w:tcPr>
            <w:tcW w:w="304" w:type="pct"/>
            <w:noWrap/>
            <w:tcMar>
              <w:left w:w="57" w:type="dxa"/>
              <w:right w:w="57" w:type="dxa"/>
            </w:tcMar>
            <w:hideMark/>
          </w:tcPr>
          <w:p w14:paraId="4BB66E3D" w14:textId="7F3BAE22" w:rsidR="00E93868" w:rsidRPr="00FF3E4F" w:rsidRDefault="00E93868" w:rsidP="00DE27F7">
            <w:pPr>
              <w:pStyle w:val="TableBodyTextright"/>
              <w:rPr>
                <w:sz w:val="18"/>
                <w:szCs w:val="18"/>
                <w:lang w:eastAsia="en-AU"/>
              </w:rPr>
            </w:pPr>
            <w:r w:rsidRPr="00FF3E4F">
              <w:rPr>
                <w:sz w:val="18"/>
                <w:szCs w:val="18"/>
                <w:lang w:eastAsia="en-AU"/>
              </w:rPr>
              <w:t>5.9</w:t>
            </w:r>
          </w:p>
        </w:tc>
        <w:tc>
          <w:tcPr>
            <w:tcW w:w="530" w:type="pct"/>
            <w:noWrap/>
            <w:tcMar>
              <w:left w:w="57" w:type="dxa"/>
              <w:right w:w="57" w:type="dxa"/>
            </w:tcMar>
            <w:hideMark/>
          </w:tcPr>
          <w:p w14:paraId="30B0072F" w14:textId="551B1FAE" w:rsidR="00E93868" w:rsidRPr="00FF3E4F" w:rsidRDefault="00E93868" w:rsidP="00DE27F7">
            <w:pPr>
              <w:pStyle w:val="TableBodyTextright"/>
              <w:rPr>
                <w:sz w:val="18"/>
                <w:szCs w:val="18"/>
                <w:lang w:eastAsia="en-AU"/>
              </w:rPr>
            </w:pPr>
            <w:r w:rsidRPr="00FF3E4F">
              <w:rPr>
                <w:sz w:val="18"/>
                <w:szCs w:val="18"/>
                <w:lang w:eastAsia="en-AU"/>
              </w:rPr>
              <w:t xml:space="preserve">917.2 </w:t>
            </w:r>
          </w:p>
        </w:tc>
        <w:tc>
          <w:tcPr>
            <w:tcW w:w="303" w:type="pct"/>
            <w:noWrap/>
            <w:tcMar>
              <w:left w:w="57" w:type="dxa"/>
              <w:right w:w="57" w:type="dxa"/>
            </w:tcMar>
            <w:hideMark/>
          </w:tcPr>
          <w:p w14:paraId="6C105490" w14:textId="1C130892" w:rsidR="00E93868" w:rsidRPr="00FF3E4F" w:rsidRDefault="00E93868" w:rsidP="00DE27F7">
            <w:pPr>
              <w:pStyle w:val="TableBodyTextright"/>
              <w:rPr>
                <w:sz w:val="18"/>
                <w:szCs w:val="18"/>
                <w:lang w:eastAsia="en-AU"/>
              </w:rPr>
            </w:pPr>
            <w:r w:rsidRPr="00FF3E4F">
              <w:rPr>
                <w:sz w:val="18"/>
                <w:szCs w:val="18"/>
                <w:lang w:eastAsia="en-AU"/>
              </w:rPr>
              <w:t>4.9</w:t>
            </w:r>
          </w:p>
        </w:tc>
        <w:tc>
          <w:tcPr>
            <w:tcW w:w="379" w:type="pct"/>
            <w:noWrap/>
            <w:tcMar>
              <w:left w:w="57" w:type="dxa"/>
              <w:right w:w="57" w:type="dxa"/>
            </w:tcMar>
            <w:hideMark/>
          </w:tcPr>
          <w:p w14:paraId="498904E2" w14:textId="24B812F0" w:rsidR="00E93868" w:rsidRPr="00FF3E4F" w:rsidRDefault="00E93868" w:rsidP="00DE27F7">
            <w:pPr>
              <w:pStyle w:val="TableBodyTextright"/>
              <w:rPr>
                <w:sz w:val="18"/>
                <w:szCs w:val="18"/>
                <w:lang w:eastAsia="en-AU"/>
              </w:rPr>
            </w:pPr>
            <w:r w:rsidRPr="00FF3E4F">
              <w:rPr>
                <w:sz w:val="18"/>
                <w:szCs w:val="18"/>
                <w:lang w:eastAsia="en-AU"/>
              </w:rPr>
              <w:t xml:space="preserve">43.0 </w:t>
            </w:r>
          </w:p>
        </w:tc>
        <w:tc>
          <w:tcPr>
            <w:tcW w:w="303" w:type="pct"/>
            <w:noWrap/>
            <w:tcMar>
              <w:left w:w="57" w:type="dxa"/>
              <w:right w:w="57" w:type="dxa"/>
            </w:tcMar>
            <w:hideMark/>
          </w:tcPr>
          <w:p w14:paraId="288D3396" w14:textId="6D80EDB5" w:rsidR="00E93868" w:rsidRPr="00FF3E4F" w:rsidRDefault="00E93868" w:rsidP="00DE27F7">
            <w:pPr>
              <w:pStyle w:val="TableBodyTextright"/>
              <w:rPr>
                <w:sz w:val="18"/>
                <w:szCs w:val="18"/>
                <w:lang w:eastAsia="en-AU"/>
              </w:rPr>
            </w:pPr>
            <w:r w:rsidRPr="00FF3E4F">
              <w:rPr>
                <w:sz w:val="18"/>
                <w:szCs w:val="18"/>
                <w:lang w:eastAsia="en-AU"/>
              </w:rPr>
              <w:t>4.9</w:t>
            </w:r>
          </w:p>
        </w:tc>
        <w:tc>
          <w:tcPr>
            <w:tcW w:w="530" w:type="pct"/>
            <w:noWrap/>
            <w:tcMar>
              <w:left w:w="57" w:type="dxa"/>
              <w:right w:w="57" w:type="dxa"/>
            </w:tcMar>
            <w:hideMark/>
          </w:tcPr>
          <w:p w14:paraId="4C00C108" w14:textId="530B1C95" w:rsidR="00E93868" w:rsidRPr="00FF3E4F" w:rsidRDefault="00E93868" w:rsidP="00DE27F7">
            <w:pPr>
              <w:pStyle w:val="TableBodyTextright"/>
              <w:rPr>
                <w:sz w:val="18"/>
                <w:szCs w:val="18"/>
                <w:lang w:eastAsia="en-AU"/>
              </w:rPr>
            </w:pPr>
            <w:r w:rsidRPr="00FF3E4F">
              <w:rPr>
                <w:sz w:val="18"/>
                <w:szCs w:val="18"/>
                <w:lang w:eastAsia="en-AU"/>
              </w:rPr>
              <w:t xml:space="preserve">976.3 </w:t>
            </w:r>
          </w:p>
        </w:tc>
        <w:tc>
          <w:tcPr>
            <w:tcW w:w="303" w:type="pct"/>
            <w:noWrap/>
            <w:tcMar>
              <w:left w:w="57" w:type="dxa"/>
              <w:right w:w="57" w:type="dxa"/>
            </w:tcMar>
            <w:hideMark/>
          </w:tcPr>
          <w:p w14:paraId="53FA2AF1" w14:textId="052B1F36" w:rsidR="00E93868" w:rsidRPr="00FF3E4F" w:rsidRDefault="00E93868" w:rsidP="00DE27F7">
            <w:pPr>
              <w:pStyle w:val="TableBodyTextright"/>
              <w:rPr>
                <w:sz w:val="18"/>
                <w:szCs w:val="18"/>
                <w:lang w:eastAsia="en-AU"/>
              </w:rPr>
            </w:pPr>
            <w:r w:rsidRPr="00FF3E4F">
              <w:rPr>
                <w:sz w:val="18"/>
                <w:szCs w:val="18"/>
                <w:lang w:eastAsia="en-AU"/>
              </w:rPr>
              <w:t>5.9</w:t>
            </w:r>
          </w:p>
        </w:tc>
        <w:tc>
          <w:tcPr>
            <w:tcW w:w="455" w:type="pct"/>
            <w:noWrap/>
            <w:tcMar>
              <w:left w:w="57" w:type="dxa"/>
              <w:right w:w="57" w:type="dxa"/>
            </w:tcMar>
            <w:hideMark/>
          </w:tcPr>
          <w:p w14:paraId="3F4E53FD" w14:textId="5E7B3F2E" w:rsidR="00E93868" w:rsidRPr="00FF3E4F" w:rsidRDefault="00E93868" w:rsidP="00DE27F7">
            <w:pPr>
              <w:pStyle w:val="TableBodyTextright"/>
              <w:rPr>
                <w:sz w:val="18"/>
                <w:szCs w:val="18"/>
                <w:lang w:eastAsia="en-AU"/>
              </w:rPr>
            </w:pPr>
            <w:r w:rsidRPr="00FF3E4F">
              <w:rPr>
                <w:sz w:val="18"/>
                <w:szCs w:val="18"/>
                <w:lang w:eastAsia="en-AU"/>
              </w:rPr>
              <w:t xml:space="preserve">102.0 </w:t>
            </w:r>
          </w:p>
        </w:tc>
        <w:tc>
          <w:tcPr>
            <w:tcW w:w="306" w:type="pct"/>
            <w:noWrap/>
            <w:tcMar>
              <w:left w:w="57" w:type="dxa"/>
              <w:right w:w="57" w:type="dxa"/>
            </w:tcMar>
            <w:hideMark/>
          </w:tcPr>
          <w:p w14:paraId="3AF8F517" w14:textId="7AD64B10" w:rsidR="00E93868" w:rsidRPr="00FF3E4F" w:rsidRDefault="00E93868" w:rsidP="00DE27F7">
            <w:pPr>
              <w:pStyle w:val="TableBodyTextright"/>
              <w:rPr>
                <w:sz w:val="18"/>
                <w:szCs w:val="18"/>
                <w:lang w:eastAsia="en-AU"/>
              </w:rPr>
            </w:pPr>
            <w:r w:rsidRPr="00FF3E4F">
              <w:rPr>
                <w:sz w:val="18"/>
                <w:szCs w:val="18"/>
                <w:lang w:eastAsia="en-AU"/>
              </w:rPr>
              <w:t>11.7</w:t>
            </w:r>
          </w:p>
        </w:tc>
      </w:tr>
      <w:tr w:rsidR="00C453B6" w:rsidRPr="00FF3E4F" w14:paraId="625526C3" w14:textId="77777777" w:rsidTr="00C453B6">
        <w:trPr>
          <w:cnfStyle w:val="000000010000" w:firstRow="0" w:lastRow="0" w:firstColumn="0" w:lastColumn="0" w:oddVBand="0" w:evenVBand="0" w:oddHBand="0" w:evenHBand="1" w:firstRowFirstColumn="0" w:firstRowLastColumn="0" w:lastRowFirstColumn="0" w:lastRowLastColumn="0"/>
          <w:trHeight w:val="280"/>
        </w:trPr>
        <w:tc>
          <w:tcPr>
            <w:tcW w:w="1056" w:type="pct"/>
            <w:noWrap/>
            <w:tcMar>
              <w:left w:w="57" w:type="dxa"/>
              <w:right w:w="57" w:type="dxa"/>
            </w:tcMar>
            <w:hideMark/>
          </w:tcPr>
          <w:p w14:paraId="3FC9B289" w14:textId="77777777" w:rsidR="00E93868" w:rsidRPr="00FF3E4F" w:rsidRDefault="00E93868" w:rsidP="0065586F">
            <w:pPr>
              <w:pStyle w:val="TableBodyText"/>
              <w:rPr>
                <w:sz w:val="18"/>
                <w:szCs w:val="18"/>
                <w:lang w:eastAsia="en-AU"/>
              </w:rPr>
            </w:pPr>
            <w:r w:rsidRPr="00FF3E4F">
              <w:rPr>
                <w:sz w:val="18"/>
                <w:szCs w:val="18"/>
                <w:lang w:eastAsia="en-AU"/>
              </w:rPr>
              <w:t>Electricity, Gas, Water and Waste Services</w:t>
            </w:r>
          </w:p>
        </w:tc>
        <w:tc>
          <w:tcPr>
            <w:tcW w:w="531" w:type="pct"/>
            <w:noWrap/>
            <w:tcMar>
              <w:left w:w="57" w:type="dxa"/>
              <w:right w:w="57" w:type="dxa"/>
            </w:tcMar>
            <w:hideMark/>
          </w:tcPr>
          <w:p w14:paraId="37D30D68" w14:textId="02D46374" w:rsidR="00E93868" w:rsidRPr="00FF3E4F" w:rsidRDefault="00E93868" w:rsidP="00DE27F7">
            <w:pPr>
              <w:pStyle w:val="TableBodyTextright"/>
              <w:rPr>
                <w:sz w:val="18"/>
                <w:szCs w:val="18"/>
                <w:lang w:eastAsia="en-AU"/>
              </w:rPr>
            </w:pPr>
            <w:r w:rsidRPr="00FF3E4F">
              <w:rPr>
                <w:sz w:val="18"/>
                <w:szCs w:val="18"/>
                <w:lang w:eastAsia="en-AU"/>
              </w:rPr>
              <w:t xml:space="preserve">198.6 </w:t>
            </w:r>
          </w:p>
        </w:tc>
        <w:tc>
          <w:tcPr>
            <w:tcW w:w="304" w:type="pct"/>
            <w:noWrap/>
            <w:tcMar>
              <w:left w:w="57" w:type="dxa"/>
              <w:right w:w="57" w:type="dxa"/>
            </w:tcMar>
            <w:hideMark/>
          </w:tcPr>
          <w:p w14:paraId="36B62E3E" w14:textId="58B723C0" w:rsidR="00E93868" w:rsidRPr="00FF3E4F" w:rsidRDefault="00E93868" w:rsidP="00DE27F7">
            <w:pPr>
              <w:pStyle w:val="TableBodyTextright"/>
              <w:rPr>
                <w:sz w:val="18"/>
                <w:szCs w:val="18"/>
                <w:lang w:eastAsia="en-AU"/>
              </w:rPr>
            </w:pPr>
            <w:r w:rsidRPr="00FF3E4F">
              <w:rPr>
                <w:sz w:val="18"/>
                <w:szCs w:val="18"/>
                <w:lang w:eastAsia="en-AU"/>
              </w:rPr>
              <w:t>1.4</w:t>
            </w:r>
          </w:p>
        </w:tc>
        <w:tc>
          <w:tcPr>
            <w:tcW w:w="530" w:type="pct"/>
            <w:noWrap/>
            <w:tcMar>
              <w:left w:w="57" w:type="dxa"/>
              <w:right w:w="57" w:type="dxa"/>
            </w:tcMar>
            <w:hideMark/>
          </w:tcPr>
          <w:p w14:paraId="0618C3BD" w14:textId="30B707F6" w:rsidR="00E93868" w:rsidRPr="00FF3E4F" w:rsidRDefault="00E93868" w:rsidP="00DE27F7">
            <w:pPr>
              <w:pStyle w:val="TableBodyTextright"/>
              <w:rPr>
                <w:sz w:val="18"/>
                <w:szCs w:val="18"/>
                <w:lang w:eastAsia="en-AU"/>
              </w:rPr>
            </w:pPr>
            <w:r w:rsidRPr="00FF3E4F">
              <w:rPr>
                <w:sz w:val="18"/>
                <w:szCs w:val="18"/>
                <w:lang w:eastAsia="en-AU"/>
              </w:rPr>
              <w:t xml:space="preserve">210.4 </w:t>
            </w:r>
          </w:p>
        </w:tc>
        <w:tc>
          <w:tcPr>
            <w:tcW w:w="303" w:type="pct"/>
            <w:noWrap/>
            <w:tcMar>
              <w:left w:w="57" w:type="dxa"/>
              <w:right w:w="57" w:type="dxa"/>
            </w:tcMar>
            <w:hideMark/>
          </w:tcPr>
          <w:p w14:paraId="7F19DA83" w14:textId="56DA8F40" w:rsidR="00E93868" w:rsidRPr="00FF3E4F" w:rsidRDefault="00E93868" w:rsidP="00DE27F7">
            <w:pPr>
              <w:pStyle w:val="TableBodyTextright"/>
              <w:rPr>
                <w:sz w:val="18"/>
                <w:szCs w:val="18"/>
                <w:lang w:eastAsia="en-AU"/>
              </w:rPr>
            </w:pPr>
            <w:r w:rsidRPr="00FF3E4F">
              <w:rPr>
                <w:sz w:val="18"/>
                <w:szCs w:val="18"/>
                <w:lang w:eastAsia="en-AU"/>
              </w:rPr>
              <w:t>6.0</w:t>
            </w:r>
          </w:p>
        </w:tc>
        <w:tc>
          <w:tcPr>
            <w:tcW w:w="379" w:type="pct"/>
            <w:noWrap/>
            <w:tcMar>
              <w:left w:w="57" w:type="dxa"/>
              <w:right w:w="57" w:type="dxa"/>
            </w:tcMar>
            <w:hideMark/>
          </w:tcPr>
          <w:p w14:paraId="1DE0BDEA" w14:textId="0129B025" w:rsidR="00E93868" w:rsidRPr="00FF3E4F" w:rsidRDefault="00E93868" w:rsidP="00DE27F7">
            <w:pPr>
              <w:pStyle w:val="TableBodyTextright"/>
              <w:rPr>
                <w:sz w:val="18"/>
                <w:szCs w:val="18"/>
                <w:lang w:eastAsia="en-AU"/>
              </w:rPr>
            </w:pPr>
            <w:r w:rsidRPr="00FF3E4F">
              <w:rPr>
                <w:sz w:val="18"/>
                <w:szCs w:val="18"/>
                <w:lang w:eastAsia="en-AU"/>
              </w:rPr>
              <w:t xml:space="preserve">11.8 </w:t>
            </w:r>
          </w:p>
        </w:tc>
        <w:tc>
          <w:tcPr>
            <w:tcW w:w="303" w:type="pct"/>
            <w:noWrap/>
            <w:tcMar>
              <w:left w:w="57" w:type="dxa"/>
              <w:right w:w="57" w:type="dxa"/>
            </w:tcMar>
            <w:hideMark/>
          </w:tcPr>
          <w:p w14:paraId="51E28A41" w14:textId="4DB112E4" w:rsidR="00E93868" w:rsidRPr="00FF3E4F" w:rsidRDefault="00E93868" w:rsidP="00DE27F7">
            <w:pPr>
              <w:pStyle w:val="TableBodyTextright"/>
              <w:rPr>
                <w:sz w:val="18"/>
                <w:szCs w:val="18"/>
                <w:lang w:eastAsia="en-AU"/>
              </w:rPr>
            </w:pPr>
            <w:r w:rsidRPr="00FF3E4F">
              <w:rPr>
                <w:sz w:val="18"/>
                <w:szCs w:val="18"/>
                <w:lang w:eastAsia="en-AU"/>
              </w:rPr>
              <w:t>6.0</w:t>
            </w:r>
          </w:p>
        </w:tc>
        <w:tc>
          <w:tcPr>
            <w:tcW w:w="530" w:type="pct"/>
            <w:noWrap/>
            <w:tcMar>
              <w:left w:w="57" w:type="dxa"/>
              <w:right w:w="57" w:type="dxa"/>
            </w:tcMar>
            <w:hideMark/>
          </w:tcPr>
          <w:p w14:paraId="7ADECE0E" w14:textId="425B0CB3" w:rsidR="00E93868" w:rsidRPr="00FF3E4F" w:rsidRDefault="00E93868" w:rsidP="00DE27F7">
            <w:pPr>
              <w:pStyle w:val="TableBodyTextright"/>
              <w:rPr>
                <w:sz w:val="18"/>
                <w:szCs w:val="18"/>
                <w:lang w:eastAsia="en-AU"/>
              </w:rPr>
            </w:pPr>
            <w:r w:rsidRPr="00FF3E4F">
              <w:rPr>
                <w:sz w:val="18"/>
                <w:szCs w:val="18"/>
                <w:lang w:eastAsia="en-AU"/>
              </w:rPr>
              <w:t xml:space="preserve">222.6 </w:t>
            </w:r>
          </w:p>
        </w:tc>
        <w:tc>
          <w:tcPr>
            <w:tcW w:w="303" w:type="pct"/>
            <w:noWrap/>
            <w:tcMar>
              <w:left w:w="57" w:type="dxa"/>
              <w:right w:w="57" w:type="dxa"/>
            </w:tcMar>
            <w:hideMark/>
          </w:tcPr>
          <w:p w14:paraId="5093E53F" w14:textId="35C9F686" w:rsidR="00E93868" w:rsidRPr="00FF3E4F" w:rsidRDefault="00E93868" w:rsidP="00DE27F7">
            <w:pPr>
              <w:pStyle w:val="TableBodyTextright"/>
              <w:rPr>
                <w:sz w:val="18"/>
                <w:szCs w:val="18"/>
                <w:lang w:eastAsia="en-AU"/>
              </w:rPr>
            </w:pPr>
            <w:r w:rsidRPr="00FF3E4F">
              <w:rPr>
                <w:sz w:val="18"/>
                <w:szCs w:val="18"/>
                <w:lang w:eastAsia="en-AU"/>
              </w:rPr>
              <w:t>1.3</w:t>
            </w:r>
          </w:p>
        </w:tc>
        <w:tc>
          <w:tcPr>
            <w:tcW w:w="455" w:type="pct"/>
            <w:noWrap/>
            <w:tcMar>
              <w:left w:w="57" w:type="dxa"/>
              <w:right w:w="57" w:type="dxa"/>
            </w:tcMar>
            <w:hideMark/>
          </w:tcPr>
          <w:p w14:paraId="54CE8CF5" w14:textId="37D9FEAB" w:rsidR="00E93868" w:rsidRPr="00FF3E4F" w:rsidRDefault="00E93868" w:rsidP="00DE27F7">
            <w:pPr>
              <w:pStyle w:val="TableBodyTextright"/>
              <w:rPr>
                <w:sz w:val="18"/>
                <w:szCs w:val="18"/>
                <w:lang w:eastAsia="en-AU"/>
              </w:rPr>
            </w:pPr>
            <w:r w:rsidRPr="00FF3E4F">
              <w:rPr>
                <w:sz w:val="18"/>
                <w:szCs w:val="18"/>
                <w:lang w:eastAsia="en-AU"/>
              </w:rPr>
              <w:t xml:space="preserve">24.0 </w:t>
            </w:r>
          </w:p>
        </w:tc>
        <w:tc>
          <w:tcPr>
            <w:tcW w:w="306" w:type="pct"/>
            <w:noWrap/>
            <w:tcMar>
              <w:left w:w="57" w:type="dxa"/>
              <w:right w:w="57" w:type="dxa"/>
            </w:tcMar>
            <w:hideMark/>
          </w:tcPr>
          <w:p w14:paraId="13028280" w14:textId="59BD36B2" w:rsidR="00E93868" w:rsidRPr="00FF3E4F" w:rsidRDefault="00E93868" w:rsidP="00DE27F7">
            <w:pPr>
              <w:pStyle w:val="TableBodyTextright"/>
              <w:rPr>
                <w:sz w:val="18"/>
                <w:szCs w:val="18"/>
                <w:lang w:eastAsia="en-AU"/>
              </w:rPr>
            </w:pPr>
            <w:r w:rsidRPr="00FF3E4F">
              <w:rPr>
                <w:sz w:val="18"/>
                <w:szCs w:val="18"/>
                <w:lang w:eastAsia="en-AU"/>
              </w:rPr>
              <w:t>12.1</w:t>
            </w:r>
          </w:p>
        </w:tc>
      </w:tr>
      <w:tr w:rsidR="00C453B6" w:rsidRPr="00FF3E4F" w14:paraId="753776C9" w14:textId="77777777" w:rsidTr="00C453B6">
        <w:trPr>
          <w:trHeight w:val="280"/>
        </w:trPr>
        <w:tc>
          <w:tcPr>
            <w:tcW w:w="1056" w:type="pct"/>
            <w:noWrap/>
            <w:tcMar>
              <w:left w:w="57" w:type="dxa"/>
              <w:right w:w="57" w:type="dxa"/>
            </w:tcMar>
            <w:hideMark/>
          </w:tcPr>
          <w:p w14:paraId="77BD04DE" w14:textId="77777777" w:rsidR="00E93868" w:rsidRPr="00FF3E4F" w:rsidRDefault="00E93868" w:rsidP="0065586F">
            <w:pPr>
              <w:pStyle w:val="TableBodyText"/>
              <w:rPr>
                <w:sz w:val="18"/>
                <w:szCs w:val="18"/>
                <w:lang w:eastAsia="en-AU"/>
              </w:rPr>
            </w:pPr>
            <w:r w:rsidRPr="00FF3E4F">
              <w:rPr>
                <w:sz w:val="18"/>
                <w:szCs w:val="18"/>
                <w:lang w:eastAsia="en-AU"/>
              </w:rPr>
              <w:t>Construction</w:t>
            </w:r>
          </w:p>
        </w:tc>
        <w:tc>
          <w:tcPr>
            <w:tcW w:w="531" w:type="pct"/>
            <w:noWrap/>
            <w:tcMar>
              <w:left w:w="57" w:type="dxa"/>
              <w:right w:w="57" w:type="dxa"/>
            </w:tcMar>
            <w:hideMark/>
          </w:tcPr>
          <w:p w14:paraId="2970A66C" w14:textId="6A894AC0" w:rsidR="00E93868" w:rsidRPr="00FF3E4F" w:rsidRDefault="00E93868" w:rsidP="00DE27F7">
            <w:pPr>
              <w:pStyle w:val="TableBodyTextright"/>
              <w:rPr>
                <w:sz w:val="18"/>
                <w:szCs w:val="18"/>
                <w:lang w:eastAsia="en-AU"/>
              </w:rPr>
            </w:pPr>
            <w:r w:rsidRPr="00FF3E4F">
              <w:rPr>
                <w:sz w:val="18"/>
                <w:szCs w:val="18"/>
                <w:lang w:eastAsia="en-AU"/>
              </w:rPr>
              <w:t xml:space="preserve">1,348.0 </w:t>
            </w:r>
          </w:p>
        </w:tc>
        <w:tc>
          <w:tcPr>
            <w:tcW w:w="304" w:type="pct"/>
            <w:noWrap/>
            <w:tcMar>
              <w:left w:w="57" w:type="dxa"/>
              <w:right w:w="57" w:type="dxa"/>
            </w:tcMar>
            <w:hideMark/>
          </w:tcPr>
          <w:p w14:paraId="61AD34C1" w14:textId="743B2E9D" w:rsidR="00E93868" w:rsidRPr="00FF3E4F" w:rsidRDefault="00E93868" w:rsidP="00DE27F7">
            <w:pPr>
              <w:pStyle w:val="TableBodyTextright"/>
              <w:rPr>
                <w:sz w:val="18"/>
                <w:szCs w:val="18"/>
                <w:lang w:eastAsia="en-AU"/>
              </w:rPr>
            </w:pPr>
            <w:r w:rsidRPr="00FF3E4F">
              <w:rPr>
                <w:sz w:val="18"/>
                <w:szCs w:val="18"/>
                <w:lang w:eastAsia="en-AU"/>
              </w:rPr>
              <w:t>9.2</w:t>
            </w:r>
          </w:p>
        </w:tc>
        <w:tc>
          <w:tcPr>
            <w:tcW w:w="530" w:type="pct"/>
            <w:noWrap/>
            <w:tcMar>
              <w:left w:w="57" w:type="dxa"/>
              <w:right w:w="57" w:type="dxa"/>
            </w:tcMar>
            <w:hideMark/>
          </w:tcPr>
          <w:p w14:paraId="4CCDC0CE" w14:textId="17F4738E" w:rsidR="00E93868" w:rsidRPr="00FF3E4F" w:rsidRDefault="00E93868" w:rsidP="00DE27F7">
            <w:pPr>
              <w:pStyle w:val="TableBodyTextright"/>
              <w:rPr>
                <w:sz w:val="18"/>
                <w:szCs w:val="18"/>
                <w:lang w:eastAsia="en-AU"/>
              </w:rPr>
            </w:pPr>
            <w:r w:rsidRPr="00FF3E4F">
              <w:rPr>
                <w:sz w:val="18"/>
                <w:szCs w:val="18"/>
                <w:lang w:eastAsia="en-AU"/>
              </w:rPr>
              <w:t xml:space="preserve">1,441.5 </w:t>
            </w:r>
          </w:p>
        </w:tc>
        <w:tc>
          <w:tcPr>
            <w:tcW w:w="303" w:type="pct"/>
            <w:noWrap/>
            <w:tcMar>
              <w:left w:w="57" w:type="dxa"/>
              <w:right w:w="57" w:type="dxa"/>
            </w:tcMar>
            <w:hideMark/>
          </w:tcPr>
          <w:p w14:paraId="0C6A7FDF" w14:textId="25951C32" w:rsidR="00E93868" w:rsidRPr="00FF3E4F" w:rsidRDefault="00E93868" w:rsidP="00DE27F7">
            <w:pPr>
              <w:pStyle w:val="TableBodyTextright"/>
              <w:rPr>
                <w:sz w:val="18"/>
                <w:szCs w:val="18"/>
                <w:lang w:eastAsia="en-AU"/>
              </w:rPr>
            </w:pPr>
            <w:r w:rsidRPr="00FF3E4F">
              <w:rPr>
                <w:sz w:val="18"/>
                <w:szCs w:val="18"/>
                <w:lang w:eastAsia="en-AU"/>
              </w:rPr>
              <w:t>6.9</w:t>
            </w:r>
          </w:p>
        </w:tc>
        <w:tc>
          <w:tcPr>
            <w:tcW w:w="379" w:type="pct"/>
            <w:noWrap/>
            <w:tcMar>
              <w:left w:w="57" w:type="dxa"/>
              <w:right w:w="57" w:type="dxa"/>
            </w:tcMar>
            <w:hideMark/>
          </w:tcPr>
          <w:p w14:paraId="6CB84A1A" w14:textId="18D7BE5C" w:rsidR="00E93868" w:rsidRPr="00FF3E4F" w:rsidRDefault="00E93868" w:rsidP="00DE27F7">
            <w:pPr>
              <w:pStyle w:val="TableBodyTextright"/>
              <w:rPr>
                <w:sz w:val="18"/>
                <w:szCs w:val="18"/>
                <w:lang w:eastAsia="en-AU"/>
              </w:rPr>
            </w:pPr>
            <w:r w:rsidRPr="00FF3E4F">
              <w:rPr>
                <w:sz w:val="18"/>
                <w:szCs w:val="18"/>
                <w:lang w:eastAsia="en-AU"/>
              </w:rPr>
              <w:t xml:space="preserve">93.5 </w:t>
            </w:r>
          </w:p>
        </w:tc>
        <w:tc>
          <w:tcPr>
            <w:tcW w:w="303" w:type="pct"/>
            <w:noWrap/>
            <w:tcMar>
              <w:left w:w="57" w:type="dxa"/>
              <w:right w:w="57" w:type="dxa"/>
            </w:tcMar>
            <w:hideMark/>
          </w:tcPr>
          <w:p w14:paraId="74FFBB35" w14:textId="1D717B7E" w:rsidR="00E93868" w:rsidRPr="00FF3E4F" w:rsidRDefault="00E93868" w:rsidP="00DE27F7">
            <w:pPr>
              <w:pStyle w:val="TableBodyTextright"/>
              <w:rPr>
                <w:sz w:val="18"/>
                <w:szCs w:val="18"/>
                <w:lang w:eastAsia="en-AU"/>
              </w:rPr>
            </w:pPr>
            <w:r w:rsidRPr="00FF3E4F">
              <w:rPr>
                <w:sz w:val="18"/>
                <w:szCs w:val="18"/>
                <w:lang w:eastAsia="en-AU"/>
              </w:rPr>
              <w:t>6.9</w:t>
            </w:r>
          </w:p>
        </w:tc>
        <w:tc>
          <w:tcPr>
            <w:tcW w:w="530" w:type="pct"/>
            <w:noWrap/>
            <w:tcMar>
              <w:left w:w="57" w:type="dxa"/>
              <w:right w:w="57" w:type="dxa"/>
            </w:tcMar>
            <w:hideMark/>
          </w:tcPr>
          <w:p w14:paraId="11BDD286" w14:textId="229F21E8" w:rsidR="00E93868" w:rsidRPr="00FF3E4F" w:rsidRDefault="00E93868" w:rsidP="00DE27F7">
            <w:pPr>
              <w:pStyle w:val="TableBodyTextright"/>
              <w:rPr>
                <w:sz w:val="18"/>
                <w:szCs w:val="18"/>
                <w:lang w:eastAsia="en-AU"/>
              </w:rPr>
            </w:pPr>
            <w:r w:rsidRPr="00FF3E4F">
              <w:rPr>
                <w:sz w:val="18"/>
                <w:szCs w:val="18"/>
                <w:lang w:eastAsia="en-AU"/>
              </w:rPr>
              <w:t xml:space="preserve">1,508.9 </w:t>
            </w:r>
          </w:p>
        </w:tc>
        <w:tc>
          <w:tcPr>
            <w:tcW w:w="303" w:type="pct"/>
            <w:noWrap/>
            <w:tcMar>
              <w:left w:w="57" w:type="dxa"/>
              <w:right w:w="57" w:type="dxa"/>
            </w:tcMar>
            <w:hideMark/>
          </w:tcPr>
          <w:p w14:paraId="3A42124E" w14:textId="1F7F0D48" w:rsidR="00E93868" w:rsidRPr="00FF3E4F" w:rsidRDefault="00E93868" w:rsidP="00DE27F7">
            <w:pPr>
              <w:pStyle w:val="TableBodyTextright"/>
              <w:rPr>
                <w:sz w:val="18"/>
                <w:szCs w:val="18"/>
                <w:lang w:eastAsia="en-AU"/>
              </w:rPr>
            </w:pPr>
            <w:r w:rsidRPr="00FF3E4F">
              <w:rPr>
                <w:sz w:val="18"/>
                <w:szCs w:val="18"/>
                <w:lang w:eastAsia="en-AU"/>
              </w:rPr>
              <w:t>9.1</w:t>
            </w:r>
          </w:p>
        </w:tc>
        <w:tc>
          <w:tcPr>
            <w:tcW w:w="455" w:type="pct"/>
            <w:noWrap/>
            <w:tcMar>
              <w:left w:w="57" w:type="dxa"/>
              <w:right w:w="57" w:type="dxa"/>
            </w:tcMar>
            <w:hideMark/>
          </w:tcPr>
          <w:p w14:paraId="13C519F3" w14:textId="325A6533" w:rsidR="00E93868" w:rsidRPr="00FF3E4F" w:rsidRDefault="00E93868" w:rsidP="00DE27F7">
            <w:pPr>
              <w:pStyle w:val="TableBodyTextright"/>
              <w:rPr>
                <w:sz w:val="18"/>
                <w:szCs w:val="18"/>
                <w:lang w:eastAsia="en-AU"/>
              </w:rPr>
            </w:pPr>
            <w:r w:rsidRPr="00FF3E4F">
              <w:rPr>
                <w:sz w:val="18"/>
                <w:szCs w:val="18"/>
                <w:lang w:eastAsia="en-AU"/>
              </w:rPr>
              <w:t xml:space="preserve">160.9 </w:t>
            </w:r>
          </w:p>
        </w:tc>
        <w:tc>
          <w:tcPr>
            <w:tcW w:w="306" w:type="pct"/>
            <w:noWrap/>
            <w:tcMar>
              <w:left w:w="57" w:type="dxa"/>
              <w:right w:w="57" w:type="dxa"/>
            </w:tcMar>
            <w:hideMark/>
          </w:tcPr>
          <w:p w14:paraId="0B812A11" w14:textId="48E3D90B" w:rsidR="00E93868" w:rsidRPr="00FF3E4F" w:rsidRDefault="00E93868" w:rsidP="00DE27F7">
            <w:pPr>
              <w:pStyle w:val="TableBodyTextright"/>
              <w:rPr>
                <w:sz w:val="18"/>
                <w:szCs w:val="18"/>
                <w:lang w:eastAsia="en-AU"/>
              </w:rPr>
            </w:pPr>
            <w:r w:rsidRPr="00FF3E4F">
              <w:rPr>
                <w:sz w:val="18"/>
                <w:szCs w:val="18"/>
                <w:lang w:eastAsia="en-AU"/>
              </w:rPr>
              <w:t>11.9</w:t>
            </w:r>
          </w:p>
        </w:tc>
      </w:tr>
      <w:tr w:rsidR="00C453B6" w:rsidRPr="00FF3E4F" w14:paraId="64C7512C" w14:textId="77777777" w:rsidTr="00C453B6">
        <w:trPr>
          <w:cnfStyle w:val="000000010000" w:firstRow="0" w:lastRow="0" w:firstColumn="0" w:lastColumn="0" w:oddVBand="0" w:evenVBand="0" w:oddHBand="0" w:evenHBand="1" w:firstRowFirstColumn="0" w:firstRowLastColumn="0" w:lastRowFirstColumn="0" w:lastRowLastColumn="0"/>
          <w:trHeight w:val="280"/>
        </w:trPr>
        <w:tc>
          <w:tcPr>
            <w:tcW w:w="1056" w:type="pct"/>
            <w:noWrap/>
            <w:tcMar>
              <w:left w:w="57" w:type="dxa"/>
              <w:right w:w="57" w:type="dxa"/>
            </w:tcMar>
            <w:hideMark/>
          </w:tcPr>
          <w:p w14:paraId="6BD4E817" w14:textId="77777777" w:rsidR="00E93868" w:rsidRPr="00FF3E4F" w:rsidRDefault="00E93868" w:rsidP="0065586F">
            <w:pPr>
              <w:pStyle w:val="TableBodyText"/>
              <w:rPr>
                <w:sz w:val="18"/>
                <w:szCs w:val="18"/>
                <w:lang w:eastAsia="en-AU"/>
              </w:rPr>
            </w:pPr>
            <w:r w:rsidRPr="00FF3E4F">
              <w:rPr>
                <w:sz w:val="18"/>
                <w:szCs w:val="18"/>
                <w:lang w:eastAsia="en-AU"/>
              </w:rPr>
              <w:t>Wholesale Trade</w:t>
            </w:r>
          </w:p>
        </w:tc>
        <w:tc>
          <w:tcPr>
            <w:tcW w:w="531" w:type="pct"/>
            <w:noWrap/>
            <w:tcMar>
              <w:left w:w="57" w:type="dxa"/>
              <w:right w:w="57" w:type="dxa"/>
            </w:tcMar>
            <w:hideMark/>
          </w:tcPr>
          <w:p w14:paraId="61D8A9EC" w14:textId="1097F8A2" w:rsidR="00E93868" w:rsidRPr="00FF3E4F" w:rsidRDefault="00E93868" w:rsidP="00DE27F7">
            <w:pPr>
              <w:pStyle w:val="TableBodyTextright"/>
              <w:rPr>
                <w:sz w:val="18"/>
                <w:szCs w:val="18"/>
                <w:lang w:eastAsia="en-AU"/>
              </w:rPr>
            </w:pPr>
            <w:r w:rsidRPr="00FF3E4F">
              <w:rPr>
                <w:sz w:val="18"/>
                <w:szCs w:val="18"/>
                <w:lang w:eastAsia="en-AU"/>
              </w:rPr>
              <w:t xml:space="preserve">359.5 </w:t>
            </w:r>
          </w:p>
        </w:tc>
        <w:tc>
          <w:tcPr>
            <w:tcW w:w="304" w:type="pct"/>
            <w:noWrap/>
            <w:tcMar>
              <w:left w:w="57" w:type="dxa"/>
              <w:right w:w="57" w:type="dxa"/>
            </w:tcMar>
            <w:hideMark/>
          </w:tcPr>
          <w:p w14:paraId="4FFBAE68" w14:textId="129D7F9E" w:rsidR="00E93868" w:rsidRPr="00FF3E4F" w:rsidRDefault="00E93868" w:rsidP="00DE27F7">
            <w:pPr>
              <w:pStyle w:val="TableBodyTextright"/>
              <w:rPr>
                <w:sz w:val="18"/>
                <w:szCs w:val="18"/>
                <w:lang w:eastAsia="en-AU"/>
              </w:rPr>
            </w:pPr>
            <w:r w:rsidRPr="00FF3E4F">
              <w:rPr>
                <w:sz w:val="18"/>
                <w:szCs w:val="18"/>
                <w:lang w:eastAsia="en-AU"/>
              </w:rPr>
              <w:t>2.4</w:t>
            </w:r>
          </w:p>
        </w:tc>
        <w:tc>
          <w:tcPr>
            <w:tcW w:w="530" w:type="pct"/>
            <w:noWrap/>
            <w:tcMar>
              <w:left w:w="57" w:type="dxa"/>
              <w:right w:w="57" w:type="dxa"/>
            </w:tcMar>
            <w:hideMark/>
          </w:tcPr>
          <w:p w14:paraId="055EA64C" w14:textId="36028885" w:rsidR="00E93868" w:rsidRPr="00FF3E4F" w:rsidRDefault="00E93868" w:rsidP="00DE27F7">
            <w:pPr>
              <w:pStyle w:val="TableBodyTextright"/>
              <w:rPr>
                <w:sz w:val="18"/>
                <w:szCs w:val="18"/>
                <w:lang w:eastAsia="en-AU"/>
              </w:rPr>
            </w:pPr>
            <w:r w:rsidRPr="00FF3E4F">
              <w:rPr>
                <w:sz w:val="18"/>
                <w:szCs w:val="18"/>
                <w:lang w:eastAsia="en-AU"/>
              </w:rPr>
              <w:t xml:space="preserve">381.3 </w:t>
            </w:r>
          </w:p>
        </w:tc>
        <w:tc>
          <w:tcPr>
            <w:tcW w:w="303" w:type="pct"/>
            <w:noWrap/>
            <w:tcMar>
              <w:left w:w="57" w:type="dxa"/>
              <w:right w:w="57" w:type="dxa"/>
            </w:tcMar>
            <w:hideMark/>
          </w:tcPr>
          <w:p w14:paraId="1B1E7546" w14:textId="4C5F9FA6" w:rsidR="00E93868" w:rsidRPr="00FF3E4F" w:rsidRDefault="00E93868" w:rsidP="00DE27F7">
            <w:pPr>
              <w:pStyle w:val="TableBodyTextright"/>
              <w:rPr>
                <w:sz w:val="18"/>
                <w:szCs w:val="18"/>
                <w:lang w:eastAsia="en-AU"/>
              </w:rPr>
            </w:pPr>
            <w:r w:rsidRPr="00FF3E4F">
              <w:rPr>
                <w:sz w:val="18"/>
                <w:szCs w:val="18"/>
                <w:lang w:eastAsia="en-AU"/>
              </w:rPr>
              <w:t>6.1</w:t>
            </w:r>
          </w:p>
        </w:tc>
        <w:tc>
          <w:tcPr>
            <w:tcW w:w="379" w:type="pct"/>
            <w:noWrap/>
            <w:tcMar>
              <w:left w:w="57" w:type="dxa"/>
              <w:right w:w="57" w:type="dxa"/>
            </w:tcMar>
            <w:hideMark/>
          </w:tcPr>
          <w:p w14:paraId="7A85B2BA" w14:textId="2A0AFB26" w:rsidR="00E93868" w:rsidRPr="00FF3E4F" w:rsidRDefault="00E93868" w:rsidP="00DE27F7">
            <w:pPr>
              <w:pStyle w:val="TableBodyTextright"/>
              <w:rPr>
                <w:sz w:val="18"/>
                <w:szCs w:val="18"/>
                <w:lang w:eastAsia="en-AU"/>
              </w:rPr>
            </w:pPr>
            <w:r w:rsidRPr="00FF3E4F">
              <w:rPr>
                <w:sz w:val="18"/>
                <w:szCs w:val="18"/>
                <w:lang w:eastAsia="en-AU"/>
              </w:rPr>
              <w:t xml:space="preserve">21.8 </w:t>
            </w:r>
          </w:p>
        </w:tc>
        <w:tc>
          <w:tcPr>
            <w:tcW w:w="303" w:type="pct"/>
            <w:noWrap/>
            <w:tcMar>
              <w:left w:w="57" w:type="dxa"/>
              <w:right w:w="57" w:type="dxa"/>
            </w:tcMar>
            <w:hideMark/>
          </w:tcPr>
          <w:p w14:paraId="76268187" w14:textId="51262736" w:rsidR="00E93868" w:rsidRPr="00FF3E4F" w:rsidRDefault="00E93868" w:rsidP="00DE27F7">
            <w:pPr>
              <w:pStyle w:val="TableBodyTextright"/>
              <w:rPr>
                <w:sz w:val="18"/>
                <w:szCs w:val="18"/>
                <w:lang w:eastAsia="en-AU"/>
              </w:rPr>
            </w:pPr>
            <w:r w:rsidRPr="00FF3E4F">
              <w:rPr>
                <w:sz w:val="18"/>
                <w:szCs w:val="18"/>
                <w:lang w:eastAsia="en-AU"/>
              </w:rPr>
              <w:t>6.1</w:t>
            </w:r>
          </w:p>
        </w:tc>
        <w:tc>
          <w:tcPr>
            <w:tcW w:w="530" w:type="pct"/>
            <w:noWrap/>
            <w:tcMar>
              <w:left w:w="57" w:type="dxa"/>
              <w:right w:w="57" w:type="dxa"/>
            </w:tcMar>
            <w:hideMark/>
          </w:tcPr>
          <w:p w14:paraId="3E4410E7" w14:textId="07CF85C4" w:rsidR="00E93868" w:rsidRPr="00FF3E4F" w:rsidRDefault="00E93868" w:rsidP="00DE27F7">
            <w:pPr>
              <w:pStyle w:val="TableBodyTextright"/>
              <w:rPr>
                <w:sz w:val="18"/>
                <w:szCs w:val="18"/>
                <w:lang w:eastAsia="en-AU"/>
              </w:rPr>
            </w:pPr>
            <w:r w:rsidRPr="00FF3E4F">
              <w:rPr>
                <w:sz w:val="18"/>
                <w:szCs w:val="18"/>
                <w:lang w:eastAsia="en-AU"/>
              </w:rPr>
              <w:t xml:space="preserve">406.6 </w:t>
            </w:r>
          </w:p>
        </w:tc>
        <w:tc>
          <w:tcPr>
            <w:tcW w:w="303" w:type="pct"/>
            <w:noWrap/>
            <w:tcMar>
              <w:left w:w="57" w:type="dxa"/>
              <w:right w:w="57" w:type="dxa"/>
            </w:tcMar>
            <w:hideMark/>
          </w:tcPr>
          <w:p w14:paraId="5449474E" w14:textId="41931D7D" w:rsidR="00E93868" w:rsidRPr="00FF3E4F" w:rsidRDefault="00E93868" w:rsidP="00DE27F7">
            <w:pPr>
              <w:pStyle w:val="TableBodyTextright"/>
              <w:rPr>
                <w:sz w:val="18"/>
                <w:szCs w:val="18"/>
                <w:lang w:eastAsia="en-AU"/>
              </w:rPr>
            </w:pPr>
            <w:r w:rsidRPr="00FF3E4F">
              <w:rPr>
                <w:sz w:val="18"/>
                <w:szCs w:val="18"/>
                <w:lang w:eastAsia="en-AU"/>
              </w:rPr>
              <w:t>2.4</w:t>
            </w:r>
          </w:p>
        </w:tc>
        <w:tc>
          <w:tcPr>
            <w:tcW w:w="455" w:type="pct"/>
            <w:noWrap/>
            <w:tcMar>
              <w:left w:w="57" w:type="dxa"/>
              <w:right w:w="57" w:type="dxa"/>
            </w:tcMar>
            <w:hideMark/>
          </w:tcPr>
          <w:p w14:paraId="1A416FED" w14:textId="730340DD" w:rsidR="00E93868" w:rsidRPr="00FF3E4F" w:rsidRDefault="00E93868" w:rsidP="00DE27F7">
            <w:pPr>
              <w:pStyle w:val="TableBodyTextright"/>
              <w:rPr>
                <w:sz w:val="18"/>
                <w:szCs w:val="18"/>
                <w:lang w:eastAsia="en-AU"/>
              </w:rPr>
            </w:pPr>
            <w:r w:rsidRPr="00FF3E4F">
              <w:rPr>
                <w:sz w:val="18"/>
                <w:szCs w:val="18"/>
                <w:lang w:eastAsia="en-AU"/>
              </w:rPr>
              <w:t xml:space="preserve">47.1 </w:t>
            </w:r>
          </w:p>
        </w:tc>
        <w:tc>
          <w:tcPr>
            <w:tcW w:w="306" w:type="pct"/>
            <w:noWrap/>
            <w:tcMar>
              <w:left w:w="57" w:type="dxa"/>
              <w:right w:w="57" w:type="dxa"/>
            </w:tcMar>
            <w:hideMark/>
          </w:tcPr>
          <w:p w14:paraId="5B6FA2D9" w14:textId="60876D81" w:rsidR="00E93868" w:rsidRPr="00FF3E4F" w:rsidRDefault="00E93868" w:rsidP="00DE27F7">
            <w:pPr>
              <w:pStyle w:val="TableBodyTextright"/>
              <w:rPr>
                <w:sz w:val="18"/>
                <w:szCs w:val="18"/>
                <w:lang w:eastAsia="en-AU"/>
              </w:rPr>
            </w:pPr>
            <w:r w:rsidRPr="00FF3E4F">
              <w:rPr>
                <w:sz w:val="18"/>
                <w:szCs w:val="18"/>
                <w:lang w:eastAsia="en-AU"/>
              </w:rPr>
              <w:t>13.1</w:t>
            </w:r>
          </w:p>
        </w:tc>
      </w:tr>
      <w:tr w:rsidR="00C453B6" w:rsidRPr="00FF3E4F" w14:paraId="690D3684" w14:textId="77777777" w:rsidTr="00C453B6">
        <w:trPr>
          <w:trHeight w:val="280"/>
        </w:trPr>
        <w:tc>
          <w:tcPr>
            <w:tcW w:w="1056" w:type="pct"/>
            <w:noWrap/>
            <w:tcMar>
              <w:left w:w="57" w:type="dxa"/>
              <w:right w:w="57" w:type="dxa"/>
            </w:tcMar>
            <w:hideMark/>
          </w:tcPr>
          <w:p w14:paraId="4D81E5DE" w14:textId="77777777" w:rsidR="00E93868" w:rsidRPr="00FF3E4F" w:rsidRDefault="00E93868" w:rsidP="0065586F">
            <w:pPr>
              <w:pStyle w:val="TableBodyText"/>
              <w:rPr>
                <w:sz w:val="18"/>
                <w:szCs w:val="18"/>
                <w:lang w:eastAsia="en-AU"/>
              </w:rPr>
            </w:pPr>
            <w:r w:rsidRPr="00FF3E4F">
              <w:rPr>
                <w:sz w:val="18"/>
                <w:szCs w:val="18"/>
                <w:lang w:eastAsia="en-AU"/>
              </w:rPr>
              <w:t>Retail trade</w:t>
            </w:r>
          </w:p>
        </w:tc>
        <w:tc>
          <w:tcPr>
            <w:tcW w:w="531" w:type="pct"/>
            <w:noWrap/>
            <w:tcMar>
              <w:left w:w="57" w:type="dxa"/>
              <w:right w:w="57" w:type="dxa"/>
            </w:tcMar>
            <w:hideMark/>
          </w:tcPr>
          <w:p w14:paraId="0B5C4A2C" w14:textId="1BA0980D" w:rsidR="00E93868" w:rsidRPr="00FF3E4F" w:rsidRDefault="00E93868" w:rsidP="00DE27F7">
            <w:pPr>
              <w:pStyle w:val="TableBodyTextright"/>
              <w:rPr>
                <w:sz w:val="18"/>
                <w:szCs w:val="18"/>
                <w:lang w:eastAsia="en-AU"/>
              </w:rPr>
            </w:pPr>
            <w:r w:rsidRPr="00FF3E4F">
              <w:rPr>
                <w:sz w:val="18"/>
                <w:szCs w:val="18"/>
                <w:lang w:eastAsia="en-AU"/>
              </w:rPr>
              <w:t xml:space="preserve">1,347.0 </w:t>
            </w:r>
          </w:p>
        </w:tc>
        <w:tc>
          <w:tcPr>
            <w:tcW w:w="304" w:type="pct"/>
            <w:noWrap/>
            <w:tcMar>
              <w:left w:w="57" w:type="dxa"/>
              <w:right w:w="57" w:type="dxa"/>
            </w:tcMar>
            <w:hideMark/>
          </w:tcPr>
          <w:p w14:paraId="6E962943" w14:textId="4E0544A4" w:rsidR="00E93868" w:rsidRPr="00FF3E4F" w:rsidRDefault="00E93868" w:rsidP="00DE27F7">
            <w:pPr>
              <w:pStyle w:val="TableBodyTextright"/>
              <w:rPr>
                <w:sz w:val="18"/>
                <w:szCs w:val="18"/>
                <w:lang w:eastAsia="en-AU"/>
              </w:rPr>
            </w:pPr>
            <w:r w:rsidRPr="00FF3E4F">
              <w:rPr>
                <w:sz w:val="18"/>
                <w:szCs w:val="18"/>
                <w:lang w:eastAsia="en-AU"/>
              </w:rPr>
              <w:t>9.2</w:t>
            </w:r>
          </w:p>
        </w:tc>
        <w:tc>
          <w:tcPr>
            <w:tcW w:w="530" w:type="pct"/>
            <w:noWrap/>
            <w:tcMar>
              <w:left w:w="57" w:type="dxa"/>
              <w:right w:w="57" w:type="dxa"/>
            </w:tcMar>
            <w:hideMark/>
          </w:tcPr>
          <w:p w14:paraId="11B9E0C9" w14:textId="31F5E516" w:rsidR="00E93868" w:rsidRPr="00FF3E4F" w:rsidRDefault="00E93868" w:rsidP="00DE27F7">
            <w:pPr>
              <w:pStyle w:val="TableBodyTextright"/>
              <w:rPr>
                <w:sz w:val="18"/>
                <w:szCs w:val="18"/>
                <w:lang w:eastAsia="en-AU"/>
              </w:rPr>
            </w:pPr>
            <w:r w:rsidRPr="00FF3E4F">
              <w:rPr>
                <w:sz w:val="18"/>
                <w:szCs w:val="18"/>
                <w:lang w:eastAsia="en-AU"/>
              </w:rPr>
              <w:t xml:space="preserve">1,381.3 </w:t>
            </w:r>
          </w:p>
        </w:tc>
        <w:tc>
          <w:tcPr>
            <w:tcW w:w="303" w:type="pct"/>
            <w:noWrap/>
            <w:tcMar>
              <w:left w:w="57" w:type="dxa"/>
              <w:right w:w="57" w:type="dxa"/>
            </w:tcMar>
            <w:hideMark/>
          </w:tcPr>
          <w:p w14:paraId="22F132CC" w14:textId="1847D14C" w:rsidR="00E93868" w:rsidRPr="00FF3E4F" w:rsidRDefault="00E93868" w:rsidP="00DE27F7">
            <w:pPr>
              <w:pStyle w:val="TableBodyTextright"/>
              <w:rPr>
                <w:sz w:val="18"/>
                <w:szCs w:val="18"/>
                <w:lang w:eastAsia="en-AU"/>
              </w:rPr>
            </w:pPr>
            <w:r w:rsidRPr="00FF3E4F">
              <w:rPr>
                <w:sz w:val="18"/>
                <w:szCs w:val="18"/>
                <w:lang w:eastAsia="en-AU"/>
              </w:rPr>
              <w:t>2.5</w:t>
            </w:r>
          </w:p>
        </w:tc>
        <w:tc>
          <w:tcPr>
            <w:tcW w:w="379" w:type="pct"/>
            <w:noWrap/>
            <w:tcMar>
              <w:left w:w="57" w:type="dxa"/>
              <w:right w:w="57" w:type="dxa"/>
            </w:tcMar>
            <w:hideMark/>
          </w:tcPr>
          <w:p w14:paraId="1A36834B" w14:textId="4A222865" w:rsidR="00E93868" w:rsidRPr="00FF3E4F" w:rsidRDefault="00E93868" w:rsidP="00DE27F7">
            <w:pPr>
              <w:pStyle w:val="TableBodyTextright"/>
              <w:rPr>
                <w:sz w:val="18"/>
                <w:szCs w:val="18"/>
                <w:lang w:eastAsia="en-AU"/>
              </w:rPr>
            </w:pPr>
            <w:r w:rsidRPr="00FF3E4F">
              <w:rPr>
                <w:sz w:val="18"/>
                <w:szCs w:val="18"/>
                <w:lang w:eastAsia="en-AU"/>
              </w:rPr>
              <w:t xml:space="preserve">34.3 </w:t>
            </w:r>
          </w:p>
        </w:tc>
        <w:tc>
          <w:tcPr>
            <w:tcW w:w="303" w:type="pct"/>
            <w:noWrap/>
            <w:tcMar>
              <w:left w:w="57" w:type="dxa"/>
              <w:right w:w="57" w:type="dxa"/>
            </w:tcMar>
            <w:hideMark/>
          </w:tcPr>
          <w:p w14:paraId="38579D27" w14:textId="1758E86D" w:rsidR="00E93868" w:rsidRPr="00FF3E4F" w:rsidRDefault="00E93868" w:rsidP="00DE27F7">
            <w:pPr>
              <w:pStyle w:val="TableBodyTextright"/>
              <w:rPr>
                <w:sz w:val="18"/>
                <w:szCs w:val="18"/>
                <w:lang w:eastAsia="en-AU"/>
              </w:rPr>
            </w:pPr>
            <w:r w:rsidRPr="00FF3E4F">
              <w:rPr>
                <w:sz w:val="18"/>
                <w:szCs w:val="18"/>
                <w:lang w:eastAsia="en-AU"/>
              </w:rPr>
              <w:t>2.5</w:t>
            </w:r>
          </w:p>
        </w:tc>
        <w:tc>
          <w:tcPr>
            <w:tcW w:w="530" w:type="pct"/>
            <w:noWrap/>
            <w:tcMar>
              <w:left w:w="57" w:type="dxa"/>
              <w:right w:w="57" w:type="dxa"/>
            </w:tcMar>
            <w:hideMark/>
          </w:tcPr>
          <w:p w14:paraId="1434B0E5" w14:textId="63C30CEF" w:rsidR="00E93868" w:rsidRPr="00FF3E4F" w:rsidRDefault="00E93868" w:rsidP="00DE27F7">
            <w:pPr>
              <w:pStyle w:val="TableBodyTextright"/>
              <w:rPr>
                <w:sz w:val="18"/>
                <w:szCs w:val="18"/>
                <w:lang w:eastAsia="en-AU"/>
              </w:rPr>
            </w:pPr>
            <w:r w:rsidRPr="00FF3E4F">
              <w:rPr>
                <w:sz w:val="18"/>
                <w:szCs w:val="18"/>
                <w:lang w:eastAsia="en-AU"/>
              </w:rPr>
              <w:t xml:space="preserve">1,440.1 </w:t>
            </w:r>
          </w:p>
        </w:tc>
        <w:tc>
          <w:tcPr>
            <w:tcW w:w="303" w:type="pct"/>
            <w:noWrap/>
            <w:tcMar>
              <w:left w:w="57" w:type="dxa"/>
              <w:right w:w="57" w:type="dxa"/>
            </w:tcMar>
            <w:hideMark/>
          </w:tcPr>
          <w:p w14:paraId="4472FEDC" w14:textId="204CC0E5" w:rsidR="00E93868" w:rsidRPr="00FF3E4F" w:rsidRDefault="00E93868" w:rsidP="00DE27F7">
            <w:pPr>
              <w:pStyle w:val="TableBodyTextright"/>
              <w:rPr>
                <w:sz w:val="18"/>
                <w:szCs w:val="18"/>
                <w:lang w:eastAsia="en-AU"/>
              </w:rPr>
            </w:pPr>
            <w:r w:rsidRPr="00FF3E4F">
              <w:rPr>
                <w:sz w:val="18"/>
                <w:szCs w:val="18"/>
                <w:lang w:eastAsia="en-AU"/>
              </w:rPr>
              <w:t>8.6</w:t>
            </w:r>
          </w:p>
        </w:tc>
        <w:tc>
          <w:tcPr>
            <w:tcW w:w="455" w:type="pct"/>
            <w:noWrap/>
            <w:tcMar>
              <w:left w:w="57" w:type="dxa"/>
              <w:right w:w="57" w:type="dxa"/>
            </w:tcMar>
            <w:hideMark/>
          </w:tcPr>
          <w:p w14:paraId="0AA80435" w14:textId="6DA7A3FE" w:rsidR="00E93868" w:rsidRPr="00FF3E4F" w:rsidRDefault="00E93868" w:rsidP="00DE27F7">
            <w:pPr>
              <w:pStyle w:val="TableBodyTextright"/>
              <w:rPr>
                <w:sz w:val="18"/>
                <w:szCs w:val="18"/>
                <w:lang w:eastAsia="en-AU"/>
              </w:rPr>
            </w:pPr>
            <w:r w:rsidRPr="00FF3E4F">
              <w:rPr>
                <w:sz w:val="18"/>
                <w:szCs w:val="18"/>
                <w:lang w:eastAsia="en-AU"/>
              </w:rPr>
              <w:t xml:space="preserve">93.1 </w:t>
            </w:r>
          </w:p>
        </w:tc>
        <w:tc>
          <w:tcPr>
            <w:tcW w:w="306" w:type="pct"/>
            <w:noWrap/>
            <w:tcMar>
              <w:left w:w="57" w:type="dxa"/>
              <w:right w:w="57" w:type="dxa"/>
            </w:tcMar>
            <w:hideMark/>
          </w:tcPr>
          <w:p w14:paraId="6AB62743" w14:textId="0FA98DD4" w:rsidR="00E93868" w:rsidRPr="00FF3E4F" w:rsidRDefault="00E93868" w:rsidP="00DE27F7">
            <w:pPr>
              <w:pStyle w:val="TableBodyTextright"/>
              <w:rPr>
                <w:sz w:val="18"/>
                <w:szCs w:val="18"/>
                <w:lang w:eastAsia="en-AU"/>
              </w:rPr>
            </w:pPr>
            <w:r w:rsidRPr="00FF3E4F">
              <w:rPr>
                <w:sz w:val="18"/>
                <w:szCs w:val="18"/>
                <w:lang w:eastAsia="en-AU"/>
              </w:rPr>
              <w:t>6.9</w:t>
            </w:r>
          </w:p>
        </w:tc>
      </w:tr>
      <w:tr w:rsidR="00C453B6" w:rsidRPr="00FF3E4F" w14:paraId="2DA6682C" w14:textId="77777777" w:rsidTr="00C453B6">
        <w:trPr>
          <w:cnfStyle w:val="000000010000" w:firstRow="0" w:lastRow="0" w:firstColumn="0" w:lastColumn="0" w:oddVBand="0" w:evenVBand="0" w:oddHBand="0" w:evenHBand="1" w:firstRowFirstColumn="0" w:firstRowLastColumn="0" w:lastRowFirstColumn="0" w:lastRowLastColumn="0"/>
          <w:trHeight w:val="280"/>
        </w:trPr>
        <w:tc>
          <w:tcPr>
            <w:tcW w:w="1056" w:type="pct"/>
            <w:noWrap/>
            <w:tcMar>
              <w:left w:w="57" w:type="dxa"/>
              <w:right w:w="57" w:type="dxa"/>
            </w:tcMar>
            <w:hideMark/>
          </w:tcPr>
          <w:p w14:paraId="3AF1457D" w14:textId="77777777" w:rsidR="00E93868" w:rsidRPr="00FF3E4F" w:rsidRDefault="00E93868" w:rsidP="0065586F">
            <w:pPr>
              <w:pStyle w:val="TableBodyText"/>
              <w:rPr>
                <w:sz w:val="18"/>
                <w:szCs w:val="18"/>
                <w:lang w:eastAsia="en-AU"/>
              </w:rPr>
            </w:pPr>
            <w:r w:rsidRPr="00FF3E4F">
              <w:rPr>
                <w:sz w:val="18"/>
                <w:szCs w:val="18"/>
                <w:lang w:eastAsia="en-AU"/>
              </w:rPr>
              <w:t>Accommodation and Food Services</w:t>
            </w:r>
          </w:p>
        </w:tc>
        <w:tc>
          <w:tcPr>
            <w:tcW w:w="531" w:type="pct"/>
            <w:noWrap/>
            <w:tcMar>
              <w:left w:w="57" w:type="dxa"/>
              <w:right w:w="57" w:type="dxa"/>
            </w:tcMar>
            <w:hideMark/>
          </w:tcPr>
          <w:p w14:paraId="55039697" w14:textId="0587A26B" w:rsidR="00E93868" w:rsidRPr="00FF3E4F" w:rsidRDefault="00E93868" w:rsidP="00DE27F7">
            <w:pPr>
              <w:pStyle w:val="TableBodyTextright"/>
              <w:rPr>
                <w:sz w:val="18"/>
                <w:szCs w:val="18"/>
                <w:lang w:eastAsia="en-AU"/>
              </w:rPr>
            </w:pPr>
            <w:r w:rsidRPr="00FF3E4F">
              <w:rPr>
                <w:sz w:val="18"/>
                <w:szCs w:val="18"/>
                <w:lang w:eastAsia="en-AU"/>
              </w:rPr>
              <w:t xml:space="preserve">962.1 </w:t>
            </w:r>
          </w:p>
        </w:tc>
        <w:tc>
          <w:tcPr>
            <w:tcW w:w="304" w:type="pct"/>
            <w:noWrap/>
            <w:tcMar>
              <w:left w:w="57" w:type="dxa"/>
              <w:right w:w="57" w:type="dxa"/>
            </w:tcMar>
            <w:hideMark/>
          </w:tcPr>
          <w:p w14:paraId="05B4F1F4" w14:textId="2A1AE11E" w:rsidR="00E93868" w:rsidRPr="00FF3E4F" w:rsidRDefault="00E93868" w:rsidP="00DE27F7">
            <w:pPr>
              <w:pStyle w:val="TableBodyTextright"/>
              <w:rPr>
                <w:sz w:val="18"/>
                <w:szCs w:val="18"/>
                <w:lang w:eastAsia="en-AU"/>
              </w:rPr>
            </w:pPr>
            <w:r w:rsidRPr="00FF3E4F">
              <w:rPr>
                <w:sz w:val="18"/>
                <w:szCs w:val="18"/>
                <w:lang w:eastAsia="en-AU"/>
              </w:rPr>
              <w:t>6.5</w:t>
            </w:r>
          </w:p>
        </w:tc>
        <w:tc>
          <w:tcPr>
            <w:tcW w:w="530" w:type="pct"/>
            <w:noWrap/>
            <w:tcMar>
              <w:left w:w="57" w:type="dxa"/>
              <w:right w:w="57" w:type="dxa"/>
            </w:tcMar>
            <w:hideMark/>
          </w:tcPr>
          <w:p w14:paraId="09B2E1FB" w14:textId="49C002C3" w:rsidR="00E93868" w:rsidRPr="00FF3E4F" w:rsidRDefault="00E93868" w:rsidP="00DE27F7">
            <w:pPr>
              <w:pStyle w:val="TableBodyTextright"/>
              <w:rPr>
                <w:sz w:val="18"/>
                <w:szCs w:val="18"/>
                <w:lang w:eastAsia="en-AU"/>
              </w:rPr>
            </w:pPr>
            <w:r w:rsidRPr="00FF3E4F">
              <w:rPr>
                <w:sz w:val="18"/>
                <w:szCs w:val="18"/>
                <w:lang w:eastAsia="en-AU"/>
              </w:rPr>
              <w:t xml:space="preserve">995.5 </w:t>
            </w:r>
          </w:p>
        </w:tc>
        <w:tc>
          <w:tcPr>
            <w:tcW w:w="303" w:type="pct"/>
            <w:noWrap/>
            <w:tcMar>
              <w:left w:w="57" w:type="dxa"/>
              <w:right w:w="57" w:type="dxa"/>
            </w:tcMar>
            <w:hideMark/>
          </w:tcPr>
          <w:p w14:paraId="2E940079" w14:textId="5687BF49" w:rsidR="00E93868" w:rsidRPr="00FF3E4F" w:rsidRDefault="00E93868" w:rsidP="00DE27F7">
            <w:pPr>
              <w:pStyle w:val="TableBodyTextright"/>
              <w:rPr>
                <w:sz w:val="18"/>
                <w:szCs w:val="18"/>
                <w:lang w:eastAsia="en-AU"/>
              </w:rPr>
            </w:pPr>
            <w:r w:rsidRPr="00FF3E4F">
              <w:rPr>
                <w:sz w:val="18"/>
                <w:szCs w:val="18"/>
                <w:lang w:eastAsia="en-AU"/>
              </w:rPr>
              <w:t>3.5</w:t>
            </w:r>
          </w:p>
        </w:tc>
        <w:tc>
          <w:tcPr>
            <w:tcW w:w="379" w:type="pct"/>
            <w:noWrap/>
            <w:tcMar>
              <w:left w:w="57" w:type="dxa"/>
              <w:right w:w="57" w:type="dxa"/>
            </w:tcMar>
            <w:hideMark/>
          </w:tcPr>
          <w:p w14:paraId="7EE2F4D3" w14:textId="5A50209D" w:rsidR="00E93868" w:rsidRPr="00FF3E4F" w:rsidRDefault="00E93868" w:rsidP="00DE27F7">
            <w:pPr>
              <w:pStyle w:val="TableBodyTextright"/>
              <w:rPr>
                <w:sz w:val="18"/>
                <w:szCs w:val="18"/>
                <w:lang w:eastAsia="en-AU"/>
              </w:rPr>
            </w:pPr>
            <w:r w:rsidRPr="00FF3E4F">
              <w:rPr>
                <w:sz w:val="18"/>
                <w:szCs w:val="18"/>
                <w:lang w:eastAsia="en-AU"/>
              </w:rPr>
              <w:t xml:space="preserve">33.4 </w:t>
            </w:r>
          </w:p>
        </w:tc>
        <w:tc>
          <w:tcPr>
            <w:tcW w:w="303" w:type="pct"/>
            <w:noWrap/>
            <w:tcMar>
              <w:left w:w="57" w:type="dxa"/>
              <w:right w:w="57" w:type="dxa"/>
            </w:tcMar>
            <w:hideMark/>
          </w:tcPr>
          <w:p w14:paraId="63D73ECF" w14:textId="589A7165" w:rsidR="00E93868" w:rsidRPr="00FF3E4F" w:rsidRDefault="00E93868" w:rsidP="00DE27F7">
            <w:pPr>
              <w:pStyle w:val="TableBodyTextright"/>
              <w:rPr>
                <w:sz w:val="18"/>
                <w:szCs w:val="18"/>
                <w:lang w:eastAsia="en-AU"/>
              </w:rPr>
            </w:pPr>
            <w:r w:rsidRPr="00FF3E4F">
              <w:rPr>
                <w:sz w:val="18"/>
                <w:szCs w:val="18"/>
                <w:lang w:eastAsia="en-AU"/>
              </w:rPr>
              <w:t>3.5</w:t>
            </w:r>
          </w:p>
        </w:tc>
        <w:tc>
          <w:tcPr>
            <w:tcW w:w="530" w:type="pct"/>
            <w:noWrap/>
            <w:tcMar>
              <w:left w:w="57" w:type="dxa"/>
              <w:right w:w="57" w:type="dxa"/>
            </w:tcMar>
            <w:hideMark/>
          </w:tcPr>
          <w:p w14:paraId="5391644A" w14:textId="63DFEE1B" w:rsidR="00E93868" w:rsidRPr="00FF3E4F" w:rsidRDefault="00E93868" w:rsidP="00DE27F7">
            <w:pPr>
              <w:pStyle w:val="TableBodyTextright"/>
              <w:rPr>
                <w:sz w:val="18"/>
                <w:szCs w:val="18"/>
                <w:lang w:eastAsia="en-AU"/>
              </w:rPr>
            </w:pPr>
            <w:r w:rsidRPr="00FF3E4F">
              <w:rPr>
                <w:sz w:val="18"/>
                <w:szCs w:val="18"/>
                <w:lang w:eastAsia="en-AU"/>
              </w:rPr>
              <w:t xml:space="preserve">1,054.5 </w:t>
            </w:r>
          </w:p>
        </w:tc>
        <w:tc>
          <w:tcPr>
            <w:tcW w:w="303" w:type="pct"/>
            <w:noWrap/>
            <w:tcMar>
              <w:left w:w="57" w:type="dxa"/>
              <w:right w:w="57" w:type="dxa"/>
            </w:tcMar>
            <w:hideMark/>
          </w:tcPr>
          <w:p w14:paraId="0BC1439A" w14:textId="50A1905F" w:rsidR="00E93868" w:rsidRPr="00FF3E4F" w:rsidRDefault="00E93868" w:rsidP="00DE27F7">
            <w:pPr>
              <w:pStyle w:val="TableBodyTextright"/>
              <w:rPr>
                <w:sz w:val="18"/>
                <w:szCs w:val="18"/>
                <w:lang w:eastAsia="en-AU"/>
              </w:rPr>
            </w:pPr>
            <w:r w:rsidRPr="00FF3E4F">
              <w:rPr>
                <w:sz w:val="18"/>
                <w:szCs w:val="18"/>
                <w:lang w:eastAsia="en-AU"/>
              </w:rPr>
              <w:t>6.3</w:t>
            </w:r>
          </w:p>
        </w:tc>
        <w:tc>
          <w:tcPr>
            <w:tcW w:w="455" w:type="pct"/>
            <w:noWrap/>
            <w:tcMar>
              <w:left w:w="57" w:type="dxa"/>
              <w:right w:w="57" w:type="dxa"/>
            </w:tcMar>
            <w:hideMark/>
          </w:tcPr>
          <w:p w14:paraId="104B20D2" w14:textId="741D4388" w:rsidR="00E93868" w:rsidRPr="00FF3E4F" w:rsidRDefault="00E93868" w:rsidP="00DE27F7">
            <w:pPr>
              <w:pStyle w:val="TableBodyTextright"/>
              <w:rPr>
                <w:sz w:val="18"/>
                <w:szCs w:val="18"/>
                <w:lang w:eastAsia="en-AU"/>
              </w:rPr>
            </w:pPr>
            <w:r w:rsidRPr="00FF3E4F">
              <w:rPr>
                <w:sz w:val="18"/>
                <w:szCs w:val="18"/>
                <w:lang w:eastAsia="en-AU"/>
              </w:rPr>
              <w:t xml:space="preserve">92.4 </w:t>
            </w:r>
          </w:p>
        </w:tc>
        <w:tc>
          <w:tcPr>
            <w:tcW w:w="306" w:type="pct"/>
            <w:noWrap/>
            <w:tcMar>
              <w:left w:w="57" w:type="dxa"/>
              <w:right w:w="57" w:type="dxa"/>
            </w:tcMar>
            <w:hideMark/>
          </w:tcPr>
          <w:p w14:paraId="2D36E2C5" w14:textId="3A1152BE" w:rsidR="00E93868" w:rsidRPr="00FF3E4F" w:rsidRDefault="00E93868" w:rsidP="00DE27F7">
            <w:pPr>
              <w:pStyle w:val="TableBodyTextright"/>
              <w:rPr>
                <w:sz w:val="18"/>
                <w:szCs w:val="18"/>
                <w:lang w:eastAsia="en-AU"/>
              </w:rPr>
            </w:pPr>
            <w:r w:rsidRPr="00FF3E4F">
              <w:rPr>
                <w:sz w:val="18"/>
                <w:szCs w:val="18"/>
                <w:lang w:eastAsia="en-AU"/>
              </w:rPr>
              <w:t>9.6</w:t>
            </w:r>
          </w:p>
        </w:tc>
      </w:tr>
      <w:tr w:rsidR="00C453B6" w:rsidRPr="00FF3E4F" w14:paraId="6EED7E6E" w14:textId="77777777" w:rsidTr="00C453B6">
        <w:trPr>
          <w:trHeight w:val="280"/>
        </w:trPr>
        <w:tc>
          <w:tcPr>
            <w:tcW w:w="1056" w:type="pct"/>
            <w:noWrap/>
            <w:tcMar>
              <w:left w:w="57" w:type="dxa"/>
              <w:right w:w="57" w:type="dxa"/>
            </w:tcMar>
            <w:hideMark/>
          </w:tcPr>
          <w:p w14:paraId="63F73A32" w14:textId="77777777" w:rsidR="00E93868" w:rsidRPr="00FF3E4F" w:rsidRDefault="00E93868" w:rsidP="0065586F">
            <w:pPr>
              <w:pStyle w:val="TableBodyText"/>
              <w:rPr>
                <w:sz w:val="18"/>
                <w:szCs w:val="18"/>
                <w:lang w:eastAsia="en-AU"/>
              </w:rPr>
            </w:pPr>
            <w:r w:rsidRPr="00FF3E4F">
              <w:rPr>
                <w:sz w:val="18"/>
                <w:szCs w:val="18"/>
                <w:lang w:eastAsia="en-AU"/>
              </w:rPr>
              <w:t>Transport, Postal and Warehousing</w:t>
            </w:r>
          </w:p>
        </w:tc>
        <w:tc>
          <w:tcPr>
            <w:tcW w:w="531" w:type="pct"/>
            <w:noWrap/>
            <w:tcMar>
              <w:left w:w="57" w:type="dxa"/>
              <w:right w:w="57" w:type="dxa"/>
            </w:tcMar>
            <w:hideMark/>
          </w:tcPr>
          <w:p w14:paraId="1E8084AE" w14:textId="63679C9B" w:rsidR="00E93868" w:rsidRPr="00FF3E4F" w:rsidRDefault="00E93868" w:rsidP="00DE27F7">
            <w:pPr>
              <w:pStyle w:val="TableBodyTextright"/>
              <w:rPr>
                <w:sz w:val="18"/>
                <w:szCs w:val="18"/>
                <w:lang w:eastAsia="en-AU"/>
              </w:rPr>
            </w:pPr>
            <w:r w:rsidRPr="00FF3E4F">
              <w:rPr>
                <w:sz w:val="18"/>
                <w:szCs w:val="18"/>
                <w:lang w:eastAsia="en-AU"/>
              </w:rPr>
              <w:t xml:space="preserve">754.1 </w:t>
            </w:r>
          </w:p>
        </w:tc>
        <w:tc>
          <w:tcPr>
            <w:tcW w:w="304" w:type="pct"/>
            <w:noWrap/>
            <w:tcMar>
              <w:left w:w="57" w:type="dxa"/>
              <w:right w:w="57" w:type="dxa"/>
            </w:tcMar>
            <w:hideMark/>
          </w:tcPr>
          <w:p w14:paraId="436ECBFF" w14:textId="498B932A" w:rsidR="00E93868" w:rsidRPr="00FF3E4F" w:rsidRDefault="00E93868" w:rsidP="00DE27F7">
            <w:pPr>
              <w:pStyle w:val="TableBodyTextright"/>
              <w:rPr>
                <w:sz w:val="18"/>
                <w:szCs w:val="18"/>
                <w:lang w:eastAsia="en-AU"/>
              </w:rPr>
            </w:pPr>
            <w:r w:rsidRPr="00FF3E4F">
              <w:rPr>
                <w:sz w:val="18"/>
                <w:szCs w:val="18"/>
                <w:lang w:eastAsia="en-AU"/>
              </w:rPr>
              <w:t>5.1</w:t>
            </w:r>
          </w:p>
        </w:tc>
        <w:tc>
          <w:tcPr>
            <w:tcW w:w="530" w:type="pct"/>
            <w:noWrap/>
            <w:tcMar>
              <w:left w:w="57" w:type="dxa"/>
              <w:right w:w="57" w:type="dxa"/>
            </w:tcMar>
            <w:hideMark/>
          </w:tcPr>
          <w:p w14:paraId="0C94C5BD" w14:textId="56CC9604" w:rsidR="00E93868" w:rsidRPr="00FF3E4F" w:rsidRDefault="00E93868" w:rsidP="00DE27F7">
            <w:pPr>
              <w:pStyle w:val="TableBodyTextright"/>
              <w:rPr>
                <w:sz w:val="18"/>
                <w:szCs w:val="18"/>
                <w:lang w:eastAsia="en-AU"/>
              </w:rPr>
            </w:pPr>
            <w:r w:rsidRPr="00FF3E4F">
              <w:rPr>
                <w:sz w:val="18"/>
                <w:szCs w:val="18"/>
                <w:lang w:eastAsia="en-AU"/>
              </w:rPr>
              <w:t xml:space="preserve">780.2 </w:t>
            </w:r>
          </w:p>
        </w:tc>
        <w:tc>
          <w:tcPr>
            <w:tcW w:w="303" w:type="pct"/>
            <w:noWrap/>
            <w:tcMar>
              <w:left w:w="57" w:type="dxa"/>
              <w:right w:w="57" w:type="dxa"/>
            </w:tcMar>
            <w:hideMark/>
          </w:tcPr>
          <w:p w14:paraId="42729DCE" w14:textId="241830D3" w:rsidR="00E93868" w:rsidRPr="00FF3E4F" w:rsidRDefault="00E93868" w:rsidP="00DE27F7">
            <w:pPr>
              <w:pStyle w:val="TableBodyTextright"/>
              <w:rPr>
                <w:sz w:val="18"/>
                <w:szCs w:val="18"/>
                <w:lang w:eastAsia="en-AU"/>
              </w:rPr>
            </w:pPr>
            <w:r w:rsidRPr="00FF3E4F">
              <w:rPr>
                <w:sz w:val="18"/>
                <w:szCs w:val="18"/>
                <w:lang w:eastAsia="en-AU"/>
              </w:rPr>
              <w:t>3.5</w:t>
            </w:r>
          </w:p>
        </w:tc>
        <w:tc>
          <w:tcPr>
            <w:tcW w:w="379" w:type="pct"/>
            <w:noWrap/>
            <w:tcMar>
              <w:left w:w="57" w:type="dxa"/>
              <w:right w:w="57" w:type="dxa"/>
            </w:tcMar>
            <w:hideMark/>
          </w:tcPr>
          <w:p w14:paraId="421CBFE0" w14:textId="5212738E" w:rsidR="00E93868" w:rsidRPr="00FF3E4F" w:rsidRDefault="00E93868" w:rsidP="00DE27F7">
            <w:pPr>
              <w:pStyle w:val="TableBodyTextright"/>
              <w:rPr>
                <w:sz w:val="18"/>
                <w:szCs w:val="18"/>
                <w:lang w:eastAsia="en-AU"/>
              </w:rPr>
            </w:pPr>
            <w:r w:rsidRPr="00FF3E4F">
              <w:rPr>
                <w:sz w:val="18"/>
                <w:szCs w:val="18"/>
                <w:lang w:eastAsia="en-AU"/>
              </w:rPr>
              <w:t xml:space="preserve">26.1 </w:t>
            </w:r>
          </w:p>
        </w:tc>
        <w:tc>
          <w:tcPr>
            <w:tcW w:w="303" w:type="pct"/>
            <w:noWrap/>
            <w:tcMar>
              <w:left w:w="57" w:type="dxa"/>
              <w:right w:w="57" w:type="dxa"/>
            </w:tcMar>
            <w:hideMark/>
          </w:tcPr>
          <w:p w14:paraId="63F9DE9F" w14:textId="77B77CCE" w:rsidR="00E93868" w:rsidRPr="00FF3E4F" w:rsidRDefault="00E93868" w:rsidP="00DE27F7">
            <w:pPr>
              <w:pStyle w:val="TableBodyTextright"/>
              <w:rPr>
                <w:sz w:val="18"/>
                <w:szCs w:val="18"/>
                <w:lang w:eastAsia="en-AU"/>
              </w:rPr>
            </w:pPr>
            <w:r w:rsidRPr="00FF3E4F">
              <w:rPr>
                <w:sz w:val="18"/>
                <w:szCs w:val="18"/>
                <w:lang w:eastAsia="en-AU"/>
              </w:rPr>
              <w:t>3.5</w:t>
            </w:r>
          </w:p>
        </w:tc>
        <w:tc>
          <w:tcPr>
            <w:tcW w:w="530" w:type="pct"/>
            <w:noWrap/>
            <w:tcMar>
              <w:left w:w="57" w:type="dxa"/>
              <w:right w:w="57" w:type="dxa"/>
            </w:tcMar>
            <w:hideMark/>
          </w:tcPr>
          <w:p w14:paraId="03DE6955" w14:textId="755D7F8C" w:rsidR="00E93868" w:rsidRPr="00FF3E4F" w:rsidRDefault="00E93868" w:rsidP="00DE27F7">
            <w:pPr>
              <w:pStyle w:val="TableBodyTextright"/>
              <w:rPr>
                <w:sz w:val="18"/>
                <w:szCs w:val="18"/>
                <w:lang w:eastAsia="en-AU"/>
              </w:rPr>
            </w:pPr>
            <w:r w:rsidRPr="00FF3E4F">
              <w:rPr>
                <w:sz w:val="18"/>
                <w:szCs w:val="18"/>
                <w:lang w:eastAsia="en-AU"/>
              </w:rPr>
              <w:t xml:space="preserve">821.0 </w:t>
            </w:r>
          </w:p>
        </w:tc>
        <w:tc>
          <w:tcPr>
            <w:tcW w:w="303" w:type="pct"/>
            <w:noWrap/>
            <w:tcMar>
              <w:left w:w="57" w:type="dxa"/>
              <w:right w:w="57" w:type="dxa"/>
            </w:tcMar>
            <w:hideMark/>
          </w:tcPr>
          <w:p w14:paraId="067BA71E" w14:textId="2608D1A7" w:rsidR="00E93868" w:rsidRPr="00FF3E4F" w:rsidRDefault="00E93868" w:rsidP="00DE27F7">
            <w:pPr>
              <w:pStyle w:val="TableBodyTextright"/>
              <w:rPr>
                <w:sz w:val="18"/>
                <w:szCs w:val="18"/>
                <w:lang w:eastAsia="en-AU"/>
              </w:rPr>
            </w:pPr>
            <w:r w:rsidRPr="00FF3E4F">
              <w:rPr>
                <w:sz w:val="18"/>
                <w:szCs w:val="18"/>
                <w:lang w:eastAsia="en-AU"/>
              </w:rPr>
              <w:t>4.9</w:t>
            </w:r>
          </w:p>
        </w:tc>
        <w:tc>
          <w:tcPr>
            <w:tcW w:w="455" w:type="pct"/>
            <w:noWrap/>
            <w:tcMar>
              <w:left w:w="57" w:type="dxa"/>
              <w:right w:w="57" w:type="dxa"/>
            </w:tcMar>
            <w:hideMark/>
          </w:tcPr>
          <w:p w14:paraId="50C6D714" w14:textId="2335C322" w:rsidR="00E93868" w:rsidRPr="00FF3E4F" w:rsidRDefault="00E93868" w:rsidP="00DE27F7">
            <w:pPr>
              <w:pStyle w:val="TableBodyTextright"/>
              <w:rPr>
                <w:sz w:val="18"/>
                <w:szCs w:val="18"/>
                <w:lang w:eastAsia="en-AU"/>
              </w:rPr>
            </w:pPr>
            <w:r w:rsidRPr="00FF3E4F">
              <w:rPr>
                <w:sz w:val="18"/>
                <w:szCs w:val="18"/>
                <w:lang w:eastAsia="en-AU"/>
              </w:rPr>
              <w:t xml:space="preserve">66.9 </w:t>
            </w:r>
          </w:p>
        </w:tc>
        <w:tc>
          <w:tcPr>
            <w:tcW w:w="306" w:type="pct"/>
            <w:noWrap/>
            <w:tcMar>
              <w:left w:w="57" w:type="dxa"/>
              <w:right w:w="57" w:type="dxa"/>
            </w:tcMar>
            <w:hideMark/>
          </w:tcPr>
          <w:p w14:paraId="77360868" w14:textId="04214AE9" w:rsidR="00E93868" w:rsidRPr="00FF3E4F" w:rsidRDefault="00E93868" w:rsidP="00DE27F7">
            <w:pPr>
              <w:pStyle w:val="TableBodyTextright"/>
              <w:rPr>
                <w:sz w:val="18"/>
                <w:szCs w:val="18"/>
                <w:lang w:eastAsia="en-AU"/>
              </w:rPr>
            </w:pPr>
            <w:r w:rsidRPr="00FF3E4F">
              <w:rPr>
                <w:sz w:val="18"/>
                <w:szCs w:val="18"/>
                <w:lang w:eastAsia="en-AU"/>
              </w:rPr>
              <w:t>8.9</w:t>
            </w:r>
          </w:p>
        </w:tc>
      </w:tr>
      <w:tr w:rsidR="00C453B6" w:rsidRPr="00FF3E4F" w14:paraId="7A8108C1" w14:textId="77777777" w:rsidTr="00C453B6">
        <w:trPr>
          <w:cnfStyle w:val="000000010000" w:firstRow="0" w:lastRow="0" w:firstColumn="0" w:lastColumn="0" w:oddVBand="0" w:evenVBand="0" w:oddHBand="0" w:evenHBand="1" w:firstRowFirstColumn="0" w:firstRowLastColumn="0" w:lastRowFirstColumn="0" w:lastRowLastColumn="0"/>
          <w:trHeight w:val="280"/>
        </w:trPr>
        <w:tc>
          <w:tcPr>
            <w:tcW w:w="1056" w:type="pct"/>
            <w:noWrap/>
            <w:tcMar>
              <w:left w:w="57" w:type="dxa"/>
              <w:right w:w="57" w:type="dxa"/>
            </w:tcMar>
            <w:hideMark/>
          </w:tcPr>
          <w:p w14:paraId="28183D85" w14:textId="77777777" w:rsidR="00E93868" w:rsidRPr="00FF3E4F" w:rsidRDefault="00E93868" w:rsidP="0065586F">
            <w:pPr>
              <w:pStyle w:val="TableBodyText"/>
              <w:rPr>
                <w:sz w:val="18"/>
                <w:szCs w:val="18"/>
                <w:lang w:eastAsia="en-AU"/>
              </w:rPr>
            </w:pPr>
            <w:r w:rsidRPr="00FF3E4F">
              <w:rPr>
                <w:sz w:val="18"/>
                <w:szCs w:val="18"/>
                <w:lang w:eastAsia="en-AU"/>
              </w:rPr>
              <w:t>Information Media and Telecommunications</w:t>
            </w:r>
          </w:p>
        </w:tc>
        <w:tc>
          <w:tcPr>
            <w:tcW w:w="531" w:type="pct"/>
            <w:noWrap/>
            <w:tcMar>
              <w:left w:w="57" w:type="dxa"/>
              <w:right w:w="57" w:type="dxa"/>
            </w:tcMar>
            <w:hideMark/>
          </w:tcPr>
          <w:p w14:paraId="44FCDF06" w14:textId="740FF295" w:rsidR="00E93868" w:rsidRPr="00FF3E4F" w:rsidRDefault="00E93868" w:rsidP="00DE27F7">
            <w:pPr>
              <w:pStyle w:val="TableBodyTextright"/>
              <w:rPr>
                <w:sz w:val="18"/>
                <w:szCs w:val="18"/>
                <w:lang w:eastAsia="en-AU"/>
              </w:rPr>
            </w:pPr>
            <w:r w:rsidRPr="00FF3E4F">
              <w:rPr>
                <w:sz w:val="18"/>
                <w:szCs w:val="18"/>
                <w:lang w:eastAsia="en-AU"/>
              </w:rPr>
              <w:t xml:space="preserve">184.7 </w:t>
            </w:r>
          </w:p>
        </w:tc>
        <w:tc>
          <w:tcPr>
            <w:tcW w:w="304" w:type="pct"/>
            <w:noWrap/>
            <w:tcMar>
              <w:left w:w="57" w:type="dxa"/>
              <w:right w:w="57" w:type="dxa"/>
            </w:tcMar>
            <w:hideMark/>
          </w:tcPr>
          <w:p w14:paraId="3404BC80" w14:textId="15FF5CB2" w:rsidR="00E93868" w:rsidRPr="00FF3E4F" w:rsidRDefault="00E93868" w:rsidP="00DE27F7">
            <w:pPr>
              <w:pStyle w:val="TableBodyTextright"/>
              <w:rPr>
                <w:sz w:val="18"/>
                <w:szCs w:val="18"/>
                <w:lang w:eastAsia="en-AU"/>
              </w:rPr>
            </w:pPr>
            <w:r w:rsidRPr="00FF3E4F">
              <w:rPr>
                <w:sz w:val="18"/>
                <w:szCs w:val="18"/>
                <w:lang w:eastAsia="en-AU"/>
              </w:rPr>
              <w:t>1.3</w:t>
            </w:r>
          </w:p>
        </w:tc>
        <w:tc>
          <w:tcPr>
            <w:tcW w:w="530" w:type="pct"/>
            <w:noWrap/>
            <w:tcMar>
              <w:left w:w="57" w:type="dxa"/>
              <w:right w:w="57" w:type="dxa"/>
            </w:tcMar>
            <w:hideMark/>
          </w:tcPr>
          <w:p w14:paraId="34C053BE" w14:textId="1D63BFD0" w:rsidR="00E93868" w:rsidRPr="00FF3E4F" w:rsidRDefault="00E93868" w:rsidP="00DE27F7">
            <w:pPr>
              <w:pStyle w:val="TableBodyTextright"/>
              <w:rPr>
                <w:sz w:val="18"/>
                <w:szCs w:val="18"/>
                <w:lang w:eastAsia="en-AU"/>
              </w:rPr>
            </w:pPr>
            <w:r w:rsidRPr="00FF3E4F">
              <w:rPr>
                <w:sz w:val="18"/>
                <w:szCs w:val="18"/>
                <w:lang w:eastAsia="en-AU"/>
              </w:rPr>
              <w:t xml:space="preserve">193.3 </w:t>
            </w:r>
          </w:p>
        </w:tc>
        <w:tc>
          <w:tcPr>
            <w:tcW w:w="303" w:type="pct"/>
            <w:noWrap/>
            <w:tcMar>
              <w:left w:w="57" w:type="dxa"/>
              <w:right w:w="57" w:type="dxa"/>
            </w:tcMar>
            <w:hideMark/>
          </w:tcPr>
          <w:p w14:paraId="51596050" w14:textId="26262666" w:rsidR="00E93868" w:rsidRPr="00FF3E4F" w:rsidRDefault="00E93868" w:rsidP="00DE27F7">
            <w:pPr>
              <w:pStyle w:val="TableBodyTextright"/>
              <w:rPr>
                <w:sz w:val="18"/>
                <w:szCs w:val="18"/>
                <w:lang w:eastAsia="en-AU"/>
              </w:rPr>
            </w:pPr>
            <w:r w:rsidRPr="00FF3E4F">
              <w:rPr>
                <w:sz w:val="18"/>
                <w:szCs w:val="18"/>
                <w:lang w:eastAsia="en-AU"/>
              </w:rPr>
              <w:t>4.6</w:t>
            </w:r>
          </w:p>
        </w:tc>
        <w:tc>
          <w:tcPr>
            <w:tcW w:w="379" w:type="pct"/>
            <w:noWrap/>
            <w:tcMar>
              <w:left w:w="57" w:type="dxa"/>
              <w:right w:w="57" w:type="dxa"/>
            </w:tcMar>
            <w:hideMark/>
          </w:tcPr>
          <w:p w14:paraId="6CD0B10E" w14:textId="0A6DC1B4" w:rsidR="00E93868" w:rsidRPr="00FF3E4F" w:rsidRDefault="00E93868" w:rsidP="00DE27F7">
            <w:pPr>
              <w:pStyle w:val="TableBodyTextright"/>
              <w:rPr>
                <w:sz w:val="18"/>
                <w:szCs w:val="18"/>
                <w:lang w:eastAsia="en-AU"/>
              </w:rPr>
            </w:pPr>
            <w:r w:rsidRPr="00FF3E4F">
              <w:rPr>
                <w:sz w:val="18"/>
                <w:szCs w:val="18"/>
                <w:lang w:eastAsia="en-AU"/>
              </w:rPr>
              <w:t xml:space="preserve">8.6 </w:t>
            </w:r>
          </w:p>
        </w:tc>
        <w:tc>
          <w:tcPr>
            <w:tcW w:w="303" w:type="pct"/>
            <w:noWrap/>
            <w:tcMar>
              <w:left w:w="57" w:type="dxa"/>
              <w:right w:w="57" w:type="dxa"/>
            </w:tcMar>
            <w:hideMark/>
          </w:tcPr>
          <w:p w14:paraId="1D2557AE" w14:textId="45DE7B58" w:rsidR="00E93868" w:rsidRPr="00FF3E4F" w:rsidRDefault="00E93868" w:rsidP="00DE27F7">
            <w:pPr>
              <w:pStyle w:val="TableBodyTextright"/>
              <w:rPr>
                <w:sz w:val="18"/>
                <w:szCs w:val="18"/>
                <w:lang w:eastAsia="en-AU"/>
              </w:rPr>
            </w:pPr>
            <w:r w:rsidRPr="00FF3E4F">
              <w:rPr>
                <w:sz w:val="18"/>
                <w:szCs w:val="18"/>
                <w:lang w:eastAsia="en-AU"/>
              </w:rPr>
              <w:t>4.6</w:t>
            </w:r>
          </w:p>
        </w:tc>
        <w:tc>
          <w:tcPr>
            <w:tcW w:w="530" w:type="pct"/>
            <w:noWrap/>
            <w:tcMar>
              <w:left w:w="57" w:type="dxa"/>
              <w:right w:w="57" w:type="dxa"/>
            </w:tcMar>
            <w:hideMark/>
          </w:tcPr>
          <w:p w14:paraId="3CA16FC6" w14:textId="4DE836D8" w:rsidR="00E93868" w:rsidRPr="00FF3E4F" w:rsidRDefault="00E93868" w:rsidP="00DE27F7">
            <w:pPr>
              <w:pStyle w:val="TableBodyTextright"/>
              <w:rPr>
                <w:sz w:val="18"/>
                <w:szCs w:val="18"/>
                <w:lang w:eastAsia="en-AU"/>
              </w:rPr>
            </w:pPr>
            <w:r w:rsidRPr="00FF3E4F">
              <w:rPr>
                <w:sz w:val="18"/>
                <w:szCs w:val="18"/>
                <w:lang w:eastAsia="en-AU"/>
              </w:rPr>
              <w:t xml:space="preserve">208.4 </w:t>
            </w:r>
          </w:p>
        </w:tc>
        <w:tc>
          <w:tcPr>
            <w:tcW w:w="303" w:type="pct"/>
            <w:noWrap/>
            <w:tcMar>
              <w:left w:w="57" w:type="dxa"/>
              <w:right w:w="57" w:type="dxa"/>
            </w:tcMar>
            <w:hideMark/>
          </w:tcPr>
          <w:p w14:paraId="1849D64C" w14:textId="52C8EA62" w:rsidR="00E93868" w:rsidRPr="00FF3E4F" w:rsidRDefault="00E93868" w:rsidP="00DE27F7">
            <w:pPr>
              <w:pStyle w:val="TableBodyTextright"/>
              <w:rPr>
                <w:sz w:val="18"/>
                <w:szCs w:val="18"/>
                <w:lang w:eastAsia="en-AU"/>
              </w:rPr>
            </w:pPr>
            <w:r w:rsidRPr="00FF3E4F">
              <w:rPr>
                <w:sz w:val="18"/>
                <w:szCs w:val="18"/>
                <w:lang w:eastAsia="en-AU"/>
              </w:rPr>
              <w:t>1.3</w:t>
            </w:r>
          </w:p>
        </w:tc>
        <w:tc>
          <w:tcPr>
            <w:tcW w:w="455" w:type="pct"/>
            <w:noWrap/>
            <w:tcMar>
              <w:left w:w="57" w:type="dxa"/>
              <w:right w:w="57" w:type="dxa"/>
            </w:tcMar>
            <w:hideMark/>
          </w:tcPr>
          <w:p w14:paraId="63AEF381" w14:textId="17D65E02" w:rsidR="00E93868" w:rsidRPr="00FF3E4F" w:rsidRDefault="00E93868" w:rsidP="00DE27F7">
            <w:pPr>
              <w:pStyle w:val="TableBodyTextright"/>
              <w:rPr>
                <w:sz w:val="18"/>
                <w:szCs w:val="18"/>
                <w:lang w:eastAsia="en-AU"/>
              </w:rPr>
            </w:pPr>
            <w:r w:rsidRPr="00FF3E4F">
              <w:rPr>
                <w:sz w:val="18"/>
                <w:szCs w:val="18"/>
                <w:lang w:eastAsia="en-AU"/>
              </w:rPr>
              <w:t xml:space="preserve">23.7 </w:t>
            </w:r>
          </w:p>
        </w:tc>
        <w:tc>
          <w:tcPr>
            <w:tcW w:w="306" w:type="pct"/>
            <w:noWrap/>
            <w:tcMar>
              <w:left w:w="57" w:type="dxa"/>
              <w:right w:w="57" w:type="dxa"/>
            </w:tcMar>
            <w:hideMark/>
          </w:tcPr>
          <w:p w14:paraId="49C08A28" w14:textId="079CEDFF" w:rsidR="00E93868" w:rsidRPr="00FF3E4F" w:rsidRDefault="00E93868" w:rsidP="00DE27F7">
            <w:pPr>
              <w:pStyle w:val="TableBodyTextright"/>
              <w:rPr>
                <w:sz w:val="18"/>
                <w:szCs w:val="18"/>
                <w:lang w:eastAsia="en-AU"/>
              </w:rPr>
            </w:pPr>
            <w:r w:rsidRPr="00FF3E4F">
              <w:rPr>
                <w:sz w:val="18"/>
                <w:szCs w:val="18"/>
                <w:lang w:eastAsia="en-AU"/>
              </w:rPr>
              <w:t>12.8</w:t>
            </w:r>
          </w:p>
        </w:tc>
      </w:tr>
      <w:tr w:rsidR="00C453B6" w:rsidRPr="00FF3E4F" w14:paraId="5A9D4462" w14:textId="77777777" w:rsidTr="00C453B6">
        <w:trPr>
          <w:trHeight w:val="280"/>
        </w:trPr>
        <w:tc>
          <w:tcPr>
            <w:tcW w:w="1056" w:type="pct"/>
            <w:noWrap/>
            <w:tcMar>
              <w:left w:w="57" w:type="dxa"/>
              <w:right w:w="57" w:type="dxa"/>
            </w:tcMar>
            <w:hideMark/>
          </w:tcPr>
          <w:p w14:paraId="4339C75A" w14:textId="77777777" w:rsidR="00E93868" w:rsidRPr="00FF3E4F" w:rsidRDefault="00E93868" w:rsidP="0065586F">
            <w:pPr>
              <w:pStyle w:val="TableBodyText"/>
              <w:rPr>
                <w:sz w:val="18"/>
                <w:szCs w:val="18"/>
                <w:lang w:eastAsia="en-AU"/>
              </w:rPr>
            </w:pPr>
            <w:r w:rsidRPr="00FF3E4F">
              <w:rPr>
                <w:sz w:val="18"/>
                <w:szCs w:val="18"/>
                <w:lang w:eastAsia="en-AU"/>
              </w:rPr>
              <w:t>Financial and Insurance Services</w:t>
            </w:r>
          </w:p>
        </w:tc>
        <w:tc>
          <w:tcPr>
            <w:tcW w:w="531" w:type="pct"/>
            <w:noWrap/>
            <w:tcMar>
              <w:left w:w="57" w:type="dxa"/>
              <w:right w:w="57" w:type="dxa"/>
            </w:tcMar>
            <w:hideMark/>
          </w:tcPr>
          <w:p w14:paraId="1AA1AFA0" w14:textId="65F07CB3" w:rsidR="00E93868" w:rsidRPr="00FF3E4F" w:rsidRDefault="00E93868" w:rsidP="00DE27F7">
            <w:pPr>
              <w:pStyle w:val="TableBodyTextright"/>
              <w:rPr>
                <w:sz w:val="18"/>
                <w:szCs w:val="18"/>
                <w:lang w:eastAsia="en-AU"/>
              </w:rPr>
            </w:pPr>
            <w:r w:rsidRPr="00FF3E4F">
              <w:rPr>
                <w:sz w:val="18"/>
                <w:szCs w:val="18"/>
                <w:lang w:eastAsia="en-AU"/>
              </w:rPr>
              <w:t xml:space="preserve">572.1 </w:t>
            </w:r>
          </w:p>
        </w:tc>
        <w:tc>
          <w:tcPr>
            <w:tcW w:w="304" w:type="pct"/>
            <w:noWrap/>
            <w:tcMar>
              <w:left w:w="57" w:type="dxa"/>
              <w:right w:w="57" w:type="dxa"/>
            </w:tcMar>
            <w:hideMark/>
          </w:tcPr>
          <w:p w14:paraId="47DB3E21" w14:textId="0B782A67" w:rsidR="00E93868" w:rsidRPr="00FF3E4F" w:rsidRDefault="00E93868" w:rsidP="00DE27F7">
            <w:pPr>
              <w:pStyle w:val="TableBodyTextright"/>
              <w:rPr>
                <w:sz w:val="18"/>
                <w:szCs w:val="18"/>
                <w:lang w:eastAsia="en-AU"/>
              </w:rPr>
            </w:pPr>
            <w:r w:rsidRPr="00FF3E4F">
              <w:rPr>
                <w:sz w:val="18"/>
                <w:szCs w:val="18"/>
                <w:lang w:eastAsia="en-AU"/>
              </w:rPr>
              <w:t>3.9</w:t>
            </w:r>
          </w:p>
        </w:tc>
        <w:tc>
          <w:tcPr>
            <w:tcW w:w="530" w:type="pct"/>
            <w:noWrap/>
            <w:tcMar>
              <w:left w:w="57" w:type="dxa"/>
              <w:right w:w="57" w:type="dxa"/>
            </w:tcMar>
            <w:hideMark/>
          </w:tcPr>
          <w:p w14:paraId="40EB49E3" w14:textId="669C127D" w:rsidR="00E93868" w:rsidRPr="00FF3E4F" w:rsidRDefault="00E93868" w:rsidP="00DE27F7">
            <w:pPr>
              <w:pStyle w:val="TableBodyTextright"/>
              <w:rPr>
                <w:sz w:val="18"/>
                <w:szCs w:val="18"/>
                <w:lang w:eastAsia="en-AU"/>
              </w:rPr>
            </w:pPr>
            <w:r w:rsidRPr="00FF3E4F">
              <w:rPr>
                <w:sz w:val="18"/>
                <w:szCs w:val="18"/>
                <w:lang w:eastAsia="en-AU"/>
              </w:rPr>
              <w:t xml:space="preserve">608.6 </w:t>
            </w:r>
          </w:p>
        </w:tc>
        <w:tc>
          <w:tcPr>
            <w:tcW w:w="303" w:type="pct"/>
            <w:noWrap/>
            <w:tcMar>
              <w:left w:w="57" w:type="dxa"/>
              <w:right w:w="57" w:type="dxa"/>
            </w:tcMar>
            <w:hideMark/>
          </w:tcPr>
          <w:p w14:paraId="1D7E5166" w14:textId="0AAF2CEB" w:rsidR="00E93868" w:rsidRPr="00FF3E4F" w:rsidRDefault="00E93868" w:rsidP="00DE27F7">
            <w:pPr>
              <w:pStyle w:val="TableBodyTextright"/>
              <w:rPr>
                <w:sz w:val="18"/>
                <w:szCs w:val="18"/>
                <w:lang w:eastAsia="en-AU"/>
              </w:rPr>
            </w:pPr>
            <w:r w:rsidRPr="00FF3E4F">
              <w:rPr>
                <w:sz w:val="18"/>
                <w:szCs w:val="18"/>
                <w:lang w:eastAsia="en-AU"/>
              </w:rPr>
              <w:t>6.4</w:t>
            </w:r>
          </w:p>
        </w:tc>
        <w:tc>
          <w:tcPr>
            <w:tcW w:w="379" w:type="pct"/>
            <w:noWrap/>
            <w:tcMar>
              <w:left w:w="57" w:type="dxa"/>
              <w:right w:w="57" w:type="dxa"/>
            </w:tcMar>
            <w:hideMark/>
          </w:tcPr>
          <w:p w14:paraId="120577EB" w14:textId="01D4EE5E" w:rsidR="00E93868" w:rsidRPr="00FF3E4F" w:rsidRDefault="00E93868" w:rsidP="00DE27F7">
            <w:pPr>
              <w:pStyle w:val="TableBodyTextright"/>
              <w:rPr>
                <w:sz w:val="18"/>
                <w:szCs w:val="18"/>
                <w:lang w:eastAsia="en-AU"/>
              </w:rPr>
            </w:pPr>
            <w:r w:rsidRPr="00FF3E4F">
              <w:rPr>
                <w:sz w:val="18"/>
                <w:szCs w:val="18"/>
                <w:lang w:eastAsia="en-AU"/>
              </w:rPr>
              <w:t xml:space="preserve">36.5 </w:t>
            </w:r>
          </w:p>
        </w:tc>
        <w:tc>
          <w:tcPr>
            <w:tcW w:w="303" w:type="pct"/>
            <w:noWrap/>
            <w:tcMar>
              <w:left w:w="57" w:type="dxa"/>
              <w:right w:w="57" w:type="dxa"/>
            </w:tcMar>
            <w:hideMark/>
          </w:tcPr>
          <w:p w14:paraId="76D63F3F" w14:textId="1CE8552D" w:rsidR="00E93868" w:rsidRPr="00FF3E4F" w:rsidRDefault="00E93868" w:rsidP="00DE27F7">
            <w:pPr>
              <w:pStyle w:val="TableBodyTextright"/>
              <w:rPr>
                <w:sz w:val="18"/>
                <w:szCs w:val="18"/>
                <w:lang w:eastAsia="en-AU"/>
              </w:rPr>
            </w:pPr>
            <w:r w:rsidRPr="00FF3E4F">
              <w:rPr>
                <w:sz w:val="18"/>
                <w:szCs w:val="18"/>
                <w:lang w:eastAsia="en-AU"/>
              </w:rPr>
              <w:t>6.4</w:t>
            </w:r>
          </w:p>
        </w:tc>
        <w:tc>
          <w:tcPr>
            <w:tcW w:w="530" w:type="pct"/>
            <w:noWrap/>
            <w:tcMar>
              <w:left w:w="57" w:type="dxa"/>
              <w:right w:w="57" w:type="dxa"/>
            </w:tcMar>
            <w:hideMark/>
          </w:tcPr>
          <w:p w14:paraId="14453BAA" w14:textId="7CB9025E" w:rsidR="00E93868" w:rsidRPr="00FF3E4F" w:rsidRDefault="00E93868" w:rsidP="00DE27F7">
            <w:pPr>
              <w:pStyle w:val="TableBodyTextright"/>
              <w:rPr>
                <w:sz w:val="18"/>
                <w:szCs w:val="18"/>
                <w:lang w:eastAsia="en-AU"/>
              </w:rPr>
            </w:pPr>
            <w:r w:rsidRPr="00FF3E4F">
              <w:rPr>
                <w:sz w:val="18"/>
                <w:szCs w:val="18"/>
                <w:lang w:eastAsia="en-AU"/>
              </w:rPr>
              <w:t xml:space="preserve">650.5 </w:t>
            </w:r>
          </w:p>
        </w:tc>
        <w:tc>
          <w:tcPr>
            <w:tcW w:w="303" w:type="pct"/>
            <w:noWrap/>
            <w:tcMar>
              <w:left w:w="57" w:type="dxa"/>
              <w:right w:w="57" w:type="dxa"/>
            </w:tcMar>
            <w:hideMark/>
          </w:tcPr>
          <w:p w14:paraId="3F0EB243" w14:textId="028827F6" w:rsidR="00E93868" w:rsidRPr="00FF3E4F" w:rsidRDefault="00E93868" w:rsidP="00DE27F7">
            <w:pPr>
              <w:pStyle w:val="TableBodyTextright"/>
              <w:rPr>
                <w:sz w:val="18"/>
                <w:szCs w:val="18"/>
                <w:lang w:eastAsia="en-AU"/>
              </w:rPr>
            </w:pPr>
            <w:r w:rsidRPr="00FF3E4F">
              <w:rPr>
                <w:sz w:val="18"/>
                <w:szCs w:val="18"/>
                <w:lang w:eastAsia="en-AU"/>
              </w:rPr>
              <w:t>3.9</w:t>
            </w:r>
          </w:p>
        </w:tc>
        <w:tc>
          <w:tcPr>
            <w:tcW w:w="455" w:type="pct"/>
            <w:noWrap/>
            <w:tcMar>
              <w:left w:w="57" w:type="dxa"/>
              <w:right w:w="57" w:type="dxa"/>
            </w:tcMar>
            <w:hideMark/>
          </w:tcPr>
          <w:p w14:paraId="31D99573" w14:textId="5F25A265" w:rsidR="00E93868" w:rsidRPr="00FF3E4F" w:rsidRDefault="00E93868" w:rsidP="00DE27F7">
            <w:pPr>
              <w:pStyle w:val="TableBodyTextright"/>
              <w:rPr>
                <w:sz w:val="18"/>
                <w:szCs w:val="18"/>
                <w:lang w:eastAsia="en-AU"/>
              </w:rPr>
            </w:pPr>
            <w:r w:rsidRPr="00FF3E4F">
              <w:rPr>
                <w:sz w:val="18"/>
                <w:szCs w:val="18"/>
                <w:lang w:eastAsia="en-AU"/>
              </w:rPr>
              <w:t xml:space="preserve">78.4 </w:t>
            </w:r>
          </w:p>
        </w:tc>
        <w:tc>
          <w:tcPr>
            <w:tcW w:w="306" w:type="pct"/>
            <w:noWrap/>
            <w:tcMar>
              <w:left w:w="57" w:type="dxa"/>
              <w:right w:w="57" w:type="dxa"/>
            </w:tcMar>
            <w:hideMark/>
          </w:tcPr>
          <w:p w14:paraId="03471FD8" w14:textId="7B264F55" w:rsidR="00E93868" w:rsidRPr="00FF3E4F" w:rsidRDefault="00E93868" w:rsidP="00DE27F7">
            <w:pPr>
              <w:pStyle w:val="TableBodyTextright"/>
              <w:rPr>
                <w:sz w:val="18"/>
                <w:szCs w:val="18"/>
                <w:lang w:eastAsia="en-AU"/>
              </w:rPr>
            </w:pPr>
            <w:r w:rsidRPr="00FF3E4F">
              <w:rPr>
                <w:sz w:val="18"/>
                <w:szCs w:val="18"/>
                <w:lang w:eastAsia="en-AU"/>
              </w:rPr>
              <w:t>13.7</w:t>
            </w:r>
          </w:p>
        </w:tc>
      </w:tr>
      <w:tr w:rsidR="00C453B6" w:rsidRPr="00FF3E4F" w14:paraId="60AE5A2C" w14:textId="77777777" w:rsidTr="00C453B6">
        <w:trPr>
          <w:cnfStyle w:val="000000010000" w:firstRow="0" w:lastRow="0" w:firstColumn="0" w:lastColumn="0" w:oddVBand="0" w:evenVBand="0" w:oddHBand="0" w:evenHBand="1" w:firstRowFirstColumn="0" w:firstRowLastColumn="0" w:lastRowFirstColumn="0" w:lastRowLastColumn="0"/>
          <w:trHeight w:val="280"/>
        </w:trPr>
        <w:tc>
          <w:tcPr>
            <w:tcW w:w="1056" w:type="pct"/>
            <w:noWrap/>
            <w:tcMar>
              <w:left w:w="57" w:type="dxa"/>
              <w:right w:w="57" w:type="dxa"/>
            </w:tcMar>
            <w:hideMark/>
          </w:tcPr>
          <w:p w14:paraId="5E55562B" w14:textId="77777777" w:rsidR="00E93868" w:rsidRPr="00FF3E4F" w:rsidRDefault="00E93868" w:rsidP="0065586F">
            <w:pPr>
              <w:pStyle w:val="TableBodyText"/>
              <w:rPr>
                <w:sz w:val="18"/>
                <w:szCs w:val="18"/>
                <w:lang w:eastAsia="en-AU"/>
              </w:rPr>
            </w:pPr>
            <w:r w:rsidRPr="00FF3E4F">
              <w:rPr>
                <w:sz w:val="18"/>
                <w:szCs w:val="18"/>
                <w:lang w:eastAsia="en-AU"/>
              </w:rPr>
              <w:t>Rental, Hiring and Real Estate Services</w:t>
            </w:r>
          </w:p>
        </w:tc>
        <w:tc>
          <w:tcPr>
            <w:tcW w:w="531" w:type="pct"/>
            <w:noWrap/>
            <w:tcMar>
              <w:left w:w="57" w:type="dxa"/>
              <w:right w:w="57" w:type="dxa"/>
            </w:tcMar>
            <w:hideMark/>
          </w:tcPr>
          <w:p w14:paraId="0AD7960D" w14:textId="5885FB20" w:rsidR="00E93868" w:rsidRPr="00FF3E4F" w:rsidRDefault="00E93868" w:rsidP="00DE27F7">
            <w:pPr>
              <w:pStyle w:val="TableBodyTextright"/>
              <w:rPr>
                <w:sz w:val="18"/>
                <w:szCs w:val="18"/>
                <w:lang w:eastAsia="en-AU"/>
              </w:rPr>
            </w:pPr>
            <w:r w:rsidRPr="00FF3E4F">
              <w:rPr>
                <w:sz w:val="18"/>
                <w:szCs w:val="18"/>
                <w:lang w:eastAsia="en-AU"/>
              </w:rPr>
              <w:t xml:space="preserve">244.5 </w:t>
            </w:r>
          </w:p>
        </w:tc>
        <w:tc>
          <w:tcPr>
            <w:tcW w:w="304" w:type="pct"/>
            <w:noWrap/>
            <w:tcMar>
              <w:left w:w="57" w:type="dxa"/>
              <w:right w:w="57" w:type="dxa"/>
            </w:tcMar>
            <w:hideMark/>
          </w:tcPr>
          <w:p w14:paraId="0BA42FD1" w14:textId="06AD80D1" w:rsidR="00E93868" w:rsidRPr="00FF3E4F" w:rsidRDefault="00E93868" w:rsidP="00DE27F7">
            <w:pPr>
              <w:pStyle w:val="TableBodyTextright"/>
              <w:rPr>
                <w:sz w:val="18"/>
                <w:szCs w:val="18"/>
                <w:lang w:eastAsia="en-AU"/>
              </w:rPr>
            </w:pPr>
            <w:r w:rsidRPr="00FF3E4F">
              <w:rPr>
                <w:sz w:val="18"/>
                <w:szCs w:val="18"/>
                <w:lang w:eastAsia="en-AU"/>
              </w:rPr>
              <w:t>1.7</w:t>
            </w:r>
          </w:p>
        </w:tc>
        <w:tc>
          <w:tcPr>
            <w:tcW w:w="530" w:type="pct"/>
            <w:noWrap/>
            <w:tcMar>
              <w:left w:w="57" w:type="dxa"/>
              <w:right w:w="57" w:type="dxa"/>
            </w:tcMar>
            <w:hideMark/>
          </w:tcPr>
          <w:p w14:paraId="34CB1628" w14:textId="4B9F4614" w:rsidR="00E93868" w:rsidRPr="00FF3E4F" w:rsidRDefault="00E93868" w:rsidP="00DE27F7">
            <w:pPr>
              <w:pStyle w:val="TableBodyTextright"/>
              <w:rPr>
                <w:sz w:val="18"/>
                <w:szCs w:val="18"/>
                <w:lang w:eastAsia="en-AU"/>
              </w:rPr>
            </w:pPr>
            <w:r w:rsidRPr="00FF3E4F">
              <w:rPr>
                <w:sz w:val="18"/>
                <w:szCs w:val="18"/>
                <w:lang w:eastAsia="en-AU"/>
              </w:rPr>
              <w:t xml:space="preserve">262.0 </w:t>
            </w:r>
          </w:p>
        </w:tc>
        <w:tc>
          <w:tcPr>
            <w:tcW w:w="303" w:type="pct"/>
            <w:noWrap/>
            <w:tcMar>
              <w:left w:w="57" w:type="dxa"/>
              <w:right w:w="57" w:type="dxa"/>
            </w:tcMar>
            <w:hideMark/>
          </w:tcPr>
          <w:p w14:paraId="6E1DBCF8" w14:textId="76FA888F" w:rsidR="00E93868" w:rsidRPr="00FF3E4F" w:rsidRDefault="00E93868" w:rsidP="00DE27F7">
            <w:pPr>
              <w:pStyle w:val="TableBodyTextright"/>
              <w:rPr>
                <w:sz w:val="18"/>
                <w:szCs w:val="18"/>
                <w:lang w:eastAsia="en-AU"/>
              </w:rPr>
            </w:pPr>
            <w:r w:rsidRPr="00FF3E4F">
              <w:rPr>
                <w:sz w:val="18"/>
                <w:szCs w:val="18"/>
                <w:lang w:eastAsia="en-AU"/>
              </w:rPr>
              <w:t>7.1</w:t>
            </w:r>
          </w:p>
        </w:tc>
        <w:tc>
          <w:tcPr>
            <w:tcW w:w="379" w:type="pct"/>
            <w:noWrap/>
            <w:tcMar>
              <w:left w:w="57" w:type="dxa"/>
              <w:right w:w="57" w:type="dxa"/>
            </w:tcMar>
            <w:hideMark/>
          </w:tcPr>
          <w:p w14:paraId="05E75807" w14:textId="4468EFBC" w:rsidR="00E93868" w:rsidRPr="00FF3E4F" w:rsidRDefault="00E93868" w:rsidP="00DE27F7">
            <w:pPr>
              <w:pStyle w:val="TableBodyTextright"/>
              <w:rPr>
                <w:sz w:val="18"/>
                <w:szCs w:val="18"/>
                <w:lang w:eastAsia="en-AU"/>
              </w:rPr>
            </w:pPr>
            <w:r w:rsidRPr="00FF3E4F">
              <w:rPr>
                <w:sz w:val="18"/>
                <w:szCs w:val="18"/>
                <w:lang w:eastAsia="en-AU"/>
              </w:rPr>
              <w:t xml:space="preserve">17.5 </w:t>
            </w:r>
          </w:p>
        </w:tc>
        <w:tc>
          <w:tcPr>
            <w:tcW w:w="303" w:type="pct"/>
            <w:noWrap/>
            <w:tcMar>
              <w:left w:w="57" w:type="dxa"/>
              <w:right w:w="57" w:type="dxa"/>
            </w:tcMar>
            <w:hideMark/>
          </w:tcPr>
          <w:p w14:paraId="1728C79B" w14:textId="27E09454" w:rsidR="00E93868" w:rsidRPr="00FF3E4F" w:rsidRDefault="00E93868" w:rsidP="00DE27F7">
            <w:pPr>
              <w:pStyle w:val="TableBodyTextright"/>
              <w:rPr>
                <w:sz w:val="18"/>
                <w:szCs w:val="18"/>
                <w:lang w:eastAsia="en-AU"/>
              </w:rPr>
            </w:pPr>
            <w:r w:rsidRPr="00FF3E4F">
              <w:rPr>
                <w:sz w:val="18"/>
                <w:szCs w:val="18"/>
                <w:lang w:eastAsia="en-AU"/>
              </w:rPr>
              <w:t>7.1</w:t>
            </w:r>
          </w:p>
        </w:tc>
        <w:tc>
          <w:tcPr>
            <w:tcW w:w="530" w:type="pct"/>
            <w:noWrap/>
            <w:tcMar>
              <w:left w:w="57" w:type="dxa"/>
              <w:right w:w="57" w:type="dxa"/>
            </w:tcMar>
            <w:hideMark/>
          </w:tcPr>
          <w:p w14:paraId="127E4E97" w14:textId="08CB4FB1" w:rsidR="00E93868" w:rsidRPr="00FF3E4F" w:rsidRDefault="00E93868" w:rsidP="00DE27F7">
            <w:pPr>
              <w:pStyle w:val="TableBodyTextright"/>
              <w:rPr>
                <w:sz w:val="18"/>
                <w:szCs w:val="18"/>
                <w:lang w:eastAsia="en-AU"/>
              </w:rPr>
            </w:pPr>
            <w:r w:rsidRPr="00FF3E4F">
              <w:rPr>
                <w:sz w:val="18"/>
                <w:szCs w:val="18"/>
                <w:lang w:eastAsia="en-AU"/>
              </w:rPr>
              <w:t xml:space="preserve">278.4 </w:t>
            </w:r>
          </w:p>
        </w:tc>
        <w:tc>
          <w:tcPr>
            <w:tcW w:w="303" w:type="pct"/>
            <w:noWrap/>
            <w:tcMar>
              <w:left w:w="57" w:type="dxa"/>
              <w:right w:w="57" w:type="dxa"/>
            </w:tcMar>
            <w:hideMark/>
          </w:tcPr>
          <w:p w14:paraId="1299C310" w14:textId="726DCC86" w:rsidR="00E93868" w:rsidRPr="00FF3E4F" w:rsidRDefault="00E93868" w:rsidP="00DE27F7">
            <w:pPr>
              <w:pStyle w:val="TableBodyTextright"/>
              <w:rPr>
                <w:sz w:val="18"/>
                <w:szCs w:val="18"/>
                <w:lang w:eastAsia="en-AU"/>
              </w:rPr>
            </w:pPr>
            <w:r w:rsidRPr="00FF3E4F">
              <w:rPr>
                <w:sz w:val="18"/>
                <w:szCs w:val="18"/>
                <w:lang w:eastAsia="en-AU"/>
              </w:rPr>
              <w:t>1.7</w:t>
            </w:r>
          </w:p>
        </w:tc>
        <w:tc>
          <w:tcPr>
            <w:tcW w:w="455" w:type="pct"/>
            <w:noWrap/>
            <w:tcMar>
              <w:left w:w="57" w:type="dxa"/>
              <w:right w:w="57" w:type="dxa"/>
            </w:tcMar>
            <w:hideMark/>
          </w:tcPr>
          <w:p w14:paraId="2FDCE5E0" w14:textId="6F96A2D7" w:rsidR="00E93868" w:rsidRPr="00FF3E4F" w:rsidRDefault="00E93868" w:rsidP="00DE27F7">
            <w:pPr>
              <w:pStyle w:val="TableBodyTextright"/>
              <w:rPr>
                <w:sz w:val="18"/>
                <w:szCs w:val="18"/>
                <w:lang w:eastAsia="en-AU"/>
              </w:rPr>
            </w:pPr>
            <w:r w:rsidRPr="00FF3E4F">
              <w:rPr>
                <w:sz w:val="18"/>
                <w:szCs w:val="18"/>
                <w:lang w:eastAsia="en-AU"/>
              </w:rPr>
              <w:t xml:space="preserve">33.9 </w:t>
            </w:r>
          </w:p>
        </w:tc>
        <w:tc>
          <w:tcPr>
            <w:tcW w:w="306" w:type="pct"/>
            <w:noWrap/>
            <w:tcMar>
              <w:left w:w="57" w:type="dxa"/>
              <w:right w:w="57" w:type="dxa"/>
            </w:tcMar>
            <w:hideMark/>
          </w:tcPr>
          <w:p w14:paraId="486B8A88" w14:textId="6E06149A" w:rsidR="00E93868" w:rsidRPr="00FF3E4F" w:rsidRDefault="00E93868" w:rsidP="00DE27F7">
            <w:pPr>
              <w:pStyle w:val="TableBodyTextright"/>
              <w:rPr>
                <w:sz w:val="18"/>
                <w:szCs w:val="18"/>
                <w:lang w:eastAsia="en-AU"/>
              </w:rPr>
            </w:pPr>
            <w:r w:rsidRPr="00FF3E4F">
              <w:rPr>
                <w:sz w:val="18"/>
                <w:szCs w:val="18"/>
                <w:lang w:eastAsia="en-AU"/>
              </w:rPr>
              <w:t>13.8</w:t>
            </w:r>
          </w:p>
        </w:tc>
      </w:tr>
      <w:tr w:rsidR="00C453B6" w:rsidRPr="00FF3E4F" w14:paraId="5D1EA8F1" w14:textId="77777777" w:rsidTr="00C453B6">
        <w:trPr>
          <w:trHeight w:val="280"/>
        </w:trPr>
        <w:tc>
          <w:tcPr>
            <w:tcW w:w="1056" w:type="pct"/>
            <w:noWrap/>
            <w:tcMar>
              <w:left w:w="57" w:type="dxa"/>
              <w:right w:w="57" w:type="dxa"/>
            </w:tcMar>
            <w:hideMark/>
          </w:tcPr>
          <w:p w14:paraId="1BC630DD" w14:textId="77777777" w:rsidR="00E93868" w:rsidRPr="00FF3E4F" w:rsidRDefault="00E93868" w:rsidP="0065586F">
            <w:pPr>
              <w:pStyle w:val="TableBodyText"/>
              <w:rPr>
                <w:sz w:val="18"/>
                <w:szCs w:val="18"/>
                <w:lang w:eastAsia="en-AU"/>
              </w:rPr>
            </w:pPr>
            <w:r w:rsidRPr="00FF3E4F">
              <w:rPr>
                <w:sz w:val="18"/>
                <w:szCs w:val="18"/>
                <w:lang w:eastAsia="en-AU"/>
              </w:rPr>
              <w:t>Professional, Scientific and Technical Services</w:t>
            </w:r>
          </w:p>
        </w:tc>
        <w:tc>
          <w:tcPr>
            <w:tcW w:w="531" w:type="pct"/>
            <w:noWrap/>
            <w:tcMar>
              <w:left w:w="57" w:type="dxa"/>
              <w:right w:w="57" w:type="dxa"/>
            </w:tcMar>
            <w:hideMark/>
          </w:tcPr>
          <w:p w14:paraId="1D4D50D3" w14:textId="73741F71" w:rsidR="00E93868" w:rsidRPr="00FF3E4F" w:rsidRDefault="00E93868" w:rsidP="00DE27F7">
            <w:pPr>
              <w:pStyle w:val="TableBodyTextright"/>
              <w:rPr>
                <w:sz w:val="18"/>
                <w:szCs w:val="18"/>
                <w:lang w:eastAsia="en-AU"/>
              </w:rPr>
            </w:pPr>
            <w:r w:rsidRPr="00FF3E4F">
              <w:rPr>
                <w:sz w:val="18"/>
                <w:szCs w:val="18"/>
                <w:lang w:eastAsia="en-AU"/>
              </w:rPr>
              <w:t xml:space="preserve">1,351.6 </w:t>
            </w:r>
          </w:p>
        </w:tc>
        <w:tc>
          <w:tcPr>
            <w:tcW w:w="304" w:type="pct"/>
            <w:noWrap/>
            <w:tcMar>
              <w:left w:w="57" w:type="dxa"/>
              <w:right w:w="57" w:type="dxa"/>
            </w:tcMar>
            <w:hideMark/>
          </w:tcPr>
          <w:p w14:paraId="3A226D85" w14:textId="6019DBAD" w:rsidR="00E93868" w:rsidRPr="00FF3E4F" w:rsidRDefault="00E93868" w:rsidP="00DE27F7">
            <w:pPr>
              <w:pStyle w:val="TableBodyTextright"/>
              <w:rPr>
                <w:sz w:val="18"/>
                <w:szCs w:val="18"/>
                <w:lang w:eastAsia="en-AU"/>
              </w:rPr>
            </w:pPr>
            <w:r w:rsidRPr="00FF3E4F">
              <w:rPr>
                <w:sz w:val="18"/>
                <w:szCs w:val="18"/>
                <w:lang w:eastAsia="en-AU"/>
              </w:rPr>
              <w:t>9.2</w:t>
            </w:r>
          </w:p>
        </w:tc>
        <w:tc>
          <w:tcPr>
            <w:tcW w:w="530" w:type="pct"/>
            <w:noWrap/>
            <w:tcMar>
              <w:left w:w="57" w:type="dxa"/>
              <w:right w:w="57" w:type="dxa"/>
            </w:tcMar>
            <w:hideMark/>
          </w:tcPr>
          <w:p w14:paraId="55D04A00" w14:textId="353E6C55" w:rsidR="00E93868" w:rsidRPr="00FF3E4F" w:rsidRDefault="00E93868" w:rsidP="00DE27F7">
            <w:pPr>
              <w:pStyle w:val="TableBodyTextright"/>
              <w:rPr>
                <w:sz w:val="18"/>
                <w:szCs w:val="18"/>
                <w:lang w:eastAsia="en-AU"/>
              </w:rPr>
            </w:pPr>
            <w:r w:rsidRPr="00FF3E4F">
              <w:rPr>
                <w:sz w:val="18"/>
                <w:szCs w:val="18"/>
                <w:lang w:eastAsia="en-AU"/>
              </w:rPr>
              <w:t xml:space="preserve">1,488.3 </w:t>
            </w:r>
          </w:p>
        </w:tc>
        <w:tc>
          <w:tcPr>
            <w:tcW w:w="303" w:type="pct"/>
            <w:noWrap/>
            <w:tcMar>
              <w:left w:w="57" w:type="dxa"/>
              <w:right w:w="57" w:type="dxa"/>
            </w:tcMar>
            <w:hideMark/>
          </w:tcPr>
          <w:p w14:paraId="32B3D52A" w14:textId="16A95112" w:rsidR="00E93868" w:rsidRPr="00FF3E4F" w:rsidRDefault="00E93868" w:rsidP="00DE27F7">
            <w:pPr>
              <w:pStyle w:val="TableBodyTextright"/>
              <w:rPr>
                <w:sz w:val="18"/>
                <w:szCs w:val="18"/>
                <w:lang w:eastAsia="en-AU"/>
              </w:rPr>
            </w:pPr>
            <w:r w:rsidRPr="00FF3E4F">
              <w:rPr>
                <w:sz w:val="18"/>
                <w:szCs w:val="18"/>
                <w:lang w:eastAsia="en-AU"/>
              </w:rPr>
              <w:t>10.1</w:t>
            </w:r>
          </w:p>
        </w:tc>
        <w:tc>
          <w:tcPr>
            <w:tcW w:w="379" w:type="pct"/>
            <w:noWrap/>
            <w:tcMar>
              <w:left w:w="57" w:type="dxa"/>
              <w:right w:w="57" w:type="dxa"/>
            </w:tcMar>
            <w:hideMark/>
          </w:tcPr>
          <w:p w14:paraId="38058D11" w14:textId="24E13B37" w:rsidR="00E93868" w:rsidRPr="00FF3E4F" w:rsidRDefault="00E93868" w:rsidP="00DE27F7">
            <w:pPr>
              <w:pStyle w:val="TableBodyTextright"/>
              <w:rPr>
                <w:sz w:val="18"/>
                <w:szCs w:val="18"/>
                <w:lang w:eastAsia="en-AU"/>
              </w:rPr>
            </w:pPr>
            <w:r w:rsidRPr="00FF3E4F">
              <w:rPr>
                <w:sz w:val="18"/>
                <w:szCs w:val="18"/>
                <w:lang w:eastAsia="en-AU"/>
              </w:rPr>
              <w:t xml:space="preserve">136.6 </w:t>
            </w:r>
          </w:p>
        </w:tc>
        <w:tc>
          <w:tcPr>
            <w:tcW w:w="303" w:type="pct"/>
            <w:noWrap/>
            <w:tcMar>
              <w:left w:w="57" w:type="dxa"/>
              <w:right w:w="57" w:type="dxa"/>
            </w:tcMar>
            <w:hideMark/>
          </w:tcPr>
          <w:p w14:paraId="480192BA" w14:textId="7B08FECD" w:rsidR="00E93868" w:rsidRPr="00FF3E4F" w:rsidRDefault="00E93868" w:rsidP="00DE27F7">
            <w:pPr>
              <w:pStyle w:val="TableBodyTextright"/>
              <w:rPr>
                <w:sz w:val="18"/>
                <w:szCs w:val="18"/>
                <w:lang w:eastAsia="en-AU"/>
              </w:rPr>
            </w:pPr>
            <w:r w:rsidRPr="00FF3E4F">
              <w:rPr>
                <w:sz w:val="18"/>
                <w:szCs w:val="18"/>
                <w:lang w:eastAsia="en-AU"/>
              </w:rPr>
              <w:t>10.1</w:t>
            </w:r>
          </w:p>
        </w:tc>
        <w:tc>
          <w:tcPr>
            <w:tcW w:w="530" w:type="pct"/>
            <w:noWrap/>
            <w:tcMar>
              <w:left w:w="57" w:type="dxa"/>
              <w:right w:w="57" w:type="dxa"/>
            </w:tcMar>
            <w:hideMark/>
          </w:tcPr>
          <w:p w14:paraId="7F66C355" w14:textId="26C4C4AF" w:rsidR="00E93868" w:rsidRPr="00FF3E4F" w:rsidRDefault="00E93868" w:rsidP="00DE27F7">
            <w:pPr>
              <w:pStyle w:val="TableBodyTextright"/>
              <w:rPr>
                <w:sz w:val="18"/>
                <w:szCs w:val="18"/>
                <w:lang w:eastAsia="en-AU"/>
              </w:rPr>
            </w:pPr>
            <w:r w:rsidRPr="00FF3E4F">
              <w:rPr>
                <w:sz w:val="18"/>
                <w:szCs w:val="18"/>
                <w:lang w:eastAsia="en-AU"/>
              </w:rPr>
              <w:t xml:space="preserve">1,601.7 </w:t>
            </w:r>
          </w:p>
        </w:tc>
        <w:tc>
          <w:tcPr>
            <w:tcW w:w="303" w:type="pct"/>
            <w:noWrap/>
            <w:tcMar>
              <w:left w:w="57" w:type="dxa"/>
              <w:right w:w="57" w:type="dxa"/>
            </w:tcMar>
            <w:hideMark/>
          </w:tcPr>
          <w:p w14:paraId="246084F3" w14:textId="4BB5A6F0" w:rsidR="00E93868" w:rsidRPr="00FF3E4F" w:rsidRDefault="00E93868" w:rsidP="00DE27F7">
            <w:pPr>
              <w:pStyle w:val="TableBodyTextright"/>
              <w:rPr>
                <w:sz w:val="18"/>
                <w:szCs w:val="18"/>
                <w:lang w:eastAsia="en-AU"/>
              </w:rPr>
            </w:pPr>
            <w:r w:rsidRPr="00FF3E4F">
              <w:rPr>
                <w:sz w:val="18"/>
                <w:szCs w:val="18"/>
                <w:lang w:eastAsia="en-AU"/>
              </w:rPr>
              <w:t>9.6</w:t>
            </w:r>
          </w:p>
        </w:tc>
        <w:tc>
          <w:tcPr>
            <w:tcW w:w="455" w:type="pct"/>
            <w:noWrap/>
            <w:tcMar>
              <w:left w:w="57" w:type="dxa"/>
              <w:right w:w="57" w:type="dxa"/>
            </w:tcMar>
            <w:hideMark/>
          </w:tcPr>
          <w:p w14:paraId="25D91580" w14:textId="6DC34641" w:rsidR="00E93868" w:rsidRPr="00FF3E4F" w:rsidRDefault="00E93868" w:rsidP="00DE27F7">
            <w:pPr>
              <w:pStyle w:val="TableBodyTextright"/>
              <w:rPr>
                <w:sz w:val="18"/>
                <w:szCs w:val="18"/>
                <w:lang w:eastAsia="en-AU"/>
              </w:rPr>
            </w:pPr>
            <w:r w:rsidRPr="00FF3E4F">
              <w:rPr>
                <w:sz w:val="18"/>
                <w:szCs w:val="18"/>
                <w:lang w:eastAsia="en-AU"/>
              </w:rPr>
              <w:t xml:space="preserve">250.1 </w:t>
            </w:r>
          </w:p>
        </w:tc>
        <w:tc>
          <w:tcPr>
            <w:tcW w:w="306" w:type="pct"/>
            <w:noWrap/>
            <w:tcMar>
              <w:left w:w="57" w:type="dxa"/>
              <w:right w:w="57" w:type="dxa"/>
            </w:tcMar>
            <w:hideMark/>
          </w:tcPr>
          <w:p w14:paraId="141AA452" w14:textId="5CDB4196" w:rsidR="00E93868" w:rsidRPr="00FF3E4F" w:rsidRDefault="00E93868" w:rsidP="00DE27F7">
            <w:pPr>
              <w:pStyle w:val="TableBodyTextright"/>
              <w:rPr>
                <w:sz w:val="18"/>
                <w:szCs w:val="18"/>
                <w:lang w:eastAsia="en-AU"/>
              </w:rPr>
            </w:pPr>
            <w:r w:rsidRPr="00FF3E4F">
              <w:rPr>
                <w:sz w:val="18"/>
                <w:szCs w:val="18"/>
                <w:lang w:eastAsia="en-AU"/>
              </w:rPr>
              <w:t>18.5</w:t>
            </w:r>
          </w:p>
        </w:tc>
      </w:tr>
      <w:tr w:rsidR="00C453B6" w:rsidRPr="00FF3E4F" w14:paraId="46E9A26B" w14:textId="77777777" w:rsidTr="00C453B6">
        <w:trPr>
          <w:cnfStyle w:val="000000010000" w:firstRow="0" w:lastRow="0" w:firstColumn="0" w:lastColumn="0" w:oddVBand="0" w:evenVBand="0" w:oddHBand="0" w:evenHBand="1" w:firstRowFirstColumn="0" w:firstRowLastColumn="0" w:lastRowFirstColumn="0" w:lastRowLastColumn="0"/>
          <w:trHeight w:val="280"/>
        </w:trPr>
        <w:tc>
          <w:tcPr>
            <w:tcW w:w="1056" w:type="pct"/>
            <w:noWrap/>
            <w:tcMar>
              <w:left w:w="57" w:type="dxa"/>
              <w:right w:w="57" w:type="dxa"/>
            </w:tcMar>
            <w:hideMark/>
          </w:tcPr>
          <w:p w14:paraId="7C440681" w14:textId="77777777" w:rsidR="00E93868" w:rsidRPr="00FF3E4F" w:rsidRDefault="00E93868" w:rsidP="0065586F">
            <w:pPr>
              <w:pStyle w:val="TableBodyText"/>
              <w:rPr>
                <w:sz w:val="18"/>
                <w:szCs w:val="18"/>
                <w:lang w:eastAsia="en-AU"/>
              </w:rPr>
            </w:pPr>
            <w:r w:rsidRPr="00FF3E4F">
              <w:rPr>
                <w:sz w:val="18"/>
                <w:szCs w:val="18"/>
                <w:lang w:eastAsia="en-AU"/>
              </w:rPr>
              <w:t>Administrative and Support Services</w:t>
            </w:r>
          </w:p>
        </w:tc>
        <w:tc>
          <w:tcPr>
            <w:tcW w:w="531" w:type="pct"/>
            <w:noWrap/>
            <w:tcMar>
              <w:left w:w="57" w:type="dxa"/>
              <w:right w:w="57" w:type="dxa"/>
            </w:tcMar>
            <w:hideMark/>
          </w:tcPr>
          <w:p w14:paraId="58BA84B6" w14:textId="07B741F8" w:rsidR="00E93868" w:rsidRPr="00FF3E4F" w:rsidRDefault="00E93868" w:rsidP="00DE27F7">
            <w:pPr>
              <w:pStyle w:val="TableBodyTextright"/>
              <w:rPr>
                <w:sz w:val="18"/>
                <w:szCs w:val="18"/>
                <w:lang w:eastAsia="en-AU"/>
              </w:rPr>
            </w:pPr>
            <w:r w:rsidRPr="00FF3E4F">
              <w:rPr>
                <w:sz w:val="18"/>
                <w:szCs w:val="18"/>
                <w:lang w:eastAsia="en-AU"/>
              </w:rPr>
              <w:t xml:space="preserve">429.8 </w:t>
            </w:r>
          </w:p>
        </w:tc>
        <w:tc>
          <w:tcPr>
            <w:tcW w:w="304" w:type="pct"/>
            <w:noWrap/>
            <w:tcMar>
              <w:left w:w="57" w:type="dxa"/>
              <w:right w:w="57" w:type="dxa"/>
            </w:tcMar>
            <w:hideMark/>
          </w:tcPr>
          <w:p w14:paraId="06823215" w14:textId="4EBE978A" w:rsidR="00E93868" w:rsidRPr="00FF3E4F" w:rsidRDefault="00E93868" w:rsidP="00DE27F7">
            <w:pPr>
              <w:pStyle w:val="TableBodyTextright"/>
              <w:rPr>
                <w:sz w:val="18"/>
                <w:szCs w:val="18"/>
                <w:lang w:eastAsia="en-AU"/>
              </w:rPr>
            </w:pPr>
            <w:r w:rsidRPr="00FF3E4F">
              <w:rPr>
                <w:sz w:val="18"/>
                <w:szCs w:val="18"/>
                <w:lang w:eastAsia="en-AU"/>
              </w:rPr>
              <w:t>2.9</w:t>
            </w:r>
          </w:p>
        </w:tc>
        <w:tc>
          <w:tcPr>
            <w:tcW w:w="530" w:type="pct"/>
            <w:noWrap/>
            <w:tcMar>
              <w:left w:w="57" w:type="dxa"/>
              <w:right w:w="57" w:type="dxa"/>
            </w:tcMar>
            <w:hideMark/>
          </w:tcPr>
          <w:p w14:paraId="4BC7FBB0" w14:textId="720A28D7" w:rsidR="00E93868" w:rsidRPr="00FF3E4F" w:rsidRDefault="00E93868" w:rsidP="00DE27F7">
            <w:pPr>
              <w:pStyle w:val="TableBodyTextright"/>
              <w:rPr>
                <w:sz w:val="18"/>
                <w:szCs w:val="18"/>
                <w:lang w:eastAsia="en-AU"/>
              </w:rPr>
            </w:pPr>
            <w:r w:rsidRPr="00FF3E4F">
              <w:rPr>
                <w:sz w:val="18"/>
                <w:szCs w:val="18"/>
                <w:lang w:eastAsia="en-AU"/>
              </w:rPr>
              <w:t xml:space="preserve">445.2 </w:t>
            </w:r>
          </w:p>
        </w:tc>
        <w:tc>
          <w:tcPr>
            <w:tcW w:w="303" w:type="pct"/>
            <w:noWrap/>
            <w:tcMar>
              <w:left w:w="57" w:type="dxa"/>
              <w:right w:w="57" w:type="dxa"/>
            </w:tcMar>
            <w:hideMark/>
          </w:tcPr>
          <w:p w14:paraId="520F6148" w14:textId="7AAF0E7C" w:rsidR="00E93868" w:rsidRPr="00FF3E4F" w:rsidRDefault="00E93868" w:rsidP="00DE27F7">
            <w:pPr>
              <w:pStyle w:val="TableBodyTextright"/>
              <w:rPr>
                <w:sz w:val="18"/>
                <w:szCs w:val="18"/>
                <w:lang w:eastAsia="en-AU"/>
              </w:rPr>
            </w:pPr>
            <w:r w:rsidRPr="00FF3E4F">
              <w:rPr>
                <w:sz w:val="18"/>
                <w:szCs w:val="18"/>
                <w:lang w:eastAsia="en-AU"/>
              </w:rPr>
              <w:t>3.6</w:t>
            </w:r>
          </w:p>
        </w:tc>
        <w:tc>
          <w:tcPr>
            <w:tcW w:w="379" w:type="pct"/>
            <w:noWrap/>
            <w:tcMar>
              <w:left w:w="57" w:type="dxa"/>
              <w:right w:w="57" w:type="dxa"/>
            </w:tcMar>
            <w:hideMark/>
          </w:tcPr>
          <w:p w14:paraId="3313F8E6" w14:textId="142BCBCD" w:rsidR="00E93868" w:rsidRPr="00FF3E4F" w:rsidRDefault="00E93868" w:rsidP="00DE27F7">
            <w:pPr>
              <w:pStyle w:val="TableBodyTextright"/>
              <w:rPr>
                <w:sz w:val="18"/>
                <w:szCs w:val="18"/>
                <w:lang w:eastAsia="en-AU"/>
              </w:rPr>
            </w:pPr>
            <w:r w:rsidRPr="00FF3E4F">
              <w:rPr>
                <w:sz w:val="18"/>
                <w:szCs w:val="18"/>
                <w:lang w:eastAsia="en-AU"/>
              </w:rPr>
              <w:t xml:space="preserve">15.4 </w:t>
            </w:r>
          </w:p>
        </w:tc>
        <w:tc>
          <w:tcPr>
            <w:tcW w:w="303" w:type="pct"/>
            <w:noWrap/>
            <w:tcMar>
              <w:left w:w="57" w:type="dxa"/>
              <w:right w:w="57" w:type="dxa"/>
            </w:tcMar>
            <w:hideMark/>
          </w:tcPr>
          <w:p w14:paraId="20405F0E" w14:textId="3AF216FE" w:rsidR="00E93868" w:rsidRPr="00FF3E4F" w:rsidRDefault="00E93868" w:rsidP="00DE27F7">
            <w:pPr>
              <w:pStyle w:val="TableBodyTextright"/>
              <w:rPr>
                <w:sz w:val="18"/>
                <w:szCs w:val="18"/>
                <w:lang w:eastAsia="en-AU"/>
              </w:rPr>
            </w:pPr>
            <w:r w:rsidRPr="00FF3E4F">
              <w:rPr>
                <w:sz w:val="18"/>
                <w:szCs w:val="18"/>
                <w:lang w:eastAsia="en-AU"/>
              </w:rPr>
              <w:t>3.6</w:t>
            </w:r>
          </w:p>
        </w:tc>
        <w:tc>
          <w:tcPr>
            <w:tcW w:w="530" w:type="pct"/>
            <w:noWrap/>
            <w:tcMar>
              <w:left w:w="57" w:type="dxa"/>
              <w:right w:w="57" w:type="dxa"/>
            </w:tcMar>
            <w:hideMark/>
          </w:tcPr>
          <w:p w14:paraId="608B6B35" w14:textId="6BB03A1C" w:rsidR="00E93868" w:rsidRPr="00FF3E4F" w:rsidRDefault="00E93868" w:rsidP="00DE27F7">
            <w:pPr>
              <w:pStyle w:val="TableBodyTextright"/>
              <w:rPr>
                <w:sz w:val="18"/>
                <w:szCs w:val="18"/>
                <w:lang w:eastAsia="en-AU"/>
              </w:rPr>
            </w:pPr>
            <w:r w:rsidRPr="00FF3E4F">
              <w:rPr>
                <w:sz w:val="18"/>
                <w:szCs w:val="18"/>
                <w:lang w:eastAsia="en-AU"/>
              </w:rPr>
              <w:t xml:space="preserve">469.6 </w:t>
            </w:r>
          </w:p>
        </w:tc>
        <w:tc>
          <w:tcPr>
            <w:tcW w:w="303" w:type="pct"/>
            <w:noWrap/>
            <w:tcMar>
              <w:left w:w="57" w:type="dxa"/>
              <w:right w:w="57" w:type="dxa"/>
            </w:tcMar>
            <w:hideMark/>
          </w:tcPr>
          <w:p w14:paraId="5F9CC943" w14:textId="2744CD3F" w:rsidR="00E93868" w:rsidRPr="00FF3E4F" w:rsidRDefault="00E93868" w:rsidP="00DE27F7">
            <w:pPr>
              <w:pStyle w:val="TableBodyTextright"/>
              <w:rPr>
                <w:sz w:val="18"/>
                <w:szCs w:val="18"/>
                <w:lang w:eastAsia="en-AU"/>
              </w:rPr>
            </w:pPr>
            <w:r w:rsidRPr="00FF3E4F">
              <w:rPr>
                <w:sz w:val="18"/>
                <w:szCs w:val="18"/>
                <w:lang w:eastAsia="en-AU"/>
              </w:rPr>
              <w:t>2.8</w:t>
            </w:r>
          </w:p>
        </w:tc>
        <w:tc>
          <w:tcPr>
            <w:tcW w:w="455" w:type="pct"/>
            <w:noWrap/>
            <w:tcMar>
              <w:left w:w="57" w:type="dxa"/>
              <w:right w:w="57" w:type="dxa"/>
            </w:tcMar>
            <w:hideMark/>
          </w:tcPr>
          <w:p w14:paraId="1CE1F698" w14:textId="1B56CF23" w:rsidR="00E93868" w:rsidRPr="00FF3E4F" w:rsidRDefault="00E93868" w:rsidP="00DE27F7">
            <w:pPr>
              <w:pStyle w:val="TableBodyTextright"/>
              <w:rPr>
                <w:sz w:val="18"/>
                <w:szCs w:val="18"/>
                <w:lang w:eastAsia="en-AU"/>
              </w:rPr>
            </w:pPr>
            <w:r w:rsidRPr="00FF3E4F">
              <w:rPr>
                <w:sz w:val="18"/>
                <w:szCs w:val="18"/>
                <w:lang w:eastAsia="en-AU"/>
              </w:rPr>
              <w:t xml:space="preserve">39.9 </w:t>
            </w:r>
          </w:p>
        </w:tc>
        <w:tc>
          <w:tcPr>
            <w:tcW w:w="306" w:type="pct"/>
            <w:noWrap/>
            <w:tcMar>
              <w:left w:w="57" w:type="dxa"/>
              <w:right w:w="57" w:type="dxa"/>
            </w:tcMar>
            <w:hideMark/>
          </w:tcPr>
          <w:p w14:paraId="23BDE43C" w14:textId="1E4B2274" w:rsidR="00E93868" w:rsidRPr="00FF3E4F" w:rsidRDefault="00E93868" w:rsidP="00DE27F7">
            <w:pPr>
              <w:pStyle w:val="TableBodyTextright"/>
              <w:rPr>
                <w:sz w:val="18"/>
                <w:szCs w:val="18"/>
                <w:lang w:eastAsia="en-AU"/>
              </w:rPr>
            </w:pPr>
            <w:r w:rsidRPr="00FF3E4F">
              <w:rPr>
                <w:sz w:val="18"/>
                <w:szCs w:val="18"/>
                <w:lang w:eastAsia="en-AU"/>
              </w:rPr>
              <w:t>9.3</w:t>
            </w:r>
          </w:p>
        </w:tc>
      </w:tr>
      <w:tr w:rsidR="00C453B6" w:rsidRPr="00FF3E4F" w14:paraId="46D5A7FE" w14:textId="77777777" w:rsidTr="00C453B6">
        <w:trPr>
          <w:trHeight w:val="280"/>
        </w:trPr>
        <w:tc>
          <w:tcPr>
            <w:tcW w:w="1056" w:type="pct"/>
            <w:noWrap/>
            <w:tcMar>
              <w:left w:w="57" w:type="dxa"/>
              <w:right w:w="57" w:type="dxa"/>
            </w:tcMar>
            <w:hideMark/>
          </w:tcPr>
          <w:p w14:paraId="0C08CDCC" w14:textId="77777777" w:rsidR="00E93868" w:rsidRPr="00FF3E4F" w:rsidRDefault="00E93868" w:rsidP="0065586F">
            <w:pPr>
              <w:pStyle w:val="TableBodyText"/>
              <w:rPr>
                <w:sz w:val="18"/>
                <w:szCs w:val="18"/>
                <w:lang w:eastAsia="en-AU"/>
              </w:rPr>
            </w:pPr>
            <w:r w:rsidRPr="00FF3E4F">
              <w:rPr>
                <w:sz w:val="18"/>
                <w:szCs w:val="18"/>
                <w:lang w:eastAsia="en-AU"/>
              </w:rPr>
              <w:t>Public Administration and Safety</w:t>
            </w:r>
          </w:p>
        </w:tc>
        <w:tc>
          <w:tcPr>
            <w:tcW w:w="531" w:type="pct"/>
            <w:noWrap/>
            <w:tcMar>
              <w:left w:w="57" w:type="dxa"/>
              <w:right w:w="57" w:type="dxa"/>
            </w:tcMar>
            <w:hideMark/>
          </w:tcPr>
          <w:p w14:paraId="48CBC64D" w14:textId="1B68F38C" w:rsidR="00E93868" w:rsidRPr="00FF3E4F" w:rsidRDefault="00E93868" w:rsidP="00DE27F7">
            <w:pPr>
              <w:pStyle w:val="TableBodyTextright"/>
              <w:rPr>
                <w:sz w:val="18"/>
                <w:szCs w:val="18"/>
                <w:lang w:eastAsia="en-AU"/>
              </w:rPr>
            </w:pPr>
            <w:r w:rsidRPr="00FF3E4F">
              <w:rPr>
                <w:sz w:val="18"/>
                <w:szCs w:val="18"/>
                <w:lang w:eastAsia="en-AU"/>
              </w:rPr>
              <w:t xml:space="preserve">989.0 </w:t>
            </w:r>
          </w:p>
        </w:tc>
        <w:tc>
          <w:tcPr>
            <w:tcW w:w="304" w:type="pct"/>
            <w:noWrap/>
            <w:tcMar>
              <w:left w:w="57" w:type="dxa"/>
              <w:right w:w="57" w:type="dxa"/>
            </w:tcMar>
            <w:hideMark/>
          </w:tcPr>
          <w:p w14:paraId="4C8364D8" w14:textId="3DF054C2" w:rsidR="00E93868" w:rsidRPr="00FF3E4F" w:rsidRDefault="00E93868" w:rsidP="00DE27F7">
            <w:pPr>
              <w:pStyle w:val="TableBodyTextright"/>
              <w:rPr>
                <w:sz w:val="18"/>
                <w:szCs w:val="18"/>
                <w:lang w:eastAsia="en-AU"/>
              </w:rPr>
            </w:pPr>
            <w:r w:rsidRPr="00FF3E4F">
              <w:rPr>
                <w:sz w:val="18"/>
                <w:szCs w:val="18"/>
                <w:lang w:eastAsia="en-AU"/>
              </w:rPr>
              <w:t>6.7</w:t>
            </w:r>
          </w:p>
        </w:tc>
        <w:tc>
          <w:tcPr>
            <w:tcW w:w="530" w:type="pct"/>
            <w:noWrap/>
            <w:tcMar>
              <w:left w:w="57" w:type="dxa"/>
              <w:right w:w="57" w:type="dxa"/>
            </w:tcMar>
            <w:hideMark/>
          </w:tcPr>
          <w:p w14:paraId="67C08962" w14:textId="269209A3" w:rsidR="00E93868" w:rsidRPr="00FF3E4F" w:rsidRDefault="00E93868" w:rsidP="00DE27F7">
            <w:pPr>
              <w:pStyle w:val="TableBodyTextright"/>
              <w:rPr>
                <w:sz w:val="18"/>
                <w:szCs w:val="18"/>
                <w:lang w:eastAsia="en-AU"/>
              </w:rPr>
            </w:pPr>
            <w:r w:rsidRPr="00FF3E4F">
              <w:rPr>
                <w:sz w:val="18"/>
                <w:szCs w:val="18"/>
                <w:lang w:eastAsia="en-AU"/>
              </w:rPr>
              <w:t xml:space="preserve">1,062.1 </w:t>
            </w:r>
          </w:p>
        </w:tc>
        <w:tc>
          <w:tcPr>
            <w:tcW w:w="303" w:type="pct"/>
            <w:noWrap/>
            <w:tcMar>
              <w:left w:w="57" w:type="dxa"/>
              <w:right w:w="57" w:type="dxa"/>
            </w:tcMar>
            <w:hideMark/>
          </w:tcPr>
          <w:p w14:paraId="6063696A" w14:textId="0B7FFB22" w:rsidR="00E93868" w:rsidRPr="00FF3E4F" w:rsidRDefault="00E93868" w:rsidP="00DE27F7">
            <w:pPr>
              <w:pStyle w:val="TableBodyTextright"/>
              <w:rPr>
                <w:sz w:val="18"/>
                <w:szCs w:val="18"/>
                <w:lang w:eastAsia="en-AU"/>
              </w:rPr>
            </w:pPr>
            <w:r w:rsidRPr="00FF3E4F">
              <w:rPr>
                <w:sz w:val="18"/>
                <w:szCs w:val="18"/>
                <w:lang w:eastAsia="en-AU"/>
              </w:rPr>
              <w:t>7.4</w:t>
            </w:r>
          </w:p>
        </w:tc>
        <w:tc>
          <w:tcPr>
            <w:tcW w:w="379" w:type="pct"/>
            <w:noWrap/>
            <w:tcMar>
              <w:left w:w="57" w:type="dxa"/>
              <w:right w:w="57" w:type="dxa"/>
            </w:tcMar>
            <w:hideMark/>
          </w:tcPr>
          <w:p w14:paraId="60CFE82A" w14:textId="67EFE592" w:rsidR="00E93868" w:rsidRPr="00FF3E4F" w:rsidRDefault="00E93868" w:rsidP="00DE27F7">
            <w:pPr>
              <w:pStyle w:val="TableBodyTextright"/>
              <w:rPr>
                <w:sz w:val="18"/>
                <w:szCs w:val="18"/>
                <w:lang w:eastAsia="en-AU"/>
              </w:rPr>
            </w:pPr>
            <w:r w:rsidRPr="00FF3E4F">
              <w:rPr>
                <w:sz w:val="18"/>
                <w:szCs w:val="18"/>
                <w:lang w:eastAsia="en-AU"/>
              </w:rPr>
              <w:t xml:space="preserve">73.2 </w:t>
            </w:r>
          </w:p>
        </w:tc>
        <w:tc>
          <w:tcPr>
            <w:tcW w:w="303" w:type="pct"/>
            <w:noWrap/>
            <w:tcMar>
              <w:left w:w="57" w:type="dxa"/>
              <w:right w:w="57" w:type="dxa"/>
            </w:tcMar>
            <w:hideMark/>
          </w:tcPr>
          <w:p w14:paraId="230A793D" w14:textId="6D4D733D" w:rsidR="00E93868" w:rsidRPr="00FF3E4F" w:rsidRDefault="00E93868" w:rsidP="00DE27F7">
            <w:pPr>
              <w:pStyle w:val="TableBodyTextright"/>
              <w:rPr>
                <w:sz w:val="18"/>
                <w:szCs w:val="18"/>
                <w:lang w:eastAsia="en-AU"/>
              </w:rPr>
            </w:pPr>
            <w:r w:rsidRPr="00FF3E4F">
              <w:rPr>
                <w:sz w:val="18"/>
                <w:szCs w:val="18"/>
                <w:lang w:eastAsia="en-AU"/>
              </w:rPr>
              <w:t>7.4</w:t>
            </w:r>
          </w:p>
        </w:tc>
        <w:tc>
          <w:tcPr>
            <w:tcW w:w="530" w:type="pct"/>
            <w:noWrap/>
            <w:tcMar>
              <w:left w:w="57" w:type="dxa"/>
              <w:right w:w="57" w:type="dxa"/>
            </w:tcMar>
            <w:hideMark/>
          </w:tcPr>
          <w:p w14:paraId="63D9D4CD" w14:textId="22C473AB" w:rsidR="00E93868" w:rsidRPr="00FF3E4F" w:rsidRDefault="00E93868" w:rsidP="00DE27F7">
            <w:pPr>
              <w:pStyle w:val="TableBodyTextright"/>
              <w:rPr>
                <w:sz w:val="18"/>
                <w:szCs w:val="18"/>
                <w:lang w:eastAsia="en-AU"/>
              </w:rPr>
            </w:pPr>
            <w:r w:rsidRPr="00FF3E4F">
              <w:rPr>
                <w:sz w:val="18"/>
                <w:szCs w:val="18"/>
                <w:lang w:eastAsia="en-AU"/>
              </w:rPr>
              <w:t xml:space="preserve">1,111.8 </w:t>
            </w:r>
          </w:p>
        </w:tc>
        <w:tc>
          <w:tcPr>
            <w:tcW w:w="303" w:type="pct"/>
            <w:noWrap/>
            <w:tcMar>
              <w:left w:w="57" w:type="dxa"/>
              <w:right w:w="57" w:type="dxa"/>
            </w:tcMar>
            <w:hideMark/>
          </w:tcPr>
          <w:p w14:paraId="36C5ACCB" w14:textId="444917D0" w:rsidR="00E93868" w:rsidRPr="00FF3E4F" w:rsidRDefault="00E93868" w:rsidP="00DE27F7">
            <w:pPr>
              <w:pStyle w:val="TableBodyTextright"/>
              <w:rPr>
                <w:sz w:val="18"/>
                <w:szCs w:val="18"/>
                <w:lang w:eastAsia="en-AU"/>
              </w:rPr>
            </w:pPr>
            <w:r w:rsidRPr="00FF3E4F">
              <w:rPr>
                <w:sz w:val="18"/>
                <w:szCs w:val="18"/>
                <w:lang w:eastAsia="en-AU"/>
              </w:rPr>
              <w:t>6.7</w:t>
            </w:r>
          </w:p>
        </w:tc>
        <w:tc>
          <w:tcPr>
            <w:tcW w:w="455" w:type="pct"/>
            <w:noWrap/>
            <w:tcMar>
              <w:left w:w="57" w:type="dxa"/>
              <w:right w:w="57" w:type="dxa"/>
            </w:tcMar>
            <w:hideMark/>
          </w:tcPr>
          <w:p w14:paraId="5882A5EF" w14:textId="1E4FB294" w:rsidR="00E93868" w:rsidRPr="00FF3E4F" w:rsidRDefault="00E93868" w:rsidP="00DE27F7">
            <w:pPr>
              <w:pStyle w:val="TableBodyTextright"/>
              <w:rPr>
                <w:sz w:val="18"/>
                <w:szCs w:val="18"/>
                <w:lang w:eastAsia="en-AU"/>
              </w:rPr>
            </w:pPr>
            <w:r w:rsidRPr="00FF3E4F">
              <w:rPr>
                <w:sz w:val="18"/>
                <w:szCs w:val="18"/>
                <w:lang w:eastAsia="en-AU"/>
              </w:rPr>
              <w:t xml:space="preserve">122.8 </w:t>
            </w:r>
          </w:p>
        </w:tc>
        <w:tc>
          <w:tcPr>
            <w:tcW w:w="306" w:type="pct"/>
            <w:noWrap/>
            <w:tcMar>
              <w:left w:w="57" w:type="dxa"/>
              <w:right w:w="57" w:type="dxa"/>
            </w:tcMar>
            <w:hideMark/>
          </w:tcPr>
          <w:p w14:paraId="2724B8E3" w14:textId="25B7AE00" w:rsidR="00E93868" w:rsidRPr="00FF3E4F" w:rsidRDefault="00E93868" w:rsidP="00DE27F7">
            <w:pPr>
              <w:pStyle w:val="TableBodyTextright"/>
              <w:rPr>
                <w:sz w:val="18"/>
                <w:szCs w:val="18"/>
                <w:lang w:eastAsia="en-AU"/>
              </w:rPr>
            </w:pPr>
            <w:r w:rsidRPr="00FF3E4F">
              <w:rPr>
                <w:sz w:val="18"/>
                <w:szCs w:val="18"/>
                <w:lang w:eastAsia="en-AU"/>
              </w:rPr>
              <w:t>12.4</w:t>
            </w:r>
          </w:p>
        </w:tc>
      </w:tr>
      <w:tr w:rsidR="00C453B6" w:rsidRPr="00FF3E4F" w14:paraId="04A3DC93" w14:textId="77777777" w:rsidTr="00C453B6">
        <w:trPr>
          <w:cnfStyle w:val="000000010000" w:firstRow="0" w:lastRow="0" w:firstColumn="0" w:lastColumn="0" w:oddVBand="0" w:evenVBand="0" w:oddHBand="0" w:evenHBand="1" w:firstRowFirstColumn="0" w:firstRowLastColumn="0" w:lastRowFirstColumn="0" w:lastRowLastColumn="0"/>
          <w:trHeight w:val="280"/>
        </w:trPr>
        <w:tc>
          <w:tcPr>
            <w:tcW w:w="1056" w:type="pct"/>
            <w:noWrap/>
            <w:tcMar>
              <w:left w:w="57" w:type="dxa"/>
              <w:right w:w="57" w:type="dxa"/>
            </w:tcMar>
            <w:hideMark/>
          </w:tcPr>
          <w:p w14:paraId="0D9A98B6" w14:textId="77777777" w:rsidR="00E93868" w:rsidRPr="00FF3E4F" w:rsidRDefault="00E93868" w:rsidP="0065586F">
            <w:pPr>
              <w:pStyle w:val="TableBodyText"/>
              <w:rPr>
                <w:sz w:val="18"/>
                <w:szCs w:val="18"/>
                <w:lang w:eastAsia="en-AU"/>
              </w:rPr>
            </w:pPr>
            <w:r w:rsidRPr="00FF3E4F">
              <w:rPr>
                <w:sz w:val="18"/>
                <w:szCs w:val="18"/>
                <w:lang w:eastAsia="en-AU"/>
              </w:rPr>
              <w:t>Education and Training</w:t>
            </w:r>
          </w:p>
        </w:tc>
        <w:tc>
          <w:tcPr>
            <w:tcW w:w="531" w:type="pct"/>
            <w:noWrap/>
            <w:tcMar>
              <w:left w:w="57" w:type="dxa"/>
              <w:right w:w="57" w:type="dxa"/>
            </w:tcMar>
            <w:hideMark/>
          </w:tcPr>
          <w:p w14:paraId="7EE144FF" w14:textId="28A89252" w:rsidR="00E93868" w:rsidRPr="00FF3E4F" w:rsidRDefault="00E93868" w:rsidP="00DE27F7">
            <w:pPr>
              <w:pStyle w:val="TableBodyTextright"/>
              <w:rPr>
                <w:sz w:val="18"/>
                <w:szCs w:val="18"/>
                <w:lang w:eastAsia="en-AU"/>
              </w:rPr>
            </w:pPr>
            <w:r w:rsidRPr="00FF3E4F">
              <w:rPr>
                <w:sz w:val="18"/>
                <w:szCs w:val="18"/>
                <w:lang w:eastAsia="en-AU"/>
              </w:rPr>
              <w:t xml:space="preserve">1,267.6 </w:t>
            </w:r>
          </w:p>
        </w:tc>
        <w:tc>
          <w:tcPr>
            <w:tcW w:w="304" w:type="pct"/>
            <w:noWrap/>
            <w:tcMar>
              <w:left w:w="57" w:type="dxa"/>
              <w:right w:w="57" w:type="dxa"/>
            </w:tcMar>
            <w:hideMark/>
          </w:tcPr>
          <w:p w14:paraId="2320E466" w14:textId="167E504B" w:rsidR="00E93868" w:rsidRPr="00FF3E4F" w:rsidRDefault="00E93868" w:rsidP="00DE27F7">
            <w:pPr>
              <w:pStyle w:val="TableBodyTextright"/>
              <w:rPr>
                <w:sz w:val="18"/>
                <w:szCs w:val="18"/>
                <w:lang w:eastAsia="en-AU"/>
              </w:rPr>
            </w:pPr>
            <w:r w:rsidRPr="00FF3E4F">
              <w:rPr>
                <w:sz w:val="18"/>
                <w:szCs w:val="18"/>
                <w:lang w:eastAsia="en-AU"/>
              </w:rPr>
              <w:t>8.6</w:t>
            </w:r>
          </w:p>
        </w:tc>
        <w:tc>
          <w:tcPr>
            <w:tcW w:w="530" w:type="pct"/>
            <w:noWrap/>
            <w:tcMar>
              <w:left w:w="57" w:type="dxa"/>
              <w:right w:w="57" w:type="dxa"/>
            </w:tcMar>
            <w:hideMark/>
          </w:tcPr>
          <w:p w14:paraId="3FE6D6F9" w14:textId="4B619A60" w:rsidR="00E93868" w:rsidRPr="00FF3E4F" w:rsidRDefault="00E93868" w:rsidP="00DE27F7">
            <w:pPr>
              <w:pStyle w:val="TableBodyTextright"/>
              <w:rPr>
                <w:sz w:val="18"/>
                <w:szCs w:val="18"/>
                <w:lang w:eastAsia="en-AU"/>
              </w:rPr>
            </w:pPr>
            <w:r w:rsidRPr="00FF3E4F">
              <w:rPr>
                <w:sz w:val="18"/>
                <w:szCs w:val="18"/>
                <w:lang w:eastAsia="en-AU"/>
              </w:rPr>
              <w:t xml:space="preserve">1,339.7 </w:t>
            </w:r>
          </w:p>
        </w:tc>
        <w:tc>
          <w:tcPr>
            <w:tcW w:w="303" w:type="pct"/>
            <w:noWrap/>
            <w:tcMar>
              <w:left w:w="57" w:type="dxa"/>
              <w:right w:w="57" w:type="dxa"/>
            </w:tcMar>
            <w:hideMark/>
          </w:tcPr>
          <w:p w14:paraId="15D1F7F5" w14:textId="0248C431" w:rsidR="00E93868" w:rsidRPr="00FF3E4F" w:rsidRDefault="00E93868" w:rsidP="00DE27F7">
            <w:pPr>
              <w:pStyle w:val="TableBodyTextright"/>
              <w:rPr>
                <w:sz w:val="18"/>
                <w:szCs w:val="18"/>
                <w:lang w:eastAsia="en-AU"/>
              </w:rPr>
            </w:pPr>
            <w:r w:rsidRPr="00FF3E4F">
              <w:rPr>
                <w:sz w:val="18"/>
                <w:szCs w:val="18"/>
                <w:lang w:eastAsia="en-AU"/>
              </w:rPr>
              <w:t>5.7</w:t>
            </w:r>
          </w:p>
        </w:tc>
        <w:tc>
          <w:tcPr>
            <w:tcW w:w="379" w:type="pct"/>
            <w:noWrap/>
            <w:tcMar>
              <w:left w:w="57" w:type="dxa"/>
              <w:right w:w="57" w:type="dxa"/>
            </w:tcMar>
            <w:hideMark/>
          </w:tcPr>
          <w:p w14:paraId="33224241" w14:textId="0B7F7647" w:rsidR="00E93868" w:rsidRPr="00FF3E4F" w:rsidRDefault="00E93868" w:rsidP="00DE27F7">
            <w:pPr>
              <w:pStyle w:val="TableBodyTextright"/>
              <w:rPr>
                <w:sz w:val="18"/>
                <w:szCs w:val="18"/>
                <w:lang w:eastAsia="en-AU"/>
              </w:rPr>
            </w:pPr>
            <w:r w:rsidRPr="00FF3E4F">
              <w:rPr>
                <w:sz w:val="18"/>
                <w:szCs w:val="18"/>
                <w:lang w:eastAsia="en-AU"/>
              </w:rPr>
              <w:t xml:space="preserve">72.1 </w:t>
            </w:r>
          </w:p>
        </w:tc>
        <w:tc>
          <w:tcPr>
            <w:tcW w:w="303" w:type="pct"/>
            <w:noWrap/>
            <w:tcMar>
              <w:left w:w="57" w:type="dxa"/>
              <w:right w:w="57" w:type="dxa"/>
            </w:tcMar>
            <w:hideMark/>
          </w:tcPr>
          <w:p w14:paraId="44547FB2" w14:textId="18BA54AB" w:rsidR="00E93868" w:rsidRPr="00FF3E4F" w:rsidRDefault="00E93868" w:rsidP="00DE27F7">
            <w:pPr>
              <w:pStyle w:val="TableBodyTextright"/>
              <w:rPr>
                <w:sz w:val="18"/>
                <w:szCs w:val="18"/>
                <w:lang w:eastAsia="en-AU"/>
              </w:rPr>
            </w:pPr>
            <w:r w:rsidRPr="00FF3E4F">
              <w:rPr>
                <w:sz w:val="18"/>
                <w:szCs w:val="18"/>
                <w:lang w:eastAsia="en-AU"/>
              </w:rPr>
              <w:t>5.7</w:t>
            </w:r>
          </w:p>
        </w:tc>
        <w:tc>
          <w:tcPr>
            <w:tcW w:w="530" w:type="pct"/>
            <w:noWrap/>
            <w:tcMar>
              <w:left w:w="57" w:type="dxa"/>
              <w:right w:w="57" w:type="dxa"/>
            </w:tcMar>
            <w:hideMark/>
          </w:tcPr>
          <w:p w14:paraId="78B39F76" w14:textId="72B0F000" w:rsidR="00E93868" w:rsidRPr="00FF3E4F" w:rsidRDefault="00E93868" w:rsidP="00DE27F7">
            <w:pPr>
              <w:pStyle w:val="TableBodyTextright"/>
              <w:rPr>
                <w:sz w:val="18"/>
                <w:szCs w:val="18"/>
                <w:lang w:eastAsia="en-AU"/>
              </w:rPr>
            </w:pPr>
            <w:r w:rsidRPr="00FF3E4F">
              <w:rPr>
                <w:sz w:val="18"/>
                <w:szCs w:val="18"/>
                <w:lang w:eastAsia="en-AU"/>
              </w:rPr>
              <w:t xml:space="preserve">1,425.3 </w:t>
            </w:r>
          </w:p>
        </w:tc>
        <w:tc>
          <w:tcPr>
            <w:tcW w:w="303" w:type="pct"/>
            <w:noWrap/>
            <w:tcMar>
              <w:left w:w="57" w:type="dxa"/>
              <w:right w:w="57" w:type="dxa"/>
            </w:tcMar>
            <w:hideMark/>
          </w:tcPr>
          <w:p w14:paraId="1DF95CDE" w14:textId="68BC00CA" w:rsidR="00E93868" w:rsidRPr="00FF3E4F" w:rsidRDefault="00E93868" w:rsidP="00DE27F7">
            <w:pPr>
              <w:pStyle w:val="TableBodyTextright"/>
              <w:rPr>
                <w:sz w:val="18"/>
                <w:szCs w:val="18"/>
                <w:lang w:eastAsia="en-AU"/>
              </w:rPr>
            </w:pPr>
            <w:r w:rsidRPr="00FF3E4F">
              <w:rPr>
                <w:sz w:val="18"/>
                <w:szCs w:val="18"/>
                <w:lang w:eastAsia="en-AU"/>
              </w:rPr>
              <w:t>8.6</w:t>
            </w:r>
          </w:p>
        </w:tc>
        <w:tc>
          <w:tcPr>
            <w:tcW w:w="455" w:type="pct"/>
            <w:noWrap/>
            <w:tcMar>
              <w:left w:w="57" w:type="dxa"/>
              <w:right w:w="57" w:type="dxa"/>
            </w:tcMar>
            <w:hideMark/>
          </w:tcPr>
          <w:p w14:paraId="026C72D0" w14:textId="6B6278C7" w:rsidR="00E93868" w:rsidRPr="00FF3E4F" w:rsidRDefault="00E93868" w:rsidP="00DE27F7">
            <w:pPr>
              <w:pStyle w:val="TableBodyTextright"/>
              <w:rPr>
                <w:sz w:val="18"/>
                <w:szCs w:val="18"/>
                <w:lang w:eastAsia="en-AU"/>
              </w:rPr>
            </w:pPr>
            <w:r w:rsidRPr="00FF3E4F">
              <w:rPr>
                <w:sz w:val="18"/>
                <w:szCs w:val="18"/>
                <w:lang w:eastAsia="en-AU"/>
              </w:rPr>
              <w:t xml:space="preserve">157.7 </w:t>
            </w:r>
          </w:p>
        </w:tc>
        <w:tc>
          <w:tcPr>
            <w:tcW w:w="306" w:type="pct"/>
            <w:noWrap/>
            <w:tcMar>
              <w:left w:w="57" w:type="dxa"/>
              <w:right w:w="57" w:type="dxa"/>
            </w:tcMar>
            <w:hideMark/>
          </w:tcPr>
          <w:p w14:paraId="157D57F4" w14:textId="7469A8BC" w:rsidR="00E93868" w:rsidRPr="00FF3E4F" w:rsidRDefault="00E93868" w:rsidP="00DE27F7">
            <w:pPr>
              <w:pStyle w:val="TableBodyTextright"/>
              <w:rPr>
                <w:sz w:val="18"/>
                <w:szCs w:val="18"/>
                <w:lang w:eastAsia="en-AU"/>
              </w:rPr>
            </w:pPr>
            <w:r w:rsidRPr="00FF3E4F">
              <w:rPr>
                <w:sz w:val="18"/>
                <w:szCs w:val="18"/>
                <w:lang w:eastAsia="en-AU"/>
              </w:rPr>
              <w:t>12.4</w:t>
            </w:r>
          </w:p>
        </w:tc>
      </w:tr>
      <w:tr w:rsidR="00C453B6" w:rsidRPr="00FF3E4F" w14:paraId="0D27E323" w14:textId="77777777" w:rsidTr="00C453B6">
        <w:trPr>
          <w:trHeight w:val="280"/>
        </w:trPr>
        <w:tc>
          <w:tcPr>
            <w:tcW w:w="1056" w:type="pct"/>
            <w:noWrap/>
            <w:tcMar>
              <w:left w:w="57" w:type="dxa"/>
              <w:right w:w="57" w:type="dxa"/>
            </w:tcMar>
            <w:hideMark/>
          </w:tcPr>
          <w:p w14:paraId="1D51AEF9" w14:textId="77777777" w:rsidR="00E93868" w:rsidRPr="00FF3E4F" w:rsidRDefault="00E93868" w:rsidP="0065586F">
            <w:pPr>
              <w:pStyle w:val="TableBodyText"/>
              <w:rPr>
                <w:sz w:val="18"/>
                <w:szCs w:val="18"/>
                <w:lang w:eastAsia="en-AU"/>
              </w:rPr>
            </w:pPr>
            <w:r w:rsidRPr="00FF3E4F">
              <w:rPr>
                <w:sz w:val="18"/>
                <w:szCs w:val="18"/>
                <w:lang w:eastAsia="en-AU"/>
              </w:rPr>
              <w:t>Health Care and Social Assistance</w:t>
            </w:r>
          </w:p>
        </w:tc>
        <w:tc>
          <w:tcPr>
            <w:tcW w:w="531" w:type="pct"/>
            <w:noWrap/>
            <w:tcMar>
              <w:left w:w="57" w:type="dxa"/>
              <w:right w:w="57" w:type="dxa"/>
            </w:tcMar>
            <w:hideMark/>
          </w:tcPr>
          <w:p w14:paraId="61B24971" w14:textId="682E5482" w:rsidR="00E93868" w:rsidRPr="00FF3E4F" w:rsidRDefault="00E93868" w:rsidP="00DE27F7">
            <w:pPr>
              <w:pStyle w:val="TableBodyTextright"/>
              <w:rPr>
                <w:sz w:val="18"/>
                <w:szCs w:val="18"/>
                <w:lang w:eastAsia="en-AU"/>
              </w:rPr>
            </w:pPr>
            <w:r w:rsidRPr="00FF3E4F">
              <w:rPr>
                <w:sz w:val="18"/>
                <w:szCs w:val="18"/>
                <w:lang w:eastAsia="en-AU"/>
              </w:rPr>
              <w:t xml:space="preserve">2,369.3 </w:t>
            </w:r>
          </w:p>
        </w:tc>
        <w:tc>
          <w:tcPr>
            <w:tcW w:w="304" w:type="pct"/>
            <w:noWrap/>
            <w:tcMar>
              <w:left w:w="57" w:type="dxa"/>
              <w:right w:w="57" w:type="dxa"/>
            </w:tcMar>
            <w:hideMark/>
          </w:tcPr>
          <w:p w14:paraId="0FB85CBB" w14:textId="208C29BD" w:rsidR="00E93868" w:rsidRPr="00FF3E4F" w:rsidRDefault="00E93868" w:rsidP="00DE27F7">
            <w:pPr>
              <w:pStyle w:val="TableBodyTextright"/>
              <w:rPr>
                <w:sz w:val="18"/>
                <w:szCs w:val="18"/>
                <w:lang w:eastAsia="en-AU"/>
              </w:rPr>
            </w:pPr>
            <w:r w:rsidRPr="00FF3E4F">
              <w:rPr>
                <w:sz w:val="18"/>
                <w:szCs w:val="18"/>
                <w:lang w:eastAsia="en-AU"/>
              </w:rPr>
              <w:t>16.1</w:t>
            </w:r>
          </w:p>
        </w:tc>
        <w:tc>
          <w:tcPr>
            <w:tcW w:w="530" w:type="pct"/>
            <w:noWrap/>
            <w:tcMar>
              <w:left w:w="57" w:type="dxa"/>
              <w:right w:w="57" w:type="dxa"/>
            </w:tcMar>
            <w:hideMark/>
          </w:tcPr>
          <w:p w14:paraId="2ECA1BE5" w14:textId="53346E85" w:rsidR="00E93868" w:rsidRPr="00FF3E4F" w:rsidRDefault="00E93868" w:rsidP="00DE27F7">
            <w:pPr>
              <w:pStyle w:val="TableBodyTextright"/>
              <w:rPr>
                <w:sz w:val="18"/>
                <w:szCs w:val="18"/>
                <w:lang w:eastAsia="en-AU"/>
              </w:rPr>
            </w:pPr>
            <w:r w:rsidRPr="00FF3E4F">
              <w:rPr>
                <w:sz w:val="18"/>
                <w:szCs w:val="18"/>
                <w:lang w:eastAsia="en-AU"/>
              </w:rPr>
              <w:t xml:space="preserve">2,659.6 </w:t>
            </w:r>
          </w:p>
        </w:tc>
        <w:tc>
          <w:tcPr>
            <w:tcW w:w="303" w:type="pct"/>
            <w:noWrap/>
            <w:tcMar>
              <w:left w:w="57" w:type="dxa"/>
              <w:right w:w="57" w:type="dxa"/>
            </w:tcMar>
            <w:hideMark/>
          </w:tcPr>
          <w:p w14:paraId="1A9CEF3E" w14:textId="49B008E3" w:rsidR="00E93868" w:rsidRPr="00FF3E4F" w:rsidRDefault="00E93868" w:rsidP="00DE27F7">
            <w:pPr>
              <w:pStyle w:val="TableBodyTextright"/>
              <w:rPr>
                <w:sz w:val="18"/>
                <w:szCs w:val="18"/>
                <w:lang w:eastAsia="en-AU"/>
              </w:rPr>
            </w:pPr>
            <w:r w:rsidRPr="00FF3E4F">
              <w:rPr>
                <w:sz w:val="18"/>
                <w:szCs w:val="18"/>
                <w:lang w:eastAsia="en-AU"/>
              </w:rPr>
              <w:t>12.3</w:t>
            </w:r>
          </w:p>
        </w:tc>
        <w:tc>
          <w:tcPr>
            <w:tcW w:w="379" w:type="pct"/>
            <w:noWrap/>
            <w:tcMar>
              <w:left w:w="57" w:type="dxa"/>
              <w:right w:w="57" w:type="dxa"/>
            </w:tcMar>
            <w:hideMark/>
          </w:tcPr>
          <w:p w14:paraId="1192E934" w14:textId="6B2CC2F2" w:rsidR="00E93868" w:rsidRPr="00FF3E4F" w:rsidRDefault="00E93868" w:rsidP="00DE27F7">
            <w:pPr>
              <w:pStyle w:val="TableBodyTextright"/>
              <w:rPr>
                <w:sz w:val="18"/>
                <w:szCs w:val="18"/>
                <w:lang w:eastAsia="en-AU"/>
              </w:rPr>
            </w:pPr>
            <w:r w:rsidRPr="00FF3E4F">
              <w:rPr>
                <w:sz w:val="18"/>
                <w:szCs w:val="18"/>
                <w:lang w:eastAsia="en-AU"/>
              </w:rPr>
              <w:t xml:space="preserve">290.3 </w:t>
            </w:r>
          </w:p>
        </w:tc>
        <w:tc>
          <w:tcPr>
            <w:tcW w:w="303" w:type="pct"/>
            <w:noWrap/>
            <w:tcMar>
              <w:left w:w="57" w:type="dxa"/>
              <w:right w:w="57" w:type="dxa"/>
            </w:tcMar>
            <w:hideMark/>
          </w:tcPr>
          <w:p w14:paraId="4C0934E6" w14:textId="2B8F3B44" w:rsidR="00E93868" w:rsidRPr="00FF3E4F" w:rsidRDefault="00E93868" w:rsidP="00DE27F7">
            <w:pPr>
              <w:pStyle w:val="TableBodyTextright"/>
              <w:rPr>
                <w:sz w:val="18"/>
                <w:szCs w:val="18"/>
                <w:lang w:eastAsia="en-AU"/>
              </w:rPr>
            </w:pPr>
            <w:r w:rsidRPr="00FF3E4F">
              <w:rPr>
                <w:sz w:val="18"/>
                <w:szCs w:val="18"/>
                <w:lang w:eastAsia="en-AU"/>
              </w:rPr>
              <w:t>12.3</w:t>
            </w:r>
          </w:p>
        </w:tc>
        <w:tc>
          <w:tcPr>
            <w:tcW w:w="530" w:type="pct"/>
            <w:noWrap/>
            <w:tcMar>
              <w:left w:w="57" w:type="dxa"/>
              <w:right w:w="57" w:type="dxa"/>
            </w:tcMar>
            <w:hideMark/>
          </w:tcPr>
          <w:p w14:paraId="183F4090" w14:textId="4BF23BC3" w:rsidR="00E93868" w:rsidRPr="00FF3E4F" w:rsidRDefault="00E93868" w:rsidP="00DE27F7">
            <w:pPr>
              <w:pStyle w:val="TableBodyTextright"/>
              <w:rPr>
                <w:sz w:val="18"/>
                <w:szCs w:val="18"/>
                <w:lang w:eastAsia="en-AU"/>
              </w:rPr>
            </w:pPr>
            <w:r w:rsidRPr="00FF3E4F">
              <w:rPr>
                <w:sz w:val="18"/>
                <w:szCs w:val="18"/>
                <w:lang w:eastAsia="en-AU"/>
              </w:rPr>
              <w:t xml:space="preserve">2,911.2 </w:t>
            </w:r>
          </w:p>
        </w:tc>
        <w:tc>
          <w:tcPr>
            <w:tcW w:w="303" w:type="pct"/>
            <w:noWrap/>
            <w:tcMar>
              <w:left w:w="57" w:type="dxa"/>
              <w:right w:w="57" w:type="dxa"/>
            </w:tcMar>
            <w:hideMark/>
          </w:tcPr>
          <w:p w14:paraId="4D9C8218" w14:textId="13C7A02A" w:rsidR="00E93868" w:rsidRPr="00FF3E4F" w:rsidRDefault="00E93868" w:rsidP="00DE27F7">
            <w:pPr>
              <w:pStyle w:val="TableBodyTextright"/>
              <w:rPr>
                <w:sz w:val="18"/>
                <w:szCs w:val="18"/>
                <w:lang w:eastAsia="en-AU"/>
              </w:rPr>
            </w:pPr>
            <w:r w:rsidRPr="00FF3E4F">
              <w:rPr>
                <w:sz w:val="18"/>
                <w:szCs w:val="18"/>
                <w:lang w:eastAsia="en-AU"/>
              </w:rPr>
              <w:t>17.5</w:t>
            </w:r>
          </w:p>
        </w:tc>
        <w:tc>
          <w:tcPr>
            <w:tcW w:w="455" w:type="pct"/>
            <w:noWrap/>
            <w:tcMar>
              <w:left w:w="57" w:type="dxa"/>
              <w:right w:w="57" w:type="dxa"/>
            </w:tcMar>
            <w:hideMark/>
          </w:tcPr>
          <w:p w14:paraId="0837ABE3" w14:textId="600FB187" w:rsidR="00E93868" w:rsidRPr="00FF3E4F" w:rsidRDefault="00E93868" w:rsidP="00DE27F7">
            <w:pPr>
              <w:pStyle w:val="TableBodyTextright"/>
              <w:rPr>
                <w:sz w:val="18"/>
                <w:szCs w:val="18"/>
                <w:lang w:eastAsia="en-AU"/>
              </w:rPr>
            </w:pPr>
            <w:r w:rsidRPr="00FF3E4F">
              <w:rPr>
                <w:sz w:val="18"/>
                <w:szCs w:val="18"/>
                <w:lang w:eastAsia="en-AU"/>
              </w:rPr>
              <w:t xml:space="preserve">541.9 </w:t>
            </w:r>
          </w:p>
        </w:tc>
        <w:tc>
          <w:tcPr>
            <w:tcW w:w="306" w:type="pct"/>
            <w:noWrap/>
            <w:tcMar>
              <w:left w:w="57" w:type="dxa"/>
              <w:right w:w="57" w:type="dxa"/>
            </w:tcMar>
            <w:hideMark/>
          </w:tcPr>
          <w:p w14:paraId="5AC9DCC9" w14:textId="5B865CF5" w:rsidR="00E93868" w:rsidRPr="00FF3E4F" w:rsidRDefault="00E93868" w:rsidP="00DE27F7">
            <w:pPr>
              <w:pStyle w:val="TableBodyTextright"/>
              <w:rPr>
                <w:sz w:val="18"/>
                <w:szCs w:val="18"/>
                <w:lang w:eastAsia="en-AU"/>
              </w:rPr>
            </w:pPr>
            <w:r w:rsidRPr="00FF3E4F">
              <w:rPr>
                <w:sz w:val="18"/>
                <w:szCs w:val="18"/>
                <w:lang w:eastAsia="en-AU"/>
              </w:rPr>
              <w:t>22.9</w:t>
            </w:r>
          </w:p>
        </w:tc>
      </w:tr>
      <w:tr w:rsidR="00C453B6" w:rsidRPr="00FF3E4F" w14:paraId="665A7593" w14:textId="77777777" w:rsidTr="00C453B6">
        <w:trPr>
          <w:cnfStyle w:val="000000010000" w:firstRow="0" w:lastRow="0" w:firstColumn="0" w:lastColumn="0" w:oddVBand="0" w:evenVBand="0" w:oddHBand="0" w:evenHBand="1" w:firstRowFirstColumn="0" w:firstRowLastColumn="0" w:lastRowFirstColumn="0" w:lastRowLastColumn="0"/>
          <w:trHeight w:val="280"/>
        </w:trPr>
        <w:tc>
          <w:tcPr>
            <w:tcW w:w="1056" w:type="pct"/>
            <w:noWrap/>
            <w:tcMar>
              <w:left w:w="57" w:type="dxa"/>
              <w:right w:w="57" w:type="dxa"/>
            </w:tcMar>
            <w:hideMark/>
          </w:tcPr>
          <w:p w14:paraId="4E418091" w14:textId="77777777" w:rsidR="00E93868" w:rsidRPr="00FF3E4F" w:rsidRDefault="00E93868" w:rsidP="0065586F">
            <w:pPr>
              <w:pStyle w:val="TableBodyText"/>
              <w:rPr>
                <w:sz w:val="18"/>
                <w:szCs w:val="18"/>
                <w:lang w:eastAsia="en-AU"/>
              </w:rPr>
            </w:pPr>
            <w:r w:rsidRPr="00FF3E4F">
              <w:rPr>
                <w:sz w:val="18"/>
                <w:szCs w:val="18"/>
                <w:lang w:eastAsia="en-AU"/>
              </w:rPr>
              <w:t>Arts and Recreation Services</w:t>
            </w:r>
          </w:p>
        </w:tc>
        <w:tc>
          <w:tcPr>
            <w:tcW w:w="531" w:type="pct"/>
            <w:noWrap/>
            <w:tcMar>
              <w:left w:w="57" w:type="dxa"/>
              <w:right w:w="57" w:type="dxa"/>
            </w:tcMar>
            <w:hideMark/>
          </w:tcPr>
          <w:p w14:paraId="41EE2620" w14:textId="0163B27B" w:rsidR="00E93868" w:rsidRPr="00FF3E4F" w:rsidRDefault="00E93868" w:rsidP="00DE27F7">
            <w:pPr>
              <w:pStyle w:val="TableBodyTextright"/>
              <w:rPr>
                <w:sz w:val="18"/>
                <w:szCs w:val="18"/>
                <w:lang w:eastAsia="en-AU"/>
              </w:rPr>
            </w:pPr>
            <w:r w:rsidRPr="00FF3E4F">
              <w:rPr>
                <w:sz w:val="18"/>
                <w:szCs w:val="18"/>
                <w:lang w:eastAsia="en-AU"/>
              </w:rPr>
              <w:t xml:space="preserve">274.1 </w:t>
            </w:r>
          </w:p>
        </w:tc>
        <w:tc>
          <w:tcPr>
            <w:tcW w:w="304" w:type="pct"/>
            <w:noWrap/>
            <w:tcMar>
              <w:left w:w="57" w:type="dxa"/>
              <w:right w:w="57" w:type="dxa"/>
            </w:tcMar>
            <w:hideMark/>
          </w:tcPr>
          <w:p w14:paraId="68395F3B" w14:textId="1DE6A0D6" w:rsidR="00E93868" w:rsidRPr="00FF3E4F" w:rsidRDefault="00E93868" w:rsidP="00DE27F7">
            <w:pPr>
              <w:pStyle w:val="TableBodyTextright"/>
              <w:rPr>
                <w:sz w:val="18"/>
                <w:szCs w:val="18"/>
                <w:lang w:eastAsia="en-AU"/>
              </w:rPr>
            </w:pPr>
            <w:r w:rsidRPr="00FF3E4F">
              <w:rPr>
                <w:sz w:val="18"/>
                <w:szCs w:val="18"/>
                <w:lang w:eastAsia="en-AU"/>
              </w:rPr>
              <w:t>1.9</w:t>
            </w:r>
          </w:p>
        </w:tc>
        <w:tc>
          <w:tcPr>
            <w:tcW w:w="530" w:type="pct"/>
            <w:noWrap/>
            <w:tcMar>
              <w:left w:w="57" w:type="dxa"/>
              <w:right w:w="57" w:type="dxa"/>
            </w:tcMar>
            <w:hideMark/>
          </w:tcPr>
          <w:p w14:paraId="7C0750D1" w14:textId="30FAB095" w:rsidR="00E93868" w:rsidRPr="00FF3E4F" w:rsidRDefault="00E93868" w:rsidP="00DE27F7">
            <w:pPr>
              <w:pStyle w:val="TableBodyTextright"/>
              <w:rPr>
                <w:sz w:val="18"/>
                <w:szCs w:val="18"/>
                <w:lang w:eastAsia="en-AU"/>
              </w:rPr>
            </w:pPr>
            <w:r w:rsidRPr="00FF3E4F">
              <w:rPr>
                <w:sz w:val="18"/>
                <w:szCs w:val="18"/>
                <w:lang w:eastAsia="en-AU"/>
              </w:rPr>
              <w:t xml:space="preserve">288.5 </w:t>
            </w:r>
          </w:p>
        </w:tc>
        <w:tc>
          <w:tcPr>
            <w:tcW w:w="303" w:type="pct"/>
            <w:noWrap/>
            <w:tcMar>
              <w:left w:w="57" w:type="dxa"/>
              <w:right w:w="57" w:type="dxa"/>
            </w:tcMar>
            <w:hideMark/>
          </w:tcPr>
          <w:p w14:paraId="3FB461D4" w14:textId="77FFEECC" w:rsidR="00E93868" w:rsidRPr="00FF3E4F" w:rsidRDefault="00E93868" w:rsidP="00DE27F7">
            <w:pPr>
              <w:pStyle w:val="TableBodyTextright"/>
              <w:rPr>
                <w:sz w:val="18"/>
                <w:szCs w:val="18"/>
                <w:lang w:eastAsia="en-AU"/>
              </w:rPr>
            </w:pPr>
            <w:r w:rsidRPr="00FF3E4F">
              <w:rPr>
                <w:sz w:val="18"/>
                <w:szCs w:val="18"/>
                <w:lang w:eastAsia="en-AU"/>
              </w:rPr>
              <w:t>5.2</w:t>
            </w:r>
          </w:p>
        </w:tc>
        <w:tc>
          <w:tcPr>
            <w:tcW w:w="379" w:type="pct"/>
            <w:noWrap/>
            <w:tcMar>
              <w:left w:w="57" w:type="dxa"/>
              <w:right w:w="57" w:type="dxa"/>
            </w:tcMar>
            <w:hideMark/>
          </w:tcPr>
          <w:p w14:paraId="0619DE42" w14:textId="3425BA4B" w:rsidR="00E93868" w:rsidRPr="00FF3E4F" w:rsidRDefault="00E93868" w:rsidP="00DE27F7">
            <w:pPr>
              <w:pStyle w:val="TableBodyTextright"/>
              <w:rPr>
                <w:sz w:val="18"/>
                <w:szCs w:val="18"/>
                <w:lang w:eastAsia="en-AU"/>
              </w:rPr>
            </w:pPr>
            <w:r w:rsidRPr="00FF3E4F">
              <w:rPr>
                <w:sz w:val="18"/>
                <w:szCs w:val="18"/>
                <w:lang w:eastAsia="en-AU"/>
              </w:rPr>
              <w:t xml:space="preserve">14.3 </w:t>
            </w:r>
          </w:p>
        </w:tc>
        <w:tc>
          <w:tcPr>
            <w:tcW w:w="303" w:type="pct"/>
            <w:noWrap/>
            <w:tcMar>
              <w:left w:w="57" w:type="dxa"/>
              <w:right w:w="57" w:type="dxa"/>
            </w:tcMar>
            <w:hideMark/>
          </w:tcPr>
          <w:p w14:paraId="29702E18" w14:textId="76DFE351" w:rsidR="00E93868" w:rsidRPr="00FF3E4F" w:rsidRDefault="00E93868" w:rsidP="00DE27F7">
            <w:pPr>
              <w:pStyle w:val="TableBodyTextright"/>
              <w:rPr>
                <w:sz w:val="18"/>
                <w:szCs w:val="18"/>
                <w:lang w:eastAsia="en-AU"/>
              </w:rPr>
            </w:pPr>
            <w:r w:rsidRPr="00FF3E4F">
              <w:rPr>
                <w:sz w:val="18"/>
                <w:szCs w:val="18"/>
                <w:lang w:eastAsia="en-AU"/>
              </w:rPr>
              <w:t>5.2</w:t>
            </w:r>
          </w:p>
        </w:tc>
        <w:tc>
          <w:tcPr>
            <w:tcW w:w="530" w:type="pct"/>
            <w:noWrap/>
            <w:tcMar>
              <w:left w:w="57" w:type="dxa"/>
              <w:right w:w="57" w:type="dxa"/>
            </w:tcMar>
            <w:hideMark/>
          </w:tcPr>
          <w:p w14:paraId="4FA51753" w14:textId="563A8BFA" w:rsidR="00E93868" w:rsidRPr="00FF3E4F" w:rsidRDefault="00E93868" w:rsidP="00DE27F7">
            <w:pPr>
              <w:pStyle w:val="TableBodyTextright"/>
              <w:rPr>
                <w:sz w:val="18"/>
                <w:szCs w:val="18"/>
                <w:lang w:eastAsia="en-AU"/>
              </w:rPr>
            </w:pPr>
            <w:r w:rsidRPr="00FF3E4F">
              <w:rPr>
                <w:sz w:val="18"/>
                <w:szCs w:val="18"/>
                <w:lang w:eastAsia="en-AU"/>
              </w:rPr>
              <w:t xml:space="preserve">305.0 </w:t>
            </w:r>
          </w:p>
        </w:tc>
        <w:tc>
          <w:tcPr>
            <w:tcW w:w="303" w:type="pct"/>
            <w:noWrap/>
            <w:tcMar>
              <w:left w:w="57" w:type="dxa"/>
              <w:right w:w="57" w:type="dxa"/>
            </w:tcMar>
            <w:hideMark/>
          </w:tcPr>
          <w:p w14:paraId="0B7CA55F" w14:textId="33F00EE7" w:rsidR="00E93868" w:rsidRPr="00FF3E4F" w:rsidRDefault="00E93868" w:rsidP="00DE27F7">
            <w:pPr>
              <w:pStyle w:val="TableBodyTextright"/>
              <w:rPr>
                <w:sz w:val="18"/>
                <w:szCs w:val="18"/>
                <w:lang w:eastAsia="en-AU"/>
              </w:rPr>
            </w:pPr>
            <w:r w:rsidRPr="00FF3E4F">
              <w:rPr>
                <w:sz w:val="18"/>
                <w:szCs w:val="18"/>
                <w:lang w:eastAsia="en-AU"/>
              </w:rPr>
              <w:t>1.8</w:t>
            </w:r>
          </w:p>
        </w:tc>
        <w:tc>
          <w:tcPr>
            <w:tcW w:w="455" w:type="pct"/>
            <w:noWrap/>
            <w:tcMar>
              <w:left w:w="57" w:type="dxa"/>
              <w:right w:w="57" w:type="dxa"/>
            </w:tcMar>
            <w:hideMark/>
          </w:tcPr>
          <w:p w14:paraId="47E0D54C" w14:textId="5E7A6D21" w:rsidR="00E93868" w:rsidRPr="00FF3E4F" w:rsidRDefault="00E93868" w:rsidP="00DE27F7">
            <w:pPr>
              <w:pStyle w:val="TableBodyTextright"/>
              <w:rPr>
                <w:sz w:val="18"/>
                <w:szCs w:val="18"/>
                <w:lang w:eastAsia="en-AU"/>
              </w:rPr>
            </w:pPr>
            <w:r w:rsidRPr="00FF3E4F">
              <w:rPr>
                <w:sz w:val="18"/>
                <w:szCs w:val="18"/>
                <w:lang w:eastAsia="en-AU"/>
              </w:rPr>
              <w:t xml:space="preserve">30.9 </w:t>
            </w:r>
          </w:p>
        </w:tc>
        <w:tc>
          <w:tcPr>
            <w:tcW w:w="306" w:type="pct"/>
            <w:noWrap/>
            <w:tcMar>
              <w:left w:w="57" w:type="dxa"/>
              <w:right w:w="57" w:type="dxa"/>
            </w:tcMar>
            <w:hideMark/>
          </w:tcPr>
          <w:p w14:paraId="1763AFC2" w14:textId="41451A30" w:rsidR="00E93868" w:rsidRPr="00FF3E4F" w:rsidRDefault="00E93868" w:rsidP="00DE27F7">
            <w:pPr>
              <w:pStyle w:val="TableBodyTextright"/>
              <w:rPr>
                <w:sz w:val="18"/>
                <w:szCs w:val="18"/>
                <w:lang w:eastAsia="en-AU"/>
              </w:rPr>
            </w:pPr>
            <w:r w:rsidRPr="00FF3E4F">
              <w:rPr>
                <w:sz w:val="18"/>
                <w:szCs w:val="18"/>
                <w:lang w:eastAsia="en-AU"/>
              </w:rPr>
              <w:t>11.3</w:t>
            </w:r>
          </w:p>
        </w:tc>
      </w:tr>
      <w:tr w:rsidR="00C453B6" w:rsidRPr="00FF3E4F" w14:paraId="6444458C" w14:textId="77777777" w:rsidTr="00C453B6">
        <w:trPr>
          <w:trHeight w:val="280"/>
        </w:trPr>
        <w:tc>
          <w:tcPr>
            <w:tcW w:w="1056" w:type="pct"/>
            <w:noWrap/>
            <w:tcMar>
              <w:left w:w="57" w:type="dxa"/>
              <w:right w:w="57" w:type="dxa"/>
            </w:tcMar>
            <w:hideMark/>
          </w:tcPr>
          <w:p w14:paraId="375D68E9" w14:textId="77777777" w:rsidR="00E93868" w:rsidRPr="00FF3E4F" w:rsidRDefault="00E93868" w:rsidP="0065586F">
            <w:pPr>
              <w:pStyle w:val="TableBodyText"/>
              <w:rPr>
                <w:sz w:val="18"/>
                <w:szCs w:val="18"/>
                <w:lang w:eastAsia="en-AU"/>
              </w:rPr>
            </w:pPr>
            <w:r w:rsidRPr="00FF3E4F">
              <w:rPr>
                <w:sz w:val="18"/>
                <w:szCs w:val="18"/>
                <w:lang w:eastAsia="en-AU"/>
              </w:rPr>
              <w:t>Other Services</w:t>
            </w:r>
          </w:p>
        </w:tc>
        <w:tc>
          <w:tcPr>
            <w:tcW w:w="531" w:type="pct"/>
            <w:noWrap/>
            <w:tcMar>
              <w:left w:w="57" w:type="dxa"/>
              <w:right w:w="57" w:type="dxa"/>
            </w:tcMar>
            <w:hideMark/>
          </w:tcPr>
          <w:p w14:paraId="158E8AB0" w14:textId="0EC19B42" w:rsidR="00E93868" w:rsidRPr="00FF3E4F" w:rsidRDefault="00E93868" w:rsidP="00DE27F7">
            <w:pPr>
              <w:pStyle w:val="TableBodyTextright"/>
              <w:rPr>
                <w:sz w:val="18"/>
                <w:szCs w:val="18"/>
                <w:lang w:eastAsia="en-AU"/>
              </w:rPr>
            </w:pPr>
            <w:r w:rsidRPr="00FF3E4F">
              <w:rPr>
                <w:sz w:val="18"/>
                <w:szCs w:val="18"/>
                <w:lang w:eastAsia="en-AU"/>
              </w:rPr>
              <w:t xml:space="preserve">546.7 </w:t>
            </w:r>
          </w:p>
        </w:tc>
        <w:tc>
          <w:tcPr>
            <w:tcW w:w="304" w:type="pct"/>
            <w:noWrap/>
            <w:tcMar>
              <w:left w:w="57" w:type="dxa"/>
              <w:right w:w="57" w:type="dxa"/>
            </w:tcMar>
            <w:hideMark/>
          </w:tcPr>
          <w:p w14:paraId="186B45D3" w14:textId="2FE67A98" w:rsidR="00E93868" w:rsidRPr="00FF3E4F" w:rsidRDefault="00E93868" w:rsidP="00DE27F7">
            <w:pPr>
              <w:pStyle w:val="TableBodyTextright"/>
              <w:rPr>
                <w:sz w:val="18"/>
                <w:szCs w:val="18"/>
                <w:lang w:eastAsia="en-AU"/>
              </w:rPr>
            </w:pPr>
            <w:r w:rsidRPr="00FF3E4F">
              <w:rPr>
                <w:sz w:val="18"/>
                <w:szCs w:val="18"/>
                <w:lang w:eastAsia="en-AU"/>
              </w:rPr>
              <w:t>3.7</w:t>
            </w:r>
          </w:p>
        </w:tc>
        <w:tc>
          <w:tcPr>
            <w:tcW w:w="530" w:type="pct"/>
            <w:noWrap/>
            <w:tcMar>
              <w:left w:w="57" w:type="dxa"/>
              <w:right w:w="57" w:type="dxa"/>
            </w:tcMar>
            <w:hideMark/>
          </w:tcPr>
          <w:p w14:paraId="666278DB" w14:textId="437E5D89" w:rsidR="00E93868" w:rsidRPr="00FF3E4F" w:rsidRDefault="00E93868" w:rsidP="00DE27F7">
            <w:pPr>
              <w:pStyle w:val="TableBodyTextright"/>
              <w:rPr>
                <w:sz w:val="18"/>
                <w:szCs w:val="18"/>
                <w:lang w:eastAsia="en-AU"/>
              </w:rPr>
            </w:pPr>
            <w:r w:rsidRPr="00FF3E4F">
              <w:rPr>
                <w:sz w:val="18"/>
                <w:szCs w:val="18"/>
                <w:lang w:eastAsia="en-AU"/>
              </w:rPr>
              <w:t xml:space="preserve">562.7 </w:t>
            </w:r>
          </w:p>
        </w:tc>
        <w:tc>
          <w:tcPr>
            <w:tcW w:w="303" w:type="pct"/>
            <w:noWrap/>
            <w:tcMar>
              <w:left w:w="57" w:type="dxa"/>
              <w:right w:w="57" w:type="dxa"/>
            </w:tcMar>
            <w:hideMark/>
          </w:tcPr>
          <w:p w14:paraId="6AC35527" w14:textId="49D0B3B0" w:rsidR="00E93868" w:rsidRPr="00FF3E4F" w:rsidRDefault="00E93868" w:rsidP="00DE27F7">
            <w:pPr>
              <w:pStyle w:val="TableBodyTextright"/>
              <w:rPr>
                <w:sz w:val="18"/>
                <w:szCs w:val="18"/>
                <w:lang w:eastAsia="en-AU"/>
              </w:rPr>
            </w:pPr>
            <w:r w:rsidRPr="00FF3E4F">
              <w:rPr>
                <w:sz w:val="18"/>
                <w:szCs w:val="18"/>
                <w:lang w:eastAsia="en-AU"/>
              </w:rPr>
              <w:t>2.9</w:t>
            </w:r>
          </w:p>
        </w:tc>
        <w:tc>
          <w:tcPr>
            <w:tcW w:w="379" w:type="pct"/>
            <w:noWrap/>
            <w:tcMar>
              <w:left w:w="57" w:type="dxa"/>
              <w:right w:w="57" w:type="dxa"/>
            </w:tcMar>
            <w:hideMark/>
          </w:tcPr>
          <w:p w14:paraId="62A6B313" w14:textId="5C015535" w:rsidR="00E93868" w:rsidRPr="00FF3E4F" w:rsidRDefault="00E93868" w:rsidP="00DE27F7">
            <w:pPr>
              <w:pStyle w:val="TableBodyTextright"/>
              <w:rPr>
                <w:sz w:val="18"/>
                <w:szCs w:val="18"/>
                <w:lang w:eastAsia="en-AU"/>
              </w:rPr>
            </w:pPr>
            <w:r w:rsidRPr="00FF3E4F">
              <w:rPr>
                <w:sz w:val="18"/>
                <w:szCs w:val="18"/>
                <w:lang w:eastAsia="en-AU"/>
              </w:rPr>
              <w:t xml:space="preserve">16.0 </w:t>
            </w:r>
          </w:p>
        </w:tc>
        <w:tc>
          <w:tcPr>
            <w:tcW w:w="303" w:type="pct"/>
            <w:noWrap/>
            <w:tcMar>
              <w:left w:w="57" w:type="dxa"/>
              <w:right w:w="57" w:type="dxa"/>
            </w:tcMar>
            <w:hideMark/>
          </w:tcPr>
          <w:p w14:paraId="3030CE0C" w14:textId="754C659E" w:rsidR="00E93868" w:rsidRPr="00FF3E4F" w:rsidRDefault="00E93868" w:rsidP="00DE27F7">
            <w:pPr>
              <w:pStyle w:val="TableBodyTextright"/>
              <w:rPr>
                <w:sz w:val="18"/>
                <w:szCs w:val="18"/>
                <w:lang w:eastAsia="en-AU"/>
              </w:rPr>
            </w:pPr>
            <w:r w:rsidRPr="00FF3E4F">
              <w:rPr>
                <w:sz w:val="18"/>
                <w:szCs w:val="18"/>
                <w:lang w:eastAsia="en-AU"/>
              </w:rPr>
              <w:t>2.9</w:t>
            </w:r>
          </w:p>
        </w:tc>
        <w:tc>
          <w:tcPr>
            <w:tcW w:w="530" w:type="pct"/>
            <w:noWrap/>
            <w:tcMar>
              <w:left w:w="57" w:type="dxa"/>
              <w:right w:w="57" w:type="dxa"/>
            </w:tcMar>
            <w:hideMark/>
          </w:tcPr>
          <w:p w14:paraId="5B5D7CA6" w14:textId="4B6492B9" w:rsidR="00E93868" w:rsidRPr="00FF3E4F" w:rsidRDefault="00E93868" w:rsidP="00DE27F7">
            <w:pPr>
              <w:pStyle w:val="TableBodyTextright"/>
              <w:rPr>
                <w:sz w:val="18"/>
                <w:szCs w:val="18"/>
                <w:lang w:eastAsia="en-AU"/>
              </w:rPr>
            </w:pPr>
            <w:r w:rsidRPr="00FF3E4F">
              <w:rPr>
                <w:sz w:val="18"/>
                <w:szCs w:val="18"/>
                <w:lang w:eastAsia="en-AU"/>
              </w:rPr>
              <w:t xml:space="preserve">593.1 </w:t>
            </w:r>
          </w:p>
        </w:tc>
        <w:tc>
          <w:tcPr>
            <w:tcW w:w="303" w:type="pct"/>
            <w:noWrap/>
            <w:tcMar>
              <w:left w:w="57" w:type="dxa"/>
              <w:right w:w="57" w:type="dxa"/>
            </w:tcMar>
            <w:hideMark/>
          </w:tcPr>
          <w:p w14:paraId="2C83C16D" w14:textId="0F64D21F" w:rsidR="00E93868" w:rsidRPr="00FF3E4F" w:rsidRDefault="00E93868" w:rsidP="00DE27F7">
            <w:pPr>
              <w:pStyle w:val="TableBodyTextright"/>
              <w:rPr>
                <w:sz w:val="18"/>
                <w:szCs w:val="18"/>
                <w:lang w:eastAsia="en-AU"/>
              </w:rPr>
            </w:pPr>
            <w:r w:rsidRPr="00FF3E4F">
              <w:rPr>
                <w:sz w:val="18"/>
                <w:szCs w:val="18"/>
                <w:lang w:eastAsia="en-AU"/>
              </w:rPr>
              <w:t>3.6</w:t>
            </w:r>
          </w:p>
        </w:tc>
        <w:tc>
          <w:tcPr>
            <w:tcW w:w="455" w:type="pct"/>
            <w:noWrap/>
            <w:tcMar>
              <w:left w:w="57" w:type="dxa"/>
              <w:right w:w="57" w:type="dxa"/>
            </w:tcMar>
            <w:hideMark/>
          </w:tcPr>
          <w:p w14:paraId="55A03343" w14:textId="05F880DF" w:rsidR="00E93868" w:rsidRPr="00FF3E4F" w:rsidRDefault="00E93868" w:rsidP="00DE27F7">
            <w:pPr>
              <w:pStyle w:val="TableBodyTextright"/>
              <w:rPr>
                <w:sz w:val="18"/>
                <w:szCs w:val="18"/>
                <w:lang w:eastAsia="en-AU"/>
              </w:rPr>
            </w:pPr>
            <w:r w:rsidRPr="00FF3E4F">
              <w:rPr>
                <w:sz w:val="18"/>
                <w:szCs w:val="18"/>
                <w:lang w:eastAsia="en-AU"/>
              </w:rPr>
              <w:t xml:space="preserve">46.4 </w:t>
            </w:r>
          </w:p>
        </w:tc>
        <w:tc>
          <w:tcPr>
            <w:tcW w:w="306" w:type="pct"/>
            <w:noWrap/>
            <w:tcMar>
              <w:left w:w="57" w:type="dxa"/>
              <w:right w:w="57" w:type="dxa"/>
            </w:tcMar>
            <w:hideMark/>
          </w:tcPr>
          <w:p w14:paraId="7DDB61CF" w14:textId="08AF4F83" w:rsidR="00E93868" w:rsidRPr="00FF3E4F" w:rsidRDefault="00E93868" w:rsidP="00DE27F7">
            <w:pPr>
              <w:pStyle w:val="TableBodyTextright"/>
              <w:rPr>
                <w:sz w:val="18"/>
                <w:szCs w:val="18"/>
                <w:lang w:eastAsia="en-AU"/>
              </w:rPr>
            </w:pPr>
            <w:r w:rsidRPr="00FF3E4F">
              <w:rPr>
                <w:sz w:val="18"/>
                <w:szCs w:val="18"/>
                <w:lang w:eastAsia="en-AU"/>
              </w:rPr>
              <w:t>8.5</w:t>
            </w:r>
          </w:p>
        </w:tc>
      </w:tr>
      <w:tr w:rsidR="00C453B6" w:rsidRPr="00FF3E4F" w14:paraId="3B38DF66" w14:textId="77777777" w:rsidTr="00C453B6">
        <w:trPr>
          <w:cnfStyle w:val="000000010000" w:firstRow="0" w:lastRow="0" w:firstColumn="0" w:lastColumn="0" w:oddVBand="0" w:evenVBand="0" w:oddHBand="0" w:evenHBand="1" w:firstRowFirstColumn="0" w:firstRowLastColumn="0" w:lastRowFirstColumn="0" w:lastRowLastColumn="0"/>
          <w:trHeight w:val="280"/>
        </w:trPr>
        <w:tc>
          <w:tcPr>
            <w:tcW w:w="1056" w:type="pct"/>
            <w:noWrap/>
            <w:tcMar>
              <w:left w:w="57" w:type="dxa"/>
              <w:right w:w="57" w:type="dxa"/>
            </w:tcMar>
            <w:hideMark/>
          </w:tcPr>
          <w:p w14:paraId="2A2CF5BC" w14:textId="77777777" w:rsidR="00E93868" w:rsidRPr="00FF3E4F" w:rsidRDefault="00E93868" w:rsidP="0065586F">
            <w:pPr>
              <w:pStyle w:val="TableBodyText"/>
              <w:rPr>
                <w:sz w:val="18"/>
                <w:szCs w:val="18"/>
                <w:lang w:eastAsia="en-AU"/>
              </w:rPr>
            </w:pPr>
            <w:r w:rsidRPr="00FF3E4F">
              <w:rPr>
                <w:sz w:val="18"/>
                <w:szCs w:val="18"/>
                <w:lang w:eastAsia="en-AU"/>
              </w:rPr>
              <w:t>Total</w:t>
            </w:r>
          </w:p>
        </w:tc>
        <w:tc>
          <w:tcPr>
            <w:tcW w:w="531" w:type="pct"/>
            <w:noWrap/>
            <w:tcMar>
              <w:left w:w="57" w:type="dxa"/>
              <w:right w:w="57" w:type="dxa"/>
            </w:tcMar>
            <w:hideMark/>
          </w:tcPr>
          <w:p w14:paraId="19DBFA07" w14:textId="7C78E590" w:rsidR="00E93868" w:rsidRPr="00FF3E4F" w:rsidRDefault="00E93868" w:rsidP="00DE27F7">
            <w:pPr>
              <w:pStyle w:val="TableBodyTextright"/>
              <w:rPr>
                <w:sz w:val="18"/>
                <w:szCs w:val="18"/>
                <w:lang w:eastAsia="en-AU"/>
              </w:rPr>
            </w:pPr>
            <w:r w:rsidRPr="00FF3E4F">
              <w:rPr>
                <w:sz w:val="18"/>
                <w:szCs w:val="18"/>
                <w:lang w:eastAsia="en-AU"/>
              </w:rPr>
              <w:t xml:space="preserve">14,701.0 </w:t>
            </w:r>
          </w:p>
        </w:tc>
        <w:tc>
          <w:tcPr>
            <w:tcW w:w="304" w:type="pct"/>
            <w:noWrap/>
            <w:tcMar>
              <w:left w:w="57" w:type="dxa"/>
              <w:right w:w="57" w:type="dxa"/>
            </w:tcMar>
            <w:hideMark/>
          </w:tcPr>
          <w:p w14:paraId="27139205" w14:textId="2679DCEE" w:rsidR="00E93868" w:rsidRPr="00FF3E4F" w:rsidRDefault="00E93868" w:rsidP="00DE27F7">
            <w:pPr>
              <w:pStyle w:val="TableBodyTextright"/>
              <w:rPr>
                <w:sz w:val="18"/>
                <w:szCs w:val="18"/>
                <w:lang w:eastAsia="en-AU"/>
              </w:rPr>
            </w:pPr>
            <w:r w:rsidRPr="00FF3E4F">
              <w:rPr>
                <w:sz w:val="18"/>
                <w:szCs w:val="18"/>
                <w:lang w:eastAsia="en-AU"/>
              </w:rPr>
              <w:t xml:space="preserve"> n</w:t>
            </w:r>
            <w:r w:rsidR="004C4490" w:rsidRPr="00FF3E4F">
              <w:rPr>
                <w:sz w:val="18"/>
                <w:szCs w:val="18"/>
              </w:rPr>
              <w:t>/a</w:t>
            </w:r>
          </w:p>
        </w:tc>
        <w:tc>
          <w:tcPr>
            <w:tcW w:w="530" w:type="pct"/>
            <w:noWrap/>
            <w:tcMar>
              <w:left w:w="57" w:type="dxa"/>
              <w:right w:w="57" w:type="dxa"/>
            </w:tcMar>
            <w:hideMark/>
          </w:tcPr>
          <w:p w14:paraId="34D59B7D" w14:textId="545EFC3C" w:rsidR="00E93868" w:rsidRPr="00FF3E4F" w:rsidRDefault="00E93868" w:rsidP="00DE27F7">
            <w:pPr>
              <w:pStyle w:val="TableBodyTextright"/>
              <w:rPr>
                <w:sz w:val="18"/>
                <w:szCs w:val="18"/>
                <w:lang w:eastAsia="en-AU"/>
              </w:rPr>
            </w:pPr>
            <w:r w:rsidRPr="00FF3E4F">
              <w:rPr>
                <w:sz w:val="18"/>
                <w:szCs w:val="18"/>
                <w:lang w:eastAsia="en-AU"/>
              </w:rPr>
              <w:t xml:space="preserve">15,662.0 </w:t>
            </w:r>
          </w:p>
        </w:tc>
        <w:tc>
          <w:tcPr>
            <w:tcW w:w="303" w:type="pct"/>
            <w:noWrap/>
            <w:tcMar>
              <w:left w:w="57" w:type="dxa"/>
              <w:right w:w="57" w:type="dxa"/>
            </w:tcMar>
            <w:hideMark/>
          </w:tcPr>
          <w:p w14:paraId="01BAE3CE" w14:textId="693B20A4" w:rsidR="00E93868" w:rsidRPr="00FF3E4F" w:rsidRDefault="00E93868" w:rsidP="00DE27F7">
            <w:pPr>
              <w:pStyle w:val="TableBodyTextright"/>
              <w:rPr>
                <w:sz w:val="18"/>
                <w:szCs w:val="18"/>
                <w:lang w:eastAsia="en-AU"/>
              </w:rPr>
            </w:pPr>
            <w:r w:rsidRPr="00FF3E4F">
              <w:rPr>
                <w:sz w:val="18"/>
                <w:szCs w:val="18"/>
                <w:lang w:eastAsia="en-AU"/>
              </w:rPr>
              <w:t>6.5</w:t>
            </w:r>
          </w:p>
        </w:tc>
        <w:tc>
          <w:tcPr>
            <w:tcW w:w="379" w:type="pct"/>
            <w:noWrap/>
            <w:tcMar>
              <w:left w:w="57" w:type="dxa"/>
              <w:right w:w="57" w:type="dxa"/>
            </w:tcMar>
            <w:hideMark/>
          </w:tcPr>
          <w:p w14:paraId="79C1FDB2" w14:textId="2DAC37A4" w:rsidR="00E93868" w:rsidRPr="00FF3E4F" w:rsidRDefault="00E93868" w:rsidP="00DE27F7">
            <w:pPr>
              <w:pStyle w:val="TableBodyTextright"/>
              <w:rPr>
                <w:sz w:val="18"/>
                <w:szCs w:val="18"/>
                <w:lang w:eastAsia="en-AU"/>
              </w:rPr>
            </w:pPr>
            <w:r w:rsidRPr="00FF3E4F">
              <w:rPr>
                <w:sz w:val="18"/>
                <w:szCs w:val="18"/>
                <w:lang w:eastAsia="en-AU"/>
              </w:rPr>
              <w:t xml:space="preserve">961.0 </w:t>
            </w:r>
          </w:p>
        </w:tc>
        <w:tc>
          <w:tcPr>
            <w:tcW w:w="303" w:type="pct"/>
            <w:noWrap/>
            <w:tcMar>
              <w:left w:w="57" w:type="dxa"/>
              <w:right w:w="57" w:type="dxa"/>
            </w:tcMar>
            <w:hideMark/>
          </w:tcPr>
          <w:p w14:paraId="222E87C9" w14:textId="09B28843" w:rsidR="00E93868" w:rsidRPr="00FF3E4F" w:rsidRDefault="00E93868" w:rsidP="00DE27F7">
            <w:pPr>
              <w:pStyle w:val="TableBodyTextright"/>
              <w:rPr>
                <w:sz w:val="18"/>
                <w:szCs w:val="18"/>
                <w:lang w:eastAsia="en-AU"/>
              </w:rPr>
            </w:pPr>
            <w:r w:rsidRPr="00FF3E4F">
              <w:rPr>
                <w:sz w:val="18"/>
                <w:szCs w:val="18"/>
                <w:lang w:eastAsia="en-AU"/>
              </w:rPr>
              <w:t>6.5</w:t>
            </w:r>
          </w:p>
        </w:tc>
        <w:tc>
          <w:tcPr>
            <w:tcW w:w="530" w:type="pct"/>
            <w:noWrap/>
            <w:tcMar>
              <w:left w:w="57" w:type="dxa"/>
              <w:right w:w="57" w:type="dxa"/>
            </w:tcMar>
            <w:hideMark/>
          </w:tcPr>
          <w:p w14:paraId="6E1BE6A2" w14:textId="16ED8DAF" w:rsidR="00E93868" w:rsidRPr="00FF3E4F" w:rsidRDefault="00E93868" w:rsidP="00DE27F7">
            <w:pPr>
              <w:pStyle w:val="TableBodyTextright"/>
              <w:rPr>
                <w:sz w:val="18"/>
                <w:szCs w:val="18"/>
                <w:lang w:eastAsia="en-AU"/>
              </w:rPr>
            </w:pPr>
            <w:r w:rsidRPr="00FF3E4F">
              <w:rPr>
                <w:sz w:val="18"/>
                <w:szCs w:val="18"/>
                <w:lang w:eastAsia="en-AU"/>
              </w:rPr>
              <w:t xml:space="preserve">16,655.5 </w:t>
            </w:r>
          </w:p>
        </w:tc>
        <w:tc>
          <w:tcPr>
            <w:tcW w:w="303" w:type="pct"/>
            <w:noWrap/>
            <w:tcMar>
              <w:left w:w="57" w:type="dxa"/>
              <w:right w:w="57" w:type="dxa"/>
            </w:tcMar>
            <w:hideMark/>
          </w:tcPr>
          <w:p w14:paraId="3F6BD308" w14:textId="2C1D4E82" w:rsidR="00E93868" w:rsidRPr="00FF3E4F" w:rsidRDefault="00E93868" w:rsidP="00DE27F7">
            <w:pPr>
              <w:pStyle w:val="TableBodyTextright"/>
              <w:rPr>
                <w:sz w:val="18"/>
                <w:szCs w:val="18"/>
                <w:lang w:eastAsia="en-AU"/>
              </w:rPr>
            </w:pPr>
            <w:r w:rsidRPr="00FF3E4F">
              <w:rPr>
                <w:sz w:val="18"/>
                <w:szCs w:val="18"/>
                <w:lang w:eastAsia="en-AU"/>
              </w:rPr>
              <w:t xml:space="preserve"> n</w:t>
            </w:r>
            <w:r w:rsidR="004C4490" w:rsidRPr="00FF3E4F">
              <w:rPr>
                <w:sz w:val="18"/>
                <w:szCs w:val="18"/>
              </w:rPr>
              <w:t>/</w:t>
            </w:r>
            <w:r w:rsidRPr="00FF3E4F" w:rsidDel="004C4490">
              <w:rPr>
                <w:sz w:val="18"/>
                <w:szCs w:val="18"/>
              </w:rPr>
              <w:t>a</w:t>
            </w:r>
            <w:r w:rsidRPr="00FF3E4F">
              <w:rPr>
                <w:sz w:val="18"/>
                <w:szCs w:val="18"/>
                <w:lang w:eastAsia="en-AU"/>
              </w:rPr>
              <w:t xml:space="preserve"> </w:t>
            </w:r>
          </w:p>
        </w:tc>
        <w:tc>
          <w:tcPr>
            <w:tcW w:w="455" w:type="pct"/>
            <w:noWrap/>
            <w:tcMar>
              <w:left w:w="57" w:type="dxa"/>
              <w:right w:w="57" w:type="dxa"/>
            </w:tcMar>
            <w:hideMark/>
          </w:tcPr>
          <w:p w14:paraId="268BAF40" w14:textId="256C4860" w:rsidR="00E93868" w:rsidRPr="00FF3E4F" w:rsidRDefault="00E93868" w:rsidP="00DE27F7">
            <w:pPr>
              <w:pStyle w:val="TableBodyTextright"/>
              <w:rPr>
                <w:sz w:val="18"/>
                <w:szCs w:val="18"/>
                <w:lang w:eastAsia="en-AU"/>
              </w:rPr>
            </w:pPr>
            <w:r w:rsidRPr="00FF3E4F">
              <w:rPr>
                <w:sz w:val="18"/>
                <w:szCs w:val="18"/>
                <w:lang w:eastAsia="en-AU"/>
              </w:rPr>
              <w:t xml:space="preserve">1,954.5 </w:t>
            </w:r>
          </w:p>
        </w:tc>
        <w:tc>
          <w:tcPr>
            <w:tcW w:w="306" w:type="pct"/>
            <w:noWrap/>
            <w:tcMar>
              <w:left w:w="57" w:type="dxa"/>
              <w:right w:w="57" w:type="dxa"/>
            </w:tcMar>
            <w:hideMark/>
          </w:tcPr>
          <w:p w14:paraId="57CEFFD1" w14:textId="46894CFB" w:rsidR="00E93868" w:rsidRPr="00FF3E4F" w:rsidRDefault="00E93868" w:rsidP="00DE27F7">
            <w:pPr>
              <w:pStyle w:val="TableBodyTextright"/>
              <w:rPr>
                <w:sz w:val="18"/>
                <w:szCs w:val="18"/>
                <w:lang w:eastAsia="en-AU"/>
              </w:rPr>
            </w:pPr>
            <w:r w:rsidRPr="00FF3E4F">
              <w:rPr>
                <w:sz w:val="18"/>
                <w:szCs w:val="18"/>
                <w:lang w:eastAsia="en-AU"/>
              </w:rPr>
              <w:t>13.3</w:t>
            </w:r>
          </w:p>
        </w:tc>
      </w:tr>
    </w:tbl>
    <w:p w14:paraId="13162245" w14:textId="1CAF28DD" w:rsidR="00E93868" w:rsidRDefault="00871F98" w:rsidP="00AC4FB1">
      <w:pPr>
        <w:pStyle w:val="Source"/>
        <w:rPr>
          <w:rStyle w:val="Characterbolditalic"/>
          <w:b w:val="0"/>
          <w:i w:val="0"/>
        </w:rPr>
      </w:pPr>
      <w:r w:rsidRPr="004221DF">
        <w:rPr>
          <w:rStyle w:val="Characterbolditalic"/>
          <w:b w:val="0"/>
          <w:i w:val="0"/>
        </w:rPr>
        <w:t>Source: 2025-2035 Employment Projections, produced by VU for JSA.</w:t>
      </w:r>
    </w:p>
    <w:p w14:paraId="599D19C3" w14:textId="060D5D0B" w:rsidR="0026252C" w:rsidRPr="00543766" w:rsidRDefault="00D10C36" w:rsidP="00543766">
      <w:pPr>
        <w:pStyle w:val="Source"/>
      </w:pPr>
      <w:r>
        <w:t>Note:</w:t>
      </w:r>
      <w:r w:rsidR="00724389">
        <w:t xml:space="preserve"> Emp</w:t>
      </w:r>
      <w:r w:rsidR="00521369">
        <w:t>'t</w:t>
      </w:r>
      <w:r w:rsidR="00724389">
        <w:t xml:space="preserve"> Is </w:t>
      </w:r>
      <w:r w:rsidR="00282B54">
        <w:t>the abbreviation for 'Employment'.</w:t>
      </w:r>
    </w:p>
    <w:p w14:paraId="73BF0391" w14:textId="47581EEA" w:rsidR="00FF3E4F" w:rsidRDefault="006818D3" w:rsidP="007F1C27">
      <w:pPr>
        <w:pStyle w:val="Caption"/>
      </w:pPr>
      <w:r>
        <w:t xml:space="preserve">Table </w:t>
      </w:r>
      <w:r>
        <w:fldChar w:fldCharType="begin"/>
      </w:r>
      <w:r>
        <w:instrText xml:space="preserve"> SEQ Table \* ARABIC </w:instrText>
      </w:r>
      <w:r>
        <w:fldChar w:fldCharType="separate"/>
      </w:r>
      <w:r w:rsidR="009E6E1D">
        <w:rPr>
          <w:noProof/>
        </w:rPr>
        <w:t>9</w:t>
      </w:r>
      <w:r>
        <w:fldChar w:fldCharType="end"/>
      </w:r>
      <w:r>
        <w:t xml:space="preserve">: </w:t>
      </w:r>
      <w:r w:rsidRPr="00A5037B">
        <w:t xml:space="preserve">Projected employment growth over the next 5 and 10 years, by occupation </w:t>
      </w:r>
      <w:r w:rsidR="002333CC">
        <w:t>major</w:t>
      </w:r>
      <w:r w:rsidRPr="00A5037B">
        <w:t xml:space="preserve"> group</w:t>
      </w:r>
      <w:r>
        <w:t>, Australia</w:t>
      </w:r>
    </w:p>
    <w:tbl>
      <w:tblPr>
        <w:tblStyle w:val="CustomTablebasic"/>
        <w:tblW w:w="0" w:type="auto"/>
        <w:tblBorders>
          <w:top w:val="single" w:sz="4" w:space="0" w:color="4B0985" w:themeColor="text2"/>
          <w:left w:val="single" w:sz="4" w:space="0" w:color="4B0985" w:themeColor="text2"/>
          <w:bottom w:val="single" w:sz="4" w:space="0" w:color="4B0985" w:themeColor="text2"/>
          <w:right w:val="single" w:sz="4" w:space="0" w:color="4B0985" w:themeColor="text2"/>
          <w:insideH w:val="single" w:sz="4" w:space="0" w:color="4B0985" w:themeColor="text2"/>
          <w:insideV w:val="single" w:sz="4" w:space="0" w:color="4B0985" w:themeColor="text2"/>
        </w:tblBorders>
        <w:tblLook w:val="04A0" w:firstRow="1" w:lastRow="0" w:firstColumn="1" w:lastColumn="0" w:noHBand="0" w:noVBand="1"/>
      </w:tblPr>
      <w:tblGrid>
        <w:gridCol w:w="1347"/>
        <w:gridCol w:w="1022"/>
        <w:gridCol w:w="668"/>
        <w:gridCol w:w="1048"/>
        <w:gridCol w:w="695"/>
        <w:gridCol w:w="808"/>
        <w:gridCol w:w="606"/>
        <w:gridCol w:w="1023"/>
        <w:gridCol w:w="723"/>
        <w:gridCol w:w="817"/>
        <w:gridCol w:w="600"/>
      </w:tblGrid>
      <w:tr w:rsidR="002C68CC" w:rsidRPr="007F1C27" w14:paraId="7762EB79" w14:textId="77777777" w:rsidTr="004E2C48">
        <w:trPr>
          <w:cnfStyle w:val="100000000000" w:firstRow="1" w:lastRow="0" w:firstColumn="0" w:lastColumn="0" w:oddVBand="0" w:evenVBand="0" w:oddHBand="0" w:evenHBand="0" w:firstRowFirstColumn="0" w:firstRowLastColumn="0" w:lastRowFirstColumn="0" w:lastRowLastColumn="0"/>
          <w:trHeight w:val="357"/>
          <w:tblHeader/>
        </w:trPr>
        <w:tc>
          <w:tcPr>
            <w:tcW w:w="1347" w:type="dxa"/>
            <w:vMerge w:val="restart"/>
            <w:tcBorders>
              <w:right w:val="single" w:sz="4" w:space="0" w:color="FFFFFF" w:themeColor="background1"/>
            </w:tcBorders>
            <w:vAlign w:val="center"/>
          </w:tcPr>
          <w:p w14:paraId="203651E6" w14:textId="6E1E78B1" w:rsidR="007F1C27" w:rsidRPr="007F1C27" w:rsidRDefault="007F1C27" w:rsidP="007F1C27">
            <w:pPr>
              <w:pStyle w:val="TableHeading1"/>
              <w:rPr>
                <w:sz w:val="18"/>
                <w:szCs w:val="18"/>
              </w:rPr>
            </w:pPr>
            <w:r w:rsidRPr="007F1C27">
              <w:rPr>
                <w:sz w:val="18"/>
                <w:szCs w:val="18"/>
              </w:rPr>
              <w:t>Occupation (1-Digit ANZSCO)</w:t>
            </w:r>
          </w:p>
        </w:tc>
        <w:tc>
          <w:tcPr>
            <w:tcW w:w="1727" w:type="dxa"/>
            <w:gridSpan w:val="2"/>
            <w:tcBorders>
              <w:left w:val="single" w:sz="4" w:space="0" w:color="FFFFFF" w:themeColor="background1"/>
              <w:right w:val="single" w:sz="4" w:space="0" w:color="FFFFFF" w:themeColor="background1"/>
            </w:tcBorders>
            <w:vAlign w:val="center"/>
          </w:tcPr>
          <w:p w14:paraId="5121A444" w14:textId="4DEC00B7" w:rsidR="007F1C27" w:rsidRPr="007F1C27" w:rsidRDefault="007F1C27" w:rsidP="007F1C27">
            <w:pPr>
              <w:pStyle w:val="TableHeading1"/>
              <w:rPr>
                <w:sz w:val="18"/>
                <w:szCs w:val="18"/>
              </w:rPr>
            </w:pPr>
            <w:r w:rsidRPr="007F1C27">
              <w:rPr>
                <w:sz w:val="18"/>
                <w:szCs w:val="18"/>
              </w:rPr>
              <w:t>Baseline</w:t>
            </w:r>
          </w:p>
        </w:tc>
        <w:tc>
          <w:tcPr>
            <w:tcW w:w="3207" w:type="dxa"/>
            <w:gridSpan w:val="4"/>
            <w:tcBorders>
              <w:left w:val="single" w:sz="4" w:space="0" w:color="FFFFFF" w:themeColor="background1"/>
              <w:right w:val="single" w:sz="4" w:space="0" w:color="FFFFFF" w:themeColor="background1"/>
            </w:tcBorders>
            <w:vAlign w:val="center"/>
          </w:tcPr>
          <w:p w14:paraId="7A47B6D2" w14:textId="2D870D23" w:rsidR="007F1C27" w:rsidRPr="007F1C27" w:rsidRDefault="007F1C27" w:rsidP="007F1C27">
            <w:pPr>
              <w:pStyle w:val="TableHeading1"/>
              <w:rPr>
                <w:sz w:val="18"/>
                <w:szCs w:val="18"/>
              </w:rPr>
            </w:pPr>
            <w:r w:rsidRPr="007F1C27">
              <w:rPr>
                <w:sz w:val="18"/>
                <w:szCs w:val="18"/>
              </w:rPr>
              <w:t>5-year outlook</w:t>
            </w:r>
          </w:p>
        </w:tc>
        <w:tc>
          <w:tcPr>
            <w:tcW w:w="3076" w:type="dxa"/>
            <w:gridSpan w:val="4"/>
            <w:tcBorders>
              <w:left w:val="single" w:sz="4" w:space="0" w:color="FFFFFF" w:themeColor="background1"/>
            </w:tcBorders>
            <w:vAlign w:val="center"/>
          </w:tcPr>
          <w:p w14:paraId="7DE5E3D9" w14:textId="5377BEF3" w:rsidR="007F1C27" w:rsidRPr="007F1C27" w:rsidRDefault="007F1C27" w:rsidP="007F1C27">
            <w:pPr>
              <w:pStyle w:val="TableHeading1"/>
              <w:rPr>
                <w:sz w:val="18"/>
                <w:szCs w:val="18"/>
              </w:rPr>
            </w:pPr>
            <w:r w:rsidRPr="007F1C27">
              <w:rPr>
                <w:sz w:val="18"/>
                <w:szCs w:val="18"/>
              </w:rPr>
              <w:t>10-year outlook</w:t>
            </w:r>
          </w:p>
        </w:tc>
      </w:tr>
      <w:tr w:rsidR="007F1C27" w:rsidRPr="007F1C27" w14:paraId="015B1891" w14:textId="77777777" w:rsidTr="004E2C48">
        <w:trPr>
          <w:cnfStyle w:val="100000000000" w:firstRow="1" w:lastRow="0" w:firstColumn="0" w:lastColumn="0" w:oddVBand="0" w:evenVBand="0" w:oddHBand="0" w:evenHBand="0" w:firstRowFirstColumn="0" w:firstRowLastColumn="0" w:lastRowFirstColumn="0" w:lastRowLastColumn="0"/>
          <w:trHeight w:val="207"/>
          <w:tblHeader/>
        </w:trPr>
        <w:tc>
          <w:tcPr>
            <w:tcW w:w="1347" w:type="dxa"/>
            <w:vMerge/>
            <w:vAlign w:val="center"/>
          </w:tcPr>
          <w:p w14:paraId="55454457" w14:textId="77777777" w:rsidR="007F1C27" w:rsidRPr="007F1C27" w:rsidRDefault="007F1C27" w:rsidP="007F1C27">
            <w:pPr>
              <w:pStyle w:val="TableHeading1"/>
              <w:rPr>
                <w:sz w:val="18"/>
                <w:szCs w:val="18"/>
              </w:rPr>
            </w:pPr>
          </w:p>
        </w:tc>
        <w:tc>
          <w:tcPr>
            <w:tcW w:w="1041" w:type="dxa"/>
            <w:vMerge w:val="restart"/>
            <w:shd w:val="clear" w:color="auto" w:fill="E0D1F5" w:themeFill="accent1" w:themeFillTint="33"/>
            <w:textDirection w:val="btLr"/>
            <w:vAlign w:val="center"/>
          </w:tcPr>
          <w:p w14:paraId="5D5BA869" w14:textId="4E92FE62" w:rsidR="007F1C27" w:rsidRPr="007F1C27" w:rsidRDefault="007F1C27" w:rsidP="007F1C27">
            <w:pPr>
              <w:pStyle w:val="TableHeading1"/>
              <w:ind w:left="113" w:right="113"/>
              <w:rPr>
                <w:sz w:val="18"/>
                <w:szCs w:val="18"/>
              </w:rPr>
            </w:pPr>
            <w:r w:rsidRPr="007F1C27">
              <w:rPr>
                <w:sz w:val="18"/>
                <w:szCs w:val="18"/>
              </w:rPr>
              <w:t>Emp't ('000)</w:t>
            </w:r>
            <w:r w:rsidRPr="007F1C27">
              <w:rPr>
                <w:sz w:val="18"/>
                <w:szCs w:val="18"/>
              </w:rPr>
              <w:br/>
              <w:t>May 2025</w:t>
            </w:r>
          </w:p>
        </w:tc>
        <w:tc>
          <w:tcPr>
            <w:tcW w:w="686" w:type="dxa"/>
            <w:vMerge w:val="restart"/>
            <w:shd w:val="clear" w:color="auto" w:fill="E0D1F5" w:themeFill="accent1" w:themeFillTint="33"/>
            <w:textDirection w:val="btLr"/>
            <w:vAlign w:val="center"/>
          </w:tcPr>
          <w:p w14:paraId="2058A6D4" w14:textId="155287D2" w:rsidR="007F1C27" w:rsidRPr="007F1C27" w:rsidRDefault="007F1C27" w:rsidP="002C68CC">
            <w:pPr>
              <w:pStyle w:val="Source"/>
              <w:spacing w:before="0"/>
              <w:ind w:left="113" w:right="113"/>
              <w:rPr>
                <w:sz w:val="18"/>
                <w:szCs w:val="18"/>
              </w:rPr>
            </w:pPr>
            <w:r w:rsidRPr="007F1C27">
              <w:rPr>
                <w:sz w:val="18"/>
                <w:szCs w:val="18"/>
              </w:rPr>
              <w:t>Share of total emp't (%)</w:t>
            </w:r>
          </w:p>
        </w:tc>
        <w:tc>
          <w:tcPr>
            <w:tcW w:w="1072" w:type="dxa"/>
            <w:vMerge w:val="restart"/>
            <w:shd w:val="clear" w:color="auto" w:fill="E0D1F5" w:themeFill="accent1" w:themeFillTint="33"/>
            <w:textDirection w:val="btLr"/>
            <w:vAlign w:val="center"/>
          </w:tcPr>
          <w:p w14:paraId="0404CEF6" w14:textId="727A14E8" w:rsidR="007F1C27" w:rsidRPr="007F1C27" w:rsidRDefault="007F1C27" w:rsidP="007F1C27">
            <w:pPr>
              <w:pStyle w:val="TableHeading1"/>
              <w:ind w:left="113" w:right="113"/>
              <w:rPr>
                <w:sz w:val="18"/>
                <w:szCs w:val="18"/>
              </w:rPr>
            </w:pPr>
            <w:r w:rsidRPr="007F1C27">
              <w:rPr>
                <w:sz w:val="18"/>
                <w:szCs w:val="18"/>
              </w:rPr>
              <w:t>Emp't ('000)</w:t>
            </w:r>
            <w:r w:rsidRPr="007F1C27">
              <w:rPr>
                <w:sz w:val="18"/>
                <w:szCs w:val="18"/>
              </w:rPr>
              <w:br/>
              <w:t>May 2030</w:t>
            </w:r>
          </w:p>
        </w:tc>
        <w:tc>
          <w:tcPr>
            <w:tcW w:w="719" w:type="dxa"/>
            <w:vMerge w:val="restart"/>
            <w:shd w:val="clear" w:color="auto" w:fill="E0D1F5" w:themeFill="accent1" w:themeFillTint="33"/>
            <w:textDirection w:val="btLr"/>
            <w:vAlign w:val="center"/>
          </w:tcPr>
          <w:p w14:paraId="478472D5" w14:textId="44279DC7" w:rsidR="007F1C27" w:rsidRPr="007F1C27" w:rsidRDefault="007F1C27" w:rsidP="002C68CC">
            <w:pPr>
              <w:pStyle w:val="Source"/>
              <w:spacing w:before="0"/>
              <w:ind w:left="113" w:right="113"/>
              <w:rPr>
                <w:sz w:val="18"/>
                <w:szCs w:val="18"/>
              </w:rPr>
            </w:pPr>
            <w:r w:rsidRPr="007F1C27">
              <w:rPr>
                <w:sz w:val="18"/>
                <w:szCs w:val="18"/>
              </w:rPr>
              <w:t>Share of total emp't (%)</w:t>
            </w:r>
          </w:p>
        </w:tc>
        <w:tc>
          <w:tcPr>
            <w:tcW w:w="1416" w:type="dxa"/>
            <w:gridSpan w:val="2"/>
            <w:shd w:val="clear" w:color="auto" w:fill="E0D1F5" w:themeFill="accent1" w:themeFillTint="33"/>
            <w:vAlign w:val="center"/>
          </w:tcPr>
          <w:p w14:paraId="1BE0F2FA" w14:textId="0478F3FE" w:rsidR="007F1C27" w:rsidRPr="007F1C27" w:rsidRDefault="007F1C27" w:rsidP="007F1C27">
            <w:pPr>
              <w:pStyle w:val="Source"/>
              <w:rPr>
                <w:sz w:val="18"/>
                <w:szCs w:val="18"/>
              </w:rPr>
            </w:pPr>
            <w:r w:rsidRPr="007F1C27">
              <w:rPr>
                <w:sz w:val="18"/>
                <w:szCs w:val="18"/>
              </w:rPr>
              <w:t>Change</w:t>
            </w:r>
          </w:p>
        </w:tc>
        <w:tc>
          <w:tcPr>
            <w:tcW w:w="1042" w:type="dxa"/>
            <w:vMerge w:val="restart"/>
            <w:shd w:val="clear" w:color="auto" w:fill="E0D1F5" w:themeFill="accent1" w:themeFillTint="33"/>
            <w:textDirection w:val="btLr"/>
            <w:vAlign w:val="center"/>
          </w:tcPr>
          <w:p w14:paraId="1FD61E44" w14:textId="03CBCC3A" w:rsidR="007F1C27" w:rsidRPr="007F1C27" w:rsidRDefault="007F1C27" w:rsidP="007F1C27">
            <w:pPr>
              <w:pStyle w:val="TableHeading1"/>
              <w:ind w:left="113" w:right="113"/>
              <w:rPr>
                <w:sz w:val="18"/>
                <w:szCs w:val="18"/>
              </w:rPr>
            </w:pPr>
            <w:r w:rsidRPr="007F1C27">
              <w:rPr>
                <w:sz w:val="18"/>
                <w:szCs w:val="18"/>
              </w:rPr>
              <w:t xml:space="preserve">Emp't ('000) </w:t>
            </w:r>
            <w:r w:rsidRPr="007F1C27">
              <w:rPr>
                <w:sz w:val="18"/>
                <w:szCs w:val="18"/>
              </w:rPr>
              <w:br/>
              <w:t>May 2035</w:t>
            </w:r>
          </w:p>
        </w:tc>
        <w:tc>
          <w:tcPr>
            <w:tcW w:w="752" w:type="dxa"/>
            <w:vMerge w:val="restart"/>
            <w:shd w:val="clear" w:color="auto" w:fill="E0D1F5" w:themeFill="accent1" w:themeFillTint="33"/>
            <w:textDirection w:val="btLr"/>
            <w:vAlign w:val="center"/>
          </w:tcPr>
          <w:p w14:paraId="7453C814" w14:textId="487E32B1" w:rsidR="007F1C27" w:rsidRPr="007F1C27" w:rsidRDefault="007F1C27" w:rsidP="002C68CC">
            <w:pPr>
              <w:pStyle w:val="Source"/>
              <w:spacing w:before="0"/>
              <w:ind w:left="113" w:right="113"/>
              <w:rPr>
                <w:sz w:val="18"/>
                <w:szCs w:val="18"/>
              </w:rPr>
            </w:pPr>
            <w:r w:rsidRPr="007F1C27">
              <w:rPr>
                <w:sz w:val="18"/>
                <w:szCs w:val="18"/>
              </w:rPr>
              <w:t>Share of total emp't (%)</w:t>
            </w:r>
          </w:p>
        </w:tc>
        <w:tc>
          <w:tcPr>
            <w:tcW w:w="1282" w:type="dxa"/>
            <w:gridSpan w:val="2"/>
            <w:shd w:val="clear" w:color="auto" w:fill="E0D1F5" w:themeFill="accent1" w:themeFillTint="33"/>
            <w:vAlign w:val="center"/>
          </w:tcPr>
          <w:p w14:paraId="3680AC34" w14:textId="3D7164B3" w:rsidR="007F1C27" w:rsidRPr="007F1C27" w:rsidRDefault="007F1C27" w:rsidP="007F1C27">
            <w:pPr>
              <w:pStyle w:val="Source"/>
              <w:rPr>
                <w:sz w:val="18"/>
                <w:szCs w:val="18"/>
              </w:rPr>
            </w:pPr>
            <w:r w:rsidRPr="007F1C27">
              <w:rPr>
                <w:sz w:val="18"/>
                <w:szCs w:val="18"/>
              </w:rPr>
              <w:t>Change</w:t>
            </w:r>
          </w:p>
        </w:tc>
      </w:tr>
      <w:tr w:rsidR="002C68CC" w:rsidRPr="007F1C27" w14:paraId="42C736F4" w14:textId="77777777" w:rsidTr="004E2C48">
        <w:trPr>
          <w:cnfStyle w:val="100000000000" w:firstRow="1" w:lastRow="0" w:firstColumn="0" w:lastColumn="0" w:oddVBand="0" w:evenVBand="0" w:oddHBand="0" w:evenHBand="0" w:firstRowFirstColumn="0" w:firstRowLastColumn="0" w:lastRowFirstColumn="0" w:lastRowLastColumn="0"/>
          <w:trHeight w:val="920"/>
          <w:tblHeader/>
        </w:trPr>
        <w:tc>
          <w:tcPr>
            <w:tcW w:w="1347" w:type="dxa"/>
            <w:vMerge/>
            <w:vAlign w:val="center"/>
          </w:tcPr>
          <w:p w14:paraId="0AF92EDE" w14:textId="77777777" w:rsidR="007F1C27" w:rsidRPr="007F1C27" w:rsidRDefault="007F1C27" w:rsidP="007F1C27">
            <w:pPr>
              <w:pStyle w:val="TableHeading1"/>
              <w:rPr>
                <w:sz w:val="18"/>
                <w:szCs w:val="18"/>
              </w:rPr>
            </w:pPr>
          </w:p>
        </w:tc>
        <w:tc>
          <w:tcPr>
            <w:tcW w:w="1041" w:type="dxa"/>
            <w:vMerge/>
            <w:shd w:val="clear" w:color="auto" w:fill="E0D1F5" w:themeFill="accent1" w:themeFillTint="33"/>
            <w:vAlign w:val="center"/>
          </w:tcPr>
          <w:p w14:paraId="1487AF2D" w14:textId="77777777" w:rsidR="007F1C27" w:rsidRPr="007F1C27" w:rsidRDefault="007F1C27" w:rsidP="007F1C27">
            <w:pPr>
              <w:pStyle w:val="Source"/>
              <w:rPr>
                <w:sz w:val="18"/>
                <w:szCs w:val="18"/>
              </w:rPr>
            </w:pPr>
          </w:p>
        </w:tc>
        <w:tc>
          <w:tcPr>
            <w:tcW w:w="686" w:type="dxa"/>
            <w:vMerge/>
            <w:shd w:val="clear" w:color="auto" w:fill="E0D1F5" w:themeFill="accent1" w:themeFillTint="33"/>
            <w:vAlign w:val="center"/>
          </w:tcPr>
          <w:p w14:paraId="3458117D" w14:textId="77777777" w:rsidR="007F1C27" w:rsidRPr="007F1C27" w:rsidRDefault="007F1C27" w:rsidP="007F1C27">
            <w:pPr>
              <w:pStyle w:val="Source"/>
              <w:rPr>
                <w:sz w:val="18"/>
                <w:szCs w:val="18"/>
              </w:rPr>
            </w:pPr>
          </w:p>
        </w:tc>
        <w:tc>
          <w:tcPr>
            <w:tcW w:w="1072" w:type="dxa"/>
            <w:vMerge/>
            <w:shd w:val="clear" w:color="auto" w:fill="E0D1F5" w:themeFill="accent1" w:themeFillTint="33"/>
            <w:vAlign w:val="center"/>
          </w:tcPr>
          <w:p w14:paraId="31A3AE78" w14:textId="77777777" w:rsidR="007F1C27" w:rsidRPr="007F1C27" w:rsidRDefault="007F1C27" w:rsidP="007F1C27">
            <w:pPr>
              <w:pStyle w:val="Source"/>
              <w:rPr>
                <w:sz w:val="18"/>
                <w:szCs w:val="18"/>
              </w:rPr>
            </w:pPr>
          </w:p>
        </w:tc>
        <w:tc>
          <w:tcPr>
            <w:tcW w:w="719" w:type="dxa"/>
            <w:vMerge/>
            <w:shd w:val="clear" w:color="auto" w:fill="E0D1F5" w:themeFill="accent1" w:themeFillTint="33"/>
            <w:vAlign w:val="center"/>
          </w:tcPr>
          <w:p w14:paraId="6F690510" w14:textId="77777777" w:rsidR="007F1C27" w:rsidRPr="007F1C27" w:rsidRDefault="007F1C27" w:rsidP="007F1C27">
            <w:pPr>
              <w:pStyle w:val="Source"/>
              <w:rPr>
                <w:sz w:val="18"/>
                <w:szCs w:val="18"/>
              </w:rPr>
            </w:pPr>
          </w:p>
        </w:tc>
        <w:tc>
          <w:tcPr>
            <w:tcW w:w="808" w:type="dxa"/>
            <w:shd w:val="clear" w:color="auto" w:fill="E0D1F5" w:themeFill="accent1" w:themeFillTint="33"/>
            <w:textDirection w:val="btLr"/>
            <w:vAlign w:val="center"/>
          </w:tcPr>
          <w:p w14:paraId="2AF41DFE" w14:textId="16628B09" w:rsidR="007F1C27" w:rsidRPr="007F1C27" w:rsidRDefault="007F1C27" w:rsidP="007F1C27">
            <w:pPr>
              <w:pStyle w:val="Source"/>
              <w:ind w:left="113" w:right="113"/>
              <w:rPr>
                <w:sz w:val="18"/>
                <w:szCs w:val="18"/>
              </w:rPr>
            </w:pPr>
            <w:r w:rsidRPr="007F1C27">
              <w:rPr>
                <w:sz w:val="18"/>
                <w:szCs w:val="18"/>
              </w:rPr>
              <w:t xml:space="preserve">level </w:t>
            </w:r>
            <w:r w:rsidRPr="007F1C27">
              <w:rPr>
                <w:sz w:val="18"/>
                <w:szCs w:val="18"/>
              </w:rPr>
              <w:br/>
              <w:t>('000)</w:t>
            </w:r>
          </w:p>
        </w:tc>
        <w:tc>
          <w:tcPr>
            <w:tcW w:w="608" w:type="dxa"/>
            <w:shd w:val="clear" w:color="auto" w:fill="E0D1F5" w:themeFill="accent1" w:themeFillTint="33"/>
            <w:textDirection w:val="btLr"/>
            <w:vAlign w:val="center"/>
          </w:tcPr>
          <w:p w14:paraId="722F5164" w14:textId="5D7CA8AB" w:rsidR="007F1C27" w:rsidRPr="007F1C27" w:rsidRDefault="007F1C27" w:rsidP="007F1C27">
            <w:pPr>
              <w:pStyle w:val="Source"/>
              <w:ind w:left="113" w:right="113"/>
              <w:rPr>
                <w:sz w:val="18"/>
                <w:szCs w:val="18"/>
              </w:rPr>
            </w:pPr>
            <w:r w:rsidRPr="007F1C27">
              <w:rPr>
                <w:sz w:val="18"/>
                <w:szCs w:val="18"/>
              </w:rPr>
              <w:t>%</w:t>
            </w:r>
          </w:p>
        </w:tc>
        <w:tc>
          <w:tcPr>
            <w:tcW w:w="1042" w:type="dxa"/>
            <w:vMerge/>
            <w:shd w:val="clear" w:color="auto" w:fill="E0D1F5" w:themeFill="accent1" w:themeFillTint="33"/>
            <w:vAlign w:val="center"/>
          </w:tcPr>
          <w:p w14:paraId="1C526B68" w14:textId="77777777" w:rsidR="007F1C27" w:rsidRPr="007F1C27" w:rsidRDefault="007F1C27" w:rsidP="007F1C27">
            <w:pPr>
              <w:pStyle w:val="Source"/>
              <w:rPr>
                <w:sz w:val="18"/>
                <w:szCs w:val="18"/>
              </w:rPr>
            </w:pPr>
          </w:p>
        </w:tc>
        <w:tc>
          <w:tcPr>
            <w:tcW w:w="752" w:type="dxa"/>
            <w:vMerge/>
            <w:shd w:val="clear" w:color="auto" w:fill="E0D1F5" w:themeFill="accent1" w:themeFillTint="33"/>
            <w:vAlign w:val="center"/>
          </w:tcPr>
          <w:p w14:paraId="20EF34D9" w14:textId="77777777" w:rsidR="007F1C27" w:rsidRPr="007F1C27" w:rsidRDefault="007F1C27" w:rsidP="007F1C27">
            <w:pPr>
              <w:pStyle w:val="Source"/>
              <w:rPr>
                <w:sz w:val="18"/>
                <w:szCs w:val="18"/>
              </w:rPr>
            </w:pPr>
          </w:p>
        </w:tc>
        <w:tc>
          <w:tcPr>
            <w:tcW w:w="681" w:type="dxa"/>
            <w:shd w:val="clear" w:color="auto" w:fill="E0D1F5" w:themeFill="accent1" w:themeFillTint="33"/>
            <w:textDirection w:val="btLr"/>
            <w:vAlign w:val="center"/>
          </w:tcPr>
          <w:p w14:paraId="13CB27ED" w14:textId="3F622D60" w:rsidR="007F1C27" w:rsidRPr="007F1C27" w:rsidRDefault="007F1C27" w:rsidP="007F1C27">
            <w:pPr>
              <w:pStyle w:val="Source"/>
              <w:ind w:left="113" w:right="113"/>
              <w:rPr>
                <w:sz w:val="18"/>
                <w:szCs w:val="18"/>
              </w:rPr>
            </w:pPr>
            <w:r w:rsidRPr="007F1C27">
              <w:rPr>
                <w:sz w:val="18"/>
                <w:szCs w:val="18"/>
              </w:rPr>
              <w:t xml:space="preserve">level </w:t>
            </w:r>
            <w:r w:rsidRPr="007F1C27">
              <w:rPr>
                <w:sz w:val="18"/>
                <w:szCs w:val="18"/>
              </w:rPr>
              <w:br/>
              <w:t>('000)</w:t>
            </w:r>
          </w:p>
        </w:tc>
        <w:tc>
          <w:tcPr>
            <w:tcW w:w="601" w:type="dxa"/>
            <w:shd w:val="clear" w:color="auto" w:fill="E0D1F5" w:themeFill="accent1" w:themeFillTint="33"/>
            <w:textDirection w:val="btLr"/>
            <w:vAlign w:val="center"/>
          </w:tcPr>
          <w:p w14:paraId="73C76053" w14:textId="34739185" w:rsidR="007F1C27" w:rsidRPr="007F1C27" w:rsidRDefault="007F1C27" w:rsidP="007F1C27">
            <w:pPr>
              <w:pStyle w:val="Source"/>
              <w:ind w:left="113" w:right="113"/>
              <w:rPr>
                <w:sz w:val="18"/>
                <w:szCs w:val="18"/>
              </w:rPr>
            </w:pPr>
            <w:r w:rsidRPr="007F1C27">
              <w:rPr>
                <w:sz w:val="18"/>
                <w:szCs w:val="18"/>
              </w:rPr>
              <w:t>%</w:t>
            </w:r>
          </w:p>
        </w:tc>
      </w:tr>
      <w:tr w:rsidR="007F1C27" w:rsidRPr="007F1C27" w14:paraId="3BAC252D" w14:textId="77777777" w:rsidTr="007F1C27">
        <w:tc>
          <w:tcPr>
            <w:tcW w:w="1347" w:type="dxa"/>
            <w:vAlign w:val="bottom"/>
          </w:tcPr>
          <w:p w14:paraId="28F073AD" w14:textId="5A53A0C1" w:rsidR="007F1C27" w:rsidRPr="007F1C27" w:rsidRDefault="007F1C27" w:rsidP="007F1C27">
            <w:pPr>
              <w:pStyle w:val="Source"/>
              <w:rPr>
                <w:sz w:val="18"/>
                <w:szCs w:val="18"/>
              </w:rPr>
            </w:pPr>
            <w:r w:rsidRPr="007F1C27">
              <w:rPr>
                <w:sz w:val="18"/>
                <w:szCs w:val="18"/>
              </w:rPr>
              <w:t>Managers</w:t>
            </w:r>
          </w:p>
        </w:tc>
        <w:tc>
          <w:tcPr>
            <w:tcW w:w="1041" w:type="dxa"/>
            <w:vAlign w:val="bottom"/>
          </w:tcPr>
          <w:p w14:paraId="2B926AEC" w14:textId="554AF95C" w:rsidR="007F1C27" w:rsidRPr="007F1C27" w:rsidRDefault="007F1C27" w:rsidP="00061EB3">
            <w:pPr>
              <w:pStyle w:val="Source"/>
              <w:jc w:val="right"/>
              <w:rPr>
                <w:sz w:val="18"/>
                <w:szCs w:val="18"/>
              </w:rPr>
            </w:pPr>
            <w:r w:rsidRPr="007F1C27">
              <w:rPr>
                <w:sz w:val="18"/>
                <w:szCs w:val="18"/>
              </w:rPr>
              <w:t xml:space="preserve">1,872.7 </w:t>
            </w:r>
          </w:p>
        </w:tc>
        <w:tc>
          <w:tcPr>
            <w:tcW w:w="686" w:type="dxa"/>
            <w:vAlign w:val="bottom"/>
          </w:tcPr>
          <w:p w14:paraId="2B1CA69E" w14:textId="384D11D1" w:rsidR="007F1C27" w:rsidRPr="007F1C27" w:rsidRDefault="007F1C27" w:rsidP="00061EB3">
            <w:pPr>
              <w:pStyle w:val="Source"/>
              <w:jc w:val="right"/>
              <w:rPr>
                <w:sz w:val="18"/>
                <w:szCs w:val="18"/>
              </w:rPr>
            </w:pPr>
            <w:r w:rsidRPr="007F1C27">
              <w:rPr>
                <w:sz w:val="18"/>
                <w:szCs w:val="18"/>
              </w:rPr>
              <w:t>12.7</w:t>
            </w:r>
          </w:p>
        </w:tc>
        <w:tc>
          <w:tcPr>
            <w:tcW w:w="1072" w:type="dxa"/>
            <w:vAlign w:val="bottom"/>
          </w:tcPr>
          <w:p w14:paraId="0530CECC" w14:textId="7FB15F21" w:rsidR="007F1C27" w:rsidRPr="007F1C27" w:rsidRDefault="007F1C27" w:rsidP="00061EB3">
            <w:pPr>
              <w:pStyle w:val="Source"/>
              <w:jc w:val="right"/>
              <w:rPr>
                <w:sz w:val="18"/>
                <w:szCs w:val="18"/>
              </w:rPr>
            </w:pPr>
            <w:r w:rsidRPr="007F1C27">
              <w:rPr>
                <w:sz w:val="18"/>
                <w:szCs w:val="18"/>
              </w:rPr>
              <w:t xml:space="preserve">2,016.1 </w:t>
            </w:r>
          </w:p>
        </w:tc>
        <w:tc>
          <w:tcPr>
            <w:tcW w:w="719" w:type="dxa"/>
            <w:vAlign w:val="bottom"/>
          </w:tcPr>
          <w:p w14:paraId="3C7A21F4" w14:textId="529B7DE2" w:rsidR="007F1C27" w:rsidRPr="007F1C27" w:rsidRDefault="007F1C27" w:rsidP="00061EB3">
            <w:pPr>
              <w:pStyle w:val="Source"/>
              <w:jc w:val="right"/>
              <w:rPr>
                <w:sz w:val="18"/>
                <w:szCs w:val="18"/>
              </w:rPr>
            </w:pPr>
            <w:r w:rsidRPr="007F1C27">
              <w:rPr>
                <w:sz w:val="18"/>
                <w:szCs w:val="18"/>
              </w:rPr>
              <w:t>12.9</w:t>
            </w:r>
          </w:p>
        </w:tc>
        <w:tc>
          <w:tcPr>
            <w:tcW w:w="808" w:type="dxa"/>
            <w:vAlign w:val="bottom"/>
          </w:tcPr>
          <w:p w14:paraId="3475702C" w14:textId="32391B8C" w:rsidR="007F1C27" w:rsidRPr="007F1C27" w:rsidRDefault="007F1C27" w:rsidP="00061EB3">
            <w:pPr>
              <w:pStyle w:val="Source"/>
              <w:jc w:val="right"/>
              <w:rPr>
                <w:sz w:val="18"/>
                <w:szCs w:val="18"/>
              </w:rPr>
            </w:pPr>
            <w:r w:rsidRPr="007F1C27">
              <w:rPr>
                <w:sz w:val="18"/>
                <w:szCs w:val="18"/>
              </w:rPr>
              <w:t xml:space="preserve">143.4 </w:t>
            </w:r>
          </w:p>
        </w:tc>
        <w:tc>
          <w:tcPr>
            <w:tcW w:w="608" w:type="dxa"/>
            <w:vAlign w:val="bottom"/>
          </w:tcPr>
          <w:p w14:paraId="185D1C5B" w14:textId="53E29888" w:rsidR="007F1C27" w:rsidRPr="007F1C27" w:rsidRDefault="007F1C27" w:rsidP="00061EB3">
            <w:pPr>
              <w:pStyle w:val="Source"/>
              <w:jc w:val="right"/>
              <w:rPr>
                <w:sz w:val="18"/>
                <w:szCs w:val="18"/>
              </w:rPr>
            </w:pPr>
            <w:r w:rsidRPr="007F1C27">
              <w:rPr>
                <w:sz w:val="18"/>
                <w:szCs w:val="18"/>
              </w:rPr>
              <w:t>7.7</w:t>
            </w:r>
          </w:p>
        </w:tc>
        <w:tc>
          <w:tcPr>
            <w:tcW w:w="1042" w:type="dxa"/>
            <w:vAlign w:val="bottom"/>
          </w:tcPr>
          <w:p w14:paraId="471596C4" w14:textId="37028EF8" w:rsidR="007F1C27" w:rsidRPr="007F1C27" w:rsidRDefault="007F1C27" w:rsidP="00061EB3">
            <w:pPr>
              <w:pStyle w:val="Source"/>
              <w:jc w:val="right"/>
              <w:rPr>
                <w:sz w:val="18"/>
                <w:szCs w:val="18"/>
              </w:rPr>
            </w:pPr>
            <w:r w:rsidRPr="007F1C27">
              <w:rPr>
                <w:sz w:val="18"/>
                <w:szCs w:val="18"/>
              </w:rPr>
              <w:t xml:space="preserve">2,152.3 </w:t>
            </w:r>
          </w:p>
        </w:tc>
        <w:tc>
          <w:tcPr>
            <w:tcW w:w="752" w:type="dxa"/>
            <w:vAlign w:val="bottom"/>
          </w:tcPr>
          <w:p w14:paraId="2245B087" w14:textId="783399B4" w:rsidR="007F1C27" w:rsidRPr="007F1C27" w:rsidRDefault="007F1C27" w:rsidP="00061EB3">
            <w:pPr>
              <w:pStyle w:val="Source"/>
              <w:jc w:val="right"/>
              <w:rPr>
                <w:sz w:val="18"/>
                <w:szCs w:val="18"/>
              </w:rPr>
            </w:pPr>
            <w:r w:rsidRPr="007F1C27">
              <w:rPr>
                <w:sz w:val="18"/>
                <w:szCs w:val="18"/>
              </w:rPr>
              <w:t>12.9</w:t>
            </w:r>
          </w:p>
        </w:tc>
        <w:tc>
          <w:tcPr>
            <w:tcW w:w="681" w:type="dxa"/>
            <w:vAlign w:val="bottom"/>
          </w:tcPr>
          <w:p w14:paraId="6691DDEB" w14:textId="6E9C97E2" w:rsidR="007F1C27" w:rsidRPr="007F1C27" w:rsidRDefault="007F1C27" w:rsidP="00061EB3">
            <w:pPr>
              <w:pStyle w:val="Source"/>
              <w:jc w:val="right"/>
              <w:rPr>
                <w:sz w:val="18"/>
                <w:szCs w:val="18"/>
              </w:rPr>
            </w:pPr>
            <w:r w:rsidRPr="007F1C27">
              <w:rPr>
                <w:sz w:val="18"/>
                <w:szCs w:val="18"/>
              </w:rPr>
              <w:t xml:space="preserve">279.6 </w:t>
            </w:r>
          </w:p>
        </w:tc>
        <w:tc>
          <w:tcPr>
            <w:tcW w:w="601" w:type="dxa"/>
            <w:vAlign w:val="bottom"/>
          </w:tcPr>
          <w:p w14:paraId="04FB6707" w14:textId="087B9EEF" w:rsidR="007F1C27" w:rsidRPr="007F1C27" w:rsidRDefault="007F1C27" w:rsidP="00061EB3">
            <w:pPr>
              <w:pStyle w:val="Source"/>
              <w:jc w:val="right"/>
              <w:rPr>
                <w:sz w:val="18"/>
                <w:szCs w:val="18"/>
              </w:rPr>
            </w:pPr>
            <w:r w:rsidRPr="007F1C27">
              <w:rPr>
                <w:sz w:val="18"/>
                <w:szCs w:val="18"/>
              </w:rPr>
              <w:t>14.9</w:t>
            </w:r>
          </w:p>
        </w:tc>
      </w:tr>
      <w:tr w:rsidR="007F1C27" w:rsidRPr="007F1C27" w14:paraId="517F4967" w14:textId="77777777" w:rsidTr="007F1C27">
        <w:trPr>
          <w:cnfStyle w:val="000000010000" w:firstRow="0" w:lastRow="0" w:firstColumn="0" w:lastColumn="0" w:oddVBand="0" w:evenVBand="0" w:oddHBand="0" w:evenHBand="1" w:firstRowFirstColumn="0" w:firstRowLastColumn="0" w:lastRowFirstColumn="0" w:lastRowLastColumn="0"/>
        </w:trPr>
        <w:tc>
          <w:tcPr>
            <w:tcW w:w="1347" w:type="dxa"/>
            <w:vAlign w:val="bottom"/>
          </w:tcPr>
          <w:p w14:paraId="561AFA93" w14:textId="098CE49C" w:rsidR="007F1C27" w:rsidRPr="007F1C27" w:rsidRDefault="007F1C27" w:rsidP="007F1C27">
            <w:pPr>
              <w:pStyle w:val="Source"/>
              <w:rPr>
                <w:sz w:val="18"/>
                <w:szCs w:val="18"/>
              </w:rPr>
            </w:pPr>
            <w:r w:rsidRPr="007F1C27">
              <w:rPr>
                <w:sz w:val="18"/>
                <w:szCs w:val="18"/>
              </w:rPr>
              <w:t>Professionals</w:t>
            </w:r>
          </w:p>
        </w:tc>
        <w:tc>
          <w:tcPr>
            <w:tcW w:w="1041" w:type="dxa"/>
            <w:vAlign w:val="bottom"/>
          </w:tcPr>
          <w:p w14:paraId="640BC153" w14:textId="7D2AE778" w:rsidR="007F1C27" w:rsidRPr="007F1C27" w:rsidRDefault="007F1C27" w:rsidP="00061EB3">
            <w:pPr>
              <w:pStyle w:val="Source"/>
              <w:jc w:val="right"/>
              <w:rPr>
                <w:sz w:val="18"/>
                <w:szCs w:val="18"/>
              </w:rPr>
            </w:pPr>
            <w:r w:rsidRPr="007F1C27">
              <w:rPr>
                <w:sz w:val="18"/>
                <w:szCs w:val="18"/>
              </w:rPr>
              <w:t xml:space="preserve">3,953.3 </w:t>
            </w:r>
          </w:p>
        </w:tc>
        <w:tc>
          <w:tcPr>
            <w:tcW w:w="686" w:type="dxa"/>
            <w:vAlign w:val="bottom"/>
          </w:tcPr>
          <w:p w14:paraId="32048AE2" w14:textId="71FEECA3" w:rsidR="007F1C27" w:rsidRPr="007F1C27" w:rsidRDefault="007F1C27" w:rsidP="00061EB3">
            <w:pPr>
              <w:pStyle w:val="Source"/>
              <w:jc w:val="right"/>
              <w:rPr>
                <w:sz w:val="18"/>
                <w:szCs w:val="18"/>
              </w:rPr>
            </w:pPr>
            <w:r w:rsidRPr="007F1C27">
              <w:rPr>
                <w:sz w:val="18"/>
                <w:szCs w:val="18"/>
              </w:rPr>
              <w:t>26.9</w:t>
            </w:r>
          </w:p>
        </w:tc>
        <w:tc>
          <w:tcPr>
            <w:tcW w:w="1072" w:type="dxa"/>
            <w:vAlign w:val="bottom"/>
          </w:tcPr>
          <w:p w14:paraId="7350D1FF" w14:textId="5BC927C4" w:rsidR="007F1C27" w:rsidRPr="007F1C27" w:rsidRDefault="007F1C27" w:rsidP="00061EB3">
            <w:pPr>
              <w:pStyle w:val="Source"/>
              <w:jc w:val="right"/>
              <w:rPr>
                <w:sz w:val="18"/>
                <w:szCs w:val="18"/>
              </w:rPr>
            </w:pPr>
            <w:r w:rsidRPr="007F1C27">
              <w:rPr>
                <w:sz w:val="18"/>
                <w:szCs w:val="18"/>
              </w:rPr>
              <w:t xml:space="preserve">4,410.2 </w:t>
            </w:r>
          </w:p>
        </w:tc>
        <w:tc>
          <w:tcPr>
            <w:tcW w:w="719" w:type="dxa"/>
            <w:vAlign w:val="bottom"/>
          </w:tcPr>
          <w:p w14:paraId="7E9511ED" w14:textId="4F078276" w:rsidR="007F1C27" w:rsidRPr="007F1C27" w:rsidRDefault="007F1C27" w:rsidP="00061EB3">
            <w:pPr>
              <w:pStyle w:val="Source"/>
              <w:jc w:val="right"/>
              <w:rPr>
                <w:sz w:val="18"/>
                <w:szCs w:val="18"/>
              </w:rPr>
            </w:pPr>
            <w:r w:rsidRPr="007F1C27">
              <w:rPr>
                <w:sz w:val="18"/>
                <w:szCs w:val="18"/>
              </w:rPr>
              <w:t>28.2</w:t>
            </w:r>
          </w:p>
        </w:tc>
        <w:tc>
          <w:tcPr>
            <w:tcW w:w="808" w:type="dxa"/>
            <w:vAlign w:val="bottom"/>
          </w:tcPr>
          <w:p w14:paraId="37DDBFB0" w14:textId="6E24D729" w:rsidR="007F1C27" w:rsidRPr="007F1C27" w:rsidRDefault="007F1C27" w:rsidP="00061EB3">
            <w:pPr>
              <w:pStyle w:val="Source"/>
              <w:jc w:val="right"/>
              <w:rPr>
                <w:sz w:val="18"/>
                <w:szCs w:val="18"/>
              </w:rPr>
            </w:pPr>
            <w:r w:rsidRPr="007F1C27">
              <w:rPr>
                <w:sz w:val="18"/>
                <w:szCs w:val="18"/>
              </w:rPr>
              <w:t xml:space="preserve">456.9 </w:t>
            </w:r>
          </w:p>
        </w:tc>
        <w:tc>
          <w:tcPr>
            <w:tcW w:w="608" w:type="dxa"/>
            <w:vAlign w:val="bottom"/>
          </w:tcPr>
          <w:p w14:paraId="510F8FE3" w14:textId="165F281F" w:rsidR="007F1C27" w:rsidRPr="007F1C27" w:rsidRDefault="007F1C27" w:rsidP="00061EB3">
            <w:pPr>
              <w:pStyle w:val="Source"/>
              <w:jc w:val="right"/>
              <w:rPr>
                <w:sz w:val="18"/>
                <w:szCs w:val="18"/>
              </w:rPr>
            </w:pPr>
            <w:r w:rsidRPr="007F1C27">
              <w:rPr>
                <w:sz w:val="18"/>
                <w:szCs w:val="18"/>
              </w:rPr>
              <w:t>11.6</w:t>
            </w:r>
          </w:p>
        </w:tc>
        <w:tc>
          <w:tcPr>
            <w:tcW w:w="1042" w:type="dxa"/>
            <w:vAlign w:val="bottom"/>
          </w:tcPr>
          <w:p w14:paraId="5D0FE635" w14:textId="5B92FA36" w:rsidR="007F1C27" w:rsidRPr="007F1C27" w:rsidRDefault="007F1C27" w:rsidP="00061EB3">
            <w:pPr>
              <w:pStyle w:val="Source"/>
              <w:jc w:val="right"/>
              <w:rPr>
                <w:sz w:val="18"/>
                <w:szCs w:val="18"/>
              </w:rPr>
            </w:pPr>
            <w:r w:rsidRPr="007F1C27">
              <w:rPr>
                <w:sz w:val="18"/>
                <w:szCs w:val="18"/>
              </w:rPr>
              <w:t xml:space="preserve">4,798.6 </w:t>
            </w:r>
          </w:p>
        </w:tc>
        <w:tc>
          <w:tcPr>
            <w:tcW w:w="752" w:type="dxa"/>
            <w:vAlign w:val="bottom"/>
          </w:tcPr>
          <w:p w14:paraId="45FF6AED" w14:textId="3095D85D" w:rsidR="007F1C27" w:rsidRPr="007F1C27" w:rsidRDefault="007F1C27" w:rsidP="00061EB3">
            <w:pPr>
              <w:pStyle w:val="Source"/>
              <w:jc w:val="right"/>
              <w:rPr>
                <w:sz w:val="18"/>
                <w:szCs w:val="18"/>
              </w:rPr>
            </w:pPr>
            <w:r w:rsidRPr="007F1C27">
              <w:rPr>
                <w:sz w:val="18"/>
                <w:szCs w:val="18"/>
              </w:rPr>
              <w:t>28.8</w:t>
            </w:r>
          </w:p>
        </w:tc>
        <w:tc>
          <w:tcPr>
            <w:tcW w:w="681" w:type="dxa"/>
            <w:vAlign w:val="bottom"/>
          </w:tcPr>
          <w:p w14:paraId="72B5E09C" w14:textId="7F9A2D17" w:rsidR="007F1C27" w:rsidRPr="007F1C27" w:rsidRDefault="007F1C27" w:rsidP="00061EB3">
            <w:pPr>
              <w:pStyle w:val="Source"/>
              <w:jc w:val="right"/>
              <w:rPr>
                <w:sz w:val="18"/>
                <w:szCs w:val="18"/>
              </w:rPr>
            </w:pPr>
            <w:r w:rsidRPr="007F1C27">
              <w:rPr>
                <w:sz w:val="18"/>
                <w:szCs w:val="18"/>
              </w:rPr>
              <w:t xml:space="preserve">845.3 </w:t>
            </w:r>
          </w:p>
        </w:tc>
        <w:tc>
          <w:tcPr>
            <w:tcW w:w="601" w:type="dxa"/>
            <w:vAlign w:val="bottom"/>
          </w:tcPr>
          <w:p w14:paraId="4676AAB2" w14:textId="58C0CC3B" w:rsidR="007F1C27" w:rsidRPr="007F1C27" w:rsidRDefault="007F1C27" w:rsidP="00061EB3">
            <w:pPr>
              <w:pStyle w:val="Source"/>
              <w:jc w:val="right"/>
              <w:rPr>
                <w:sz w:val="18"/>
                <w:szCs w:val="18"/>
              </w:rPr>
            </w:pPr>
            <w:r w:rsidRPr="007F1C27">
              <w:rPr>
                <w:sz w:val="18"/>
                <w:szCs w:val="18"/>
              </w:rPr>
              <w:t>21.4</w:t>
            </w:r>
          </w:p>
        </w:tc>
      </w:tr>
      <w:tr w:rsidR="007F1C27" w:rsidRPr="007F1C27" w14:paraId="07FEA25F" w14:textId="77777777" w:rsidTr="007F1C27">
        <w:tc>
          <w:tcPr>
            <w:tcW w:w="1347" w:type="dxa"/>
            <w:vAlign w:val="bottom"/>
          </w:tcPr>
          <w:p w14:paraId="1B2FCCFC" w14:textId="7767DD74" w:rsidR="007F1C27" w:rsidRPr="007F1C27" w:rsidRDefault="007F1C27" w:rsidP="007F1C27">
            <w:pPr>
              <w:pStyle w:val="Source"/>
              <w:rPr>
                <w:sz w:val="18"/>
                <w:szCs w:val="18"/>
              </w:rPr>
            </w:pPr>
            <w:r w:rsidRPr="007F1C27">
              <w:rPr>
                <w:sz w:val="18"/>
                <w:szCs w:val="18"/>
              </w:rPr>
              <w:t>Technicians and Trades Workers</w:t>
            </w:r>
          </w:p>
        </w:tc>
        <w:tc>
          <w:tcPr>
            <w:tcW w:w="1041" w:type="dxa"/>
            <w:vAlign w:val="bottom"/>
          </w:tcPr>
          <w:p w14:paraId="13D7ADDA" w14:textId="66A7AC2A" w:rsidR="007F1C27" w:rsidRPr="007F1C27" w:rsidRDefault="007F1C27" w:rsidP="00061EB3">
            <w:pPr>
              <w:pStyle w:val="Source"/>
              <w:jc w:val="right"/>
              <w:rPr>
                <w:sz w:val="18"/>
                <w:szCs w:val="18"/>
              </w:rPr>
            </w:pPr>
            <w:r w:rsidRPr="007F1C27">
              <w:rPr>
                <w:sz w:val="18"/>
                <w:szCs w:val="18"/>
              </w:rPr>
              <w:t xml:space="preserve">1,994.1 </w:t>
            </w:r>
          </w:p>
        </w:tc>
        <w:tc>
          <w:tcPr>
            <w:tcW w:w="686" w:type="dxa"/>
            <w:vAlign w:val="bottom"/>
          </w:tcPr>
          <w:p w14:paraId="5435308D" w14:textId="4984BF5E" w:rsidR="007F1C27" w:rsidRPr="007F1C27" w:rsidRDefault="007F1C27" w:rsidP="00061EB3">
            <w:pPr>
              <w:pStyle w:val="Source"/>
              <w:jc w:val="right"/>
              <w:rPr>
                <w:sz w:val="18"/>
                <w:szCs w:val="18"/>
              </w:rPr>
            </w:pPr>
            <w:r w:rsidRPr="007F1C27">
              <w:rPr>
                <w:sz w:val="18"/>
                <w:szCs w:val="18"/>
              </w:rPr>
              <w:t>13.6</w:t>
            </w:r>
          </w:p>
        </w:tc>
        <w:tc>
          <w:tcPr>
            <w:tcW w:w="1072" w:type="dxa"/>
            <w:vAlign w:val="bottom"/>
          </w:tcPr>
          <w:p w14:paraId="17947F72" w14:textId="04AE5983" w:rsidR="007F1C27" w:rsidRPr="007F1C27" w:rsidRDefault="007F1C27" w:rsidP="00061EB3">
            <w:pPr>
              <w:pStyle w:val="Source"/>
              <w:jc w:val="right"/>
              <w:rPr>
                <w:sz w:val="18"/>
                <w:szCs w:val="18"/>
              </w:rPr>
            </w:pPr>
            <w:r w:rsidRPr="007F1C27">
              <w:rPr>
                <w:sz w:val="18"/>
                <w:szCs w:val="18"/>
              </w:rPr>
              <w:t xml:space="preserve">2,085.2 </w:t>
            </w:r>
          </w:p>
        </w:tc>
        <w:tc>
          <w:tcPr>
            <w:tcW w:w="719" w:type="dxa"/>
            <w:vAlign w:val="bottom"/>
          </w:tcPr>
          <w:p w14:paraId="36E9F34F" w14:textId="2FAC9A55" w:rsidR="007F1C27" w:rsidRPr="007F1C27" w:rsidRDefault="007F1C27" w:rsidP="00061EB3">
            <w:pPr>
              <w:pStyle w:val="Source"/>
              <w:jc w:val="right"/>
              <w:rPr>
                <w:sz w:val="18"/>
                <w:szCs w:val="18"/>
              </w:rPr>
            </w:pPr>
            <w:r w:rsidRPr="007F1C27">
              <w:rPr>
                <w:sz w:val="18"/>
                <w:szCs w:val="18"/>
              </w:rPr>
              <w:t>13.3</w:t>
            </w:r>
          </w:p>
        </w:tc>
        <w:tc>
          <w:tcPr>
            <w:tcW w:w="808" w:type="dxa"/>
            <w:vAlign w:val="bottom"/>
          </w:tcPr>
          <w:p w14:paraId="4827EEB2" w14:textId="0BA97B02" w:rsidR="007F1C27" w:rsidRPr="007F1C27" w:rsidRDefault="007F1C27" w:rsidP="00061EB3">
            <w:pPr>
              <w:pStyle w:val="Source"/>
              <w:jc w:val="right"/>
              <w:rPr>
                <w:sz w:val="18"/>
                <w:szCs w:val="18"/>
              </w:rPr>
            </w:pPr>
            <w:r w:rsidRPr="007F1C27">
              <w:rPr>
                <w:sz w:val="18"/>
                <w:szCs w:val="18"/>
              </w:rPr>
              <w:t xml:space="preserve">91.1 </w:t>
            </w:r>
          </w:p>
        </w:tc>
        <w:tc>
          <w:tcPr>
            <w:tcW w:w="608" w:type="dxa"/>
            <w:vAlign w:val="bottom"/>
          </w:tcPr>
          <w:p w14:paraId="3EFD0A11" w14:textId="7FE0C42E" w:rsidR="007F1C27" w:rsidRPr="007F1C27" w:rsidRDefault="007F1C27" w:rsidP="00061EB3">
            <w:pPr>
              <w:pStyle w:val="Source"/>
              <w:jc w:val="right"/>
              <w:rPr>
                <w:sz w:val="18"/>
                <w:szCs w:val="18"/>
              </w:rPr>
            </w:pPr>
            <w:r w:rsidRPr="007F1C27">
              <w:rPr>
                <w:sz w:val="18"/>
                <w:szCs w:val="18"/>
              </w:rPr>
              <w:t>4.6</w:t>
            </w:r>
          </w:p>
        </w:tc>
        <w:tc>
          <w:tcPr>
            <w:tcW w:w="1042" w:type="dxa"/>
            <w:vAlign w:val="bottom"/>
          </w:tcPr>
          <w:p w14:paraId="0C77FB21" w14:textId="6CD30B59" w:rsidR="007F1C27" w:rsidRPr="007F1C27" w:rsidRDefault="007F1C27" w:rsidP="00061EB3">
            <w:pPr>
              <w:pStyle w:val="Source"/>
              <w:jc w:val="right"/>
              <w:rPr>
                <w:sz w:val="18"/>
                <w:szCs w:val="18"/>
              </w:rPr>
            </w:pPr>
            <w:r w:rsidRPr="007F1C27">
              <w:rPr>
                <w:sz w:val="18"/>
                <w:szCs w:val="18"/>
              </w:rPr>
              <w:t xml:space="preserve">2,189.9 </w:t>
            </w:r>
          </w:p>
        </w:tc>
        <w:tc>
          <w:tcPr>
            <w:tcW w:w="752" w:type="dxa"/>
            <w:vAlign w:val="bottom"/>
          </w:tcPr>
          <w:p w14:paraId="71E9E95E" w14:textId="7767523C" w:rsidR="007F1C27" w:rsidRPr="007F1C27" w:rsidRDefault="007F1C27" w:rsidP="00061EB3">
            <w:pPr>
              <w:pStyle w:val="Source"/>
              <w:jc w:val="right"/>
              <w:rPr>
                <w:sz w:val="18"/>
                <w:szCs w:val="18"/>
              </w:rPr>
            </w:pPr>
            <w:r w:rsidRPr="007F1C27">
              <w:rPr>
                <w:sz w:val="18"/>
                <w:szCs w:val="18"/>
              </w:rPr>
              <w:t>13.1</w:t>
            </w:r>
          </w:p>
        </w:tc>
        <w:tc>
          <w:tcPr>
            <w:tcW w:w="681" w:type="dxa"/>
            <w:vAlign w:val="bottom"/>
          </w:tcPr>
          <w:p w14:paraId="35AAA6D2" w14:textId="51CAC035" w:rsidR="007F1C27" w:rsidRPr="007F1C27" w:rsidRDefault="007F1C27" w:rsidP="00061EB3">
            <w:pPr>
              <w:pStyle w:val="Source"/>
              <w:jc w:val="right"/>
              <w:rPr>
                <w:sz w:val="18"/>
                <w:szCs w:val="18"/>
              </w:rPr>
            </w:pPr>
            <w:r w:rsidRPr="007F1C27">
              <w:rPr>
                <w:sz w:val="18"/>
                <w:szCs w:val="18"/>
              </w:rPr>
              <w:t xml:space="preserve">195.9 </w:t>
            </w:r>
          </w:p>
        </w:tc>
        <w:tc>
          <w:tcPr>
            <w:tcW w:w="601" w:type="dxa"/>
            <w:vAlign w:val="bottom"/>
          </w:tcPr>
          <w:p w14:paraId="6ECEA0E0" w14:textId="6A3C8732" w:rsidR="007F1C27" w:rsidRPr="007F1C27" w:rsidRDefault="007F1C27" w:rsidP="00061EB3">
            <w:pPr>
              <w:pStyle w:val="Source"/>
              <w:jc w:val="right"/>
              <w:rPr>
                <w:sz w:val="18"/>
                <w:szCs w:val="18"/>
              </w:rPr>
            </w:pPr>
            <w:r w:rsidRPr="007F1C27">
              <w:rPr>
                <w:sz w:val="18"/>
                <w:szCs w:val="18"/>
              </w:rPr>
              <w:t>9.8</w:t>
            </w:r>
          </w:p>
        </w:tc>
      </w:tr>
      <w:tr w:rsidR="007F1C27" w:rsidRPr="007F1C27" w14:paraId="258ED97A" w14:textId="77777777" w:rsidTr="007F1C27">
        <w:trPr>
          <w:cnfStyle w:val="000000010000" w:firstRow="0" w:lastRow="0" w:firstColumn="0" w:lastColumn="0" w:oddVBand="0" w:evenVBand="0" w:oddHBand="0" w:evenHBand="1" w:firstRowFirstColumn="0" w:firstRowLastColumn="0" w:lastRowFirstColumn="0" w:lastRowLastColumn="0"/>
        </w:trPr>
        <w:tc>
          <w:tcPr>
            <w:tcW w:w="1347" w:type="dxa"/>
            <w:vAlign w:val="bottom"/>
          </w:tcPr>
          <w:p w14:paraId="4EA7C6B1" w14:textId="2F1B701E" w:rsidR="007F1C27" w:rsidRPr="007F1C27" w:rsidRDefault="007F1C27" w:rsidP="007F1C27">
            <w:pPr>
              <w:pStyle w:val="Source"/>
              <w:rPr>
                <w:sz w:val="18"/>
                <w:szCs w:val="18"/>
              </w:rPr>
            </w:pPr>
            <w:r w:rsidRPr="007F1C27">
              <w:rPr>
                <w:sz w:val="18"/>
                <w:szCs w:val="18"/>
              </w:rPr>
              <w:t>Community and Personal Service Workers</w:t>
            </w:r>
          </w:p>
        </w:tc>
        <w:tc>
          <w:tcPr>
            <w:tcW w:w="1041" w:type="dxa"/>
            <w:vAlign w:val="bottom"/>
          </w:tcPr>
          <w:p w14:paraId="157E4646" w14:textId="4AA8F867" w:rsidR="007F1C27" w:rsidRPr="007F1C27" w:rsidRDefault="007F1C27" w:rsidP="00061EB3">
            <w:pPr>
              <w:pStyle w:val="Source"/>
              <w:jc w:val="right"/>
              <w:rPr>
                <w:sz w:val="18"/>
                <w:szCs w:val="18"/>
              </w:rPr>
            </w:pPr>
            <w:r w:rsidRPr="007F1C27">
              <w:rPr>
                <w:sz w:val="18"/>
                <w:szCs w:val="18"/>
              </w:rPr>
              <w:t xml:space="preserve">1,725.4 </w:t>
            </w:r>
          </w:p>
        </w:tc>
        <w:tc>
          <w:tcPr>
            <w:tcW w:w="686" w:type="dxa"/>
            <w:vAlign w:val="bottom"/>
          </w:tcPr>
          <w:p w14:paraId="285ABA55" w14:textId="4F4E6886" w:rsidR="007F1C27" w:rsidRPr="007F1C27" w:rsidRDefault="007F1C27" w:rsidP="00061EB3">
            <w:pPr>
              <w:pStyle w:val="Source"/>
              <w:jc w:val="right"/>
              <w:rPr>
                <w:sz w:val="18"/>
                <w:szCs w:val="18"/>
              </w:rPr>
            </w:pPr>
            <w:r w:rsidRPr="007F1C27">
              <w:rPr>
                <w:sz w:val="18"/>
                <w:szCs w:val="18"/>
              </w:rPr>
              <w:t>11.7</w:t>
            </w:r>
          </w:p>
        </w:tc>
        <w:tc>
          <w:tcPr>
            <w:tcW w:w="1072" w:type="dxa"/>
            <w:vAlign w:val="bottom"/>
          </w:tcPr>
          <w:p w14:paraId="3BAB0C9F" w14:textId="0E0CC61B" w:rsidR="007F1C27" w:rsidRPr="007F1C27" w:rsidRDefault="007F1C27" w:rsidP="00061EB3">
            <w:pPr>
              <w:pStyle w:val="Source"/>
              <w:jc w:val="right"/>
              <w:rPr>
                <w:sz w:val="18"/>
                <w:szCs w:val="18"/>
              </w:rPr>
            </w:pPr>
            <w:r w:rsidRPr="007F1C27">
              <w:rPr>
                <w:sz w:val="18"/>
                <w:szCs w:val="18"/>
              </w:rPr>
              <w:t xml:space="preserve">1,847.4 </w:t>
            </w:r>
          </w:p>
        </w:tc>
        <w:tc>
          <w:tcPr>
            <w:tcW w:w="719" w:type="dxa"/>
            <w:vAlign w:val="bottom"/>
          </w:tcPr>
          <w:p w14:paraId="2C0FFD04" w14:textId="1B18C317" w:rsidR="007F1C27" w:rsidRPr="007F1C27" w:rsidRDefault="007F1C27" w:rsidP="00061EB3">
            <w:pPr>
              <w:pStyle w:val="Source"/>
              <w:jc w:val="right"/>
              <w:rPr>
                <w:sz w:val="18"/>
                <w:szCs w:val="18"/>
              </w:rPr>
            </w:pPr>
            <w:r w:rsidRPr="007F1C27">
              <w:rPr>
                <w:sz w:val="18"/>
                <w:szCs w:val="18"/>
              </w:rPr>
              <w:t>11.8</w:t>
            </w:r>
          </w:p>
        </w:tc>
        <w:tc>
          <w:tcPr>
            <w:tcW w:w="808" w:type="dxa"/>
            <w:vAlign w:val="bottom"/>
          </w:tcPr>
          <w:p w14:paraId="7C6A4057" w14:textId="2001158F" w:rsidR="007F1C27" w:rsidRPr="007F1C27" w:rsidRDefault="007F1C27" w:rsidP="00061EB3">
            <w:pPr>
              <w:pStyle w:val="Source"/>
              <w:jc w:val="right"/>
              <w:rPr>
                <w:sz w:val="18"/>
                <w:szCs w:val="18"/>
              </w:rPr>
            </w:pPr>
            <w:r w:rsidRPr="007F1C27">
              <w:rPr>
                <w:sz w:val="18"/>
                <w:szCs w:val="18"/>
              </w:rPr>
              <w:t xml:space="preserve">122.0 </w:t>
            </w:r>
          </w:p>
        </w:tc>
        <w:tc>
          <w:tcPr>
            <w:tcW w:w="608" w:type="dxa"/>
            <w:vAlign w:val="bottom"/>
          </w:tcPr>
          <w:p w14:paraId="13334B29" w14:textId="64A4DE5F" w:rsidR="007F1C27" w:rsidRPr="007F1C27" w:rsidRDefault="007F1C27" w:rsidP="00061EB3">
            <w:pPr>
              <w:pStyle w:val="Source"/>
              <w:jc w:val="right"/>
              <w:rPr>
                <w:sz w:val="18"/>
                <w:szCs w:val="18"/>
              </w:rPr>
            </w:pPr>
            <w:r w:rsidRPr="007F1C27">
              <w:rPr>
                <w:sz w:val="18"/>
                <w:szCs w:val="18"/>
              </w:rPr>
              <w:t>7.1</w:t>
            </w:r>
          </w:p>
        </w:tc>
        <w:tc>
          <w:tcPr>
            <w:tcW w:w="1042" w:type="dxa"/>
            <w:vAlign w:val="bottom"/>
          </w:tcPr>
          <w:p w14:paraId="31D7199F" w14:textId="23F3D108" w:rsidR="007F1C27" w:rsidRPr="007F1C27" w:rsidRDefault="007F1C27" w:rsidP="00061EB3">
            <w:pPr>
              <w:pStyle w:val="Source"/>
              <w:jc w:val="right"/>
              <w:rPr>
                <w:sz w:val="18"/>
                <w:szCs w:val="18"/>
              </w:rPr>
            </w:pPr>
            <w:r w:rsidRPr="007F1C27">
              <w:rPr>
                <w:sz w:val="18"/>
                <w:szCs w:val="18"/>
              </w:rPr>
              <w:t xml:space="preserve">1,961.5 </w:t>
            </w:r>
          </w:p>
        </w:tc>
        <w:tc>
          <w:tcPr>
            <w:tcW w:w="752" w:type="dxa"/>
            <w:vAlign w:val="bottom"/>
          </w:tcPr>
          <w:p w14:paraId="23FEA54E" w14:textId="5BA6F6AC" w:rsidR="007F1C27" w:rsidRPr="007F1C27" w:rsidRDefault="007F1C27" w:rsidP="00061EB3">
            <w:pPr>
              <w:pStyle w:val="Source"/>
              <w:jc w:val="right"/>
              <w:rPr>
                <w:sz w:val="18"/>
                <w:szCs w:val="18"/>
              </w:rPr>
            </w:pPr>
            <w:r w:rsidRPr="007F1C27">
              <w:rPr>
                <w:sz w:val="18"/>
                <w:szCs w:val="18"/>
              </w:rPr>
              <w:t>11.8</w:t>
            </w:r>
          </w:p>
        </w:tc>
        <w:tc>
          <w:tcPr>
            <w:tcW w:w="681" w:type="dxa"/>
            <w:vAlign w:val="bottom"/>
          </w:tcPr>
          <w:p w14:paraId="7B18722E" w14:textId="2F520B5D" w:rsidR="007F1C27" w:rsidRPr="007F1C27" w:rsidRDefault="007F1C27" w:rsidP="00061EB3">
            <w:pPr>
              <w:pStyle w:val="Source"/>
              <w:jc w:val="right"/>
              <w:rPr>
                <w:sz w:val="18"/>
                <w:szCs w:val="18"/>
              </w:rPr>
            </w:pPr>
            <w:r w:rsidRPr="007F1C27">
              <w:rPr>
                <w:sz w:val="18"/>
                <w:szCs w:val="18"/>
              </w:rPr>
              <w:t xml:space="preserve">236.1 </w:t>
            </w:r>
          </w:p>
        </w:tc>
        <w:tc>
          <w:tcPr>
            <w:tcW w:w="601" w:type="dxa"/>
            <w:vAlign w:val="bottom"/>
          </w:tcPr>
          <w:p w14:paraId="73E14E89" w14:textId="798AB151" w:rsidR="007F1C27" w:rsidRPr="007F1C27" w:rsidRDefault="007F1C27" w:rsidP="00061EB3">
            <w:pPr>
              <w:pStyle w:val="Source"/>
              <w:jc w:val="right"/>
              <w:rPr>
                <w:sz w:val="18"/>
                <w:szCs w:val="18"/>
              </w:rPr>
            </w:pPr>
            <w:r w:rsidRPr="007F1C27">
              <w:rPr>
                <w:sz w:val="18"/>
                <w:szCs w:val="18"/>
              </w:rPr>
              <w:t>13.7</w:t>
            </w:r>
          </w:p>
        </w:tc>
      </w:tr>
      <w:tr w:rsidR="007F1C27" w:rsidRPr="007F1C27" w14:paraId="04EF6943" w14:textId="77777777" w:rsidTr="007F1C27">
        <w:tc>
          <w:tcPr>
            <w:tcW w:w="1347" w:type="dxa"/>
            <w:vAlign w:val="bottom"/>
          </w:tcPr>
          <w:p w14:paraId="7439F2F6" w14:textId="58C17C04" w:rsidR="007F1C27" w:rsidRPr="007F1C27" w:rsidRDefault="007F1C27" w:rsidP="007F1C27">
            <w:pPr>
              <w:pStyle w:val="Source"/>
              <w:rPr>
                <w:sz w:val="18"/>
                <w:szCs w:val="18"/>
              </w:rPr>
            </w:pPr>
            <w:r w:rsidRPr="007F1C27">
              <w:rPr>
                <w:sz w:val="18"/>
                <w:szCs w:val="18"/>
              </w:rPr>
              <w:t>Clerical and Administrative Workers</w:t>
            </w:r>
          </w:p>
        </w:tc>
        <w:tc>
          <w:tcPr>
            <w:tcW w:w="1041" w:type="dxa"/>
            <w:vAlign w:val="bottom"/>
          </w:tcPr>
          <w:p w14:paraId="6E2AB8CE" w14:textId="11BF8E95" w:rsidR="007F1C27" w:rsidRPr="007F1C27" w:rsidRDefault="007F1C27" w:rsidP="00061EB3">
            <w:pPr>
              <w:pStyle w:val="Source"/>
              <w:jc w:val="right"/>
              <w:rPr>
                <w:sz w:val="18"/>
                <w:szCs w:val="18"/>
              </w:rPr>
            </w:pPr>
            <w:r w:rsidRPr="007F1C27">
              <w:rPr>
                <w:sz w:val="18"/>
                <w:szCs w:val="18"/>
              </w:rPr>
              <w:t xml:space="preserve">1,870.8 </w:t>
            </w:r>
          </w:p>
        </w:tc>
        <w:tc>
          <w:tcPr>
            <w:tcW w:w="686" w:type="dxa"/>
            <w:vAlign w:val="bottom"/>
          </w:tcPr>
          <w:p w14:paraId="7800B756" w14:textId="7CCD9788" w:rsidR="007F1C27" w:rsidRPr="007F1C27" w:rsidRDefault="007F1C27" w:rsidP="00061EB3">
            <w:pPr>
              <w:pStyle w:val="Source"/>
              <w:jc w:val="right"/>
              <w:rPr>
                <w:sz w:val="18"/>
                <w:szCs w:val="18"/>
              </w:rPr>
            </w:pPr>
            <w:r w:rsidRPr="007F1C27">
              <w:rPr>
                <w:sz w:val="18"/>
                <w:szCs w:val="18"/>
              </w:rPr>
              <w:t>12.7</w:t>
            </w:r>
          </w:p>
        </w:tc>
        <w:tc>
          <w:tcPr>
            <w:tcW w:w="1072" w:type="dxa"/>
            <w:vAlign w:val="bottom"/>
          </w:tcPr>
          <w:p w14:paraId="4E864BDD" w14:textId="763B3F74" w:rsidR="007F1C27" w:rsidRPr="007F1C27" w:rsidRDefault="007F1C27" w:rsidP="00061EB3">
            <w:pPr>
              <w:pStyle w:val="Source"/>
              <w:jc w:val="right"/>
              <w:rPr>
                <w:sz w:val="18"/>
                <w:szCs w:val="18"/>
              </w:rPr>
            </w:pPr>
            <w:r w:rsidRPr="007F1C27">
              <w:rPr>
                <w:sz w:val="18"/>
                <w:szCs w:val="18"/>
              </w:rPr>
              <w:t xml:space="preserve">1,943.1 </w:t>
            </w:r>
          </w:p>
        </w:tc>
        <w:tc>
          <w:tcPr>
            <w:tcW w:w="719" w:type="dxa"/>
            <w:vAlign w:val="bottom"/>
          </w:tcPr>
          <w:p w14:paraId="11192D3D" w14:textId="59FE3981" w:rsidR="007F1C27" w:rsidRPr="007F1C27" w:rsidRDefault="007F1C27" w:rsidP="00061EB3">
            <w:pPr>
              <w:pStyle w:val="Source"/>
              <w:jc w:val="right"/>
              <w:rPr>
                <w:sz w:val="18"/>
                <w:szCs w:val="18"/>
              </w:rPr>
            </w:pPr>
            <w:r w:rsidRPr="007F1C27">
              <w:rPr>
                <w:sz w:val="18"/>
                <w:szCs w:val="18"/>
              </w:rPr>
              <w:t>12.4</w:t>
            </w:r>
          </w:p>
        </w:tc>
        <w:tc>
          <w:tcPr>
            <w:tcW w:w="808" w:type="dxa"/>
            <w:vAlign w:val="bottom"/>
          </w:tcPr>
          <w:p w14:paraId="0DE9295F" w14:textId="08F0E727" w:rsidR="007F1C27" w:rsidRPr="007F1C27" w:rsidRDefault="007F1C27" w:rsidP="00061EB3">
            <w:pPr>
              <w:pStyle w:val="Source"/>
              <w:jc w:val="right"/>
              <w:rPr>
                <w:sz w:val="18"/>
                <w:szCs w:val="18"/>
              </w:rPr>
            </w:pPr>
            <w:r w:rsidRPr="007F1C27">
              <w:rPr>
                <w:sz w:val="18"/>
                <w:szCs w:val="18"/>
              </w:rPr>
              <w:t xml:space="preserve">72.2 </w:t>
            </w:r>
          </w:p>
        </w:tc>
        <w:tc>
          <w:tcPr>
            <w:tcW w:w="608" w:type="dxa"/>
            <w:vAlign w:val="bottom"/>
          </w:tcPr>
          <w:p w14:paraId="44E4DB6E" w14:textId="1CE07C1E" w:rsidR="007F1C27" w:rsidRPr="007F1C27" w:rsidRDefault="007F1C27" w:rsidP="00061EB3">
            <w:pPr>
              <w:pStyle w:val="Source"/>
              <w:jc w:val="right"/>
              <w:rPr>
                <w:sz w:val="18"/>
                <w:szCs w:val="18"/>
              </w:rPr>
            </w:pPr>
            <w:r w:rsidRPr="007F1C27">
              <w:rPr>
                <w:sz w:val="18"/>
                <w:szCs w:val="18"/>
              </w:rPr>
              <w:t>3.9</w:t>
            </w:r>
          </w:p>
        </w:tc>
        <w:tc>
          <w:tcPr>
            <w:tcW w:w="1042" w:type="dxa"/>
            <w:vAlign w:val="bottom"/>
          </w:tcPr>
          <w:p w14:paraId="1AC2F476" w14:textId="6B06402C" w:rsidR="007F1C27" w:rsidRPr="007F1C27" w:rsidRDefault="007F1C27" w:rsidP="00061EB3">
            <w:pPr>
              <w:pStyle w:val="Source"/>
              <w:jc w:val="right"/>
              <w:rPr>
                <w:sz w:val="18"/>
                <w:szCs w:val="18"/>
              </w:rPr>
            </w:pPr>
            <w:r w:rsidRPr="007F1C27">
              <w:rPr>
                <w:sz w:val="18"/>
                <w:szCs w:val="18"/>
              </w:rPr>
              <w:t xml:space="preserve">           2,048.8 </w:t>
            </w:r>
          </w:p>
        </w:tc>
        <w:tc>
          <w:tcPr>
            <w:tcW w:w="752" w:type="dxa"/>
            <w:vAlign w:val="bottom"/>
          </w:tcPr>
          <w:p w14:paraId="4429231E" w14:textId="69D8B771" w:rsidR="007F1C27" w:rsidRPr="007F1C27" w:rsidRDefault="007F1C27" w:rsidP="00061EB3">
            <w:pPr>
              <w:pStyle w:val="Source"/>
              <w:jc w:val="right"/>
              <w:rPr>
                <w:sz w:val="18"/>
                <w:szCs w:val="18"/>
              </w:rPr>
            </w:pPr>
            <w:r w:rsidRPr="007F1C27">
              <w:rPr>
                <w:sz w:val="18"/>
                <w:szCs w:val="18"/>
              </w:rPr>
              <w:t>12.3</w:t>
            </w:r>
          </w:p>
        </w:tc>
        <w:tc>
          <w:tcPr>
            <w:tcW w:w="681" w:type="dxa"/>
            <w:vAlign w:val="bottom"/>
          </w:tcPr>
          <w:p w14:paraId="7934FDFA" w14:textId="3A0253C6" w:rsidR="007F1C27" w:rsidRPr="007F1C27" w:rsidRDefault="007F1C27" w:rsidP="00061EB3">
            <w:pPr>
              <w:pStyle w:val="Source"/>
              <w:jc w:val="right"/>
              <w:rPr>
                <w:sz w:val="18"/>
                <w:szCs w:val="18"/>
              </w:rPr>
            </w:pPr>
            <w:r w:rsidRPr="007F1C27">
              <w:rPr>
                <w:sz w:val="18"/>
                <w:szCs w:val="18"/>
              </w:rPr>
              <w:t xml:space="preserve">      178.0 </w:t>
            </w:r>
          </w:p>
        </w:tc>
        <w:tc>
          <w:tcPr>
            <w:tcW w:w="601" w:type="dxa"/>
            <w:vAlign w:val="bottom"/>
          </w:tcPr>
          <w:p w14:paraId="010055FD" w14:textId="0654B816" w:rsidR="007F1C27" w:rsidRPr="007F1C27" w:rsidRDefault="007F1C27" w:rsidP="00061EB3">
            <w:pPr>
              <w:pStyle w:val="Source"/>
              <w:jc w:val="right"/>
              <w:rPr>
                <w:sz w:val="18"/>
                <w:szCs w:val="18"/>
              </w:rPr>
            </w:pPr>
            <w:r w:rsidRPr="007F1C27">
              <w:rPr>
                <w:sz w:val="18"/>
                <w:szCs w:val="18"/>
              </w:rPr>
              <w:t>9.5</w:t>
            </w:r>
          </w:p>
        </w:tc>
      </w:tr>
      <w:tr w:rsidR="007F1C27" w:rsidRPr="007F1C27" w14:paraId="312123E0" w14:textId="77777777" w:rsidTr="007F1C27">
        <w:trPr>
          <w:cnfStyle w:val="000000010000" w:firstRow="0" w:lastRow="0" w:firstColumn="0" w:lastColumn="0" w:oddVBand="0" w:evenVBand="0" w:oddHBand="0" w:evenHBand="1" w:firstRowFirstColumn="0" w:firstRowLastColumn="0" w:lastRowFirstColumn="0" w:lastRowLastColumn="0"/>
        </w:trPr>
        <w:tc>
          <w:tcPr>
            <w:tcW w:w="1347" w:type="dxa"/>
            <w:vAlign w:val="bottom"/>
          </w:tcPr>
          <w:p w14:paraId="6FA5D21B" w14:textId="7B26DFB5" w:rsidR="007F1C27" w:rsidRPr="007F1C27" w:rsidRDefault="007F1C27" w:rsidP="007F1C27">
            <w:pPr>
              <w:pStyle w:val="Source"/>
              <w:rPr>
                <w:sz w:val="18"/>
                <w:szCs w:val="18"/>
              </w:rPr>
            </w:pPr>
            <w:r w:rsidRPr="007F1C27">
              <w:rPr>
                <w:sz w:val="18"/>
                <w:szCs w:val="18"/>
              </w:rPr>
              <w:t>Sales Workers</w:t>
            </w:r>
          </w:p>
        </w:tc>
        <w:tc>
          <w:tcPr>
            <w:tcW w:w="1041" w:type="dxa"/>
            <w:vAlign w:val="bottom"/>
          </w:tcPr>
          <w:p w14:paraId="477A45EF" w14:textId="1D611A0B" w:rsidR="007F1C27" w:rsidRPr="007F1C27" w:rsidRDefault="007F1C27" w:rsidP="00061EB3">
            <w:pPr>
              <w:pStyle w:val="Source"/>
              <w:jc w:val="right"/>
              <w:rPr>
                <w:sz w:val="18"/>
                <w:szCs w:val="18"/>
              </w:rPr>
            </w:pPr>
            <w:r w:rsidRPr="007F1C27">
              <w:rPr>
                <w:sz w:val="18"/>
                <w:szCs w:val="18"/>
              </w:rPr>
              <w:t xml:space="preserve">1,154.7 </w:t>
            </w:r>
          </w:p>
        </w:tc>
        <w:tc>
          <w:tcPr>
            <w:tcW w:w="686" w:type="dxa"/>
            <w:vAlign w:val="bottom"/>
          </w:tcPr>
          <w:p w14:paraId="38D9C09C" w14:textId="3130D211" w:rsidR="007F1C27" w:rsidRPr="007F1C27" w:rsidRDefault="007F1C27" w:rsidP="00061EB3">
            <w:pPr>
              <w:pStyle w:val="Source"/>
              <w:jc w:val="right"/>
              <w:rPr>
                <w:sz w:val="18"/>
                <w:szCs w:val="18"/>
              </w:rPr>
            </w:pPr>
            <w:r w:rsidRPr="007F1C27">
              <w:rPr>
                <w:sz w:val="18"/>
                <w:szCs w:val="18"/>
              </w:rPr>
              <w:t>7.9</w:t>
            </w:r>
          </w:p>
        </w:tc>
        <w:tc>
          <w:tcPr>
            <w:tcW w:w="1072" w:type="dxa"/>
            <w:vAlign w:val="bottom"/>
          </w:tcPr>
          <w:p w14:paraId="14BEF1E6" w14:textId="38F7A740" w:rsidR="007F1C27" w:rsidRPr="007F1C27" w:rsidRDefault="007F1C27" w:rsidP="00061EB3">
            <w:pPr>
              <w:pStyle w:val="Source"/>
              <w:jc w:val="right"/>
              <w:rPr>
                <w:sz w:val="18"/>
                <w:szCs w:val="18"/>
              </w:rPr>
            </w:pPr>
            <w:r w:rsidRPr="007F1C27">
              <w:rPr>
                <w:sz w:val="18"/>
                <w:szCs w:val="18"/>
              </w:rPr>
              <w:t xml:space="preserve">1,183.6 </w:t>
            </w:r>
          </w:p>
        </w:tc>
        <w:tc>
          <w:tcPr>
            <w:tcW w:w="719" w:type="dxa"/>
            <w:vAlign w:val="bottom"/>
          </w:tcPr>
          <w:p w14:paraId="7C52B421" w14:textId="0FD80A42" w:rsidR="007F1C27" w:rsidRPr="007F1C27" w:rsidRDefault="007F1C27" w:rsidP="00061EB3">
            <w:pPr>
              <w:pStyle w:val="Source"/>
              <w:jc w:val="right"/>
              <w:rPr>
                <w:sz w:val="18"/>
                <w:szCs w:val="18"/>
              </w:rPr>
            </w:pPr>
            <w:r w:rsidRPr="007F1C27">
              <w:rPr>
                <w:sz w:val="18"/>
                <w:szCs w:val="18"/>
              </w:rPr>
              <w:t>7.6</w:t>
            </w:r>
          </w:p>
        </w:tc>
        <w:tc>
          <w:tcPr>
            <w:tcW w:w="808" w:type="dxa"/>
            <w:vAlign w:val="bottom"/>
          </w:tcPr>
          <w:p w14:paraId="0BD5634E" w14:textId="6E0E4ECE" w:rsidR="007F1C27" w:rsidRPr="007F1C27" w:rsidRDefault="007F1C27" w:rsidP="00061EB3">
            <w:pPr>
              <w:pStyle w:val="Source"/>
              <w:jc w:val="right"/>
              <w:rPr>
                <w:sz w:val="18"/>
                <w:szCs w:val="18"/>
              </w:rPr>
            </w:pPr>
            <w:r w:rsidRPr="007F1C27">
              <w:rPr>
                <w:sz w:val="18"/>
                <w:szCs w:val="18"/>
              </w:rPr>
              <w:t xml:space="preserve">28.9 </w:t>
            </w:r>
          </w:p>
        </w:tc>
        <w:tc>
          <w:tcPr>
            <w:tcW w:w="608" w:type="dxa"/>
            <w:vAlign w:val="bottom"/>
          </w:tcPr>
          <w:p w14:paraId="144F70FE" w14:textId="35F223F5" w:rsidR="007F1C27" w:rsidRPr="007F1C27" w:rsidRDefault="007F1C27" w:rsidP="00061EB3">
            <w:pPr>
              <w:pStyle w:val="Source"/>
              <w:jc w:val="right"/>
              <w:rPr>
                <w:sz w:val="18"/>
                <w:szCs w:val="18"/>
              </w:rPr>
            </w:pPr>
            <w:r w:rsidRPr="007F1C27">
              <w:rPr>
                <w:sz w:val="18"/>
                <w:szCs w:val="18"/>
              </w:rPr>
              <w:t>2.5</w:t>
            </w:r>
          </w:p>
        </w:tc>
        <w:tc>
          <w:tcPr>
            <w:tcW w:w="1042" w:type="dxa"/>
            <w:vAlign w:val="bottom"/>
          </w:tcPr>
          <w:p w14:paraId="46AE88F4" w14:textId="255A2FDE" w:rsidR="007F1C27" w:rsidRPr="007F1C27" w:rsidRDefault="007F1C27" w:rsidP="00061EB3">
            <w:pPr>
              <w:pStyle w:val="Source"/>
              <w:jc w:val="right"/>
              <w:rPr>
                <w:sz w:val="18"/>
                <w:szCs w:val="18"/>
              </w:rPr>
            </w:pPr>
            <w:r w:rsidRPr="007F1C27">
              <w:rPr>
                <w:sz w:val="18"/>
                <w:szCs w:val="18"/>
              </w:rPr>
              <w:t xml:space="preserve">1,236.1 </w:t>
            </w:r>
          </w:p>
        </w:tc>
        <w:tc>
          <w:tcPr>
            <w:tcW w:w="752" w:type="dxa"/>
            <w:vAlign w:val="bottom"/>
          </w:tcPr>
          <w:p w14:paraId="30C8D9D3" w14:textId="0FEB2487" w:rsidR="007F1C27" w:rsidRPr="007F1C27" w:rsidRDefault="007F1C27" w:rsidP="00061EB3">
            <w:pPr>
              <w:pStyle w:val="Source"/>
              <w:jc w:val="right"/>
              <w:rPr>
                <w:sz w:val="18"/>
                <w:szCs w:val="18"/>
              </w:rPr>
            </w:pPr>
            <w:r w:rsidRPr="007F1C27">
              <w:rPr>
                <w:sz w:val="18"/>
                <w:szCs w:val="18"/>
              </w:rPr>
              <w:t>7.4</w:t>
            </w:r>
          </w:p>
        </w:tc>
        <w:tc>
          <w:tcPr>
            <w:tcW w:w="681" w:type="dxa"/>
            <w:vAlign w:val="bottom"/>
          </w:tcPr>
          <w:p w14:paraId="24593DAF" w14:textId="4AE51074" w:rsidR="007F1C27" w:rsidRPr="007F1C27" w:rsidRDefault="007F1C27" w:rsidP="00061EB3">
            <w:pPr>
              <w:pStyle w:val="Source"/>
              <w:jc w:val="right"/>
              <w:rPr>
                <w:sz w:val="18"/>
                <w:szCs w:val="18"/>
              </w:rPr>
            </w:pPr>
            <w:r w:rsidRPr="007F1C27">
              <w:rPr>
                <w:sz w:val="18"/>
                <w:szCs w:val="18"/>
              </w:rPr>
              <w:t xml:space="preserve">81.4 </w:t>
            </w:r>
          </w:p>
        </w:tc>
        <w:tc>
          <w:tcPr>
            <w:tcW w:w="601" w:type="dxa"/>
            <w:vAlign w:val="bottom"/>
          </w:tcPr>
          <w:p w14:paraId="0EA027BD" w14:textId="50B521EF" w:rsidR="007F1C27" w:rsidRPr="007F1C27" w:rsidRDefault="007F1C27" w:rsidP="00061EB3">
            <w:pPr>
              <w:pStyle w:val="Source"/>
              <w:jc w:val="right"/>
              <w:rPr>
                <w:sz w:val="18"/>
                <w:szCs w:val="18"/>
              </w:rPr>
            </w:pPr>
            <w:r w:rsidRPr="007F1C27">
              <w:rPr>
                <w:sz w:val="18"/>
                <w:szCs w:val="18"/>
              </w:rPr>
              <w:t>7.1</w:t>
            </w:r>
          </w:p>
        </w:tc>
      </w:tr>
      <w:tr w:rsidR="007F1C27" w:rsidRPr="007F1C27" w14:paraId="06F5D85A" w14:textId="77777777" w:rsidTr="007F1C27">
        <w:tc>
          <w:tcPr>
            <w:tcW w:w="1347" w:type="dxa"/>
            <w:vAlign w:val="bottom"/>
          </w:tcPr>
          <w:p w14:paraId="5F6A1447" w14:textId="4FE3A7F6" w:rsidR="007F1C27" w:rsidRPr="007F1C27" w:rsidRDefault="007F1C27" w:rsidP="007F1C27">
            <w:pPr>
              <w:pStyle w:val="Source"/>
              <w:rPr>
                <w:sz w:val="18"/>
                <w:szCs w:val="18"/>
              </w:rPr>
            </w:pPr>
            <w:r w:rsidRPr="007F1C27">
              <w:rPr>
                <w:sz w:val="18"/>
                <w:szCs w:val="18"/>
              </w:rPr>
              <w:t>Machinery Operators and Drivers</w:t>
            </w:r>
          </w:p>
        </w:tc>
        <w:tc>
          <w:tcPr>
            <w:tcW w:w="1041" w:type="dxa"/>
            <w:vAlign w:val="bottom"/>
          </w:tcPr>
          <w:p w14:paraId="0398C1B6" w14:textId="6BAF75E9" w:rsidR="007F1C27" w:rsidRPr="007F1C27" w:rsidRDefault="007F1C27" w:rsidP="00061EB3">
            <w:pPr>
              <w:pStyle w:val="Source"/>
              <w:jc w:val="right"/>
              <w:rPr>
                <w:sz w:val="18"/>
                <w:szCs w:val="18"/>
              </w:rPr>
            </w:pPr>
            <w:r w:rsidRPr="007F1C27">
              <w:rPr>
                <w:sz w:val="18"/>
                <w:szCs w:val="18"/>
              </w:rPr>
              <w:t xml:space="preserve">909.7 </w:t>
            </w:r>
          </w:p>
        </w:tc>
        <w:tc>
          <w:tcPr>
            <w:tcW w:w="686" w:type="dxa"/>
            <w:vAlign w:val="bottom"/>
          </w:tcPr>
          <w:p w14:paraId="164C1566" w14:textId="454B5AEA" w:rsidR="007F1C27" w:rsidRPr="007F1C27" w:rsidRDefault="007F1C27" w:rsidP="00061EB3">
            <w:pPr>
              <w:pStyle w:val="Source"/>
              <w:jc w:val="right"/>
              <w:rPr>
                <w:sz w:val="18"/>
                <w:szCs w:val="18"/>
              </w:rPr>
            </w:pPr>
            <w:r w:rsidRPr="007F1C27">
              <w:rPr>
                <w:sz w:val="18"/>
                <w:szCs w:val="18"/>
              </w:rPr>
              <w:t>6.2</w:t>
            </w:r>
          </w:p>
        </w:tc>
        <w:tc>
          <w:tcPr>
            <w:tcW w:w="1072" w:type="dxa"/>
            <w:vAlign w:val="bottom"/>
          </w:tcPr>
          <w:p w14:paraId="7FDD98F5" w14:textId="76EB92CE" w:rsidR="007F1C27" w:rsidRPr="007F1C27" w:rsidRDefault="007F1C27" w:rsidP="00061EB3">
            <w:pPr>
              <w:pStyle w:val="Source"/>
              <w:jc w:val="right"/>
              <w:rPr>
                <w:sz w:val="18"/>
                <w:szCs w:val="18"/>
              </w:rPr>
            </w:pPr>
            <w:r w:rsidRPr="007F1C27">
              <w:rPr>
                <w:sz w:val="18"/>
                <w:szCs w:val="18"/>
              </w:rPr>
              <w:t xml:space="preserve">946.7 </w:t>
            </w:r>
          </w:p>
        </w:tc>
        <w:tc>
          <w:tcPr>
            <w:tcW w:w="719" w:type="dxa"/>
            <w:vAlign w:val="bottom"/>
          </w:tcPr>
          <w:p w14:paraId="7341E3F7" w14:textId="466BD3D5" w:rsidR="007F1C27" w:rsidRPr="007F1C27" w:rsidRDefault="007F1C27" w:rsidP="00061EB3">
            <w:pPr>
              <w:pStyle w:val="Source"/>
              <w:jc w:val="right"/>
              <w:rPr>
                <w:sz w:val="18"/>
                <w:szCs w:val="18"/>
              </w:rPr>
            </w:pPr>
            <w:r w:rsidRPr="007F1C27">
              <w:rPr>
                <w:sz w:val="18"/>
                <w:szCs w:val="18"/>
              </w:rPr>
              <w:t>6.0</w:t>
            </w:r>
          </w:p>
        </w:tc>
        <w:tc>
          <w:tcPr>
            <w:tcW w:w="808" w:type="dxa"/>
            <w:vAlign w:val="bottom"/>
          </w:tcPr>
          <w:p w14:paraId="41D36966" w14:textId="31AA7AE8" w:rsidR="007F1C27" w:rsidRPr="007F1C27" w:rsidRDefault="007F1C27" w:rsidP="00061EB3">
            <w:pPr>
              <w:pStyle w:val="Source"/>
              <w:jc w:val="right"/>
              <w:rPr>
                <w:sz w:val="18"/>
                <w:szCs w:val="18"/>
              </w:rPr>
            </w:pPr>
            <w:r w:rsidRPr="007F1C27">
              <w:rPr>
                <w:sz w:val="18"/>
                <w:szCs w:val="18"/>
              </w:rPr>
              <w:t xml:space="preserve">37.1 </w:t>
            </w:r>
          </w:p>
        </w:tc>
        <w:tc>
          <w:tcPr>
            <w:tcW w:w="608" w:type="dxa"/>
            <w:vAlign w:val="bottom"/>
          </w:tcPr>
          <w:p w14:paraId="667F52D5" w14:textId="7439D8AA" w:rsidR="007F1C27" w:rsidRPr="007F1C27" w:rsidRDefault="007F1C27" w:rsidP="00061EB3">
            <w:pPr>
              <w:pStyle w:val="Source"/>
              <w:jc w:val="right"/>
              <w:rPr>
                <w:sz w:val="18"/>
                <w:szCs w:val="18"/>
              </w:rPr>
            </w:pPr>
            <w:r w:rsidRPr="007F1C27">
              <w:rPr>
                <w:sz w:val="18"/>
                <w:szCs w:val="18"/>
              </w:rPr>
              <w:t>4.1</w:t>
            </w:r>
          </w:p>
        </w:tc>
        <w:tc>
          <w:tcPr>
            <w:tcW w:w="1042" w:type="dxa"/>
            <w:vAlign w:val="bottom"/>
          </w:tcPr>
          <w:p w14:paraId="3D999AFB" w14:textId="6A39EF69" w:rsidR="007F1C27" w:rsidRPr="007F1C27" w:rsidRDefault="007F1C27" w:rsidP="00061EB3">
            <w:pPr>
              <w:pStyle w:val="Source"/>
              <w:jc w:val="right"/>
              <w:rPr>
                <w:sz w:val="18"/>
                <w:szCs w:val="18"/>
              </w:rPr>
            </w:pPr>
            <w:r w:rsidRPr="007F1C27">
              <w:rPr>
                <w:sz w:val="18"/>
                <w:szCs w:val="18"/>
              </w:rPr>
              <w:t xml:space="preserve">989.4 </w:t>
            </w:r>
          </w:p>
        </w:tc>
        <w:tc>
          <w:tcPr>
            <w:tcW w:w="752" w:type="dxa"/>
            <w:vAlign w:val="bottom"/>
          </w:tcPr>
          <w:p w14:paraId="48DB74B6" w14:textId="4BA28083" w:rsidR="007F1C27" w:rsidRPr="007F1C27" w:rsidRDefault="007F1C27" w:rsidP="00061EB3">
            <w:pPr>
              <w:pStyle w:val="Source"/>
              <w:jc w:val="right"/>
              <w:rPr>
                <w:sz w:val="18"/>
                <w:szCs w:val="18"/>
              </w:rPr>
            </w:pPr>
            <w:r w:rsidRPr="007F1C27">
              <w:rPr>
                <w:sz w:val="18"/>
                <w:szCs w:val="18"/>
              </w:rPr>
              <w:t>5.9</w:t>
            </w:r>
          </w:p>
        </w:tc>
        <w:tc>
          <w:tcPr>
            <w:tcW w:w="681" w:type="dxa"/>
            <w:vAlign w:val="bottom"/>
          </w:tcPr>
          <w:p w14:paraId="261948AE" w14:textId="3428F49D" w:rsidR="007F1C27" w:rsidRPr="007F1C27" w:rsidRDefault="007F1C27" w:rsidP="00061EB3">
            <w:pPr>
              <w:pStyle w:val="Source"/>
              <w:jc w:val="right"/>
              <w:rPr>
                <w:sz w:val="18"/>
                <w:szCs w:val="18"/>
              </w:rPr>
            </w:pPr>
            <w:r w:rsidRPr="007F1C27">
              <w:rPr>
                <w:sz w:val="18"/>
                <w:szCs w:val="18"/>
              </w:rPr>
              <w:t xml:space="preserve">79.7 </w:t>
            </w:r>
          </w:p>
        </w:tc>
        <w:tc>
          <w:tcPr>
            <w:tcW w:w="601" w:type="dxa"/>
            <w:vAlign w:val="bottom"/>
          </w:tcPr>
          <w:p w14:paraId="3305F788" w14:textId="223CE867" w:rsidR="007F1C27" w:rsidRPr="007F1C27" w:rsidRDefault="007F1C27" w:rsidP="00061EB3">
            <w:pPr>
              <w:pStyle w:val="Source"/>
              <w:jc w:val="right"/>
              <w:rPr>
                <w:sz w:val="18"/>
                <w:szCs w:val="18"/>
              </w:rPr>
            </w:pPr>
            <w:r w:rsidRPr="007F1C27">
              <w:rPr>
                <w:sz w:val="18"/>
                <w:szCs w:val="18"/>
              </w:rPr>
              <w:t>8.8</w:t>
            </w:r>
          </w:p>
        </w:tc>
      </w:tr>
      <w:tr w:rsidR="007F1C27" w:rsidRPr="007F1C27" w14:paraId="067F788D" w14:textId="77777777" w:rsidTr="007F1C27">
        <w:trPr>
          <w:cnfStyle w:val="000000010000" w:firstRow="0" w:lastRow="0" w:firstColumn="0" w:lastColumn="0" w:oddVBand="0" w:evenVBand="0" w:oddHBand="0" w:evenHBand="1" w:firstRowFirstColumn="0" w:firstRowLastColumn="0" w:lastRowFirstColumn="0" w:lastRowLastColumn="0"/>
        </w:trPr>
        <w:tc>
          <w:tcPr>
            <w:tcW w:w="1347" w:type="dxa"/>
            <w:vAlign w:val="bottom"/>
          </w:tcPr>
          <w:p w14:paraId="2079B429" w14:textId="15AC8832" w:rsidR="007F1C27" w:rsidRPr="007F1C27" w:rsidRDefault="007F1C27" w:rsidP="007F1C27">
            <w:pPr>
              <w:pStyle w:val="Source"/>
              <w:rPr>
                <w:sz w:val="18"/>
                <w:szCs w:val="18"/>
              </w:rPr>
            </w:pPr>
            <w:r w:rsidRPr="007F1C27">
              <w:rPr>
                <w:sz w:val="18"/>
                <w:szCs w:val="18"/>
              </w:rPr>
              <w:t>Labourers</w:t>
            </w:r>
          </w:p>
        </w:tc>
        <w:tc>
          <w:tcPr>
            <w:tcW w:w="1041" w:type="dxa"/>
            <w:vAlign w:val="bottom"/>
          </w:tcPr>
          <w:p w14:paraId="78015CF6" w14:textId="16F1924D" w:rsidR="007F1C27" w:rsidRPr="007F1C27" w:rsidRDefault="007F1C27" w:rsidP="00061EB3">
            <w:pPr>
              <w:pStyle w:val="Source"/>
              <w:jc w:val="right"/>
              <w:rPr>
                <w:sz w:val="18"/>
                <w:szCs w:val="18"/>
              </w:rPr>
            </w:pPr>
            <w:r w:rsidRPr="007F1C27">
              <w:rPr>
                <w:sz w:val="18"/>
                <w:szCs w:val="18"/>
              </w:rPr>
              <w:t xml:space="preserve">1,220.4 </w:t>
            </w:r>
          </w:p>
        </w:tc>
        <w:tc>
          <w:tcPr>
            <w:tcW w:w="686" w:type="dxa"/>
            <w:vAlign w:val="bottom"/>
          </w:tcPr>
          <w:p w14:paraId="675841ED" w14:textId="4C8646EC" w:rsidR="007F1C27" w:rsidRPr="007F1C27" w:rsidRDefault="007F1C27" w:rsidP="00061EB3">
            <w:pPr>
              <w:pStyle w:val="Source"/>
              <w:jc w:val="right"/>
              <w:rPr>
                <w:sz w:val="18"/>
                <w:szCs w:val="18"/>
              </w:rPr>
            </w:pPr>
            <w:r w:rsidRPr="007F1C27">
              <w:rPr>
                <w:sz w:val="18"/>
                <w:szCs w:val="18"/>
              </w:rPr>
              <w:t>8.3</w:t>
            </w:r>
          </w:p>
        </w:tc>
        <w:tc>
          <w:tcPr>
            <w:tcW w:w="1072" w:type="dxa"/>
            <w:vAlign w:val="bottom"/>
          </w:tcPr>
          <w:p w14:paraId="3FE604FA" w14:textId="565BB95A" w:rsidR="007F1C27" w:rsidRPr="007F1C27" w:rsidRDefault="007F1C27" w:rsidP="00061EB3">
            <w:pPr>
              <w:pStyle w:val="Source"/>
              <w:jc w:val="right"/>
              <w:rPr>
                <w:sz w:val="18"/>
                <w:szCs w:val="18"/>
              </w:rPr>
            </w:pPr>
            <w:r w:rsidRPr="007F1C27">
              <w:rPr>
                <w:sz w:val="18"/>
                <w:szCs w:val="18"/>
              </w:rPr>
              <w:t xml:space="preserve">1,229.6 </w:t>
            </w:r>
          </w:p>
        </w:tc>
        <w:tc>
          <w:tcPr>
            <w:tcW w:w="719" w:type="dxa"/>
            <w:vAlign w:val="bottom"/>
          </w:tcPr>
          <w:p w14:paraId="7659C987" w14:textId="17E2A7EF" w:rsidR="007F1C27" w:rsidRPr="007F1C27" w:rsidRDefault="007F1C27" w:rsidP="00061EB3">
            <w:pPr>
              <w:pStyle w:val="Source"/>
              <w:jc w:val="right"/>
              <w:rPr>
                <w:sz w:val="18"/>
                <w:szCs w:val="18"/>
              </w:rPr>
            </w:pPr>
            <w:r w:rsidRPr="007F1C27">
              <w:rPr>
                <w:sz w:val="18"/>
                <w:szCs w:val="18"/>
              </w:rPr>
              <w:t>7.9</w:t>
            </w:r>
          </w:p>
        </w:tc>
        <w:tc>
          <w:tcPr>
            <w:tcW w:w="808" w:type="dxa"/>
            <w:vAlign w:val="bottom"/>
          </w:tcPr>
          <w:p w14:paraId="6D9530A8" w14:textId="6D51476D" w:rsidR="007F1C27" w:rsidRPr="007F1C27" w:rsidRDefault="007F1C27" w:rsidP="00061EB3">
            <w:pPr>
              <w:pStyle w:val="Source"/>
              <w:jc w:val="right"/>
              <w:rPr>
                <w:sz w:val="18"/>
                <w:szCs w:val="18"/>
              </w:rPr>
            </w:pPr>
            <w:r w:rsidRPr="007F1C27">
              <w:rPr>
                <w:sz w:val="18"/>
                <w:szCs w:val="18"/>
              </w:rPr>
              <w:t xml:space="preserve">9.3 </w:t>
            </w:r>
          </w:p>
        </w:tc>
        <w:tc>
          <w:tcPr>
            <w:tcW w:w="608" w:type="dxa"/>
            <w:vAlign w:val="bottom"/>
          </w:tcPr>
          <w:p w14:paraId="0F789D89" w14:textId="622E0500" w:rsidR="007F1C27" w:rsidRPr="007F1C27" w:rsidRDefault="007F1C27" w:rsidP="00061EB3">
            <w:pPr>
              <w:pStyle w:val="Source"/>
              <w:jc w:val="right"/>
              <w:rPr>
                <w:sz w:val="18"/>
                <w:szCs w:val="18"/>
              </w:rPr>
            </w:pPr>
            <w:r w:rsidRPr="007F1C27">
              <w:rPr>
                <w:sz w:val="18"/>
                <w:szCs w:val="18"/>
              </w:rPr>
              <w:t>0.8</w:t>
            </w:r>
          </w:p>
        </w:tc>
        <w:tc>
          <w:tcPr>
            <w:tcW w:w="1042" w:type="dxa"/>
            <w:vAlign w:val="bottom"/>
          </w:tcPr>
          <w:p w14:paraId="21405807" w14:textId="1A82BA21" w:rsidR="007F1C27" w:rsidRPr="007F1C27" w:rsidRDefault="007F1C27" w:rsidP="00061EB3">
            <w:pPr>
              <w:pStyle w:val="Source"/>
              <w:jc w:val="right"/>
              <w:rPr>
                <w:sz w:val="18"/>
                <w:szCs w:val="18"/>
              </w:rPr>
            </w:pPr>
            <w:r w:rsidRPr="007F1C27">
              <w:rPr>
                <w:sz w:val="18"/>
                <w:szCs w:val="18"/>
              </w:rPr>
              <w:t xml:space="preserve">1,278.8 </w:t>
            </w:r>
          </w:p>
        </w:tc>
        <w:tc>
          <w:tcPr>
            <w:tcW w:w="752" w:type="dxa"/>
            <w:vAlign w:val="bottom"/>
          </w:tcPr>
          <w:p w14:paraId="3C7DD46B" w14:textId="242B3166" w:rsidR="007F1C27" w:rsidRPr="007F1C27" w:rsidRDefault="007F1C27" w:rsidP="00061EB3">
            <w:pPr>
              <w:pStyle w:val="Source"/>
              <w:jc w:val="right"/>
              <w:rPr>
                <w:sz w:val="18"/>
                <w:szCs w:val="18"/>
              </w:rPr>
            </w:pPr>
            <w:r w:rsidRPr="007F1C27">
              <w:rPr>
                <w:sz w:val="18"/>
                <w:szCs w:val="18"/>
              </w:rPr>
              <w:t>7.7</w:t>
            </w:r>
          </w:p>
        </w:tc>
        <w:tc>
          <w:tcPr>
            <w:tcW w:w="681" w:type="dxa"/>
            <w:vAlign w:val="bottom"/>
          </w:tcPr>
          <w:p w14:paraId="424AD879" w14:textId="2812CC61" w:rsidR="007F1C27" w:rsidRPr="007F1C27" w:rsidRDefault="007F1C27" w:rsidP="00061EB3">
            <w:pPr>
              <w:pStyle w:val="Source"/>
              <w:jc w:val="right"/>
              <w:rPr>
                <w:sz w:val="18"/>
                <w:szCs w:val="18"/>
              </w:rPr>
            </w:pPr>
            <w:r w:rsidRPr="007F1C27">
              <w:rPr>
                <w:sz w:val="18"/>
                <w:szCs w:val="18"/>
              </w:rPr>
              <w:t xml:space="preserve">58.4 </w:t>
            </w:r>
          </w:p>
        </w:tc>
        <w:tc>
          <w:tcPr>
            <w:tcW w:w="601" w:type="dxa"/>
            <w:vAlign w:val="bottom"/>
          </w:tcPr>
          <w:p w14:paraId="4C5F7E5C" w14:textId="74377329" w:rsidR="007F1C27" w:rsidRPr="007F1C27" w:rsidRDefault="007F1C27" w:rsidP="00061EB3">
            <w:pPr>
              <w:pStyle w:val="Source"/>
              <w:jc w:val="right"/>
              <w:rPr>
                <w:sz w:val="18"/>
                <w:szCs w:val="18"/>
              </w:rPr>
            </w:pPr>
            <w:r w:rsidRPr="007F1C27">
              <w:rPr>
                <w:sz w:val="18"/>
                <w:szCs w:val="18"/>
              </w:rPr>
              <w:t>4.8</w:t>
            </w:r>
          </w:p>
        </w:tc>
      </w:tr>
      <w:tr w:rsidR="007F1C27" w:rsidRPr="007F1C27" w14:paraId="1D6E8765" w14:textId="77777777" w:rsidTr="007F1C27">
        <w:tc>
          <w:tcPr>
            <w:tcW w:w="1347" w:type="dxa"/>
            <w:vAlign w:val="bottom"/>
          </w:tcPr>
          <w:p w14:paraId="634066A1" w14:textId="0E49E881" w:rsidR="007F1C27" w:rsidRPr="007F1C27" w:rsidRDefault="007F1C27" w:rsidP="007F1C27">
            <w:pPr>
              <w:pStyle w:val="Source"/>
              <w:rPr>
                <w:sz w:val="18"/>
                <w:szCs w:val="18"/>
              </w:rPr>
            </w:pPr>
            <w:r w:rsidRPr="007F1C27">
              <w:rPr>
                <w:sz w:val="18"/>
                <w:szCs w:val="18"/>
              </w:rPr>
              <w:t>Total</w:t>
            </w:r>
          </w:p>
        </w:tc>
        <w:tc>
          <w:tcPr>
            <w:tcW w:w="1041" w:type="dxa"/>
            <w:vAlign w:val="bottom"/>
          </w:tcPr>
          <w:p w14:paraId="38AE0B2D" w14:textId="44695309" w:rsidR="007F1C27" w:rsidRPr="007F1C27" w:rsidRDefault="007F1C27" w:rsidP="00061EB3">
            <w:pPr>
              <w:pStyle w:val="Source"/>
              <w:jc w:val="right"/>
              <w:rPr>
                <w:sz w:val="18"/>
                <w:szCs w:val="18"/>
              </w:rPr>
            </w:pPr>
            <w:r w:rsidRPr="007F1C27">
              <w:rPr>
                <w:sz w:val="18"/>
                <w:szCs w:val="18"/>
              </w:rPr>
              <w:t xml:space="preserve">14,701.0 </w:t>
            </w:r>
          </w:p>
        </w:tc>
        <w:tc>
          <w:tcPr>
            <w:tcW w:w="686" w:type="dxa"/>
            <w:vAlign w:val="bottom"/>
          </w:tcPr>
          <w:p w14:paraId="07EF8B47" w14:textId="17A366A0" w:rsidR="007F1C27" w:rsidRPr="007F1C27" w:rsidRDefault="007F1C27" w:rsidP="00061EB3">
            <w:pPr>
              <w:pStyle w:val="Source"/>
              <w:jc w:val="right"/>
              <w:rPr>
                <w:sz w:val="18"/>
                <w:szCs w:val="18"/>
              </w:rPr>
            </w:pPr>
            <w:r w:rsidRPr="007F1C27">
              <w:rPr>
                <w:sz w:val="18"/>
                <w:szCs w:val="18"/>
              </w:rPr>
              <w:t>n/a</w:t>
            </w:r>
          </w:p>
        </w:tc>
        <w:tc>
          <w:tcPr>
            <w:tcW w:w="1072" w:type="dxa"/>
            <w:vAlign w:val="bottom"/>
          </w:tcPr>
          <w:p w14:paraId="0BBED2AD" w14:textId="72A4C03E" w:rsidR="007F1C27" w:rsidRPr="007F1C27" w:rsidRDefault="007F1C27" w:rsidP="00061EB3">
            <w:pPr>
              <w:pStyle w:val="Source"/>
              <w:jc w:val="right"/>
              <w:rPr>
                <w:sz w:val="18"/>
                <w:szCs w:val="18"/>
              </w:rPr>
            </w:pPr>
            <w:r w:rsidRPr="007F1C27">
              <w:rPr>
                <w:sz w:val="18"/>
                <w:szCs w:val="18"/>
              </w:rPr>
              <w:t xml:space="preserve">15,662.0 </w:t>
            </w:r>
          </w:p>
        </w:tc>
        <w:tc>
          <w:tcPr>
            <w:tcW w:w="719" w:type="dxa"/>
            <w:vAlign w:val="bottom"/>
          </w:tcPr>
          <w:p w14:paraId="32A4ECF2" w14:textId="35700C9A" w:rsidR="007F1C27" w:rsidRPr="007F1C27" w:rsidRDefault="007F1C27" w:rsidP="00061EB3">
            <w:pPr>
              <w:pStyle w:val="Source"/>
              <w:jc w:val="right"/>
              <w:rPr>
                <w:sz w:val="18"/>
                <w:szCs w:val="18"/>
              </w:rPr>
            </w:pPr>
            <w:r w:rsidRPr="007F1C27">
              <w:rPr>
                <w:sz w:val="18"/>
                <w:szCs w:val="18"/>
              </w:rPr>
              <w:t>n/a</w:t>
            </w:r>
          </w:p>
        </w:tc>
        <w:tc>
          <w:tcPr>
            <w:tcW w:w="808" w:type="dxa"/>
            <w:vAlign w:val="bottom"/>
          </w:tcPr>
          <w:p w14:paraId="7C22DF4B" w14:textId="26A03003" w:rsidR="007F1C27" w:rsidRPr="007F1C27" w:rsidRDefault="007F1C27" w:rsidP="00061EB3">
            <w:pPr>
              <w:pStyle w:val="Source"/>
              <w:jc w:val="right"/>
              <w:rPr>
                <w:sz w:val="18"/>
                <w:szCs w:val="18"/>
              </w:rPr>
            </w:pPr>
            <w:r w:rsidRPr="007F1C27">
              <w:rPr>
                <w:sz w:val="18"/>
                <w:szCs w:val="18"/>
              </w:rPr>
              <w:t xml:space="preserve">961.0 </w:t>
            </w:r>
          </w:p>
        </w:tc>
        <w:tc>
          <w:tcPr>
            <w:tcW w:w="608" w:type="dxa"/>
            <w:vAlign w:val="bottom"/>
          </w:tcPr>
          <w:p w14:paraId="60DD4937" w14:textId="6A5EA22D" w:rsidR="007F1C27" w:rsidRPr="007F1C27" w:rsidRDefault="007F1C27" w:rsidP="00061EB3">
            <w:pPr>
              <w:pStyle w:val="Source"/>
              <w:jc w:val="right"/>
              <w:rPr>
                <w:sz w:val="18"/>
                <w:szCs w:val="18"/>
              </w:rPr>
            </w:pPr>
            <w:r w:rsidRPr="007F1C27">
              <w:rPr>
                <w:sz w:val="18"/>
                <w:szCs w:val="18"/>
              </w:rPr>
              <w:t>6.5</w:t>
            </w:r>
          </w:p>
        </w:tc>
        <w:tc>
          <w:tcPr>
            <w:tcW w:w="1042" w:type="dxa"/>
            <w:vAlign w:val="bottom"/>
          </w:tcPr>
          <w:p w14:paraId="244E9E52" w14:textId="4B80964D" w:rsidR="007F1C27" w:rsidRPr="007F1C27" w:rsidRDefault="007F1C27" w:rsidP="00061EB3">
            <w:pPr>
              <w:pStyle w:val="Source"/>
              <w:jc w:val="right"/>
              <w:rPr>
                <w:sz w:val="18"/>
                <w:szCs w:val="18"/>
              </w:rPr>
            </w:pPr>
            <w:r w:rsidRPr="007F1C27">
              <w:rPr>
                <w:sz w:val="18"/>
                <w:szCs w:val="18"/>
              </w:rPr>
              <w:t xml:space="preserve">16,655.5 </w:t>
            </w:r>
          </w:p>
        </w:tc>
        <w:tc>
          <w:tcPr>
            <w:tcW w:w="752" w:type="dxa"/>
            <w:vAlign w:val="bottom"/>
          </w:tcPr>
          <w:p w14:paraId="771C735F" w14:textId="1F12EEC7" w:rsidR="007F1C27" w:rsidRPr="007F1C27" w:rsidRDefault="007F1C27" w:rsidP="00061EB3">
            <w:pPr>
              <w:pStyle w:val="Source"/>
              <w:jc w:val="right"/>
              <w:rPr>
                <w:sz w:val="18"/>
                <w:szCs w:val="18"/>
              </w:rPr>
            </w:pPr>
            <w:r w:rsidRPr="007F1C27">
              <w:rPr>
                <w:sz w:val="18"/>
                <w:szCs w:val="18"/>
              </w:rPr>
              <w:t>n/a</w:t>
            </w:r>
          </w:p>
        </w:tc>
        <w:tc>
          <w:tcPr>
            <w:tcW w:w="681" w:type="dxa"/>
            <w:vAlign w:val="bottom"/>
          </w:tcPr>
          <w:p w14:paraId="1982FD93" w14:textId="345F03DD" w:rsidR="007F1C27" w:rsidRPr="007F1C27" w:rsidRDefault="007F1C27" w:rsidP="00061EB3">
            <w:pPr>
              <w:pStyle w:val="Source"/>
              <w:jc w:val="right"/>
              <w:rPr>
                <w:sz w:val="18"/>
                <w:szCs w:val="18"/>
              </w:rPr>
            </w:pPr>
            <w:r w:rsidRPr="007F1C27">
              <w:rPr>
                <w:sz w:val="18"/>
                <w:szCs w:val="18"/>
              </w:rPr>
              <w:t xml:space="preserve">1,954.5 </w:t>
            </w:r>
          </w:p>
        </w:tc>
        <w:tc>
          <w:tcPr>
            <w:tcW w:w="601" w:type="dxa"/>
            <w:vAlign w:val="bottom"/>
          </w:tcPr>
          <w:p w14:paraId="51469FD5" w14:textId="3C23F846" w:rsidR="007F1C27" w:rsidRPr="007F1C27" w:rsidRDefault="007F1C27" w:rsidP="00061EB3">
            <w:pPr>
              <w:pStyle w:val="Source"/>
              <w:jc w:val="right"/>
              <w:rPr>
                <w:sz w:val="18"/>
                <w:szCs w:val="18"/>
              </w:rPr>
            </w:pPr>
            <w:r w:rsidRPr="007F1C27">
              <w:rPr>
                <w:sz w:val="18"/>
                <w:szCs w:val="18"/>
              </w:rPr>
              <w:t>13.3</w:t>
            </w:r>
          </w:p>
        </w:tc>
      </w:tr>
    </w:tbl>
    <w:p w14:paraId="77AE1D43" w14:textId="73A80A92" w:rsidR="00374780" w:rsidRDefault="006818D3" w:rsidP="00374780">
      <w:pPr>
        <w:pStyle w:val="Source"/>
      </w:pPr>
      <w:r w:rsidRPr="00081C05">
        <w:t>Source: 202</w:t>
      </w:r>
      <w:r>
        <w:t>5</w:t>
      </w:r>
      <w:r w:rsidRPr="00081C05">
        <w:t>-203</w:t>
      </w:r>
      <w:r>
        <w:t>5</w:t>
      </w:r>
      <w:r w:rsidRPr="00081C05">
        <w:t xml:space="preserve"> Employment Projections, produced by </w:t>
      </w:r>
      <w:r w:rsidR="00634691">
        <w:t>VU</w:t>
      </w:r>
      <w:r w:rsidRPr="00081C05">
        <w:t xml:space="preserve"> for </w:t>
      </w:r>
      <w:r w:rsidR="0073735E">
        <w:t>JSA</w:t>
      </w:r>
      <w:r w:rsidR="00374780">
        <w:t>.</w:t>
      </w:r>
      <w:r w:rsidR="00374780" w:rsidRPr="00374780">
        <w:t xml:space="preserve"> </w:t>
      </w:r>
    </w:p>
    <w:p w14:paraId="0EB858DB" w14:textId="592B7ABB" w:rsidR="006818D3" w:rsidRDefault="00374780" w:rsidP="001A230D">
      <w:pPr>
        <w:pStyle w:val="Source"/>
      </w:pPr>
      <w:r>
        <w:t>Note: Emp't Is the abbreviation for 'Employment'.</w:t>
      </w:r>
      <w:r w:rsidR="006818D3">
        <w:rPr>
          <w:lang w:eastAsia="en-AU"/>
        </w:rPr>
        <w:br w:type="page"/>
      </w:r>
    </w:p>
    <w:p w14:paraId="22388971" w14:textId="267342C1" w:rsidR="007F1C27" w:rsidRDefault="0026252C" w:rsidP="007F1C27">
      <w:pPr>
        <w:pStyle w:val="Caption"/>
      </w:pPr>
      <w:bookmarkStart w:id="436" w:name="_Ref210821606"/>
      <w:r>
        <w:t xml:space="preserve">Table </w:t>
      </w:r>
      <w:r>
        <w:fldChar w:fldCharType="begin"/>
      </w:r>
      <w:r>
        <w:instrText xml:space="preserve"> SEQ Table \* ARABIC </w:instrText>
      </w:r>
      <w:r>
        <w:fldChar w:fldCharType="separate"/>
      </w:r>
      <w:r w:rsidR="009E6E1D">
        <w:rPr>
          <w:noProof/>
        </w:rPr>
        <w:t>10</w:t>
      </w:r>
      <w:r>
        <w:fldChar w:fldCharType="end"/>
      </w:r>
      <w:bookmarkEnd w:id="436"/>
      <w:r>
        <w:t xml:space="preserve">: </w:t>
      </w:r>
      <w:r w:rsidRPr="006934E0">
        <w:t xml:space="preserve">Projected employment growth over the next 5 and 10 years, </w:t>
      </w:r>
      <w:r>
        <w:t>by state and territory</w:t>
      </w:r>
    </w:p>
    <w:tbl>
      <w:tblPr>
        <w:tblStyle w:val="CustomTablebasic"/>
        <w:tblW w:w="0" w:type="auto"/>
        <w:tblBorders>
          <w:top w:val="single" w:sz="4" w:space="0" w:color="4B0985" w:themeColor="text2"/>
          <w:left w:val="single" w:sz="4" w:space="0" w:color="4B0985" w:themeColor="text2"/>
          <w:bottom w:val="single" w:sz="4" w:space="0" w:color="4B0985" w:themeColor="text2"/>
          <w:right w:val="single" w:sz="4" w:space="0" w:color="4B0985" w:themeColor="text2"/>
          <w:insideH w:val="single" w:sz="4" w:space="0" w:color="4B0985" w:themeColor="text2"/>
          <w:insideV w:val="single" w:sz="4" w:space="0" w:color="4B0985" w:themeColor="text2"/>
        </w:tblBorders>
        <w:tblLook w:val="04A0" w:firstRow="1" w:lastRow="0" w:firstColumn="1" w:lastColumn="0" w:noHBand="0" w:noVBand="1"/>
      </w:tblPr>
      <w:tblGrid>
        <w:gridCol w:w="1357"/>
        <w:gridCol w:w="1018"/>
        <w:gridCol w:w="669"/>
        <w:gridCol w:w="1044"/>
        <w:gridCol w:w="696"/>
        <w:gridCol w:w="808"/>
        <w:gridCol w:w="606"/>
        <w:gridCol w:w="1019"/>
        <w:gridCol w:w="723"/>
        <w:gridCol w:w="817"/>
        <w:gridCol w:w="600"/>
      </w:tblGrid>
      <w:tr w:rsidR="007F1C27" w:rsidRPr="007F1C27" w14:paraId="358EF630" w14:textId="77777777" w:rsidTr="00E27623">
        <w:trPr>
          <w:cnfStyle w:val="100000000000" w:firstRow="1" w:lastRow="0" w:firstColumn="0" w:lastColumn="0" w:oddVBand="0" w:evenVBand="0" w:oddHBand="0" w:evenHBand="0" w:firstRowFirstColumn="0" w:firstRowLastColumn="0" w:lastRowFirstColumn="0" w:lastRowLastColumn="0"/>
          <w:trHeight w:val="357"/>
          <w:tblHeader/>
        </w:trPr>
        <w:tc>
          <w:tcPr>
            <w:tcW w:w="1357" w:type="dxa"/>
            <w:vMerge w:val="restart"/>
            <w:tcBorders>
              <w:right w:val="single" w:sz="4" w:space="0" w:color="FFFFFF" w:themeColor="background1"/>
            </w:tcBorders>
            <w:vAlign w:val="center"/>
          </w:tcPr>
          <w:p w14:paraId="7EAD2C5B" w14:textId="4A15F2A1" w:rsidR="007F1C27" w:rsidRPr="007F1C27" w:rsidRDefault="007F1C27" w:rsidP="00802426">
            <w:pPr>
              <w:pStyle w:val="TableHeading1"/>
              <w:rPr>
                <w:sz w:val="18"/>
                <w:szCs w:val="18"/>
              </w:rPr>
            </w:pPr>
            <w:r>
              <w:rPr>
                <w:sz w:val="18"/>
                <w:szCs w:val="18"/>
              </w:rPr>
              <w:t>State/Territory</w:t>
            </w:r>
          </w:p>
        </w:tc>
        <w:tc>
          <w:tcPr>
            <w:tcW w:w="1687" w:type="dxa"/>
            <w:gridSpan w:val="2"/>
            <w:tcBorders>
              <w:left w:val="single" w:sz="4" w:space="0" w:color="FFFFFF" w:themeColor="background1"/>
              <w:right w:val="single" w:sz="4" w:space="0" w:color="FFFFFF" w:themeColor="background1"/>
            </w:tcBorders>
            <w:vAlign w:val="center"/>
          </w:tcPr>
          <w:p w14:paraId="548BA9C0" w14:textId="77777777" w:rsidR="007F1C27" w:rsidRPr="007F1C27" w:rsidRDefault="007F1C27" w:rsidP="00802426">
            <w:pPr>
              <w:pStyle w:val="TableHeading1"/>
              <w:rPr>
                <w:sz w:val="18"/>
                <w:szCs w:val="18"/>
              </w:rPr>
            </w:pPr>
            <w:r w:rsidRPr="007F1C27">
              <w:rPr>
                <w:sz w:val="18"/>
                <w:szCs w:val="18"/>
              </w:rPr>
              <w:t>Baseline</w:t>
            </w:r>
          </w:p>
        </w:tc>
        <w:tc>
          <w:tcPr>
            <w:tcW w:w="3154" w:type="dxa"/>
            <w:gridSpan w:val="4"/>
            <w:tcBorders>
              <w:left w:val="single" w:sz="4" w:space="0" w:color="FFFFFF" w:themeColor="background1"/>
              <w:right w:val="single" w:sz="4" w:space="0" w:color="FFFFFF" w:themeColor="background1"/>
            </w:tcBorders>
            <w:vAlign w:val="center"/>
          </w:tcPr>
          <w:p w14:paraId="0CFC0CFC" w14:textId="77777777" w:rsidR="007F1C27" w:rsidRPr="007F1C27" w:rsidRDefault="007F1C27" w:rsidP="00802426">
            <w:pPr>
              <w:pStyle w:val="TableHeading1"/>
              <w:rPr>
                <w:sz w:val="18"/>
                <w:szCs w:val="18"/>
              </w:rPr>
            </w:pPr>
            <w:r w:rsidRPr="007F1C27">
              <w:rPr>
                <w:sz w:val="18"/>
                <w:szCs w:val="18"/>
              </w:rPr>
              <w:t>5-year outlook</w:t>
            </w:r>
          </w:p>
        </w:tc>
        <w:tc>
          <w:tcPr>
            <w:tcW w:w="3159" w:type="dxa"/>
            <w:gridSpan w:val="4"/>
            <w:tcBorders>
              <w:left w:val="single" w:sz="4" w:space="0" w:color="FFFFFF" w:themeColor="background1"/>
            </w:tcBorders>
            <w:vAlign w:val="center"/>
          </w:tcPr>
          <w:p w14:paraId="3C8AD80B" w14:textId="77777777" w:rsidR="007F1C27" w:rsidRPr="007F1C27" w:rsidRDefault="007F1C27" w:rsidP="00802426">
            <w:pPr>
              <w:pStyle w:val="TableHeading1"/>
              <w:rPr>
                <w:sz w:val="18"/>
                <w:szCs w:val="18"/>
              </w:rPr>
            </w:pPr>
            <w:r w:rsidRPr="007F1C27">
              <w:rPr>
                <w:sz w:val="18"/>
                <w:szCs w:val="18"/>
              </w:rPr>
              <w:t>10-year outlook</w:t>
            </w:r>
          </w:p>
        </w:tc>
      </w:tr>
      <w:tr w:rsidR="007F1C27" w:rsidRPr="007F1C27" w14:paraId="3442B6BF" w14:textId="77777777" w:rsidTr="00E27623">
        <w:trPr>
          <w:cnfStyle w:val="100000000000" w:firstRow="1" w:lastRow="0" w:firstColumn="0" w:lastColumn="0" w:oddVBand="0" w:evenVBand="0" w:oddHBand="0" w:evenHBand="0" w:firstRowFirstColumn="0" w:firstRowLastColumn="0" w:lastRowFirstColumn="0" w:lastRowLastColumn="0"/>
          <w:trHeight w:val="207"/>
          <w:tblHeader/>
        </w:trPr>
        <w:tc>
          <w:tcPr>
            <w:tcW w:w="1357" w:type="dxa"/>
            <w:vMerge/>
            <w:vAlign w:val="center"/>
          </w:tcPr>
          <w:p w14:paraId="48876142" w14:textId="77777777" w:rsidR="007F1C27" w:rsidRPr="007F1C27" w:rsidRDefault="007F1C27" w:rsidP="00802426">
            <w:pPr>
              <w:pStyle w:val="TableHeading1"/>
              <w:rPr>
                <w:sz w:val="18"/>
                <w:szCs w:val="18"/>
              </w:rPr>
            </w:pPr>
          </w:p>
        </w:tc>
        <w:tc>
          <w:tcPr>
            <w:tcW w:w="1018" w:type="dxa"/>
            <w:vMerge w:val="restart"/>
            <w:shd w:val="clear" w:color="auto" w:fill="E0D1F5" w:themeFill="accent1" w:themeFillTint="33"/>
            <w:textDirection w:val="btLr"/>
            <w:vAlign w:val="center"/>
          </w:tcPr>
          <w:p w14:paraId="0CAB084E" w14:textId="77777777" w:rsidR="007F1C27" w:rsidRPr="007F1C27" w:rsidRDefault="007F1C27" w:rsidP="00802426">
            <w:pPr>
              <w:pStyle w:val="TableHeading1"/>
              <w:ind w:left="113" w:right="113"/>
              <w:rPr>
                <w:sz w:val="18"/>
                <w:szCs w:val="18"/>
              </w:rPr>
            </w:pPr>
            <w:r w:rsidRPr="007F1C27">
              <w:rPr>
                <w:sz w:val="18"/>
                <w:szCs w:val="18"/>
              </w:rPr>
              <w:t>Emp't ('000)</w:t>
            </w:r>
            <w:r w:rsidRPr="007F1C27">
              <w:rPr>
                <w:sz w:val="18"/>
                <w:szCs w:val="18"/>
              </w:rPr>
              <w:br/>
              <w:t>May 2025</w:t>
            </w:r>
          </w:p>
        </w:tc>
        <w:tc>
          <w:tcPr>
            <w:tcW w:w="669" w:type="dxa"/>
            <w:vMerge w:val="restart"/>
            <w:shd w:val="clear" w:color="auto" w:fill="E0D1F5" w:themeFill="accent1" w:themeFillTint="33"/>
            <w:textDirection w:val="btLr"/>
            <w:vAlign w:val="center"/>
          </w:tcPr>
          <w:p w14:paraId="186A5E52" w14:textId="77777777" w:rsidR="007F1C27" w:rsidRPr="007F1C27" w:rsidRDefault="007F1C27" w:rsidP="00802426">
            <w:pPr>
              <w:pStyle w:val="Source"/>
              <w:ind w:left="113" w:right="113"/>
              <w:rPr>
                <w:sz w:val="18"/>
                <w:szCs w:val="18"/>
              </w:rPr>
            </w:pPr>
            <w:r w:rsidRPr="007F1C27">
              <w:rPr>
                <w:sz w:val="18"/>
                <w:szCs w:val="18"/>
              </w:rPr>
              <w:t>Share of total emp't (%)</w:t>
            </w:r>
          </w:p>
        </w:tc>
        <w:tc>
          <w:tcPr>
            <w:tcW w:w="1044" w:type="dxa"/>
            <w:vMerge w:val="restart"/>
            <w:shd w:val="clear" w:color="auto" w:fill="E0D1F5" w:themeFill="accent1" w:themeFillTint="33"/>
            <w:textDirection w:val="btLr"/>
            <w:vAlign w:val="center"/>
          </w:tcPr>
          <w:p w14:paraId="43B13C4A" w14:textId="77777777" w:rsidR="007F1C27" w:rsidRPr="007F1C27" w:rsidRDefault="007F1C27" w:rsidP="00802426">
            <w:pPr>
              <w:pStyle w:val="TableHeading1"/>
              <w:ind w:left="113" w:right="113"/>
              <w:rPr>
                <w:sz w:val="18"/>
                <w:szCs w:val="18"/>
              </w:rPr>
            </w:pPr>
            <w:r w:rsidRPr="007F1C27">
              <w:rPr>
                <w:sz w:val="18"/>
                <w:szCs w:val="18"/>
              </w:rPr>
              <w:t>Emp't ('000)</w:t>
            </w:r>
            <w:r w:rsidRPr="007F1C27">
              <w:rPr>
                <w:sz w:val="18"/>
                <w:szCs w:val="18"/>
              </w:rPr>
              <w:br/>
              <w:t>May 2030</w:t>
            </w:r>
          </w:p>
        </w:tc>
        <w:tc>
          <w:tcPr>
            <w:tcW w:w="696" w:type="dxa"/>
            <w:vMerge w:val="restart"/>
            <w:shd w:val="clear" w:color="auto" w:fill="E0D1F5" w:themeFill="accent1" w:themeFillTint="33"/>
            <w:textDirection w:val="btLr"/>
            <w:vAlign w:val="center"/>
          </w:tcPr>
          <w:p w14:paraId="0162CE2F" w14:textId="77777777" w:rsidR="007F1C27" w:rsidRPr="007F1C27" w:rsidRDefault="007F1C27" w:rsidP="00802426">
            <w:pPr>
              <w:pStyle w:val="Source"/>
              <w:ind w:left="113" w:right="113"/>
              <w:rPr>
                <w:sz w:val="18"/>
                <w:szCs w:val="18"/>
              </w:rPr>
            </w:pPr>
            <w:r w:rsidRPr="007F1C27">
              <w:rPr>
                <w:sz w:val="18"/>
                <w:szCs w:val="18"/>
              </w:rPr>
              <w:t>Share of total emp't (%)</w:t>
            </w:r>
          </w:p>
        </w:tc>
        <w:tc>
          <w:tcPr>
            <w:tcW w:w="1414" w:type="dxa"/>
            <w:gridSpan w:val="2"/>
            <w:shd w:val="clear" w:color="auto" w:fill="E0D1F5" w:themeFill="accent1" w:themeFillTint="33"/>
            <w:vAlign w:val="center"/>
          </w:tcPr>
          <w:p w14:paraId="468C98BF" w14:textId="77777777" w:rsidR="007F1C27" w:rsidRPr="007F1C27" w:rsidRDefault="007F1C27" w:rsidP="00802426">
            <w:pPr>
              <w:pStyle w:val="Source"/>
              <w:rPr>
                <w:sz w:val="18"/>
                <w:szCs w:val="18"/>
              </w:rPr>
            </w:pPr>
            <w:r w:rsidRPr="007F1C27">
              <w:rPr>
                <w:sz w:val="18"/>
                <w:szCs w:val="18"/>
              </w:rPr>
              <w:t>Change</w:t>
            </w:r>
          </w:p>
        </w:tc>
        <w:tc>
          <w:tcPr>
            <w:tcW w:w="1019" w:type="dxa"/>
            <w:vMerge w:val="restart"/>
            <w:shd w:val="clear" w:color="auto" w:fill="E0D1F5" w:themeFill="accent1" w:themeFillTint="33"/>
            <w:textDirection w:val="btLr"/>
            <w:vAlign w:val="center"/>
          </w:tcPr>
          <w:p w14:paraId="1ACCAFA8" w14:textId="77777777" w:rsidR="007F1C27" w:rsidRPr="007F1C27" w:rsidRDefault="007F1C27" w:rsidP="00802426">
            <w:pPr>
              <w:pStyle w:val="TableHeading1"/>
              <w:ind w:left="113" w:right="113"/>
              <w:rPr>
                <w:sz w:val="18"/>
                <w:szCs w:val="18"/>
              </w:rPr>
            </w:pPr>
            <w:r w:rsidRPr="007F1C27">
              <w:rPr>
                <w:sz w:val="18"/>
                <w:szCs w:val="18"/>
              </w:rPr>
              <w:t xml:space="preserve">Emp't ('000) </w:t>
            </w:r>
            <w:r w:rsidRPr="007F1C27">
              <w:rPr>
                <w:sz w:val="18"/>
                <w:szCs w:val="18"/>
              </w:rPr>
              <w:br/>
              <w:t>May 2035</w:t>
            </w:r>
          </w:p>
        </w:tc>
        <w:tc>
          <w:tcPr>
            <w:tcW w:w="723" w:type="dxa"/>
            <w:vMerge w:val="restart"/>
            <w:shd w:val="clear" w:color="auto" w:fill="E0D1F5" w:themeFill="accent1" w:themeFillTint="33"/>
            <w:textDirection w:val="btLr"/>
            <w:vAlign w:val="center"/>
          </w:tcPr>
          <w:p w14:paraId="397B7DEC" w14:textId="77777777" w:rsidR="007F1C27" w:rsidRPr="007F1C27" w:rsidRDefault="007F1C27" w:rsidP="00802426">
            <w:pPr>
              <w:pStyle w:val="Source"/>
              <w:ind w:left="113" w:right="113"/>
              <w:rPr>
                <w:sz w:val="18"/>
                <w:szCs w:val="18"/>
              </w:rPr>
            </w:pPr>
            <w:r w:rsidRPr="007F1C27">
              <w:rPr>
                <w:sz w:val="18"/>
                <w:szCs w:val="18"/>
              </w:rPr>
              <w:t>Share of total emp't (%)</w:t>
            </w:r>
          </w:p>
        </w:tc>
        <w:tc>
          <w:tcPr>
            <w:tcW w:w="1417" w:type="dxa"/>
            <w:gridSpan w:val="2"/>
            <w:shd w:val="clear" w:color="auto" w:fill="E0D1F5" w:themeFill="accent1" w:themeFillTint="33"/>
            <w:vAlign w:val="center"/>
          </w:tcPr>
          <w:p w14:paraId="519AA1EC" w14:textId="77777777" w:rsidR="007F1C27" w:rsidRPr="007F1C27" w:rsidRDefault="007F1C27" w:rsidP="00802426">
            <w:pPr>
              <w:pStyle w:val="Source"/>
              <w:rPr>
                <w:sz w:val="18"/>
                <w:szCs w:val="18"/>
              </w:rPr>
            </w:pPr>
            <w:r w:rsidRPr="007F1C27">
              <w:rPr>
                <w:sz w:val="18"/>
                <w:szCs w:val="18"/>
              </w:rPr>
              <w:t>Change</w:t>
            </w:r>
          </w:p>
        </w:tc>
      </w:tr>
      <w:tr w:rsidR="007F1C27" w:rsidRPr="007F1C27" w14:paraId="22114476" w14:textId="77777777" w:rsidTr="00E27623">
        <w:trPr>
          <w:cnfStyle w:val="100000000000" w:firstRow="1" w:lastRow="0" w:firstColumn="0" w:lastColumn="0" w:oddVBand="0" w:evenVBand="0" w:oddHBand="0" w:evenHBand="0" w:firstRowFirstColumn="0" w:firstRowLastColumn="0" w:lastRowFirstColumn="0" w:lastRowLastColumn="0"/>
          <w:trHeight w:val="920"/>
          <w:tblHeader/>
        </w:trPr>
        <w:tc>
          <w:tcPr>
            <w:tcW w:w="1357" w:type="dxa"/>
            <w:vMerge/>
            <w:vAlign w:val="center"/>
          </w:tcPr>
          <w:p w14:paraId="7E699952" w14:textId="77777777" w:rsidR="007F1C27" w:rsidRPr="007F1C27" w:rsidRDefault="007F1C27" w:rsidP="00802426">
            <w:pPr>
              <w:pStyle w:val="TableHeading1"/>
              <w:rPr>
                <w:sz w:val="18"/>
                <w:szCs w:val="18"/>
              </w:rPr>
            </w:pPr>
          </w:p>
        </w:tc>
        <w:tc>
          <w:tcPr>
            <w:tcW w:w="1018" w:type="dxa"/>
            <w:vMerge/>
            <w:shd w:val="clear" w:color="auto" w:fill="E0D1F5" w:themeFill="accent1" w:themeFillTint="33"/>
            <w:vAlign w:val="center"/>
          </w:tcPr>
          <w:p w14:paraId="342BDA1F" w14:textId="77777777" w:rsidR="007F1C27" w:rsidRPr="007F1C27" w:rsidRDefault="007F1C27" w:rsidP="00802426">
            <w:pPr>
              <w:pStyle w:val="Source"/>
              <w:rPr>
                <w:sz w:val="18"/>
                <w:szCs w:val="18"/>
              </w:rPr>
            </w:pPr>
          </w:p>
        </w:tc>
        <w:tc>
          <w:tcPr>
            <w:tcW w:w="669" w:type="dxa"/>
            <w:vMerge/>
            <w:shd w:val="clear" w:color="auto" w:fill="E0D1F5" w:themeFill="accent1" w:themeFillTint="33"/>
            <w:vAlign w:val="center"/>
          </w:tcPr>
          <w:p w14:paraId="115BB081" w14:textId="77777777" w:rsidR="007F1C27" w:rsidRPr="007F1C27" w:rsidRDefault="007F1C27" w:rsidP="00802426">
            <w:pPr>
              <w:pStyle w:val="Source"/>
              <w:rPr>
                <w:sz w:val="18"/>
                <w:szCs w:val="18"/>
              </w:rPr>
            </w:pPr>
          </w:p>
        </w:tc>
        <w:tc>
          <w:tcPr>
            <w:tcW w:w="1044" w:type="dxa"/>
            <w:vMerge/>
            <w:shd w:val="clear" w:color="auto" w:fill="E0D1F5" w:themeFill="accent1" w:themeFillTint="33"/>
            <w:vAlign w:val="center"/>
          </w:tcPr>
          <w:p w14:paraId="058F0528" w14:textId="77777777" w:rsidR="007F1C27" w:rsidRPr="007F1C27" w:rsidRDefault="007F1C27" w:rsidP="00802426">
            <w:pPr>
              <w:pStyle w:val="Source"/>
              <w:rPr>
                <w:sz w:val="18"/>
                <w:szCs w:val="18"/>
              </w:rPr>
            </w:pPr>
          </w:p>
        </w:tc>
        <w:tc>
          <w:tcPr>
            <w:tcW w:w="696" w:type="dxa"/>
            <w:vMerge/>
            <w:shd w:val="clear" w:color="auto" w:fill="E0D1F5" w:themeFill="accent1" w:themeFillTint="33"/>
            <w:vAlign w:val="center"/>
          </w:tcPr>
          <w:p w14:paraId="5AC57D29" w14:textId="77777777" w:rsidR="007F1C27" w:rsidRPr="007F1C27" w:rsidRDefault="007F1C27" w:rsidP="00802426">
            <w:pPr>
              <w:pStyle w:val="Source"/>
              <w:rPr>
                <w:sz w:val="18"/>
                <w:szCs w:val="18"/>
              </w:rPr>
            </w:pPr>
          </w:p>
        </w:tc>
        <w:tc>
          <w:tcPr>
            <w:tcW w:w="808" w:type="dxa"/>
            <w:shd w:val="clear" w:color="auto" w:fill="E0D1F5" w:themeFill="accent1" w:themeFillTint="33"/>
            <w:textDirection w:val="btLr"/>
            <w:vAlign w:val="center"/>
          </w:tcPr>
          <w:p w14:paraId="655F7F7C" w14:textId="77777777" w:rsidR="007F1C27" w:rsidRPr="007F1C27" w:rsidRDefault="007F1C27" w:rsidP="00802426">
            <w:pPr>
              <w:pStyle w:val="Source"/>
              <w:ind w:left="113" w:right="113"/>
              <w:rPr>
                <w:sz w:val="18"/>
                <w:szCs w:val="18"/>
              </w:rPr>
            </w:pPr>
            <w:r w:rsidRPr="007F1C27">
              <w:rPr>
                <w:sz w:val="18"/>
                <w:szCs w:val="18"/>
              </w:rPr>
              <w:t xml:space="preserve">level </w:t>
            </w:r>
            <w:r w:rsidRPr="007F1C27">
              <w:rPr>
                <w:sz w:val="18"/>
                <w:szCs w:val="18"/>
              </w:rPr>
              <w:br/>
              <w:t>('000)</w:t>
            </w:r>
          </w:p>
        </w:tc>
        <w:tc>
          <w:tcPr>
            <w:tcW w:w="606" w:type="dxa"/>
            <w:shd w:val="clear" w:color="auto" w:fill="E0D1F5" w:themeFill="accent1" w:themeFillTint="33"/>
            <w:textDirection w:val="btLr"/>
            <w:vAlign w:val="center"/>
          </w:tcPr>
          <w:p w14:paraId="1BAA9FFA" w14:textId="77777777" w:rsidR="007F1C27" w:rsidRPr="007F1C27" w:rsidRDefault="007F1C27" w:rsidP="00802426">
            <w:pPr>
              <w:pStyle w:val="Source"/>
              <w:ind w:left="113" w:right="113"/>
              <w:rPr>
                <w:sz w:val="18"/>
                <w:szCs w:val="18"/>
              </w:rPr>
            </w:pPr>
            <w:r w:rsidRPr="007F1C27">
              <w:rPr>
                <w:sz w:val="18"/>
                <w:szCs w:val="18"/>
              </w:rPr>
              <w:t>%</w:t>
            </w:r>
          </w:p>
        </w:tc>
        <w:tc>
          <w:tcPr>
            <w:tcW w:w="1019" w:type="dxa"/>
            <w:vMerge/>
            <w:shd w:val="clear" w:color="auto" w:fill="E0D1F5" w:themeFill="accent1" w:themeFillTint="33"/>
            <w:vAlign w:val="center"/>
          </w:tcPr>
          <w:p w14:paraId="7BC7EAD2" w14:textId="77777777" w:rsidR="007F1C27" w:rsidRPr="007F1C27" w:rsidRDefault="007F1C27" w:rsidP="00802426">
            <w:pPr>
              <w:pStyle w:val="Source"/>
              <w:rPr>
                <w:sz w:val="18"/>
                <w:szCs w:val="18"/>
              </w:rPr>
            </w:pPr>
          </w:p>
        </w:tc>
        <w:tc>
          <w:tcPr>
            <w:tcW w:w="723" w:type="dxa"/>
            <w:vMerge/>
            <w:shd w:val="clear" w:color="auto" w:fill="E0D1F5" w:themeFill="accent1" w:themeFillTint="33"/>
            <w:vAlign w:val="center"/>
          </w:tcPr>
          <w:p w14:paraId="3F88728D" w14:textId="77777777" w:rsidR="007F1C27" w:rsidRPr="007F1C27" w:rsidRDefault="007F1C27" w:rsidP="00802426">
            <w:pPr>
              <w:pStyle w:val="Source"/>
              <w:rPr>
                <w:sz w:val="18"/>
                <w:szCs w:val="18"/>
              </w:rPr>
            </w:pPr>
          </w:p>
        </w:tc>
        <w:tc>
          <w:tcPr>
            <w:tcW w:w="817" w:type="dxa"/>
            <w:shd w:val="clear" w:color="auto" w:fill="E0D1F5" w:themeFill="accent1" w:themeFillTint="33"/>
            <w:textDirection w:val="btLr"/>
            <w:vAlign w:val="center"/>
          </w:tcPr>
          <w:p w14:paraId="709F533A" w14:textId="77777777" w:rsidR="007F1C27" w:rsidRPr="007F1C27" w:rsidRDefault="007F1C27" w:rsidP="00802426">
            <w:pPr>
              <w:pStyle w:val="Source"/>
              <w:ind w:left="113" w:right="113"/>
              <w:rPr>
                <w:sz w:val="18"/>
                <w:szCs w:val="18"/>
              </w:rPr>
            </w:pPr>
            <w:r w:rsidRPr="007F1C27">
              <w:rPr>
                <w:sz w:val="18"/>
                <w:szCs w:val="18"/>
              </w:rPr>
              <w:t xml:space="preserve">level </w:t>
            </w:r>
            <w:r w:rsidRPr="007F1C27">
              <w:rPr>
                <w:sz w:val="18"/>
                <w:szCs w:val="18"/>
              </w:rPr>
              <w:br/>
              <w:t>('000)</w:t>
            </w:r>
          </w:p>
        </w:tc>
        <w:tc>
          <w:tcPr>
            <w:tcW w:w="600" w:type="dxa"/>
            <w:shd w:val="clear" w:color="auto" w:fill="E0D1F5" w:themeFill="accent1" w:themeFillTint="33"/>
            <w:textDirection w:val="btLr"/>
            <w:vAlign w:val="center"/>
          </w:tcPr>
          <w:p w14:paraId="2B48C744" w14:textId="77777777" w:rsidR="007F1C27" w:rsidRPr="007F1C27" w:rsidRDefault="007F1C27" w:rsidP="00802426">
            <w:pPr>
              <w:pStyle w:val="Source"/>
              <w:ind w:left="113" w:right="113"/>
              <w:rPr>
                <w:sz w:val="18"/>
                <w:szCs w:val="18"/>
              </w:rPr>
            </w:pPr>
            <w:r w:rsidRPr="007F1C27">
              <w:rPr>
                <w:sz w:val="18"/>
                <w:szCs w:val="18"/>
              </w:rPr>
              <w:t>%</w:t>
            </w:r>
          </w:p>
        </w:tc>
      </w:tr>
      <w:tr w:rsidR="007F1C27" w:rsidRPr="007F1C27" w14:paraId="315A6ADD" w14:textId="77777777" w:rsidTr="007F1C27">
        <w:tc>
          <w:tcPr>
            <w:tcW w:w="1357" w:type="dxa"/>
            <w:vAlign w:val="bottom"/>
          </w:tcPr>
          <w:p w14:paraId="0B7C24A8" w14:textId="44808C97" w:rsidR="007F1C27" w:rsidRPr="007F1C27" w:rsidRDefault="007F1C27" w:rsidP="007F1C27">
            <w:pPr>
              <w:pStyle w:val="Source"/>
              <w:rPr>
                <w:sz w:val="18"/>
                <w:szCs w:val="18"/>
              </w:rPr>
            </w:pPr>
            <w:r w:rsidRPr="007F1C27">
              <w:rPr>
                <w:sz w:val="18"/>
                <w:szCs w:val="18"/>
                <w:lang w:eastAsia="en-AU"/>
              </w:rPr>
              <w:t>New South Wales</w:t>
            </w:r>
          </w:p>
        </w:tc>
        <w:tc>
          <w:tcPr>
            <w:tcW w:w="1018" w:type="dxa"/>
            <w:vAlign w:val="bottom"/>
          </w:tcPr>
          <w:p w14:paraId="349706F1" w14:textId="60B86D97" w:rsidR="007F1C27" w:rsidRPr="007F1C27" w:rsidRDefault="007F1C27" w:rsidP="00061EB3">
            <w:pPr>
              <w:pStyle w:val="Source"/>
              <w:jc w:val="right"/>
              <w:rPr>
                <w:sz w:val="18"/>
                <w:szCs w:val="18"/>
              </w:rPr>
            </w:pPr>
            <w:r w:rsidRPr="007F1C27">
              <w:rPr>
                <w:sz w:val="18"/>
                <w:szCs w:val="18"/>
                <w:lang w:eastAsia="en-AU"/>
              </w:rPr>
              <w:t xml:space="preserve">4,555.4 </w:t>
            </w:r>
          </w:p>
        </w:tc>
        <w:tc>
          <w:tcPr>
            <w:tcW w:w="669" w:type="dxa"/>
            <w:vAlign w:val="bottom"/>
          </w:tcPr>
          <w:p w14:paraId="20F21116" w14:textId="2BB1B432" w:rsidR="007F1C27" w:rsidRPr="007F1C27" w:rsidRDefault="007F1C27" w:rsidP="00061EB3">
            <w:pPr>
              <w:pStyle w:val="Source"/>
              <w:jc w:val="right"/>
              <w:rPr>
                <w:sz w:val="18"/>
                <w:szCs w:val="18"/>
              </w:rPr>
            </w:pPr>
            <w:r w:rsidRPr="007F1C27">
              <w:rPr>
                <w:sz w:val="18"/>
                <w:szCs w:val="18"/>
                <w:lang w:eastAsia="en-AU"/>
              </w:rPr>
              <w:t>31.0</w:t>
            </w:r>
          </w:p>
        </w:tc>
        <w:tc>
          <w:tcPr>
            <w:tcW w:w="1044" w:type="dxa"/>
            <w:vAlign w:val="bottom"/>
          </w:tcPr>
          <w:p w14:paraId="0186420D" w14:textId="3E22BB21" w:rsidR="007F1C27" w:rsidRPr="007F1C27" w:rsidRDefault="007F1C27" w:rsidP="00061EB3">
            <w:pPr>
              <w:pStyle w:val="Source"/>
              <w:jc w:val="right"/>
              <w:rPr>
                <w:sz w:val="18"/>
                <w:szCs w:val="18"/>
              </w:rPr>
            </w:pPr>
            <w:r w:rsidRPr="007F1C27">
              <w:rPr>
                <w:sz w:val="18"/>
                <w:szCs w:val="18"/>
                <w:lang w:eastAsia="en-AU"/>
              </w:rPr>
              <w:t xml:space="preserve">4,843.2 </w:t>
            </w:r>
          </w:p>
        </w:tc>
        <w:tc>
          <w:tcPr>
            <w:tcW w:w="696" w:type="dxa"/>
            <w:vAlign w:val="bottom"/>
          </w:tcPr>
          <w:p w14:paraId="16A0A406" w14:textId="05A9393F" w:rsidR="007F1C27" w:rsidRPr="007F1C27" w:rsidRDefault="007F1C27" w:rsidP="00061EB3">
            <w:pPr>
              <w:pStyle w:val="Source"/>
              <w:jc w:val="right"/>
              <w:rPr>
                <w:sz w:val="18"/>
                <w:szCs w:val="18"/>
              </w:rPr>
            </w:pPr>
            <w:r w:rsidRPr="007F1C27">
              <w:rPr>
                <w:sz w:val="18"/>
                <w:szCs w:val="18"/>
                <w:lang w:eastAsia="en-AU"/>
              </w:rPr>
              <w:t>30.9</w:t>
            </w:r>
          </w:p>
        </w:tc>
        <w:tc>
          <w:tcPr>
            <w:tcW w:w="808" w:type="dxa"/>
            <w:vAlign w:val="bottom"/>
          </w:tcPr>
          <w:p w14:paraId="2BC12F9B" w14:textId="21EF67CA" w:rsidR="007F1C27" w:rsidRPr="007F1C27" w:rsidRDefault="007F1C27" w:rsidP="00061EB3">
            <w:pPr>
              <w:pStyle w:val="Source"/>
              <w:jc w:val="right"/>
              <w:rPr>
                <w:sz w:val="18"/>
                <w:szCs w:val="18"/>
              </w:rPr>
            </w:pPr>
            <w:r w:rsidRPr="007F1C27">
              <w:rPr>
                <w:sz w:val="18"/>
                <w:szCs w:val="18"/>
                <w:lang w:eastAsia="en-AU"/>
              </w:rPr>
              <w:t xml:space="preserve">287.8 </w:t>
            </w:r>
          </w:p>
        </w:tc>
        <w:tc>
          <w:tcPr>
            <w:tcW w:w="606" w:type="dxa"/>
            <w:vAlign w:val="bottom"/>
          </w:tcPr>
          <w:p w14:paraId="2D4C1FD8" w14:textId="19D02740" w:rsidR="007F1C27" w:rsidRPr="007F1C27" w:rsidRDefault="007F1C27" w:rsidP="00061EB3">
            <w:pPr>
              <w:pStyle w:val="Source"/>
              <w:jc w:val="right"/>
              <w:rPr>
                <w:sz w:val="18"/>
                <w:szCs w:val="18"/>
              </w:rPr>
            </w:pPr>
            <w:r w:rsidRPr="007F1C27">
              <w:rPr>
                <w:sz w:val="18"/>
                <w:szCs w:val="18"/>
                <w:lang w:eastAsia="en-AU"/>
              </w:rPr>
              <w:t>6.3</w:t>
            </w:r>
          </w:p>
        </w:tc>
        <w:tc>
          <w:tcPr>
            <w:tcW w:w="1019" w:type="dxa"/>
            <w:vAlign w:val="bottom"/>
          </w:tcPr>
          <w:p w14:paraId="5C6E6B16" w14:textId="4B1B3661" w:rsidR="007F1C27" w:rsidRPr="007F1C27" w:rsidRDefault="007F1C27" w:rsidP="00061EB3">
            <w:pPr>
              <w:pStyle w:val="Source"/>
              <w:jc w:val="right"/>
              <w:rPr>
                <w:sz w:val="18"/>
                <w:szCs w:val="18"/>
              </w:rPr>
            </w:pPr>
            <w:r w:rsidRPr="007F1C27">
              <w:rPr>
                <w:sz w:val="18"/>
                <w:szCs w:val="18"/>
                <w:lang w:eastAsia="en-AU"/>
              </w:rPr>
              <w:t xml:space="preserve">5,132.3 </w:t>
            </w:r>
          </w:p>
        </w:tc>
        <w:tc>
          <w:tcPr>
            <w:tcW w:w="723" w:type="dxa"/>
            <w:vAlign w:val="bottom"/>
          </w:tcPr>
          <w:p w14:paraId="130F0360" w14:textId="6062D1BE" w:rsidR="007F1C27" w:rsidRPr="007F1C27" w:rsidRDefault="007F1C27" w:rsidP="00061EB3">
            <w:pPr>
              <w:pStyle w:val="Source"/>
              <w:jc w:val="right"/>
              <w:rPr>
                <w:sz w:val="18"/>
                <w:szCs w:val="18"/>
              </w:rPr>
            </w:pPr>
            <w:r w:rsidRPr="007F1C27">
              <w:rPr>
                <w:sz w:val="18"/>
                <w:szCs w:val="18"/>
                <w:lang w:eastAsia="en-AU"/>
              </w:rPr>
              <w:t>30.8</w:t>
            </w:r>
          </w:p>
        </w:tc>
        <w:tc>
          <w:tcPr>
            <w:tcW w:w="817" w:type="dxa"/>
            <w:vAlign w:val="bottom"/>
          </w:tcPr>
          <w:p w14:paraId="42012389" w14:textId="2F872D32" w:rsidR="007F1C27" w:rsidRPr="007F1C27" w:rsidRDefault="007F1C27" w:rsidP="00061EB3">
            <w:pPr>
              <w:pStyle w:val="Source"/>
              <w:jc w:val="right"/>
              <w:rPr>
                <w:sz w:val="18"/>
                <w:szCs w:val="18"/>
              </w:rPr>
            </w:pPr>
            <w:r w:rsidRPr="007F1C27">
              <w:rPr>
                <w:sz w:val="18"/>
                <w:szCs w:val="18"/>
                <w:lang w:eastAsia="en-AU"/>
              </w:rPr>
              <w:t xml:space="preserve">576.8 </w:t>
            </w:r>
          </w:p>
        </w:tc>
        <w:tc>
          <w:tcPr>
            <w:tcW w:w="600" w:type="dxa"/>
            <w:vAlign w:val="bottom"/>
          </w:tcPr>
          <w:p w14:paraId="40BD184F" w14:textId="24AE9E20" w:rsidR="007F1C27" w:rsidRPr="007F1C27" w:rsidRDefault="007F1C27" w:rsidP="00061EB3">
            <w:pPr>
              <w:pStyle w:val="Source"/>
              <w:jc w:val="right"/>
              <w:rPr>
                <w:sz w:val="18"/>
                <w:szCs w:val="18"/>
              </w:rPr>
            </w:pPr>
            <w:r w:rsidRPr="007F1C27">
              <w:rPr>
                <w:sz w:val="18"/>
                <w:szCs w:val="18"/>
                <w:lang w:eastAsia="en-AU"/>
              </w:rPr>
              <w:t>12.7</w:t>
            </w:r>
          </w:p>
        </w:tc>
      </w:tr>
      <w:tr w:rsidR="007F1C27" w:rsidRPr="007F1C27" w14:paraId="4D7ECB17" w14:textId="77777777" w:rsidTr="007F1C27">
        <w:trPr>
          <w:cnfStyle w:val="000000010000" w:firstRow="0" w:lastRow="0" w:firstColumn="0" w:lastColumn="0" w:oddVBand="0" w:evenVBand="0" w:oddHBand="0" w:evenHBand="1" w:firstRowFirstColumn="0" w:firstRowLastColumn="0" w:lastRowFirstColumn="0" w:lastRowLastColumn="0"/>
        </w:trPr>
        <w:tc>
          <w:tcPr>
            <w:tcW w:w="1357" w:type="dxa"/>
            <w:vAlign w:val="bottom"/>
          </w:tcPr>
          <w:p w14:paraId="74C263CB" w14:textId="27C8B149" w:rsidR="007F1C27" w:rsidRPr="007F1C27" w:rsidRDefault="007F1C27" w:rsidP="007F1C27">
            <w:pPr>
              <w:pStyle w:val="Source"/>
              <w:rPr>
                <w:sz w:val="18"/>
                <w:szCs w:val="18"/>
              </w:rPr>
            </w:pPr>
            <w:r w:rsidRPr="007F1C27">
              <w:rPr>
                <w:sz w:val="18"/>
                <w:szCs w:val="18"/>
                <w:lang w:eastAsia="en-AU"/>
              </w:rPr>
              <w:t>Victoria</w:t>
            </w:r>
          </w:p>
        </w:tc>
        <w:tc>
          <w:tcPr>
            <w:tcW w:w="1018" w:type="dxa"/>
            <w:vAlign w:val="bottom"/>
          </w:tcPr>
          <w:p w14:paraId="607B55D6" w14:textId="6DC4DB14" w:rsidR="007F1C27" w:rsidRPr="007F1C27" w:rsidRDefault="007F1C27" w:rsidP="00061EB3">
            <w:pPr>
              <w:pStyle w:val="Source"/>
              <w:jc w:val="right"/>
              <w:rPr>
                <w:sz w:val="18"/>
                <w:szCs w:val="18"/>
              </w:rPr>
            </w:pPr>
            <w:r w:rsidRPr="007F1C27">
              <w:rPr>
                <w:sz w:val="18"/>
                <w:szCs w:val="18"/>
                <w:lang w:eastAsia="en-AU"/>
              </w:rPr>
              <w:t xml:space="preserve">3,783.5 </w:t>
            </w:r>
          </w:p>
        </w:tc>
        <w:tc>
          <w:tcPr>
            <w:tcW w:w="669" w:type="dxa"/>
            <w:vAlign w:val="bottom"/>
          </w:tcPr>
          <w:p w14:paraId="7698CC94" w14:textId="385DF67B" w:rsidR="007F1C27" w:rsidRPr="007F1C27" w:rsidRDefault="007F1C27" w:rsidP="00061EB3">
            <w:pPr>
              <w:pStyle w:val="Source"/>
              <w:jc w:val="right"/>
              <w:rPr>
                <w:sz w:val="18"/>
                <w:szCs w:val="18"/>
              </w:rPr>
            </w:pPr>
            <w:r w:rsidRPr="007F1C27">
              <w:rPr>
                <w:sz w:val="18"/>
                <w:szCs w:val="18"/>
                <w:lang w:eastAsia="en-AU"/>
              </w:rPr>
              <w:t>25.7</w:t>
            </w:r>
          </w:p>
        </w:tc>
        <w:tc>
          <w:tcPr>
            <w:tcW w:w="1044" w:type="dxa"/>
            <w:vAlign w:val="bottom"/>
          </w:tcPr>
          <w:p w14:paraId="5EED41CD" w14:textId="44F6CFD3" w:rsidR="007F1C27" w:rsidRPr="007F1C27" w:rsidRDefault="007F1C27" w:rsidP="00061EB3">
            <w:pPr>
              <w:pStyle w:val="Source"/>
              <w:jc w:val="right"/>
              <w:rPr>
                <w:sz w:val="18"/>
                <w:szCs w:val="18"/>
              </w:rPr>
            </w:pPr>
            <w:r w:rsidRPr="007F1C27">
              <w:rPr>
                <w:sz w:val="18"/>
                <w:szCs w:val="18"/>
                <w:lang w:eastAsia="en-AU"/>
              </w:rPr>
              <w:t xml:space="preserve">4,071.0 </w:t>
            </w:r>
          </w:p>
        </w:tc>
        <w:tc>
          <w:tcPr>
            <w:tcW w:w="696" w:type="dxa"/>
            <w:vAlign w:val="bottom"/>
          </w:tcPr>
          <w:p w14:paraId="4F022F03" w14:textId="63032350" w:rsidR="007F1C27" w:rsidRPr="007F1C27" w:rsidRDefault="007F1C27" w:rsidP="00061EB3">
            <w:pPr>
              <w:pStyle w:val="Source"/>
              <w:jc w:val="right"/>
              <w:rPr>
                <w:sz w:val="18"/>
                <w:szCs w:val="18"/>
              </w:rPr>
            </w:pPr>
            <w:r w:rsidRPr="007F1C27">
              <w:rPr>
                <w:sz w:val="18"/>
                <w:szCs w:val="18"/>
                <w:lang w:eastAsia="en-AU"/>
              </w:rPr>
              <w:t>26.0</w:t>
            </w:r>
          </w:p>
        </w:tc>
        <w:tc>
          <w:tcPr>
            <w:tcW w:w="808" w:type="dxa"/>
            <w:vAlign w:val="bottom"/>
          </w:tcPr>
          <w:p w14:paraId="21D26241" w14:textId="50B0ACC9" w:rsidR="007F1C27" w:rsidRPr="007F1C27" w:rsidRDefault="007F1C27" w:rsidP="00061EB3">
            <w:pPr>
              <w:pStyle w:val="Source"/>
              <w:jc w:val="right"/>
              <w:rPr>
                <w:sz w:val="18"/>
                <w:szCs w:val="18"/>
              </w:rPr>
            </w:pPr>
            <w:r w:rsidRPr="007F1C27">
              <w:rPr>
                <w:sz w:val="18"/>
                <w:szCs w:val="18"/>
                <w:lang w:eastAsia="en-AU"/>
              </w:rPr>
              <w:t xml:space="preserve">287.5 </w:t>
            </w:r>
          </w:p>
        </w:tc>
        <w:tc>
          <w:tcPr>
            <w:tcW w:w="606" w:type="dxa"/>
            <w:vAlign w:val="bottom"/>
          </w:tcPr>
          <w:p w14:paraId="1F101B20" w14:textId="77AED4B4" w:rsidR="007F1C27" w:rsidRPr="007F1C27" w:rsidRDefault="007F1C27" w:rsidP="00061EB3">
            <w:pPr>
              <w:pStyle w:val="Source"/>
              <w:jc w:val="right"/>
              <w:rPr>
                <w:sz w:val="18"/>
                <w:szCs w:val="18"/>
              </w:rPr>
            </w:pPr>
            <w:r w:rsidRPr="007F1C27">
              <w:rPr>
                <w:sz w:val="18"/>
                <w:szCs w:val="18"/>
                <w:lang w:eastAsia="en-AU"/>
              </w:rPr>
              <w:t>7.6</w:t>
            </w:r>
          </w:p>
        </w:tc>
        <w:tc>
          <w:tcPr>
            <w:tcW w:w="1019" w:type="dxa"/>
            <w:vAlign w:val="bottom"/>
          </w:tcPr>
          <w:p w14:paraId="47ED675A" w14:textId="1DCF28E6" w:rsidR="007F1C27" w:rsidRPr="007F1C27" w:rsidRDefault="007F1C27" w:rsidP="00061EB3">
            <w:pPr>
              <w:pStyle w:val="Source"/>
              <w:jc w:val="right"/>
              <w:rPr>
                <w:sz w:val="18"/>
                <w:szCs w:val="18"/>
              </w:rPr>
            </w:pPr>
            <w:r w:rsidRPr="007F1C27">
              <w:rPr>
                <w:sz w:val="18"/>
                <w:szCs w:val="18"/>
                <w:lang w:eastAsia="en-AU"/>
              </w:rPr>
              <w:t xml:space="preserve">4,363.0 </w:t>
            </w:r>
          </w:p>
        </w:tc>
        <w:tc>
          <w:tcPr>
            <w:tcW w:w="723" w:type="dxa"/>
            <w:vAlign w:val="bottom"/>
          </w:tcPr>
          <w:p w14:paraId="79A2C188" w14:textId="2C03289B" w:rsidR="007F1C27" w:rsidRPr="007F1C27" w:rsidRDefault="007F1C27" w:rsidP="00061EB3">
            <w:pPr>
              <w:pStyle w:val="Source"/>
              <w:jc w:val="right"/>
              <w:rPr>
                <w:sz w:val="18"/>
                <w:szCs w:val="18"/>
              </w:rPr>
            </w:pPr>
            <w:r w:rsidRPr="007F1C27">
              <w:rPr>
                <w:sz w:val="18"/>
                <w:szCs w:val="18"/>
                <w:lang w:eastAsia="en-AU"/>
              </w:rPr>
              <w:t>26.2</w:t>
            </w:r>
          </w:p>
        </w:tc>
        <w:tc>
          <w:tcPr>
            <w:tcW w:w="817" w:type="dxa"/>
            <w:vAlign w:val="bottom"/>
          </w:tcPr>
          <w:p w14:paraId="73E77670" w14:textId="0A622F6C" w:rsidR="007F1C27" w:rsidRPr="007F1C27" w:rsidRDefault="007F1C27" w:rsidP="00061EB3">
            <w:pPr>
              <w:pStyle w:val="Source"/>
              <w:jc w:val="right"/>
              <w:rPr>
                <w:sz w:val="18"/>
                <w:szCs w:val="18"/>
              </w:rPr>
            </w:pPr>
            <w:r w:rsidRPr="007F1C27">
              <w:rPr>
                <w:sz w:val="18"/>
                <w:szCs w:val="18"/>
                <w:lang w:eastAsia="en-AU"/>
              </w:rPr>
              <w:t xml:space="preserve"> 579.5 </w:t>
            </w:r>
          </w:p>
        </w:tc>
        <w:tc>
          <w:tcPr>
            <w:tcW w:w="600" w:type="dxa"/>
            <w:vAlign w:val="bottom"/>
          </w:tcPr>
          <w:p w14:paraId="11B7A698" w14:textId="75FB9642" w:rsidR="007F1C27" w:rsidRPr="007F1C27" w:rsidRDefault="007F1C27" w:rsidP="00061EB3">
            <w:pPr>
              <w:pStyle w:val="Source"/>
              <w:jc w:val="right"/>
              <w:rPr>
                <w:sz w:val="18"/>
                <w:szCs w:val="18"/>
              </w:rPr>
            </w:pPr>
            <w:r w:rsidRPr="007F1C27">
              <w:rPr>
                <w:sz w:val="18"/>
                <w:szCs w:val="18"/>
                <w:lang w:eastAsia="en-AU"/>
              </w:rPr>
              <w:t>15.3</w:t>
            </w:r>
          </w:p>
        </w:tc>
      </w:tr>
      <w:tr w:rsidR="007F1C27" w:rsidRPr="007F1C27" w14:paraId="45A14BFB" w14:textId="77777777" w:rsidTr="007F1C27">
        <w:tc>
          <w:tcPr>
            <w:tcW w:w="1357" w:type="dxa"/>
            <w:vAlign w:val="bottom"/>
          </w:tcPr>
          <w:p w14:paraId="14422233" w14:textId="1E89BE3E" w:rsidR="007F1C27" w:rsidRPr="007F1C27" w:rsidRDefault="007F1C27" w:rsidP="007F1C27">
            <w:pPr>
              <w:pStyle w:val="Source"/>
              <w:rPr>
                <w:sz w:val="18"/>
                <w:szCs w:val="18"/>
              </w:rPr>
            </w:pPr>
            <w:r w:rsidRPr="007F1C27">
              <w:rPr>
                <w:sz w:val="18"/>
                <w:szCs w:val="18"/>
                <w:lang w:eastAsia="en-AU"/>
              </w:rPr>
              <w:t>Queensland</w:t>
            </w:r>
          </w:p>
        </w:tc>
        <w:tc>
          <w:tcPr>
            <w:tcW w:w="1018" w:type="dxa"/>
            <w:vAlign w:val="bottom"/>
          </w:tcPr>
          <w:p w14:paraId="4826C722" w14:textId="244C989D" w:rsidR="007F1C27" w:rsidRPr="007F1C27" w:rsidRDefault="007F1C27" w:rsidP="00061EB3">
            <w:pPr>
              <w:pStyle w:val="Source"/>
              <w:jc w:val="right"/>
              <w:rPr>
                <w:sz w:val="18"/>
                <w:szCs w:val="18"/>
              </w:rPr>
            </w:pPr>
            <w:r w:rsidRPr="007F1C27">
              <w:rPr>
                <w:sz w:val="18"/>
                <w:szCs w:val="18"/>
                <w:lang w:eastAsia="en-AU"/>
              </w:rPr>
              <w:t xml:space="preserve">3,015.6 </w:t>
            </w:r>
          </w:p>
        </w:tc>
        <w:tc>
          <w:tcPr>
            <w:tcW w:w="669" w:type="dxa"/>
            <w:vAlign w:val="bottom"/>
          </w:tcPr>
          <w:p w14:paraId="12B23D91" w14:textId="4D0CF414" w:rsidR="007F1C27" w:rsidRPr="007F1C27" w:rsidRDefault="007F1C27" w:rsidP="00061EB3">
            <w:pPr>
              <w:pStyle w:val="Source"/>
              <w:jc w:val="right"/>
              <w:rPr>
                <w:sz w:val="18"/>
                <w:szCs w:val="18"/>
              </w:rPr>
            </w:pPr>
            <w:r w:rsidRPr="007F1C27">
              <w:rPr>
                <w:sz w:val="18"/>
                <w:szCs w:val="18"/>
                <w:lang w:eastAsia="en-AU"/>
              </w:rPr>
              <w:t>20.5</w:t>
            </w:r>
          </w:p>
        </w:tc>
        <w:tc>
          <w:tcPr>
            <w:tcW w:w="1044" w:type="dxa"/>
            <w:vAlign w:val="bottom"/>
          </w:tcPr>
          <w:p w14:paraId="5AF0B1D3" w14:textId="676C0E8E" w:rsidR="007F1C27" w:rsidRPr="007F1C27" w:rsidRDefault="007F1C27" w:rsidP="00061EB3">
            <w:pPr>
              <w:pStyle w:val="Source"/>
              <w:jc w:val="right"/>
              <w:rPr>
                <w:sz w:val="18"/>
                <w:szCs w:val="18"/>
              </w:rPr>
            </w:pPr>
            <w:r w:rsidRPr="007F1C27">
              <w:rPr>
                <w:sz w:val="18"/>
                <w:szCs w:val="18"/>
                <w:lang w:eastAsia="en-AU"/>
              </w:rPr>
              <w:t xml:space="preserve">3,207.1 </w:t>
            </w:r>
          </w:p>
        </w:tc>
        <w:tc>
          <w:tcPr>
            <w:tcW w:w="696" w:type="dxa"/>
            <w:vAlign w:val="bottom"/>
          </w:tcPr>
          <w:p w14:paraId="5EE2D6CC" w14:textId="743FBAA3" w:rsidR="007F1C27" w:rsidRPr="007F1C27" w:rsidRDefault="007F1C27" w:rsidP="00061EB3">
            <w:pPr>
              <w:pStyle w:val="Source"/>
              <w:jc w:val="right"/>
              <w:rPr>
                <w:sz w:val="18"/>
                <w:szCs w:val="18"/>
              </w:rPr>
            </w:pPr>
            <w:r w:rsidRPr="007F1C27">
              <w:rPr>
                <w:sz w:val="18"/>
                <w:szCs w:val="18"/>
                <w:lang w:eastAsia="en-AU"/>
              </w:rPr>
              <w:t>20.5</w:t>
            </w:r>
          </w:p>
        </w:tc>
        <w:tc>
          <w:tcPr>
            <w:tcW w:w="808" w:type="dxa"/>
            <w:vAlign w:val="bottom"/>
          </w:tcPr>
          <w:p w14:paraId="3F574692" w14:textId="1C3BF4B2" w:rsidR="007F1C27" w:rsidRPr="007F1C27" w:rsidRDefault="007F1C27" w:rsidP="00061EB3">
            <w:pPr>
              <w:pStyle w:val="Source"/>
              <w:jc w:val="right"/>
              <w:rPr>
                <w:sz w:val="18"/>
                <w:szCs w:val="18"/>
              </w:rPr>
            </w:pPr>
            <w:r w:rsidRPr="007F1C27">
              <w:rPr>
                <w:sz w:val="18"/>
                <w:szCs w:val="18"/>
                <w:lang w:eastAsia="en-AU"/>
              </w:rPr>
              <w:t xml:space="preserve">191.5 </w:t>
            </w:r>
          </w:p>
        </w:tc>
        <w:tc>
          <w:tcPr>
            <w:tcW w:w="606" w:type="dxa"/>
            <w:vAlign w:val="bottom"/>
          </w:tcPr>
          <w:p w14:paraId="123B2F8D" w14:textId="4C15BC65" w:rsidR="007F1C27" w:rsidRPr="007F1C27" w:rsidRDefault="007F1C27" w:rsidP="00061EB3">
            <w:pPr>
              <w:pStyle w:val="Source"/>
              <w:jc w:val="right"/>
              <w:rPr>
                <w:sz w:val="18"/>
                <w:szCs w:val="18"/>
              </w:rPr>
            </w:pPr>
            <w:r w:rsidRPr="007F1C27">
              <w:rPr>
                <w:sz w:val="18"/>
                <w:szCs w:val="18"/>
                <w:lang w:eastAsia="en-AU"/>
              </w:rPr>
              <w:t>6.3</w:t>
            </w:r>
          </w:p>
        </w:tc>
        <w:tc>
          <w:tcPr>
            <w:tcW w:w="1019" w:type="dxa"/>
            <w:vAlign w:val="bottom"/>
          </w:tcPr>
          <w:p w14:paraId="039BE5E7" w14:textId="28EF36D0" w:rsidR="007F1C27" w:rsidRPr="007F1C27" w:rsidRDefault="007F1C27" w:rsidP="00061EB3">
            <w:pPr>
              <w:pStyle w:val="Source"/>
              <w:jc w:val="right"/>
              <w:rPr>
                <w:sz w:val="18"/>
                <w:szCs w:val="18"/>
              </w:rPr>
            </w:pPr>
            <w:r w:rsidRPr="007F1C27">
              <w:rPr>
                <w:sz w:val="18"/>
                <w:szCs w:val="18"/>
                <w:lang w:eastAsia="en-AU"/>
              </w:rPr>
              <w:t xml:space="preserve">3,417.3 </w:t>
            </w:r>
          </w:p>
        </w:tc>
        <w:tc>
          <w:tcPr>
            <w:tcW w:w="723" w:type="dxa"/>
            <w:vAlign w:val="bottom"/>
          </w:tcPr>
          <w:p w14:paraId="0ECF92CE" w14:textId="08571CD2" w:rsidR="007F1C27" w:rsidRPr="007F1C27" w:rsidRDefault="007F1C27" w:rsidP="00061EB3">
            <w:pPr>
              <w:pStyle w:val="Source"/>
              <w:jc w:val="right"/>
              <w:rPr>
                <w:sz w:val="18"/>
                <w:szCs w:val="18"/>
              </w:rPr>
            </w:pPr>
            <w:r w:rsidRPr="007F1C27">
              <w:rPr>
                <w:sz w:val="18"/>
                <w:szCs w:val="18"/>
                <w:lang w:eastAsia="en-AU"/>
              </w:rPr>
              <w:t>20.5</w:t>
            </w:r>
          </w:p>
        </w:tc>
        <w:tc>
          <w:tcPr>
            <w:tcW w:w="817" w:type="dxa"/>
            <w:vAlign w:val="bottom"/>
          </w:tcPr>
          <w:p w14:paraId="4C3FB20A" w14:textId="4B88AAC4" w:rsidR="007F1C27" w:rsidRPr="007F1C27" w:rsidRDefault="007F1C27" w:rsidP="00061EB3">
            <w:pPr>
              <w:pStyle w:val="Source"/>
              <w:jc w:val="right"/>
              <w:rPr>
                <w:sz w:val="18"/>
                <w:szCs w:val="18"/>
              </w:rPr>
            </w:pPr>
            <w:r w:rsidRPr="007F1C27">
              <w:rPr>
                <w:sz w:val="18"/>
                <w:szCs w:val="18"/>
                <w:lang w:eastAsia="en-AU"/>
              </w:rPr>
              <w:t xml:space="preserve">401.7 </w:t>
            </w:r>
          </w:p>
        </w:tc>
        <w:tc>
          <w:tcPr>
            <w:tcW w:w="600" w:type="dxa"/>
            <w:vAlign w:val="bottom"/>
          </w:tcPr>
          <w:p w14:paraId="429E153B" w14:textId="4A794656" w:rsidR="007F1C27" w:rsidRPr="007F1C27" w:rsidRDefault="007F1C27" w:rsidP="00061EB3">
            <w:pPr>
              <w:pStyle w:val="Source"/>
              <w:jc w:val="right"/>
              <w:rPr>
                <w:sz w:val="18"/>
                <w:szCs w:val="18"/>
              </w:rPr>
            </w:pPr>
            <w:r w:rsidRPr="007F1C27">
              <w:rPr>
                <w:sz w:val="18"/>
                <w:szCs w:val="18"/>
                <w:lang w:eastAsia="en-AU"/>
              </w:rPr>
              <w:t>13.3</w:t>
            </w:r>
          </w:p>
        </w:tc>
      </w:tr>
      <w:tr w:rsidR="007F1C27" w:rsidRPr="007F1C27" w14:paraId="5EF63A89" w14:textId="77777777" w:rsidTr="007F1C27">
        <w:trPr>
          <w:cnfStyle w:val="000000010000" w:firstRow="0" w:lastRow="0" w:firstColumn="0" w:lastColumn="0" w:oddVBand="0" w:evenVBand="0" w:oddHBand="0" w:evenHBand="1" w:firstRowFirstColumn="0" w:firstRowLastColumn="0" w:lastRowFirstColumn="0" w:lastRowLastColumn="0"/>
        </w:trPr>
        <w:tc>
          <w:tcPr>
            <w:tcW w:w="1357" w:type="dxa"/>
            <w:vAlign w:val="bottom"/>
          </w:tcPr>
          <w:p w14:paraId="57ECA3F7" w14:textId="02210D83" w:rsidR="007F1C27" w:rsidRPr="007F1C27" w:rsidRDefault="007F1C27" w:rsidP="007F1C27">
            <w:pPr>
              <w:pStyle w:val="Source"/>
              <w:rPr>
                <w:sz w:val="18"/>
                <w:szCs w:val="18"/>
              </w:rPr>
            </w:pPr>
            <w:r w:rsidRPr="007F1C27">
              <w:rPr>
                <w:sz w:val="18"/>
                <w:szCs w:val="18"/>
                <w:lang w:eastAsia="en-AU"/>
              </w:rPr>
              <w:t>South Australia</w:t>
            </w:r>
          </w:p>
        </w:tc>
        <w:tc>
          <w:tcPr>
            <w:tcW w:w="1018" w:type="dxa"/>
            <w:vAlign w:val="bottom"/>
          </w:tcPr>
          <w:p w14:paraId="2C5B1505" w14:textId="0626C8CE" w:rsidR="007F1C27" w:rsidRPr="007F1C27" w:rsidRDefault="007F1C27" w:rsidP="00061EB3">
            <w:pPr>
              <w:pStyle w:val="Source"/>
              <w:jc w:val="right"/>
              <w:rPr>
                <w:sz w:val="18"/>
                <w:szCs w:val="18"/>
              </w:rPr>
            </w:pPr>
            <w:r w:rsidRPr="007F1C27">
              <w:rPr>
                <w:sz w:val="18"/>
                <w:szCs w:val="18"/>
                <w:lang w:eastAsia="en-AU"/>
              </w:rPr>
              <w:t xml:space="preserve">969.3 </w:t>
            </w:r>
          </w:p>
        </w:tc>
        <w:tc>
          <w:tcPr>
            <w:tcW w:w="669" w:type="dxa"/>
            <w:vAlign w:val="bottom"/>
          </w:tcPr>
          <w:p w14:paraId="3D4235EF" w14:textId="1FA58162" w:rsidR="007F1C27" w:rsidRPr="007F1C27" w:rsidRDefault="007F1C27" w:rsidP="00061EB3">
            <w:pPr>
              <w:pStyle w:val="Source"/>
              <w:jc w:val="right"/>
              <w:rPr>
                <w:sz w:val="18"/>
                <w:szCs w:val="18"/>
              </w:rPr>
            </w:pPr>
            <w:r w:rsidRPr="007F1C27">
              <w:rPr>
                <w:sz w:val="18"/>
                <w:szCs w:val="18"/>
                <w:lang w:eastAsia="en-AU"/>
              </w:rPr>
              <w:t>6.6</w:t>
            </w:r>
          </w:p>
        </w:tc>
        <w:tc>
          <w:tcPr>
            <w:tcW w:w="1044" w:type="dxa"/>
            <w:vAlign w:val="bottom"/>
          </w:tcPr>
          <w:p w14:paraId="301BF8DA" w14:textId="4FE94E26" w:rsidR="007F1C27" w:rsidRPr="007F1C27" w:rsidRDefault="007F1C27" w:rsidP="00061EB3">
            <w:pPr>
              <w:pStyle w:val="Source"/>
              <w:jc w:val="right"/>
              <w:rPr>
                <w:sz w:val="18"/>
                <w:szCs w:val="18"/>
              </w:rPr>
            </w:pPr>
            <w:r w:rsidRPr="007F1C27">
              <w:rPr>
                <w:sz w:val="18"/>
                <w:szCs w:val="18"/>
                <w:lang w:eastAsia="en-AU"/>
              </w:rPr>
              <w:t xml:space="preserve">1,013.3 </w:t>
            </w:r>
          </w:p>
        </w:tc>
        <w:tc>
          <w:tcPr>
            <w:tcW w:w="696" w:type="dxa"/>
            <w:vAlign w:val="bottom"/>
          </w:tcPr>
          <w:p w14:paraId="3C2693AB" w14:textId="60CF6289" w:rsidR="007F1C27" w:rsidRPr="007F1C27" w:rsidRDefault="007F1C27" w:rsidP="00061EB3">
            <w:pPr>
              <w:pStyle w:val="Source"/>
              <w:jc w:val="right"/>
              <w:rPr>
                <w:sz w:val="18"/>
                <w:szCs w:val="18"/>
              </w:rPr>
            </w:pPr>
            <w:r w:rsidRPr="007F1C27">
              <w:rPr>
                <w:sz w:val="18"/>
                <w:szCs w:val="18"/>
                <w:lang w:eastAsia="en-AU"/>
              </w:rPr>
              <w:t>6.5</w:t>
            </w:r>
          </w:p>
        </w:tc>
        <w:tc>
          <w:tcPr>
            <w:tcW w:w="808" w:type="dxa"/>
            <w:vAlign w:val="bottom"/>
          </w:tcPr>
          <w:p w14:paraId="2EFBE41C" w14:textId="267F455B" w:rsidR="007F1C27" w:rsidRPr="007F1C27" w:rsidRDefault="007F1C27" w:rsidP="00061EB3">
            <w:pPr>
              <w:pStyle w:val="Source"/>
              <w:jc w:val="right"/>
              <w:rPr>
                <w:sz w:val="18"/>
                <w:szCs w:val="18"/>
              </w:rPr>
            </w:pPr>
            <w:r w:rsidRPr="007F1C27">
              <w:rPr>
                <w:sz w:val="18"/>
                <w:szCs w:val="18"/>
                <w:lang w:eastAsia="en-AU"/>
              </w:rPr>
              <w:t xml:space="preserve">44.0 </w:t>
            </w:r>
          </w:p>
        </w:tc>
        <w:tc>
          <w:tcPr>
            <w:tcW w:w="606" w:type="dxa"/>
            <w:vAlign w:val="bottom"/>
          </w:tcPr>
          <w:p w14:paraId="106AC99C" w14:textId="09294F5D" w:rsidR="007F1C27" w:rsidRPr="007F1C27" w:rsidRDefault="007F1C27" w:rsidP="00061EB3">
            <w:pPr>
              <w:pStyle w:val="Source"/>
              <w:jc w:val="right"/>
              <w:rPr>
                <w:sz w:val="18"/>
                <w:szCs w:val="18"/>
              </w:rPr>
            </w:pPr>
            <w:r w:rsidRPr="007F1C27">
              <w:rPr>
                <w:sz w:val="18"/>
                <w:szCs w:val="18"/>
                <w:lang w:eastAsia="en-AU"/>
              </w:rPr>
              <w:t>4.5</w:t>
            </w:r>
          </w:p>
        </w:tc>
        <w:tc>
          <w:tcPr>
            <w:tcW w:w="1019" w:type="dxa"/>
            <w:vAlign w:val="bottom"/>
          </w:tcPr>
          <w:p w14:paraId="6BC52B6E" w14:textId="0C7B3A33" w:rsidR="007F1C27" w:rsidRPr="007F1C27" w:rsidRDefault="007F1C27" w:rsidP="00061EB3">
            <w:pPr>
              <w:pStyle w:val="Source"/>
              <w:jc w:val="right"/>
              <w:rPr>
                <w:sz w:val="18"/>
                <w:szCs w:val="18"/>
              </w:rPr>
            </w:pPr>
            <w:r w:rsidRPr="007F1C27">
              <w:rPr>
                <w:sz w:val="18"/>
                <w:szCs w:val="18"/>
                <w:lang w:eastAsia="en-AU"/>
              </w:rPr>
              <w:t xml:space="preserve">1,063.0 </w:t>
            </w:r>
          </w:p>
        </w:tc>
        <w:tc>
          <w:tcPr>
            <w:tcW w:w="723" w:type="dxa"/>
            <w:vAlign w:val="bottom"/>
          </w:tcPr>
          <w:p w14:paraId="061FF8ED" w14:textId="064F54CB" w:rsidR="007F1C27" w:rsidRPr="007F1C27" w:rsidRDefault="007F1C27" w:rsidP="00061EB3">
            <w:pPr>
              <w:pStyle w:val="Source"/>
              <w:jc w:val="right"/>
              <w:rPr>
                <w:sz w:val="18"/>
                <w:szCs w:val="18"/>
              </w:rPr>
            </w:pPr>
            <w:r w:rsidRPr="007F1C27">
              <w:rPr>
                <w:sz w:val="18"/>
                <w:szCs w:val="18"/>
                <w:lang w:eastAsia="en-AU"/>
              </w:rPr>
              <w:t>6.4</w:t>
            </w:r>
          </w:p>
        </w:tc>
        <w:tc>
          <w:tcPr>
            <w:tcW w:w="817" w:type="dxa"/>
            <w:vAlign w:val="bottom"/>
          </w:tcPr>
          <w:p w14:paraId="139D472F" w14:textId="11F70FC3" w:rsidR="007F1C27" w:rsidRPr="007F1C27" w:rsidRDefault="007F1C27" w:rsidP="00061EB3">
            <w:pPr>
              <w:pStyle w:val="Source"/>
              <w:jc w:val="right"/>
              <w:rPr>
                <w:sz w:val="18"/>
                <w:szCs w:val="18"/>
              </w:rPr>
            </w:pPr>
            <w:r w:rsidRPr="007F1C27">
              <w:rPr>
                <w:sz w:val="18"/>
                <w:szCs w:val="18"/>
                <w:lang w:eastAsia="en-AU"/>
              </w:rPr>
              <w:t xml:space="preserve">93.7 </w:t>
            </w:r>
          </w:p>
        </w:tc>
        <w:tc>
          <w:tcPr>
            <w:tcW w:w="600" w:type="dxa"/>
            <w:vAlign w:val="bottom"/>
          </w:tcPr>
          <w:p w14:paraId="13C09A90" w14:textId="644CB964" w:rsidR="007F1C27" w:rsidRPr="007F1C27" w:rsidRDefault="007F1C27" w:rsidP="00061EB3">
            <w:pPr>
              <w:pStyle w:val="Source"/>
              <w:jc w:val="right"/>
              <w:rPr>
                <w:sz w:val="18"/>
                <w:szCs w:val="18"/>
              </w:rPr>
            </w:pPr>
            <w:r w:rsidRPr="007F1C27">
              <w:rPr>
                <w:sz w:val="18"/>
                <w:szCs w:val="18"/>
                <w:lang w:eastAsia="en-AU"/>
              </w:rPr>
              <w:t>9.7</w:t>
            </w:r>
          </w:p>
        </w:tc>
      </w:tr>
      <w:tr w:rsidR="007F1C27" w:rsidRPr="007F1C27" w14:paraId="252506D8" w14:textId="77777777" w:rsidTr="007F1C27">
        <w:tc>
          <w:tcPr>
            <w:tcW w:w="1357" w:type="dxa"/>
            <w:vAlign w:val="bottom"/>
          </w:tcPr>
          <w:p w14:paraId="27308AC3" w14:textId="02223E29" w:rsidR="007F1C27" w:rsidRPr="007F1C27" w:rsidRDefault="007F1C27" w:rsidP="007F1C27">
            <w:pPr>
              <w:pStyle w:val="Source"/>
              <w:rPr>
                <w:sz w:val="18"/>
                <w:szCs w:val="18"/>
              </w:rPr>
            </w:pPr>
            <w:r w:rsidRPr="007F1C27">
              <w:rPr>
                <w:sz w:val="18"/>
                <w:szCs w:val="18"/>
                <w:lang w:eastAsia="en-AU"/>
              </w:rPr>
              <w:t>Western Australia</w:t>
            </w:r>
          </w:p>
        </w:tc>
        <w:tc>
          <w:tcPr>
            <w:tcW w:w="1018" w:type="dxa"/>
            <w:vAlign w:val="bottom"/>
          </w:tcPr>
          <w:p w14:paraId="0C483163" w14:textId="711CD1AB" w:rsidR="007F1C27" w:rsidRPr="007F1C27" w:rsidRDefault="007F1C27" w:rsidP="00061EB3">
            <w:pPr>
              <w:pStyle w:val="Source"/>
              <w:jc w:val="right"/>
              <w:rPr>
                <w:sz w:val="18"/>
                <w:szCs w:val="18"/>
              </w:rPr>
            </w:pPr>
            <w:r w:rsidRPr="007F1C27">
              <w:rPr>
                <w:sz w:val="18"/>
                <w:szCs w:val="18"/>
                <w:lang w:eastAsia="en-AU"/>
              </w:rPr>
              <w:t xml:space="preserve">1,674.0 </w:t>
            </w:r>
          </w:p>
        </w:tc>
        <w:tc>
          <w:tcPr>
            <w:tcW w:w="669" w:type="dxa"/>
            <w:vAlign w:val="bottom"/>
          </w:tcPr>
          <w:p w14:paraId="489B4E93" w14:textId="39473578" w:rsidR="007F1C27" w:rsidRPr="007F1C27" w:rsidRDefault="007F1C27" w:rsidP="00061EB3">
            <w:pPr>
              <w:pStyle w:val="Source"/>
              <w:jc w:val="right"/>
              <w:rPr>
                <w:sz w:val="18"/>
                <w:szCs w:val="18"/>
              </w:rPr>
            </w:pPr>
            <w:r w:rsidRPr="007F1C27">
              <w:rPr>
                <w:sz w:val="18"/>
                <w:szCs w:val="18"/>
                <w:lang w:eastAsia="en-AU"/>
              </w:rPr>
              <w:t>11.4</w:t>
            </w:r>
          </w:p>
        </w:tc>
        <w:tc>
          <w:tcPr>
            <w:tcW w:w="1044" w:type="dxa"/>
            <w:vAlign w:val="bottom"/>
          </w:tcPr>
          <w:p w14:paraId="09222C4E" w14:textId="1D044880" w:rsidR="007F1C27" w:rsidRPr="007F1C27" w:rsidRDefault="007F1C27" w:rsidP="00061EB3">
            <w:pPr>
              <w:pStyle w:val="Source"/>
              <w:jc w:val="right"/>
              <w:rPr>
                <w:sz w:val="18"/>
                <w:szCs w:val="18"/>
              </w:rPr>
            </w:pPr>
            <w:r w:rsidRPr="007F1C27">
              <w:rPr>
                <w:sz w:val="18"/>
                <w:szCs w:val="18"/>
                <w:lang w:eastAsia="en-AU"/>
              </w:rPr>
              <w:t xml:space="preserve">1,787.0 </w:t>
            </w:r>
          </w:p>
        </w:tc>
        <w:tc>
          <w:tcPr>
            <w:tcW w:w="696" w:type="dxa"/>
            <w:vAlign w:val="bottom"/>
          </w:tcPr>
          <w:p w14:paraId="7F0A6A13" w14:textId="5E99E07C" w:rsidR="007F1C27" w:rsidRPr="007F1C27" w:rsidRDefault="007F1C27" w:rsidP="00061EB3">
            <w:pPr>
              <w:pStyle w:val="Source"/>
              <w:jc w:val="right"/>
              <w:rPr>
                <w:sz w:val="18"/>
                <w:szCs w:val="18"/>
              </w:rPr>
            </w:pPr>
            <w:r w:rsidRPr="007F1C27">
              <w:rPr>
                <w:sz w:val="18"/>
                <w:szCs w:val="18"/>
                <w:lang w:eastAsia="en-AU"/>
              </w:rPr>
              <w:t>11.4</w:t>
            </w:r>
          </w:p>
        </w:tc>
        <w:tc>
          <w:tcPr>
            <w:tcW w:w="808" w:type="dxa"/>
            <w:vAlign w:val="bottom"/>
          </w:tcPr>
          <w:p w14:paraId="4D944E84" w14:textId="2499C40C" w:rsidR="007F1C27" w:rsidRPr="007F1C27" w:rsidRDefault="007F1C27" w:rsidP="00061EB3">
            <w:pPr>
              <w:pStyle w:val="Source"/>
              <w:jc w:val="right"/>
              <w:rPr>
                <w:sz w:val="18"/>
                <w:szCs w:val="18"/>
              </w:rPr>
            </w:pPr>
            <w:r w:rsidRPr="007F1C27">
              <w:rPr>
                <w:sz w:val="18"/>
                <w:szCs w:val="18"/>
                <w:lang w:eastAsia="en-AU"/>
              </w:rPr>
              <w:t xml:space="preserve">113.0 </w:t>
            </w:r>
          </w:p>
        </w:tc>
        <w:tc>
          <w:tcPr>
            <w:tcW w:w="606" w:type="dxa"/>
            <w:vAlign w:val="bottom"/>
          </w:tcPr>
          <w:p w14:paraId="4D950248" w14:textId="18ADBCE5" w:rsidR="007F1C27" w:rsidRPr="007F1C27" w:rsidRDefault="007F1C27" w:rsidP="00061EB3">
            <w:pPr>
              <w:pStyle w:val="Source"/>
              <w:jc w:val="right"/>
              <w:rPr>
                <w:sz w:val="18"/>
                <w:szCs w:val="18"/>
              </w:rPr>
            </w:pPr>
            <w:r w:rsidRPr="007F1C27">
              <w:rPr>
                <w:sz w:val="18"/>
                <w:szCs w:val="18"/>
                <w:lang w:eastAsia="en-AU"/>
              </w:rPr>
              <w:t>6.8</w:t>
            </w:r>
          </w:p>
        </w:tc>
        <w:tc>
          <w:tcPr>
            <w:tcW w:w="1019" w:type="dxa"/>
            <w:vAlign w:val="bottom"/>
          </w:tcPr>
          <w:p w14:paraId="6885664F" w14:textId="5F0A3627" w:rsidR="007F1C27" w:rsidRPr="007F1C27" w:rsidRDefault="007F1C27" w:rsidP="00061EB3">
            <w:pPr>
              <w:pStyle w:val="Source"/>
              <w:jc w:val="right"/>
              <w:rPr>
                <w:sz w:val="18"/>
                <w:szCs w:val="18"/>
              </w:rPr>
            </w:pPr>
            <w:r w:rsidRPr="007F1C27">
              <w:rPr>
                <w:sz w:val="18"/>
                <w:szCs w:val="18"/>
                <w:lang w:eastAsia="en-AU"/>
              </w:rPr>
              <w:t xml:space="preserve">1,901.4 </w:t>
            </w:r>
          </w:p>
        </w:tc>
        <w:tc>
          <w:tcPr>
            <w:tcW w:w="723" w:type="dxa"/>
            <w:vAlign w:val="bottom"/>
          </w:tcPr>
          <w:p w14:paraId="60B2E2F4" w14:textId="2BFD9931" w:rsidR="007F1C27" w:rsidRPr="007F1C27" w:rsidRDefault="007F1C27" w:rsidP="00061EB3">
            <w:pPr>
              <w:pStyle w:val="Source"/>
              <w:jc w:val="right"/>
              <w:rPr>
                <w:sz w:val="18"/>
                <w:szCs w:val="18"/>
              </w:rPr>
            </w:pPr>
            <w:r w:rsidRPr="007F1C27">
              <w:rPr>
                <w:sz w:val="18"/>
                <w:szCs w:val="18"/>
                <w:lang w:eastAsia="en-AU"/>
              </w:rPr>
              <w:t>11.4</w:t>
            </w:r>
          </w:p>
        </w:tc>
        <w:tc>
          <w:tcPr>
            <w:tcW w:w="817" w:type="dxa"/>
            <w:vAlign w:val="bottom"/>
          </w:tcPr>
          <w:p w14:paraId="49B986F4" w14:textId="5835BCE4" w:rsidR="007F1C27" w:rsidRPr="007F1C27" w:rsidRDefault="007F1C27" w:rsidP="00061EB3">
            <w:pPr>
              <w:pStyle w:val="Source"/>
              <w:jc w:val="right"/>
              <w:rPr>
                <w:sz w:val="18"/>
                <w:szCs w:val="18"/>
              </w:rPr>
            </w:pPr>
            <w:r w:rsidRPr="007F1C27">
              <w:rPr>
                <w:sz w:val="18"/>
                <w:szCs w:val="18"/>
                <w:lang w:eastAsia="en-AU"/>
              </w:rPr>
              <w:t xml:space="preserve">227.4 </w:t>
            </w:r>
          </w:p>
        </w:tc>
        <w:tc>
          <w:tcPr>
            <w:tcW w:w="600" w:type="dxa"/>
            <w:vAlign w:val="bottom"/>
          </w:tcPr>
          <w:p w14:paraId="6D7B1016" w14:textId="2B225B84" w:rsidR="007F1C27" w:rsidRPr="007F1C27" w:rsidRDefault="007F1C27" w:rsidP="00061EB3">
            <w:pPr>
              <w:pStyle w:val="Source"/>
              <w:jc w:val="right"/>
              <w:rPr>
                <w:sz w:val="18"/>
                <w:szCs w:val="18"/>
              </w:rPr>
            </w:pPr>
            <w:r w:rsidRPr="007F1C27">
              <w:rPr>
                <w:sz w:val="18"/>
                <w:szCs w:val="18"/>
                <w:lang w:eastAsia="en-AU"/>
              </w:rPr>
              <w:t>13.6</w:t>
            </w:r>
          </w:p>
        </w:tc>
      </w:tr>
      <w:tr w:rsidR="007F1C27" w:rsidRPr="007F1C27" w14:paraId="5A9F8E81" w14:textId="77777777" w:rsidTr="007F1C27">
        <w:trPr>
          <w:cnfStyle w:val="000000010000" w:firstRow="0" w:lastRow="0" w:firstColumn="0" w:lastColumn="0" w:oddVBand="0" w:evenVBand="0" w:oddHBand="0" w:evenHBand="1" w:firstRowFirstColumn="0" w:firstRowLastColumn="0" w:lastRowFirstColumn="0" w:lastRowLastColumn="0"/>
        </w:trPr>
        <w:tc>
          <w:tcPr>
            <w:tcW w:w="1357" w:type="dxa"/>
            <w:vAlign w:val="bottom"/>
          </w:tcPr>
          <w:p w14:paraId="188440D9" w14:textId="696E22F5" w:rsidR="007F1C27" w:rsidRPr="007F1C27" w:rsidRDefault="007F1C27" w:rsidP="007F1C27">
            <w:pPr>
              <w:pStyle w:val="Source"/>
              <w:rPr>
                <w:sz w:val="18"/>
                <w:szCs w:val="18"/>
              </w:rPr>
            </w:pPr>
            <w:r w:rsidRPr="007F1C27">
              <w:rPr>
                <w:sz w:val="18"/>
                <w:szCs w:val="18"/>
                <w:lang w:eastAsia="en-AU"/>
              </w:rPr>
              <w:t>Tasmania</w:t>
            </w:r>
          </w:p>
        </w:tc>
        <w:tc>
          <w:tcPr>
            <w:tcW w:w="1018" w:type="dxa"/>
            <w:vAlign w:val="bottom"/>
          </w:tcPr>
          <w:p w14:paraId="24B87709" w14:textId="4EC7939E" w:rsidR="007F1C27" w:rsidRPr="007F1C27" w:rsidRDefault="007F1C27" w:rsidP="00061EB3">
            <w:pPr>
              <w:pStyle w:val="Source"/>
              <w:jc w:val="right"/>
              <w:rPr>
                <w:sz w:val="18"/>
                <w:szCs w:val="18"/>
              </w:rPr>
            </w:pPr>
            <w:r w:rsidRPr="007F1C27">
              <w:rPr>
                <w:sz w:val="18"/>
                <w:szCs w:val="18"/>
                <w:lang w:eastAsia="en-AU"/>
              </w:rPr>
              <w:t xml:space="preserve">285.4 </w:t>
            </w:r>
          </w:p>
        </w:tc>
        <w:tc>
          <w:tcPr>
            <w:tcW w:w="669" w:type="dxa"/>
            <w:vAlign w:val="bottom"/>
          </w:tcPr>
          <w:p w14:paraId="53BB6292" w14:textId="464781AC" w:rsidR="007F1C27" w:rsidRPr="007F1C27" w:rsidRDefault="007F1C27" w:rsidP="00061EB3">
            <w:pPr>
              <w:pStyle w:val="Source"/>
              <w:jc w:val="right"/>
              <w:rPr>
                <w:sz w:val="18"/>
                <w:szCs w:val="18"/>
              </w:rPr>
            </w:pPr>
            <w:r w:rsidRPr="007F1C27">
              <w:rPr>
                <w:sz w:val="18"/>
                <w:szCs w:val="18"/>
                <w:lang w:eastAsia="en-AU"/>
              </w:rPr>
              <w:t>1.9</w:t>
            </w:r>
          </w:p>
        </w:tc>
        <w:tc>
          <w:tcPr>
            <w:tcW w:w="1044" w:type="dxa"/>
            <w:vAlign w:val="bottom"/>
          </w:tcPr>
          <w:p w14:paraId="56C14DC2" w14:textId="6B14ACE4" w:rsidR="007F1C27" w:rsidRPr="007F1C27" w:rsidRDefault="007F1C27" w:rsidP="00061EB3">
            <w:pPr>
              <w:pStyle w:val="Source"/>
              <w:jc w:val="right"/>
              <w:rPr>
                <w:sz w:val="18"/>
                <w:szCs w:val="18"/>
              </w:rPr>
            </w:pPr>
            <w:r w:rsidRPr="007F1C27">
              <w:rPr>
                <w:sz w:val="18"/>
                <w:szCs w:val="18"/>
                <w:lang w:eastAsia="en-AU"/>
              </w:rPr>
              <w:t xml:space="preserve">294.6 </w:t>
            </w:r>
          </w:p>
        </w:tc>
        <w:tc>
          <w:tcPr>
            <w:tcW w:w="696" w:type="dxa"/>
            <w:vAlign w:val="bottom"/>
          </w:tcPr>
          <w:p w14:paraId="50D0F9B2" w14:textId="241A830E" w:rsidR="007F1C27" w:rsidRPr="007F1C27" w:rsidRDefault="007F1C27" w:rsidP="00061EB3">
            <w:pPr>
              <w:pStyle w:val="Source"/>
              <w:jc w:val="right"/>
              <w:rPr>
                <w:sz w:val="18"/>
                <w:szCs w:val="18"/>
              </w:rPr>
            </w:pPr>
            <w:r w:rsidRPr="007F1C27">
              <w:rPr>
                <w:sz w:val="18"/>
                <w:szCs w:val="18"/>
                <w:lang w:eastAsia="en-AU"/>
              </w:rPr>
              <w:t>1.9</w:t>
            </w:r>
          </w:p>
        </w:tc>
        <w:tc>
          <w:tcPr>
            <w:tcW w:w="808" w:type="dxa"/>
            <w:vAlign w:val="bottom"/>
          </w:tcPr>
          <w:p w14:paraId="7C0802EB" w14:textId="4BF32A3B" w:rsidR="007F1C27" w:rsidRPr="007F1C27" w:rsidRDefault="007F1C27" w:rsidP="00061EB3">
            <w:pPr>
              <w:pStyle w:val="Source"/>
              <w:jc w:val="right"/>
              <w:rPr>
                <w:sz w:val="18"/>
                <w:szCs w:val="18"/>
              </w:rPr>
            </w:pPr>
            <w:r w:rsidRPr="007F1C27">
              <w:rPr>
                <w:sz w:val="18"/>
                <w:szCs w:val="18"/>
                <w:lang w:eastAsia="en-AU"/>
              </w:rPr>
              <w:t xml:space="preserve">9.2 </w:t>
            </w:r>
          </w:p>
        </w:tc>
        <w:tc>
          <w:tcPr>
            <w:tcW w:w="606" w:type="dxa"/>
            <w:vAlign w:val="bottom"/>
          </w:tcPr>
          <w:p w14:paraId="5A64E8BB" w14:textId="2A8B1AD1" w:rsidR="007F1C27" w:rsidRPr="007F1C27" w:rsidRDefault="007F1C27" w:rsidP="00061EB3">
            <w:pPr>
              <w:pStyle w:val="Source"/>
              <w:jc w:val="right"/>
              <w:rPr>
                <w:sz w:val="18"/>
                <w:szCs w:val="18"/>
              </w:rPr>
            </w:pPr>
            <w:r w:rsidRPr="007F1C27">
              <w:rPr>
                <w:sz w:val="18"/>
                <w:szCs w:val="18"/>
                <w:lang w:eastAsia="en-AU"/>
              </w:rPr>
              <w:t>3.2</w:t>
            </w:r>
          </w:p>
        </w:tc>
        <w:tc>
          <w:tcPr>
            <w:tcW w:w="1019" w:type="dxa"/>
            <w:vAlign w:val="bottom"/>
          </w:tcPr>
          <w:p w14:paraId="6C413568" w14:textId="041BC6C1" w:rsidR="007F1C27" w:rsidRPr="007F1C27" w:rsidRDefault="007F1C27" w:rsidP="00061EB3">
            <w:pPr>
              <w:pStyle w:val="Source"/>
              <w:jc w:val="right"/>
              <w:rPr>
                <w:sz w:val="18"/>
                <w:szCs w:val="18"/>
              </w:rPr>
            </w:pPr>
            <w:r w:rsidRPr="007F1C27">
              <w:rPr>
                <w:sz w:val="18"/>
                <w:szCs w:val="18"/>
                <w:lang w:eastAsia="en-AU"/>
              </w:rPr>
              <w:t xml:space="preserve">305.8 </w:t>
            </w:r>
          </w:p>
        </w:tc>
        <w:tc>
          <w:tcPr>
            <w:tcW w:w="723" w:type="dxa"/>
            <w:vAlign w:val="bottom"/>
          </w:tcPr>
          <w:p w14:paraId="1CAAD111" w14:textId="1D5CBA12" w:rsidR="007F1C27" w:rsidRPr="007F1C27" w:rsidRDefault="007F1C27" w:rsidP="00061EB3">
            <w:pPr>
              <w:pStyle w:val="Source"/>
              <w:jc w:val="right"/>
              <w:rPr>
                <w:sz w:val="18"/>
                <w:szCs w:val="18"/>
              </w:rPr>
            </w:pPr>
            <w:r w:rsidRPr="007F1C27">
              <w:rPr>
                <w:sz w:val="18"/>
                <w:szCs w:val="18"/>
                <w:lang w:eastAsia="en-AU"/>
              </w:rPr>
              <w:t>1.8</w:t>
            </w:r>
          </w:p>
        </w:tc>
        <w:tc>
          <w:tcPr>
            <w:tcW w:w="817" w:type="dxa"/>
            <w:vAlign w:val="bottom"/>
          </w:tcPr>
          <w:p w14:paraId="60233D6F" w14:textId="04B542ED" w:rsidR="007F1C27" w:rsidRPr="007F1C27" w:rsidRDefault="007F1C27" w:rsidP="00061EB3">
            <w:pPr>
              <w:pStyle w:val="Source"/>
              <w:jc w:val="right"/>
              <w:rPr>
                <w:sz w:val="18"/>
                <w:szCs w:val="18"/>
              </w:rPr>
            </w:pPr>
            <w:r w:rsidRPr="007F1C27">
              <w:rPr>
                <w:sz w:val="18"/>
                <w:szCs w:val="18"/>
                <w:lang w:eastAsia="en-AU"/>
              </w:rPr>
              <w:t xml:space="preserve">20.4 </w:t>
            </w:r>
          </w:p>
        </w:tc>
        <w:tc>
          <w:tcPr>
            <w:tcW w:w="600" w:type="dxa"/>
            <w:vAlign w:val="bottom"/>
          </w:tcPr>
          <w:p w14:paraId="42F8B75F" w14:textId="673D362A" w:rsidR="007F1C27" w:rsidRPr="007F1C27" w:rsidRDefault="007F1C27" w:rsidP="00061EB3">
            <w:pPr>
              <w:pStyle w:val="Source"/>
              <w:jc w:val="right"/>
              <w:rPr>
                <w:sz w:val="18"/>
                <w:szCs w:val="18"/>
              </w:rPr>
            </w:pPr>
            <w:r w:rsidRPr="007F1C27">
              <w:rPr>
                <w:sz w:val="18"/>
                <w:szCs w:val="18"/>
                <w:lang w:eastAsia="en-AU"/>
              </w:rPr>
              <w:t>7.2</w:t>
            </w:r>
          </w:p>
        </w:tc>
      </w:tr>
      <w:tr w:rsidR="007F1C27" w:rsidRPr="007F1C27" w14:paraId="6D5B2FD9" w14:textId="77777777" w:rsidTr="007F1C27">
        <w:tc>
          <w:tcPr>
            <w:tcW w:w="1357" w:type="dxa"/>
            <w:vAlign w:val="bottom"/>
          </w:tcPr>
          <w:p w14:paraId="362AC048" w14:textId="56E59469" w:rsidR="007F1C27" w:rsidRPr="007F1C27" w:rsidRDefault="007F1C27" w:rsidP="007F1C27">
            <w:pPr>
              <w:pStyle w:val="Source"/>
              <w:rPr>
                <w:sz w:val="18"/>
                <w:szCs w:val="18"/>
              </w:rPr>
            </w:pPr>
            <w:r w:rsidRPr="007F1C27">
              <w:rPr>
                <w:sz w:val="18"/>
                <w:szCs w:val="18"/>
                <w:lang w:eastAsia="en-AU"/>
              </w:rPr>
              <w:t>Northern Territory</w:t>
            </w:r>
          </w:p>
        </w:tc>
        <w:tc>
          <w:tcPr>
            <w:tcW w:w="1018" w:type="dxa"/>
            <w:vAlign w:val="bottom"/>
          </w:tcPr>
          <w:p w14:paraId="211F66B2" w14:textId="592EF396" w:rsidR="007F1C27" w:rsidRPr="007F1C27" w:rsidRDefault="007F1C27" w:rsidP="00061EB3">
            <w:pPr>
              <w:pStyle w:val="Source"/>
              <w:jc w:val="right"/>
              <w:rPr>
                <w:sz w:val="18"/>
                <w:szCs w:val="18"/>
              </w:rPr>
            </w:pPr>
            <w:r w:rsidRPr="007F1C27">
              <w:rPr>
                <w:sz w:val="18"/>
                <w:szCs w:val="18"/>
                <w:lang w:eastAsia="en-AU"/>
              </w:rPr>
              <w:t xml:space="preserve">144.2 </w:t>
            </w:r>
          </w:p>
        </w:tc>
        <w:tc>
          <w:tcPr>
            <w:tcW w:w="669" w:type="dxa"/>
            <w:vAlign w:val="bottom"/>
          </w:tcPr>
          <w:p w14:paraId="4CB37AA7" w14:textId="32C1B102" w:rsidR="007F1C27" w:rsidRPr="007F1C27" w:rsidRDefault="007F1C27" w:rsidP="00061EB3">
            <w:pPr>
              <w:pStyle w:val="Source"/>
              <w:jc w:val="right"/>
              <w:rPr>
                <w:sz w:val="18"/>
                <w:szCs w:val="18"/>
              </w:rPr>
            </w:pPr>
            <w:r w:rsidRPr="007F1C27">
              <w:rPr>
                <w:sz w:val="18"/>
                <w:szCs w:val="18"/>
                <w:lang w:eastAsia="en-AU"/>
              </w:rPr>
              <w:t>1.0</w:t>
            </w:r>
          </w:p>
        </w:tc>
        <w:tc>
          <w:tcPr>
            <w:tcW w:w="1044" w:type="dxa"/>
            <w:vAlign w:val="bottom"/>
          </w:tcPr>
          <w:p w14:paraId="1C753728" w14:textId="48D5EFCD" w:rsidR="007F1C27" w:rsidRPr="007F1C27" w:rsidRDefault="007F1C27" w:rsidP="00061EB3">
            <w:pPr>
              <w:pStyle w:val="Source"/>
              <w:jc w:val="right"/>
              <w:rPr>
                <w:sz w:val="18"/>
                <w:szCs w:val="18"/>
              </w:rPr>
            </w:pPr>
            <w:r w:rsidRPr="007F1C27">
              <w:rPr>
                <w:sz w:val="18"/>
                <w:szCs w:val="18"/>
                <w:lang w:eastAsia="en-AU"/>
              </w:rPr>
              <w:t xml:space="preserve">149.9 </w:t>
            </w:r>
          </w:p>
        </w:tc>
        <w:tc>
          <w:tcPr>
            <w:tcW w:w="696" w:type="dxa"/>
            <w:vAlign w:val="bottom"/>
          </w:tcPr>
          <w:p w14:paraId="57D1AEE1" w14:textId="61D6D8D2" w:rsidR="007F1C27" w:rsidRPr="007F1C27" w:rsidRDefault="007F1C27" w:rsidP="00061EB3">
            <w:pPr>
              <w:pStyle w:val="Source"/>
              <w:jc w:val="right"/>
              <w:rPr>
                <w:sz w:val="18"/>
                <w:szCs w:val="18"/>
              </w:rPr>
            </w:pPr>
            <w:r w:rsidRPr="007F1C27">
              <w:rPr>
                <w:sz w:val="18"/>
                <w:szCs w:val="18"/>
                <w:lang w:eastAsia="en-AU"/>
              </w:rPr>
              <w:t>1.0</w:t>
            </w:r>
          </w:p>
        </w:tc>
        <w:tc>
          <w:tcPr>
            <w:tcW w:w="808" w:type="dxa"/>
            <w:vAlign w:val="bottom"/>
          </w:tcPr>
          <w:p w14:paraId="222ED42B" w14:textId="2A41EED4" w:rsidR="007F1C27" w:rsidRPr="007F1C27" w:rsidRDefault="007F1C27" w:rsidP="00061EB3">
            <w:pPr>
              <w:pStyle w:val="Source"/>
              <w:jc w:val="right"/>
              <w:rPr>
                <w:sz w:val="18"/>
                <w:szCs w:val="18"/>
              </w:rPr>
            </w:pPr>
            <w:r w:rsidRPr="007F1C27">
              <w:rPr>
                <w:sz w:val="18"/>
                <w:szCs w:val="18"/>
                <w:lang w:eastAsia="en-AU"/>
              </w:rPr>
              <w:t xml:space="preserve">5.7 </w:t>
            </w:r>
          </w:p>
        </w:tc>
        <w:tc>
          <w:tcPr>
            <w:tcW w:w="606" w:type="dxa"/>
            <w:vAlign w:val="bottom"/>
          </w:tcPr>
          <w:p w14:paraId="798E34B5" w14:textId="031ACC39" w:rsidR="007F1C27" w:rsidRPr="007F1C27" w:rsidRDefault="007F1C27" w:rsidP="00061EB3">
            <w:pPr>
              <w:pStyle w:val="Source"/>
              <w:jc w:val="right"/>
              <w:rPr>
                <w:sz w:val="18"/>
                <w:szCs w:val="18"/>
              </w:rPr>
            </w:pPr>
            <w:r w:rsidRPr="007F1C27">
              <w:rPr>
                <w:sz w:val="18"/>
                <w:szCs w:val="18"/>
                <w:lang w:eastAsia="en-AU"/>
              </w:rPr>
              <w:t>3.9</w:t>
            </w:r>
          </w:p>
        </w:tc>
        <w:tc>
          <w:tcPr>
            <w:tcW w:w="1019" w:type="dxa"/>
            <w:vAlign w:val="bottom"/>
          </w:tcPr>
          <w:p w14:paraId="5F8901B5" w14:textId="03FC21E5" w:rsidR="007F1C27" w:rsidRPr="007F1C27" w:rsidRDefault="007F1C27" w:rsidP="00061EB3">
            <w:pPr>
              <w:pStyle w:val="Source"/>
              <w:jc w:val="right"/>
              <w:rPr>
                <w:sz w:val="18"/>
                <w:szCs w:val="18"/>
              </w:rPr>
            </w:pPr>
            <w:r w:rsidRPr="007F1C27">
              <w:rPr>
                <w:sz w:val="18"/>
                <w:szCs w:val="18"/>
                <w:lang w:eastAsia="en-AU"/>
              </w:rPr>
              <w:t xml:space="preserve">157.3 </w:t>
            </w:r>
          </w:p>
        </w:tc>
        <w:tc>
          <w:tcPr>
            <w:tcW w:w="723" w:type="dxa"/>
            <w:vAlign w:val="bottom"/>
          </w:tcPr>
          <w:p w14:paraId="261363A2" w14:textId="5731D0CE" w:rsidR="007F1C27" w:rsidRPr="007F1C27" w:rsidRDefault="007F1C27" w:rsidP="00061EB3">
            <w:pPr>
              <w:pStyle w:val="Source"/>
              <w:jc w:val="right"/>
              <w:rPr>
                <w:sz w:val="18"/>
                <w:szCs w:val="18"/>
              </w:rPr>
            </w:pPr>
            <w:r w:rsidRPr="007F1C27">
              <w:rPr>
                <w:sz w:val="18"/>
                <w:szCs w:val="18"/>
                <w:lang w:eastAsia="en-AU"/>
              </w:rPr>
              <w:t>0.9</w:t>
            </w:r>
          </w:p>
        </w:tc>
        <w:tc>
          <w:tcPr>
            <w:tcW w:w="817" w:type="dxa"/>
            <w:vAlign w:val="bottom"/>
          </w:tcPr>
          <w:p w14:paraId="50E20063" w14:textId="6569567B" w:rsidR="007F1C27" w:rsidRPr="007F1C27" w:rsidRDefault="007F1C27" w:rsidP="00061EB3">
            <w:pPr>
              <w:pStyle w:val="Source"/>
              <w:jc w:val="right"/>
              <w:rPr>
                <w:sz w:val="18"/>
                <w:szCs w:val="18"/>
              </w:rPr>
            </w:pPr>
            <w:r w:rsidRPr="007F1C27">
              <w:rPr>
                <w:sz w:val="18"/>
                <w:szCs w:val="18"/>
                <w:lang w:eastAsia="en-AU"/>
              </w:rPr>
              <w:t xml:space="preserve">13.1 </w:t>
            </w:r>
          </w:p>
        </w:tc>
        <w:tc>
          <w:tcPr>
            <w:tcW w:w="600" w:type="dxa"/>
            <w:vAlign w:val="bottom"/>
          </w:tcPr>
          <w:p w14:paraId="0935BB32" w14:textId="2C37A820" w:rsidR="007F1C27" w:rsidRPr="007F1C27" w:rsidRDefault="007F1C27" w:rsidP="00061EB3">
            <w:pPr>
              <w:pStyle w:val="Source"/>
              <w:jc w:val="right"/>
              <w:rPr>
                <w:sz w:val="18"/>
                <w:szCs w:val="18"/>
              </w:rPr>
            </w:pPr>
            <w:r w:rsidRPr="007F1C27">
              <w:rPr>
                <w:sz w:val="18"/>
                <w:szCs w:val="18"/>
                <w:lang w:eastAsia="en-AU"/>
              </w:rPr>
              <w:t>9.1</w:t>
            </w:r>
          </w:p>
        </w:tc>
      </w:tr>
      <w:tr w:rsidR="007F1C27" w:rsidRPr="007F1C27" w14:paraId="4B787B74" w14:textId="77777777" w:rsidTr="007F1C27">
        <w:trPr>
          <w:cnfStyle w:val="000000010000" w:firstRow="0" w:lastRow="0" w:firstColumn="0" w:lastColumn="0" w:oddVBand="0" w:evenVBand="0" w:oddHBand="0" w:evenHBand="1" w:firstRowFirstColumn="0" w:firstRowLastColumn="0" w:lastRowFirstColumn="0" w:lastRowLastColumn="0"/>
        </w:trPr>
        <w:tc>
          <w:tcPr>
            <w:tcW w:w="1357" w:type="dxa"/>
            <w:vAlign w:val="bottom"/>
          </w:tcPr>
          <w:p w14:paraId="5E478AFF" w14:textId="3170B191" w:rsidR="007F1C27" w:rsidRPr="007F1C27" w:rsidRDefault="007F1C27" w:rsidP="007F1C27">
            <w:pPr>
              <w:pStyle w:val="Source"/>
              <w:rPr>
                <w:sz w:val="18"/>
                <w:szCs w:val="18"/>
              </w:rPr>
            </w:pPr>
            <w:r w:rsidRPr="007F1C27">
              <w:rPr>
                <w:sz w:val="18"/>
                <w:szCs w:val="18"/>
                <w:lang w:eastAsia="en-AU"/>
              </w:rPr>
              <w:t>Australian Capital Territory</w:t>
            </w:r>
          </w:p>
        </w:tc>
        <w:tc>
          <w:tcPr>
            <w:tcW w:w="1018" w:type="dxa"/>
            <w:vAlign w:val="bottom"/>
          </w:tcPr>
          <w:p w14:paraId="79AC3984" w14:textId="277508CE" w:rsidR="007F1C27" w:rsidRPr="007F1C27" w:rsidRDefault="007F1C27" w:rsidP="00061EB3">
            <w:pPr>
              <w:pStyle w:val="Source"/>
              <w:jc w:val="right"/>
              <w:rPr>
                <w:sz w:val="18"/>
                <w:szCs w:val="18"/>
              </w:rPr>
            </w:pPr>
            <w:r w:rsidRPr="007F1C27">
              <w:rPr>
                <w:sz w:val="18"/>
                <w:szCs w:val="18"/>
                <w:lang w:eastAsia="en-AU"/>
              </w:rPr>
              <w:t xml:space="preserve">273.6 </w:t>
            </w:r>
          </w:p>
        </w:tc>
        <w:tc>
          <w:tcPr>
            <w:tcW w:w="669" w:type="dxa"/>
            <w:vAlign w:val="bottom"/>
          </w:tcPr>
          <w:p w14:paraId="5F2777D5" w14:textId="4F3B3481" w:rsidR="007F1C27" w:rsidRPr="007F1C27" w:rsidRDefault="007F1C27" w:rsidP="00061EB3">
            <w:pPr>
              <w:pStyle w:val="Source"/>
              <w:jc w:val="right"/>
              <w:rPr>
                <w:sz w:val="18"/>
                <w:szCs w:val="18"/>
              </w:rPr>
            </w:pPr>
            <w:r w:rsidRPr="007F1C27">
              <w:rPr>
                <w:sz w:val="18"/>
                <w:szCs w:val="18"/>
                <w:lang w:eastAsia="en-AU"/>
              </w:rPr>
              <w:t>1.9</w:t>
            </w:r>
          </w:p>
        </w:tc>
        <w:tc>
          <w:tcPr>
            <w:tcW w:w="1044" w:type="dxa"/>
            <w:vAlign w:val="bottom"/>
          </w:tcPr>
          <w:p w14:paraId="082D2264" w14:textId="74FC4481" w:rsidR="007F1C27" w:rsidRPr="007F1C27" w:rsidRDefault="007F1C27" w:rsidP="00061EB3">
            <w:pPr>
              <w:pStyle w:val="Source"/>
              <w:jc w:val="right"/>
              <w:rPr>
                <w:sz w:val="18"/>
                <w:szCs w:val="18"/>
              </w:rPr>
            </w:pPr>
            <w:r w:rsidRPr="007F1C27">
              <w:rPr>
                <w:sz w:val="18"/>
                <w:szCs w:val="18"/>
                <w:lang w:eastAsia="en-AU"/>
              </w:rPr>
              <w:t xml:space="preserve">295.8 </w:t>
            </w:r>
          </w:p>
        </w:tc>
        <w:tc>
          <w:tcPr>
            <w:tcW w:w="696" w:type="dxa"/>
            <w:vAlign w:val="bottom"/>
          </w:tcPr>
          <w:p w14:paraId="468CFB0B" w14:textId="18105326" w:rsidR="007F1C27" w:rsidRPr="007F1C27" w:rsidRDefault="007F1C27" w:rsidP="00061EB3">
            <w:pPr>
              <w:pStyle w:val="Source"/>
              <w:jc w:val="right"/>
              <w:rPr>
                <w:sz w:val="18"/>
                <w:szCs w:val="18"/>
              </w:rPr>
            </w:pPr>
            <w:r w:rsidRPr="007F1C27">
              <w:rPr>
                <w:sz w:val="18"/>
                <w:szCs w:val="18"/>
                <w:lang w:eastAsia="en-AU"/>
              </w:rPr>
              <w:t>1.9</w:t>
            </w:r>
          </w:p>
        </w:tc>
        <w:tc>
          <w:tcPr>
            <w:tcW w:w="808" w:type="dxa"/>
            <w:vAlign w:val="bottom"/>
          </w:tcPr>
          <w:p w14:paraId="2987AEFD" w14:textId="0B3B5390" w:rsidR="007F1C27" w:rsidRPr="007F1C27" w:rsidRDefault="007F1C27" w:rsidP="00061EB3">
            <w:pPr>
              <w:pStyle w:val="Source"/>
              <w:jc w:val="right"/>
              <w:rPr>
                <w:sz w:val="18"/>
                <w:szCs w:val="18"/>
              </w:rPr>
            </w:pPr>
            <w:r w:rsidRPr="007F1C27">
              <w:rPr>
                <w:sz w:val="18"/>
                <w:szCs w:val="18"/>
                <w:lang w:eastAsia="en-AU"/>
              </w:rPr>
              <w:t xml:space="preserve">22.3 </w:t>
            </w:r>
          </w:p>
        </w:tc>
        <w:tc>
          <w:tcPr>
            <w:tcW w:w="606" w:type="dxa"/>
            <w:vAlign w:val="bottom"/>
          </w:tcPr>
          <w:p w14:paraId="5550D928" w14:textId="1A908FB3" w:rsidR="007F1C27" w:rsidRPr="007F1C27" w:rsidRDefault="007F1C27" w:rsidP="00061EB3">
            <w:pPr>
              <w:pStyle w:val="Source"/>
              <w:jc w:val="right"/>
              <w:rPr>
                <w:sz w:val="18"/>
                <w:szCs w:val="18"/>
              </w:rPr>
            </w:pPr>
            <w:r w:rsidRPr="007F1C27">
              <w:rPr>
                <w:sz w:val="18"/>
                <w:szCs w:val="18"/>
                <w:lang w:eastAsia="en-AU"/>
              </w:rPr>
              <w:t>8.1</w:t>
            </w:r>
          </w:p>
        </w:tc>
        <w:tc>
          <w:tcPr>
            <w:tcW w:w="1019" w:type="dxa"/>
            <w:vAlign w:val="bottom"/>
          </w:tcPr>
          <w:p w14:paraId="19A7A4AE" w14:textId="1FEE3372" w:rsidR="007F1C27" w:rsidRPr="007F1C27" w:rsidRDefault="007F1C27" w:rsidP="00061EB3">
            <w:pPr>
              <w:pStyle w:val="Source"/>
              <w:jc w:val="right"/>
              <w:rPr>
                <w:sz w:val="18"/>
                <w:szCs w:val="18"/>
              </w:rPr>
            </w:pPr>
            <w:r w:rsidRPr="007F1C27">
              <w:rPr>
                <w:sz w:val="18"/>
                <w:szCs w:val="18"/>
                <w:lang w:eastAsia="en-AU"/>
              </w:rPr>
              <w:t xml:space="preserve">315.5 </w:t>
            </w:r>
          </w:p>
        </w:tc>
        <w:tc>
          <w:tcPr>
            <w:tcW w:w="723" w:type="dxa"/>
            <w:vAlign w:val="bottom"/>
          </w:tcPr>
          <w:p w14:paraId="4F65762F" w14:textId="5F5181FA" w:rsidR="007F1C27" w:rsidRPr="007F1C27" w:rsidRDefault="007F1C27" w:rsidP="00061EB3">
            <w:pPr>
              <w:pStyle w:val="Source"/>
              <w:jc w:val="right"/>
              <w:rPr>
                <w:sz w:val="18"/>
                <w:szCs w:val="18"/>
              </w:rPr>
            </w:pPr>
            <w:r w:rsidRPr="007F1C27">
              <w:rPr>
                <w:sz w:val="18"/>
                <w:szCs w:val="18"/>
                <w:lang w:eastAsia="en-AU"/>
              </w:rPr>
              <w:t>1.9</w:t>
            </w:r>
          </w:p>
        </w:tc>
        <w:tc>
          <w:tcPr>
            <w:tcW w:w="817" w:type="dxa"/>
            <w:vAlign w:val="bottom"/>
          </w:tcPr>
          <w:p w14:paraId="0273D427" w14:textId="378B326E" w:rsidR="007F1C27" w:rsidRPr="007F1C27" w:rsidRDefault="007F1C27" w:rsidP="00061EB3">
            <w:pPr>
              <w:pStyle w:val="Source"/>
              <w:jc w:val="right"/>
              <w:rPr>
                <w:sz w:val="18"/>
                <w:szCs w:val="18"/>
              </w:rPr>
            </w:pPr>
            <w:r w:rsidRPr="007F1C27">
              <w:rPr>
                <w:sz w:val="18"/>
                <w:szCs w:val="18"/>
                <w:lang w:eastAsia="en-AU"/>
              </w:rPr>
              <w:t xml:space="preserve">41.9 </w:t>
            </w:r>
          </w:p>
        </w:tc>
        <w:tc>
          <w:tcPr>
            <w:tcW w:w="600" w:type="dxa"/>
            <w:vAlign w:val="bottom"/>
          </w:tcPr>
          <w:p w14:paraId="309E7EF0" w14:textId="79BD5A26" w:rsidR="007F1C27" w:rsidRPr="007F1C27" w:rsidRDefault="007F1C27" w:rsidP="00061EB3">
            <w:pPr>
              <w:pStyle w:val="Source"/>
              <w:jc w:val="right"/>
              <w:rPr>
                <w:sz w:val="18"/>
                <w:szCs w:val="18"/>
              </w:rPr>
            </w:pPr>
            <w:r w:rsidRPr="007F1C27">
              <w:rPr>
                <w:sz w:val="18"/>
                <w:szCs w:val="18"/>
                <w:lang w:eastAsia="en-AU"/>
              </w:rPr>
              <w:t>15.3</w:t>
            </w:r>
          </w:p>
        </w:tc>
      </w:tr>
      <w:tr w:rsidR="007F1C27" w:rsidRPr="007F1C27" w14:paraId="51106EA0" w14:textId="77777777" w:rsidTr="007F1C27">
        <w:tc>
          <w:tcPr>
            <w:tcW w:w="1357" w:type="dxa"/>
            <w:vAlign w:val="bottom"/>
          </w:tcPr>
          <w:p w14:paraId="6824FFCF" w14:textId="3AC99BDC" w:rsidR="007F1C27" w:rsidRPr="007F1C27" w:rsidRDefault="007F1C27" w:rsidP="007F1C27">
            <w:pPr>
              <w:pStyle w:val="Source"/>
              <w:rPr>
                <w:sz w:val="18"/>
                <w:szCs w:val="18"/>
              </w:rPr>
            </w:pPr>
            <w:r w:rsidRPr="007F1C27">
              <w:rPr>
                <w:sz w:val="18"/>
                <w:szCs w:val="18"/>
                <w:lang w:eastAsia="en-AU"/>
              </w:rPr>
              <w:t>Australia</w:t>
            </w:r>
          </w:p>
        </w:tc>
        <w:tc>
          <w:tcPr>
            <w:tcW w:w="1018" w:type="dxa"/>
            <w:vAlign w:val="bottom"/>
          </w:tcPr>
          <w:p w14:paraId="6E768CE6" w14:textId="69F3C883" w:rsidR="007F1C27" w:rsidRPr="007F1C27" w:rsidRDefault="007F1C27" w:rsidP="00061EB3">
            <w:pPr>
              <w:pStyle w:val="Source"/>
              <w:jc w:val="right"/>
              <w:rPr>
                <w:sz w:val="18"/>
                <w:szCs w:val="18"/>
              </w:rPr>
            </w:pPr>
            <w:r w:rsidRPr="007F1C27">
              <w:rPr>
                <w:sz w:val="18"/>
                <w:szCs w:val="18"/>
                <w:lang w:eastAsia="en-AU"/>
              </w:rPr>
              <w:t xml:space="preserve">14,701.0 </w:t>
            </w:r>
          </w:p>
        </w:tc>
        <w:tc>
          <w:tcPr>
            <w:tcW w:w="669" w:type="dxa"/>
            <w:vAlign w:val="bottom"/>
          </w:tcPr>
          <w:p w14:paraId="5508588D" w14:textId="3077885E" w:rsidR="007F1C27" w:rsidRPr="007F1C27" w:rsidRDefault="007F1C27" w:rsidP="00061EB3">
            <w:pPr>
              <w:pStyle w:val="Source"/>
              <w:jc w:val="right"/>
              <w:rPr>
                <w:sz w:val="18"/>
                <w:szCs w:val="18"/>
              </w:rPr>
            </w:pPr>
            <w:r w:rsidRPr="007F1C27">
              <w:rPr>
                <w:sz w:val="18"/>
                <w:szCs w:val="18"/>
                <w:lang w:eastAsia="en-AU"/>
              </w:rPr>
              <w:t>n</w:t>
            </w:r>
            <w:r w:rsidRPr="007F1C27">
              <w:rPr>
                <w:sz w:val="18"/>
                <w:szCs w:val="18"/>
              </w:rPr>
              <w:t>/</w:t>
            </w:r>
            <w:r w:rsidRPr="007F1C27">
              <w:rPr>
                <w:sz w:val="18"/>
                <w:szCs w:val="18"/>
                <w:lang w:eastAsia="en-AU"/>
              </w:rPr>
              <w:t>a</w:t>
            </w:r>
          </w:p>
        </w:tc>
        <w:tc>
          <w:tcPr>
            <w:tcW w:w="1044" w:type="dxa"/>
            <w:vAlign w:val="bottom"/>
          </w:tcPr>
          <w:p w14:paraId="3C3A02F2" w14:textId="384FDB3D" w:rsidR="007F1C27" w:rsidRPr="007F1C27" w:rsidRDefault="007F1C27" w:rsidP="00061EB3">
            <w:pPr>
              <w:pStyle w:val="Source"/>
              <w:jc w:val="right"/>
              <w:rPr>
                <w:sz w:val="18"/>
                <w:szCs w:val="18"/>
              </w:rPr>
            </w:pPr>
            <w:r w:rsidRPr="007F1C27">
              <w:rPr>
                <w:sz w:val="18"/>
                <w:szCs w:val="18"/>
                <w:lang w:eastAsia="en-AU"/>
              </w:rPr>
              <w:t xml:space="preserve">15,662.0 </w:t>
            </w:r>
          </w:p>
        </w:tc>
        <w:tc>
          <w:tcPr>
            <w:tcW w:w="696" w:type="dxa"/>
            <w:vAlign w:val="bottom"/>
          </w:tcPr>
          <w:p w14:paraId="188FE312" w14:textId="455113FC" w:rsidR="007F1C27" w:rsidRPr="007F1C27" w:rsidRDefault="007F1C27" w:rsidP="00061EB3">
            <w:pPr>
              <w:pStyle w:val="Source"/>
              <w:jc w:val="right"/>
              <w:rPr>
                <w:sz w:val="18"/>
                <w:szCs w:val="18"/>
              </w:rPr>
            </w:pPr>
            <w:r w:rsidRPr="007F1C27">
              <w:rPr>
                <w:sz w:val="18"/>
                <w:szCs w:val="18"/>
                <w:lang w:eastAsia="en-AU"/>
              </w:rPr>
              <w:t>n</w:t>
            </w:r>
            <w:r w:rsidRPr="007F1C27">
              <w:rPr>
                <w:sz w:val="18"/>
                <w:szCs w:val="18"/>
              </w:rPr>
              <w:t>/</w:t>
            </w:r>
            <w:r w:rsidRPr="007F1C27">
              <w:rPr>
                <w:sz w:val="18"/>
                <w:szCs w:val="18"/>
                <w:lang w:eastAsia="en-AU"/>
              </w:rPr>
              <w:t>a</w:t>
            </w:r>
          </w:p>
        </w:tc>
        <w:tc>
          <w:tcPr>
            <w:tcW w:w="808" w:type="dxa"/>
            <w:vAlign w:val="bottom"/>
          </w:tcPr>
          <w:p w14:paraId="6306E541" w14:textId="72E36E00" w:rsidR="007F1C27" w:rsidRPr="007F1C27" w:rsidRDefault="007F1C27" w:rsidP="00061EB3">
            <w:pPr>
              <w:pStyle w:val="Source"/>
              <w:jc w:val="right"/>
              <w:rPr>
                <w:sz w:val="18"/>
                <w:szCs w:val="18"/>
              </w:rPr>
            </w:pPr>
            <w:r w:rsidRPr="007F1C27">
              <w:rPr>
                <w:sz w:val="18"/>
                <w:szCs w:val="18"/>
                <w:lang w:eastAsia="en-AU"/>
              </w:rPr>
              <w:t xml:space="preserve">961.0 </w:t>
            </w:r>
          </w:p>
        </w:tc>
        <w:tc>
          <w:tcPr>
            <w:tcW w:w="606" w:type="dxa"/>
            <w:vAlign w:val="bottom"/>
          </w:tcPr>
          <w:p w14:paraId="1A95E5E7" w14:textId="0739ACD2" w:rsidR="007F1C27" w:rsidRPr="007F1C27" w:rsidRDefault="007F1C27" w:rsidP="00061EB3">
            <w:pPr>
              <w:pStyle w:val="Source"/>
              <w:jc w:val="right"/>
              <w:rPr>
                <w:sz w:val="18"/>
                <w:szCs w:val="18"/>
              </w:rPr>
            </w:pPr>
            <w:r w:rsidRPr="007F1C27">
              <w:rPr>
                <w:sz w:val="18"/>
                <w:szCs w:val="18"/>
                <w:lang w:eastAsia="en-AU"/>
              </w:rPr>
              <w:t>6.5</w:t>
            </w:r>
          </w:p>
        </w:tc>
        <w:tc>
          <w:tcPr>
            <w:tcW w:w="1019" w:type="dxa"/>
            <w:vAlign w:val="bottom"/>
          </w:tcPr>
          <w:p w14:paraId="03A188FE" w14:textId="1BFE85D6" w:rsidR="007F1C27" w:rsidRPr="007F1C27" w:rsidRDefault="007F1C27" w:rsidP="00061EB3">
            <w:pPr>
              <w:pStyle w:val="Source"/>
              <w:jc w:val="right"/>
              <w:rPr>
                <w:sz w:val="18"/>
                <w:szCs w:val="18"/>
              </w:rPr>
            </w:pPr>
            <w:r w:rsidRPr="007F1C27">
              <w:rPr>
                <w:sz w:val="18"/>
                <w:szCs w:val="18"/>
                <w:lang w:eastAsia="en-AU"/>
              </w:rPr>
              <w:t xml:space="preserve">16,655.5 </w:t>
            </w:r>
          </w:p>
        </w:tc>
        <w:tc>
          <w:tcPr>
            <w:tcW w:w="723" w:type="dxa"/>
            <w:vAlign w:val="bottom"/>
          </w:tcPr>
          <w:p w14:paraId="671122FB" w14:textId="3F1C82D1" w:rsidR="007F1C27" w:rsidRPr="007F1C27" w:rsidRDefault="007F1C27" w:rsidP="00061EB3">
            <w:pPr>
              <w:pStyle w:val="Source"/>
              <w:jc w:val="right"/>
              <w:rPr>
                <w:sz w:val="18"/>
                <w:szCs w:val="18"/>
              </w:rPr>
            </w:pPr>
            <w:r w:rsidRPr="007F1C27">
              <w:rPr>
                <w:sz w:val="18"/>
                <w:szCs w:val="18"/>
                <w:lang w:eastAsia="en-AU"/>
              </w:rPr>
              <w:t>n</w:t>
            </w:r>
            <w:r w:rsidRPr="007F1C27">
              <w:rPr>
                <w:sz w:val="18"/>
                <w:szCs w:val="18"/>
              </w:rPr>
              <w:t>/</w:t>
            </w:r>
            <w:r w:rsidRPr="007F1C27">
              <w:rPr>
                <w:sz w:val="18"/>
                <w:szCs w:val="18"/>
                <w:lang w:eastAsia="en-AU"/>
              </w:rPr>
              <w:t>a</w:t>
            </w:r>
          </w:p>
        </w:tc>
        <w:tc>
          <w:tcPr>
            <w:tcW w:w="817" w:type="dxa"/>
            <w:vAlign w:val="bottom"/>
          </w:tcPr>
          <w:p w14:paraId="1777E58E" w14:textId="1E3C15AA" w:rsidR="007F1C27" w:rsidRPr="007F1C27" w:rsidRDefault="007F1C27" w:rsidP="00061EB3">
            <w:pPr>
              <w:pStyle w:val="Source"/>
              <w:jc w:val="right"/>
              <w:rPr>
                <w:sz w:val="18"/>
                <w:szCs w:val="18"/>
              </w:rPr>
            </w:pPr>
            <w:r w:rsidRPr="007F1C27">
              <w:rPr>
                <w:sz w:val="18"/>
                <w:szCs w:val="18"/>
                <w:lang w:eastAsia="en-AU"/>
              </w:rPr>
              <w:t xml:space="preserve">1,954.5 </w:t>
            </w:r>
          </w:p>
        </w:tc>
        <w:tc>
          <w:tcPr>
            <w:tcW w:w="600" w:type="dxa"/>
            <w:vAlign w:val="bottom"/>
          </w:tcPr>
          <w:p w14:paraId="6DAE416A" w14:textId="68BF6967" w:rsidR="007F1C27" w:rsidRPr="007F1C27" w:rsidRDefault="007F1C27" w:rsidP="00061EB3">
            <w:pPr>
              <w:pStyle w:val="Source"/>
              <w:jc w:val="right"/>
              <w:rPr>
                <w:sz w:val="18"/>
                <w:szCs w:val="18"/>
              </w:rPr>
            </w:pPr>
            <w:r w:rsidRPr="007F1C27">
              <w:rPr>
                <w:sz w:val="18"/>
                <w:szCs w:val="18"/>
                <w:lang w:eastAsia="en-AU"/>
              </w:rPr>
              <w:t>13.3</w:t>
            </w:r>
          </w:p>
        </w:tc>
      </w:tr>
    </w:tbl>
    <w:p w14:paraId="00CD891A" w14:textId="3B82EDF6" w:rsidR="0026252C" w:rsidRPr="00081C05" w:rsidRDefault="0026252C" w:rsidP="0026252C">
      <w:pPr>
        <w:pStyle w:val="Source"/>
      </w:pPr>
      <w:r w:rsidRPr="00081C05">
        <w:t>Source: 202</w:t>
      </w:r>
      <w:r>
        <w:t>5</w:t>
      </w:r>
      <w:r w:rsidRPr="00081C05">
        <w:t>-203</w:t>
      </w:r>
      <w:r>
        <w:t>5</w:t>
      </w:r>
      <w:r w:rsidRPr="00081C05">
        <w:t xml:space="preserve"> Employment Projections, produced by </w:t>
      </w:r>
      <w:r w:rsidR="00634691">
        <w:t>VU</w:t>
      </w:r>
      <w:r w:rsidRPr="00081C05">
        <w:t xml:space="preserve"> for </w:t>
      </w:r>
      <w:r>
        <w:t>JSA.</w:t>
      </w:r>
    </w:p>
    <w:p w14:paraId="48B352ED" w14:textId="0618F85C" w:rsidR="00CC17BD" w:rsidRPr="00543766" w:rsidRDefault="00946AE3" w:rsidP="00543766">
      <w:pPr>
        <w:pStyle w:val="Source"/>
      </w:pPr>
      <w:r>
        <w:t>Note: Emp't Is the abbreviation for 'Employment'.</w:t>
      </w:r>
    </w:p>
    <w:p w14:paraId="6F608C6D" w14:textId="68E8B697" w:rsidR="00543766" w:rsidRDefault="0067444C" w:rsidP="00543766">
      <w:pPr>
        <w:pStyle w:val="Caption"/>
      </w:pPr>
      <w:r>
        <w:t xml:space="preserve">Table </w:t>
      </w:r>
      <w:r w:rsidR="001B151E">
        <w:fldChar w:fldCharType="begin"/>
      </w:r>
      <w:r w:rsidR="001B151E">
        <w:instrText xml:space="preserve"> SEQ Table \* ARABIC </w:instrText>
      </w:r>
      <w:r w:rsidR="001B151E">
        <w:fldChar w:fldCharType="separate"/>
      </w:r>
      <w:r w:rsidR="009E6E1D">
        <w:rPr>
          <w:noProof/>
        </w:rPr>
        <w:t>11</w:t>
      </w:r>
      <w:r w:rsidR="001B151E">
        <w:fldChar w:fldCharType="end"/>
      </w:r>
      <w:r>
        <w:t xml:space="preserve">: </w:t>
      </w:r>
      <w:r w:rsidRPr="005821C5">
        <w:t>Projected employment growth over the next 5 and 10 years, by skill level</w:t>
      </w:r>
      <w:r>
        <w:t xml:space="preserve">, Australia </w:t>
      </w:r>
    </w:p>
    <w:tbl>
      <w:tblPr>
        <w:tblStyle w:val="CustomTablebasic"/>
        <w:tblW w:w="0" w:type="auto"/>
        <w:tblBorders>
          <w:top w:val="single" w:sz="4" w:space="0" w:color="4B0985" w:themeColor="text2"/>
          <w:left w:val="single" w:sz="4" w:space="0" w:color="4B0985" w:themeColor="text2"/>
          <w:bottom w:val="single" w:sz="4" w:space="0" w:color="4B0985" w:themeColor="text2"/>
          <w:right w:val="single" w:sz="4" w:space="0" w:color="4B0985" w:themeColor="text2"/>
          <w:insideH w:val="single" w:sz="4" w:space="0" w:color="4B0985" w:themeColor="text2"/>
          <w:insideV w:val="single" w:sz="4" w:space="0" w:color="4B0985" w:themeColor="text2"/>
        </w:tblBorders>
        <w:tblLook w:val="04A0" w:firstRow="1" w:lastRow="0" w:firstColumn="1" w:lastColumn="0" w:noHBand="0" w:noVBand="1"/>
      </w:tblPr>
      <w:tblGrid>
        <w:gridCol w:w="1357"/>
        <w:gridCol w:w="1018"/>
        <w:gridCol w:w="669"/>
        <w:gridCol w:w="1044"/>
        <w:gridCol w:w="696"/>
        <w:gridCol w:w="808"/>
        <w:gridCol w:w="606"/>
        <w:gridCol w:w="1019"/>
        <w:gridCol w:w="723"/>
        <w:gridCol w:w="817"/>
        <w:gridCol w:w="600"/>
      </w:tblGrid>
      <w:tr w:rsidR="00543766" w:rsidRPr="007F1C27" w14:paraId="629B8318" w14:textId="77777777" w:rsidTr="00E27623">
        <w:trPr>
          <w:cnfStyle w:val="100000000000" w:firstRow="1" w:lastRow="0" w:firstColumn="0" w:lastColumn="0" w:oddVBand="0" w:evenVBand="0" w:oddHBand="0" w:evenHBand="0" w:firstRowFirstColumn="0" w:firstRowLastColumn="0" w:lastRowFirstColumn="0" w:lastRowLastColumn="0"/>
          <w:trHeight w:val="357"/>
          <w:tblHeader/>
        </w:trPr>
        <w:tc>
          <w:tcPr>
            <w:tcW w:w="1357" w:type="dxa"/>
            <w:vMerge w:val="restart"/>
            <w:tcBorders>
              <w:right w:val="single" w:sz="4" w:space="0" w:color="FFFFFF" w:themeColor="background1"/>
            </w:tcBorders>
            <w:vAlign w:val="center"/>
          </w:tcPr>
          <w:p w14:paraId="02FF7488" w14:textId="331E7115" w:rsidR="00543766" w:rsidRPr="007F1C27" w:rsidRDefault="00543766" w:rsidP="00802426">
            <w:pPr>
              <w:pStyle w:val="TableHeading1"/>
              <w:rPr>
                <w:sz w:val="18"/>
                <w:szCs w:val="18"/>
              </w:rPr>
            </w:pPr>
            <w:r>
              <w:rPr>
                <w:sz w:val="18"/>
                <w:szCs w:val="18"/>
              </w:rPr>
              <w:t>Skill Level</w:t>
            </w:r>
          </w:p>
        </w:tc>
        <w:tc>
          <w:tcPr>
            <w:tcW w:w="1687" w:type="dxa"/>
            <w:gridSpan w:val="2"/>
            <w:tcBorders>
              <w:left w:val="single" w:sz="4" w:space="0" w:color="FFFFFF" w:themeColor="background1"/>
              <w:right w:val="single" w:sz="4" w:space="0" w:color="FFFFFF" w:themeColor="background1"/>
            </w:tcBorders>
            <w:vAlign w:val="center"/>
          </w:tcPr>
          <w:p w14:paraId="1D26282D" w14:textId="77777777" w:rsidR="00543766" w:rsidRPr="007F1C27" w:rsidRDefault="00543766" w:rsidP="00802426">
            <w:pPr>
              <w:pStyle w:val="TableHeading1"/>
              <w:rPr>
                <w:sz w:val="18"/>
                <w:szCs w:val="18"/>
              </w:rPr>
            </w:pPr>
            <w:r w:rsidRPr="007F1C27">
              <w:rPr>
                <w:sz w:val="18"/>
                <w:szCs w:val="18"/>
              </w:rPr>
              <w:t>Baseline</w:t>
            </w:r>
          </w:p>
        </w:tc>
        <w:tc>
          <w:tcPr>
            <w:tcW w:w="3154" w:type="dxa"/>
            <w:gridSpan w:val="4"/>
            <w:tcBorders>
              <w:left w:val="single" w:sz="4" w:space="0" w:color="FFFFFF" w:themeColor="background1"/>
              <w:right w:val="single" w:sz="4" w:space="0" w:color="FFFFFF" w:themeColor="background1"/>
            </w:tcBorders>
            <w:vAlign w:val="center"/>
          </w:tcPr>
          <w:p w14:paraId="5BE0049D" w14:textId="77777777" w:rsidR="00543766" w:rsidRPr="007F1C27" w:rsidRDefault="00543766" w:rsidP="00802426">
            <w:pPr>
              <w:pStyle w:val="TableHeading1"/>
              <w:rPr>
                <w:sz w:val="18"/>
                <w:szCs w:val="18"/>
              </w:rPr>
            </w:pPr>
            <w:r w:rsidRPr="007F1C27">
              <w:rPr>
                <w:sz w:val="18"/>
                <w:szCs w:val="18"/>
              </w:rPr>
              <w:t>5-year outlook</w:t>
            </w:r>
          </w:p>
        </w:tc>
        <w:tc>
          <w:tcPr>
            <w:tcW w:w="3159" w:type="dxa"/>
            <w:gridSpan w:val="4"/>
            <w:tcBorders>
              <w:left w:val="single" w:sz="4" w:space="0" w:color="FFFFFF" w:themeColor="background1"/>
            </w:tcBorders>
            <w:vAlign w:val="center"/>
          </w:tcPr>
          <w:p w14:paraId="3C1DE9B4" w14:textId="77777777" w:rsidR="00543766" w:rsidRPr="007F1C27" w:rsidRDefault="00543766" w:rsidP="00802426">
            <w:pPr>
              <w:pStyle w:val="TableHeading1"/>
              <w:rPr>
                <w:sz w:val="18"/>
                <w:szCs w:val="18"/>
              </w:rPr>
            </w:pPr>
            <w:r w:rsidRPr="007F1C27">
              <w:rPr>
                <w:sz w:val="18"/>
                <w:szCs w:val="18"/>
              </w:rPr>
              <w:t>10-year outlook</w:t>
            </w:r>
          </w:p>
        </w:tc>
      </w:tr>
      <w:tr w:rsidR="00543766" w:rsidRPr="007F1C27" w14:paraId="07EDB841" w14:textId="77777777" w:rsidTr="00E27623">
        <w:trPr>
          <w:cnfStyle w:val="100000000000" w:firstRow="1" w:lastRow="0" w:firstColumn="0" w:lastColumn="0" w:oddVBand="0" w:evenVBand="0" w:oddHBand="0" w:evenHBand="0" w:firstRowFirstColumn="0" w:firstRowLastColumn="0" w:lastRowFirstColumn="0" w:lastRowLastColumn="0"/>
          <w:trHeight w:val="207"/>
          <w:tblHeader/>
        </w:trPr>
        <w:tc>
          <w:tcPr>
            <w:tcW w:w="1357" w:type="dxa"/>
            <w:vMerge/>
            <w:vAlign w:val="center"/>
          </w:tcPr>
          <w:p w14:paraId="03010E5B" w14:textId="77777777" w:rsidR="00543766" w:rsidRPr="007F1C27" w:rsidRDefault="00543766" w:rsidP="00802426">
            <w:pPr>
              <w:pStyle w:val="TableHeading1"/>
              <w:rPr>
                <w:sz w:val="18"/>
                <w:szCs w:val="18"/>
              </w:rPr>
            </w:pPr>
          </w:p>
        </w:tc>
        <w:tc>
          <w:tcPr>
            <w:tcW w:w="1018" w:type="dxa"/>
            <w:vMerge w:val="restart"/>
            <w:shd w:val="clear" w:color="auto" w:fill="E0D1F5" w:themeFill="accent1" w:themeFillTint="33"/>
            <w:textDirection w:val="btLr"/>
            <w:vAlign w:val="center"/>
          </w:tcPr>
          <w:p w14:paraId="5A907C58" w14:textId="77777777" w:rsidR="00543766" w:rsidRPr="007F1C27" w:rsidRDefault="00543766" w:rsidP="00802426">
            <w:pPr>
              <w:pStyle w:val="TableHeading1"/>
              <w:ind w:left="113" w:right="113"/>
              <w:rPr>
                <w:sz w:val="18"/>
                <w:szCs w:val="18"/>
              </w:rPr>
            </w:pPr>
            <w:r w:rsidRPr="007F1C27">
              <w:rPr>
                <w:sz w:val="18"/>
                <w:szCs w:val="18"/>
              </w:rPr>
              <w:t>Emp't ('000)</w:t>
            </w:r>
            <w:r w:rsidRPr="007F1C27">
              <w:rPr>
                <w:sz w:val="18"/>
                <w:szCs w:val="18"/>
              </w:rPr>
              <w:br/>
              <w:t>May 2025</w:t>
            </w:r>
          </w:p>
        </w:tc>
        <w:tc>
          <w:tcPr>
            <w:tcW w:w="669" w:type="dxa"/>
            <w:vMerge w:val="restart"/>
            <w:shd w:val="clear" w:color="auto" w:fill="E0D1F5" w:themeFill="accent1" w:themeFillTint="33"/>
            <w:textDirection w:val="btLr"/>
            <w:vAlign w:val="center"/>
          </w:tcPr>
          <w:p w14:paraId="73FF1A27" w14:textId="77777777" w:rsidR="00543766" w:rsidRPr="007F1C27" w:rsidRDefault="00543766" w:rsidP="00802426">
            <w:pPr>
              <w:pStyle w:val="Source"/>
              <w:ind w:left="113" w:right="113"/>
              <w:rPr>
                <w:sz w:val="18"/>
                <w:szCs w:val="18"/>
              </w:rPr>
            </w:pPr>
            <w:r w:rsidRPr="007F1C27">
              <w:rPr>
                <w:sz w:val="18"/>
                <w:szCs w:val="18"/>
              </w:rPr>
              <w:t>Share of total emp't (%)</w:t>
            </w:r>
          </w:p>
        </w:tc>
        <w:tc>
          <w:tcPr>
            <w:tcW w:w="1044" w:type="dxa"/>
            <w:vMerge w:val="restart"/>
            <w:shd w:val="clear" w:color="auto" w:fill="E0D1F5" w:themeFill="accent1" w:themeFillTint="33"/>
            <w:textDirection w:val="btLr"/>
            <w:vAlign w:val="center"/>
          </w:tcPr>
          <w:p w14:paraId="1C9B4760" w14:textId="77777777" w:rsidR="00543766" w:rsidRPr="007F1C27" w:rsidRDefault="00543766" w:rsidP="00802426">
            <w:pPr>
              <w:pStyle w:val="TableHeading1"/>
              <w:ind w:left="113" w:right="113"/>
              <w:rPr>
                <w:sz w:val="18"/>
                <w:szCs w:val="18"/>
              </w:rPr>
            </w:pPr>
            <w:r w:rsidRPr="007F1C27">
              <w:rPr>
                <w:sz w:val="18"/>
                <w:szCs w:val="18"/>
              </w:rPr>
              <w:t>Emp't ('000)</w:t>
            </w:r>
            <w:r w:rsidRPr="007F1C27">
              <w:rPr>
                <w:sz w:val="18"/>
                <w:szCs w:val="18"/>
              </w:rPr>
              <w:br/>
              <w:t>May 2030</w:t>
            </w:r>
          </w:p>
        </w:tc>
        <w:tc>
          <w:tcPr>
            <w:tcW w:w="696" w:type="dxa"/>
            <w:vMerge w:val="restart"/>
            <w:shd w:val="clear" w:color="auto" w:fill="E0D1F5" w:themeFill="accent1" w:themeFillTint="33"/>
            <w:textDirection w:val="btLr"/>
            <w:vAlign w:val="center"/>
          </w:tcPr>
          <w:p w14:paraId="0C0DF56F" w14:textId="77777777" w:rsidR="00543766" w:rsidRPr="007F1C27" w:rsidRDefault="00543766" w:rsidP="00802426">
            <w:pPr>
              <w:pStyle w:val="Source"/>
              <w:ind w:left="113" w:right="113"/>
              <w:rPr>
                <w:sz w:val="18"/>
                <w:szCs w:val="18"/>
              </w:rPr>
            </w:pPr>
            <w:r w:rsidRPr="007F1C27">
              <w:rPr>
                <w:sz w:val="18"/>
                <w:szCs w:val="18"/>
              </w:rPr>
              <w:t>Share of total emp't (%)</w:t>
            </w:r>
          </w:p>
        </w:tc>
        <w:tc>
          <w:tcPr>
            <w:tcW w:w="1414" w:type="dxa"/>
            <w:gridSpan w:val="2"/>
            <w:shd w:val="clear" w:color="auto" w:fill="E0D1F5" w:themeFill="accent1" w:themeFillTint="33"/>
            <w:vAlign w:val="center"/>
          </w:tcPr>
          <w:p w14:paraId="0E8D68B6" w14:textId="77777777" w:rsidR="00543766" w:rsidRPr="007F1C27" w:rsidRDefault="00543766" w:rsidP="00802426">
            <w:pPr>
              <w:pStyle w:val="Source"/>
              <w:rPr>
                <w:sz w:val="18"/>
                <w:szCs w:val="18"/>
              </w:rPr>
            </w:pPr>
            <w:r w:rsidRPr="007F1C27">
              <w:rPr>
                <w:sz w:val="18"/>
                <w:szCs w:val="18"/>
              </w:rPr>
              <w:t>Change</w:t>
            </w:r>
          </w:p>
        </w:tc>
        <w:tc>
          <w:tcPr>
            <w:tcW w:w="1019" w:type="dxa"/>
            <w:vMerge w:val="restart"/>
            <w:shd w:val="clear" w:color="auto" w:fill="E0D1F5" w:themeFill="accent1" w:themeFillTint="33"/>
            <w:textDirection w:val="btLr"/>
            <w:vAlign w:val="center"/>
          </w:tcPr>
          <w:p w14:paraId="61F6C93C" w14:textId="77777777" w:rsidR="00543766" w:rsidRPr="007F1C27" w:rsidRDefault="00543766" w:rsidP="00802426">
            <w:pPr>
              <w:pStyle w:val="TableHeading1"/>
              <w:ind w:left="113" w:right="113"/>
              <w:rPr>
                <w:sz w:val="18"/>
                <w:szCs w:val="18"/>
              </w:rPr>
            </w:pPr>
            <w:r w:rsidRPr="007F1C27">
              <w:rPr>
                <w:sz w:val="18"/>
                <w:szCs w:val="18"/>
              </w:rPr>
              <w:t xml:space="preserve">Emp't ('000) </w:t>
            </w:r>
            <w:r w:rsidRPr="007F1C27">
              <w:rPr>
                <w:sz w:val="18"/>
                <w:szCs w:val="18"/>
              </w:rPr>
              <w:br/>
              <w:t>May 2035</w:t>
            </w:r>
          </w:p>
        </w:tc>
        <w:tc>
          <w:tcPr>
            <w:tcW w:w="723" w:type="dxa"/>
            <w:vMerge w:val="restart"/>
            <w:shd w:val="clear" w:color="auto" w:fill="E0D1F5" w:themeFill="accent1" w:themeFillTint="33"/>
            <w:textDirection w:val="btLr"/>
            <w:vAlign w:val="center"/>
          </w:tcPr>
          <w:p w14:paraId="5392E8B3" w14:textId="77777777" w:rsidR="00543766" w:rsidRPr="007F1C27" w:rsidRDefault="00543766" w:rsidP="00802426">
            <w:pPr>
              <w:pStyle w:val="Source"/>
              <w:ind w:left="113" w:right="113"/>
              <w:rPr>
                <w:sz w:val="18"/>
                <w:szCs w:val="18"/>
              </w:rPr>
            </w:pPr>
            <w:r w:rsidRPr="007F1C27">
              <w:rPr>
                <w:sz w:val="18"/>
                <w:szCs w:val="18"/>
              </w:rPr>
              <w:t>Share of total emp't (%)</w:t>
            </w:r>
          </w:p>
        </w:tc>
        <w:tc>
          <w:tcPr>
            <w:tcW w:w="1417" w:type="dxa"/>
            <w:gridSpan w:val="2"/>
            <w:shd w:val="clear" w:color="auto" w:fill="E0D1F5" w:themeFill="accent1" w:themeFillTint="33"/>
            <w:vAlign w:val="center"/>
          </w:tcPr>
          <w:p w14:paraId="45F5F611" w14:textId="77777777" w:rsidR="00543766" w:rsidRPr="007F1C27" w:rsidRDefault="00543766" w:rsidP="00802426">
            <w:pPr>
              <w:pStyle w:val="Source"/>
              <w:rPr>
                <w:sz w:val="18"/>
                <w:szCs w:val="18"/>
              </w:rPr>
            </w:pPr>
            <w:r w:rsidRPr="007F1C27">
              <w:rPr>
                <w:sz w:val="18"/>
                <w:szCs w:val="18"/>
              </w:rPr>
              <w:t>Change</w:t>
            </w:r>
          </w:p>
        </w:tc>
      </w:tr>
      <w:tr w:rsidR="00543766" w:rsidRPr="007F1C27" w14:paraId="7CF8584D" w14:textId="77777777" w:rsidTr="00E27623">
        <w:trPr>
          <w:cnfStyle w:val="100000000000" w:firstRow="1" w:lastRow="0" w:firstColumn="0" w:lastColumn="0" w:oddVBand="0" w:evenVBand="0" w:oddHBand="0" w:evenHBand="0" w:firstRowFirstColumn="0" w:firstRowLastColumn="0" w:lastRowFirstColumn="0" w:lastRowLastColumn="0"/>
          <w:trHeight w:val="920"/>
          <w:tblHeader/>
        </w:trPr>
        <w:tc>
          <w:tcPr>
            <w:tcW w:w="1357" w:type="dxa"/>
            <w:vMerge/>
            <w:vAlign w:val="center"/>
          </w:tcPr>
          <w:p w14:paraId="45C2536E" w14:textId="77777777" w:rsidR="00543766" w:rsidRPr="007F1C27" w:rsidRDefault="00543766" w:rsidP="00802426">
            <w:pPr>
              <w:pStyle w:val="TableHeading1"/>
              <w:rPr>
                <w:sz w:val="18"/>
                <w:szCs w:val="18"/>
              </w:rPr>
            </w:pPr>
          </w:p>
        </w:tc>
        <w:tc>
          <w:tcPr>
            <w:tcW w:w="1018" w:type="dxa"/>
            <w:vMerge/>
            <w:shd w:val="clear" w:color="auto" w:fill="E0D1F5" w:themeFill="accent1" w:themeFillTint="33"/>
            <w:vAlign w:val="center"/>
          </w:tcPr>
          <w:p w14:paraId="4B07772E" w14:textId="77777777" w:rsidR="00543766" w:rsidRPr="007F1C27" w:rsidRDefault="00543766" w:rsidP="00802426">
            <w:pPr>
              <w:pStyle w:val="Source"/>
              <w:rPr>
                <w:sz w:val="18"/>
                <w:szCs w:val="18"/>
              </w:rPr>
            </w:pPr>
          </w:p>
        </w:tc>
        <w:tc>
          <w:tcPr>
            <w:tcW w:w="669" w:type="dxa"/>
            <w:vMerge/>
            <w:shd w:val="clear" w:color="auto" w:fill="E0D1F5" w:themeFill="accent1" w:themeFillTint="33"/>
            <w:vAlign w:val="center"/>
          </w:tcPr>
          <w:p w14:paraId="7873FFD7" w14:textId="77777777" w:rsidR="00543766" w:rsidRPr="007F1C27" w:rsidRDefault="00543766" w:rsidP="00802426">
            <w:pPr>
              <w:pStyle w:val="Source"/>
              <w:rPr>
                <w:sz w:val="18"/>
                <w:szCs w:val="18"/>
              </w:rPr>
            </w:pPr>
          </w:p>
        </w:tc>
        <w:tc>
          <w:tcPr>
            <w:tcW w:w="1044" w:type="dxa"/>
            <w:vMerge/>
            <w:shd w:val="clear" w:color="auto" w:fill="E0D1F5" w:themeFill="accent1" w:themeFillTint="33"/>
            <w:vAlign w:val="center"/>
          </w:tcPr>
          <w:p w14:paraId="152ADD09" w14:textId="77777777" w:rsidR="00543766" w:rsidRPr="007F1C27" w:rsidRDefault="00543766" w:rsidP="00802426">
            <w:pPr>
              <w:pStyle w:val="Source"/>
              <w:rPr>
                <w:sz w:val="18"/>
                <w:szCs w:val="18"/>
              </w:rPr>
            </w:pPr>
          </w:p>
        </w:tc>
        <w:tc>
          <w:tcPr>
            <w:tcW w:w="696" w:type="dxa"/>
            <w:vMerge/>
            <w:shd w:val="clear" w:color="auto" w:fill="E0D1F5" w:themeFill="accent1" w:themeFillTint="33"/>
            <w:vAlign w:val="center"/>
          </w:tcPr>
          <w:p w14:paraId="286E548C" w14:textId="77777777" w:rsidR="00543766" w:rsidRPr="007F1C27" w:rsidRDefault="00543766" w:rsidP="00802426">
            <w:pPr>
              <w:pStyle w:val="Source"/>
              <w:rPr>
                <w:sz w:val="18"/>
                <w:szCs w:val="18"/>
              </w:rPr>
            </w:pPr>
          </w:p>
        </w:tc>
        <w:tc>
          <w:tcPr>
            <w:tcW w:w="808" w:type="dxa"/>
            <w:shd w:val="clear" w:color="auto" w:fill="E0D1F5" w:themeFill="accent1" w:themeFillTint="33"/>
            <w:textDirection w:val="btLr"/>
            <w:vAlign w:val="center"/>
          </w:tcPr>
          <w:p w14:paraId="2BAE5421" w14:textId="77777777" w:rsidR="00543766" w:rsidRPr="007F1C27" w:rsidRDefault="00543766" w:rsidP="00802426">
            <w:pPr>
              <w:pStyle w:val="Source"/>
              <w:ind w:left="113" w:right="113"/>
              <w:rPr>
                <w:sz w:val="18"/>
                <w:szCs w:val="18"/>
              </w:rPr>
            </w:pPr>
            <w:r w:rsidRPr="007F1C27">
              <w:rPr>
                <w:sz w:val="18"/>
                <w:szCs w:val="18"/>
              </w:rPr>
              <w:t xml:space="preserve">level </w:t>
            </w:r>
            <w:r w:rsidRPr="007F1C27">
              <w:rPr>
                <w:sz w:val="18"/>
                <w:szCs w:val="18"/>
              </w:rPr>
              <w:br/>
              <w:t>('000)</w:t>
            </w:r>
          </w:p>
        </w:tc>
        <w:tc>
          <w:tcPr>
            <w:tcW w:w="606" w:type="dxa"/>
            <w:shd w:val="clear" w:color="auto" w:fill="E0D1F5" w:themeFill="accent1" w:themeFillTint="33"/>
            <w:textDirection w:val="btLr"/>
            <w:vAlign w:val="center"/>
          </w:tcPr>
          <w:p w14:paraId="59DE4496" w14:textId="77777777" w:rsidR="00543766" w:rsidRPr="007F1C27" w:rsidRDefault="00543766" w:rsidP="00802426">
            <w:pPr>
              <w:pStyle w:val="Source"/>
              <w:ind w:left="113" w:right="113"/>
              <w:rPr>
                <w:sz w:val="18"/>
                <w:szCs w:val="18"/>
              </w:rPr>
            </w:pPr>
            <w:r w:rsidRPr="007F1C27">
              <w:rPr>
                <w:sz w:val="18"/>
                <w:szCs w:val="18"/>
              </w:rPr>
              <w:t>%</w:t>
            </w:r>
          </w:p>
        </w:tc>
        <w:tc>
          <w:tcPr>
            <w:tcW w:w="1019" w:type="dxa"/>
            <w:vMerge/>
            <w:shd w:val="clear" w:color="auto" w:fill="E0D1F5" w:themeFill="accent1" w:themeFillTint="33"/>
            <w:vAlign w:val="center"/>
          </w:tcPr>
          <w:p w14:paraId="3EFA1D16" w14:textId="77777777" w:rsidR="00543766" w:rsidRPr="007F1C27" w:rsidRDefault="00543766" w:rsidP="00802426">
            <w:pPr>
              <w:pStyle w:val="Source"/>
              <w:rPr>
                <w:sz w:val="18"/>
                <w:szCs w:val="18"/>
              </w:rPr>
            </w:pPr>
          </w:p>
        </w:tc>
        <w:tc>
          <w:tcPr>
            <w:tcW w:w="723" w:type="dxa"/>
            <w:vMerge/>
            <w:shd w:val="clear" w:color="auto" w:fill="E0D1F5" w:themeFill="accent1" w:themeFillTint="33"/>
            <w:vAlign w:val="center"/>
          </w:tcPr>
          <w:p w14:paraId="1C3AB2BB" w14:textId="77777777" w:rsidR="00543766" w:rsidRPr="007F1C27" w:rsidRDefault="00543766" w:rsidP="00802426">
            <w:pPr>
              <w:pStyle w:val="Source"/>
              <w:rPr>
                <w:sz w:val="18"/>
                <w:szCs w:val="18"/>
              </w:rPr>
            </w:pPr>
          </w:p>
        </w:tc>
        <w:tc>
          <w:tcPr>
            <w:tcW w:w="817" w:type="dxa"/>
            <w:shd w:val="clear" w:color="auto" w:fill="E0D1F5" w:themeFill="accent1" w:themeFillTint="33"/>
            <w:textDirection w:val="btLr"/>
            <w:vAlign w:val="center"/>
          </w:tcPr>
          <w:p w14:paraId="12E76C54" w14:textId="77777777" w:rsidR="00543766" w:rsidRPr="007F1C27" w:rsidRDefault="00543766" w:rsidP="00802426">
            <w:pPr>
              <w:pStyle w:val="Source"/>
              <w:ind w:left="113" w:right="113"/>
              <w:rPr>
                <w:sz w:val="18"/>
                <w:szCs w:val="18"/>
              </w:rPr>
            </w:pPr>
            <w:r w:rsidRPr="007F1C27">
              <w:rPr>
                <w:sz w:val="18"/>
                <w:szCs w:val="18"/>
              </w:rPr>
              <w:t xml:space="preserve">level </w:t>
            </w:r>
            <w:r w:rsidRPr="007F1C27">
              <w:rPr>
                <w:sz w:val="18"/>
                <w:szCs w:val="18"/>
              </w:rPr>
              <w:br/>
              <w:t>('000)</w:t>
            </w:r>
          </w:p>
        </w:tc>
        <w:tc>
          <w:tcPr>
            <w:tcW w:w="600" w:type="dxa"/>
            <w:shd w:val="clear" w:color="auto" w:fill="E0D1F5" w:themeFill="accent1" w:themeFillTint="33"/>
            <w:textDirection w:val="btLr"/>
            <w:vAlign w:val="center"/>
          </w:tcPr>
          <w:p w14:paraId="5333956D" w14:textId="77777777" w:rsidR="00543766" w:rsidRPr="007F1C27" w:rsidRDefault="00543766" w:rsidP="00802426">
            <w:pPr>
              <w:pStyle w:val="Source"/>
              <w:ind w:left="113" w:right="113"/>
              <w:rPr>
                <w:sz w:val="18"/>
                <w:szCs w:val="18"/>
              </w:rPr>
            </w:pPr>
            <w:r w:rsidRPr="007F1C27">
              <w:rPr>
                <w:sz w:val="18"/>
                <w:szCs w:val="18"/>
              </w:rPr>
              <w:t>%</w:t>
            </w:r>
          </w:p>
        </w:tc>
      </w:tr>
      <w:tr w:rsidR="00543766" w:rsidRPr="007F1C27" w14:paraId="426CF538" w14:textId="77777777" w:rsidTr="00802426">
        <w:tc>
          <w:tcPr>
            <w:tcW w:w="1357" w:type="dxa"/>
            <w:vAlign w:val="bottom"/>
          </w:tcPr>
          <w:p w14:paraId="5E607CC7" w14:textId="7B52A178" w:rsidR="00543766" w:rsidRPr="00543766" w:rsidRDefault="00543766" w:rsidP="00543766">
            <w:pPr>
              <w:pStyle w:val="Source"/>
              <w:rPr>
                <w:sz w:val="18"/>
                <w:szCs w:val="18"/>
              </w:rPr>
            </w:pPr>
            <w:r w:rsidRPr="00543766">
              <w:rPr>
                <w:sz w:val="18"/>
                <w:szCs w:val="18"/>
                <w:lang w:eastAsia="en-AU"/>
              </w:rPr>
              <w:t>Skill Level 1</w:t>
            </w:r>
          </w:p>
        </w:tc>
        <w:tc>
          <w:tcPr>
            <w:tcW w:w="1018" w:type="dxa"/>
            <w:vAlign w:val="bottom"/>
          </w:tcPr>
          <w:p w14:paraId="369FD368" w14:textId="000A9747" w:rsidR="00543766" w:rsidRPr="00543766" w:rsidRDefault="00543766" w:rsidP="00061EB3">
            <w:pPr>
              <w:pStyle w:val="Source"/>
              <w:jc w:val="right"/>
              <w:rPr>
                <w:sz w:val="18"/>
                <w:szCs w:val="18"/>
              </w:rPr>
            </w:pPr>
            <w:r w:rsidRPr="00543766">
              <w:rPr>
                <w:sz w:val="18"/>
                <w:szCs w:val="18"/>
                <w:lang w:eastAsia="en-AU"/>
              </w:rPr>
              <w:t xml:space="preserve">5,181.1 </w:t>
            </w:r>
          </w:p>
        </w:tc>
        <w:tc>
          <w:tcPr>
            <w:tcW w:w="669" w:type="dxa"/>
            <w:vAlign w:val="bottom"/>
          </w:tcPr>
          <w:p w14:paraId="2C7E12F3" w14:textId="6BF3F67D" w:rsidR="00543766" w:rsidRPr="00543766" w:rsidRDefault="00543766" w:rsidP="00061EB3">
            <w:pPr>
              <w:pStyle w:val="Source"/>
              <w:jc w:val="right"/>
              <w:rPr>
                <w:sz w:val="18"/>
                <w:szCs w:val="18"/>
              </w:rPr>
            </w:pPr>
            <w:r w:rsidRPr="00543766">
              <w:rPr>
                <w:sz w:val="18"/>
                <w:szCs w:val="18"/>
                <w:lang w:eastAsia="en-AU"/>
              </w:rPr>
              <w:t>35.2</w:t>
            </w:r>
          </w:p>
        </w:tc>
        <w:tc>
          <w:tcPr>
            <w:tcW w:w="1044" w:type="dxa"/>
            <w:vAlign w:val="bottom"/>
          </w:tcPr>
          <w:p w14:paraId="7BA9C9C4" w14:textId="117B31AF" w:rsidR="00543766" w:rsidRPr="00543766" w:rsidRDefault="00543766" w:rsidP="00061EB3">
            <w:pPr>
              <w:pStyle w:val="Source"/>
              <w:jc w:val="right"/>
              <w:rPr>
                <w:sz w:val="18"/>
                <w:szCs w:val="18"/>
              </w:rPr>
            </w:pPr>
            <w:r w:rsidRPr="00543766">
              <w:rPr>
                <w:sz w:val="18"/>
                <w:szCs w:val="18"/>
                <w:lang w:eastAsia="en-AU"/>
              </w:rPr>
              <w:t xml:space="preserve">5,755.7 </w:t>
            </w:r>
          </w:p>
        </w:tc>
        <w:tc>
          <w:tcPr>
            <w:tcW w:w="696" w:type="dxa"/>
            <w:vAlign w:val="bottom"/>
          </w:tcPr>
          <w:p w14:paraId="3BAE6E12" w14:textId="7BE56F47" w:rsidR="00543766" w:rsidRPr="00543766" w:rsidRDefault="00543766" w:rsidP="00061EB3">
            <w:pPr>
              <w:pStyle w:val="Source"/>
              <w:jc w:val="right"/>
              <w:rPr>
                <w:sz w:val="18"/>
                <w:szCs w:val="18"/>
              </w:rPr>
            </w:pPr>
            <w:r w:rsidRPr="00543766">
              <w:rPr>
                <w:sz w:val="18"/>
                <w:szCs w:val="18"/>
                <w:lang w:eastAsia="en-AU"/>
              </w:rPr>
              <w:t>36.7</w:t>
            </w:r>
          </w:p>
        </w:tc>
        <w:tc>
          <w:tcPr>
            <w:tcW w:w="808" w:type="dxa"/>
            <w:vAlign w:val="bottom"/>
          </w:tcPr>
          <w:p w14:paraId="2DC18AC6" w14:textId="70884101" w:rsidR="00543766" w:rsidRPr="00543766" w:rsidRDefault="00543766" w:rsidP="00061EB3">
            <w:pPr>
              <w:pStyle w:val="Source"/>
              <w:jc w:val="right"/>
              <w:rPr>
                <w:sz w:val="18"/>
                <w:szCs w:val="18"/>
              </w:rPr>
            </w:pPr>
            <w:r w:rsidRPr="00543766">
              <w:rPr>
                <w:sz w:val="18"/>
                <w:szCs w:val="18"/>
                <w:lang w:eastAsia="en-AU"/>
              </w:rPr>
              <w:t xml:space="preserve">574.7 </w:t>
            </w:r>
          </w:p>
        </w:tc>
        <w:tc>
          <w:tcPr>
            <w:tcW w:w="606" w:type="dxa"/>
            <w:vAlign w:val="bottom"/>
          </w:tcPr>
          <w:p w14:paraId="74F5866C" w14:textId="52211F0B" w:rsidR="00543766" w:rsidRPr="00543766" w:rsidRDefault="00543766" w:rsidP="00061EB3">
            <w:pPr>
              <w:pStyle w:val="Source"/>
              <w:jc w:val="right"/>
              <w:rPr>
                <w:sz w:val="18"/>
                <w:szCs w:val="18"/>
              </w:rPr>
            </w:pPr>
            <w:r w:rsidRPr="00543766">
              <w:rPr>
                <w:sz w:val="18"/>
                <w:szCs w:val="18"/>
                <w:lang w:eastAsia="en-AU"/>
              </w:rPr>
              <w:t>11.1</w:t>
            </w:r>
          </w:p>
        </w:tc>
        <w:tc>
          <w:tcPr>
            <w:tcW w:w="1019" w:type="dxa"/>
            <w:vAlign w:val="bottom"/>
          </w:tcPr>
          <w:p w14:paraId="0A32DBCB" w14:textId="28856E07" w:rsidR="00543766" w:rsidRPr="00543766" w:rsidRDefault="00543766" w:rsidP="00061EB3">
            <w:pPr>
              <w:pStyle w:val="Source"/>
              <w:jc w:val="right"/>
              <w:rPr>
                <w:sz w:val="18"/>
                <w:szCs w:val="18"/>
              </w:rPr>
            </w:pPr>
            <w:r w:rsidRPr="00543766">
              <w:rPr>
                <w:sz w:val="18"/>
                <w:szCs w:val="18"/>
                <w:lang w:eastAsia="en-AU"/>
              </w:rPr>
              <w:t xml:space="preserve">6,243.1 </w:t>
            </w:r>
          </w:p>
        </w:tc>
        <w:tc>
          <w:tcPr>
            <w:tcW w:w="723" w:type="dxa"/>
            <w:vAlign w:val="bottom"/>
          </w:tcPr>
          <w:p w14:paraId="5C26A647" w14:textId="5FB381E8" w:rsidR="00543766" w:rsidRPr="00543766" w:rsidRDefault="00543766" w:rsidP="00061EB3">
            <w:pPr>
              <w:pStyle w:val="Source"/>
              <w:jc w:val="right"/>
              <w:rPr>
                <w:sz w:val="18"/>
                <w:szCs w:val="18"/>
              </w:rPr>
            </w:pPr>
            <w:r w:rsidRPr="00543766">
              <w:rPr>
                <w:sz w:val="18"/>
                <w:szCs w:val="18"/>
                <w:lang w:eastAsia="en-AU"/>
              </w:rPr>
              <w:t>37.5</w:t>
            </w:r>
          </w:p>
        </w:tc>
        <w:tc>
          <w:tcPr>
            <w:tcW w:w="817" w:type="dxa"/>
            <w:vAlign w:val="bottom"/>
          </w:tcPr>
          <w:p w14:paraId="51C5E016" w14:textId="7A1296FC" w:rsidR="00543766" w:rsidRPr="00543766" w:rsidRDefault="00543766" w:rsidP="00061EB3">
            <w:pPr>
              <w:pStyle w:val="Source"/>
              <w:jc w:val="right"/>
              <w:rPr>
                <w:sz w:val="18"/>
                <w:szCs w:val="18"/>
              </w:rPr>
            </w:pPr>
            <w:r w:rsidRPr="00543766">
              <w:rPr>
                <w:sz w:val="18"/>
                <w:szCs w:val="18"/>
                <w:lang w:eastAsia="en-AU"/>
              </w:rPr>
              <w:t xml:space="preserve">1,062.0 </w:t>
            </w:r>
          </w:p>
        </w:tc>
        <w:tc>
          <w:tcPr>
            <w:tcW w:w="600" w:type="dxa"/>
            <w:vAlign w:val="bottom"/>
          </w:tcPr>
          <w:p w14:paraId="2F329438" w14:textId="00D994D0" w:rsidR="00543766" w:rsidRPr="00543766" w:rsidRDefault="00543766" w:rsidP="00061EB3">
            <w:pPr>
              <w:pStyle w:val="Source"/>
              <w:jc w:val="right"/>
              <w:rPr>
                <w:sz w:val="18"/>
                <w:szCs w:val="18"/>
              </w:rPr>
            </w:pPr>
            <w:r w:rsidRPr="00543766">
              <w:rPr>
                <w:sz w:val="18"/>
                <w:szCs w:val="18"/>
                <w:lang w:eastAsia="en-AU"/>
              </w:rPr>
              <w:t>20.5</w:t>
            </w:r>
          </w:p>
        </w:tc>
      </w:tr>
      <w:tr w:rsidR="00543766" w:rsidRPr="007F1C27" w14:paraId="5312394E" w14:textId="77777777" w:rsidTr="00802426">
        <w:trPr>
          <w:cnfStyle w:val="000000010000" w:firstRow="0" w:lastRow="0" w:firstColumn="0" w:lastColumn="0" w:oddVBand="0" w:evenVBand="0" w:oddHBand="0" w:evenHBand="1" w:firstRowFirstColumn="0" w:firstRowLastColumn="0" w:lastRowFirstColumn="0" w:lastRowLastColumn="0"/>
        </w:trPr>
        <w:tc>
          <w:tcPr>
            <w:tcW w:w="1357" w:type="dxa"/>
            <w:vAlign w:val="bottom"/>
          </w:tcPr>
          <w:p w14:paraId="69084D1E" w14:textId="37FA93BE" w:rsidR="00543766" w:rsidRPr="00543766" w:rsidRDefault="00543766" w:rsidP="00543766">
            <w:pPr>
              <w:pStyle w:val="Source"/>
              <w:rPr>
                <w:sz w:val="18"/>
                <w:szCs w:val="18"/>
              </w:rPr>
            </w:pPr>
            <w:r w:rsidRPr="00543766">
              <w:rPr>
                <w:sz w:val="18"/>
                <w:szCs w:val="18"/>
                <w:lang w:eastAsia="en-AU"/>
              </w:rPr>
              <w:t>Skill Level 2</w:t>
            </w:r>
          </w:p>
        </w:tc>
        <w:tc>
          <w:tcPr>
            <w:tcW w:w="1018" w:type="dxa"/>
            <w:vAlign w:val="bottom"/>
          </w:tcPr>
          <w:p w14:paraId="7E8367B0" w14:textId="3BD1D740" w:rsidR="00543766" w:rsidRPr="00543766" w:rsidRDefault="00543766" w:rsidP="00061EB3">
            <w:pPr>
              <w:pStyle w:val="Source"/>
              <w:jc w:val="right"/>
              <w:rPr>
                <w:sz w:val="18"/>
                <w:szCs w:val="18"/>
              </w:rPr>
            </w:pPr>
            <w:r w:rsidRPr="00543766">
              <w:rPr>
                <w:sz w:val="18"/>
                <w:szCs w:val="18"/>
                <w:lang w:eastAsia="en-AU"/>
              </w:rPr>
              <w:t xml:space="preserve">1,793.5 </w:t>
            </w:r>
          </w:p>
        </w:tc>
        <w:tc>
          <w:tcPr>
            <w:tcW w:w="669" w:type="dxa"/>
            <w:vAlign w:val="bottom"/>
          </w:tcPr>
          <w:p w14:paraId="122DCB71" w14:textId="112FBA6A" w:rsidR="00543766" w:rsidRPr="00543766" w:rsidRDefault="00543766" w:rsidP="00061EB3">
            <w:pPr>
              <w:pStyle w:val="Source"/>
              <w:jc w:val="right"/>
              <w:rPr>
                <w:sz w:val="18"/>
                <w:szCs w:val="18"/>
              </w:rPr>
            </w:pPr>
            <w:r w:rsidRPr="00543766">
              <w:rPr>
                <w:sz w:val="18"/>
                <w:szCs w:val="18"/>
                <w:lang w:eastAsia="en-AU"/>
              </w:rPr>
              <w:t>12.2</w:t>
            </w:r>
          </w:p>
        </w:tc>
        <w:tc>
          <w:tcPr>
            <w:tcW w:w="1044" w:type="dxa"/>
            <w:vAlign w:val="bottom"/>
          </w:tcPr>
          <w:p w14:paraId="01E27550" w14:textId="32F3C66D" w:rsidR="00543766" w:rsidRPr="00543766" w:rsidRDefault="00543766" w:rsidP="00061EB3">
            <w:pPr>
              <w:pStyle w:val="Source"/>
              <w:jc w:val="right"/>
              <w:rPr>
                <w:sz w:val="18"/>
                <w:szCs w:val="18"/>
              </w:rPr>
            </w:pPr>
            <w:r w:rsidRPr="00543766">
              <w:rPr>
                <w:sz w:val="18"/>
                <w:szCs w:val="18"/>
                <w:lang w:eastAsia="en-AU"/>
              </w:rPr>
              <w:t xml:space="preserve">1,886.7 </w:t>
            </w:r>
          </w:p>
        </w:tc>
        <w:tc>
          <w:tcPr>
            <w:tcW w:w="696" w:type="dxa"/>
            <w:vAlign w:val="bottom"/>
          </w:tcPr>
          <w:p w14:paraId="67BB2792" w14:textId="7F209987" w:rsidR="00543766" w:rsidRPr="00543766" w:rsidRDefault="00543766" w:rsidP="00061EB3">
            <w:pPr>
              <w:pStyle w:val="Source"/>
              <w:jc w:val="right"/>
              <w:rPr>
                <w:sz w:val="18"/>
                <w:szCs w:val="18"/>
              </w:rPr>
            </w:pPr>
            <w:r w:rsidRPr="00543766">
              <w:rPr>
                <w:sz w:val="18"/>
                <w:szCs w:val="18"/>
                <w:lang w:eastAsia="en-AU"/>
              </w:rPr>
              <w:t>12.0</w:t>
            </w:r>
          </w:p>
        </w:tc>
        <w:tc>
          <w:tcPr>
            <w:tcW w:w="808" w:type="dxa"/>
            <w:vAlign w:val="bottom"/>
          </w:tcPr>
          <w:p w14:paraId="11E9FE03" w14:textId="6C751E45" w:rsidR="00543766" w:rsidRPr="00543766" w:rsidRDefault="00543766" w:rsidP="00061EB3">
            <w:pPr>
              <w:pStyle w:val="Source"/>
              <w:jc w:val="right"/>
              <w:rPr>
                <w:sz w:val="18"/>
                <w:szCs w:val="18"/>
              </w:rPr>
            </w:pPr>
            <w:r w:rsidRPr="00543766">
              <w:rPr>
                <w:sz w:val="18"/>
                <w:szCs w:val="18"/>
                <w:lang w:eastAsia="en-AU"/>
              </w:rPr>
              <w:t xml:space="preserve">93.2 </w:t>
            </w:r>
          </w:p>
        </w:tc>
        <w:tc>
          <w:tcPr>
            <w:tcW w:w="606" w:type="dxa"/>
            <w:vAlign w:val="bottom"/>
          </w:tcPr>
          <w:p w14:paraId="58C267C5" w14:textId="69A7BC78" w:rsidR="00543766" w:rsidRPr="00543766" w:rsidRDefault="00543766" w:rsidP="00061EB3">
            <w:pPr>
              <w:pStyle w:val="Source"/>
              <w:jc w:val="right"/>
              <w:rPr>
                <w:sz w:val="18"/>
                <w:szCs w:val="18"/>
              </w:rPr>
            </w:pPr>
            <w:r w:rsidRPr="00543766">
              <w:rPr>
                <w:sz w:val="18"/>
                <w:szCs w:val="18"/>
                <w:lang w:eastAsia="en-AU"/>
              </w:rPr>
              <w:t>5.2</w:t>
            </w:r>
          </w:p>
        </w:tc>
        <w:tc>
          <w:tcPr>
            <w:tcW w:w="1019" w:type="dxa"/>
            <w:vAlign w:val="bottom"/>
          </w:tcPr>
          <w:p w14:paraId="3513D0A0" w14:textId="1CA0551F" w:rsidR="00543766" w:rsidRPr="00543766" w:rsidRDefault="00543766" w:rsidP="00061EB3">
            <w:pPr>
              <w:pStyle w:val="Source"/>
              <w:jc w:val="right"/>
              <w:rPr>
                <w:sz w:val="18"/>
                <w:szCs w:val="18"/>
              </w:rPr>
            </w:pPr>
            <w:r w:rsidRPr="00543766">
              <w:rPr>
                <w:sz w:val="18"/>
                <w:szCs w:val="18"/>
                <w:lang w:eastAsia="en-AU"/>
              </w:rPr>
              <w:t xml:space="preserve">1,999.0 </w:t>
            </w:r>
          </w:p>
        </w:tc>
        <w:tc>
          <w:tcPr>
            <w:tcW w:w="723" w:type="dxa"/>
            <w:vAlign w:val="bottom"/>
          </w:tcPr>
          <w:p w14:paraId="54375EB8" w14:textId="489CA8A6" w:rsidR="00543766" w:rsidRPr="00543766" w:rsidRDefault="00543766" w:rsidP="00061EB3">
            <w:pPr>
              <w:pStyle w:val="Source"/>
              <w:jc w:val="right"/>
              <w:rPr>
                <w:sz w:val="18"/>
                <w:szCs w:val="18"/>
              </w:rPr>
            </w:pPr>
            <w:r w:rsidRPr="00543766">
              <w:rPr>
                <w:sz w:val="18"/>
                <w:szCs w:val="18"/>
                <w:lang w:eastAsia="en-AU"/>
              </w:rPr>
              <w:t>12.0</w:t>
            </w:r>
          </w:p>
        </w:tc>
        <w:tc>
          <w:tcPr>
            <w:tcW w:w="817" w:type="dxa"/>
            <w:vAlign w:val="bottom"/>
          </w:tcPr>
          <w:p w14:paraId="6B399574" w14:textId="152B6E74" w:rsidR="00543766" w:rsidRPr="00543766" w:rsidRDefault="00543766" w:rsidP="00061EB3">
            <w:pPr>
              <w:pStyle w:val="Source"/>
              <w:jc w:val="right"/>
              <w:rPr>
                <w:sz w:val="18"/>
                <w:szCs w:val="18"/>
              </w:rPr>
            </w:pPr>
            <w:r w:rsidRPr="00543766">
              <w:rPr>
                <w:sz w:val="18"/>
                <w:szCs w:val="18"/>
                <w:lang w:eastAsia="en-AU"/>
              </w:rPr>
              <w:t xml:space="preserve">205.5 </w:t>
            </w:r>
          </w:p>
        </w:tc>
        <w:tc>
          <w:tcPr>
            <w:tcW w:w="600" w:type="dxa"/>
            <w:vAlign w:val="bottom"/>
          </w:tcPr>
          <w:p w14:paraId="1B277077" w14:textId="2C4BEBE9" w:rsidR="00543766" w:rsidRPr="00543766" w:rsidRDefault="00543766" w:rsidP="00061EB3">
            <w:pPr>
              <w:pStyle w:val="Source"/>
              <w:jc w:val="right"/>
              <w:rPr>
                <w:sz w:val="18"/>
                <w:szCs w:val="18"/>
              </w:rPr>
            </w:pPr>
            <w:r w:rsidRPr="00543766">
              <w:rPr>
                <w:sz w:val="18"/>
                <w:szCs w:val="18"/>
                <w:lang w:eastAsia="en-AU"/>
              </w:rPr>
              <w:t>11.5</w:t>
            </w:r>
          </w:p>
        </w:tc>
      </w:tr>
      <w:tr w:rsidR="00543766" w:rsidRPr="007F1C27" w14:paraId="24754380" w14:textId="77777777" w:rsidTr="00802426">
        <w:tc>
          <w:tcPr>
            <w:tcW w:w="1357" w:type="dxa"/>
            <w:vAlign w:val="bottom"/>
          </w:tcPr>
          <w:p w14:paraId="7D2D4863" w14:textId="38B25FFE" w:rsidR="00543766" w:rsidRPr="00543766" w:rsidRDefault="00543766" w:rsidP="00543766">
            <w:pPr>
              <w:pStyle w:val="Source"/>
              <w:rPr>
                <w:sz w:val="18"/>
                <w:szCs w:val="18"/>
              </w:rPr>
            </w:pPr>
            <w:r w:rsidRPr="00543766">
              <w:rPr>
                <w:sz w:val="18"/>
                <w:szCs w:val="18"/>
                <w:lang w:eastAsia="en-AU"/>
              </w:rPr>
              <w:t>Skill Level 3</w:t>
            </w:r>
          </w:p>
        </w:tc>
        <w:tc>
          <w:tcPr>
            <w:tcW w:w="1018" w:type="dxa"/>
            <w:vAlign w:val="bottom"/>
          </w:tcPr>
          <w:p w14:paraId="4D3F031D" w14:textId="1D5CA729" w:rsidR="00543766" w:rsidRPr="00543766" w:rsidRDefault="00543766" w:rsidP="00061EB3">
            <w:pPr>
              <w:pStyle w:val="Source"/>
              <w:jc w:val="right"/>
              <w:rPr>
                <w:sz w:val="18"/>
                <w:szCs w:val="18"/>
              </w:rPr>
            </w:pPr>
            <w:r w:rsidRPr="00543766">
              <w:rPr>
                <w:sz w:val="18"/>
                <w:szCs w:val="18"/>
                <w:lang w:eastAsia="en-AU"/>
              </w:rPr>
              <w:t xml:space="preserve">2,152.2 </w:t>
            </w:r>
          </w:p>
        </w:tc>
        <w:tc>
          <w:tcPr>
            <w:tcW w:w="669" w:type="dxa"/>
            <w:vAlign w:val="bottom"/>
          </w:tcPr>
          <w:p w14:paraId="056740D6" w14:textId="4FF2ECCC" w:rsidR="00543766" w:rsidRPr="00543766" w:rsidRDefault="00543766" w:rsidP="00061EB3">
            <w:pPr>
              <w:pStyle w:val="Source"/>
              <w:jc w:val="right"/>
              <w:rPr>
                <w:sz w:val="18"/>
                <w:szCs w:val="18"/>
              </w:rPr>
            </w:pPr>
            <w:r w:rsidRPr="00543766">
              <w:rPr>
                <w:sz w:val="18"/>
                <w:szCs w:val="18"/>
                <w:lang w:eastAsia="en-AU"/>
              </w:rPr>
              <w:t>14.6</w:t>
            </w:r>
          </w:p>
        </w:tc>
        <w:tc>
          <w:tcPr>
            <w:tcW w:w="1044" w:type="dxa"/>
            <w:vAlign w:val="bottom"/>
          </w:tcPr>
          <w:p w14:paraId="652F084A" w14:textId="1EB09CDD" w:rsidR="00543766" w:rsidRPr="00543766" w:rsidRDefault="00543766" w:rsidP="00061EB3">
            <w:pPr>
              <w:pStyle w:val="Source"/>
              <w:jc w:val="right"/>
              <w:rPr>
                <w:sz w:val="18"/>
                <w:szCs w:val="18"/>
              </w:rPr>
            </w:pPr>
            <w:r w:rsidRPr="00543766">
              <w:rPr>
                <w:sz w:val="18"/>
                <w:szCs w:val="18"/>
                <w:lang w:eastAsia="en-AU"/>
              </w:rPr>
              <w:t xml:space="preserve">2,231.4 </w:t>
            </w:r>
          </w:p>
        </w:tc>
        <w:tc>
          <w:tcPr>
            <w:tcW w:w="696" w:type="dxa"/>
            <w:vAlign w:val="bottom"/>
          </w:tcPr>
          <w:p w14:paraId="585DE1B6" w14:textId="2B2C4B2A" w:rsidR="00543766" w:rsidRPr="00543766" w:rsidRDefault="00543766" w:rsidP="00061EB3">
            <w:pPr>
              <w:pStyle w:val="Source"/>
              <w:jc w:val="right"/>
              <w:rPr>
                <w:sz w:val="18"/>
                <w:szCs w:val="18"/>
              </w:rPr>
            </w:pPr>
            <w:r w:rsidRPr="00543766">
              <w:rPr>
                <w:sz w:val="18"/>
                <w:szCs w:val="18"/>
                <w:lang w:eastAsia="en-AU"/>
              </w:rPr>
              <w:t>14.2</w:t>
            </w:r>
          </w:p>
        </w:tc>
        <w:tc>
          <w:tcPr>
            <w:tcW w:w="808" w:type="dxa"/>
            <w:vAlign w:val="bottom"/>
          </w:tcPr>
          <w:p w14:paraId="24A8F35D" w14:textId="53A6876A" w:rsidR="00543766" w:rsidRPr="00543766" w:rsidRDefault="00543766" w:rsidP="00061EB3">
            <w:pPr>
              <w:pStyle w:val="Source"/>
              <w:jc w:val="right"/>
              <w:rPr>
                <w:sz w:val="18"/>
                <w:szCs w:val="18"/>
              </w:rPr>
            </w:pPr>
            <w:r w:rsidRPr="00543766">
              <w:rPr>
                <w:sz w:val="18"/>
                <w:szCs w:val="18"/>
                <w:lang w:eastAsia="en-AU"/>
              </w:rPr>
              <w:t xml:space="preserve">79.2 </w:t>
            </w:r>
          </w:p>
        </w:tc>
        <w:tc>
          <w:tcPr>
            <w:tcW w:w="606" w:type="dxa"/>
            <w:vAlign w:val="bottom"/>
          </w:tcPr>
          <w:p w14:paraId="008CEE03" w14:textId="0F95C1C0" w:rsidR="00543766" w:rsidRPr="00543766" w:rsidRDefault="00543766" w:rsidP="00061EB3">
            <w:pPr>
              <w:pStyle w:val="Source"/>
              <w:jc w:val="right"/>
              <w:rPr>
                <w:sz w:val="18"/>
                <w:szCs w:val="18"/>
              </w:rPr>
            </w:pPr>
            <w:r w:rsidRPr="00543766">
              <w:rPr>
                <w:sz w:val="18"/>
                <w:szCs w:val="18"/>
                <w:lang w:eastAsia="en-AU"/>
              </w:rPr>
              <w:t>3.7</w:t>
            </w:r>
          </w:p>
        </w:tc>
        <w:tc>
          <w:tcPr>
            <w:tcW w:w="1019" w:type="dxa"/>
            <w:vAlign w:val="bottom"/>
          </w:tcPr>
          <w:p w14:paraId="3993978C" w14:textId="6D86F138" w:rsidR="00543766" w:rsidRPr="00543766" w:rsidRDefault="00543766" w:rsidP="00061EB3">
            <w:pPr>
              <w:pStyle w:val="Source"/>
              <w:jc w:val="right"/>
              <w:rPr>
                <w:sz w:val="18"/>
                <w:szCs w:val="18"/>
              </w:rPr>
            </w:pPr>
            <w:r w:rsidRPr="00543766">
              <w:rPr>
                <w:sz w:val="18"/>
                <w:szCs w:val="18"/>
                <w:lang w:eastAsia="en-AU"/>
              </w:rPr>
              <w:t xml:space="preserve">2,337.1 </w:t>
            </w:r>
          </w:p>
        </w:tc>
        <w:tc>
          <w:tcPr>
            <w:tcW w:w="723" w:type="dxa"/>
            <w:vAlign w:val="bottom"/>
          </w:tcPr>
          <w:p w14:paraId="6E29A103" w14:textId="0D34D2E2" w:rsidR="00543766" w:rsidRPr="00543766" w:rsidRDefault="00543766" w:rsidP="00061EB3">
            <w:pPr>
              <w:pStyle w:val="Source"/>
              <w:jc w:val="right"/>
              <w:rPr>
                <w:sz w:val="18"/>
                <w:szCs w:val="18"/>
              </w:rPr>
            </w:pPr>
            <w:r w:rsidRPr="00543766">
              <w:rPr>
                <w:sz w:val="18"/>
                <w:szCs w:val="18"/>
                <w:lang w:eastAsia="en-AU"/>
              </w:rPr>
              <w:t>14.0</w:t>
            </w:r>
          </w:p>
        </w:tc>
        <w:tc>
          <w:tcPr>
            <w:tcW w:w="817" w:type="dxa"/>
            <w:vAlign w:val="bottom"/>
          </w:tcPr>
          <w:p w14:paraId="4E12DC83" w14:textId="7374E7A3" w:rsidR="00543766" w:rsidRPr="00543766" w:rsidRDefault="00543766" w:rsidP="00061EB3">
            <w:pPr>
              <w:pStyle w:val="Source"/>
              <w:jc w:val="right"/>
              <w:rPr>
                <w:sz w:val="18"/>
                <w:szCs w:val="18"/>
              </w:rPr>
            </w:pPr>
            <w:r w:rsidRPr="00543766">
              <w:rPr>
                <w:sz w:val="18"/>
                <w:szCs w:val="18"/>
                <w:lang w:eastAsia="en-AU"/>
              </w:rPr>
              <w:t xml:space="preserve">184.8 </w:t>
            </w:r>
          </w:p>
        </w:tc>
        <w:tc>
          <w:tcPr>
            <w:tcW w:w="600" w:type="dxa"/>
            <w:vAlign w:val="bottom"/>
          </w:tcPr>
          <w:p w14:paraId="44A26123" w14:textId="52D92265" w:rsidR="00543766" w:rsidRPr="00543766" w:rsidRDefault="00543766" w:rsidP="00061EB3">
            <w:pPr>
              <w:pStyle w:val="Source"/>
              <w:jc w:val="right"/>
              <w:rPr>
                <w:sz w:val="18"/>
                <w:szCs w:val="18"/>
              </w:rPr>
            </w:pPr>
            <w:r w:rsidRPr="00543766">
              <w:rPr>
                <w:sz w:val="18"/>
                <w:szCs w:val="18"/>
                <w:lang w:eastAsia="en-AU"/>
              </w:rPr>
              <w:t>8.6</w:t>
            </w:r>
          </w:p>
        </w:tc>
      </w:tr>
      <w:tr w:rsidR="00543766" w:rsidRPr="007F1C27" w14:paraId="65EA6563" w14:textId="77777777" w:rsidTr="00802426">
        <w:trPr>
          <w:cnfStyle w:val="000000010000" w:firstRow="0" w:lastRow="0" w:firstColumn="0" w:lastColumn="0" w:oddVBand="0" w:evenVBand="0" w:oddHBand="0" w:evenHBand="1" w:firstRowFirstColumn="0" w:firstRowLastColumn="0" w:lastRowFirstColumn="0" w:lastRowLastColumn="0"/>
        </w:trPr>
        <w:tc>
          <w:tcPr>
            <w:tcW w:w="1357" w:type="dxa"/>
            <w:vAlign w:val="bottom"/>
          </w:tcPr>
          <w:p w14:paraId="41AB396D" w14:textId="55DEBED8" w:rsidR="00543766" w:rsidRPr="00543766" w:rsidRDefault="00543766" w:rsidP="00543766">
            <w:pPr>
              <w:pStyle w:val="Source"/>
              <w:rPr>
                <w:sz w:val="18"/>
                <w:szCs w:val="18"/>
              </w:rPr>
            </w:pPr>
            <w:r w:rsidRPr="00543766">
              <w:rPr>
                <w:sz w:val="18"/>
                <w:szCs w:val="18"/>
                <w:lang w:eastAsia="en-AU"/>
              </w:rPr>
              <w:t>Skill Level 4</w:t>
            </w:r>
          </w:p>
        </w:tc>
        <w:tc>
          <w:tcPr>
            <w:tcW w:w="1018" w:type="dxa"/>
            <w:vAlign w:val="bottom"/>
          </w:tcPr>
          <w:p w14:paraId="60C6DFB7" w14:textId="501938B7" w:rsidR="00543766" w:rsidRPr="00543766" w:rsidRDefault="00543766" w:rsidP="00061EB3">
            <w:pPr>
              <w:pStyle w:val="Source"/>
              <w:jc w:val="right"/>
              <w:rPr>
                <w:sz w:val="18"/>
                <w:szCs w:val="18"/>
              </w:rPr>
            </w:pPr>
            <w:r w:rsidRPr="00543766">
              <w:rPr>
                <w:sz w:val="18"/>
                <w:szCs w:val="18"/>
                <w:lang w:eastAsia="en-AU"/>
              </w:rPr>
              <w:t xml:space="preserve">3,562.3 </w:t>
            </w:r>
          </w:p>
        </w:tc>
        <w:tc>
          <w:tcPr>
            <w:tcW w:w="669" w:type="dxa"/>
            <w:vAlign w:val="bottom"/>
          </w:tcPr>
          <w:p w14:paraId="48815682" w14:textId="409C1AEC" w:rsidR="00543766" w:rsidRPr="00543766" w:rsidRDefault="00543766" w:rsidP="00061EB3">
            <w:pPr>
              <w:pStyle w:val="Source"/>
              <w:jc w:val="right"/>
              <w:rPr>
                <w:sz w:val="18"/>
                <w:szCs w:val="18"/>
              </w:rPr>
            </w:pPr>
            <w:r w:rsidRPr="00543766">
              <w:rPr>
                <w:sz w:val="18"/>
                <w:szCs w:val="18"/>
                <w:lang w:eastAsia="en-AU"/>
              </w:rPr>
              <w:t>24.2</w:t>
            </w:r>
          </w:p>
        </w:tc>
        <w:tc>
          <w:tcPr>
            <w:tcW w:w="1044" w:type="dxa"/>
            <w:vAlign w:val="bottom"/>
          </w:tcPr>
          <w:p w14:paraId="24E089B4" w14:textId="0370BFA1" w:rsidR="00543766" w:rsidRPr="00543766" w:rsidRDefault="00543766" w:rsidP="00061EB3">
            <w:pPr>
              <w:pStyle w:val="Source"/>
              <w:jc w:val="right"/>
              <w:rPr>
                <w:sz w:val="18"/>
                <w:szCs w:val="18"/>
              </w:rPr>
            </w:pPr>
            <w:r w:rsidRPr="00543766">
              <w:rPr>
                <w:sz w:val="18"/>
                <w:szCs w:val="18"/>
                <w:lang w:eastAsia="en-AU"/>
              </w:rPr>
              <w:t xml:space="preserve">3,751.9 </w:t>
            </w:r>
          </w:p>
        </w:tc>
        <w:tc>
          <w:tcPr>
            <w:tcW w:w="696" w:type="dxa"/>
            <w:vAlign w:val="bottom"/>
          </w:tcPr>
          <w:p w14:paraId="550F7503" w14:textId="6205A109" w:rsidR="00543766" w:rsidRPr="00543766" w:rsidRDefault="00543766" w:rsidP="00061EB3">
            <w:pPr>
              <w:pStyle w:val="Source"/>
              <w:jc w:val="right"/>
              <w:rPr>
                <w:sz w:val="18"/>
                <w:szCs w:val="18"/>
              </w:rPr>
            </w:pPr>
            <w:r w:rsidRPr="00543766">
              <w:rPr>
                <w:sz w:val="18"/>
                <w:szCs w:val="18"/>
                <w:lang w:eastAsia="en-AU"/>
              </w:rPr>
              <w:t>24.0</w:t>
            </w:r>
          </w:p>
        </w:tc>
        <w:tc>
          <w:tcPr>
            <w:tcW w:w="808" w:type="dxa"/>
            <w:vAlign w:val="bottom"/>
          </w:tcPr>
          <w:p w14:paraId="4D08DDE3" w14:textId="4C4CC337" w:rsidR="00543766" w:rsidRPr="00543766" w:rsidRDefault="00543766" w:rsidP="00061EB3">
            <w:pPr>
              <w:pStyle w:val="Source"/>
              <w:jc w:val="right"/>
              <w:rPr>
                <w:sz w:val="18"/>
                <w:szCs w:val="18"/>
              </w:rPr>
            </w:pPr>
            <w:r w:rsidRPr="00543766">
              <w:rPr>
                <w:sz w:val="18"/>
                <w:szCs w:val="18"/>
                <w:lang w:eastAsia="en-AU"/>
              </w:rPr>
              <w:t xml:space="preserve">189.6 </w:t>
            </w:r>
          </w:p>
        </w:tc>
        <w:tc>
          <w:tcPr>
            <w:tcW w:w="606" w:type="dxa"/>
            <w:vAlign w:val="bottom"/>
          </w:tcPr>
          <w:p w14:paraId="68353996" w14:textId="27EB5864" w:rsidR="00543766" w:rsidRPr="00543766" w:rsidRDefault="00543766" w:rsidP="00061EB3">
            <w:pPr>
              <w:pStyle w:val="Source"/>
              <w:jc w:val="right"/>
              <w:rPr>
                <w:sz w:val="18"/>
                <w:szCs w:val="18"/>
              </w:rPr>
            </w:pPr>
            <w:r w:rsidRPr="00543766">
              <w:rPr>
                <w:sz w:val="18"/>
                <w:szCs w:val="18"/>
                <w:lang w:eastAsia="en-AU"/>
              </w:rPr>
              <w:t>5.3</w:t>
            </w:r>
          </w:p>
        </w:tc>
        <w:tc>
          <w:tcPr>
            <w:tcW w:w="1019" w:type="dxa"/>
            <w:vAlign w:val="bottom"/>
          </w:tcPr>
          <w:p w14:paraId="5CEF0D73" w14:textId="50A0D3BF" w:rsidR="00543766" w:rsidRPr="00543766" w:rsidRDefault="00543766" w:rsidP="00061EB3">
            <w:pPr>
              <w:pStyle w:val="Source"/>
              <w:jc w:val="right"/>
              <w:rPr>
                <w:sz w:val="18"/>
                <w:szCs w:val="18"/>
              </w:rPr>
            </w:pPr>
            <w:r w:rsidRPr="00543766">
              <w:rPr>
                <w:sz w:val="18"/>
                <w:szCs w:val="18"/>
                <w:lang w:eastAsia="en-AU"/>
              </w:rPr>
              <w:t xml:space="preserve">3,955.8 </w:t>
            </w:r>
          </w:p>
        </w:tc>
        <w:tc>
          <w:tcPr>
            <w:tcW w:w="723" w:type="dxa"/>
            <w:vAlign w:val="bottom"/>
          </w:tcPr>
          <w:p w14:paraId="59E3EC70" w14:textId="1B483ECB" w:rsidR="00543766" w:rsidRPr="00543766" w:rsidRDefault="00543766" w:rsidP="00061EB3">
            <w:pPr>
              <w:pStyle w:val="Source"/>
              <w:jc w:val="right"/>
              <w:rPr>
                <w:sz w:val="18"/>
                <w:szCs w:val="18"/>
              </w:rPr>
            </w:pPr>
            <w:r w:rsidRPr="00543766">
              <w:rPr>
                <w:sz w:val="18"/>
                <w:szCs w:val="18"/>
                <w:lang w:eastAsia="en-AU"/>
              </w:rPr>
              <w:t>23.8</w:t>
            </w:r>
          </w:p>
        </w:tc>
        <w:tc>
          <w:tcPr>
            <w:tcW w:w="817" w:type="dxa"/>
            <w:vAlign w:val="bottom"/>
          </w:tcPr>
          <w:p w14:paraId="17F2619A" w14:textId="6490451A" w:rsidR="00543766" w:rsidRPr="00543766" w:rsidRDefault="00543766" w:rsidP="00061EB3">
            <w:pPr>
              <w:pStyle w:val="Source"/>
              <w:jc w:val="right"/>
              <w:rPr>
                <w:sz w:val="18"/>
                <w:szCs w:val="18"/>
              </w:rPr>
            </w:pPr>
            <w:r w:rsidRPr="00543766">
              <w:rPr>
                <w:sz w:val="18"/>
                <w:szCs w:val="18"/>
                <w:lang w:eastAsia="en-AU"/>
              </w:rPr>
              <w:t xml:space="preserve">393.5 </w:t>
            </w:r>
          </w:p>
        </w:tc>
        <w:tc>
          <w:tcPr>
            <w:tcW w:w="600" w:type="dxa"/>
            <w:vAlign w:val="bottom"/>
          </w:tcPr>
          <w:p w14:paraId="48970D6A" w14:textId="60650AB0" w:rsidR="00543766" w:rsidRPr="00543766" w:rsidRDefault="00543766" w:rsidP="00061EB3">
            <w:pPr>
              <w:pStyle w:val="Source"/>
              <w:jc w:val="right"/>
              <w:rPr>
                <w:sz w:val="18"/>
                <w:szCs w:val="18"/>
              </w:rPr>
            </w:pPr>
            <w:r w:rsidRPr="00543766">
              <w:rPr>
                <w:sz w:val="18"/>
                <w:szCs w:val="18"/>
                <w:lang w:eastAsia="en-AU"/>
              </w:rPr>
              <w:t>11.0</w:t>
            </w:r>
          </w:p>
        </w:tc>
      </w:tr>
      <w:tr w:rsidR="00543766" w:rsidRPr="007F1C27" w14:paraId="04CD62A9" w14:textId="77777777" w:rsidTr="00802426">
        <w:tc>
          <w:tcPr>
            <w:tcW w:w="1357" w:type="dxa"/>
            <w:vAlign w:val="bottom"/>
          </w:tcPr>
          <w:p w14:paraId="6C40648C" w14:textId="0CF280CA" w:rsidR="00543766" w:rsidRPr="00543766" w:rsidRDefault="00543766" w:rsidP="00543766">
            <w:pPr>
              <w:pStyle w:val="Source"/>
              <w:rPr>
                <w:sz w:val="18"/>
                <w:szCs w:val="18"/>
              </w:rPr>
            </w:pPr>
            <w:r w:rsidRPr="00543766">
              <w:rPr>
                <w:sz w:val="18"/>
                <w:szCs w:val="18"/>
                <w:lang w:eastAsia="en-AU"/>
              </w:rPr>
              <w:t>Skill Level 5</w:t>
            </w:r>
          </w:p>
        </w:tc>
        <w:tc>
          <w:tcPr>
            <w:tcW w:w="1018" w:type="dxa"/>
            <w:vAlign w:val="bottom"/>
          </w:tcPr>
          <w:p w14:paraId="7D5E4A0A" w14:textId="0F468D2A" w:rsidR="00543766" w:rsidRPr="00543766" w:rsidRDefault="00543766" w:rsidP="00061EB3">
            <w:pPr>
              <w:pStyle w:val="Source"/>
              <w:jc w:val="right"/>
              <w:rPr>
                <w:sz w:val="18"/>
                <w:szCs w:val="18"/>
              </w:rPr>
            </w:pPr>
            <w:r w:rsidRPr="00543766">
              <w:rPr>
                <w:sz w:val="18"/>
                <w:szCs w:val="18"/>
                <w:lang w:eastAsia="en-AU"/>
              </w:rPr>
              <w:t xml:space="preserve">2,011.9 </w:t>
            </w:r>
          </w:p>
        </w:tc>
        <w:tc>
          <w:tcPr>
            <w:tcW w:w="669" w:type="dxa"/>
            <w:vAlign w:val="bottom"/>
          </w:tcPr>
          <w:p w14:paraId="254B5327" w14:textId="0A57F7F0" w:rsidR="00543766" w:rsidRPr="00543766" w:rsidRDefault="00543766" w:rsidP="00061EB3">
            <w:pPr>
              <w:pStyle w:val="Source"/>
              <w:jc w:val="right"/>
              <w:rPr>
                <w:sz w:val="18"/>
                <w:szCs w:val="18"/>
              </w:rPr>
            </w:pPr>
            <w:r w:rsidRPr="00543766">
              <w:rPr>
                <w:sz w:val="18"/>
                <w:szCs w:val="18"/>
                <w:lang w:eastAsia="en-AU"/>
              </w:rPr>
              <w:t>13.7</w:t>
            </w:r>
          </w:p>
        </w:tc>
        <w:tc>
          <w:tcPr>
            <w:tcW w:w="1044" w:type="dxa"/>
            <w:vAlign w:val="bottom"/>
          </w:tcPr>
          <w:p w14:paraId="55C1B9D6" w14:textId="0F39B3E6" w:rsidR="00543766" w:rsidRPr="00543766" w:rsidRDefault="00543766" w:rsidP="00061EB3">
            <w:pPr>
              <w:pStyle w:val="Source"/>
              <w:jc w:val="right"/>
              <w:rPr>
                <w:sz w:val="18"/>
                <w:szCs w:val="18"/>
              </w:rPr>
            </w:pPr>
            <w:r w:rsidRPr="00543766">
              <w:rPr>
                <w:sz w:val="18"/>
                <w:szCs w:val="18"/>
                <w:lang w:eastAsia="en-AU"/>
              </w:rPr>
              <w:t xml:space="preserve">2,036.2 </w:t>
            </w:r>
          </w:p>
        </w:tc>
        <w:tc>
          <w:tcPr>
            <w:tcW w:w="696" w:type="dxa"/>
            <w:vAlign w:val="bottom"/>
          </w:tcPr>
          <w:p w14:paraId="04032934" w14:textId="1571B54E" w:rsidR="00543766" w:rsidRPr="00543766" w:rsidRDefault="00543766" w:rsidP="00061EB3">
            <w:pPr>
              <w:pStyle w:val="Source"/>
              <w:jc w:val="right"/>
              <w:rPr>
                <w:sz w:val="18"/>
                <w:szCs w:val="18"/>
              </w:rPr>
            </w:pPr>
            <w:r w:rsidRPr="00543766">
              <w:rPr>
                <w:sz w:val="18"/>
                <w:szCs w:val="18"/>
                <w:lang w:eastAsia="en-AU"/>
              </w:rPr>
              <w:t>13.0</w:t>
            </w:r>
          </w:p>
        </w:tc>
        <w:tc>
          <w:tcPr>
            <w:tcW w:w="808" w:type="dxa"/>
            <w:vAlign w:val="bottom"/>
          </w:tcPr>
          <w:p w14:paraId="085056EF" w14:textId="68EF2B36" w:rsidR="00543766" w:rsidRPr="00543766" w:rsidRDefault="00543766" w:rsidP="00061EB3">
            <w:pPr>
              <w:pStyle w:val="Source"/>
              <w:jc w:val="right"/>
              <w:rPr>
                <w:sz w:val="18"/>
                <w:szCs w:val="18"/>
              </w:rPr>
            </w:pPr>
            <w:r w:rsidRPr="00543766">
              <w:rPr>
                <w:sz w:val="18"/>
                <w:szCs w:val="18"/>
                <w:lang w:eastAsia="en-AU"/>
              </w:rPr>
              <w:t xml:space="preserve">24.3 </w:t>
            </w:r>
          </w:p>
        </w:tc>
        <w:tc>
          <w:tcPr>
            <w:tcW w:w="606" w:type="dxa"/>
            <w:vAlign w:val="bottom"/>
          </w:tcPr>
          <w:p w14:paraId="0D23B44B" w14:textId="1B5D8F47" w:rsidR="00543766" w:rsidRPr="00543766" w:rsidRDefault="00543766" w:rsidP="00061EB3">
            <w:pPr>
              <w:pStyle w:val="Source"/>
              <w:jc w:val="right"/>
              <w:rPr>
                <w:sz w:val="18"/>
                <w:szCs w:val="18"/>
              </w:rPr>
            </w:pPr>
            <w:r w:rsidRPr="00543766">
              <w:rPr>
                <w:sz w:val="18"/>
                <w:szCs w:val="18"/>
                <w:lang w:eastAsia="en-AU"/>
              </w:rPr>
              <w:t>1.2</w:t>
            </w:r>
          </w:p>
        </w:tc>
        <w:tc>
          <w:tcPr>
            <w:tcW w:w="1019" w:type="dxa"/>
            <w:vAlign w:val="bottom"/>
          </w:tcPr>
          <w:p w14:paraId="2DC84DD4" w14:textId="2D38A010" w:rsidR="00543766" w:rsidRPr="00543766" w:rsidRDefault="00543766" w:rsidP="00061EB3">
            <w:pPr>
              <w:pStyle w:val="Source"/>
              <w:jc w:val="right"/>
              <w:rPr>
                <w:sz w:val="18"/>
                <w:szCs w:val="18"/>
              </w:rPr>
            </w:pPr>
            <w:r w:rsidRPr="00543766">
              <w:rPr>
                <w:sz w:val="18"/>
                <w:szCs w:val="18"/>
                <w:lang w:eastAsia="en-AU"/>
              </w:rPr>
              <w:t xml:space="preserve">2,120.5 </w:t>
            </w:r>
          </w:p>
        </w:tc>
        <w:tc>
          <w:tcPr>
            <w:tcW w:w="723" w:type="dxa"/>
            <w:vAlign w:val="bottom"/>
          </w:tcPr>
          <w:p w14:paraId="785E9AC6" w14:textId="5FF8F9DC" w:rsidR="00543766" w:rsidRPr="00543766" w:rsidRDefault="00543766" w:rsidP="00061EB3">
            <w:pPr>
              <w:pStyle w:val="Source"/>
              <w:jc w:val="right"/>
              <w:rPr>
                <w:sz w:val="18"/>
                <w:szCs w:val="18"/>
              </w:rPr>
            </w:pPr>
            <w:r w:rsidRPr="00543766">
              <w:rPr>
                <w:sz w:val="18"/>
                <w:szCs w:val="18"/>
                <w:lang w:eastAsia="en-AU"/>
              </w:rPr>
              <w:t>12.7</w:t>
            </w:r>
          </w:p>
        </w:tc>
        <w:tc>
          <w:tcPr>
            <w:tcW w:w="817" w:type="dxa"/>
            <w:vAlign w:val="bottom"/>
          </w:tcPr>
          <w:p w14:paraId="6064992F" w14:textId="3B1F61C0" w:rsidR="00543766" w:rsidRPr="00543766" w:rsidRDefault="00543766" w:rsidP="00061EB3">
            <w:pPr>
              <w:pStyle w:val="Source"/>
              <w:jc w:val="right"/>
              <w:rPr>
                <w:sz w:val="18"/>
                <w:szCs w:val="18"/>
              </w:rPr>
            </w:pPr>
            <w:r w:rsidRPr="00543766">
              <w:rPr>
                <w:sz w:val="18"/>
                <w:szCs w:val="18"/>
                <w:lang w:eastAsia="en-AU"/>
              </w:rPr>
              <w:t xml:space="preserve">108.7 </w:t>
            </w:r>
          </w:p>
        </w:tc>
        <w:tc>
          <w:tcPr>
            <w:tcW w:w="600" w:type="dxa"/>
            <w:vAlign w:val="bottom"/>
          </w:tcPr>
          <w:p w14:paraId="0E5598A3" w14:textId="1C9AD8D7" w:rsidR="00543766" w:rsidRPr="00543766" w:rsidRDefault="00543766" w:rsidP="00061EB3">
            <w:pPr>
              <w:pStyle w:val="Source"/>
              <w:jc w:val="right"/>
              <w:rPr>
                <w:sz w:val="18"/>
                <w:szCs w:val="18"/>
              </w:rPr>
            </w:pPr>
            <w:r w:rsidRPr="00543766">
              <w:rPr>
                <w:sz w:val="18"/>
                <w:szCs w:val="18"/>
                <w:lang w:eastAsia="en-AU"/>
              </w:rPr>
              <w:t>5.4</w:t>
            </w:r>
          </w:p>
        </w:tc>
      </w:tr>
      <w:tr w:rsidR="00543766" w:rsidRPr="007F1C27" w14:paraId="02595184" w14:textId="77777777" w:rsidTr="00802426">
        <w:trPr>
          <w:cnfStyle w:val="000000010000" w:firstRow="0" w:lastRow="0" w:firstColumn="0" w:lastColumn="0" w:oddVBand="0" w:evenVBand="0" w:oddHBand="0" w:evenHBand="1" w:firstRowFirstColumn="0" w:firstRowLastColumn="0" w:lastRowFirstColumn="0" w:lastRowLastColumn="0"/>
        </w:trPr>
        <w:tc>
          <w:tcPr>
            <w:tcW w:w="1357" w:type="dxa"/>
            <w:vAlign w:val="bottom"/>
          </w:tcPr>
          <w:p w14:paraId="564E9EC5" w14:textId="15E34B79" w:rsidR="00543766" w:rsidRPr="00543766" w:rsidRDefault="00543766" w:rsidP="00543766">
            <w:pPr>
              <w:pStyle w:val="Source"/>
              <w:rPr>
                <w:sz w:val="18"/>
                <w:szCs w:val="18"/>
              </w:rPr>
            </w:pPr>
            <w:r w:rsidRPr="00543766">
              <w:rPr>
                <w:sz w:val="18"/>
                <w:szCs w:val="18"/>
                <w:lang w:eastAsia="en-AU"/>
              </w:rPr>
              <w:t>Australia</w:t>
            </w:r>
          </w:p>
        </w:tc>
        <w:tc>
          <w:tcPr>
            <w:tcW w:w="1018" w:type="dxa"/>
            <w:vAlign w:val="bottom"/>
          </w:tcPr>
          <w:p w14:paraId="212DE04F" w14:textId="7F2D90AD" w:rsidR="00543766" w:rsidRPr="00543766" w:rsidRDefault="00543766" w:rsidP="00061EB3">
            <w:pPr>
              <w:pStyle w:val="Source"/>
              <w:jc w:val="right"/>
              <w:rPr>
                <w:sz w:val="18"/>
                <w:szCs w:val="18"/>
              </w:rPr>
            </w:pPr>
            <w:r w:rsidRPr="00543766">
              <w:rPr>
                <w:sz w:val="18"/>
                <w:szCs w:val="18"/>
                <w:lang w:eastAsia="en-AU"/>
              </w:rPr>
              <w:t xml:space="preserve">14,701.0 </w:t>
            </w:r>
          </w:p>
        </w:tc>
        <w:tc>
          <w:tcPr>
            <w:tcW w:w="669" w:type="dxa"/>
            <w:vAlign w:val="bottom"/>
          </w:tcPr>
          <w:p w14:paraId="7802EA06" w14:textId="2F5F977C" w:rsidR="00543766" w:rsidRPr="00543766" w:rsidRDefault="00543766" w:rsidP="00061EB3">
            <w:pPr>
              <w:pStyle w:val="Source"/>
              <w:jc w:val="right"/>
              <w:rPr>
                <w:sz w:val="18"/>
                <w:szCs w:val="18"/>
              </w:rPr>
            </w:pPr>
            <w:r w:rsidRPr="00543766">
              <w:rPr>
                <w:sz w:val="18"/>
                <w:szCs w:val="18"/>
                <w:lang w:eastAsia="en-AU"/>
              </w:rPr>
              <w:t>n</w:t>
            </w:r>
            <w:r w:rsidRPr="00543766">
              <w:rPr>
                <w:sz w:val="18"/>
                <w:szCs w:val="18"/>
              </w:rPr>
              <w:t>/</w:t>
            </w:r>
            <w:r w:rsidRPr="00543766">
              <w:rPr>
                <w:sz w:val="18"/>
                <w:szCs w:val="18"/>
                <w:lang w:eastAsia="en-AU"/>
              </w:rPr>
              <w:t>a</w:t>
            </w:r>
          </w:p>
        </w:tc>
        <w:tc>
          <w:tcPr>
            <w:tcW w:w="1044" w:type="dxa"/>
            <w:vAlign w:val="bottom"/>
          </w:tcPr>
          <w:p w14:paraId="22D8D248" w14:textId="0CEF4138" w:rsidR="00543766" w:rsidRPr="00543766" w:rsidRDefault="00543766" w:rsidP="00061EB3">
            <w:pPr>
              <w:pStyle w:val="Source"/>
              <w:jc w:val="right"/>
              <w:rPr>
                <w:sz w:val="18"/>
                <w:szCs w:val="18"/>
              </w:rPr>
            </w:pPr>
            <w:r w:rsidRPr="00543766">
              <w:rPr>
                <w:sz w:val="18"/>
                <w:szCs w:val="18"/>
                <w:lang w:eastAsia="en-AU"/>
              </w:rPr>
              <w:t xml:space="preserve">15,662.0 </w:t>
            </w:r>
          </w:p>
        </w:tc>
        <w:tc>
          <w:tcPr>
            <w:tcW w:w="696" w:type="dxa"/>
            <w:vAlign w:val="bottom"/>
          </w:tcPr>
          <w:p w14:paraId="7307CF6C" w14:textId="5D4D5701" w:rsidR="00543766" w:rsidRPr="00543766" w:rsidRDefault="00543766" w:rsidP="00061EB3">
            <w:pPr>
              <w:pStyle w:val="Source"/>
              <w:jc w:val="right"/>
              <w:rPr>
                <w:sz w:val="18"/>
                <w:szCs w:val="18"/>
              </w:rPr>
            </w:pPr>
            <w:r w:rsidRPr="00543766">
              <w:rPr>
                <w:sz w:val="18"/>
                <w:szCs w:val="18"/>
                <w:lang w:eastAsia="en-AU"/>
              </w:rPr>
              <w:t>n</w:t>
            </w:r>
            <w:r w:rsidRPr="00543766">
              <w:rPr>
                <w:sz w:val="18"/>
                <w:szCs w:val="18"/>
              </w:rPr>
              <w:t>/</w:t>
            </w:r>
            <w:r w:rsidRPr="00543766">
              <w:rPr>
                <w:sz w:val="18"/>
                <w:szCs w:val="18"/>
                <w:lang w:eastAsia="en-AU"/>
              </w:rPr>
              <w:t>a</w:t>
            </w:r>
          </w:p>
        </w:tc>
        <w:tc>
          <w:tcPr>
            <w:tcW w:w="808" w:type="dxa"/>
            <w:vAlign w:val="bottom"/>
          </w:tcPr>
          <w:p w14:paraId="0DAD5614" w14:textId="22A7B5B5" w:rsidR="00543766" w:rsidRPr="00543766" w:rsidRDefault="00543766" w:rsidP="00061EB3">
            <w:pPr>
              <w:pStyle w:val="Source"/>
              <w:jc w:val="right"/>
              <w:rPr>
                <w:sz w:val="18"/>
                <w:szCs w:val="18"/>
              </w:rPr>
            </w:pPr>
            <w:r w:rsidRPr="00543766">
              <w:rPr>
                <w:sz w:val="18"/>
                <w:szCs w:val="18"/>
                <w:lang w:eastAsia="en-AU"/>
              </w:rPr>
              <w:t xml:space="preserve">961.0 </w:t>
            </w:r>
          </w:p>
        </w:tc>
        <w:tc>
          <w:tcPr>
            <w:tcW w:w="606" w:type="dxa"/>
            <w:vAlign w:val="bottom"/>
          </w:tcPr>
          <w:p w14:paraId="4DCBE9D9" w14:textId="77FBB5C0" w:rsidR="00543766" w:rsidRPr="00543766" w:rsidRDefault="00543766" w:rsidP="00061EB3">
            <w:pPr>
              <w:pStyle w:val="Source"/>
              <w:jc w:val="right"/>
              <w:rPr>
                <w:sz w:val="18"/>
                <w:szCs w:val="18"/>
              </w:rPr>
            </w:pPr>
            <w:r w:rsidRPr="00543766">
              <w:rPr>
                <w:sz w:val="18"/>
                <w:szCs w:val="18"/>
                <w:lang w:eastAsia="en-AU"/>
              </w:rPr>
              <w:t>6.5</w:t>
            </w:r>
          </w:p>
        </w:tc>
        <w:tc>
          <w:tcPr>
            <w:tcW w:w="1019" w:type="dxa"/>
            <w:vAlign w:val="bottom"/>
          </w:tcPr>
          <w:p w14:paraId="22D70698" w14:textId="40EF4F9D" w:rsidR="00543766" w:rsidRPr="00543766" w:rsidRDefault="00543766" w:rsidP="00061EB3">
            <w:pPr>
              <w:pStyle w:val="Source"/>
              <w:jc w:val="right"/>
              <w:rPr>
                <w:sz w:val="18"/>
                <w:szCs w:val="18"/>
              </w:rPr>
            </w:pPr>
            <w:r w:rsidRPr="00543766">
              <w:rPr>
                <w:sz w:val="18"/>
                <w:szCs w:val="18"/>
                <w:lang w:eastAsia="en-AU"/>
              </w:rPr>
              <w:t xml:space="preserve">16,655.5 </w:t>
            </w:r>
          </w:p>
        </w:tc>
        <w:tc>
          <w:tcPr>
            <w:tcW w:w="723" w:type="dxa"/>
            <w:vAlign w:val="bottom"/>
          </w:tcPr>
          <w:p w14:paraId="2E24CA1D" w14:textId="7522C978" w:rsidR="00543766" w:rsidRPr="00543766" w:rsidRDefault="00543766" w:rsidP="00061EB3">
            <w:pPr>
              <w:pStyle w:val="Source"/>
              <w:jc w:val="right"/>
              <w:rPr>
                <w:sz w:val="18"/>
                <w:szCs w:val="18"/>
              </w:rPr>
            </w:pPr>
            <w:r w:rsidRPr="00543766">
              <w:rPr>
                <w:sz w:val="18"/>
                <w:szCs w:val="18"/>
                <w:lang w:eastAsia="en-AU"/>
              </w:rPr>
              <w:t>n</w:t>
            </w:r>
            <w:r w:rsidRPr="00543766">
              <w:rPr>
                <w:sz w:val="18"/>
                <w:szCs w:val="18"/>
              </w:rPr>
              <w:t>/</w:t>
            </w:r>
            <w:r w:rsidRPr="00543766">
              <w:rPr>
                <w:sz w:val="18"/>
                <w:szCs w:val="18"/>
                <w:lang w:eastAsia="en-AU"/>
              </w:rPr>
              <w:t>a</w:t>
            </w:r>
          </w:p>
        </w:tc>
        <w:tc>
          <w:tcPr>
            <w:tcW w:w="817" w:type="dxa"/>
            <w:vAlign w:val="bottom"/>
          </w:tcPr>
          <w:p w14:paraId="546A8CA8" w14:textId="2CEA7DDB" w:rsidR="00543766" w:rsidRPr="00543766" w:rsidRDefault="00543766" w:rsidP="00061EB3">
            <w:pPr>
              <w:pStyle w:val="Source"/>
              <w:jc w:val="right"/>
              <w:rPr>
                <w:sz w:val="18"/>
                <w:szCs w:val="18"/>
              </w:rPr>
            </w:pPr>
            <w:r w:rsidRPr="00543766">
              <w:rPr>
                <w:sz w:val="18"/>
                <w:szCs w:val="18"/>
                <w:lang w:eastAsia="en-AU"/>
              </w:rPr>
              <w:t xml:space="preserve">1,954.5 </w:t>
            </w:r>
          </w:p>
        </w:tc>
        <w:tc>
          <w:tcPr>
            <w:tcW w:w="600" w:type="dxa"/>
            <w:vAlign w:val="bottom"/>
          </w:tcPr>
          <w:p w14:paraId="16A2E5DF" w14:textId="63782CE5" w:rsidR="00543766" w:rsidRPr="00543766" w:rsidRDefault="00543766" w:rsidP="00061EB3">
            <w:pPr>
              <w:pStyle w:val="Source"/>
              <w:jc w:val="right"/>
              <w:rPr>
                <w:sz w:val="18"/>
                <w:szCs w:val="18"/>
              </w:rPr>
            </w:pPr>
            <w:r w:rsidRPr="00543766">
              <w:rPr>
                <w:sz w:val="18"/>
                <w:szCs w:val="18"/>
                <w:lang w:eastAsia="en-AU"/>
              </w:rPr>
              <w:t>13.3</w:t>
            </w:r>
          </w:p>
        </w:tc>
      </w:tr>
    </w:tbl>
    <w:p w14:paraId="218AD225" w14:textId="61512034" w:rsidR="0067444C" w:rsidRDefault="0067444C" w:rsidP="0067444C">
      <w:pPr>
        <w:pStyle w:val="Source"/>
      </w:pPr>
      <w:r w:rsidRPr="001D0DC3">
        <w:t>Source: 202</w:t>
      </w:r>
      <w:r>
        <w:t>5</w:t>
      </w:r>
      <w:r w:rsidRPr="001D0DC3">
        <w:t>-203</w:t>
      </w:r>
      <w:r>
        <w:t>5</w:t>
      </w:r>
      <w:r w:rsidRPr="001D0DC3">
        <w:t xml:space="preserve"> Employment Projections, produced by </w:t>
      </w:r>
      <w:r w:rsidR="00634691">
        <w:t>VU</w:t>
      </w:r>
      <w:r w:rsidRPr="001D0DC3">
        <w:t xml:space="preserve"> for </w:t>
      </w:r>
      <w:r>
        <w:t>JSA.</w:t>
      </w:r>
    </w:p>
    <w:p w14:paraId="65ACA3E4" w14:textId="7EDFEA11" w:rsidR="0067444C" w:rsidRPr="001D0DC3" w:rsidRDefault="0067444C" w:rsidP="0067444C">
      <w:pPr>
        <w:pStyle w:val="Source"/>
      </w:pPr>
      <w:r w:rsidRPr="001D0DC3">
        <w:t xml:space="preserve">Note: Skill </w:t>
      </w:r>
      <w:r>
        <w:t>L</w:t>
      </w:r>
      <w:r w:rsidRPr="001D0DC3">
        <w:t xml:space="preserve">evel 1 relates to bachelor’s degree or higher qualification; Skill </w:t>
      </w:r>
      <w:r>
        <w:t>L</w:t>
      </w:r>
      <w:r w:rsidRPr="001D0DC3">
        <w:t xml:space="preserve">evel 2 relates to advanced diploma or diploma; Skill </w:t>
      </w:r>
      <w:r>
        <w:t>L</w:t>
      </w:r>
      <w:r w:rsidRPr="001D0DC3">
        <w:t xml:space="preserve">evel 3 relates to Certificate IV or III (including at least 2 years’ on-the-job training); Skill </w:t>
      </w:r>
      <w:r>
        <w:t>L</w:t>
      </w:r>
      <w:r w:rsidRPr="001D0DC3">
        <w:t>evel 4 relates to Certificate II or III; Skill Level 5 relates to Certificate I or secondary education.</w:t>
      </w:r>
    </w:p>
    <w:p w14:paraId="610FE779" w14:textId="77777777" w:rsidR="00354A22" w:rsidRPr="0036788A" w:rsidRDefault="00354A22" w:rsidP="00354A22">
      <w:pPr>
        <w:pStyle w:val="Source"/>
      </w:pPr>
      <w:r>
        <w:t>Note: Emp't Is the abbreviation for 'Employment'.</w:t>
      </w:r>
    </w:p>
    <w:p w14:paraId="646DF7B6" w14:textId="77777777" w:rsidR="006B7537" w:rsidRDefault="006B7537">
      <w:pPr>
        <w:spacing w:after="200" w:line="276" w:lineRule="auto"/>
        <w:rPr>
          <w:b/>
          <w:bCs/>
          <w:color w:val="012749"/>
          <w:sz w:val="18"/>
          <w:szCs w:val="18"/>
        </w:rPr>
      </w:pPr>
      <w:r>
        <w:br w:type="page"/>
      </w:r>
    </w:p>
    <w:p w14:paraId="765FC954" w14:textId="0A55ADFE" w:rsidR="00543766" w:rsidRDefault="006B7537" w:rsidP="00543766">
      <w:pPr>
        <w:pStyle w:val="Caption"/>
      </w:pPr>
      <w:r>
        <w:t xml:space="preserve">Table </w:t>
      </w:r>
      <w:r w:rsidR="001B151E">
        <w:fldChar w:fldCharType="begin"/>
      </w:r>
      <w:r w:rsidR="001B151E">
        <w:instrText xml:space="preserve"> SEQ Table \* ARABIC </w:instrText>
      </w:r>
      <w:r w:rsidR="001B151E">
        <w:fldChar w:fldCharType="separate"/>
      </w:r>
      <w:r w:rsidR="009E6E1D">
        <w:rPr>
          <w:noProof/>
        </w:rPr>
        <w:t>12</w:t>
      </w:r>
      <w:r w:rsidR="001B151E">
        <w:fldChar w:fldCharType="end"/>
      </w:r>
      <w:r>
        <w:t xml:space="preserve">: </w:t>
      </w:r>
      <w:r w:rsidRPr="0032105B">
        <w:t>‘Unconstrained skill supply scenario’ - Projected employment growth over the next 5 and 10 years, by skill level</w:t>
      </w:r>
      <w:r>
        <w:t xml:space="preserve"> </w:t>
      </w:r>
    </w:p>
    <w:tbl>
      <w:tblPr>
        <w:tblStyle w:val="CustomTablebasic"/>
        <w:tblW w:w="0" w:type="auto"/>
        <w:tblBorders>
          <w:top w:val="single" w:sz="4" w:space="0" w:color="4B0985" w:themeColor="text2"/>
          <w:left w:val="single" w:sz="4" w:space="0" w:color="4B0985" w:themeColor="text2"/>
          <w:bottom w:val="single" w:sz="4" w:space="0" w:color="4B0985" w:themeColor="text2"/>
          <w:right w:val="single" w:sz="4" w:space="0" w:color="4B0985" w:themeColor="text2"/>
          <w:insideH w:val="single" w:sz="4" w:space="0" w:color="4B0985" w:themeColor="text2"/>
          <w:insideV w:val="single" w:sz="4" w:space="0" w:color="4B0985" w:themeColor="text2"/>
        </w:tblBorders>
        <w:tblLayout w:type="fixed"/>
        <w:tblLook w:val="04A0" w:firstRow="1" w:lastRow="0" w:firstColumn="1" w:lastColumn="0" w:noHBand="0" w:noVBand="1"/>
      </w:tblPr>
      <w:tblGrid>
        <w:gridCol w:w="1838"/>
        <w:gridCol w:w="992"/>
        <w:gridCol w:w="993"/>
        <w:gridCol w:w="1134"/>
        <w:gridCol w:w="850"/>
        <w:gridCol w:w="1134"/>
        <w:gridCol w:w="851"/>
        <w:gridCol w:w="965"/>
        <w:gridCol w:w="600"/>
      </w:tblGrid>
      <w:tr w:rsidR="00543766" w:rsidRPr="00543766" w14:paraId="69038862" w14:textId="77777777" w:rsidTr="00E27623">
        <w:trPr>
          <w:cnfStyle w:val="100000000000" w:firstRow="1" w:lastRow="0" w:firstColumn="0" w:lastColumn="0" w:oddVBand="0" w:evenVBand="0" w:oddHBand="0" w:evenHBand="0" w:firstRowFirstColumn="0" w:firstRowLastColumn="0" w:lastRowFirstColumn="0" w:lastRowLastColumn="0"/>
          <w:trHeight w:val="357"/>
          <w:tblHeader/>
        </w:trPr>
        <w:tc>
          <w:tcPr>
            <w:tcW w:w="1838" w:type="dxa"/>
            <w:vMerge w:val="restart"/>
            <w:tcBorders>
              <w:right w:val="single" w:sz="4" w:space="0" w:color="FFFFFF" w:themeColor="background1"/>
            </w:tcBorders>
            <w:vAlign w:val="center"/>
          </w:tcPr>
          <w:p w14:paraId="6A43CC6E" w14:textId="77777777" w:rsidR="00543766" w:rsidRPr="00543766" w:rsidRDefault="00543766" w:rsidP="00802426">
            <w:pPr>
              <w:pStyle w:val="TableHeading1"/>
              <w:rPr>
                <w:sz w:val="18"/>
                <w:szCs w:val="18"/>
              </w:rPr>
            </w:pPr>
            <w:r w:rsidRPr="00543766">
              <w:rPr>
                <w:sz w:val="18"/>
                <w:szCs w:val="18"/>
              </w:rPr>
              <w:t>Skill Level</w:t>
            </w:r>
          </w:p>
        </w:tc>
        <w:tc>
          <w:tcPr>
            <w:tcW w:w="1985" w:type="dxa"/>
            <w:gridSpan w:val="2"/>
            <w:tcBorders>
              <w:left w:val="single" w:sz="4" w:space="0" w:color="FFFFFF" w:themeColor="background1"/>
              <w:right w:val="single" w:sz="4" w:space="0" w:color="FFFFFF" w:themeColor="background1"/>
            </w:tcBorders>
            <w:vAlign w:val="center"/>
          </w:tcPr>
          <w:p w14:paraId="46067C11" w14:textId="76D3AB4D" w:rsidR="00543766" w:rsidRPr="00543766" w:rsidRDefault="00543766" w:rsidP="00802426">
            <w:pPr>
              <w:pStyle w:val="TableHeading1"/>
              <w:rPr>
                <w:sz w:val="18"/>
                <w:szCs w:val="18"/>
              </w:rPr>
            </w:pPr>
            <w:r w:rsidRPr="00543766">
              <w:rPr>
                <w:sz w:val="18"/>
                <w:szCs w:val="18"/>
              </w:rPr>
              <w:t>Current Employment</w:t>
            </w:r>
          </w:p>
        </w:tc>
        <w:tc>
          <w:tcPr>
            <w:tcW w:w="1984" w:type="dxa"/>
            <w:gridSpan w:val="2"/>
            <w:tcBorders>
              <w:left w:val="single" w:sz="4" w:space="0" w:color="FFFFFF" w:themeColor="background1"/>
              <w:right w:val="single" w:sz="4" w:space="0" w:color="FFFFFF" w:themeColor="background1"/>
            </w:tcBorders>
            <w:vAlign w:val="center"/>
          </w:tcPr>
          <w:p w14:paraId="01D2656E" w14:textId="5E5F5C74" w:rsidR="00543766" w:rsidRPr="00543766" w:rsidRDefault="00543766" w:rsidP="00802426">
            <w:pPr>
              <w:pStyle w:val="TableHeading1"/>
              <w:rPr>
                <w:sz w:val="18"/>
                <w:szCs w:val="18"/>
              </w:rPr>
            </w:pPr>
            <w:r w:rsidRPr="00543766">
              <w:rPr>
                <w:sz w:val="18"/>
                <w:szCs w:val="18"/>
              </w:rPr>
              <w:t>Baseline Projection</w:t>
            </w:r>
          </w:p>
        </w:tc>
        <w:tc>
          <w:tcPr>
            <w:tcW w:w="3550" w:type="dxa"/>
            <w:gridSpan w:val="4"/>
            <w:tcBorders>
              <w:left w:val="single" w:sz="4" w:space="0" w:color="FFFFFF" w:themeColor="background1"/>
            </w:tcBorders>
            <w:vAlign w:val="center"/>
          </w:tcPr>
          <w:p w14:paraId="7F89EAD9" w14:textId="393D80AE" w:rsidR="00543766" w:rsidRPr="00543766" w:rsidRDefault="00543766" w:rsidP="00802426">
            <w:pPr>
              <w:pStyle w:val="TableHeading1"/>
              <w:rPr>
                <w:sz w:val="18"/>
                <w:szCs w:val="18"/>
              </w:rPr>
            </w:pPr>
            <w:r w:rsidRPr="00543766">
              <w:rPr>
                <w:sz w:val="18"/>
                <w:szCs w:val="18"/>
              </w:rPr>
              <w:t>Unconstrained Supply Scenario Projection</w:t>
            </w:r>
          </w:p>
        </w:tc>
      </w:tr>
      <w:tr w:rsidR="00543766" w:rsidRPr="00543766" w14:paraId="2D6E87F6" w14:textId="77777777" w:rsidTr="00E27623">
        <w:trPr>
          <w:cnfStyle w:val="100000000000" w:firstRow="1" w:lastRow="0" w:firstColumn="0" w:lastColumn="0" w:oddVBand="0" w:evenVBand="0" w:oddHBand="0" w:evenHBand="0" w:firstRowFirstColumn="0" w:firstRowLastColumn="0" w:lastRowFirstColumn="0" w:lastRowLastColumn="0"/>
          <w:trHeight w:val="207"/>
          <w:tblHeader/>
        </w:trPr>
        <w:tc>
          <w:tcPr>
            <w:tcW w:w="1838" w:type="dxa"/>
            <w:vMerge/>
            <w:vAlign w:val="center"/>
          </w:tcPr>
          <w:p w14:paraId="47940A9E" w14:textId="77777777" w:rsidR="00543766" w:rsidRPr="00543766" w:rsidRDefault="00543766" w:rsidP="00802426">
            <w:pPr>
              <w:pStyle w:val="TableHeading1"/>
              <w:rPr>
                <w:sz w:val="18"/>
                <w:szCs w:val="18"/>
              </w:rPr>
            </w:pPr>
          </w:p>
        </w:tc>
        <w:tc>
          <w:tcPr>
            <w:tcW w:w="992" w:type="dxa"/>
            <w:vMerge w:val="restart"/>
            <w:shd w:val="clear" w:color="auto" w:fill="E0D1F5" w:themeFill="accent1" w:themeFillTint="33"/>
            <w:textDirection w:val="btLr"/>
            <w:vAlign w:val="center"/>
          </w:tcPr>
          <w:p w14:paraId="15682246" w14:textId="77777777" w:rsidR="00543766" w:rsidRPr="00543766" w:rsidRDefault="00543766" w:rsidP="00802426">
            <w:pPr>
              <w:pStyle w:val="TableHeading1"/>
              <w:ind w:left="113" w:right="113"/>
              <w:rPr>
                <w:sz w:val="18"/>
                <w:szCs w:val="18"/>
              </w:rPr>
            </w:pPr>
            <w:r w:rsidRPr="00543766">
              <w:rPr>
                <w:sz w:val="18"/>
                <w:szCs w:val="18"/>
              </w:rPr>
              <w:t>Emp't ('000)</w:t>
            </w:r>
            <w:r w:rsidRPr="00543766">
              <w:rPr>
                <w:sz w:val="18"/>
                <w:szCs w:val="18"/>
              </w:rPr>
              <w:br/>
              <w:t>May 2025</w:t>
            </w:r>
          </w:p>
        </w:tc>
        <w:tc>
          <w:tcPr>
            <w:tcW w:w="993" w:type="dxa"/>
            <w:vMerge w:val="restart"/>
            <w:shd w:val="clear" w:color="auto" w:fill="E0D1F5" w:themeFill="accent1" w:themeFillTint="33"/>
            <w:textDirection w:val="btLr"/>
            <w:vAlign w:val="center"/>
          </w:tcPr>
          <w:p w14:paraId="56F786DC" w14:textId="77777777" w:rsidR="00543766" w:rsidRPr="00543766" w:rsidRDefault="00543766" w:rsidP="00802426">
            <w:pPr>
              <w:pStyle w:val="Source"/>
              <w:ind w:left="113" w:right="113"/>
              <w:rPr>
                <w:sz w:val="18"/>
                <w:szCs w:val="18"/>
              </w:rPr>
            </w:pPr>
            <w:r w:rsidRPr="00543766">
              <w:rPr>
                <w:sz w:val="18"/>
                <w:szCs w:val="18"/>
              </w:rPr>
              <w:t>Share of total emp't (%)</w:t>
            </w:r>
          </w:p>
        </w:tc>
        <w:tc>
          <w:tcPr>
            <w:tcW w:w="1134" w:type="dxa"/>
            <w:vMerge w:val="restart"/>
            <w:shd w:val="clear" w:color="auto" w:fill="E0D1F5" w:themeFill="accent1" w:themeFillTint="33"/>
            <w:textDirection w:val="btLr"/>
            <w:vAlign w:val="center"/>
          </w:tcPr>
          <w:p w14:paraId="70FD7EEF" w14:textId="55B133EC" w:rsidR="00543766" w:rsidRPr="00543766" w:rsidRDefault="00543766" w:rsidP="00802426">
            <w:pPr>
              <w:pStyle w:val="TableHeading1"/>
              <w:ind w:left="113" w:right="113"/>
              <w:rPr>
                <w:sz w:val="18"/>
                <w:szCs w:val="18"/>
              </w:rPr>
            </w:pPr>
            <w:r w:rsidRPr="00543766">
              <w:rPr>
                <w:sz w:val="18"/>
                <w:szCs w:val="18"/>
              </w:rPr>
              <w:t>Emp't ('000)</w:t>
            </w:r>
            <w:r w:rsidRPr="00543766">
              <w:rPr>
                <w:sz w:val="18"/>
                <w:szCs w:val="18"/>
              </w:rPr>
              <w:br/>
              <w:t>May 2035</w:t>
            </w:r>
          </w:p>
        </w:tc>
        <w:tc>
          <w:tcPr>
            <w:tcW w:w="850" w:type="dxa"/>
            <w:vMerge w:val="restart"/>
            <w:shd w:val="clear" w:color="auto" w:fill="E0D1F5" w:themeFill="accent1" w:themeFillTint="33"/>
            <w:textDirection w:val="btLr"/>
            <w:vAlign w:val="center"/>
          </w:tcPr>
          <w:p w14:paraId="18A74742" w14:textId="3D7857DB" w:rsidR="00543766" w:rsidRPr="00543766" w:rsidRDefault="00543766" w:rsidP="00802426">
            <w:pPr>
              <w:pStyle w:val="Source"/>
              <w:ind w:left="113" w:right="113"/>
              <w:rPr>
                <w:sz w:val="18"/>
                <w:szCs w:val="18"/>
              </w:rPr>
            </w:pPr>
            <w:r w:rsidRPr="00543766">
              <w:rPr>
                <w:sz w:val="18"/>
                <w:szCs w:val="18"/>
                <w:lang w:eastAsia="en-AU"/>
              </w:rPr>
              <w:t>Share of employment</w:t>
            </w:r>
            <w:r w:rsidRPr="00543766">
              <w:rPr>
                <w:sz w:val="18"/>
                <w:szCs w:val="18"/>
              </w:rPr>
              <w:t xml:space="preserve"> (%)</w:t>
            </w:r>
          </w:p>
        </w:tc>
        <w:tc>
          <w:tcPr>
            <w:tcW w:w="1134" w:type="dxa"/>
            <w:vMerge w:val="restart"/>
            <w:shd w:val="clear" w:color="auto" w:fill="E0D1F5" w:themeFill="accent1" w:themeFillTint="33"/>
            <w:textDirection w:val="btLr"/>
            <w:vAlign w:val="center"/>
          </w:tcPr>
          <w:p w14:paraId="6465800C" w14:textId="38B52BE5" w:rsidR="00543766" w:rsidRPr="00543766" w:rsidRDefault="00543766" w:rsidP="00802426">
            <w:pPr>
              <w:pStyle w:val="TableHeading1"/>
              <w:ind w:left="113" w:right="113"/>
              <w:rPr>
                <w:sz w:val="18"/>
                <w:szCs w:val="18"/>
              </w:rPr>
            </w:pPr>
            <w:r w:rsidRPr="00543766">
              <w:rPr>
                <w:sz w:val="18"/>
                <w:szCs w:val="18"/>
              </w:rPr>
              <w:t xml:space="preserve">Emp't ('000) </w:t>
            </w:r>
            <w:r w:rsidRPr="00543766">
              <w:rPr>
                <w:sz w:val="18"/>
                <w:szCs w:val="18"/>
              </w:rPr>
              <w:br/>
              <w:t>May 2034</w:t>
            </w:r>
          </w:p>
        </w:tc>
        <w:tc>
          <w:tcPr>
            <w:tcW w:w="851" w:type="dxa"/>
            <w:vMerge w:val="restart"/>
            <w:shd w:val="clear" w:color="auto" w:fill="E0D1F5" w:themeFill="accent1" w:themeFillTint="33"/>
            <w:textDirection w:val="btLr"/>
            <w:vAlign w:val="center"/>
          </w:tcPr>
          <w:p w14:paraId="24EE3ABB" w14:textId="77777777" w:rsidR="00543766" w:rsidRPr="00543766" w:rsidRDefault="00543766" w:rsidP="00802426">
            <w:pPr>
              <w:pStyle w:val="Source"/>
              <w:ind w:left="113" w:right="113"/>
              <w:rPr>
                <w:sz w:val="18"/>
                <w:szCs w:val="18"/>
              </w:rPr>
            </w:pPr>
            <w:r w:rsidRPr="00543766">
              <w:rPr>
                <w:sz w:val="18"/>
                <w:szCs w:val="18"/>
              </w:rPr>
              <w:t>Share of total emp't (%)</w:t>
            </w:r>
          </w:p>
        </w:tc>
        <w:tc>
          <w:tcPr>
            <w:tcW w:w="1565" w:type="dxa"/>
            <w:gridSpan w:val="2"/>
            <w:shd w:val="clear" w:color="auto" w:fill="E0D1F5" w:themeFill="accent1" w:themeFillTint="33"/>
            <w:vAlign w:val="center"/>
          </w:tcPr>
          <w:p w14:paraId="624FE0C3" w14:textId="796E616A" w:rsidR="00543766" w:rsidRPr="00543766" w:rsidRDefault="00543766" w:rsidP="00802426">
            <w:pPr>
              <w:pStyle w:val="Source"/>
              <w:rPr>
                <w:sz w:val="18"/>
                <w:szCs w:val="18"/>
              </w:rPr>
            </w:pPr>
            <w:r w:rsidRPr="00543766">
              <w:rPr>
                <w:sz w:val="18"/>
                <w:szCs w:val="18"/>
                <w:lang w:eastAsia="en-AU"/>
              </w:rPr>
              <w:t xml:space="preserve">Deviation from baseline </w:t>
            </w:r>
            <w:r w:rsidRPr="00543766">
              <w:rPr>
                <w:sz w:val="18"/>
                <w:szCs w:val="18"/>
                <w:lang w:eastAsia="en-AU"/>
              </w:rPr>
              <w:br/>
              <w:t>May 2035</w:t>
            </w:r>
          </w:p>
        </w:tc>
      </w:tr>
      <w:tr w:rsidR="00543766" w:rsidRPr="00543766" w14:paraId="3D9E1062" w14:textId="77777777" w:rsidTr="00E27623">
        <w:trPr>
          <w:cnfStyle w:val="100000000000" w:firstRow="1" w:lastRow="0" w:firstColumn="0" w:lastColumn="0" w:oddVBand="0" w:evenVBand="0" w:oddHBand="0" w:evenHBand="0" w:firstRowFirstColumn="0" w:firstRowLastColumn="0" w:lastRowFirstColumn="0" w:lastRowLastColumn="0"/>
          <w:trHeight w:val="790"/>
          <w:tblHeader/>
        </w:trPr>
        <w:tc>
          <w:tcPr>
            <w:tcW w:w="1838" w:type="dxa"/>
            <w:vMerge/>
            <w:vAlign w:val="center"/>
          </w:tcPr>
          <w:p w14:paraId="0462AA28" w14:textId="77777777" w:rsidR="00543766" w:rsidRPr="00543766" w:rsidRDefault="00543766" w:rsidP="00802426">
            <w:pPr>
              <w:pStyle w:val="TableHeading1"/>
              <w:rPr>
                <w:sz w:val="18"/>
                <w:szCs w:val="18"/>
              </w:rPr>
            </w:pPr>
          </w:p>
        </w:tc>
        <w:tc>
          <w:tcPr>
            <w:tcW w:w="992" w:type="dxa"/>
            <w:vMerge/>
            <w:shd w:val="clear" w:color="auto" w:fill="E0D1F5" w:themeFill="accent1" w:themeFillTint="33"/>
            <w:vAlign w:val="center"/>
          </w:tcPr>
          <w:p w14:paraId="58268670" w14:textId="77777777" w:rsidR="00543766" w:rsidRPr="00543766" w:rsidRDefault="00543766" w:rsidP="00802426">
            <w:pPr>
              <w:pStyle w:val="Source"/>
              <w:rPr>
                <w:sz w:val="18"/>
                <w:szCs w:val="18"/>
              </w:rPr>
            </w:pPr>
          </w:p>
        </w:tc>
        <w:tc>
          <w:tcPr>
            <w:tcW w:w="993" w:type="dxa"/>
            <w:vMerge/>
            <w:shd w:val="clear" w:color="auto" w:fill="E0D1F5" w:themeFill="accent1" w:themeFillTint="33"/>
            <w:vAlign w:val="center"/>
          </w:tcPr>
          <w:p w14:paraId="59006295" w14:textId="77777777" w:rsidR="00543766" w:rsidRPr="00543766" w:rsidRDefault="00543766" w:rsidP="00802426">
            <w:pPr>
              <w:pStyle w:val="Source"/>
              <w:rPr>
                <w:sz w:val="18"/>
                <w:szCs w:val="18"/>
              </w:rPr>
            </w:pPr>
          </w:p>
        </w:tc>
        <w:tc>
          <w:tcPr>
            <w:tcW w:w="1134" w:type="dxa"/>
            <w:vMerge/>
            <w:shd w:val="clear" w:color="auto" w:fill="E0D1F5" w:themeFill="accent1" w:themeFillTint="33"/>
            <w:vAlign w:val="center"/>
          </w:tcPr>
          <w:p w14:paraId="7ED2DD8B" w14:textId="77777777" w:rsidR="00543766" w:rsidRPr="00543766" w:rsidRDefault="00543766" w:rsidP="00802426">
            <w:pPr>
              <w:pStyle w:val="Source"/>
              <w:rPr>
                <w:sz w:val="18"/>
                <w:szCs w:val="18"/>
              </w:rPr>
            </w:pPr>
          </w:p>
        </w:tc>
        <w:tc>
          <w:tcPr>
            <w:tcW w:w="850" w:type="dxa"/>
            <w:vMerge/>
            <w:shd w:val="clear" w:color="auto" w:fill="E0D1F5" w:themeFill="accent1" w:themeFillTint="33"/>
            <w:vAlign w:val="center"/>
          </w:tcPr>
          <w:p w14:paraId="23CCDDA9" w14:textId="2F284F31" w:rsidR="00543766" w:rsidRPr="00543766" w:rsidRDefault="00543766" w:rsidP="00802426">
            <w:pPr>
              <w:pStyle w:val="Source"/>
              <w:ind w:left="113" w:right="113"/>
              <w:rPr>
                <w:sz w:val="18"/>
                <w:szCs w:val="18"/>
              </w:rPr>
            </w:pPr>
          </w:p>
        </w:tc>
        <w:tc>
          <w:tcPr>
            <w:tcW w:w="1134" w:type="dxa"/>
            <w:vMerge/>
            <w:shd w:val="clear" w:color="auto" w:fill="E0D1F5" w:themeFill="accent1" w:themeFillTint="33"/>
            <w:vAlign w:val="center"/>
          </w:tcPr>
          <w:p w14:paraId="05605618" w14:textId="77777777" w:rsidR="00543766" w:rsidRPr="00543766" w:rsidRDefault="00543766" w:rsidP="00802426">
            <w:pPr>
              <w:pStyle w:val="Source"/>
              <w:rPr>
                <w:sz w:val="18"/>
                <w:szCs w:val="18"/>
              </w:rPr>
            </w:pPr>
          </w:p>
        </w:tc>
        <w:tc>
          <w:tcPr>
            <w:tcW w:w="851" w:type="dxa"/>
            <w:vMerge/>
            <w:shd w:val="clear" w:color="auto" w:fill="E0D1F5" w:themeFill="accent1" w:themeFillTint="33"/>
            <w:vAlign w:val="center"/>
          </w:tcPr>
          <w:p w14:paraId="5BD384F3" w14:textId="77777777" w:rsidR="00543766" w:rsidRPr="00543766" w:rsidRDefault="00543766" w:rsidP="00802426">
            <w:pPr>
              <w:pStyle w:val="Source"/>
              <w:rPr>
                <w:sz w:val="18"/>
                <w:szCs w:val="18"/>
              </w:rPr>
            </w:pPr>
          </w:p>
        </w:tc>
        <w:tc>
          <w:tcPr>
            <w:tcW w:w="965" w:type="dxa"/>
            <w:shd w:val="clear" w:color="auto" w:fill="E0D1F5" w:themeFill="accent1" w:themeFillTint="33"/>
            <w:textDirection w:val="btLr"/>
            <w:vAlign w:val="center"/>
          </w:tcPr>
          <w:p w14:paraId="5CA03AE3" w14:textId="77777777" w:rsidR="00543766" w:rsidRPr="00543766" w:rsidRDefault="00543766" w:rsidP="00802426">
            <w:pPr>
              <w:pStyle w:val="Source"/>
              <w:ind w:left="113" w:right="113"/>
              <w:rPr>
                <w:sz w:val="18"/>
                <w:szCs w:val="18"/>
              </w:rPr>
            </w:pPr>
            <w:r w:rsidRPr="00543766">
              <w:rPr>
                <w:sz w:val="18"/>
                <w:szCs w:val="18"/>
              </w:rPr>
              <w:t xml:space="preserve">level </w:t>
            </w:r>
            <w:r w:rsidRPr="00543766">
              <w:rPr>
                <w:sz w:val="18"/>
                <w:szCs w:val="18"/>
              </w:rPr>
              <w:br/>
              <w:t>('000)</w:t>
            </w:r>
          </w:p>
        </w:tc>
        <w:tc>
          <w:tcPr>
            <w:tcW w:w="600" w:type="dxa"/>
            <w:shd w:val="clear" w:color="auto" w:fill="E0D1F5" w:themeFill="accent1" w:themeFillTint="33"/>
            <w:textDirection w:val="btLr"/>
            <w:vAlign w:val="center"/>
          </w:tcPr>
          <w:p w14:paraId="0A0003CA" w14:textId="77777777" w:rsidR="00543766" w:rsidRPr="00543766" w:rsidRDefault="00543766" w:rsidP="00802426">
            <w:pPr>
              <w:pStyle w:val="Source"/>
              <w:ind w:left="113" w:right="113"/>
              <w:rPr>
                <w:sz w:val="18"/>
                <w:szCs w:val="18"/>
              </w:rPr>
            </w:pPr>
            <w:r w:rsidRPr="00543766">
              <w:rPr>
                <w:sz w:val="18"/>
                <w:szCs w:val="18"/>
              </w:rPr>
              <w:t>%</w:t>
            </w:r>
          </w:p>
        </w:tc>
      </w:tr>
      <w:tr w:rsidR="00543766" w:rsidRPr="00543766" w14:paraId="0F40C2D1" w14:textId="77777777" w:rsidTr="00543766">
        <w:tc>
          <w:tcPr>
            <w:tcW w:w="1838" w:type="dxa"/>
            <w:vAlign w:val="bottom"/>
          </w:tcPr>
          <w:p w14:paraId="73E75BB0" w14:textId="7239FC5B" w:rsidR="00543766" w:rsidRPr="00543766" w:rsidRDefault="00543766" w:rsidP="00543766">
            <w:pPr>
              <w:pStyle w:val="Source"/>
              <w:rPr>
                <w:sz w:val="18"/>
                <w:szCs w:val="18"/>
              </w:rPr>
            </w:pPr>
            <w:r w:rsidRPr="00543766">
              <w:rPr>
                <w:sz w:val="18"/>
                <w:szCs w:val="18"/>
                <w:lang w:eastAsia="en-AU"/>
              </w:rPr>
              <w:t>Skill Level 1</w:t>
            </w:r>
          </w:p>
        </w:tc>
        <w:tc>
          <w:tcPr>
            <w:tcW w:w="992" w:type="dxa"/>
            <w:vAlign w:val="bottom"/>
          </w:tcPr>
          <w:p w14:paraId="0DB551D9" w14:textId="6A43F230" w:rsidR="00543766" w:rsidRPr="00543766" w:rsidRDefault="00543766" w:rsidP="00061EB3">
            <w:pPr>
              <w:pStyle w:val="Source"/>
              <w:jc w:val="right"/>
              <w:rPr>
                <w:sz w:val="18"/>
                <w:szCs w:val="18"/>
              </w:rPr>
            </w:pPr>
            <w:r w:rsidRPr="00543766">
              <w:rPr>
                <w:sz w:val="18"/>
                <w:szCs w:val="18"/>
                <w:lang w:eastAsia="en-AU"/>
              </w:rPr>
              <w:t xml:space="preserve">5,181.1 </w:t>
            </w:r>
          </w:p>
        </w:tc>
        <w:tc>
          <w:tcPr>
            <w:tcW w:w="993" w:type="dxa"/>
            <w:vAlign w:val="bottom"/>
          </w:tcPr>
          <w:p w14:paraId="00119C52" w14:textId="165164F0" w:rsidR="00543766" w:rsidRPr="00543766" w:rsidRDefault="00543766" w:rsidP="00061EB3">
            <w:pPr>
              <w:pStyle w:val="Source"/>
              <w:jc w:val="right"/>
              <w:rPr>
                <w:sz w:val="18"/>
                <w:szCs w:val="18"/>
              </w:rPr>
            </w:pPr>
            <w:r w:rsidRPr="00543766">
              <w:rPr>
                <w:sz w:val="18"/>
                <w:szCs w:val="18"/>
                <w:lang w:eastAsia="en-AU"/>
              </w:rPr>
              <w:t>35.2</w:t>
            </w:r>
          </w:p>
        </w:tc>
        <w:tc>
          <w:tcPr>
            <w:tcW w:w="1134" w:type="dxa"/>
            <w:vAlign w:val="bottom"/>
          </w:tcPr>
          <w:p w14:paraId="3EA6A8E4" w14:textId="6CE87BA5" w:rsidR="00543766" w:rsidRPr="00543766" w:rsidRDefault="00543766" w:rsidP="00061EB3">
            <w:pPr>
              <w:pStyle w:val="Source"/>
              <w:jc w:val="right"/>
              <w:rPr>
                <w:sz w:val="18"/>
                <w:szCs w:val="18"/>
              </w:rPr>
            </w:pPr>
            <w:r w:rsidRPr="00543766">
              <w:rPr>
                <w:sz w:val="18"/>
                <w:szCs w:val="18"/>
                <w:lang w:eastAsia="en-AU"/>
              </w:rPr>
              <w:t xml:space="preserve">6,243.1 </w:t>
            </w:r>
          </w:p>
        </w:tc>
        <w:tc>
          <w:tcPr>
            <w:tcW w:w="850" w:type="dxa"/>
            <w:vAlign w:val="bottom"/>
          </w:tcPr>
          <w:p w14:paraId="68454160" w14:textId="78B5450C" w:rsidR="00543766" w:rsidRPr="00543766" w:rsidRDefault="00543766" w:rsidP="00061EB3">
            <w:pPr>
              <w:pStyle w:val="Source"/>
              <w:jc w:val="right"/>
              <w:rPr>
                <w:sz w:val="18"/>
                <w:szCs w:val="18"/>
              </w:rPr>
            </w:pPr>
            <w:r w:rsidRPr="00543766">
              <w:rPr>
                <w:sz w:val="18"/>
                <w:szCs w:val="18"/>
                <w:lang w:eastAsia="en-AU"/>
              </w:rPr>
              <w:t>37.5</w:t>
            </w:r>
          </w:p>
        </w:tc>
        <w:tc>
          <w:tcPr>
            <w:tcW w:w="1134" w:type="dxa"/>
            <w:vAlign w:val="bottom"/>
          </w:tcPr>
          <w:p w14:paraId="43E9EE78" w14:textId="387BBEB6" w:rsidR="00543766" w:rsidRPr="00543766" w:rsidRDefault="00543766" w:rsidP="00061EB3">
            <w:pPr>
              <w:pStyle w:val="Source"/>
              <w:jc w:val="right"/>
              <w:rPr>
                <w:sz w:val="18"/>
                <w:szCs w:val="18"/>
              </w:rPr>
            </w:pPr>
            <w:r w:rsidRPr="00543766">
              <w:rPr>
                <w:sz w:val="18"/>
                <w:szCs w:val="18"/>
                <w:lang w:eastAsia="en-AU"/>
              </w:rPr>
              <w:t xml:space="preserve">6,136.2 </w:t>
            </w:r>
          </w:p>
        </w:tc>
        <w:tc>
          <w:tcPr>
            <w:tcW w:w="851" w:type="dxa"/>
            <w:vAlign w:val="bottom"/>
          </w:tcPr>
          <w:p w14:paraId="006E4F55" w14:textId="6220ACF2" w:rsidR="00543766" w:rsidRPr="00543766" w:rsidRDefault="00543766" w:rsidP="00061EB3">
            <w:pPr>
              <w:pStyle w:val="Source"/>
              <w:jc w:val="right"/>
              <w:rPr>
                <w:sz w:val="18"/>
                <w:szCs w:val="18"/>
              </w:rPr>
            </w:pPr>
            <w:r w:rsidRPr="00543766">
              <w:rPr>
                <w:sz w:val="18"/>
                <w:szCs w:val="18"/>
                <w:lang w:eastAsia="en-AU"/>
              </w:rPr>
              <w:t>36.8</w:t>
            </w:r>
          </w:p>
        </w:tc>
        <w:tc>
          <w:tcPr>
            <w:tcW w:w="965" w:type="dxa"/>
            <w:vAlign w:val="bottom"/>
          </w:tcPr>
          <w:p w14:paraId="22E62C46" w14:textId="44EC930B" w:rsidR="00543766" w:rsidRPr="00543766" w:rsidRDefault="00543766" w:rsidP="00061EB3">
            <w:pPr>
              <w:pStyle w:val="Source"/>
              <w:jc w:val="right"/>
              <w:rPr>
                <w:sz w:val="18"/>
                <w:szCs w:val="18"/>
              </w:rPr>
            </w:pPr>
            <w:r w:rsidRPr="00543766">
              <w:rPr>
                <w:sz w:val="18"/>
                <w:szCs w:val="18"/>
              </w:rPr>
              <w:t>-</w:t>
            </w:r>
            <w:r w:rsidRPr="00543766">
              <w:rPr>
                <w:sz w:val="18"/>
                <w:szCs w:val="18"/>
                <w:lang w:eastAsia="en-AU"/>
              </w:rPr>
              <w:t xml:space="preserve">106.9 </w:t>
            </w:r>
          </w:p>
        </w:tc>
        <w:tc>
          <w:tcPr>
            <w:tcW w:w="600" w:type="dxa"/>
            <w:vAlign w:val="bottom"/>
          </w:tcPr>
          <w:p w14:paraId="733D3C57" w14:textId="0ABC63F8" w:rsidR="00543766" w:rsidRPr="00543766" w:rsidRDefault="00543766" w:rsidP="00061EB3">
            <w:pPr>
              <w:pStyle w:val="Source"/>
              <w:jc w:val="right"/>
              <w:rPr>
                <w:sz w:val="18"/>
                <w:szCs w:val="18"/>
              </w:rPr>
            </w:pPr>
            <w:r w:rsidRPr="00543766">
              <w:rPr>
                <w:sz w:val="18"/>
                <w:szCs w:val="18"/>
                <w:lang w:eastAsia="en-AU"/>
              </w:rPr>
              <w:t>-1.7</w:t>
            </w:r>
          </w:p>
        </w:tc>
      </w:tr>
      <w:tr w:rsidR="00543766" w:rsidRPr="00543766" w14:paraId="3231D594" w14:textId="77777777" w:rsidTr="00543766">
        <w:trPr>
          <w:cnfStyle w:val="000000010000" w:firstRow="0" w:lastRow="0" w:firstColumn="0" w:lastColumn="0" w:oddVBand="0" w:evenVBand="0" w:oddHBand="0" w:evenHBand="1" w:firstRowFirstColumn="0" w:firstRowLastColumn="0" w:lastRowFirstColumn="0" w:lastRowLastColumn="0"/>
        </w:trPr>
        <w:tc>
          <w:tcPr>
            <w:tcW w:w="1838" w:type="dxa"/>
            <w:vAlign w:val="bottom"/>
          </w:tcPr>
          <w:p w14:paraId="427E88B1" w14:textId="420082DE" w:rsidR="00543766" w:rsidRPr="00543766" w:rsidRDefault="00543766" w:rsidP="00543766">
            <w:pPr>
              <w:pStyle w:val="Source"/>
              <w:rPr>
                <w:sz w:val="18"/>
                <w:szCs w:val="18"/>
              </w:rPr>
            </w:pPr>
            <w:r w:rsidRPr="00543766">
              <w:rPr>
                <w:sz w:val="18"/>
                <w:szCs w:val="18"/>
                <w:lang w:eastAsia="en-AU"/>
              </w:rPr>
              <w:t>Skill Level 2</w:t>
            </w:r>
          </w:p>
        </w:tc>
        <w:tc>
          <w:tcPr>
            <w:tcW w:w="992" w:type="dxa"/>
            <w:vAlign w:val="bottom"/>
          </w:tcPr>
          <w:p w14:paraId="0B4ED40F" w14:textId="0432FF65" w:rsidR="00543766" w:rsidRPr="00543766" w:rsidRDefault="00543766" w:rsidP="00061EB3">
            <w:pPr>
              <w:pStyle w:val="Source"/>
              <w:jc w:val="right"/>
              <w:rPr>
                <w:sz w:val="18"/>
                <w:szCs w:val="18"/>
              </w:rPr>
            </w:pPr>
            <w:r w:rsidRPr="00543766">
              <w:rPr>
                <w:sz w:val="18"/>
                <w:szCs w:val="18"/>
                <w:lang w:eastAsia="en-AU"/>
              </w:rPr>
              <w:t xml:space="preserve">1,793.5 </w:t>
            </w:r>
          </w:p>
        </w:tc>
        <w:tc>
          <w:tcPr>
            <w:tcW w:w="993" w:type="dxa"/>
            <w:vAlign w:val="bottom"/>
          </w:tcPr>
          <w:p w14:paraId="6A29EA2F" w14:textId="4AC266F7" w:rsidR="00543766" w:rsidRPr="00543766" w:rsidRDefault="00543766" w:rsidP="00061EB3">
            <w:pPr>
              <w:pStyle w:val="Source"/>
              <w:jc w:val="right"/>
              <w:rPr>
                <w:sz w:val="18"/>
                <w:szCs w:val="18"/>
              </w:rPr>
            </w:pPr>
            <w:r w:rsidRPr="00543766">
              <w:rPr>
                <w:sz w:val="18"/>
                <w:szCs w:val="18"/>
                <w:lang w:eastAsia="en-AU"/>
              </w:rPr>
              <w:t>12.2</w:t>
            </w:r>
          </w:p>
        </w:tc>
        <w:tc>
          <w:tcPr>
            <w:tcW w:w="1134" w:type="dxa"/>
            <w:vAlign w:val="bottom"/>
          </w:tcPr>
          <w:p w14:paraId="650A09C1" w14:textId="32A82C9D" w:rsidR="00543766" w:rsidRPr="00543766" w:rsidRDefault="00543766" w:rsidP="00061EB3">
            <w:pPr>
              <w:pStyle w:val="Source"/>
              <w:jc w:val="right"/>
              <w:rPr>
                <w:sz w:val="18"/>
                <w:szCs w:val="18"/>
              </w:rPr>
            </w:pPr>
            <w:r w:rsidRPr="00543766">
              <w:rPr>
                <w:sz w:val="18"/>
                <w:szCs w:val="18"/>
                <w:lang w:eastAsia="en-AU"/>
              </w:rPr>
              <w:t xml:space="preserve">1,999.0 </w:t>
            </w:r>
          </w:p>
        </w:tc>
        <w:tc>
          <w:tcPr>
            <w:tcW w:w="850" w:type="dxa"/>
            <w:vAlign w:val="bottom"/>
          </w:tcPr>
          <w:p w14:paraId="54413C75" w14:textId="1C54BB47" w:rsidR="00543766" w:rsidRPr="00543766" w:rsidRDefault="00543766" w:rsidP="00061EB3">
            <w:pPr>
              <w:pStyle w:val="Source"/>
              <w:jc w:val="right"/>
              <w:rPr>
                <w:sz w:val="18"/>
                <w:szCs w:val="18"/>
              </w:rPr>
            </w:pPr>
            <w:r w:rsidRPr="00543766">
              <w:rPr>
                <w:sz w:val="18"/>
                <w:szCs w:val="18"/>
                <w:lang w:eastAsia="en-AU"/>
              </w:rPr>
              <w:t>12.0</w:t>
            </w:r>
          </w:p>
        </w:tc>
        <w:tc>
          <w:tcPr>
            <w:tcW w:w="1134" w:type="dxa"/>
            <w:vAlign w:val="bottom"/>
          </w:tcPr>
          <w:p w14:paraId="65B92C51" w14:textId="3F3EE6A1" w:rsidR="00543766" w:rsidRPr="00543766" w:rsidRDefault="00543766" w:rsidP="00061EB3">
            <w:pPr>
              <w:pStyle w:val="Source"/>
              <w:jc w:val="right"/>
              <w:rPr>
                <w:sz w:val="18"/>
                <w:szCs w:val="18"/>
              </w:rPr>
            </w:pPr>
            <w:r w:rsidRPr="00543766">
              <w:rPr>
                <w:sz w:val="18"/>
                <w:szCs w:val="18"/>
                <w:lang w:eastAsia="en-AU"/>
              </w:rPr>
              <w:t xml:space="preserve">2,011.8 </w:t>
            </w:r>
          </w:p>
        </w:tc>
        <w:tc>
          <w:tcPr>
            <w:tcW w:w="851" w:type="dxa"/>
            <w:vAlign w:val="bottom"/>
          </w:tcPr>
          <w:p w14:paraId="0BE61B23" w14:textId="2702CE1F" w:rsidR="00543766" w:rsidRPr="00543766" w:rsidRDefault="00543766" w:rsidP="00061EB3">
            <w:pPr>
              <w:pStyle w:val="Source"/>
              <w:jc w:val="right"/>
              <w:rPr>
                <w:sz w:val="18"/>
                <w:szCs w:val="18"/>
              </w:rPr>
            </w:pPr>
            <w:r w:rsidRPr="00543766">
              <w:rPr>
                <w:sz w:val="18"/>
                <w:szCs w:val="18"/>
                <w:lang w:eastAsia="en-AU"/>
              </w:rPr>
              <w:t>12.1</w:t>
            </w:r>
          </w:p>
        </w:tc>
        <w:tc>
          <w:tcPr>
            <w:tcW w:w="965" w:type="dxa"/>
            <w:vAlign w:val="bottom"/>
          </w:tcPr>
          <w:p w14:paraId="15ABBCEC" w14:textId="6A624839" w:rsidR="00543766" w:rsidRPr="00543766" w:rsidRDefault="00543766" w:rsidP="00061EB3">
            <w:pPr>
              <w:pStyle w:val="Source"/>
              <w:jc w:val="right"/>
              <w:rPr>
                <w:sz w:val="18"/>
                <w:szCs w:val="18"/>
              </w:rPr>
            </w:pPr>
            <w:r w:rsidRPr="00543766">
              <w:rPr>
                <w:sz w:val="18"/>
                <w:szCs w:val="18"/>
                <w:lang w:eastAsia="en-AU"/>
              </w:rPr>
              <w:t xml:space="preserve">12.8 </w:t>
            </w:r>
          </w:p>
        </w:tc>
        <w:tc>
          <w:tcPr>
            <w:tcW w:w="600" w:type="dxa"/>
            <w:vAlign w:val="bottom"/>
          </w:tcPr>
          <w:p w14:paraId="787B6DD7" w14:textId="7286A9AD" w:rsidR="00543766" w:rsidRPr="00543766" w:rsidRDefault="00543766" w:rsidP="00061EB3">
            <w:pPr>
              <w:pStyle w:val="Source"/>
              <w:jc w:val="right"/>
              <w:rPr>
                <w:sz w:val="18"/>
                <w:szCs w:val="18"/>
              </w:rPr>
            </w:pPr>
            <w:r w:rsidRPr="00543766">
              <w:rPr>
                <w:sz w:val="18"/>
                <w:szCs w:val="18"/>
                <w:lang w:eastAsia="en-AU"/>
              </w:rPr>
              <w:t>0.6</w:t>
            </w:r>
          </w:p>
        </w:tc>
      </w:tr>
      <w:tr w:rsidR="00543766" w:rsidRPr="00543766" w14:paraId="7981A198" w14:textId="77777777" w:rsidTr="00543766">
        <w:tc>
          <w:tcPr>
            <w:tcW w:w="1838" w:type="dxa"/>
            <w:vAlign w:val="bottom"/>
          </w:tcPr>
          <w:p w14:paraId="3CDB6E00" w14:textId="2B9E9CF5" w:rsidR="00543766" w:rsidRPr="00543766" w:rsidRDefault="00543766" w:rsidP="00543766">
            <w:pPr>
              <w:pStyle w:val="Source"/>
              <w:rPr>
                <w:sz w:val="18"/>
                <w:szCs w:val="18"/>
              </w:rPr>
            </w:pPr>
            <w:r w:rsidRPr="00543766">
              <w:rPr>
                <w:sz w:val="18"/>
                <w:szCs w:val="18"/>
                <w:lang w:eastAsia="en-AU"/>
              </w:rPr>
              <w:t>Skill Level 3</w:t>
            </w:r>
          </w:p>
        </w:tc>
        <w:tc>
          <w:tcPr>
            <w:tcW w:w="992" w:type="dxa"/>
            <w:vAlign w:val="bottom"/>
          </w:tcPr>
          <w:p w14:paraId="4917CAAB" w14:textId="0FAB510A" w:rsidR="00543766" w:rsidRPr="00543766" w:rsidRDefault="00543766" w:rsidP="00061EB3">
            <w:pPr>
              <w:pStyle w:val="Source"/>
              <w:jc w:val="right"/>
              <w:rPr>
                <w:sz w:val="18"/>
                <w:szCs w:val="18"/>
              </w:rPr>
            </w:pPr>
            <w:r w:rsidRPr="00543766">
              <w:rPr>
                <w:sz w:val="18"/>
                <w:szCs w:val="18"/>
                <w:lang w:eastAsia="en-AU"/>
              </w:rPr>
              <w:t xml:space="preserve">2,152.2 </w:t>
            </w:r>
          </w:p>
        </w:tc>
        <w:tc>
          <w:tcPr>
            <w:tcW w:w="993" w:type="dxa"/>
            <w:vAlign w:val="bottom"/>
          </w:tcPr>
          <w:p w14:paraId="30C6E5B4" w14:textId="41ADE8C2" w:rsidR="00543766" w:rsidRPr="00543766" w:rsidRDefault="00543766" w:rsidP="00061EB3">
            <w:pPr>
              <w:pStyle w:val="Source"/>
              <w:jc w:val="right"/>
              <w:rPr>
                <w:sz w:val="18"/>
                <w:szCs w:val="18"/>
              </w:rPr>
            </w:pPr>
            <w:r w:rsidRPr="00543766">
              <w:rPr>
                <w:sz w:val="18"/>
                <w:szCs w:val="18"/>
                <w:lang w:eastAsia="en-AU"/>
              </w:rPr>
              <w:t>14.6</w:t>
            </w:r>
          </w:p>
        </w:tc>
        <w:tc>
          <w:tcPr>
            <w:tcW w:w="1134" w:type="dxa"/>
            <w:vAlign w:val="bottom"/>
          </w:tcPr>
          <w:p w14:paraId="5966ED3A" w14:textId="40965471" w:rsidR="00543766" w:rsidRPr="00543766" w:rsidRDefault="00543766" w:rsidP="00061EB3">
            <w:pPr>
              <w:pStyle w:val="Source"/>
              <w:jc w:val="right"/>
              <w:rPr>
                <w:sz w:val="18"/>
                <w:szCs w:val="18"/>
              </w:rPr>
            </w:pPr>
            <w:r w:rsidRPr="00543766">
              <w:rPr>
                <w:sz w:val="18"/>
                <w:szCs w:val="18"/>
                <w:lang w:eastAsia="en-AU"/>
              </w:rPr>
              <w:t xml:space="preserve">2,337.1 </w:t>
            </w:r>
          </w:p>
        </w:tc>
        <w:tc>
          <w:tcPr>
            <w:tcW w:w="850" w:type="dxa"/>
            <w:vAlign w:val="bottom"/>
          </w:tcPr>
          <w:p w14:paraId="5C9B3A80" w14:textId="3F6ED07B" w:rsidR="00543766" w:rsidRPr="00543766" w:rsidRDefault="00543766" w:rsidP="00061EB3">
            <w:pPr>
              <w:pStyle w:val="Source"/>
              <w:jc w:val="right"/>
              <w:rPr>
                <w:sz w:val="18"/>
                <w:szCs w:val="18"/>
              </w:rPr>
            </w:pPr>
            <w:r w:rsidRPr="00543766">
              <w:rPr>
                <w:sz w:val="18"/>
                <w:szCs w:val="18"/>
                <w:lang w:eastAsia="en-AU"/>
              </w:rPr>
              <w:t>14.0</w:t>
            </w:r>
          </w:p>
        </w:tc>
        <w:tc>
          <w:tcPr>
            <w:tcW w:w="1134" w:type="dxa"/>
            <w:vAlign w:val="bottom"/>
          </w:tcPr>
          <w:p w14:paraId="4A203995" w14:textId="69A2489F" w:rsidR="00543766" w:rsidRPr="00543766" w:rsidRDefault="00543766" w:rsidP="00061EB3">
            <w:pPr>
              <w:pStyle w:val="Source"/>
              <w:jc w:val="right"/>
              <w:rPr>
                <w:sz w:val="18"/>
                <w:szCs w:val="18"/>
              </w:rPr>
            </w:pPr>
            <w:r w:rsidRPr="00543766">
              <w:rPr>
                <w:sz w:val="18"/>
                <w:szCs w:val="18"/>
                <w:lang w:eastAsia="en-AU"/>
              </w:rPr>
              <w:t xml:space="preserve">2,371.6 </w:t>
            </w:r>
          </w:p>
        </w:tc>
        <w:tc>
          <w:tcPr>
            <w:tcW w:w="851" w:type="dxa"/>
            <w:vAlign w:val="bottom"/>
          </w:tcPr>
          <w:p w14:paraId="514DF759" w14:textId="6620C848" w:rsidR="00543766" w:rsidRPr="00543766" w:rsidRDefault="00543766" w:rsidP="00061EB3">
            <w:pPr>
              <w:pStyle w:val="Source"/>
              <w:jc w:val="right"/>
              <w:rPr>
                <w:sz w:val="18"/>
                <w:szCs w:val="18"/>
              </w:rPr>
            </w:pPr>
            <w:r w:rsidRPr="00543766">
              <w:rPr>
                <w:sz w:val="18"/>
                <w:szCs w:val="18"/>
                <w:lang w:eastAsia="en-AU"/>
              </w:rPr>
              <w:t>14.2</w:t>
            </w:r>
          </w:p>
        </w:tc>
        <w:tc>
          <w:tcPr>
            <w:tcW w:w="965" w:type="dxa"/>
            <w:vAlign w:val="bottom"/>
          </w:tcPr>
          <w:p w14:paraId="3716F297" w14:textId="1196B958" w:rsidR="00543766" w:rsidRPr="00543766" w:rsidRDefault="00543766" w:rsidP="00061EB3">
            <w:pPr>
              <w:pStyle w:val="Source"/>
              <w:jc w:val="right"/>
              <w:rPr>
                <w:sz w:val="18"/>
                <w:szCs w:val="18"/>
              </w:rPr>
            </w:pPr>
            <w:r w:rsidRPr="00543766">
              <w:rPr>
                <w:sz w:val="18"/>
                <w:szCs w:val="18"/>
                <w:lang w:eastAsia="en-AU"/>
              </w:rPr>
              <w:t xml:space="preserve">34.6 </w:t>
            </w:r>
          </w:p>
        </w:tc>
        <w:tc>
          <w:tcPr>
            <w:tcW w:w="600" w:type="dxa"/>
            <w:vAlign w:val="bottom"/>
          </w:tcPr>
          <w:p w14:paraId="06655BDB" w14:textId="6A5CC57A" w:rsidR="00543766" w:rsidRPr="00543766" w:rsidRDefault="00543766" w:rsidP="00061EB3">
            <w:pPr>
              <w:pStyle w:val="Source"/>
              <w:jc w:val="right"/>
              <w:rPr>
                <w:sz w:val="18"/>
                <w:szCs w:val="18"/>
              </w:rPr>
            </w:pPr>
            <w:r w:rsidRPr="00543766">
              <w:rPr>
                <w:sz w:val="18"/>
                <w:szCs w:val="18"/>
                <w:lang w:eastAsia="en-AU"/>
              </w:rPr>
              <w:t>1.5</w:t>
            </w:r>
          </w:p>
        </w:tc>
      </w:tr>
      <w:tr w:rsidR="00543766" w:rsidRPr="00543766" w14:paraId="08E6E3FB" w14:textId="77777777" w:rsidTr="00543766">
        <w:trPr>
          <w:cnfStyle w:val="000000010000" w:firstRow="0" w:lastRow="0" w:firstColumn="0" w:lastColumn="0" w:oddVBand="0" w:evenVBand="0" w:oddHBand="0" w:evenHBand="1" w:firstRowFirstColumn="0" w:firstRowLastColumn="0" w:lastRowFirstColumn="0" w:lastRowLastColumn="0"/>
        </w:trPr>
        <w:tc>
          <w:tcPr>
            <w:tcW w:w="1838" w:type="dxa"/>
            <w:vAlign w:val="bottom"/>
          </w:tcPr>
          <w:p w14:paraId="7D213788" w14:textId="13D7CDFA" w:rsidR="00543766" w:rsidRPr="00543766" w:rsidRDefault="00543766" w:rsidP="00543766">
            <w:pPr>
              <w:pStyle w:val="Source"/>
              <w:rPr>
                <w:sz w:val="18"/>
                <w:szCs w:val="18"/>
              </w:rPr>
            </w:pPr>
            <w:r w:rsidRPr="00543766">
              <w:rPr>
                <w:sz w:val="18"/>
                <w:szCs w:val="18"/>
                <w:lang w:eastAsia="en-AU"/>
              </w:rPr>
              <w:t>Skill Level 4</w:t>
            </w:r>
          </w:p>
        </w:tc>
        <w:tc>
          <w:tcPr>
            <w:tcW w:w="992" w:type="dxa"/>
            <w:vAlign w:val="bottom"/>
          </w:tcPr>
          <w:p w14:paraId="7E5C4B39" w14:textId="4AF70E05" w:rsidR="00543766" w:rsidRPr="00543766" w:rsidRDefault="00543766" w:rsidP="00061EB3">
            <w:pPr>
              <w:pStyle w:val="Source"/>
              <w:jc w:val="right"/>
              <w:rPr>
                <w:sz w:val="18"/>
                <w:szCs w:val="18"/>
              </w:rPr>
            </w:pPr>
            <w:r w:rsidRPr="00543766">
              <w:rPr>
                <w:sz w:val="18"/>
                <w:szCs w:val="18"/>
                <w:lang w:eastAsia="en-AU"/>
              </w:rPr>
              <w:t xml:space="preserve">3,562.3 </w:t>
            </w:r>
          </w:p>
        </w:tc>
        <w:tc>
          <w:tcPr>
            <w:tcW w:w="993" w:type="dxa"/>
            <w:vAlign w:val="bottom"/>
          </w:tcPr>
          <w:p w14:paraId="35BEBC6C" w14:textId="26421B89" w:rsidR="00543766" w:rsidRPr="00543766" w:rsidRDefault="00543766" w:rsidP="00061EB3">
            <w:pPr>
              <w:pStyle w:val="Source"/>
              <w:jc w:val="right"/>
              <w:rPr>
                <w:sz w:val="18"/>
                <w:szCs w:val="18"/>
              </w:rPr>
            </w:pPr>
            <w:r w:rsidRPr="00543766">
              <w:rPr>
                <w:sz w:val="18"/>
                <w:szCs w:val="18"/>
                <w:lang w:eastAsia="en-AU"/>
              </w:rPr>
              <w:t>24.2</w:t>
            </w:r>
          </w:p>
        </w:tc>
        <w:tc>
          <w:tcPr>
            <w:tcW w:w="1134" w:type="dxa"/>
            <w:vAlign w:val="bottom"/>
          </w:tcPr>
          <w:p w14:paraId="714F58AB" w14:textId="62A13179" w:rsidR="00543766" w:rsidRPr="00543766" w:rsidRDefault="00543766" w:rsidP="00061EB3">
            <w:pPr>
              <w:pStyle w:val="Source"/>
              <w:jc w:val="right"/>
              <w:rPr>
                <w:sz w:val="18"/>
                <w:szCs w:val="18"/>
              </w:rPr>
            </w:pPr>
            <w:r w:rsidRPr="00543766">
              <w:rPr>
                <w:sz w:val="18"/>
                <w:szCs w:val="18"/>
                <w:lang w:eastAsia="en-AU"/>
              </w:rPr>
              <w:t xml:space="preserve">3,955.8 </w:t>
            </w:r>
          </w:p>
        </w:tc>
        <w:tc>
          <w:tcPr>
            <w:tcW w:w="850" w:type="dxa"/>
            <w:vAlign w:val="bottom"/>
          </w:tcPr>
          <w:p w14:paraId="282E8672" w14:textId="11901315" w:rsidR="00543766" w:rsidRPr="00543766" w:rsidRDefault="00543766" w:rsidP="00061EB3">
            <w:pPr>
              <w:pStyle w:val="Source"/>
              <w:jc w:val="right"/>
              <w:rPr>
                <w:sz w:val="18"/>
                <w:szCs w:val="18"/>
              </w:rPr>
            </w:pPr>
            <w:r w:rsidRPr="00543766">
              <w:rPr>
                <w:sz w:val="18"/>
                <w:szCs w:val="18"/>
                <w:lang w:eastAsia="en-AU"/>
              </w:rPr>
              <w:t>23.8</w:t>
            </w:r>
          </w:p>
        </w:tc>
        <w:tc>
          <w:tcPr>
            <w:tcW w:w="1134" w:type="dxa"/>
            <w:vAlign w:val="bottom"/>
          </w:tcPr>
          <w:p w14:paraId="1BE89DB5" w14:textId="21E35E51" w:rsidR="00543766" w:rsidRPr="00543766" w:rsidRDefault="00543766" w:rsidP="00061EB3">
            <w:pPr>
              <w:pStyle w:val="Source"/>
              <w:jc w:val="right"/>
              <w:rPr>
                <w:sz w:val="18"/>
                <w:szCs w:val="18"/>
              </w:rPr>
            </w:pPr>
            <w:r w:rsidRPr="00543766">
              <w:rPr>
                <w:sz w:val="18"/>
                <w:szCs w:val="18"/>
                <w:lang w:eastAsia="en-AU"/>
              </w:rPr>
              <w:t xml:space="preserve">4,001.9 </w:t>
            </w:r>
          </w:p>
        </w:tc>
        <w:tc>
          <w:tcPr>
            <w:tcW w:w="851" w:type="dxa"/>
            <w:vAlign w:val="bottom"/>
          </w:tcPr>
          <w:p w14:paraId="45F6D782" w14:textId="3D7694FF" w:rsidR="00543766" w:rsidRPr="00543766" w:rsidRDefault="00543766" w:rsidP="00061EB3">
            <w:pPr>
              <w:pStyle w:val="Source"/>
              <w:jc w:val="right"/>
              <w:rPr>
                <w:sz w:val="18"/>
                <w:szCs w:val="18"/>
              </w:rPr>
            </w:pPr>
            <w:r w:rsidRPr="00543766">
              <w:rPr>
                <w:sz w:val="18"/>
                <w:szCs w:val="18"/>
                <w:lang w:eastAsia="en-AU"/>
              </w:rPr>
              <w:t>24.0</w:t>
            </w:r>
          </w:p>
        </w:tc>
        <w:tc>
          <w:tcPr>
            <w:tcW w:w="965" w:type="dxa"/>
            <w:vAlign w:val="bottom"/>
          </w:tcPr>
          <w:p w14:paraId="29B67D41" w14:textId="47989E74" w:rsidR="00543766" w:rsidRPr="00543766" w:rsidRDefault="00543766" w:rsidP="00061EB3">
            <w:pPr>
              <w:pStyle w:val="Source"/>
              <w:jc w:val="right"/>
              <w:rPr>
                <w:sz w:val="18"/>
                <w:szCs w:val="18"/>
              </w:rPr>
            </w:pPr>
            <w:r w:rsidRPr="00543766">
              <w:rPr>
                <w:sz w:val="18"/>
                <w:szCs w:val="18"/>
                <w:lang w:eastAsia="en-AU"/>
              </w:rPr>
              <w:t xml:space="preserve">46.1 </w:t>
            </w:r>
          </w:p>
        </w:tc>
        <w:tc>
          <w:tcPr>
            <w:tcW w:w="600" w:type="dxa"/>
            <w:vAlign w:val="bottom"/>
          </w:tcPr>
          <w:p w14:paraId="58EFF716" w14:textId="37220F17" w:rsidR="00543766" w:rsidRPr="00543766" w:rsidRDefault="00543766" w:rsidP="00061EB3">
            <w:pPr>
              <w:pStyle w:val="Source"/>
              <w:jc w:val="right"/>
              <w:rPr>
                <w:sz w:val="18"/>
                <w:szCs w:val="18"/>
              </w:rPr>
            </w:pPr>
            <w:r w:rsidRPr="00543766">
              <w:rPr>
                <w:sz w:val="18"/>
                <w:szCs w:val="18"/>
                <w:lang w:eastAsia="en-AU"/>
              </w:rPr>
              <w:t>1.2</w:t>
            </w:r>
          </w:p>
        </w:tc>
      </w:tr>
      <w:tr w:rsidR="00543766" w:rsidRPr="00543766" w14:paraId="2C84D543" w14:textId="77777777" w:rsidTr="00543766">
        <w:tc>
          <w:tcPr>
            <w:tcW w:w="1838" w:type="dxa"/>
            <w:vAlign w:val="bottom"/>
          </w:tcPr>
          <w:p w14:paraId="1CC4D79F" w14:textId="7938A86E" w:rsidR="00543766" w:rsidRPr="00543766" w:rsidRDefault="00543766" w:rsidP="00543766">
            <w:pPr>
              <w:pStyle w:val="Source"/>
              <w:rPr>
                <w:sz w:val="18"/>
                <w:szCs w:val="18"/>
              </w:rPr>
            </w:pPr>
            <w:r w:rsidRPr="00543766">
              <w:rPr>
                <w:sz w:val="18"/>
                <w:szCs w:val="18"/>
                <w:lang w:eastAsia="en-AU"/>
              </w:rPr>
              <w:t>Skill Level 5</w:t>
            </w:r>
          </w:p>
        </w:tc>
        <w:tc>
          <w:tcPr>
            <w:tcW w:w="992" w:type="dxa"/>
            <w:vAlign w:val="bottom"/>
          </w:tcPr>
          <w:p w14:paraId="4690B485" w14:textId="2E4AB5DE" w:rsidR="00543766" w:rsidRPr="00543766" w:rsidRDefault="00543766" w:rsidP="00061EB3">
            <w:pPr>
              <w:pStyle w:val="Source"/>
              <w:jc w:val="right"/>
              <w:rPr>
                <w:sz w:val="18"/>
                <w:szCs w:val="18"/>
              </w:rPr>
            </w:pPr>
            <w:r w:rsidRPr="00543766">
              <w:rPr>
                <w:sz w:val="18"/>
                <w:szCs w:val="18"/>
                <w:lang w:eastAsia="en-AU"/>
              </w:rPr>
              <w:t xml:space="preserve">2,011.9 </w:t>
            </w:r>
          </w:p>
        </w:tc>
        <w:tc>
          <w:tcPr>
            <w:tcW w:w="993" w:type="dxa"/>
            <w:vAlign w:val="bottom"/>
          </w:tcPr>
          <w:p w14:paraId="386A3047" w14:textId="5ABDDCB3" w:rsidR="00543766" w:rsidRPr="00543766" w:rsidRDefault="00543766" w:rsidP="00061EB3">
            <w:pPr>
              <w:pStyle w:val="Source"/>
              <w:jc w:val="right"/>
              <w:rPr>
                <w:sz w:val="18"/>
                <w:szCs w:val="18"/>
              </w:rPr>
            </w:pPr>
            <w:r w:rsidRPr="00543766">
              <w:rPr>
                <w:sz w:val="18"/>
                <w:szCs w:val="18"/>
                <w:lang w:eastAsia="en-AU"/>
              </w:rPr>
              <w:t>13.7</w:t>
            </w:r>
          </w:p>
        </w:tc>
        <w:tc>
          <w:tcPr>
            <w:tcW w:w="1134" w:type="dxa"/>
            <w:vAlign w:val="bottom"/>
          </w:tcPr>
          <w:p w14:paraId="5CCAE517" w14:textId="6AE54216" w:rsidR="00543766" w:rsidRPr="00543766" w:rsidRDefault="00543766" w:rsidP="00061EB3">
            <w:pPr>
              <w:pStyle w:val="Source"/>
              <w:jc w:val="right"/>
              <w:rPr>
                <w:sz w:val="18"/>
                <w:szCs w:val="18"/>
              </w:rPr>
            </w:pPr>
            <w:r w:rsidRPr="00543766">
              <w:rPr>
                <w:sz w:val="18"/>
                <w:szCs w:val="18"/>
                <w:lang w:eastAsia="en-AU"/>
              </w:rPr>
              <w:t xml:space="preserve">2,120.5 </w:t>
            </w:r>
          </w:p>
        </w:tc>
        <w:tc>
          <w:tcPr>
            <w:tcW w:w="850" w:type="dxa"/>
            <w:vAlign w:val="bottom"/>
          </w:tcPr>
          <w:p w14:paraId="2C54B8BA" w14:textId="49647983" w:rsidR="00543766" w:rsidRPr="00543766" w:rsidRDefault="00543766" w:rsidP="00061EB3">
            <w:pPr>
              <w:pStyle w:val="Source"/>
              <w:jc w:val="right"/>
              <w:rPr>
                <w:sz w:val="18"/>
                <w:szCs w:val="18"/>
              </w:rPr>
            </w:pPr>
            <w:r w:rsidRPr="00543766">
              <w:rPr>
                <w:sz w:val="18"/>
                <w:szCs w:val="18"/>
                <w:lang w:eastAsia="en-AU"/>
              </w:rPr>
              <w:t>12.7</w:t>
            </w:r>
          </w:p>
        </w:tc>
        <w:tc>
          <w:tcPr>
            <w:tcW w:w="1134" w:type="dxa"/>
            <w:vAlign w:val="bottom"/>
          </w:tcPr>
          <w:p w14:paraId="493F75C3" w14:textId="5F609B3B" w:rsidR="00543766" w:rsidRPr="00543766" w:rsidRDefault="00543766" w:rsidP="00061EB3">
            <w:pPr>
              <w:pStyle w:val="Source"/>
              <w:jc w:val="right"/>
              <w:rPr>
                <w:sz w:val="18"/>
                <w:szCs w:val="18"/>
              </w:rPr>
            </w:pPr>
            <w:r w:rsidRPr="00543766">
              <w:rPr>
                <w:sz w:val="18"/>
                <w:szCs w:val="18"/>
                <w:lang w:eastAsia="en-AU"/>
              </w:rPr>
              <w:t xml:space="preserve">2,134.0 </w:t>
            </w:r>
          </w:p>
        </w:tc>
        <w:tc>
          <w:tcPr>
            <w:tcW w:w="851" w:type="dxa"/>
            <w:vAlign w:val="bottom"/>
          </w:tcPr>
          <w:p w14:paraId="22958A8A" w14:textId="06E8B3B0" w:rsidR="00543766" w:rsidRPr="00543766" w:rsidRDefault="00543766" w:rsidP="00061EB3">
            <w:pPr>
              <w:pStyle w:val="Source"/>
              <w:jc w:val="right"/>
              <w:rPr>
                <w:sz w:val="18"/>
                <w:szCs w:val="18"/>
              </w:rPr>
            </w:pPr>
            <w:r w:rsidRPr="00543766">
              <w:rPr>
                <w:sz w:val="18"/>
                <w:szCs w:val="18"/>
                <w:lang w:eastAsia="en-AU"/>
              </w:rPr>
              <w:t>12.8</w:t>
            </w:r>
          </w:p>
        </w:tc>
        <w:tc>
          <w:tcPr>
            <w:tcW w:w="965" w:type="dxa"/>
            <w:vAlign w:val="bottom"/>
          </w:tcPr>
          <w:p w14:paraId="5DF09BA9" w14:textId="0C3857F5" w:rsidR="00543766" w:rsidRPr="00543766" w:rsidRDefault="00543766" w:rsidP="00061EB3">
            <w:pPr>
              <w:pStyle w:val="Source"/>
              <w:jc w:val="right"/>
              <w:rPr>
                <w:sz w:val="18"/>
                <w:szCs w:val="18"/>
              </w:rPr>
            </w:pPr>
            <w:r w:rsidRPr="00543766">
              <w:rPr>
                <w:sz w:val="18"/>
                <w:szCs w:val="18"/>
                <w:lang w:eastAsia="en-AU"/>
              </w:rPr>
              <w:t xml:space="preserve">13.4 </w:t>
            </w:r>
          </w:p>
        </w:tc>
        <w:tc>
          <w:tcPr>
            <w:tcW w:w="600" w:type="dxa"/>
            <w:vAlign w:val="bottom"/>
          </w:tcPr>
          <w:p w14:paraId="72907FD4" w14:textId="6C4305F9" w:rsidR="00543766" w:rsidRPr="00543766" w:rsidRDefault="00543766" w:rsidP="00061EB3">
            <w:pPr>
              <w:pStyle w:val="Source"/>
              <w:jc w:val="right"/>
              <w:rPr>
                <w:sz w:val="18"/>
                <w:szCs w:val="18"/>
              </w:rPr>
            </w:pPr>
            <w:r w:rsidRPr="00543766">
              <w:rPr>
                <w:sz w:val="18"/>
                <w:szCs w:val="18"/>
                <w:lang w:eastAsia="en-AU"/>
              </w:rPr>
              <w:t>0.6</w:t>
            </w:r>
          </w:p>
        </w:tc>
      </w:tr>
    </w:tbl>
    <w:p w14:paraId="4BE65766" w14:textId="5387D795" w:rsidR="006B7537" w:rsidRDefault="006B7537" w:rsidP="006B7537">
      <w:pPr>
        <w:pStyle w:val="Source"/>
      </w:pPr>
      <w:r w:rsidRPr="00037377">
        <w:t>Source: 202</w:t>
      </w:r>
      <w:r>
        <w:t>5</w:t>
      </w:r>
      <w:r w:rsidRPr="00037377">
        <w:t>-203</w:t>
      </w:r>
      <w:r>
        <w:t>5</w:t>
      </w:r>
      <w:r w:rsidRPr="00037377">
        <w:t xml:space="preserve"> Employment projections (unrestricted skills supply scenario), produced by </w:t>
      </w:r>
      <w:r w:rsidR="00634691">
        <w:t>VU</w:t>
      </w:r>
      <w:r w:rsidRPr="00037377">
        <w:t xml:space="preserve"> for J</w:t>
      </w:r>
      <w:r>
        <w:t xml:space="preserve">SA. </w:t>
      </w:r>
    </w:p>
    <w:p w14:paraId="2B072CA7" w14:textId="031FCC4D" w:rsidR="006B7537" w:rsidRPr="00AE306F" w:rsidRDefault="00492BD9" w:rsidP="00D36D60">
      <w:pPr>
        <w:pStyle w:val="Source"/>
        <w:rPr>
          <w:lang w:eastAsia="en-AU"/>
        </w:rPr>
      </w:pPr>
      <w:r w:rsidRPr="00492BD9">
        <w:t>Note: Some occupations in the employment projections data with an 'NFD' status cannot be assigned a skill level. Therefore, the sum of employment by skill levels will not add up to the total employment presented in other tables.</w:t>
      </w:r>
      <w:r w:rsidRPr="00492BD9" w:rsidDel="00492BD9">
        <w:t xml:space="preserve"> </w:t>
      </w:r>
    </w:p>
    <w:sectPr w:rsidR="006B7537" w:rsidRPr="00AE306F" w:rsidSect="00FF3E4F">
      <w:pgSz w:w="11907" w:h="16839" w:code="9"/>
      <w:pgMar w:top="1440" w:right="1270" w:bottom="1440" w:left="12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F6699" w14:textId="77777777" w:rsidR="00FE6C41" w:rsidRDefault="00FE6C41" w:rsidP="00E12845">
      <w:r>
        <w:separator/>
      </w:r>
    </w:p>
  </w:endnote>
  <w:endnote w:type="continuationSeparator" w:id="0">
    <w:p w14:paraId="04081023" w14:textId="77777777" w:rsidR="00FE6C41" w:rsidRDefault="00FE6C41" w:rsidP="00E12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2709672"/>
      <w:docPartObj>
        <w:docPartGallery w:val="Page Numbers (Bottom of Page)"/>
        <w:docPartUnique/>
      </w:docPartObj>
    </w:sdtPr>
    <w:sdtEndPr>
      <w:rPr>
        <w:noProof/>
      </w:rPr>
    </w:sdtEndPr>
    <w:sdtContent>
      <w:p w14:paraId="3090BBD4" w14:textId="7F91D7B0" w:rsidR="00576BAF" w:rsidRDefault="00943508">
        <w:pPr>
          <w:pStyle w:val="Footer"/>
        </w:pPr>
        <w:r>
          <w:fldChar w:fldCharType="begin"/>
        </w:r>
        <w:r>
          <w:instrText xml:space="preserve"> PAGE   \* MERGEFORMAT </w:instrText>
        </w:r>
        <w:r>
          <w:fldChar w:fldCharType="separate"/>
        </w:r>
        <w:r>
          <w:rPr>
            <w:noProof/>
          </w:rPr>
          <w:t>2</w:t>
        </w:r>
        <w:r>
          <w:rPr>
            <w:noProof/>
          </w:rPr>
          <w:fldChar w:fldCharType="end"/>
        </w:r>
        <w:r w:rsidR="00454B02">
          <w:rPr>
            <w:noProof/>
          </w:rPr>
          <w:t xml:space="preserve"> | </w:t>
        </w:r>
        <w:r w:rsidR="00454B02" w:rsidRPr="00835A0D">
          <w:t>Jobs and Skills Australia –</w:t>
        </w:r>
        <w:r w:rsidR="00454B02">
          <w:t xml:space="preserve"> </w:t>
        </w:r>
        <w:fldSimple w:instr=" STYLEREF  Title  \* MERGEFORMAT ">
          <w:r w:rsidR="009E6E1D">
            <w:rPr>
              <w:noProof/>
            </w:rPr>
            <w:t>Connecting for impact</w:t>
          </w:r>
        </w:fldSimple>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246712"/>
      <w:docPartObj>
        <w:docPartGallery w:val="Page Numbers (Bottom of Page)"/>
        <w:docPartUnique/>
      </w:docPartObj>
    </w:sdtPr>
    <w:sdtEndPr>
      <w:rPr>
        <w:noProof/>
      </w:rPr>
    </w:sdtEndPr>
    <w:sdtContent>
      <w:p w14:paraId="40AF502A" w14:textId="76F5BFE9" w:rsidR="00660BD4" w:rsidRDefault="00660BD4">
        <w:pPr>
          <w:pStyle w:val="Footer"/>
        </w:pPr>
        <w:r>
          <w:fldChar w:fldCharType="begin"/>
        </w:r>
        <w:r>
          <w:instrText xml:space="preserve"> PAGE   \* MERGEFORMAT </w:instrText>
        </w:r>
        <w:r>
          <w:fldChar w:fldCharType="separate"/>
        </w:r>
        <w:r>
          <w:rPr>
            <w:noProof/>
          </w:rPr>
          <w:t>2</w:t>
        </w:r>
        <w:r>
          <w:rPr>
            <w:noProof/>
          </w:rPr>
          <w:fldChar w:fldCharType="end"/>
        </w:r>
        <w:r w:rsidR="006E252D">
          <w:rPr>
            <w:noProof/>
          </w:rPr>
          <w:t xml:space="preserve"> |</w:t>
        </w:r>
        <w:r w:rsidR="006E252D" w:rsidRPr="006E252D">
          <w:t xml:space="preserve"> </w:t>
        </w:r>
        <w:fldSimple w:instr=" STYLEREF  &quot;Heading 1 (unnumbered)&quot;  \* MERGEFORMAT ">
          <w:r w:rsidR="009E6E1D">
            <w:rPr>
              <w:noProof/>
            </w:rPr>
            <w:t>Executive summary</w:t>
          </w:r>
        </w:fldSimple>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7750787"/>
      <w:docPartObj>
        <w:docPartGallery w:val="Page Numbers (Bottom of Page)"/>
        <w:docPartUnique/>
      </w:docPartObj>
    </w:sdtPr>
    <w:sdtEndPr>
      <w:rPr>
        <w:noProof/>
      </w:rPr>
    </w:sdtEndPr>
    <w:sdtContent>
      <w:p w14:paraId="23E02E6B" w14:textId="6AB258C2" w:rsidR="00576BAF" w:rsidRPr="00576BAF" w:rsidRDefault="00D947AC" w:rsidP="004B3CB3">
        <w:pPr>
          <w:pStyle w:val="Footer"/>
          <w:jc w:val="right"/>
        </w:pPr>
        <w:fldSimple w:instr=" STYLEREF  Title  \* MERGEFORMAT ">
          <w:r w:rsidR="009E6E1D">
            <w:rPr>
              <w:noProof/>
            </w:rPr>
            <w:t>Connecting for impact</w:t>
          </w:r>
        </w:fldSimple>
        <w:r w:rsidR="004B3CB3">
          <w:t xml:space="preserve"> | </w:t>
        </w:r>
        <w:r w:rsidR="004B3CB3">
          <w:fldChar w:fldCharType="begin"/>
        </w:r>
        <w:r w:rsidR="004B3CB3">
          <w:instrText xml:space="preserve"> PAGE   \* MERGEFORMAT </w:instrText>
        </w:r>
        <w:r w:rsidR="004B3CB3">
          <w:fldChar w:fldCharType="separate"/>
        </w:r>
        <w:r w:rsidR="004B3CB3">
          <w:t>3</w:t>
        </w:r>
        <w:r w:rsidR="004B3CB3">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904435"/>
      <w:docPartObj>
        <w:docPartGallery w:val="Page Numbers (Bottom of Page)"/>
        <w:docPartUnique/>
      </w:docPartObj>
    </w:sdtPr>
    <w:sdtEndPr>
      <w:rPr>
        <w:noProof/>
      </w:rPr>
    </w:sdtEndPr>
    <w:sdtContent>
      <w:p w14:paraId="0747B280" w14:textId="4CD35828" w:rsidR="004F0339" w:rsidRDefault="004F0339">
        <w:pPr>
          <w:pStyle w:val="Footer"/>
        </w:pPr>
        <w:r>
          <w:fldChar w:fldCharType="begin"/>
        </w:r>
        <w:r>
          <w:instrText xml:space="preserve"> PAGE   \* MERGEFORMAT </w:instrText>
        </w:r>
        <w:r>
          <w:fldChar w:fldCharType="separate"/>
        </w:r>
        <w:r>
          <w:rPr>
            <w:noProof/>
          </w:rPr>
          <w:t>2</w:t>
        </w:r>
        <w:r>
          <w:rPr>
            <w:noProof/>
          </w:rPr>
          <w:fldChar w:fldCharType="end"/>
        </w:r>
        <w:r>
          <w:rPr>
            <w:noProof/>
          </w:rPr>
          <w:t xml:space="preserve"> |</w:t>
        </w:r>
        <w:r w:rsidRPr="006E252D">
          <w:t xml:space="preserve"> </w:t>
        </w:r>
        <w:fldSimple w:instr=" STYLEREF  &quot;Heading 1 (unnumbered)&quot;  \* MERGEFORMAT ">
          <w:r w:rsidR="009E6E1D">
            <w:rPr>
              <w:noProof/>
            </w:rPr>
            <w:t>Executive summary</w:t>
          </w:r>
        </w:fldSimple>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708409"/>
      <w:docPartObj>
        <w:docPartGallery w:val="Page Numbers (Bottom of Page)"/>
        <w:docPartUnique/>
      </w:docPartObj>
    </w:sdtPr>
    <w:sdtEndPr>
      <w:rPr>
        <w:noProof/>
      </w:rPr>
    </w:sdtEndPr>
    <w:sdtContent>
      <w:p w14:paraId="4E17D411" w14:textId="3E7003BF" w:rsidR="004F0339" w:rsidRDefault="00D947AC" w:rsidP="004B3CB3">
        <w:pPr>
          <w:pStyle w:val="Footer"/>
          <w:jc w:val="right"/>
        </w:pPr>
        <w:fldSimple w:instr=" STYLEREF  Title  \* MERGEFORMAT ">
          <w:r w:rsidR="009E6E1D">
            <w:rPr>
              <w:noProof/>
            </w:rPr>
            <w:t>Connecting for impact</w:t>
          </w:r>
        </w:fldSimple>
        <w:r w:rsidR="004F0339">
          <w:t xml:space="preserve"> | </w:t>
        </w:r>
        <w:r w:rsidR="004F0339">
          <w:fldChar w:fldCharType="begin"/>
        </w:r>
        <w:r w:rsidR="004F0339">
          <w:instrText xml:space="preserve"> PAGE   \* MERGEFORMAT </w:instrText>
        </w:r>
        <w:r w:rsidR="004F0339">
          <w:fldChar w:fldCharType="separate"/>
        </w:r>
        <w:r w:rsidR="004F0339">
          <w:t>1</w:t>
        </w:r>
        <w:r w:rsidR="004F0339">
          <w:rPr>
            <w:noProof/>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96B65" w14:textId="77777777" w:rsidR="00FC728C" w:rsidRDefault="00FC728C" w:rsidP="00FC728C">
    <w:pPr>
      <w:pStyle w:val="Footer"/>
    </w:pPr>
    <w:r>
      <w:t>Footer</w:t>
    </w:r>
    <w:r>
      <w:tab/>
    </w:r>
    <w:r w:rsidRPr="00024595">
      <w:rPr>
        <w:rStyle w:val="PageNumber"/>
      </w:rPr>
      <w:fldChar w:fldCharType="begin"/>
    </w:r>
    <w:r w:rsidRPr="00024595">
      <w:rPr>
        <w:rStyle w:val="PageNumber"/>
      </w:rPr>
      <w:instrText xml:space="preserve"> PAGE   \* MERGEFORMAT </w:instrText>
    </w:r>
    <w:r w:rsidRPr="00024595">
      <w:rPr>
        <w:rStyle w:val="PageNumber"/>
      </w:rPr>
      <w:fldChar w:fldCharType="separate"/>
    </w:r>
    <w:r w:rsidR="00CC6CBC">
      <w:rPr>
        <w:rStyle w:val="PageNumber"/>
        <w:noProof/>
      </w:rPr>
      <w:t>3</w:t>
    </w:r>
    <w:r w:rsidRPr="00024595">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1413374"/>
      <w:docPartObj>
        <w:docPartGallery w:val="Page Numbers (Bottom of Page)"/>
        <w:docPartUnique/>
      </w:docPartObj>
    </w:sdtPr>
    <w:sdtEndPr>
      <w:rPr>
        <w:noProof/>
      </w:rPr>
    </w:sdtEndPr>
    <w:sdtContent>
      <w:p w14:paraId="30F080F7" w14:textId="14040CBD" w:rsidR="004F0339" w:rsidRDefault="004F0339">
        <w:pPr>
          <w:pStyle w:val="Footer"/>
        </w:pPr>
        <w:r>
          <w:fldChar w:fldCharType="begin"/>
        </w:r>
        <w:r>
          <w:instrText xml:space="preserve"> PAGE   \* MERGEFORMAT </w:instrText>
        </w:r>
        <w:r>
          <w:fldChar w:fldCharType="separate"/>
        </w:r>
        <w:r>
          <w:rPr>
            <w:noProof/>
          </w:rPr>
          <w:t>2</w:t>
        </w:r>
        <w:r>
          <w:rPr>
            <w:noProof/>
          </w:rPr>
          <w:fldChar w:fldCharType="end"/>
        </w:r>
        <w:r>
          <w:rPr>
            <w:noProof/>
          </w:rPr>
          <w:t xml:space="preserve"> |</w:t>
        </w:r>
        <w:r w:rsidRPr="006E252D">
          <w:t xml:space="preserve"> </w:t>
        </w:r>
        <w:fldSimple w:instr=" STYLEREF  &quot;Heading 1 (unnumbered)&quot;  \* MERGEFORMAT ">
          <w:r w:rsidR="009E6E1D">
            <w:rPr>
              <w:noProof/>
            </w:rPr>
            <w:t>Executive summary</w:t>
          </w:r>
        </w:fldSimple>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4142803"/>
      <w:docPartObj>
        <w:docPartGallery w:val="Page Numbers (Bottom of Page)"/>
        <w:docPartUnique/>
      </w:docPartObj>
    </w:sdtPr>
    <w:sdtEndPr>
      <w:rPr>
        <w:noProof/>
      </w:rPr>
    </w:sdtEndPr>
    <w:sdtContent>
      <w:p w14:paraId="3D824F61" w14:textId="3B3C63FA" w:rsidR="00B331B1" w:rsidRDefault="00D947AC" w:rsidP="004B3CB3">
        <w:pPr>
          <w:pStyle w:val="Footer"/>
          <w:jc w:val="right"/>
        </w:pPr>
        <w:fldSimple w:instr=" STYLEREF  Title  \* MERGEFORMAT ">
          <w:r w:rsidR="009E6E1D">
            <w:rPr>
              <w:noProof/>
            </w:rPr>
            <w:t>Connecting for impact</w:t>
          </w:r>
        </w:fldSimple>
        <w:r w:rsidR="00B331B1">
          <w:t xml:space="preserve"> | </w:t>
        </w:r>
        <w:r w:rsidR="00B331B1">
          <w:fldChar w:fldCharType="begin"/>
        </w:r>
        <w:r w:rsidR="00B331B1">
          <w:instrText xml:space="preserve"> PAGE   \* MERGEFORMAT </w:instrText>
        </w:r>
        <w:r w:rsidR="00B331B1">
          <w:fldChar w:fldCharType="separate"/>
        </w:r>
        <w:r w:rsidR="00B331B1">
          <w:t>1</w:t>
        </w:r>
        <w:r w:rsidR="00B331B1">
          <w:rPr>
            <w:noProof/>
          </w:rP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8348140"/>
      <w:docPartObj>
        <w:docPartGallery w:val="Page Numbers (Bottom of Page)"/>
        <w:docPartUnique/>
      </w:docPartObj>
    </w:sdtPr>
    <w:sdtEndPr>
      <w:rPr>
        <w:noProof/>
      </w:rPr>
    </w:sdtEndPr>
    <w:sdtContent>
      <w:p w14:paraId="0F5F5E77" w14:textId="55F88ECE" w:rsidR="00B96D75" w:rsidRDefault="00B96D75">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971571"/>
      <w:docPartObj>
        <w:docPartGallery w:val="Page Numbers (Bottom of Page)"/>
        <w:docPartUnique/>
      </w:docPartObj>
    </w:sdtPr>
    <w:sdtEndPr>
      <w:rPr>
        <w:noProof/>
      </w:rPr>
    </w:sdtEndPr>
    <w:sdtContent>
      <w:p w14:paraId="1B55D3A4" w14:textId="694C6A60" w:rsidR="00480B35" w:rsidRDefault="00480B35">
        <w:pPr>
          <w:pStyle w:val="Footer"/>
        </w:pPr>
        <w:r>
          <w:fldChar w:fldCharType="begin"/>
        </w:r>
        <w:r>
          <w:instrText xml:space="preserve"> PAGE   \* MERGEFORMAT </w:instrText>
        </w:r>
        <w:r>
          <w:fldChar w:fldCharType="separate"/>
        </w:r>
        <w:r>
          <w:rPr>
            <w:noProof/>
          </w:rPr>
          <w:t>2</w:t>
        </w:r>
        <w:r>
          <w:rPr>
            <w:noProof/>
          </w:rPr>
          <w:fldChar w:fldCharType="end"/>
        </w:r>
        <w:r>
          <w:rPr>
            <w:noProof/>
          </w:rPr>
          <w:t xml:space="preserve"> |</w:t>
        </w:r>
        <w:r w:rsidRPr="006E252D">
          <w:t xml:space="preserve"> </w:t>
        </w:r>
        <w:fldSimple w:instr=" STYLEREF  &quot;Heading 1 (unnumbered)&quot;  \* MERGEFORMAT ">
          <w:r w:rsidR="009E6E1D">
            <w:rPr>
              <w:noProof/>
            </w:rPr>
            <w:t>Executive summary</w:t>
          </w:r>
        </w:fldSimple>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8442697"/>
      <w:docPartObj>
        <w:docPartGallery w:val="Page Numbers (Bottom of Page)"/>
        <w:docPartUnique/>
      </w:docPartObj>
    </w:sdtPr>
    <w:sdtEndPr>
      <w:rPr>
        <w:noProof/>
      </w:rPr>
    </w:sdtEndPr>
    <w:sdtContent>
      <w:p w14:paraId="15435D1F" w14:textId="2DB772D3" w:rsidR="00480B35" w:rsidRDefault="00D947AC" w:rsidP="004B3CB3">
        <w:pPr>
          <w:pStyle w:val="Footer"/>
          <w:jc w:val="right"/>
        </w:pPr>
        <w:fldSimple w:instr=" STYLEREF  Title  \* MERGEFORMAT ">
          <w:r w:rsidR="009E6E1D">
            <w:rPr>
              <w:noProof/>
            </w:rPr>
            <w:t>Connecting for impact</w:t>
          </w:r>
        </w:fldSimple>
        <w:r w:rsidR="00480B35">
          <w:t xml:space="preserve"> | </w:t>
        </w:r>
        <w:r w:rsidR="00480B35">
          <w:fldChar w:fldCharType="begin"/>
        </w:r>
        <w:r w:rsidR="00480B35">
          <w:instrText xml:space="preserve"> PAGE   \* MERGEFORMAT </w:instrText>
        </w:r>
        <w:r w:rsidR="00480B35">
          <w:fldChar w:fldCharType="separate"/>
        </w:r>
        <w:r w:rsidR="00480B35">
          <w:t>1</w:t>
        </w:r>
        <w:r w:rsidR="00480B35">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531332"/>
      <w:docPartObj>
        <w:docPartGallery w:val="Page Numbers (Bottom of Page)"/>
        <w:docPartUnique/>
      </w:docPartObj>
    </w:sdtPr>
    <w:sdtEndPr>
      <w:rPr>
        <w:noProof/>
      </w:rPr>
    </w:sdtEndPr>
    <w:sdtContent>
      <w:p w14:paraId="5017F9C7" w14:textId="0C4AA385" w:rsidR="00F0471F" w:rsidRDefault="004B3CB3" w:rsidP="004B3CB3">
        <w:pPr>
          <w:pStyle w:val="Footer"/>
          <w:jc w:val="right"/>
        </w:pPr>
        <w:r w:rsidRPr="00835A0D">
          <w:t>Jobs and Skills Australia –</w:t>
        </w:r>
        <w:r>
          <w:t xml:space="preserve"> </w:t>
        </w:r>
        <w:fldSimple w:instr=" STYLEREF  Title  \* MERGEFORMAT ">
          <w:r w:rsidR="009E6E1D">
            <w:rPr>
              <w:noProof/>
            </w:rPr>
            <w:t>Connecting for impact</w:t>
          </w:r>
        </w:fldSimple>
        <w:r>
          <w:t xml:space="preserve"> | </w:t>
        </w:r>
        <w:r>
          <w:fldChar w:fldCharType="begin"/>
        </w:r>
        <w:r>
          <w:instrText xml:space="preserve"> PAGE   \* MERGEFORMAT </w:instrText>
        </w:r>
        <w:r>
          <w:fldChar w:fldCharType="separate"/>
        </w:r>
        <w:r>
          <w:t>1</w:t>
        </w:r>
        <w:r>
          <w:rPr>
            <w:noProof/>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0473209"/>
      <w:docPartObj>
        <w:docPartGallery w:val="Page Numbers (Bottom of Page)"/>
        <w:docPartUnique/>
      </w:docPartObj>
    </w:sdtPr>
    <w:sdtEndPr>
      <w:rPr>
        <w:noProof/>
      </w:rPr>
    </w:sdtEndPr>
    <w:sdtContent>
      <w:p w14:paraId="2E61030D" w14:textId="07AEADB5" w:rsidR="00480B35" w:rsidRDefault="00480B35">
        <w:pPr>
          <w:pStyle w:val="Footer"/>
        </w:pPr>
        <w:r>
          <w:fldChar w:fldCharType="begin"/>
        </w:r>
        <w:r>
          <w:instrText xml:space="preserve"> PAGE   \* MERGEFORMAT </w:instrText>
        </w:r>
        <w:r>
          <w:fldChar w:fldCharType="separate"/>
        </w:r>
        <w:r>
          <w:rPr>
            <w:noProof/>
          </w:rPr>
          <w:t>2</w:t>
        </w:r>
        <w:r>
          <w:rPr>
            <w:noProof/>
          </w:rPr>
          <w:fldChar w:fldCharType="end"/>
        </w:r>
        <w:r>
          <w:rPr>
            <w:noProof/>
          </w:rPr>
          <w:t xml:space="preserve"> |</w:t>
        </w:r>
        <w:r w:rsidRPr="006E252D">
          <w:t xml:space="preserve"> </w:t>
        </w:r>
        <w:fldSimple w:instr=" STYLEREF  &quot;Heading 1&quot; \n  \* MERGEFORMAT ">
          <w:r w:rsidR="009E6E1D">
            <w:rPr>
              <w:noProof/>
            </w:rPr>
            <w:t>Chapter 1</w:t>
          </w:r>
        </w:fldSimple>
        <w:r>
          <w:t xml:space="preserve">: </w:t>
        </w:r>
        <w:fldSimple w:instr=" STYLEREF  &quot;Heading 1&quot;  \* MERGEFORMAT ">
          <w:r w:rsidR="009E6E1D">
            <w:rPr>
              <w:noProof/>
            </w:rPr>
            <w:t>Productivity, participation and skills</w:t>
          </w:r>
        </w:fldSimple>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2317307"/>
      <w:docPartObj>
        <w:docPartGallery w:val="Page Numbers (Bottom of Page)"/>
        <w:docPartUnique/>
      </w:docPartObj>
    </w:sdtPr>
    <w:sdtEndPr>
      <w:rPr>
        <w:noProof/>
      </w:rPr>
    </w:sdtEndPr>
    <w:sdtContent>
      <w:p w14:paraId="4F591612" w14:textId="70FDB947" w:rsidR="00480B35" w:rsidRDefault="00D947AC" w:rsidP="004B3CB3">
        <w:pPr>
          <w:pStyle w:val="Footer"/>
          <w:jc w:val="right"/>
        </w:pPr>
        <w:fldSimple w:instr=" STYLEREF  Title  \* MERGEFORMAT ">
          <w:r w:rsidR="009E6E1D">
            <w:rPr>
              <w:noProof/>
            </w:rPr>
            <w:t>Connecting for impact</w:t>
          </w:r>
        </w:fldSimple>
        <w:r w:rsidR="00480B35">
          <w:t xml:space="preserve"> | </w:t>
        </w:r>
        <w:r w:rsidR="00480B35">
          <w:fldChar w:fldCharType="begin"/>
        </w:r>
        <w:r w:rsidR="00480B35">
          <w:instrText xml:space="preserve"> PAGE   \* MERGEFORMAT </w:instrText>
        </w:r>
        <w:r w:rsidR="00480B35">
          <w:fldChar w:fldCharType="separate"/>
        </w:r>
        <w:r w:rsidR="00480B35">
          <w:t>1</w:t>
        </w:r>
        <w:r w:rsidR="00480B35">
          <w:rPr>
            <w:noProof/>
          </w:rPr>
          <w:fldChar w:fldCharType="end"/>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2209549"/>
      <w:docPartObj>
        <w:docPartGallery w:val="Page Numbers (Bottom of Page)"/>
        <w:docPartUnique/>
      </w:docPartObj>
    </w:sdtPr>
    <w:sdtEndPr>
      <w:rPr>
        <w:noProof/>
      </w:rPr>
    </w:sdtEndPr>
    <w:sdtContent>
      <w:p w14:paraId="00252101" w14:textId="19776DC4" w:rsidR="00B96D75" w:rsidRDefault="00B96D75">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277137"/>
      <w:docPartObj>
        <w:docPartGallery w:val="Page Numbers (Bottom of Page)"/>
        <w:docPartUnique/>
      </w:docPartObj>
    </w:sdtPr>
    <w:sdtEndPr>
      <w:rPr>
        <w:noProof/>
      </w:rPr>
    </w:sdtEndPr>
    <w:sdtContent>
      <w:p w14:paraId="6A394C0D" w14:textId="0350D133" w:rsidR="00480B35" w:rsidRDefault="00D947AC" w:rsidP="004B3CB3">
        <w:pPr>
          <w:pStyle w:val="Footer"/>
          <w:jc w:val="right"/>
        </w:pPr>
        <w:fldSimple w:instr=" STYLEREF  Title  \* MERGEFORMAT ">
          <w:r w:rsidR="009E6E1D">
            <w:rPr>
              <w:noProof/>
            </w:rPr>
            <w:t>Connecting for impact</w:t>
          </w:r>
        </w:fldSimple>
        <w:r w:rsidR="00480B35">
          <w:t xml:space="preserve"> | </w:t>
        </w:r>
        <w:r w:rsidR="00480B35">
          <w:fldChar w:fldCharType="begin"/>
        </w:r>
        <w:r w:rsidR="00480B35">
          <w:instrText xml:space="preserve"> PAGE   \* MERGEFORMAT </w:instrText>
        </w:r>
        <w:r w:rsidR="00480B35">
          <w:fldChar w:fldCharType="separate"/>
        </w:r>
        <w:r w:rsidR="00480B35">
          <w:t>1</w:t>
        </w:r>
        <w:r w:rsidR="00480B35">
          <w:rPr>
            <w:noProof/>
          </w:rPr>
          <w:fldChar w:fldCharType="end"/>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0363437"/>
      <w:docPartObj>
        <w:docPartGallery w:val="Page Numbers (Bottom of Page)"/>
        <w:docPartUnique/>
      </w:docPartObj>
    </w:sdtPr>
    <w:sdtEndPr>
      <w:rPr>
        <w:noProof/>
      </w:rPr>
    </w:sdtEndPr>
    <w:sdtContent>
      <w:p w14:paraId="17D356A9" w14:textId="173C72E9" w:rsidR="00480B35" w:rsidRDefault="00480B35">
        <w:pPr>
          <w:pStyle w:val="Footer"/>
        </w:pPr>
        <w:r>
          <w:fldChar w:fldCharType="begin"/>
        </w:r>
        <w:r>
          <w:instrText xml:space="preserve"> PAGE   \* MERGEFORMAT </w:instrText>
        </w:r>
        <w:r>
          <w:fldChar w:fldCharType="separate"/>
        </w:r>
        <w:r>
          <w:t>14</w:t>
        </w:r>
        <w:r>
          <w:rPr>
            <w:noProof/>
          </w:rPr>
          <w:fldChar w:fldCharType="end"/>
        </w:r>
        <w:r>
          <w:rPr>
            <w:noProof/>
          </w:rPr>
          <w:t xml:space="preserve"> |</w:t>
        </w:r>
        <w:r w:rsidRPr="006E252D">
          <w:t xml:space="preserve"> </w:t>
        </w:r>
        <w:fldSimple w:instr=" STYLEREF  &quot;Heading 1&quot; \n  \* MERGEFORMAT ">
          <w:r w:rsidR="009E6E1D">
            <w:rPr>
              <w:noProof/>
            </w:rPr>
            <w:t>Chapter 2</w:t>
          </w:r>
        </w:fldSimple>
        <w:r>
          <w:t xml:space="preserve">: </w:t>
        </w:r>
        <w:fldSimple w:instr=" STYLEREF  &quot;Heading 1&quot;  \* MERGEFORMAT ">
          <w:r w:rsidR="009E6E1D">
            <w:rPr>
              <w:noProof/>
            </w:rPr>
            <w:t>Inclusive participation</w:t>
          </w:r>
        </w:fldSimple>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874987"/>
      <w:docPartObj>
        <w:docPartGallery w:val="Page Numbers (Bottom of Page)"/>
        <w:docPartUnique/>
      </w:docPartObj>
    </w:sdtPr>
    <w:sdtEndPr>
      <w:rPr>
        <w:noProof/>
      </w:rPr>
    </w:sdtEndPr>
    <w:sdtContent>
      <w:p w14:paraId="319855B6" w14:textId="7B48C9B9" w:rsidR="00480B35" w:rsidRDefault="00D947AC" w:rsidP="004B3CB3">
        <w:pPr>
          <w:pStyle w:val="Footer"/>
          <w:jc w:val="right"/>
        </w:pPr>
        <w:fldSimple w:instr=" STYLEREF  Title  \* MERGEFORMAT ">
          <w:r w:rsidR="009E6E1D">
            <w:rPr>
              <w:noProof/>
            </w:rPr>
            <w:t>Connecting for impact</w:t>
          </w:r>
        </w:fldSimple>
        <w:r w:rsidR="00480B35">
          <w:t xml:space="preserve"> | </w:t>
        </w:r>
        <w:r w:rsidR="00480B35">
          <w:fldChar w:fldCharType="begin"/>
        </w:r>
        <w:r w:rsidR="00480B35">
          <w:instrText xml:space="preserve"> PAGE   \* MERGEFORMAT </w:instrText>
        </w:r>
        <w:r w:rsidR="00480B35">
          <w:fldChar w:fldCharType="separate"/>
        </w:r>
        <w:r w:rsidR="00480B35">
          <w:t>1</w:t>
        </w:r>
        <w:r w:rsidR="00480B35">
          <w:rPr>
            <w:noProof/>
          </w:rPr>
          <w:fldChar w:fldCharType="end"/>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0769188"/>
      <w:docPartObj>
        <w:docPartGallery w:val="Page Numbers (Bottom of Page)"/>
        <w:docPartUnique/>
      </w:docPartObj>
    </w:sdtPr>
    <w:sdtEndPr>
      <w:rPr>
        <w:noProof/>
      </w:rPr>
    </w:sdtEndPr>
    <w:sdtContent>
      <w:p w14:paraId="01979918" w14:textId="3E151A8B" w:rsidR="00B96D75" w:rsidRDefault="00B96D75">
        <w:pPr>
          <w:pStyle w:val="Footer"/>
        </w:pPr>
        <w:r>
          <w:fldChar w:fldCharType="begin"/>
        </w:r>
        <w:r>
          <w:instrText xml:space="preserve"> PAGE   \* MERGEFORMAT </w:instrText>
        </w:r>
        <w:r>
          <w:fldChar w:fldCharType="separate"/>
        </w:r>
        <w:r>
          <w:t>14</w:t>
        </w:r>
        <w:r>
          <w:rPr>
            <w:noProof/>
          </w:rPr>
          <w:fldChar w:fldCharType="end"/>
        </w:r>
      </w:p>
    </w:sdtContent>
  </w:sdt>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797629"/>
      <w:docPartObj>
        <w:docPartGallery w:val="Page Numbers (Bottom of Page)"/>
        <w:docPartUnique/>
      </w:docPartObj>
    </w:sdtPr>
    <w:sdtEndPr>
      <w:rPr>
        <w:noProof/>
      </w:rPr>
    </w:sdtEndPr>
    <w:sdtContent>
      <w:p w14:paraId="2E669C81" w14:textId="004AFD8A" w:rsidR="00480B35" w:rsidRDefault="00D947AC" w:rsidP="004B3CB3">
        <w:pPr>
          <w:pStyle w:val="Footer"/>
          <w:jc w:val="right"/>
        </w:pPr>
        <w:fldSimple w:instr=" STYLEREF  Title  \* MERGEFORMAT ">
          <w:r w:rsidR="009E6E1D">
            <w:rPr>
              <w:noProof/>
            </w:rPr>
            <w:t>Connecting for impact</w:t>
          </w:r>
        </w:fldSimple>
        <w:r w:rsidR="00480B35">
          <w:t xml:space="preserve"> | </w:t>
        </w:r>
        <w:r w:rsidR="00480B35">
          <w:fldChar w:fldCharType="begin"/>
        </w:r>
        <w:r w:rsidR="00480B35">
          <w:instrText xml:space="preserve"> PAGE   \* MERGEFORMAT </w:instrText>
        </w:r>
        <w:r w:rsidR="00480B35">
          <w:fldChar w:fldCharType="separate"/>
        </w:r>
        <w:r w:rsidR="00480B35">
          <w:t>1</w:t>
        </w:r>
        <w:r w:rsidR="00480B35">
          <w:rPr>
            <w:noProof/>
          </w:rPr>
          <w:fldChar w:fldCharType="end"/>
        </w:r>
      </w:p>
    </w:sdtContent>
  </w:sdt>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6137416"/>
      <w:docPartObj>
        <w:docPartGallery w:val="Page Numbers (Bottom of Page)"/>
        <w:docPartUnique/>
      </w:docPartObj>
    </w:sdtPr>
    <w:sdtEndPr>
      <w:rPr>
        <w:noProof/>
      </w:rPr>
    </w:sdtEndPr>
    <w:sdtContent>
      <w:sdt>
        <w:sdtPr>
          <w:id w:val="25223824"/>
          <w:docPartObj>
            <w:docPartGallery w:val="Page Numbers (Bottom of Page)"/>
            <w:docPartUnique/>
          </w:docPartObj>
        </w:sdtPr>
        <w:sdtEndPr>
          <w:rPr>
            <w:noProof/>
          </w:rPr>
        </w:sdtEndPr>
        <w:sdtContent>
          <w:p w14:paraId="609D7D21" w14:textId="2B2AEEE1" w:rsidR="00480B35" w:rsidRDefault="00040A6D">
            <w:pPr>
              <w:pStyle w:val="Footer"/>
            </w:pPr>
            <w:r>
              <w:fldChar w:fldCharType="begin"/>
            </w:r>
            <w:r>
              <w:instrText xml:space="preserve"> PAGE   \* MERGEFORMAT </w:instrText>
            </w:r>
            <w:r>
              <w:fldChar w:fldCharType="separate"/>
            </w:r>
            <w:r>
              <w:t>14</w:t>
            </w:r>
            <w:r>
              <w:rPr>
                <w:noProof/>
              </w:rPr>
              <w:fldChar w:fldCharType="end"/>
            </w:r>
            <w:r>
              <w:rPr>
                <w:noProof/>
              </w:rPr>
              <w:t xml:space="preserve"> |</w:t>
            </w:r>
            <w:r w:rsidRPr="006E252D">
              <w:t xml:space="preserve"> </w:t>
            </w:r>
            <w:fldSimple w:instr=" STYLEREF  &quot;Heading 1&quot; \n  \* MERGEFORMAT ">
              <w:r w:rsidR="009E6E1D">
                <w:rPr>
                  <w:noProof/>
                </w:rPr>
                <w:t>Chapter 3</w:t>
              </w:r>
            </w:fldSimple>
            <w:r>
              <w:t xml:space="preserve">: </w:t>
            </w:r>
            <w:fldSimple w:instr=" STYLEREF  &quot;Heading 1&quot;  \* MERGEFORMAT ">
              <w:r w:rsidR="009E6E1D">
                <w:rPr>
                  <w:noProof/>
                </w:rPr>
                <w:t>The barriers to productivity and participation in today’s labour market</w:t>
              </w:r>
            </w:fldSimple>
          </w:p>
        </w:sdtContent>
      </w:sdt>
    </w:sdtContent>
  </w:sdt>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6085746"/>
      <w:docPartObj>
        <w:docPartGallery w:val="Page Numbers (Bottom of Page)"/>
        <w:docPartUnique/>
      </w:docPartObj>
    </w:sdtPr>
    <w:sdtEndPr>
      <w:rPr>
        <w:noProof/>
      </w:rPr>
    </w:sdtEndPr>
    <w:sdtContent>
      <w:p w14:paraId="05BB7329" w14:textId="08F698DE" w:rsidR="00480B35" w:rsidRDefault="00D947AC" w:rsidP="004B3CB3">
        <w:pPr>
          <w:pStyle w:val="Footer"/>
          <w:jc w:val="right"/>
        </w:pPr>
        <w:fldSimple w:instr=" STYLEREF  Title  \* MERGEFORMAT ">
          <w:r w:rsidR="009E6E1D">
            <w:rPr>
              <w:noProof/>
            </w:rPr>
            <w:t>Connecting for impact</w:t>
          </w:r>
        </w:fldSimple>
        <w:r w:rsidR="00480B35">
          <w:t xml:space="preserve"> | </w:t>
        </w:r>
        <w:r w:rsidR="00480B35">
          <w:fldChar w:fldCharType="begin"/>
        </w:r>
        <w:r w:rsidR="00480B35">
          <w:instrText xml:space="preserve"> PAGE   \* MERGEFORMAT </w:instrText>
        </w:r>
        <w:r w:rsidR="00480B35">
          <w:fldChar w:fldCharType="separate"/>
        </w:r>
        <w:r w:rsidR="00480B35">
          <w:t>1</w:t>
        </w:r>
        <w:r w:rsidR="00480B35">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3469094"/>
      <w:docPartObj>
        <w:docPartGallery w:val="Page Numbers (Bottom of Page)"/>
        <w:docPartUnique/>
      </w:docPartObj>
    </w:sdtPr>
    <w:sdtEndPr>
      <w:rPr>
        <w:noProof/>
      </w:rPr>
    </w:sdtEndPr>
    <w:sdtContent>
      <w:p w14:paraId="58351699" w14:textId="4856F419" w:rsidR="00D01FC0" w:rsidRPr="004B3CB3" w:rsidRDefault="004B3CB3" w:rsidP="004B3CB3">
        <w:pPr>
          <w:pStyle w:val="Footer"/>
        </w:pPr>
        <w:r>
          <w:fldChar w:fldCharType="begin"/>
        </w:r>
        <w:r>
          <w:instrText xml:space="preserve"> PAGE   \* MERGEFORMAT </w:instrText>
        </w:r>
        <w:r>
          <w:fldChar w:fldCharType="separate"/>
        </w:r>
        <w:r>
          <w:t>2</w:t>
        </w:r>
        <w:r>
          <w:rPr>
            <w:noProof/>
          </w:rPr>
          <w:fldChar w:fldCharType="end"/>
        </w:r>
        <w:r>
          <w:rPr>
            <w:noProof/>
          </w:rPr>
          <w:t xml:space="preserve"> | </w:t>
        </w:r>
        <w:r w:rsidRPr="00835A0D">
          <w:t>Jobs and Skills Australia –</w:t>
        </w:r>
        <w:r>
          <w:t xml:space="preserve"> </w:t>
        </w:r>
        <w:fldSimple w:instr=" STYLEREF  Title  \* MERGEFORMAT ">
          <w:r w:rsidR="009E6E1D">
            <w:rPr>
              <w:noProof/>
            </w:rPr>
            <w:t>Connecting for impact</w:t>
          </w:r>
        </w:fldSimple>
      </w:p>
    </w:sdtContent>
  </w:sdt>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7652733"/>
      <w:docPartObj>
        <w:docPartGallery w:val="Page Numbers (Bottom of Page)"/>
        <w:docPartUnique/>
      </w:docPartObj>
    </w:sdtPr>
    <w:sdtEndPr>
      <w:rPr>
        <w:noProof/>
      </w:rPr>
    </w:sdtEndPr>
    <w:sdtContent>
      <w:p w14:paraId="0FC7FF02" w14:textId="509788B2" w:rsidR="00480B35" w:rsidRDefault="00D947AC" w:rsidP="004B3CB3">
        <w:pPr>
          <w:pStyle w:val="Footer"/>
          <w:jc w:val="right"/>
        </w:pPr>
        <w:fldSimple w:instr=" STYLEREF  Title  \* MERGEFORMAT ">
          <w:r w:rsidR="009E6E1D">
            <w:rPr>
              <w:noProof/>
            </w:rPr>
            <w:t>Connecting for impact</w:t>
          </w:r>
        </w:fldSimple>
        <w:r w:rsidR="00480B35">
          <w:t xml:space="preserve"> | </w:t>
        </w:r>
        <w:r w:rsidR="00480B35">
          <w:fldChar w:fldCharType="begin"/>
        </w:r>
        <w:r w:rsidR="00480B35">
          <w:instrText xml:space="preserve"> PAGE   \* MERGEFORMAT </w:instrText>
        </w:r>
        <w:r w:rsidR="00480B35">
          <w:fldChar w:fldCharType="separate"/>
        </w:r>
        <w:r w:rsidR="00480B35">
          <w:t>1</w:t>
        </w:r>
        <w:r w:rsidR="00480B35">
          <w:rPr>
            <w:noProof/>
          </w:rPr>
          <w:fldChar w:fldCharType="end"/>
        </w:r>
      </w:p>
    </w:sdtContent>
  </w:sdt>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937942"/>
      <w:docPartObj>
        <w:docPartGallery w:val="Page Numbers (Bottom of Page)"/>
        <w:docPartUnique/>
      </w:docPartObj>
    </w:sdtPr>
    <w:sdtEndPr>
      <w:rPr>
        <w:noProof/>
      </w:rPr>
    </w:sdtEndPr>
    <w:sdtContent>
      <w:p w14:paraId="52B8F392" w14:textId="4ECF496E" w:rsidR="00480B35" w:rsidRDefault="00040A6D">
        <w:pPr>
          <w:pStyle w:val="Footer"/>
        </w:pPr>
        <w:r>
          <w:fldChar w:fldCharType="begin"/>
        </w:r>
        <w:r>
          <w:instrText xml:space="preserve"> PAGE   \* MERGEFORMAT </w:instrText>
        </w:r>
        <w:r>
          <w:fldChar w:fldCharType="separate"/>
        </w:r>
        <w:r>
          <w:t>14</w:t>
        </w:r>
        <w:r>
          <w:rPr>
            <w:noProof/>
          </w:rPr>
          <w:fldChar w:fldCharType="end"/>
        </w:r>
        <w:r>
          <w:rPr>
            <w:noProof/>
          </w:rPr>
          <w:t xml:space="preserve"> |</w:t>
        </w:r>
        <w:r w:rsidRPr="006E252D">
          <w:t xml:space="preserve"> </w:t>
        </w:r>
        <w:fldSimple w:instr=" STYLEREF  &quot;Heading 1&quot; \n  \* MERGEFORMAT ">
          <w:r w:rsidR="009E6E1D">
            <w:rPr>
              <w:noProof/>
            </w:rPr>
            <w:t>Chapter 4</w:t>
          </w:r>
        </w:fldSimple>
        <w:r>
          <w:t xml:space="preserve">: </w:t>
        </w:r>
        <w:fldSimple w:instr=" STYLEREF  &quot;Heading 1&quot;  \* MERGEFORMAT ">
          <w:r w:rsidR="009E6E1D">
            <w:rPr>
              <w:noProof/>
            </w:rPr>
            <w:t>The future labour market</w:t>
          </w:r>
        </w:fldSimple>
      </w:p>
    </w:sdtContent>
  </w:sdt>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2911363"/>
      <w:docPartObj>
        <w:docPartGallery w:val="Page Numbers (Bottom of Page)"/>
        <w:docPartUnique/>
      </w:docPartObj>
    </w:sdtPr>
    <w:sdtEndPr>
      <w:rPr>
        <w:noProof/>
      </w:rPr>
    </w:sdtEndPr>
    <w:sdtContent>
      <w:p w14:paraId="6119FBE7" w14:textId="309DD611" w:rsidR="00480B35" w:rsidRDefault="00D947AC" w:rsidP="004B3CB3">
        <w:pPr>
          <w:pStyle w:val="Footer"/>
          <w:jc w:val="right"/>
        </w:pPr>
        <w:fldSimple w:instr=" STYLEREF  Title  \* MERGEFORMAT ">
          <w:r w:rsidR="009E6E1D">
            <w:rPr>
              <w:noProof/>
            </w:rPr>
            <w:t>Connecting for impact</w:t>
          </w:r>
        </w:fldSimple>
        <w:r w:rsidR="00480B35">
          <w:t xml:space="preserve"> | </w:t>
        </w:r>
        <w:r w:rsidR="00480B35">
          <w:fldChar w:fldCharType="begin"/>
        </w:r>
        <w:r w:rsidR="00480B35">
          <w:instrText xml:space="preserve"> PAGE   \* MERGEFORMAT </w:instrText>
        </w:r>
        <w:r w:rsidR="00480B35">
          <w:fldChar w:fldCharType="separate"/>
        </w:r>
        <w:r w:rsidR="00480B35">
          <w:t>1</w:t>
        </w:r>
        <w:r w:rsidR="00480B35">
          <w:rPr>
            <w:noProof/>
          </w:rPr>
          <w:fldChar w:fldCharType="end"/>
        </w:r>
      </w:p>
    </w:sdtContent>
  </w:sdt>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0743356"/>
      <w:docPartObj>
        <w:docPartGallery w:val="Page Numbers (Bottom of Page)"/>
        <w:docPartUnique/>
      </w:docPartObj>
    </w:sdtPr>
    <w:sdtEndPr>
      <w:rPr>
        <w:noProof/>
      </w:rPr>
    </w:sdtEndPr>
    <w:sdtContent>
      <w:p w14:paraId="5E415281" w14:textId="2BF8A89F" w:rsidR="00B96D75" w:rsidRDefault="00B96D75">
        <w:pPr>
          <w:pStyle w:val="Footer"/>
        </w:pPr>
        <w:r>
          <w:fldChar w:fldCharType="begin"/>
        </w:r>
        <w:r>
          <w:instrText xml:space="preserve"> PAGE   \* MERGEFORMAT </w:instrText>
        </w:r>
        <w:r>
          <w:fldChar w:fldCharType="separate"/>
        </w:r>
        <w:r>
          <w:t>14</w:t>
        </w:r>
        <w:r>
          <w:rPr>
            <w:noProof/>
          </w:rPr>
          <w:fldChar w:fldCharType="end"/>
        </w:r>
      </w:p>
    </w:sdtContent>
  </w:sdt>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332805"/>
      <w:docPartObj>
        <w:docPartGallery w:val="Page Numbers (Bottom of Page)"/>
        <w:docPartUnique/>
      </w:docPartObj>
    </w:sdtPr>
    <w:sdtEndPr>
      <w:rPr>
        <w:noProof/>
      </w:rPr>
    </w:sdtEndPr>
    <w:sdtContent>
      <w:p w14:paraId="7EAEBEAA" w14:textId="155B6EA3" w:rsidR="00480B35" w:rsidRDefault="00D947AC" w:rsidP="004B3CB3">
        <w:pPr>
          <w:pStyle w:val="Footer"/>
          <w:jc w:val="right"/>
        </w:pPr>
        <w:fldSimple w:instr=" STYLEREF  Title  \* MERGEFORMAT ">
          <w:r w:rsidR="009E6E1D">
            <w:rPr>
              <w:noProof/>
            </w:rPr>
            <w:t>Connecting for impact</w:t>
          </w:r>
        </w:fldSimple>
        <w:r w:rsidR="00480B35">
          <w:t xml:space="preserve"> | </w:t>
        </w:r>
        <w:r w:rsidR="00480B35">
          <w:fldChar w:fldCharType="begin"/>
        </w:r>
        <w:r w:rsidR="00480B35">
          <w:instrText xml:space="preserve"> PAGE   \* MERGEFORMAT </w:instrText>
        </w:r>
        <w:r w:rsidR="00480B35">
          <w:fldChar w:fldCharType="separate"/>
        </w:r>
        <w:r w:rsidR="00480B35">
          <w:t>1</w:t>
        </w:r>
        <w:r w:rsidR="00480B35">
          <w:rPr>
            <w:noProof/>
          </w:rPr>
          <w:fldChar w:fldCharType="end"/>
        </w:r>
      </w:p>
    </w:sdtContent>
  </w:sdt>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761319"/>
      <w:docPartObj>
        <w:docPartGallery w:val="Page Numbers (Bottom of Page)"/>
        <w:docPartUnique/>
      </w:docPartObj>
    </w:sdtPr>
    <w:sdtEndPr>
      <w:rPr>
        <w:noProof/>
      </w:rPr>
    </w:sdtEndPr>
    <w:sdtContent>
      <w:p w14:paraId="65FB18FA" w14:textId="749D958D" w:rsidR="00480B35" w:rsidRDefault="00040A6D">
        <w:pPr>
          <w:pStyle w:val="Footer"/>
        </w:pPr>
        <w:r>
          <w:fldChar w:fldCharType="begin"/>
        </w:r>
        <w:r>
          <w:instrText xml:space="preserve"> PAGE   \* MERGEFORMAT </w:instrText>
        </w:r>
        <w:r>
          <w:fldChar w:fldCharType="separate"/>
        </w:r>
        <w:r>
          <w:t>14</w:t>
        </w:r>
        <w:r>
          <w:rPr>
            <w:noProof/>
          </w:rPr>
          <w:fldChar w:fldCharType="end"/>
        </w:r>
        <w:r>
          <w:rPr>
            <w:noProof/>
          </w:rPr>
          <w:t xml:space="preserve"> |</w:t>
        </w:r>
        <w:r w:rsidRPr="006E252D">
          <w:t xml:space="preserve"> </w:t>
        </w:r>
        <w:fldSimple w:instr=" STYLEREF  &quot;Heading 1&quot; \n  \* MERGEFORMAT ">
          <w:r w:rsidR="009E6E1D">
            <w:rPr>
              <w:noProof/>
            </w:rPr>
            <w:t>Chapter 5</w:t>
          </w:r>
        </w:fldSimple>
        <w:r>
          <w:t xml:space="preserve">: </w:t>
        </w:r>
        <w:fldSimple w:instr=" STYLEREF  &quot;Heading 1&quot;  \* MERGEFORMAT ">
          <w:r w:rsidR="009E6E1D">
            <w:rPr>
              <w:noProof/>
            </w:rPr>
            <w:t>Improved matching and the skills system</w:t>
          </w:r>
        </w:fldSimple>
      </w:p>
    </w:sdtContent>
  </w:sdt>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544547"/>
      <w:docPartObj>
        <w:docPartGallery w:val="Page Numbers (Bottom of Page)"/>
        <w:docPartUnique/>
      </w:docPartObj>
    </w:sdtPr>
    <w:sdtEndPr>
      <w:rPr>
        <w:noProof/>
      </w:rPr>
    </w:sdtEndPr>
    <w:sdtContent>
      <w:p w14:paraId="7EBF4A6F" w14:textId="19801D35" w:rsidR="00480B35" w:rsidRDefault="00D947AC" w:rsidP="004B3CB3">
        <w:pPr>
          <w:pStyle w:val="Footer"/>
          <w:jc w:val="right"/>
        </w:pPr>
        <w:fldSimple w:instr=" STYLEREF  Title  \* MERGEFORMAT ">
          <w:r w:rsidR="009E6E1D">
            <w:rPr>
              <w:noProof/>
            </w:rPr>
            <w:t>Connecting for impact</w:t>
          </w:r>
        </w:fldSimple>
        <w:r w:rsidR="00480B35">
          <w:t xml:space="preserve"> | </w:t>
        </w:r>
        <w:r w:rsidR="00480B35">
          <w:fldChar w:fldCharType="begin"/>
        </w:r>
        <w:r w:rsidR="00480B35">
          <w:instrText xml:space="preserve"> PAGE   \* MERGEFORMAT </w:instrText>
        </w:r>
        <w:r w:rsidR="00480B35">
          <w:fldChar w:fldCharType="separate"/>
        </w:r>
        <w:r w:rsidR="00480B35">
          <w:t>1</w:t>
        </w:r>
        <w:r w:rsidR="00480B35">
          <w:rPr>
            <w:noProof/>
          </w:rPr>
          <w:fldChar w:fldCharType="end"/>
        </w:r>
      </w:p>
    </w:sdtContent>
  </w:sdt>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6571395"/>
      <w:docPartObj>
        <w:docPartGallery w:val="Page Numbers (Bottom of Page)"/>
        <w:docPartUnique/>
      </w:docPartObj>
    </w:sdtPr>
    <w:sdtEndPr>
      <w:rPr>
        <w:noProof/>
      </w:rPr>
    </w:sdtEndPr>
    <w:sdtContent>
      <w:p w14:paraId="77DC607A" w14:textId="4436201C" w:rsidR="00480B35" w:rsidRDefault="00D947AC" w:rsidP="004B3CB3">
        <w:pPr>
          <w:pStyle w:val="Footer"/>
          <w:jc w:val="right"/>
        </w:pPr>
        <w:fldSimple w:instr=" STYLEREF  Title  \* MERGEFORMAT ">
          <w:r w:rsidR="009E6E1D">
            <w:rPr>
              <w:noProof/>
            </w:rPr>
            <w:t>Connecting for impact</w:t>
          </w:r>
        </w:fldSimple>
        <w:r w:rsidR="00480B35">
          <w:t xml:space="preserve"> | </w:t>
        </w:r>
        <w:r w:rsidR="00480B35">
          <w:fldChar w:fldCharType="begin"/>
        </w:r>
        <w:r w:rsidR="00480B35">
          <w:instrText xml:space="preserve"> PAGE   \* MERGEFORMAT </w:instrText>
        </w:r>
        <w:r w:rsidR="00480B35">
          <w:fldChar w:fldCharType="separate"/>
        </w:r>
        <w:r w:rsidR="00480B35">
          <w:t>1</w:t>
        </w:r>
        <w:r w:rsidR="00480B35">
          <w:rPr>
            <w:noProof/>
          </w:rPr>
          <w:fldChar w:fldCharType="end"/>
        </w:r>
      </w:p>
    </w:sdtContent>
  </w:sdt>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452873"/>
      <w:docPartObj>
        <w:docPartGallery w:val="Page Numbers (Bottom of Page)"/>
        <w:docPartUnique/>
      </w:docPartObj>
    </w:sdtPr>
    <w:sdtEndPr>
      <w:rPr>
        <w:noProof/>
      </w:rPr>
    </w:sdtEndPr>
    <w:sdtContent>
      <w:sdt>
        <w:sdtPr>
          <w:id w:val="853840569"/>
          <w:docPartObj>
            <w:docPartGallery w:val="Page Numbers (Bottom of Page)"/>
            <w:docPartUnique/>
          </w:docPartObj>
        </w:sdtPr>
        <w:sdtEndPr>
          <w:rPr>
            <w:noProof/>
          </w:rPr>
        </w:sdtEndPr>
        <w:sdtContent>
          <w:sdt>
            <w:sdtPr>
              <w:id w:val="-1483460046"/>
              <w:docPartObj>
                <w:docPartGallery w:val="Page Numbers (Bottom of Page)"/>
                <w:docPartUnique/>
              </w:docPartObj>
            </w:sdtPr>
            <w:sdtEndPr>
              <w:rPr>
                <w:noProof/>
              </w:rPr>
            </w:sdtEndPr>
            <w:sdtContent>
              <w:p w14:paraId="00619919" w14:textId="3E6D80E9" w:rsidR="00480B35" w:rsidRDefault="00C453B6">
                <w:pPr>
                  <w:pStyle w:val="Footer"/>
                </w:pPr>
                <w:r>
                  <w:fldChar w:fldCharType="begin"/>
                </w:r>
                <w:r>
                  <w:instrText xml:space="preserve"> PAGE   \* MERGEFORMAT </w:instrText>
                </w:r>
                <w:r>
                  <w:fldChar w:fldCharType="separate"/>
                </w:r>
                <w:r>
                  <w:t>112</w:t>
                </w:r>
                <w:r>
                  <w:rPr>
                    <w:noProof/>
                  </w:rPr>
                  <w:fldChar w:fldCharType="end"/>
                </w:r>
                <w:r>
                  <w:rPr>
                    <w:noProof/>
                  </w:rPr>
                  <w:t xml:space="preserve"> |</w:t>
                </w:r>
                <w:r w:rsidRPr="006E252D">
                  <w:t xml:space="preserve"> </w:t>
                </w:r>
                <w:fldSimple w:instr=" STYLEREF  &quot;Heading 1&quot; \n  \* MERGEFORMAT ">
                  <w:r w:rsidR="009E6E1D">
                    <w:rPr>
                      <w:noProof/>
                    </w:rPr>
                    <w:t>Chapter 6</w:t>
                  </w:r>
                </w:fldSimple>
                <w:r>
                  <w:t xml:space="preserve">: </w:t>
                </w:r>
                <w:fldSimple w:instr=" STYLEREF  &quot;Heading 1&quot;  \* MERGEFORMAT ">
                  <w:r w:rsidR="009E6E1D">
                    <w:rPr>
                      <w:noProof/>
                    </w:rPr>
                    <w:t>Activating an informed dialogue</w:t>
                  </w:r>
                </w:fldSimple>
              </w:p>
            </w:sdtContent>
          </w:sdt>
        </w:sdtContent>
      </w:sdt>
    </w:sdtContent>
  </w:sdt>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530712"/>
      <w:docPartObj>
        <w:docPartGallery w:val="Page Numbers (Bottom of Page)"/>
        <w:docPartUnique/>
      </w:docPartObj>
    </w:sdtPr>
    <w:sdtEndPr>
      <w:rPr>
        <w:noProof/>
      </w:rPr>
    </w:sdtEndPr>
    <w:sdtContent>
      <w:p w14:paraId="5EE9A257" w14:textId="7044411C" w:rsidR="00480B35" w:rsidRDefault="00D947AC" w:rsidP="004B3CB3">
        <w:pPr>
          <w:pStyle w:val="Footer"/>
          <w:jc w:val="right"/>
        </w:pPr>
        <w:fldSimple w:instr=" STYLEREF  Title  \* MERGEFORMAT ">
          <w:r w:rsidR="009E6E1D">
            <w:rPr>
              <w:noProof/>
            </w:rPr>
            <w:t>Connecting for impact</w:t>
          </w:r>
        </w:fldSimple>
        <w:r w:rsidR="00480B35">
          <w:t xml:space="preserve"> | </w:t>
        </w:r>
        <w:r w:rsidR="00480B35">
          <w:fldChar w:fldCharType="begin"/>
        </w:r>
        <w:r w:rsidR="00480B35">
          <w:instrText xml:space="preserve"> PAGE   \* MERGEFORMAT </w:instrText>
        </w:r>
        <w:r w:rsidR="00480B35">
          <w:fldChar w:fldCharType="separate"/>
        </w:r>
        <w:r w:rsidR="00480B35">
          <w:t>1</w:t>
        </w:r>
        <w:r w:rsidR="00480B35">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691688"/>
      <w:docPartObj>
        <w:docPartGallery w:val="Page Numbers (Bottom of Page)"/>
        <w:docPartUnique/>
      </w:docPartObj>
    </w:sdtPr>
    <w:sdtEndPr>
      <w:rPr>
        <w:noProof/>
      </w:rPr>
    </w:sdtEndPr>
    <w:sdtContent>
      <w:p w14:paraId="7840C1E5" w14:textId="454BD48D" w:rsidR="00A118A6" w:rsidRDefault="00A118A6">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539601"/>
      <w:docPartObj>
        <w:docPartGallery w:val="Page Numbers (Bottom of Page)"/>
        <w:docPartUnique/>
      </w:docPartObj>
    </w:sdtPr>
    <w:sdtEndPr>
      <w:rPr>
        <w:noProof/>
      </w:rPr>
    </w:sdtEndPr>
    <w:sdtContent>
      <w:sdt>
        <w:sdtPr>
          <w:id w:val="745616219"/>
          <w:docPartObj>
            <w:docPartGallery w:val="Page Numbers (Bottom of Page)"/>
            <w:docPartUnique/>
          </w:docPartObj>
        </w:sdtPr>
        <w:sdtEndPr>
          <w:rPr>
            <w:noProof/>
          </w:rPr>
        </w:sdtEndPr>
        <w:sdtContent>
          <w:p w14:paraId="3BFDE206" w14:textId="2337952B" w:rsidR="00C453B6" w:rsidRDefault="00C453B6">
            <w:pPr>
              <w:pStyle w:val="Footer"/>
            </w:pPr>
            <w:r>
              <w:fldChar w:fldCharType="begin"/>
            </w:r>
            <w:r>
              <w:instrText xml:space="preserve"> PAGE   \* MERGEFORMAT </w:instrText>
            </w:r>
            <w:r>
              <w:fldChar w:fldCharType="separate"/>
            </w:r>
            <w:r>
              <w:t>14</w:t>
            </w:r>
            <w:r>
              <w:rPr>
                <w:noProof/>
              </w:rPr>
              <w:fldChar w:fldCharType="end"/>
            </w:r>
            <w:r>
              <w:rPr>
                <w:noProof/>
              </w:rPr>
              <w:t xml:space="preserve"> |</w:t>
            </w:r>
            <w:r w:rsidRPr="006E252D">
              <w:t xml:space="preserve"> </w:t>
            </w:r>
            <w:fldSimple w:instr=" STYLEREF  &quot;Appendix Heading 1&quot; \n  \* MERGEFORMAT ">
              <w:r w:rsidR="009E6E1D">
                <w:rPr>
                  <w:noProof/>
                </w:rPr>
                <w:t>Appendix B</w:t>
              </w:r>
            </w:fldSimple>
            <w:r>
              <w:t xml:space="preserve">: </w:t>
            </w:r>
            <w:fldSimple w:instr=" STYLEREF  &quot;Appendix Heading 1&quot;  \* MERGEFORMAT ">
              <w:r w:rsidR="009E6E1D">
                <w:rPr>
                  <w:noProof/>
                </w:rPr>
                <w:t>Glossary</w:t>
              </w:r>
            </w:fldSimple>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578469"/>
      <w:docPartObj>
        <w:docPartGallery w:val="Page Numbers (Bottom of Page)"/>
        <w:docPartUnique/>
      </w:docPartObj>
    </w:sdtPr>
    <w:sdtEndPr>
      <w:rPr>
        <w:noProof/>
      </w:rPr>
    </w:sdtEndPr>
    <w:sdtContent>
      <w:p w14:paraId="0F3D7063" w14:textId="58983A7F" w:rsidR="00660BD4" w:rsidRDefault="00660BD4" w:rsidP="004B3CB3">
        <w:pPr>
          <w:pStyle w:val="Footer"/>
          <w:jc w:val="right"/>
        </w:pPr>
        <w:r w:rsidRPr="00835A0D">
          <w:t>Jobs and Skills Australia –</w:t>
        </w:r>
        <w:r>
          <w:t xml:space="preserve"> </w:t>
        </w:r>
        <w:fldSimple w:instr=" STYLEREF  Title  \* MERGEFORMAT ">
          <w:r w:rsidR="009E6E1D">
            <w:rPr>
              <w:noProof/>
            </w:rPr>
            <w:t>Connecting for impact</w:t>
          </w:r>
        </w:fldSimple>
        <w:r>
          <w:t xml:space="preserve"> | </w:t>
        </w:r>
        <w:r>
          <w:fldChar w:fldCharType="begin"/>
        </w:r>
        <w:r>
          <w:instrText xml:space="preserve"> PAGE   \* MERGEFORMAT </w:instrText>
        </w:r>
        <w:r>
          <w:fldChar w:fldCharType="separate"/>
        </w:r>
        <w:r>
          <w:t>1</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443605"/>
      <w:docPartObj>
        <w:docPartGallery w:val="Page Numbers (Bottom of Page)"/>
        <w:docPartUnique/>
      </w:docPartObj>
    </w:sdtPr>
    <w:sdtEndPr>
      <w:rPr>
        <w:noProof/>
      </w:rPr>
    </w:sdtEndPr>
    <w:sdtContent>
      <w:p w14:paraId="45E170DC" w14:textId="14CCEC02" w:rsidR="00660BD4" w:rsidRPr="004B3CB3" w:rsidRDefault="00660BD4" w:rsidP="004B3CB3">
        <w:pPr>
          <w:pStyle w:val="Footer"/>
        </w:pPr>
        <w:r>
          <w:fldChar w:fldCharType="begin"/>
        </w:r>
        <w:r>
          <w:instrText xml:space="preserve"> PAGE   \* MERGEFORMAT </w:instrText>
        </w:r>
        <w:r>
          <w:fldChar w:fldCharType="separate"/>
        </w:r>
        <w:r>
          <w:t>2</w:t>
        </w:r>
        <w:r>
          <w:rPr>
            <w:noProof/>
          </w:rPr>
          <w:fldChar w:fldCharType="end"/>
        </w:r>
        <w:r>
          <w:rPr>
            <w:noProof/>
          </w:rPr>
          <w:t xml:space="preserve"> </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2722216"/>
      <w:docPartObj>
        <w:docPartGallery w:val="Page Numbers (Bottom of Page)"/>
        <w:docPartUnique/>
      </w:docPartObj>
    </w:sdtPr>
    <w:sdtEndPr>
      <w:rPr>
        <w:noProof/>
      </w:rPr>
    </w:sdtEndPr>
    <w:sdtContent>
      <w:p w14:paraId="61E24287" w14:textId="691A3446" w:rsidR="00660BD4" w:rsidRDefault="00D947AC" w:rsidP="004B3CB3">
        <w:pPr>
          <w:pStyle w:val="Footer"/>
          <w:jc w:val="right"/>
        </w:pPr>
        <w:fldSimple w:instr=" STYLEREF  Title  \* MERGEFORMAT ">
          <w:r w:rsidR="009E6E1D">
            <w:rPr>
              <w:noProof/>
            </w:rPr>
            <w:t>Connecting for impact</w:t>
          </w:r>
        </w:fldSimple>
        <w:r w:rsidR="00660BD4">
          <w:t xml:space="preserve"> | </w:t>
        </w:r>
        <w:r w:rsidR="00660BD4">
          <w:fldChar w:fldCharType="begin"/>
        </w:r>
        <w:r w:rsidR="00660BD4">
          <w:instrText xml:space="preserve"> PAGE   \* MERGEFORMAT </w:instrText>
        </w:r>
        <w:r w:rsidR="00660BD4">
          <w:fldChar w:fldCharType="separate"/>
        </w:r>
        <w:r w:rsidR="00660BD4">
          <w:t>1</w:t>
        </w:r>
        <w:r w:rsidR="00660BD4">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4805532"/>
      <w:docPartObj>
        <w:docPartGallery w:val="Page Numbers (Bottom of Page)"/>
        <w:docPartUnique/>
      </w:docPartObj>
    </w:sdtPr>
    <w:sdtEndPr>
      <w:rPr>
        <w:noProof/>
      </w:rPr>
    </w:sdtEndPr>
    <w:sdtContent>
      <w:p w14:paraId="7ECD4940" w14:textId="18FBB7FC" w:rsidR="00660BD4" w:rsidRPr="004B3CB3" w:rsidRDefault="00D947AC" w:rsidP="00660BD4">
        <w:pPr>
          <w:pStyle w:val="Footer"/>
          <w:jc w:val="right"/>
        </w:pPr>
        <w:fldSimple w:instr=" STYLEREF  Title  \* MERGEFORMAT ">
          <w:r w:rsidR="009E6E1D">
            <w:rPr>
              <w:noProof/>
            </w:rPr>
            <w:t>Connecting for impact</w:t>
          </w:r>
        </w:fldSimple>
        <w:r w:rsidR="00660BD4">
          <w:t xml:space="preserve"> | </w:t>
        </w:r>
        <w:r w:rsidR="00660BD4">
          <w:fldChar w:fldCharType="begin"/>
        </w:r>
        <w:r w:rsidR="00660BD4">
          <w:instrText xml:space="preserve"> PAGE   \* MERGEFORMAT </w:instrText>
        </w:r>
        <w:r w:rsidR="00660BD4">
          <w:fldChar w:fldCharType="separate"/>
        </w:r>
        <w:r w:rsidR="00660BD4">
          <w:t>1</w:t>
        </w:r>
        <w:r w:rsidR="00660BD4">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2440485"/>
      <w:docPartObj>
        <w:docPartGallery w:val="Page Numbers (Bottom of Page)"/>
        <w:docPartUnique/>
      </w:docPartObj>
    </w:sdtPr>
    <w:sdtEndPr>
      <w:rPr>
        <w:noProof/>
      </w:rPr>
    </w:sdtEndPr>
    <w:sdtContent>
      <w:p w14:paraId="4F33F93E" w14:textId="7C95BEC5" w:rsidR="00660BD4" w:rsidRPr="004B3CB3" w:rsidRDefault="00660BD4" w:rsidP="004B3CB3">
        <w:pPr>
          <w:pStyle w:val="Footer"/>
        </w:pPr>
        <w:r>
          <w:fldChar w:fldCharType="begin"/>
        </w:r>
        <w:r>
          <w:instrText xml:space="preserve"> PAGE   \* MERGEFORMAT </w:instrText>
        </w:r>
        <w:r>
          <w:fldChar w:fldCharType="separate"/>
        </w:r>
        <w:r>
          <w:t>2</w:t>
        </w:r>
        <w:r>
          <w:rPr>
            <w:noProof/>
          </w:rPr>
          <w:fldChar w:fldCharType="end"/>
        </w:r>
        <w:r>
          <w:rPr>
            <w:noProof/>
          </w:rPr>
          <w:t xml:space="preserve"> | </w:t>
        </w:r>
        <w:r w:rsidR="006E252D">
          <w:t>Commissioner’s Foreword</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4F0BE" w14:textId="77777777" w:rsidR="00FE6C41" w:rsidRDefault="00FE6C41" w:rsidP="00E12845">
      <w:r>
        <w:separator/>
      </w:r>
    </w:p>
  </w:footnote>
  <w:footnote w:type="continuationSeparator" w:id="0">
    <w:p w14:paraId="18B25CC5" w14:textId="77777777" w:rsidR="00FE6C41" w:rsidRDefault="00FE6C41" w:rsidP="00E12845">
      <w:r>
        <w:continuationSeparator/>
      </w:r>
    </w:p>
  </w:footnote>
  <w:footnote w:id="1">
    <w:p w14:paraId="271CA7B5" w14:textId="56F8E36D" w:rsidR="00802B85" w:rsidRDefault="00802B85" w:rsidP="00802B85">
      <w:pPr>
        <w:pStyle w:val="FootnoteText"/>
      </w:pPr>
      <w:r w:rsidRPr="009B1547">
        <w:rPr>
          <w:rStyle w:val="FootnoteReference"/>
        </w:rPr>
        <w:footnoteRef/>
      </w:r>
      <w:r w:rsidRPr="009B1547">
        <w:t xml:space="preserve"> </w:t>
      </w:r>
      <w:r w:rsidRPr="004D1AD3">
        <w:t>A</w:t>
      </w:r>
      <w:r w:rsidR="004F43BA">
        <w:t xml:space="preserve">ustralian </w:t>
      </w:r>
      <w:r w:rsidR="00347B03" w:rsidRPr="000E5528">
        <w:t>B</w:t>
      </w:r>
      <w:r w:rsidR="00347B03">
        <w:t>ureau of Statistics (ABS)</w:t>
      </w:r>
      <w:r w:rsidRPr="00AB2407">
        <w:t xml:space="preserve"> Survey of Disability, Ageing and Carers, 2022</w:t>
      </w:r>
      <w:r w:rsidR="002C3A30">
        <w:t>.</w:t>
      </w:r>
    </w:p>
  </w:footnote>
  <w:footnote w:id="2">
    <w:p w14:paraId="56FB12C1" w14:textId="231E5532" w:rsidR="00400E15" w:rsidRDefault="00400E15">
      <w:pPr>
        <w:pStyle w:val="FootnoteText"/>
      </w:pPr>
      <w:r>
        <w:rPr>
          <w:rStyle w:val="FootnoteReference"/>
        </w:rPr>
        <w:footnoteRef/>
      </w:r>
      <w:r>
        <w:t xml:space="preserve"> ABS, Labour Force Survey, May </w:t>
      </w:r>
      <w:r w:rsidR="007B017B">
        <w:t xml:space="preserve">2025. </w:t>
      </w:r>
    </w:p>
  </w:footnote>
  <w:footnote w:id="3">
    <w:p w14:paraId="0DC948EA" w14:textId="77777777" w:rsidR="00605EB3" w:rsidRDefault="00605EB3" w:rsidP="00605EB3">
      <w:pPr>
        <w:pStyle w:val="FootnoteText"/>
      </w:pPr>
      <w:r>
        <w:rPr>
          <w:rStyle w:val="FootnoteReference"/>
        </w:rPr>
        <w:footnoteRef/>
      </w:r>
      <w:r>
        <w:t xml:space="preserve"> </w:t>
      </w:r>
      <w:r w:rsidRPr="009B601A">
        <w:t>All figures are sourced from: ABS Survey of Disability, Ageing and Carers, 2022</w:t>
      </w:r>
    </w:p>
  </w:footnote>
  <w:footnote w:id="4">
    <w:p w14:paraId="7DFEE7E9" w14:textId="382AF752" w:rsidR="00605EB3" w:rsidRDefault="00605EB3" w:rsidP="00605EB3">
      <w:pPr>
        <w:pStyle w:val="FootnoteText"/>
      </w:pPr>
      <w:r>
        <w:rPr>
          <w:rStyle w:val="FootnoteReference"/>
        </w:rPr>
        <w:footnoteRef/>
      </w:r>
      <w:r>
        <w:t xml:space="preserve"> </w:t>
      </w:r>
      <w:r w:rsidR="00667C45">
        <w:t>ABS,</w:t>
      </w:r>
      <w:r>
        <w:t xml:space="preserve"> Labour Force </w:t>
      </w:r>
      <w:r w:rsidR="00667C45">
        <w:t>Australia</w:t>
      </w:r>
      <w:r>
        <w:t xml:space="preserve">, </w:t>
      </w:r>
      <w:r w:rsidR="004E53E6">
        <w:t>May</w:t>
      </w:r>
      <w:r>
        <w:t xml:space="preserve"> 2025</w:t>
      </w:r>
      <w:r w:rsidR="0060271A">
        <w:t>.</w:t>
      </w:r>
      <w:r>
        <w:t xml:space="preserve"> </w:t>
      </w:r>
    </w:p>
  </w:footnote>
  <w:footnote w:id="5">
    <w:p w14:paraId="2B067D62" w14:textId="17F28C10" w:rsidR="00605EB3" w:rsidRDefault="00605EB3">
      <w:pPr>
        <w:pStyle w:val="FootnoteText"/>
      </w:pPr>
      <w:r>
        <w:rPr>
          <w:rStyle w:val="FootnoteReference"/>
        </w:rPr>
        <w:footnoteRef/>
      </w:r>
      <w:r>
        <w:t xml:space="preserve"> </w:t>
      </w:r>
      <w:r w:rsidRPr="003E7136">
        <w:t>ABS, Labour Force Australia, detailed, May 2025</w:t>
      </w:r>
      <w:r w:rsidR="002F1CA7">
        <w:t>.</w:t>
      </w:r>
    </w:p>
  </w:footnote>
  <w:footnote w:id="6">
    <w:p w14:paraId="69003966" w14:textId="147A69F8" w:rsidR="00915192" w:rsidRDefault="00915192" w:rsidP="00915192">
      <w:pPr>
        <w:pStyle w:val="FootnoteText"/>
      </w:pPr>
      <w:r>
        <w:rPr>
          <w:rStyle w:val="FootnoteReference"/>
        </w:rPr>
        <w:footnoteRef/>
      </w:r>
      <w:r>
        <w:t xml:space="preserve"> </w:t>
      </w:r>
      <w:r w:rsidRPr="005D731F">
        <w:t>JSA, Labour Force Trending, November 2024</w:t>
      </w:r>
    </w:p>
  </w:footnote>
  <w:footnote w:id="7">
    <w:p w14:paraId="48A6F09F" w14:textId="5A881A46" w:rsidR="00915192" w:rsidRDefault="00915192" w:rsidP="00915192">
      <w:pPr>
        <w:pStyle w:val="FootnoteText"/>
      </w:pPr>
      <w:r>
        <w:rPr>
          <w:rStyle w:val="FootnoteReference"/>
        </w:rPr>
        <w:footnoteRef/>
      </w:r>
      <w:r>
        <w:t xml:space="preserve"> JSA categorised replacement at least every three months as ‘high’, every 3 to 6 months as ‘medium’, and every 6 months or more as ‘low’. There was a fourth category of ‘not at all/retention not a problem’. These categories are only defined relative to each other and do not represent an industry standard or objective judgement. </w:t>
      </w:r>
      <w:r w:rsidR="00B27DEC">
        <w:t>This anal</w:t>
      </w:r>
      <w:r w:rsidR="00E33949">
        <w:t xml:space="preserve">ysis does not capture the number of staff, or the proportion of the total </w:t>
      </w:r>
      <w:r w:rsidR="003472BE">
        <w:t xml:space="preserve">existing </w:t>
      </w:r>
      <w:r w:rsidR="00E33949">
        <w:t xml:space="preserve">workforce, that had to be replaced. </w:t>
      </w:r>
    </w:p>
  </w:footnote>
  <w:footnote w:id="8">
    <w:p w14:paraId="4769D330" w14:textId="72F800BA" w:rsidR="00915192" w:rsidRDefault="00915192" w:rsidP="00915192">
      <w:pPr>
        <w:pStyle w:val="FootnoteText"/>
      </w:pPr>
      <w:r>
        <w:rPr>
          <w:rStyle w:val="FootnoteReference"/>
        </w:rPr>
        <w:footnoteRef/>
      </w:r>
      <w:r w:rsidRPr="00033ACC">
        <w:t>ABS, Job mobility, February 2024.</w:t>
      </w:r>
    </w:p>
  </w:footnote>
  <w:footnote w:id="9">
    <w:p w14:paraId="2B7D2C6D" w14:textId="24582DDE" w:rsidR="00B02852" w:rsidRDefault="00B02852">
      <w:pPr>
        <w:pStyle w:val="FootnoteText"/>
      </w:pPr>
      <w:r>
        <w:rPr>
          <w:rStyle w:val="FootnoteReference"/>
        </w:rPr>
        <w:footnoteRef/>
      </w:r>
      <w:r>
        <w:t xml:space="preserve"> </w:t>
      </w:r>
      <w:r w:rsidRPr="00B02852">
        <w:t>ABS, Labour Force, Detailed, Australia, March 2025, 6-month averages of original estimates</w:t>
      </w:r>
      <w:r>
        <w:t>.</w:t>
      </w:r>
    </w:p>
  </w:footnote>
  <w:footnote w:id="10">
    <w:p w14:paraId="0942A607" w14:textId="54717184" w:rsidR="00475711" w:rsidRDefault="00475711">
      <w:pPr>
        <w:pStyle w:val="FootnoteText"/>
      </w:pPr>
      <w:r>
        <w:rPr>
          <w:rStyle w:val="FootnoteReference"/>
        </w:rPr>
        <w:footnoteRef/>
      </w:r>
      <w:r>
        <w:t xml:space="preserve"> </w:t>
      </w:r>
      <w:r w:rsidR="00061E80" w:rsidRPr="00061E80">
        <w:t>ABS, Census of Population and Housing, 2021</w:t>
      </w:r>
      <w:r w:rsidR="00061E80">
        <w:t>;</w:t>
      </w:r>
      <w:r w:rsidR="00061E80" w:rsidRPr="00061E80">
        <w:t xml:space="preserve"> ABS, Labour Force, Detailed, 12-month averages of original estimates.</w:t>
      </w:r>
      <w:r w:rsidR="00061E80">
        <w:t xml:space="preserve"> </w:t>
      </w:r>
    </w:p>
  </w:footnote>
  <w:footnote w:id="11">
    <w:p w14:paraId="63FB20C8" w14:textId="05EE8103" w:rsidR="00B177D8" w:rsidRDefault="00B177D8" w:rsidP="00B177D8">
      <w:pPr>
        <w:pStyle w:val="FootnoteText"/>
      </w:pPr>
      <w:r>
        <w:rPr>
          <w:rStyle w:val="FootnoteReference"/>
        </w:rPr>
        <w:footnoteRef/>
      </w:r>
      <w:r>
        <w:t xml:space="preserve"> This section refers to ‘Service Industries’ and ‘Producing Industries’. ‘Producing Industries’ includes </w:t>
      </w:r>
      <w:r w:rsidRPr="004D750C">
        <w:t>Agriculture, Forestry and Fishing</w:t>
      </w:r>
      <w:r>
        <w:t xml:space="preserve">; Mining; Manufacturing; and Construction. ‘Service Industries’ includes the remaining Industry Divisions defined in </w:t>
      </w:r>
      <w:r w:rsidR="00964E80">
        <w:t>t</w:t>
      </w:r>
      <w:r w:rsidR="00964E80" w:rsidRPr="00964E80">
        <w:t xml:space="preserve">he Australian and New Zealand Standard Industrial Classification </w:t>
      </w:r>
      <w:r w:rsidR="00964E80">
        <w:t>(</w:t>
      </w:r>
      <w:r>
        <w:t>ANZSIC</w:t>
      </w:r>
      <w:r w:rsidR="00964E80">
        <w:t>)</w:t>
      </w:r>
      <w:r>
        <w:t>.</w:t>
      </w:r>
    </w:p>
  </w:footnote>
  <w:footnote w:id="12">
    <w:p w14:paraId="342572CC" w14:textId="62D34EEB" w:rsidR="00B177D8" w:rsidRDefault="00B177D8" w:rsidP="00B177D8">
      <w:pPr>
        <w:pStyle w:val="FootnoteText"/>
      </w:pPr>
      <w:r>
        <w:rPr>
          <w:rStyle w:val="FootnoteReference"/>
        </w:rPr>
        <w:footnoteRef/>
      </w:r>
      <w:r>
        <w:t xml:space="preserve"> </w:t>
      </w:r>
      <w:r w:rsidRPr="004D750C">
        <w:t xml:space="preserve">Skill Level 1 is commensurate with a </w:t>
      </w:r>
      <w:r w:rsidR="002367EB">
        <w:t>b</w:t>
      </w:r>
      <w:r w:rsidR="003C45A4" w:rsidRPr="004D750C">
        <w:t>achelor's</w:t>
      </w:r>
      <w:r w:rsidRPr="004D750C">
        <w:t xml:space="preserve"> degree or higher qualification; Skill Level 2 is commensurate with an Advanced Diploma or Diploma; Skill Level 3 is commensurate with a Certificate IV or III (including at least 2 years’ on-the-job training); Skill Level 4 is commensurate with a Certificate II or III; Skill Level 5 is commensurate with a Certificate I or secondary education.</w:t>
      </w:r>
    </w:p>
  </w:footnote>
  <w:footnote w:id="13">
    <w:p w14:paraId="171BF3A5" w14:textId="77777777" w:rsidR="00DB3F8B" w:rsidRDefault="00DB3F8B" w:rsidP="00ED4661">
      <w:pPr>
        <w:pStyle w:val="FootnoteText"/>
      </w:pPr>
      <w:r>
        <w:rPr>
          <w:rStyle w:val="FootnoteReference"/>
        </w:rPr>
        <w:footnoteRef/>
      </w:r>
      <w:r>
        <w:t xml:space="preserve"> </w:t>
      </w:r>
      <w:r w:rsidRPr="003E0D6F">
        <w:t>The 202</w:t>
      </w:r>
      <w:r>
        <w:t>5</w:t>
      </w:r>
      <w:r w:rsidRPr="003E0D6F">
        <w:t xml:space="preserve"> employment projections are based off a starting point of employment estimated at May 202</w:t>
      </w:r>
      <w:r>
        <w:t>5</w:t>
      </w:r>
      <w:r w:rsidRPr="003E0D6F">
        <w:t xml:space="preserve"> using the JSA trended series of the ABS’ Detailed Labour Force Survey data, which may not align with estimates of employment from other data sources</w:t>
      </w:r>
    </w:p>
  </w:footnote>
  <w:footnote w:id="14">
    <w:p w14:paraId="4A45D626" w14:textId="77777777" w:rsidR="00E0190D" w:rsidRPr="00684D40" w:rsidRDefault="00E0190D" w:rsidP="00ED4661">
      <w:pPr>
        <w:pStyle w:val="FootnoteText"/>
        <w:rPr>
          <w:lang w:val="en-US"/>
        </w:rPr>
      </w:pPr>
      <w:r>
        <w:rPr>
          <w:rStyle w:val="FootnoteReference"/>
        </w:rPr>
        <w:footnoteRef/>
      </w:r>
      <w:r>
        <w:t xml:space="preserve"> </w:t>
      </w:r>
      <w:r>
        <w:rPr>
          <w:lang w:val="en-US"/>
        </w:rPr>
        <w:t>The term “skill” is used here as shorthand for educational attainment.</w:t>
      </w:r>
    </w:p>
  </w:footnote>
  <w:footnote w:id="15">
    <w:p w14:paraId="74353CE7" w14:textId="77777777" w:rsidR="00E0190D" w:rsidRDefault="00E0190D" w:rsidP="00ED4661">
      <w:pPr>
        <w:pStyle w:val="FootnoteText"/>
      </w:pPr>
      <w:r>
        <w:rPr>
          <w:rStyle w:val="FootnoteReference"/>
        </w:rPr>
        <w:footnoteRef/>
      </w:r>
      <w:r>
        <w:t xml:space="preserve"> </w:t>
      </w:r>
      <w:r w:rsidRPr="004E56A4">
        <w:t>Note that aggregate employment does not change. Labour market clearing by skill group implies movements in skill-specific wages, with an upward movement in the wage relative to the economy-wide average implying excess demand and a downward movement implying excess supply.</w:t>
      </w:r>
      <w:r>
        <w:t xml:space="preserve"> </w:t>
      </w:r>
    </w:p>
  </w:footnote>
  <w:footnote w:id="16">
    <w:p w14:paraId="396E6699" w14:textId="77777777" w:rsidR="00E0190D" w:rsidRDefault="00E0190D" w:rsidP="00ED4661">
      <w:pPr>
        <w:pStyle w:val="FootnoteText"/>
      </w:pPr>
      <w:r>
        <w:rPr>
          <w:rStyle w:val="FootnoteReference"/>
        </w:rPr>
        <w:footnoteRef/>
      </w:r>
      <w:r>
        <w:t xml:space="preserve"> When compared to the baseline employment projections by skill levels.</w:t>
      </w:r>
    </w:p>
  </w:footnote>
  <w:footnote w:id="17">
    <w:p w14:paraId="1BB1CEC2" w14:textId="312EE926" w:rsidR="00B177D8" w:rsidRDefault="00B177D8" w:rsidP="00B177D8">
      <w:pPr>
        <w:pStyle w:val="FootnoteText"/>
      </w:pPr>
      <w:r>
        <w:rPr>
          <w:rStyle w:val="FootnoteReference"/>
        </w:rPr>
        <w:footnoteRef/>
      </w:r>
      <w:r>
        <w:t xml:space="preserve"> From </w:t>
      </w:r>
      <w:r w:rsidR="001B07A7">
        <w:t>Computable General Equilibrium (</w:t>
      </w:r>
      <w:r>
        <w:t>CGE</w:t>
      </w:r>
      <w:r w:rsidR="001B07A7">
        <w:t>)</w:t>
      </w:r>
      <w:r>
        <w:t xml:space="preserve"> modelling from JSA</w:t>
      </w:r>
      <w:r w:rsidR="00EB3D32">
        <w:t>'s</w:t>
      </w:r>
      <w:r>
        <w:t xml:space="preserve"> Gen AI Capacity Study ‘Our Gen AI Transition’, (2025). </w:t>
      </w:r>
    </w:p>
  </w:footnote>
  <w:footnote w:id="18">
    <w:p w14:paraId="14D19BBA" w14:textId="14C16A6F" w:rsidR="00B570F3" w:rsidRDefault="00B570F3" w:rsidP="00B570F3">
      <w:pPr>
        <w:pStyle w:val="FootnoteText"/>
      </w:pPr>
      <w:r>
        <w:rPr>
          <w:rStyle w:val="FootnoteReference"/>
        </w:rPr>
        <w:footnoteRef/>
      </w:r>
      <w:r>
        <w:t xml:space="preserve"> </w:t>
      </w:r>
      <w:r w:rsidRPr="00155280">
        <w:t xml:space="preserve">All </w:t>
      </w:r>
      <w:r w:rsidR="00E94ACE" w:rsidRPr="00BB7F43">
        <w:t>Registered training organisation</w:t>
      </w:r>
      <w:r w:rsidR="00E94ACE">
        <w:t>s</w:t>
      </w:r>
      <w:r w:rsidR="00E94ACE" w:rsidRPr="00155280">
        <w:t xml:space="preserve"> </w:t>
      </w:r>
      <w:r w:rsidR="00E94ACE">
        <w:t>(</w:t>
      </w:r>
      <w:r w:rsidRPr="00155280">
        <w:t>RTOs</w:t>
      </w:r>
      <w:r w:rsidR="00E94ACE">
        <w:t>)</w:t>
      </w:r>
      <w:r w:rsidRPr="00155280">
        <w:t xml:space="preserve"> must collect a range of data from their students and report all their delivery activity (known as Total VET activity) to the National Centre for Vocational Education Research (NCVER), at least annually</w:t>
      </w:r>
      <w:sdt>
        <w:sdtPr>
          <w:id w:val="1116955903"/>
          <w:citation/>
        </w:sdtPr>
        <w:sdtContent>
          <w:r>
            <w:fldChar w:fldCharType="begin"/>
          </w:r>
          <w:r>
            <w:instrText xml:space="preserve"> CITATION ASQ25 \l 3081 </w:instrText>
          </w:r>
          <w:r>
            <w:fldChar w:fldCharType="separate"/>
          </w:r>
          <w:r w:rsidR="0023303D">
            <w:rPr>
              <w:noProof/>
            </w:rPr>
            <w:t xml:space="preserve"> (ASQA, n.d.)</w:t>
          </w:r>
          <w:r>
            <w:fldChar w:fldCharType="end"/>
          </w:r>
        </w:sdtContent>
      </w:sdt>
      <w:r w:rsidRPr="0015528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EFC00" w14:textId="77777777" w:rsidR="00660BD4" w:rsidRDefault="00660BD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C3DE2" w14:textId="0F31046A" w:rsidR="00B96D75" w:rsidRDefault="00B96D75">
    <w:pPr>
      <w:pStyle w:val="Header"/>
    </w:pPr>
    <w:r>
      <w:rPr>
        <w:noProof/>
      </w:rPr>
      <w:drawing>
        <wp:anchor distT="0" distB="0" distL="114300" distR="114300" simplePos="0" relativeHeight="251671552" behindDoc="1" locked="0" layoutInCell="1" allowOverlap="1" wp14:anchorId="6682FE98" wp14:editId="7B75A38F">
          <wp:simplePos x="0" y="0"/>
          <wp:positionH relativeFrom="page">
            <wp:align>left</wp:align>
          </wp:positionH>
          <wp:positionV relativeFrom="page">
            <wp:align>top</wp:align>
          </wp:positionV>
          <wp:extent cx="7558768" cy="10691999"/>
          <wp:effectExtent l="0" t="0" r="4445" b="0"/>
          <wp:wrapNone/>
          <wp:docPr id="48712644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126440"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margin">
            <wp14:pctWidth>0</wp14:pctWidth>
          </wp14:sizeRelH>
          <wp14:sizeRelV relativeFrom="margin">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C2028" w14:textId="77777777" w:rsidR="00480B35" w:rsidRDefault="00480B3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E5FAE" w14:textId="6B553B28" w:rsidR="00480B35" w:rsidRDefault="00480B35">
    <w:pPr>
      <w:pStyle w:val="Header"/>
    </w:pPr>
    <w:r>
      <w:rPr>
        <w:noProof/>
      </w:rPr>
      <w:drawing>
        <wp:anchor distT="0" distB="0" distL="114300" distR="114300" simplePos="0" relativeHeight="251660288" behindDoc="1" locked="0" layoutInCell="1" allowOverlap="1" wp14:anchorId="3FCB5C20" wp14:editId="610B03D7">
          <wp:simplePos x="0" y="0"/>
          <wp:positionH relativeFrom="page">
            <wp:align>left</wp:align>
          </wp:positionH>
          <wp:positionV relativeFrom="page">
            <wp:align>top</wp:align>
          </wp:positionV>
          <wp:extent cx="7560000" cy="10692000"/>
          <wp:effectExtent l="0" t="0" r="3175" b="0"/>
          <wp:wrapNone/>
          <wp:docPr id="57586628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866280"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1318A" w14:textId="77777777" w:rsidR="00480B35" w:rsidRDefault="00480B3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E1DA0" w14:textId="77777777" w:rsidR="00480B35" w:rsidRDefault="00480B3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AA082" w14:textId="7E94AD5E" w:rsidR="00B96D75" w:rsidRDefault="00B96D75">
    <w:pPr>
      <w:pStyle w:val="Header"/>
    </w:pPr>
    <w:r>
      <w:rPr>
        <w:noProof/>
      </w:rPr>
      <w:drawing>
        <wp:anchor distT="0" distB="0" distL="114300" distR="114300" simplePos="0" relativeHeight="251672576" behindDoc="1" locked="0" layoutInCell="1" allowOverlap="1" wp14:anchorId="28CBF98B" wp14:editId="06950EE9">
          <wp:simplePos x="0" y="0"/>
          <wp:positionH relativeFrom="page">
            <wp:align>left</wp:align>
          </wp:positionH>
          <wp:positionV relativeFrom="page">
            <wp:align>top</wp:align>
          </wp:positionV>
          <wp:extent cx="7559999" cy="10693741"/>
          <wp:effectExtent l="0" t="0" r="3175" b="0"/>
          <wp:wrapNone/>
          <wp:docPr id="39825665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256659"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99" cy="10693741"/>
                  </a:xfrm>
                  <a:prstGeom prst="rect">
                    <a:avLst/>
                  </a:prstGeom>
                </pic:spPr>
              </pic:pic>
            </a:graphicData>
          </a:graphic>
          <wp14:sizeRelH relativeFrom="margin">
            <wp14:pctWidth>0</wp14:pctWidth>
          </wp14:sizeRelH>
          <wp14:sizeRelV relativeFrom="margin">
            <wp14:pctHeight>0</wp14:pctHeight>
          </wp14:sizeRelV>
        </wp:anchor>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6C268" w14:textId="6F28E7EA" w:rsidR="00480B35" w:rsidRDefault="00480B35">
    <w:pPr>
      <w:pStyle w:val="Header"/>
    </w:pPr>
    <w:r>
      <w:rPr>
        <w:noProof/>
      </w:rPr>
      <w:drawing>
        <wp:anchor distT="0" distB="0" distL="114300" distR="114300" simplePos="0" relativeHeight="251662336" behindDoc="1" locked="0" layoutInCell="1" allowOverlap="1" wp14:anchorId="0F55DDDE" wp14:editId="0505338A">
          <wp:simplePos x="0" y="0"/>
          <wp:positionH relativeFrom="page">
            <wp:align>left</wp:align>
          </wp:positionH>
          <wp:positionV relativeFrom="page">
            <wp:align>top</wp:align>
          </wp:positionV>
          <wp:extent cx="7560000" cy="10692000"/>
          <wp:effectExtent l="0" t="0" r="3175" b="0"/>
          <wp:wrapNone/>
          <wp:docPr id="151584277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842777"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14B35" w14:textId="77777777" w:rsidR="00480B35" w:rsidRDefault="00480B3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3563F" w14:textId="77777777" w:rsidR="00480B35" w:rsidRDefault="00480B3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2426A" w14:textId="287A3C16" w:rsidR="00B96D75" w:rsidRDefault="00B96D75">
    <w:pPr>
      <w:pStyle w:val="Header"/>
    </w:pPr>
    <w:r>
      <w:rPr>
        <w:noProof/>
      </w:rPr>
      <w:drawing>
        <wp:anchor distT="0" distB="0" distL="114300" distR="114300" simplePos="0" relativeHeight="251673600" behindDoc="1" locked="0" layoutInCell="1" allowOverlap="1" wp14:anchorId="745FE11F" wp14:editId="03C8FC36">
          <wp:simplePos x="0" y="0"/>
          <wp:positionH relativeFrom="page">
            <wp:align>left</wp:align>
          </wp:positionH>
          <wp:positionV relativeFrom="page">
            <wp:align>top</wp:align>
          </wp:positionV>
          <wp:extent cx="7558768" cy="10691999"/>
          <wp:effectExtent l="0" t="0" r="4445" b="0"/>
          <wp:wrapNone/>
          <wp:docPr id="170892783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92783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30A59" w14:textId="4632A18D" w:rsidR="00660BD4" w:rsidRDefault="00660BD4">
    <w:pPr>
      <w:pStyle w:val="Header"/>
    </w:pPr>
    <w:r>
      <w:rPr>
        <w:noProof/>
      </w:rPr>
      <w:drawing>
        <wp:anchor distT="0" distB="0" distL="114300" distR="114300" simplePos="0" relativeHeight="251658240" behindDoc="1" locked="0" layoutInCell="1" allowOverlap="1" wp14:anchorId="1F6C77FD" wp14:editId="049AA49A">
          <wp:simplePos x="0" y="0"/>
          <wp:positionH relativeFrom="page">
            <wp:align>left</wp:align>
          </wp:positionH>
          <wp:positionV relativeFrom="page">
            <wp:align>top</wp:align>
          </wp:positionV>
          <wp:extent cx="7560000" cy="10692000"/>
          <wp:effectExtent l="0" t="0" r="3175" b="0"/>
          <wp:wrapNone/>
          <wp:docPr id="175806652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06652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B73AF" w14:textId="34EC8A6B" w:rsidR="00480B35" w:rsidRDefault="00480B35">
    <w:pPr>
      <w:pStyle w:val="Header"/>
    </w:pPr>
    <w:r>
      <w:rPr>
        <w:noProof/>
      </w:rPr>
      <w:drawing>
        <wp:anchor distT="0" distB="0" distL="114300" distR="114300" simplePos="0" relativeHeight="251664384" behindDoc="1" locked="0" layoutInCell="1" allowOverlap="1" wp14:anchorId="7186EB9C" wp14:editId="358D4B2F">
          <wp:simplePos x="0" y="0"/>
          <wp:positionH relativeFrom="page">
            <wp:align>left</wp:align>
          </wp:positionH>
          <wp:positionV relativeFrom="page">
            <wp:align>top</wp:align>
          </wp:positionV>
          <wp:extent cx="7560000" cy="10692000"/>
          <wp:effectExtent l="0" t="0" r="3175" b="0"/>
          <wp:wrapNone/>
          <wp:docPr id="43910026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10026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0E3ED" w14:textId="77777777" w:rsidR="00480B35" w:rsidRDefault="00480B3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297B0" w14:textId="77777777" w:rsidR="00480B35" w:rsidRDefault="00480B3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BEA64" w14:textId="56E410E8" w:rsidR="00480B35" w:rsidRDefault="00480B35">
    <w:pPr>
      <w:pStyle w:val="Header"/>
    </w:pPr>
    <w:r>
      <w:rPr>
        <w:noProof/>
      </w:rPr>
      <w:drawing>
        <wp:anchor distT="0" distB="0" distL="114300" distR="114300" simplePos="0" relativeHeight="251666432" behindDoc="1" locked="0" layoutInCell="1" allowOverlap="1" wp14:anchorId="06697BD6" wp14:editId="5E81CB5D">
          <wp:simplePos x="0" y="0"/>
          <wp:positionH relativeFrom="page">
            <wp:align>left</wp:align>
          </wp:positionH>
          <wp:positionV relativeFrom="page">
            <wp:align>top</wp:align>
          </wp:positionV>
          <wp:extent cx="7560000" cy="10692000"/>
          <wp:effectExtent l="0" t="0" r="3175" b="0"/>
          <wp:wrapNone/>
          <wp:docPr id="22879242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792427"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803B4" w14:textId="77777777" w:rsidR="00480B35" w:rsidRDefault="00480B3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C82C6" w14:textId="77777777" w:rsidR="00480B35" w:rsidRDefault="00480B35">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865BF" w14:textId="732775D3" w:rsidR="00B96D75" w:rsidRDefault="00B96D75">
    <w:pPr>
      <w:pStyle w:val="Header"/>
    </w:pPr>
    <w:r>
      <w:rPr>
        <w:noProof/>
      </w:rPr>
      <w:drawing>
        <wp:anchor distT="0" distB="0" distL="114300" distR="114300" simplePos="0" relativeHeight="251674624" behindDoc="1" locked="0" layoutInCell="1" allowOverlap="1" wp14:anchorId="4BE00B2D" wp14:editId="002663D6">
          <wp:simplePos x="0" y="0"/>
          <wp:positionH relativeFrom="page">
            <wp:align>left</wp:align>
          </wp:positionH>
          <wp:positionV relativeFrom="page">
            <wp:align>top</wp:align>
          </wp:positionV>
          <wp:extent cx="7559999" cy="10693741"/>
          <wp:effectExtent l="0" t="0" r="3175" b="0"/>
          <wp:wrapNone/>
          <wp:docPr id="143723261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232619"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99" cy="10693741"/>
                  </a:xfrm>
                  <a:prstGeom prst="rect">
                    <a:avLst/>
                  </a:prstGeom>
                </pic:spPr>
              </pic:pic>
            </a:graphicData>
          </a:graphic>
          <wp14:sizeRelH relativeFrom="margin">
            <wp14:pctWidth>0</wp14:pctWidth>
          </wp14:sizeRelH>
          <wp14:sizeRelV relativeFrom="margin">
            <wp14:pctHeight>0</wp14:pctHeight>
          </wp14:sizeRelV>
        </wp:anchor>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29D64" w14:textId="078B3F52" w:rsidR="00480B35" w:rsidRDefault="00480B35">
    <w:pPr>
      <w:pStyle w:val="Header"/>
    </w:pPr>
    <w:r>
      <w:rPr>
        <w:noProof/>
      </w:rPr>
      <w:drawing>
        <wp:anchor distT="0" distB="0" distL="114300" distR="114300" simplePos="0" relativeHeight="251668480" behindDoc="1" locked="0" layoutInCell="1" allowOverlap="1" wp14:anchorId="0408CFB6" wp14:editId="67D21A4D">
          <wp:simplePos x="0" y="0"/>
          <wp:positionH relativeFrom="page">
            <wp:align>left</wp:align>
          </wp:positionH>
          <wp:positionV relativeFrom="page">
            <wp:align>top</wp:align>
          </wp:positionV>
          <wp:extent cx="7560000" cy="10692000"/>
          <wp:effectExtent l="0" t="0" r="3175" b="0"/>
          <wp:wrapNone/>
          <wp:docPr id="86014030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140302"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4516B" w14:textId="77777777" w:rsidR="00480B35" w:rsidRDefault="00480B35">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51090" w14:textId="77777777" w:rsidR="00480B35" w:rsidRDefault="00480B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D1695" w14:textId="48CD93CC" w:rsidR="00660BD4" w:rsidRDefault="00660BD4">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0B237" w14:textId="21478AE2" w:rsidR="00480B35" w:rsidRDefault="00480B35">
    <w:pPr>
      <w:pStyle w:val="Header"/>
    </w:pPr>
    <w:r>
      <w:rPr>
        <w:noProof/>
      </w:rPr>
      <w:drawing>
        <wp:anchor distT="0" distB="0" distL="114300" distR="114300" simplePos="0" relativeHeight="251670528" behindDoc="1" locked="0" layoutInCell="1" allowOverlap="1" wp14:anchorId="50A7C675" wp14:editId="1B4560DF">
          <wp:simplePos x="0" y="0"/>
          <wp:positionH relativeFrom="page">
            <wp:align>left</wp:align>
          </wp:positionH>
          <wp:positionV relativeFrom="page">
            <wp:align>top</wp:align>
          </wp:positionV>
          <wp:extent cx="7560000" cy="10692000"/>
          <wp:effectExtent l="0" t="0" r="3175" b="0"/>
          <wp:wrapNone/>
          <wp:docPr id="160377276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77276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0DE2C" w14:textId="77777777" w:rsidR="00480B35" w:rsidRDefault="00480B35">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E853E" w14:textId="77777777" w:rsidR="00480B35" w:rsidRDefault="00480B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56798" w14:textId="77777777" w:rsidR="00660BD4" w:rsidRDefault="00660BD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C7971" w14:textId="77777777" w:rsidR="00660BD4" w:rsidRDefault="00660BD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CC156" w14:textId="674358DE" w:rsidR="004F0339" w:rsidRDefault="004F0339">
    <w:pPr>
      <w:pStyle w:val="Header"/>
    </w:pPr>
    <w:r>
      <w:rPr>
        <w:noProof/>
      </w:rPr>
      <w:drawing>
        <wp:anchor distT="0" distB="0" distL="114300" distR="114300" simplePos="0" relativeHeight="251675648" behindDoc="1" locked="0" layoutInCell="1" allowOverlap="1" wp14:anchorId="1DB51D02" wp14:editId="3D4E4B05">
          <wp:simplePos x="0" y="0"/>
          <wp:positionH relativeFrom="page">
            <wp:align>left</wp:align>
          </wp:positionH>
          <wp:positionV relativeFrom="page">
            <wp:align>top</wp:align>
          </wp:positionV>
          <wp:extent cx="7558767" cy="10692000"/>
          <wp:effectExtent l="0" t="0" r="4445" b="0"/>
          <wp:wrapNone/>
          <wp:docPr id="11982985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9854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2CA0E" w14:textId="77777777" w:rsidR="004F0339" w:rsidRDefault="004F033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B0DF1" w14:textId="76FAFF99" w:rsidR="004F0339" w:rsidRDefault="00B331B1">
    <w:pPr>
      <w:pStyle w:val="Header"/>
    </w:pPr>
    <w:r>
      <w:rPr>
        <w:noProof/>
      </w:rPr>
      <w:drawing>
        <wp:anchor distT="0" distB="0" distL="114300" distR="114300" simplePos="0" relativeHeight="251678720" behindDoc="1" locked="0" layoutInCell="1" allowOverlap="1" wp14:anchorId="162C8566" wp14:editId="67435F62">
          <wp:simplePos x="0" y="0"/>
          <wp:positionH relativeFrom="page">
            <wp:align>left</wp:align>
          </wp:positionH>
          <wp:positionV relativeFrom="page">
            <wp:align>top</wp:align>
          </wp:positionV>
          <wp:extent cx="7560000" cy="10692000"/>
          <wp:effectExtent l="0" t="0" r="3175" b="0"/>
          <wp:wrapNone/>
          <wp:docPr id="138755414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554146"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5E208" w14:textId="15B2113A" w:rsidR="00B331B1" w:rsidRDefault="00B331B1">
    <w:pPr>
      <w:pStyle w:val="Header"/>
    </w:pPr>
    <w:r>
      <w:rPr>
        <w:noProof/>
      </w:rPr>
      <w:drawing>
        <wp:anchor distT="0" distB="0" distL="114300" distR="114300" simplePos="0" relativeHeight="251676672" behindDoc="1" locked="0" layoutInCell="1" allowOverlap="1" wp14:anchorId="6B4BA28D" wp14:editId="5767EA22">
          <wp:simplePos x="0" y="0"/>
          <wp:positionH relativeFrom="page">
            <wp:align>left</wp:align>
          </wp:positionH>
          <wp:positionV relativeFrom="page">
            <wp:align>top</wp:align>
          </wp:positionV>
          <wp:extent cx="7560000" cy="10692000"/>
          <wp:effectExtent l="0" t="0" r="3175" b="0"/>
          <wp:wrapNone/>
          <wp:docPr id="2272006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200640"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36A7"/>
    <w:multiLevelType w:val="hybridMultilevel"/>
    <w:tmpl w:val="29121BDE"/>
    <w:lvl w:ilvl="0" w:tplc="7320345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5550B2"/>
    <w:multiLevelType w:val="multilevel"/>
    <w:tmpl w:val="9F703E2E"/>
    <w:numStyleLink w:val="ListBulletmaster"/>
  </w:abstractNum>
  <w:abstractNum w:abstractNumId="2" w15:restartNumberingAfterBreak="0">
    <w:nsid w:val="04AD0559"/>
    <w:multiLevelType w:val="multilevel"/>
    <w:tmpl w:val="CD249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6233ED"/>
    <w:multiLevelType w:val="hybridMultilevel"/>
    <w:tmpl w:val="23CCB75E"/>
    <w:lvl w:ilvl="0" w:tplc="78CEFFA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DB1CD0"/>
    <w:multiLevelType w:val="multilevel"/>
    <w:tmpl w:val="2A1E4B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2D532F"/>
    <w:multiLevelType w:val="multilevel"/>
    <w:tmpl w:val="D5862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6405D5"/>
    <w:multiLevelType w:val="hybridMultilevel"/>
    <w:tmpl w:val="FAD097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57663C"/>
    <w:multiLevelType w:val="hybridMultilevel"/>
    <w:tmpl w:val="97948510"/>
    <w:lvl w:ilvl="0" w:tplc="46C0920C">
      <w:start w:val="1"/>
      <w:numFmt w:val="bullet"/>
      <w:lvlText w:val=""/>
      <w:lvlJc w:val="left"/>
      <w:pPr>
        <w:ind w:left="1080" w:hanging="360"/>
      </w:pPr>
      <w:rPr>
        <w:rFonts w:ascii="Symbol" w:hAnsi="Symbol"/>
      </w:rPr>
    </w:lvl>
    <w:lvl w:ilvl="1" w:tplc="61E06030">
      <w:start w:val="1"/>
      <w:numFmt w:val="bullet"/>
      <w:lvlText w:val=""/>
      <w:lvlJc w:val="left"/>
      <w:pPr>
        <w:ind w:left="1080" w:hanging="360"/>
      </w:pPr>
      <w:rPr>
        <w:rFonts w:ascii="Symbol" w:hAnsi="Symbol"/>
      </w:rPr>
    </w:lvl>
    <w:lvl w:ilvl="2" w:tplc="76F28512">
      <w:start w:val="1"/>
      <w:numFmt w:val="bullet"/>
      <w:lvlText w:val=""/>
      <w:lvlJc w:val="left"/>
      <w:pPr>
        <w:ind w:left="1080" w:hanging="360"/>
      </w:pPr>
      <w:rPr>
        <w:rFonts w:ascii="Symbol" w:hAnsi="Symbol"/>
      </w:rPr>
    </w:lvl>
    <w:lvl w:ilvl="3" w:tplc="A3DEE43E">
      <w:start w:val="1"/>
      <w:numFmt w:val="bullet"/>
      <w:lvlText w:val=""/>
      <w:lvlJc w:val="left"/>
      <w:pPr>
        <w:ind w:left="1080" w:hanging="360"/>
      </w:pPr>
      <w:rPr>
        <w:rFonts w:ascii="Symbol" w:hAnsi="Symbol"/>
      </w:rPr>
    </w:lvl>
    <w:lvl w:ilvl="4" w:tplc="A0DA3DEE">
      <w:start w:val="1"/>
      <w:numFmt w:val="bullet"/>
      <w:lvlText w:val=""/>
      <w:lvlJc w:val="left"/>
      <w:pPr>
        <w:ind w:left="1080" w:hanging="360"/>
      </w:pPr>
      <w:rPr>
        <w:rFonts w:ascii="Symbol" w:hAnsi="Symbol"/>
      </w:rPr>
    </w:lvl>
    <w:lvl w:ilvl="5" w:tplc="23806E6E">
      <w:start w:val="1"/>
      <w:numFmt w:val="bullet"/>
      <w:lvlText w:val=""/>
      <w:lvlJc w:val="left"/>
      <w:pPr>
        <w:ind w:left="1080" w:hanging="360"/>
      </w:pPr>
      <w:rPr>
        <w:rFonts w:ascii="Symbol" w:hAnsi="Symbol"/>
      </w:rPr>
    </w:lvl>
    <w:lvl w:ilvl="6" w:tplc="D3CCB276">
      <w:start w:val="1"/>
      <w:numFmt w:val="bullet"/>
      <w:lvlText w:val=""/>
      <w:lvlJc w:val="left"/>
      <w:pPr>
        <w:ind w:left="1080" w:hanging="360"/>
      </w:pPr>
      <w:rPr>
        <w:rFonts w:ascii="Symbol" w:hAnsi="Symbol"/>
      </w:rPr>
    </w:lvl>
    <w:lvl w:ilvl="7" w:tplc="D06A309E">
      <w:start w:val="1"/>
      <w:numFmt w:val="bullet"/>
      <w:lvlText w:val=""/>
      <w:lvlJc w:val="left"/>
      <w:pPr>
        <w:ind w:left="1080" w:hanging="360"/>
      </w:pPr>
      <w:rPr>
        <w:rFonts w:ascii="Symbol" w:hAnsi="Symbol"/>
      </w:rPr>
    </w:lvl>
    <w:lvl w:ilvl="8" w:tplc="7B0CE114">
      <w:start w:val="1"/>
      <w:numFmt w:val="bullet"/>
      <w:lvlText w:val=""/>
      <w:lvlJc w:val="left"/>
      <w:pPr>
        <w:ind w:left="1080" w:hanging="360"/>
      </w:pPr>
      <w:rPr>
        <w:rFonts w:ascii="Symbol" w:hAnsi="Symbol"/>
      </w:rPr>
    </w:lvl>
  </w:abstractNum>
  <w:abstractNum w:abstractNumId="8" w15:restartNumberingAfterBreak="0">
    <w:nsid w:val="0EC55AE9"/>
    <w:multiLevelType w:val="hybridMultilevel"/>
    <w:tmpl w:val="B3B221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F167765"/>
    <w:multiLevelType w:val="multilevel"/>
    <w:tmpl w:val="0D96AACA"/>
    <w:styleLink w:val="AppendixHeadingmaster"/>
    <w:lvl w:ilvl="0">
      <w:start w:val="1"/>
      <w:numFmt w:val="upperLetter"/>
      <w:pStyle w:val="AppendixHeading1"/>
      <w:lvlText w:val="Appendix %1"/>
      <w:lvlJc w:val="left"/>
      <w:pPr>
        <w:ind w:left="2268" w:hanging="2268"/>
      </w:pPr>
      <w:rPr>
        <w:rFonts w:ascii="Arial Bold" w:hAnsi="Arial Bold" w:hint="default"/>
        <w:b/>
        <w:i w:val="0"/>
        <w:color w:val="4B0985"/>
        <w:sz w:val="56"/>
      </w:rPr>
    </w:lvl>
    <w:lvl w:ilvl="1">
      <w:start w:val="1"/>
      <w:numFmt w:val="decimal"/>
      <w:pStyle w:val="AppendixHeading2"/>
      <w:lvlText w:val="%1.%2."/>
      <w:lvlJc w:val="left"/>
      <w:pPr>
        <w:ind w:left="1021" w:hanging="1021"/>
      </w:pPr>
      <w:rPr>
        <w:rFonts w:hint="default"/>
      </w:rPr>
    </w:lvl>
    <w:lvl w:ilvl="2">
      <w:start w:val="1"/>
      <w:numFmt w:val="none"/>
      <w:lvlText w:val="%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0414F29"/>
    <w:multiLevelType w:val="hybridMultilevel"/>
    <w:tmpl w:val="3536AC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A17011"/>
    <w:multiLevelType w:val="hybridMultilevel"/>
    <w:tmpl w:val="A12EEBC8"/>
    <w:lvl w:ilvl="0" w:tplc="FFFFFFFF">
      <w:numFmt w:val="bullet"/>
      <w:lvlText w:val=""/>
      <w:lvlJc w:val="left"/>
      <w:pPr>
        <w:ind w:left="720" w:hanging="360"/>
      </w:pPr>
      <w:rPr>
        <w:rFonts w:ascii="Symbol" w:eastAsiaTheme="minorHAnsi" w:hAnsi="Symbol"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4913431"/>
    <w:multiLevelType w:val="multilevel"/>
    <w:tmpl w:val="88942C4C"/>
    <w:numStyleLink w:val="ListNumbermaster"/>
  </w:abstractNum>
  <w:abstractNum w:abstractNumId="13" w15:restartNumberingAfterBreak="0">
    <w:nsid w:val="1A753D77"/>
    <w:multiLevelType w:val="multilevel"/>
    <w:tmpl w:val="1E6EC068"/>
    <w:styleLink w:val="Headingsmaster"/>
    <w:lvl w:ilvl="0">
      <w:start w:val="1"/>
      <w:numFmt w:val="decimal"/>
      <w:pStyle w:val="Heading1"/>
      <w:lvlText w:val="Chapter %1"/>
      <w:lvlJc w:val="left"/>
      <w:pPr>
        <w:ind w:left="0" w:firstLine="0"/>
      </w:pPr>
      <w:rPr>
        <w:rFonts w:hint="default"/>
      </w:rPr>
    </w:lvl>
    <w:lvl w:ilvl="1">
      <w:start w:val="1"/>
      <w:numFmt w:val="decimal"/>
      <w:pStyle w:val="Heading2"/>
      <w:lvlText w:val="%1.%2"/>
      <w:lvlJc w:val="left"/>
      <w:pPr>
        <w:ind w:left="1072" w:hanging="1072"/>
      </w:pPr>
      <w:rPr>
        <w:rFonts w:hint="default"/>
      </w:rPr>
    </w:lvl>
    <w:lvl w:ilvl="2">
      <w:start w:val="1"/>
      <w:numFmt w:val="decimal"/>
      <w:pStyle w:val="Heading3"/>
      <w:lvlText w:val="%1.%2.%3"/>
      <w:lvlJc w:val="left"/>
      <w:pPr>
        <w:ind w:left="1214" w:hanging="1072"/>
      </w:pPr>
      <w:rPr>
        <w:rFonts w:hint="default"/>
      </w:rPr>
    </w:lvl>
    <w:lvl w:ilvl="3">
      <w:start w:val="1"/>
      <w:numFmt w:val="decimal"/>
      <w:lvlText w:val="%1.%2.%3.%4"/>
      <w:lvlJc w:val="left"/>
      <w:pPr>
        <w:ind w:left="1072" w:hanging="1072"/>
      </w:pPr>
      <w:rPr>
        <w:rFonts w:hint="default"/>
      </w:rPr>
    </w:lvl>
    <w:lvl w:ilvl="4">
      <w:start w:val="1"/>
      <w:numFmt w:val="decimal"/>
      <w:lvlText w:val="%1.%2.%3.%4.%5"/>
      <w:lvlJc w:val="left"/>
      <w:pPr>
        <w:ind w:left="1072" w:hanging="107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D312036"/>
    <w:multiLevelType w:val="hybridMultilevel"/>
    <w:tmpl w:val="C37E3D5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D575B7B"/>
    <w:multiLevelType w:val="hybridMultilevel"/>
    <w:tmpl w:val="C51AE860"/>
    <w:lvl w:ilvl="0" w:tplc="6BC49ECE">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E346709"/>
    <w:multiLevelType w:val="multilevel"/>
    <w:tmpl w:val="090E98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E3C215D"/>
    <w:multiLevelType w:val="hybridMultilevel"/>
    <w:tmpl w:val="6F187AC4"/>
    <w:lvl w:ilvl="0" w:tplc="0C090001">
      <w:start w:val="1"/>
      <w:numFmt w:val="bullet"/>
      <w:lvlText w:val=""/>
      <w:lvlJc w:val="left"/>
      <w:pPr>
        <w:ind w:left="720" w:hanging="360"/>
      </w:pPr>
      <w:rPr>
        <w:rFonts w:ascii="Symbol" w:hAnsi="Symbol" w:hint="default"/>
      </w:rPr>
    </w:lvl>
    <w:lvl w:ilvl="1" w:tplc="223257A2">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F082FEE"/>
    <w:multiLevelType w:val="multilevel"/>
    <w:tmpl w:val="EAA2F742"/>
    <w:styleLink w:val="TableListNumbermaster"/>
    <w:lvl w:ilvl="0">
      <w:start w:val="1"/>
      <w:numFmt w:val="decimal"/>
      <w:pStyle w:val="TableListNumber"/>
      <w:lvlText w:val="%1."/>
      <w:lvlJc w:val="left"/>
      <w:pPr>
        <w:ind w:left="284" w:hanging="284"/>
      </w:pPr>
      <w:rPr>
        <w:rFonts w:hint="default"/>
        <w:color w:val="auto"/>
      </w:rPr>
    </w:lvl>
    <w:lvl w:ilvl="1">
      <w:start w:val="1"/>
      <w:numFmt w:val="lowerLetter"/>
      <w:pStyle w:val="TableListNumber2"/>
      <w:lvlText w:val="%2."/>
      <w:lvlJc w:val="left"/>
      <w:pPr>
        <w:ind w:left="567" w:hanging="283"/>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2695D78"/>
    <w:multiLevelType w:val="multilevel"/>
    <w:tmpl w:val="EAA2F742"/>
    <w:numStyleLink w:val="TableListNumbermaster"/>
  </w:abstractNum>
  <w:abstractNum w:abstractNumId="20" w15:restartNumberingAfterBreak="0">
    <w:nsid w:val="22F3766A"/>
    <w:multiLevelType w:val="hybridMultilevel"/>
    <w:tmpl w:val="E1309DB6"/>
    <w:lvl w:ilvl="0" w:tplc="56128356">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2F55BBD"/>
    <w:multiLevelType w:val="hybridMultilevel"/>
    <w:tmpl w:val="3C5E3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42839DB"/>
    <w:multiLevelType w:val="multilevel"/>
    <w:tmpl w:val="A1224394"/>
    <w:styleLink w:val="ListLegalmaster"/>
    <w:lvl w:ilvl="0">
      <w:start w:val="1"/>
      <w:numFmt w:val="decimal"/>
      <w:pStyle w:val="ListLegal"/>
      <w:lvlText w:val="%1."/>
      <w:lvlJc w:val="left"/>
      <w:pPr>
        <w:ind w:left="357" w:hanging="357"/>
      </w:pPr>
      <w:rPr>
        <w:rFonts w:ascii="Arial" w:hAnsi="Arial" w:hint="default"/>
        <w:b w:val="0"/>
        <w:i w:val="0"/>
        <w:color w:val="auto"/>
        <w:sz w:val="20"/>
      </w:rPr>
    </w:lvl>
    <w:lvl w:ilvl="1">
      <w:start w:val="1"/>
      <w:numFmt w:val="lowerLetter"/>
      <w:pStyle w:val="ListLegal2"/>
      <w:lvlText w:val="(%2)"/>
      <w:lvlJc w:val="left"/>
      <w:pPr>
        <w:tabs>
          <w:tab w:val="num" w:pos="720"/>
        </w:tabs>
        <w:ind w:left="714" w:hanging="357"/>
      </w:pPr>
      <w:rPr>
        <w:rFonts w:ascii="Arial" w:hAnsi="Arial" w:hint="default"/>
        <w:b w:val="0"/>
        <w:i w:val="0"/>
        <w:color w:val="auto"/>
        <w:sz w:val="20"/>
      </w:rPr>
    </w:lvl>
    <w:lvl w:ilvl="2">
      <w:start w:val="1"/>
      <w:numFmt w:val="lowerRoman"/>
      <w:pStyle w:val="ListLegal3"/>
      <w:lvlText w:val="(%3)"/>
      <w:lvlJc w:val="left"/>
      <w:pPr>
        <w:ind w:left="1435" w:hanging="721"/>
      </w:pPr>
      <w:rPr>
        <w:rFonts w:ascii="Arial" w:hAnsi="Arial"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4D25120"/>
    <w:multiLevelType w:val="hybridMultilevel"/>
    <w:tmpl w:val="F514BD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76F167D"/>
    <w:multiLevelType w:val="hybridMultilevel"/>
    <w:tmpl w:val="EB7CA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BE12123"/>
    <w:multiLevelType w:val="hybridMultilevel"/>
    <w:tmpl w:val="D77C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C0E4DE9"/>
    <w:multiLevelType w:val="multilevel"/>
    <w:tmpl w:val="56043EA4"/>
    <w:numStyleLink w:val="TableListBulletmaster"/>
  </w:abstractNum>
  <w:abstractNum w:abstractNumId="27" w15:restartNumberingAfterBreak="0">
    <w:nsid w:val="2D9328E2"/>
    <w:multiLevelType w:val="multilevel"/>
    <w:tmpl w:val="88942C4C"/>
    <w:styleLink w:val="ListNumbermaster"/>
    <w:lvl w:ilvl="0">
      <w:start w:val="1"/>
      <w:numFmt w:val="decimal"/>
      <w:pStyle w:val="ListNumber"/>
      <w:lvlText w:val="%1."/>
      <w:lvlJc w:val="left"/>
      <w:pPr>
        <w:ind w:left="360" w:hanging="360"/>
      </w:pPr>
      <w:rPr>
        <w:rFonts w:ascii="Arial" w:hAnsi="Arial" w:hint="default"/>
        <w:color w:val="auto"/>
        <w:sz w:val="20"/>
      </w:rPr>
    </w:lvl>
    <w:lvl w:ilvl="1">
      <w:start w:val="1"/>
      <w:numFmt w:val="lowerLetter"/>
      <w:pStyle w:val="ListNumber2"/>
      <w:lvlText w:val="%2."/>
      <w:lvlJc w:val="left"/>
      <w:pPr>
        <w:ind w:left="720" w:hanging="360"/>
      </w:pPr>
      <w:rPr>
        <w:rFonts w:ascii="Arial" w:hAnsi="Arial" w:hint="default"/>
        <w:color w:val="auto"/>
        <w:sz w:val="20"/>
      </w:rPr>
    </w:lvl>
    <w:lvl w:ilvl="2">
      <w:start w:val="1"/>
      <w:numFmt w:val="lowerRoman"/>
      <w:pStyle w:val="ListNumber3"/>
      <w:lvlText w:val="%3."/>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0C0758D"/>
    <w:multiLevelType w:val="hybridMultilevel"/>
    <w:tmpl w:val="DE40D570"/>
    <w:lvl w:ilvl="0" w:tplc="04D8443A">
      <w:start w:val="23"/>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2994308"/>
    <w:multiLevelType w:val="multilevel"/>
    <w:tmpl w:val="74BE10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3726BBF"/>
    <w:multiLevelType w:val="multilevel"/>
    <w:tmpl w:val="761EE0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35BE7882"/>
    <w:multiLevelType w:val="multilevel"/>
    <w:tmpl w:val="B99620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6B75813"/>
    <w:multiLevelType w:val="multilevel"/>
    <w:tmpl w:val="0D96AACA"/>
    <w:numStyleLink w:val="AppendixHeadingmaster"/>
  </w:abstractNum>
  <w:abstractNum w:abstractNumId="33" w15:restartNumberingAfterBreak="0">
    <w:nsid w:val="37EE5464"/>
    <w:multiLevelType w:val="hybridMultilevel"/>
    <w:tmpl w:val="815C4D40"/>
    <w:lvl w:ilvl="0" w:tplc="C68A365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80C7468"/>
    <w:multiLevelType w:val="hybridMultilevel"/>
    <w:tmpl w:val="09F0AE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9745303"/>
    <w:multiLevelType w:val="multilevel"/>
    <w:tmpl w:val="A7EED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C831ECC"/>
    <w:multiLevelType w:val="hybridMultilevel"/>
    <w:tmpl w:val="5FB4E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D6E6C28"/>
    <w:multiLevelType w:val="hybridMultilevel"/>
    <w:tmpl w:val="F6D61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00D7137"/>
    <w:multiLevelType w:val="hybridMultilevel"/>
    <w:tmpl w:val="15DE4B7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9" w15:restartNumberingAfterBreak="0">
    <w:nsid w:val="409E2110"/>
    <w:multiLevelType w:val="hybridMultilevel"/>
    <w:tmpl w:val="FF703708"/>
    <w:lvl w:ilvl="0" w:tplc="73203456">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13C5ED4"/>
    <w:multiLevelType w:val="hybridMultilevel"/>
    <w:tmpl w:val="A3FA49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2B61371"/>
    <w:multiLevelType w:val="hybridMultilevel"/>
    <w:tmpl w:val="3B6ABE4C"/>
    <w:lvl w:ilvl="0" w:tplc="450C44A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2EA53CE"/>
    <w:multiLevelType w:val="hybridMultilevel"/>
    <w:tmpl w:val="FCC25540"/>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448C7C00"/>
    <w:multiLevelType w:val="hybridMultilevel"/>
    <w:tmpl w:val="DFAA3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6DA5FA0"/>
    <w:multiLevelType w:val="multilevel"/>
    <w:tmpl w:val="B18273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7D50479"/>
    <w:multiLevelType w:val="multilevel"/>
    <w:tmpl w:val="28E66356"/>
    <w:styleLink w:val="ListAlphanumericmaster"/>
    <w:lvl w:ilvl="0">
      <w:start w:val="1"/>
      <w:numFmt w:val="lowerLetter"/>
      <w:lvlText w:val="%1)"/>
      <w:lvlJc w:val="left"/>
      <w:pPr>
        <w:ind w:left="357" w:hanging="357"/>
      </w:pPr>
      <w:rPr>
        <w:rFonts w:hint="default"/>
      </w:rPr>
    </w:lvl>
    <w:lvl w:ilvl="1">
      <w:start w:val="1"/>
      <w:numFmt w:val="lowerRoman"/>
      <w:lvlText w:val="%2)"/>
      <w:lvlJc w:val="left"/>
      <w:pPr>
        <w:ind w:left="714" w:hanging="357"/>
      </w:pPr>
      <w:rPr>
        <w:rFonts w:hint="default"/>
      </w:rPr>
    </w:lvl>
    <w:lvl w:ilvl="2">
      <w:start w:val="1"/>
      <w:numFmt w:val="lowerRoman"/>
      <w:lvlText w:val="(%3)"/>
      <w:lvlJc w:val="left"/>
      <w:pPr>
        <w:ind w:left="1361"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80934A2"/>
    <w:multiLevelType w:val="hybridMultilevel"/>
    <w:tmpl w:val="DAFA64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4B1E74C1"/>
    <w:multiLevelType w:val="hybridMultilevel"/>
    <w:tmpl w:val="C37E3D5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56EC5E1C"/>
    <w:multiLevelType w:val="multilevel"/>
    <w:tmpl w:val="88942C4C"/>
    <w:numStyleLink w:val="ListNumbermaster"/>
  </w:abstractNum>
  <w:abstractNum w:abstractNumId="49" w15:restartNumberingAfterBreak="0">
    <w:nsid w:val="57A51FC2"/>
    <w:multiLevelType w:val="multilevel"/>
    <w:tmpl w:val="56043EA4"/>
    <w:styleLink w:val="TableListBulletmaster"/>
    <w:lvl w:ilvl="0">
      <w:start w:val="1"/>
      <w:numFmt w:val="bullet"/>
      <w:pStyle w:val="TableListBullet"/>
      <w:lvlText w:val=""/>
      <w:lvlJc w:val="left"/>
      <w:pPr>
        <w:ind w:left="284" w:hanging="284"/>
      </w:pPr>
      <w:rPr>
        <w:rFonts w:ascii="Symbol" w:hAnsi="Symbol" w:hint="default"/>
        <w:color w:val="auto"/>
      </w:rPr>
    </w:lvl>
    <w:lvl w:ilvl="1">
      <w:start w:val="1"/>
      <w:numFmt w:val="bullet"/>
      <w:pStyle w:val="TableListBullet2"/>
      <w:lvlText w:val="̶"/>
      <w:lvlJc w:val="left"/>
      <w:pPr>
        <w:ind w:left="567" w:hanging="283"/>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5A8E3847"/>
    <w:multiLevelType w:val="hybridMultilevel"/>
    <w:tmpl w:val="8B7C98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B0F2634"/>
    <w:multiLevelType w:val="hybridMultilevel"/>
    <w:tmpl w:val="C18CCA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B8B388E"/>
    <w:multiLevelType w:val="hybridMultilevel"/>
    <w:tmpl w:val="A12EEBC8"/>
    <w:lvl w:ilvl="0" w:tplc="78CEFFA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C236875"/>
    <w:multiLevelType w:val="hybridMultilevel"/>
    <w:tmpl w:val="4CBC26DC"/>
    <w:lvl w:ilvl="0" w:tplc="18306676">
      <w:start w:val="1"/>
      <w:numFmt w:val="bullet"/>
      <w:lvlText w:val="•"/>
      <w:lvlJc w:val="left"/>
      <w:pPr>
        <w:tabs>
          <w:tab w:val="num" w:pos="720"/>
        </w:tabs>
        <w:ind w:left="720" w:hanging="360"/>
      </w:pPr>
      <w:rPr>
        <w:rFonts w:ascii="Arial" w:hAnsi="Arial" w:hint="default"/>
      </w:rPr>
    </w:lvl>
    <w:lvl w:ilvl="1" w:tplc="30AC80DC" w:tentative="1">
      <w:start w:val="1"/>
      <w:numFmt w:val="bullet"/>
      <w:lvlText w:val="•"/>
      <w:lvlJc w:val="left"/>
      <w:pPr>
        <w:tabs>
          <w:tab w:val="num" w:pos="1440"/>
        </w:tabs>
        <w:ind w:left="1440" w:hanging="360"/>
      </w:pPr>
      <w:rPr>
        <w:rFonts w:ascii="Arial" w:hAnsi="Arial" w:hint="default"/>
      </w:rPr>
    </w:lvl>
    <w:lvl w:ilvl="2" w:tplc="FA680282" w:tentative="1">
      <w:start w:val="1"/>
      <w:numFmt w:val="bullet"/>
      <w:lvlText w:val="•"/>
      <w:lvlJc w:val="left"/>
      <w:pPr>
        <w:tabs>
          <w:tab w:val="num" w:pos="2160"/>
        </w:tabs>
        <w:ind w:left="2160" w:hanging="360"/>
      </w:pPr>
      <w:rPr>
        <w:rFonts w:ascii="Arial" w:hAnsi="Arial" w:hint="default"/>
      </w:rPr>
    </w:lvl>
    <w:lvl w:ilvl="3" w:tplc="A828B390" w:tentative="1">
      <w:start w:val="1"/>
      <w:numFmt w:val="bullet"/>
      <w:lvlText w:val="•"/>
      <w:lvlJc w:val="left"/>
      <w:pPr>
        <w:tabs>
          <w:tab w:val="num" w:pos="2880"/>
        </w:tabs>
        <w:ind w:left="2880" w:hanging="360"/>
      </w:pPr>
      <w:rPr>
        <w:rFonts w:ascii="Arial" w:hAnsi="Arial" w:hint="default"/>
      </w:rPr>
    </w:lvl>
    <w:lvl w:ilvl="4" w:tplc="380CB276" w:tentative="1">
      <w:start w:val="1"/>
      <w:numFmt w:val="bullet"/>
      <w:lvlText w:val="•"/>
      <w:lvlJc w:val="left"/>
      <w:pPr>
        <w:tabs>
          <w:tab w:val="num" w:pos="3600"/>
        </w:tabs>
        <w:ind w:left="3600" w:hanging="360"/>
      </w:pPr>
      <w:rPr>
        <w:rFonts w:ascii="Arial" w:hAnsi="Arial" w:hint="default"/>
      </w:rPr>
    </w:lvl>
    <w:lvl w:ilvl="5" w:tplc="D0C486D6" w:tentative="1">
      <w:start w:val="1"/>
      <w:numFmt w:val="bullet"/>
      <w:lvlText w:val="•"/>
      <w:lvlJc w:val="left"/>
      <w:pPr>
        <w:tabs>
          <w:tab w:val="num" w:pos="4320"/>
        </w:tabs>
        <w:ind w:left="4320" w:hanging="360"/>
      </w:pPr>
      <w:rPr>
        <w:rFonts w:ascii="Arial" w:hAnsi="Arial" w:hint="default"/>
      </w:rPr>
    </w:lvl>
    <w:lvl w:ilvl="6" w:tplc="65F03F62" w:tentative="1">
      <w:start w:val="1"/>
      <w:numFmt w:val="bullet"/>
      <w:lvlText w:val="•"/>
      <w:lvlJc w:val="left"/>
      <w:pPr>
        <w:tabs>
          <w:tab w:val="num" w:pos="5040"/>
        </w:tabs>
        <w:ind w:left="5040" w:hanging="360"/>
      </w:pPr>
      <w:rPr>
        <w:rFonts w:ascii="Arial" w:hAnsi="Arial" w:hint="default"/>
      </w:rPr>
    </w:lvl>
    <w:lvl w:ilvl="7" w:tplc="135627CA" w:tentative="1">
      <w:start w:val="1"/>
      <w:numFmt w:val="bullet"/>
      <w:lvlText w:val="•"/>
      <w:lvlJc w:val="left"/>
      <w:pPr>
        <w:tabs>
          <w:tab w:val="num" w:pos="5760"/>
        </w:tabs>
        <w:ind w:left="5760" w:hanging="360"/>
      </w:pPr>
      <w:rPr>
        <w:rFonts w:ascii="Arial" w:hAnsi="Arial" w:hint="default"/>
      </w:rPr>
    </w:lvl>
    <w:lvl w:ilvl="8" w:tplc="B3507588"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5D932CD6"/>
    <w:multiLevelType w:val="hybridMultilevel"/>
    <w:tmpl w:val="ED267204"/>
    <w:lvl w:ilvl="0" w:tplc="C68A365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FEA64A3"/>
    <w:multiLevelType w:val="hybridMultilevel"/>
    <w:tmpl w:val="7DA83006"/>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62A52EED"/>
    <w:multiLevelType w:val="hybridMultilevel"/>
    <w:tmpl w:val="D4C04F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48E6CBA"/>
    <w:multiLevelType w:val="multilevel"/>
    <w:tmpl w:val="9F703E2E"/>
    <w:styleLink w:val="ListBulletmaster"/>
    <w:lvl w:ilvl="0">
      <w:start w:val="1"/>
      <w:numFmt w:val="bullet"/>
      <w:pStyle w:val="ListBullet"/>
      <w:lvlText w:val=""/>
      <w:lvlJc w:val="left"/>
      <w:pPr>
        <w:tabs>
          <w:tab w:val="num" w:pos="360"/>
        </w:tabs>
        <w:ind w:left="360" w:hanging="360"/>
      </w:pPr>
      <w:rPr>
        <w:rFonts w:ascii="Symbol" w:hAnsi="Symbol" w:hint="default"/>
        <w:color w:val="auto"/>
      </w:rPr>
    </w:lvl>
    <w:lvl w:ilvl="1">
      <w:start w:val="1"/>
      <w:numFmt w:val="bullet"/>
      <w:pStyle w:val="ListBullet2"/>
      <w:lvlText w:val=""/>
      <w:lvlJc w:val="left"/>
      <w:pPr>
        <w:ind w:left="714" w:hanging="357"/>
      </w:pPr>
      <w:rPr>
        <w:rFonts w:ascii="Symbol" w:hAnsi="Symbol" w:hint="default"/>
        <w:color w:val="auto"/>
      </w:rPr>
    </w:lvl>
    <w:lvl w:ilvl="2">
      <w:start w:val="1"/>
      <w:numFmt w:val="bullet"/>
      <w:pStyle w:val="ListBullet3"/>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673F304D"/>
    <w:multiLevelType w:val="hybridMultilevel"/>
    <w:tmpl w:val="7890A4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B045308"/>
    <w:multiLevelType w:val="hybridMultilevel"/>
    <w:tmpl w:val="788C29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C3F031A"/>
    <w:multiLevelType w:val="multilevel"/>
    <w:tmpl w:val="A1224394"/>
    <w:numStyleLink w:val="ListLegalmaster"/>
  </w:abstractNum>
  <w:abstractNum w:abstractNumId="61" w15:restartNumberingAfterBreak="0">
    <w:nsid w:val="72FA382A"/>
    <w:multiLevelType w:val="hybridMultilevel"/>
    <w:tmpl w:val="F0D811AE"/>
    <w:lvl w:ilvl="0" w:tplc="1C7AF7D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77E71B1"/>
    <w:multiLevelType w:val="multilevel"/>
    <w:tmpl w:val="D00E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C8B283A"/>
    <w:multiLevelType w:val="hybridMultilevel"/>
    <w:tmpl w:val="C95A2F68"/>
    <w:lvl w:ilvl="0" w:tplc="110EABD0">
      <w:start w:val="1"/>
      <w:numFmt w:val="decimal"/>
      <w:lvlText w:val="%1."/>
      <w:lvlJc w:val="left"/>
      <w:pPr>
        <w:ind w:left="1020" w:hanging="360"/>
      </w:pPr>
    </w:lvl>
    <w:lvl w:ilvl="1" w:tplc="EFDC6634">
      <w:start w:val="1"/>
      <w:numFmt w:val="decimal"/>
      <w:lvlText w:val="%2."/>
      <w:lvlJc w:val="left"/>
      <w:pPr>
        <w:ind w:left="1020" w:hanging="360"/>
      </w:pPr>
    </w:lvl>
    <w:lvl w:ilvl="2" w:tplc="6E88C508">
      <w:start w:val="1"/>
      <w:numFmt w:val="decimal"/>
      <w:lvlText w:val="%3."/>
      <w:lvlJc w:val="left"/>
      <w:pPr>
        <w:ind w:left="1020" w:hanging="360"/>
      </w:pPr>
    </w:lvl>
    <w:lvl w:ilvl="3" w:tplc="79E4B2EE">
      <w:start w:val="1"/>
      <w:numFmt w:val="decimal"/>
      <w:lvlText w:val="%4."/>
      <w:lvlJc w:val="left"/>
      <w:pPr>
        <w:ind w:left="1020" w:hanging="360"/>
      </w:pPr>
    </w:lvl>
    <w:lvl w:ilvl="4" w:tplc="D3B20414">
      <w:start w:val="1"/>
      <w:numFmt w:val="decimal"/>
      <w:lvlText w:val="%5."/>
      <w:lvlJc w:val="left"/>
      <w:pPr>
        <w:ind w:left="1020" w:hanging="360"/>
      </w:pPr>
    </w:lvl>
    <w:lvl w:ilvl="5" w:tplc="E834C6EC">
      <w:start w:val="1"/>
      <w:numFmt w:val="decimal"/>
      <w:lvlText w:val="%6."/>
      <w:lvlJc w:val="left"/>
      <w:pPr>
        <w:ind w:left="1020" w:hanging="360"/>
      </w:pPr>
    </w:lvl>
    <w:lvl w:ilvl="6" w:tplc="E95E5EFC">
      <w:start w:val="1"/>
      <w:numFmt w:val="decimal"/>
      <w:lvlText w:val="%7."/>
      <w:lvlJc w:val="left"/>
      <w:pPr>
        <w:ind w:left="1020" w:hanging="360"/>
      </w:pPr>
    </w:lvl>
    <w:lvl w:ilvl="7" w:tplc="7FE02384">
      <w:start w:val="1"/>
      <w:numFmt w:val="decimal"/>
      <w:lvlText w:val="%8."/>
      <w:lvlJc w:val="left"/>
      <w:pPr>
        <w:ind w:left="1020" w:hanging="360"/>
      </w:pPr>
    </w:lvl>
    <w:lvl w:ilvl="8" w:tplc="EE3CF384">
      <w:start w:val="1"/>
      <w:numFmt w:val="decimal"/>
      <w:lvlText w:val="%9."/>
      <w:lvlJc w:val="left"/>
      <w:pPr>
        <w:ind w:left="1020" w:hanging="360"/>
      </w:pPr>
    </w:lvl>
  </w:abstractNum>
  <w:num w:numId="1" w16cid:durableId="328336156">
    <w:abstractNumId w:val="9"/>
  </w:num>
  <w:num w:numId="2" w16cid:durableId="290287643">
    <w:abstractNumId w:val="13"/>
  </w:num>
  <w:num w:numId="3" w16cid:durableId="1869679674">
    <w:abstractNumId w:val="57"/>
    <w:lvlOverride w:ilvl="0">
      <w:lvl w:ilvl="0">
        <w:start w:val="1"/>
        <w:numFmt w:val="bullet"/>
        <w:pStyle w:val="ListBullet"/>
        <w:lvlText w:val=""/>
        <w:lvlJc w:val="left"/>
        <w:pPr>
          <w:tabs>
            <w:tab w:val="num" w:pos="360"/>
          </w:tabs>
          <w:ind w:left="360" w:hanging="360"/>
        </w:pPr>
        <w:rPr>
          <w:rFonts w:ascii="Symbol" w:hAnsi="Symbol" w:hint="default"/>
          <w:color w:val="auto"/>
        </w:rPr>
      </w:lvl>
    </w:lvlOverride>
  </w:num>
  <w:num w:numId="4" w16cid:durableId="2032871560">
    <w:abstractNumId w:val="27"/>
  </w:num>
  <w:num w:numId="5" w16cid:durableId="310910324">
    <w:abstractNumId w:val="49"/>
  </w:num>
  <w:num w:numId="6" w16cid:durableId="753476416">
    <w:abstractNumId w:val="18"/>
  </w:num>
  <w:num w:numId="7" w16cid:durableId="1790736337">
    <w:abstractNumId w:val="45"/>
  </w:num>
  <w:num w:numId="8" w16cid:durableId="1926304350">
    <w:abstractNumId w:val="12"/>
  </w:num>
  <w:num w:numId="9" w16cid:durableId="107823657">
    <w:abstractNumId w:val="22"/>
  </w:num>
  <w:num w:numId="10" w16cid:durableId="2057582421">
    <w:abstractNumId w:val="60"/>
  </w:num>
  <w:num w:numId="11" w16cid:durableId="1320232845">
    <w:abstractNumId w:val="1"/>
  </w:num>
  <w:num w:numId="12" w16cid:durableId="1221482542">
    <w:abstractNumId w:val="26"/>
  </w:num>
  <w:num w:numId="13" w16cid:durableId="2087678997">
    <w:abstractNumId w:val="19"/>
  </w:num>
  <w:num w:numId="14" w16cid:durableId="1742405919">
    <w:abstractNumId w:val="32"/>
    <w:lvlOverride w:ilvl="0">
      <w:lvl w:ilvl="0">
        <w:start w:val="1"/>
        <w:numFmt w:val="upperLetter"/>
        <w:pStyle w:val="AppendixHeading1"/>
        <w:lvlText w:val="Appendix %1"/>
        <w:lvlJc w:val="left"/>
        <w:pPr>
          <w:ind w:left="2268" w:hanging="2268"/>
        </w:pPr>
      </w:lvl>
    </w:lvlOverride>
  </w:num>
  <w:num w:numId="15" w16cid:durableId="589705324">
    <w:abstractNumId w:val="47"/>
  </w:num>
  <w:num w:numId="16" w16cid:durableId="28529171">
    <w:abstractNumId w:val="14"/>
  </w:num>
  <w:num w:numId="17" w16cid:durableId="7549814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75640683">
    <w:abstractNumId w:val="46"/>
  </w:num>
  <w:num w:numId="19" w16cid:durableId="1639147554">
    <w:abstractNumId w:val="63"/>
  </w:num>
  <w:num w:numId="20" w16cid:durableId="4218064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738046">
    <w:abstractNumId w:val="12"/>
    <w:lvlOverride w:ilvl="0">
      <w:lvl w:ilvl="0">
        <w:start w:val="1"/>
        <w:numFmt w:val="decimal"/>
        <w:pStyle w:val="ListNumber"/>
        <w:lvlText w:val="%1."/>
        <w:lvlJc w:val="left"/>
        <w:pPr>
          <w:ind w:left="360" w:hanging="360"/>
        </w:pPr>
        <w:rPr>
          <w:rFonts w:ascii="Arial" w:hAnsi="Arial" w:hint="default"/>
          <w:color w:val="auto"/>
          <w:sz w:val="20"/>
        </w:rPr>
      </w:lvl>
    </w:lvlOverride>
    <w:lvlOverride w:ilvl="1">
      <w:lvl w:ilvl="1">
        <w:start w:val="1"/>
        <w:numFmt w:val="lowerLetter"/>
        <w:pStyle w:val="ListNumber2"/>
        <w:lvlText w:val="%2."/>
        <w:lvlJc w:val="left"/>
        <w:pPr>
          <w:ind w:left="720" w:hanging="360"/>
        </w:pPr>
        <w:rPr>
          <w:rFonts w:ascii="Arial" w:hAnsi="Arial" w:hint="default"/>
          <w:color w:val="auto"/>
          <w:sz w:val="20"/>
        </w:rPr>
      </w:lvl>
    </w:lvlOverride>
    <w:lvlOverride w:ilvl="2">
      <w:lvl w:ilvl="2">
        <w:start w:val="1"/>
        <w:numFmt w:val="lowerRoman"/>
        <w:pStyle w:val="ListNumber3"/>
        <w:lvlText w:val="%3."/>
        <w:lvlJc w:val="left"/>
        <w:pPr>
          <w:ind w:left="1080" w:hanging="360"/>
        </w:pPr>
        <w:rPr>
          <w:rFonts w:ascii="Arial" w:hAnsi="Arial" w:hint="default"/>
          <w:color w:val="auto"/>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2" w16cid:durableId="162474013">
    <w:abstractNumId w:val="2"/>
  </w:num>
  <w:num w:numId="23" w16cid:durableId="2031251695">
    <w:abstractNumId w:val="16"/>
  </w:num>
  <w:num w:numId="24" w16cid:durableId="639113408">
    <w:abstractNumId w:val="44"/>
  </w:num>
  <w:num w:numId="25" w16cid:durableId="591354956">
    <w:abstractNumId w:val="31"/>
  </w:num>
  <w:num w:numId="26" w16cid:durableId="1162045532">
    <w:abstractNumId w:val="4"/>
  </w:num>
  <w:num w:numId="27" w16cid:durableId="1570073345">
    <w:abstractNumId w:val="54"/>
  </w:num>
  <w:num w:numId="28" w16cid:durableId="1140267657">
    <w:abstractNumId w:val="33"/>
  </w:num>
  <w:num w:numId="29" w16cid:durableId="1197692394">
    <w:abstractNumId w:val="24"/>
  </w:num>
  <w:num w:numId="30" w16cid:durableId="1297177223">
    <w:abstractNumId w:val="23"/>
  </w:num>
  <w:num w:numId="31" w16cid:durableId="634331050">
    <w:abstractNumId w:val="58"/>
  </w:num>
  <w:num w:numId="32" w16cid:durableId="245651215">
    <w:abstractNumId w:val="20"/>
  </w:num>
  <w:num w:numId="33" w16cid:durableId="1896040219">
    <w:abstractNumId w:val="61"/>
  </w:num>
  <w:num w:numId="34" w16cid:durableId="954556115">
    <w:abstractNumId w:val="28"/>
  </w:num>
  <w:num w:numId="35" w16cid:durableId="1910386382">
    <w:abstractNumId w:val="62"/>
  </w:num>
  <w:num w:numId="36" w16cid:durableId="673336939">
    <w:abstractNumId w:val="41"/>
  </w:num>
  <w:num w:numId="37" w16cid:durableId="212423489">
    <w:abstractNumId w:val="15"/>
  </w:num>
  <w:num w:numId="38" w16cid:durableId="1221136281">
    <w:abstractNumId w:val="21"/>
  </w:num>
  <w:num w:numId="39" w16cid:durableId="536358639">
    <w:abstractNumId w:val="40"/>
  </w:num>
  <w:num w:numId="40" w16cid:durableId="1120219996">
    <w:abstractNumId w:val="10"/>
  </w:num>
  <w:num w:numId="41" w16cid:durableId="534655244">
    <w:abstractNumId w:val="43"/>
  </w:num>
  <w:num w:numId="42" w16cid:durableId="1667174434">
    <w:abstractNumId w:val="25"/>
  </w:num>
  <w:num w:numId="43" w16cid:durableId="544751883">
    <w:abstractNumId w:val="8"/>
  </w:num>
  <w:num w:numId="44" w16cid:durableId="820732920">
    <w:abstractNumId w:val="59"/>
  </w:num>
  <w:num w:numId="45" w16cid:durableId="660887619">
    <w:abstractNumId w:val="34"/>
  </w:num>
  <w:num w:numId="46" w16cid:durableId="731972921">
    <w:abstractNumId w:val="53"/>
  </w:num>
  <w:num w:numId="47" w16cid:durableId="237444447">
    <w:abstractNumId w:val="6"/>
  </w:num>
  <w:num w:numId="48" w16cid:durableId="205263880">
    <w:abstractNumId w:val="36"/>
  </w:num>
  <w:num w:numId="49" w16cid:durableId="1603756785">
    <w:abstractNumId w:val="29"/>
  </w:num>
  <w:num w:numId="50" w16cid:durableId="89860624">
    <w:abstractNumId w:val="50"/>
  </w:num>
  <w:num w:numId="51" w16cid:durableId="990060765">
    <w:abstractNumId w:val="42"/>
  </w:num>
  <w:num w:numId="52" w16cid:durableId="1871992692">
    <w:abstractNumId w:val="38"/>
  </w:num>
  <w:num w:numId="53" w16cid:durableId="432700876">
    <w:abstractNumId w:val="55"/>
  </w:num>
  <w:num w:numId="54" w16cid:durableId="1263881918">
    <w:abstractNumId w:val="5"/>
  </w:num>
  <w:num w:numId="55" w16cid:durableId="765230243">
    <w:abstractNumId w:val="51"/>
  </w:num>
  <w:num w:numId="56" w16cid:durableId="1543247032">
    <w:abstractNumId w:val="17"/>
  </w:num>
  <w:num w:numId="57" w16cid:durableId="747534328">
    <w:abstractNumId w:val="37"/>
  </w:num>
  <w:num w:numId="58" w16cid:durableId="171532712">
    <w:abstractNumId w:val="0"/>
  </w:num>
  <w:num w:numId="59" w16cid:durableId="353114523">
    <w:abstractNumId w:val="39"/>
  </w:num>
  <w:num w:numId="60" w16cid:durableId="700476525">
    <w:abstractNumId w:val="56"/>
  </w:num>
  <w:num w:numId="61" w16cid:durableId="825122400">
    <w:abstractNumId w:val="35"/>
  </w:num>
  <w:num w:numId="62" w16cid:durableId="1242565187">
    <w:abstractNumId w:val="48"/>
  </w:num>
  <w:num w:numId="63" w16cid:durableId="833810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4698294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901793686">
    <w:abstractNumId w:val="12"/>
    <w:lvlOverride w:ilvl="0">
      <w:startOverride w:val="1"/>
      <w:lvl w:ilvl="0">
        <w:start w:val="1"/>
        <w:numFmt w:val="decimal"/>
        <w:pStyle w:val="ListNumber"/>
        <w:lvlText w:val="%1."/>
        <w:lvlJc w:val="left"/>
        <w:pPr>
          <w:ind w:left="360" w:hanging="360"/>
        </w:pPr>
        <w:rPr>
          <w:rFonts w:ascii="Arial" w:hAnsi="Arial" w:hint="default"/>
          <w:color w:val="auto"/>
          <w:sz w:val="20"/>
        </w:rPr>
      </w:lvl>
    </w:lvlOverride>
    <w:lvlOverride w:ilvl="1">
      <w:startOverride w:val="1"/>
      <w:lvl w:ilvl="1">
        <w:start w:val="1"/>
        <w:numFmt w:val="lowerLetter"/>
        <w:pStyle w:val="ListNumber2"/>
        <w:lvlText w:val="%2."/>
        <w:lvlJc w:val="left"/>
        <w:pPr>
          <w:ind w:left="720" w:hanging="360"/>
        </w:pPr>
        <w:rPr>
          <w:rFonts w:ascii="Arial" w:hAnsi="Arial" w:hint="default"/>
          <w:color w:val="auto"/>
          <w:sz w:val="20"/>
        </w:rPr>
      </w:lvl>
    </w:lvlOverride>
    <w:lvlOverride w:ilvl="2">
      <w:startOverride w:val="1"/>
      <w:lvl w:ilvl="2">
        <w:start w:val="1"/>
        <w:numFmt w:val="lowerRoman"/>
        <w:pStyle w:val="ListNumber3"/>
        <w:lvlText w:val="%3."/>
        <w:lvlJc w:val="left"/>
        <w:pPr>
          <w:ind w:left="1080" w:hanging="360"/>
        </w:pPr>
        <w:rPr>
          <w:rFonts w:ascii="Arial" w:hAnsi="Arial" w:hint="default"/>
          <w:color w:val="auto"/>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66" w16cid:durableId="5449507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247762815">
    <w:abstractNumId w:val="12"/>
    <w:lvlOverride w:ilvl="0">
      <w:startOverride w:val="1"/>
      <w:lvl w:ilvl="0">
        <w:start w:val="1"/>
        <w:numFmt w:val="decimal"/>
        <w:pStyle w:val="ListNumber"/>
        <w:lvlText w:val="%1."/>
        <w:lvlJc w:val="left"/>
        <w:pPr>
          <w:ind w:left="360" w:hanging="360"/>
        </w:pPr>
        <w:rPr>
          <w:rFonts w:ascii="Arial" w:hAnsi="Arial" w:hint="default"/>
          <w:color w:val="auto"/>
          <w:sz w:val="20"/>
        </w:rPr>
      </w:lvl>
    </w:lvlOverride>
    <w:lvlOverride w:ilvl="1">
      <w:startOverride w:val="1"/>
      <w:lvl w:ilvl="1">
        <w:start w:val="1"/>
        <w:numFmt w:val="lowerLetter"/>
        <w:pStyle w:val="ListNumber2"/>
        <w:lvlText w:val="%2."/>
        <w:lvlJc w:val="left"/>
        <w:pPr>
          <w:ind w:left="720" w:hanging="360"/>
        </w:pPr>
        <w:rPr>
          <w:rFonts w:ascii="Arial" w:hAnsi="Arial" w:hint="default"/>
          <w:color w:val="auto"/>
          <w:sz w:val="20"/>
        </w:rPr>
      </w:lvl>
    </w:lvlOverride>
    <w:lvlOverride w:ilvl="2">
      <w:startOverride w:val="1"/>
      <w:lvl w:ilvl="2">
        <w:start w:val="1"/>
        <w:numFmt w:val="lowerRoman"/>
        <w:pStyle w:val="ListNumber3"/>
        <w:lvlText w:val="%3."/>
        <w:lvlJc w:val="left"/>
        <w:pPr>
          <w:ind w:left="1080" w:hanging="360"/>
        </w:pPr>
        <w:rPr>
          <w:rFonts w:ascii="Arial" w:hAnsi="Arial" w:hint="default"/>
          <w:color w:val="auto"/>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68" w16cid:durableId="1712997284">
    <w:abstractNumId w:val="12"/>
    <w:lvlOverride w:ilvl="0">
      <w:startOverride w:val="1"/>
      <w:lvl w:ilvl="0">
        <w:start w:val="1"/>
        <w:numFmt w:val="decimal"/>
        <w:pStyle w:val="ListNumber"/>
        <w:lvlText w:val="%1."/>
        <w:lvlJc w:val="left"/>
        <w:pPr>
          <w:ind w:left="360" w:hanging="360"/>
        </w:pPr>
        <w:rPr>
          <w:rFonts w:ascii="Arial" w:hAnsi="Arial" w:hint="default"/>
          <w:color w:val="auto"/>
          <w:sz w:val="20"/>
        </w:rPr>
      </w:lvl>
    </w:lvlOverride>
    <w:lvlOverride w:ilvl="1">
      <w:startOverride w:val="1"/>
      <w:lvl w:ilvl="1">
        <w:start w:val="1"/>
        <w:numFmt w:val="lowerLetter"/>
        <w:pStyle w:val="ListNumber2"/>
        <w:lvlText w:val="%2."/>
        <w:lvlJc w:val="left"/>
        <w:pPr>
          <w:ind w:left="720" w:hanging="360"/>
        </w:pPr>
        <w:rPr>
          <w:rFonts w:ascii="Arial" w:hAnsi="Arial" w:hint="default"/>
          <w:color w:val="auto"/>
          <w:sz w:val="20"/>
        </w:rPr>
      </w:lvl>
    </w:lvlOverride>
    <w:lvlOverride w:ilvl="2">
      <w:startOverride w:val="1"/>
      <w:lvl w:ilvl="2">
        <w:start w:val="1"/>
        <w:numFmt w:val="lowerRoman"/>
        <w:pStyle w:val="ListNumber3"/>
        <w:lvlText w:val="%3."/>
        <w:lvlJc w:val="left"/>
        <w:pPr>
          <w:ind w:left="1080" w:hanging="360"/>
        </w:pPr>
        <w:rPr>
          <w:rFonts w:ascii="Arial" w:hAnsi="Arial" w:hint="default"/>
          <w:color w:val="auto"/>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69" w16cid:durableId="16407216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063140080">
    <w:abstractNumId w:val="57"/>
  </w:num>
  <w:num w:numId="71" w16cid:durableId="1579095511">
    <w:abstractNumId w:val="12"/>
    <w:lvlOverride w:ilvl="0">
      <w:startOverride w:val="1"/>
      <w:lvl w:ilvl="0">
        <w:start w:val="1"/>
        <w:numFmt w:val="decimal"/>
        <w:pStyle w:val="ListNumber"/>
        <w:lvlText w:val="%1."/>
        <w:lvlJc w:val="left"/>
        <w:pPr>
          <w:ind w:left="360" w:hanging="360"/>
        </w:pPr>
        <w:rPr>
          <w:rFonts w:ascii="Arial" w:hAnsi="Arial" w:hint="default"/>
          <w:color w:val="auto"/>
          <w:sz w:val="20"/>
        </w:rPr>
      </w:lvl>
    </w:lvlOverride>
    <w:lvlOverride w:ilvl="1">
      <w:startOverride w:val="1"/>
      <w:lvl w:ilvl="1">
        <w:start w:val="1"/>
        <w:numFmt w:val="lowerLetter"/>
        <w:pStyle w:val="ListNumber2"/>
        <w:lvlText w:val="%2."/>
        <w:lvlJc w:val="left"/>
        <w:pPr>
          <w:ind w:left="720" w:hanging="360"/>
        </w:pPr>
        <w:rPr>
          <w:rFonts w:ascii="Arial" w:hAnsi="Arial" w:hint="default"/>
          <w:color w:val="auto"/>
          <w:sz w:val="20"/>
        </w:rPr>
      </w:lvl>
    </w:lvlOverride>
    <w:lvlOverride w:ilvl="2">
      <w:startOverride w:val="1"/>
      <w:lvl w:ilvl="2">
        <w:start w:val="1"/>
        <w:numFmt w:val="lowerRoman"/>
        <w:pStyle w:val="ListNumber3"/>
        <w:lvlText w:val="%3."/>
        <w:lvlJc w:val="left"/>
        <w:pPr>
          <w:ind w:left="1080" w:hanging="360"/>
        </w:pPr>
        <w:rPr>
          <w:rFonts w:ascii="Arial" w:hAnsi="Arial" w:hint="default"/>
          <w:color w:val="auto"/>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72" w16cid:durableId="483084450">
    <w:abstractNumId w:val="7"/>
  </w:num>
  <w:num w:numId="73" w16cid:durableId="391780832">
    <w:abstractNumId w:val="30"/>
  </w:num>
  <w:num w:numId="74" w16cid:durableId="19059489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220630431">
    <w:abstractNumId w:val="3"/>
  </w:num>
  <w:num w:numId="76" w16cid:durableId="1069765826">
    <w:abstractNumId w:val="52"/>
  </w:num>
  <w:num w:numId="77" w16cid:durableId="401876642">
    <w:abstractNumId w:val="1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wNzE3sTSzMDEyMjCyMDZU0lEKTi0uzszPAykwrgUA5MdhVywAAAA="/>
  </w:docVars>
  <w:rsids>
    <w:rsidRoot w:val="00802B85"/>
    <w:rsid w:val="00000122"/>
    <w:rsid w:val="00000246"/>
    <w:rsid w:val="000003E7"/>
    <w:rsid w:val="000005FD"/>
    <w:rsid w:val="00000A64"/>
    <w:rsid w:val="00000D43"/>
    <w:rsid w:val="00001245"/>
    <w:rsid w:val="000012C8"/>
    <w:rsid w:val="0000138A"/>
    <w:rsid w:val="00001759"/>
    <w:rsid w:val="00001837"/>
    <w:rsid w:val="00002035"/>
    <w:rsid w:val="00002525"/>
    <w:rsid w:val="00002543"/>
    <w:rsid w:val="00002711"/>
    <w:rsid w:val="00002B6A"/>
    <w:rsid w:val="00002BC6"/>
    <w:rsid w:val="00002CA7"/>
    <w:rsid w:val="00003131"/>
    <w:rsid w:val="000031AD"/>
    <w:rsid w:val="000032A7"/>
    <w:rsid w:val="0000353E"/>
    <w:rsid w:val="00003619"/>
    <w:rsid w:val="00003713"/>
    <w:rsid w:val="00003763"/>
    <w:rsid w:val="00003808"/>
    <w:rsid w:val="0000397F"/>
    <w:rsid w:val="00003C2D"/>
    <w:rsid w:val="000041C7"/>
    <w:rsid w:val="00004373"/>
    <w:rsid w:val="000043FF"/>
    <w:rsid w:val="00004687"/>
    <w:rsid w:val="000049E6"/>
    <w:rsid w:val="00004D8F"/>
    <w:rsid w:val="000055EC"/>
    <w:rsid w:val="0000581D"/>
    <w:rsid w:val="000058E9"/>
    <w:rsid w:val="00005A79"/>
    <w:rsid w:val="00005B2F"/>
    <w:rsid w:val="00005BFC"/>
    <w:rsid w:val="00005C4C"/>
    <w:rsid w:val="00005DD4"/>
    <w:rsid w:val="00005E5F"/>
    <w:rsid w:val="00005ECE"/>
    <w:rsid w:val="000060EA"/>
    <w:rsid w:val="00006595"/>
    <w:rsid w:val="00006B9A"/>
    <w:rsid w:val="00006BD5"/>
    <w:rsid w:val="00006CE0"/>
    <w:rsid w:val="00006D85"/>
    <w:rsid w:val="000070C9"/>
    <w:rsid w:val="00007503"/>
    <w:rsid w:val="000077F4"/>
    <w:rsid w:val="00007A05"/>
    <w:rsid w:val="000100BF"/>
    <w:rsid w:val="0001045F"/>
    <w:rsid w:val="00010BC1"/>
    <w:rsid w:val="00011134"/>
    <w:rsid w:val="00011665"/>
    <w:rsid w:val="0001169E"/>
    <w:rsid w:val="0001207E"/>
    <w:rsid w:val="000121EB"/>
    <w:rsid w:val="000129B4"/>
    <w:rsid w:val="00012B01"/>
    <w:rsid w:val="000131AC"/>
    <w:rsid w:val="0001365E"/>
    <w:rsid w:val="000137D2"/>
    <w:rsid w:val="00013C24"/>
    <w:rsid w:val="00013D89"/>
    <w:rsid w:val="00013EB8"/>
    <w:rsid w:val="0001408B"/>
    <w:rsid w:val="00014357"/>
    <w:rsid w:val="000143FF"/>
    <w:rsid w:val="0001447B"/>
    <w:rsid w:val="00014725"/>
    <w:rsid w:val="00014E7A"/>
    <w:rsid w:val="00014F74"/>
    <w:rsid w:val="000153FE"/>
    <w:rsid w:val="000157A9"/>
    <w:rsid w:val="0001585D"/>
    <w:rsid w:val="0001594A"/>
    <w:rsid w:val="00015EEA"/>
    <w:rsid w:val="000167F2"/>
    <w:rsid w:val="0001681F"/>
    <w:rsid w:val="00016911"/>
    <w:rsid w:val="00016A32"/>
    <w:rsid w:val="00016D00"/>
    <w:rsid w:val="00016F17"/>
    <w:rsid w:val="00017066"/>
    <w:rsid w:val="0001770C"/>
    <w:rsid w:val="00017B6A"/>
    <w:rsid w:val="00017E0B"/>
    <w:rsid w:val="00020762"/>
    <w:rsid w:val="00020BE8"/>
    <w:rsid w:val="00021631"/>
    <w:rsid w:val="000216AA"/>
    <w:rsid w:val="00021741"/>
    <w:rsid w:val="00021BBD"/>
    <w:rsid w:val="00021D77"/>
    <w:rsid w:val="0002206D"/>
    <w:rsid w:val="00022984"/>
    <w:rsid w:val="00022BA9"/>
    <w:rsid w:val="00022EC4"/>
    <w:rsid w:val="00023060"/>
    <w:rsid w:val="0002354B"/>
    <w:rsid w:val="000241C7"/>
    <w:rsid w:val="000246A1"/>
    <w:rsid w:val="000247DD"/>
    <w:rsid w:val="00024960"/>
    <w:rsid w:val="00024AF5"/>
    <w:rsid w:val="00024BC4"/>
    <w:rsid w:val="000259E7"/>
    <w:rsid w:val="00025EB3"/>
    <w:rsid w:val="000260D8"/>
    <w:rsid w:val="00026632"/>
    <w:rsid w:val="00026830"/>
    <w:rsid w:val="00026870"/>
    <w:rsid w:val="00026E60"/>
    <w:rsid w:val="000270BF"/>
    <w:rsid w:val="0002738A"/>
    <w:rsid w:val="000279B8"/>
    <w:rsid w:val="00027BC5"/>
    <w:rsid w:val="00027D3D"/>
    <w:rsid w:val="00027D98"/>
    <w:rsid w:val="00027E19"/>
    <w:rsid w:val="00030361"/>
    <w:rsid w:val="00030AEC"/>
    <w:rsid w:val="00030E36"/>
    <w:rsid w:val="00030EFB"/>
    <w:rsid w:val="000310F1"/>
    <w:rsid w:val="00031238"/>
    <w:rsid w:val="000316C3"/>
    <w:rsid w:val="000316C5"/>
    <w:rsid w:val="00031B7C"/>
    <w:rsid w:val="00031E19"/>
    <w:rsid w:val="00031FAA"/>
    <w:rsid w:val="00032AF2"/>
    <w:rsid w:val="000331C6"/>
    <w:rsid w:val="000334F4"/>
    <w:rsid w:val="00033764"/>
    <w:rsid w:val="000339F0"/>
    <w:rsid w:val="00033B0A"/>
    <w:rsid w:val="00033F1A"/>
    <w:rsid w:val="0003407E"/>
    <w:rsid w:val="0003445E"/>
    <w:rsid w:val="0003456E"/>
    <w:rsid w:val="00034B50"/>
    <w:rsid w:val="00034CC6"/>
    <w:rsid w:val="0003506C"/>
    <w:rsid w:val="00035625"/>
    <w:rsid w:val="00035F76"/>
    <w:rsid w:val="000362A7"/>
    <w:rsid w:val="000363B0"/>
    <w:rsid w:val="0003650A"/>
    <w:rsid w:val="00036A80"/>
    <w:rsid w:val="00036DA3"/>
    <w:rsid w:val="00037A72"/>
    <w:rsid w:val="00037D45"/>
    <w:rsid w:val="00037E53"/>
    <w:rsid w:val="000404BB"/>
    <w:rsid w:val="00040771"/>
    <w:rsid w:val="000408EB"/>
    <w:rsid w:val="00040A6D"/>
    <w:rsid w:val="00040CFE"/>
    <w:rsid w:val="00040DEE"/>
    <w:rsid w:val="00040E4D"/>
    <w:rsid w:val="00040EB0"/>
    <w:rsid w:val="00041051"/>
    <w:rsid w:val="00041748"/>
    <w:rsid w:val="00041760"/>
    <w:rsid w:val="000419F4"/>
    <w:rsid w:val="00041B44"/>
    <w:rsid w:val="000421EB"/>
    <w:rsid w:val="0004226E"/>
    <w:rsid w:val="00042414"/>
    <w:rsid w:val="00042477"/>
    <w:rsid w:val="00042850"/>
    <w:rsid w:val="00042C4E"/>
    <w:rsid w:val="0004316C"/>
    <w:rsid w:val="000435DD"/>
    <w:rsid w:val="00043A9F"/>
    <w:rsid w:val="00043AC8"/>
    <w:rsid w:val="00043C75"/>
    <w:rsid w:val="00043D5C"/>
    <w:rsid w:val="000440B3"/>
    <w:rsid w:val="0004415E"/>
    <w:rsid w:val="000444E0"/>
    <w:rsid w:val="00044588"/>
    <w:rsid w:val="000445C7"/>
    <w:rsid w:val="0004497B"/>
    <w:rsid w:val="00044BD4"/>
    <w:rsid w:val="00044E7E"/>
    <w:rsid w:val="00045628"/>
    <w:rsid w:val="00045655"/>
    <w:rsid w:val="00045CF5"/>
    <w:rsid w:val="00045D45"/>
    <w:rsid w:val="00045FC8"/>
    <w:rsid w:val="00045FDA"/>
    <w:rsid w:val="000461D6"/>
    <w:rsid w:val="000465E0"/>
    <w:rsid w:val="00046744"/>
    <w:rsid w:val="000467AB"/>
    <w:rsid w:val="000471A9"/>
    <w:rsid w:val="000473CF"/>
    <w:rsid w:val="00047671"/>
    <w:rsid w:val="000478A8"/>
    <w:rsid w:val="00047FFA"/>
    <w:rsid w:val="0005009F"/>
    <w:rsid w:val="00050148"/>
    <w:rsid w:val="000501B3"/>
    <w:rsid w:val="00050A19"/>
    <w:rsid w:val="00051393"/>
    <w:rsid w:val="00051941"/>
    <w:rsid w:val="00051D4F"/>
    <w:rsid w:val="00051DCA"/>
    <w:rsid w:val="00051FAD"/>
    <w:rsid w:val="00052091"/>
    <w:rsid w:val="00052360"/>
    <w:rsid w:val="00052444"/>
    <w:rsid w:val="00052C30"/>
    <w:rsid w:val="00052F7C"/>
    <w:rsid w:val="000532D2"/>
    <w:rsid w:val="00053E6F"/>
    <w:rsid w:val="00053ECF"/>
    <w:rsid w:val="000542A9"/>
    <w:rsid w:val="000546C8"/>
    <w:rsid w:val="00054786"/>
    <w:rsid w:val="00054B1E"/>
    <w:rsid w:val="0005555C"/>
    <w:rsid w:val="0005556B"/>
    <w:rsid w:val="000555A9"/>
    <w:rsid w:val="00055860"/>
    <w:rsid w:val="0005589A"/>
    <w:rsid w:val="000564AD"/>
    <w:rsid w:val="0005669E"/>
    <w:rsid w:val="000568AE"/>
    <w:rsid w:val="00056A5D"/>
    <w:rsid w:val="00056FEE"/>
    <w:rsid w:val="0005748F"/>
    <w:rsid w:val="000574B7"/>
    <w:rsid w:val="00057578"/>
    <w:rsid w:val="000578ED"/>
    <w:rsid w:val="00057EDB"/>
    <w:rsid w:val="0006031F"/>
    <w:rsid w:val="000609F7"/>
    <w:rsid w:val="00060ACD"/>
    <w:rsid w:val="000611DC"/>
    <w:rsid w:val="0006144C"/>
    <w:rsid w:val="000616BD"/>
    <w:rsid w:val="00061DD5"/>
    <w:rsid w:val="00061E80"/>
    <w:rsid w:val="00061EB3"/>
    <w:rsid w:val="00062336"/>
    <w:rsid w:val="00062405"/>
    <w:rsid w:val="00062645"/>
    <w:rsid w:val="000632EF"/>
    <w:rsid w:val="00063381"/>
    <w:rsid w:val="00063574"/>
    <w:rsid w:val="000637CC"/>
    <w:rsid w:val="00063B52"/>
    <w:rsid w:val="000640C1"/>
    <w:rsid w:val="000641D0"/>
    <w:rsid w:val="000642A6"/>
    <w:rsid w:val="00064DDB"/>
    <w:rsid w:val="00064FA3"/>
    <w:rsid w:val="0006522E"/>
    <w:rsid w:val="00065640"/>
    <w:rsid w:val="000657F7"/>
    <w:rsid w:val="0006656B"/>
    <w:rsid w:val="00066573"/>
    <w:rsid w:val="00066A9B"/>
    <w:rsid w:val="00066AD3"/>
    <w:rsid w:val="00066B58"/>
    <w:rsid w:val="00066CB7"/>
    <w:rsid w:val="00066D03"/>
    <w:rsid w:val="00067019"/>
    <w:rsid w:val="0006712B"/>
    <w:rsid w:val="000671A1"/>
    <w:rsid w:val="00067270"/>
    <w:rsid w:val="00067480"/>
    <w:rsid w:val="0006754E"/>
    <w:rsid w:val="00067915"/>
    <w:rsid w:val="00067BCD"/>
    <w:rsid w:val="00067D1F"/>
    <w:rsid w:val="00067D74"/>
    <w:rsid w:val="0007041E"/>
    <w:rsid w:val="000704A6"/>
    <w:rsid w:val="00070933"/>
    <w:rsid w:val="000711C3"/>
    <w:rsid w:val="00071CE3"/>
    <w:rsid w:val="000723E5"/>
    <w:rsid w:val="00072564"/>
    <w:rsid w:val="0007279F"/>
    <w:rsid w:val="00072C59"/>
    <w:rsid w:val="00072C93"/>
    <w:rsid w:val="00073624"/>
    <w:rsid w:val="00073985"/>
    <w:rsid w:val="00073A87"/>
    <w:rsid w:val="00073E33"/>
    <w:rsid w:val="00074453"/>
    <w:rsid w:val="00074815"/>
    <w:rsid w:val="00074A02"/>
    <w:rsid w:val="00074FDE"/>
    <w:rsid w:val="000758B0"/>
    <w:rsid w:val="00075AF6"/>
    <w:rsid w:val="00075C89"/>
    <w:rsid w:val="000762EE"/>
    <w:rsid w:val="0007692A"/>
    <w:rsid w:val="000772BB"/>
    <w:rsid w:val="00077391"/>
    <w:rsid w:val="00077B8A"/>
    <w:rsid w:val="00077CA0"/>
    <w:rsid w:val="00080089"/>
    <w:rsid w:val="0008020D"/>
    <w:rsid w:val="0008036E"/>
    <w:rsid w:val="00080389"/>
    <w:rsid w:val="000803B6"/>
    <w:rsid w:val="00080B33"/>
    <w:rsid w:val="00080E18"/>
    <w:rsid w:val="00080E71"/>
    <w:rsid w:val="00081043"/>
    <w:rsid w:val="00081327"/>
    <w:rsid w:val="0008147B"/>
    <w:rsid w:val="00081753"/>
    <w:rsid w:val="00081784"/>
    <w:rsid w:val="00081E2F"/>
    <w:rsid w:val="0008202E"/>
    <w:rsid w:val="00082383"/>
    <w:rsid w:val="000828E6"/>
    <w:rsid w:val="0008294A"/>
    <w:rsid w:val="000829EC"/>
    <w:rsid w:val="00082BDD"/>
    <w:rsid w:val="00082E6C"/>
    <w:rsid w:val="00083231"/>
    <w:rsid w:val="000833F9"/>
    <w:rsid w:val="0008342A"/>
    <w:rsid w:val="00083A92"/>
    <w:rsid w:val="00083D79"/>
    <w:rsid w:val="00084127"/>
    <w:rsid w:val="000841E3"/>
    <w:rsid w:val="0008424D"/>
    <w:rsid w:val="000847C9"/>
    <w:rsid w:val="00084C30"/>
    <w:rsid w:val="00084CA6"/>
    <w:rsid w:val="00084E2F"/>
    <w:rsid w:val="000854C1"/>
    <w:rsid w:val="00085658"/>
    <w:rsid w:val="00085974"/>
    <w:rsid w:val="00085AA2"/>
    <w:rsid w:val="00085D7B"/>
    <w:rsid w:val="00085F25"/>
    <w:rsid w:val="0008690A"/>
    <w:rsid w:val="00086A8F"/>
    <w:rsid w:val="000871ED"/>
    <w:rsid w:val="000872C3"/>
    <w:rsid w:val="00087469"/>
    <w:rsid w:val="00087762"/>
    <w:rsid w:val="000879B2"/>
    <w:rsid w:val="00087C7D"/>
    <w:rsid w:val="00087F6B"/>
    <w:rsid w:val="0009041E"/>
    <w:rsid w:val="000904AD"/>
    <w:rsid w:val="00090775"/>
    <w:rsid w:val="00090B32"/>
    <w:rsid w:val="00090E90"/>
    <w:rsid w:val="00090F86"/>
    <w:rsid w:val="000910D1"/>
    <w:rsid w:val="000915AE"/>
    <w:rsid w:val="00091CC8"/>
    <w:rsid w:val="00091D83"/>
    <w:rsid w:val="00091DA7"/>
    <w:rsid w:val="00092D69"/>
    <w:rsid w:val="00092E54"/>
    <w:rsid w:val="00092F81"/>
    <w:rsid w:val="00093021"/>
    <w:rsid w:val="00093AC5"/>
    <w:rsid w:val="00093F1A"/>
    <w:rsid w:val="0009436B"/>
    <w:rsid w:val="00094844"/>
    <w:rsid w:val="0009508E"/>
    <w:rsid w:val="0009521B"/>
    <w:rsid w:val="000952FD"/>
    <w:rsid w:val="00095514"/>
    <w:rsid w:val="00095558"/>
    <w:rsid w:val="000955D2"/>
    <w:rsid w:val="00095A89"/>
    <w:rsid w:val="00095C43"/>
    <w:rsid w:val="00095D7D"/>
    <w:rsid w:val="00096084"/>
    <w:rsid w:val="00096365"/>
    <w:rsid w:val="0009644B"/>
    <w:rsid w:val="00096577"/>
    <w:rsid w:val="000966A7"/>
    <w:rsid w:val="00096841"/>
    <w:rsid w:val="00096F11"/>
    <w:rsid w:val="000979C4"/>
    <w:rsid w:val="00097D67"/>
    <w:rsid w:val="00097EC0"/>
    <w:rsid w:val="00097ECC"/>
    <w:rsid w:val="000A025D"/>
    <w:rsid w:val="000A0272"/>
    <w:rsid w:val="000A0C7E"/>
    <w:rsid w:val="000A111F"/>
    <w:rsid w:val="000A12A9"/>
    <w:rsid w:val="000A141D"/>
    <w:rsid w:val="000A1E10"/>
    <w:rsid w:val="000A2139"/>
    <w:rsid w:val="000A23F3"/>
    <w:rsid w:val="000A245D"/>
    <w:rsid w:val="000A2D2E"/>
    <w:rsid w:val="000A2D87"/>
    <w:rsid w:val="000A33F6"/>
    <w:rsid w:val="000A398D"/>
    <w:rsid w:val="000A3A66"/>
    <w:rsid w:val="000A3B22"/>
    <w:rsid w:val="000A3BB9"/>
    <w:rsid w:val="000A4B30"/>
    <w:rsid w:val="000A4D2F"/>
    <w:rsid w:val="000A4DCB"/>
    <w:rsid w:val="000A4F7A"/>
    <w:rsid w:val="000A51B9"/>
    <w:rsid w:val="000A53F7"/>
    <w:rsid w:val="000A5428"/>
    <w:rsid w:val="000A5471"/>
    <w:rsid w:val="000A54B6"/>
    <w:rsid w:val="000A555A"/>
    <w:rsid w:val="000A5746"/>
    <w:rsid w:val="000A5769"/>
    <w:rsid w:val="000A57D0"/>
    <w:rsid w:val="000A594E"/>
    <w:rsid w:val="000A5E91"/>
    <w:rsid w:val="000A5F7E"/>
    <w:rsid w:val="000A658E"/>
    <w:rsid w:val="000A682E"/>
    <w:rsid w:val="000A6C2B"/>
    <w:rsid w:val="000A709D"/>
    <w:rsid w:val="000A740F"/>
    <w:rsid w:val="000A741D"/>
    <w:rsid w:val="000A7E10"/>
    <w:rsid w:val="000A7F33"/>
    <w:rsid w:val="000B0504"/>
    <w:rsid w:val="000B05A6"/>
    <w:rsid w:val="000B0C49"/>
    <w:rsid w:val="000B1241"/>
    <w:rsid w:val="000B160F"/>
    <w:rsid w:val="000B17BC"/>
    <w:rsid w:val="000B1A4D"/>
    <w:rsid w:val="000B1B05"/>
    <w:rsid w:val="000B1E12"/>
    <w:rsid w:val="000B237F"/>
    <w:rsid w:val="000B2BAB"/>
    <w:rsid w:val="000B2C33"/>
    <w:rsid w:val="000B3542"/>
    <w:rsid w:val="000B3627"/>
    <w:rsid w:val="000B36A9"/>
    <w:rsid w:val="000B370D"/>
    <w:rsid w:val="000B3809"/>
    <w:rsid w:val="000B38F4"/>
    <w:rsid w:val="000B3B0C"/>
    <w:rsid w:val="000B3B79"/>
    <w:rsid w:val="000B4483"/>
    <w:rsid w:val="000B478D"/>
    <w:rsid w:val="000B48FE"/>
    <w:rsid w:val="000B49E6"/>
    <w:rsid w:val="000B4A14"/>
    <w:rsid w:val="000B4AFA"/>
    <w:rsid w:val="000B4D39"/>
    <w:rsid w:val="000B4DC3"/>
    <w:rsid w:val="000B5310"/>
    <w:rsid w:val="000B53CC"/>
    <w:rsid w:val="000B57BD"/>
    <w:rsid w:val="000B591F"/>
    <w:rsid w:val="000B5AE4"/>
    <w:rsid w:val="000B5BB6"/>
    <w:rsid w:val="000B5EAE"/>
    <w:rsid w:val="000B616B"/>
    <w:rsid w:val="000B6177"/>
    <w:rsid w:val="000B67D4"/>
    <w:rsid w:val="000B71AD"/>
    <w:rsid w:val="000B72C4"/>
    <w:rsid w:val="000C0303"/>
    <w:rsid w:val="000C0A4D"/>
    <w:rsid w:val="000C1067"/>
    <w:rsid w:val="000C114A"/>
    <w:rsid w:val="000C13E9"/>
    <w:rsid w:val="000C14DA"/>
    <w:rsid w:val="000C1A88"/>
    <w:rsid w:val="000C1AF7"/>
    <w:rsid w:val="000C1ECE"/>
    <w:rsid w:val="000C1F0F"/>
    <w:rsid w:val="000C201E"/>
    <w:rsid w:val="000C28D2"/>
    <w:rsid w:val="000C29EC"/>
    <w:rsid w:val="000C31B7"/>
    <w:rsid w:val="000C3AC5"/>
    <w:rsid w:val="000C3E1F"/>
    <w:rsid w:val="000C4025"/>
    <w:rsid w:val="000C42D6"/>
    <w:rsid w:val="000C4360"/>
    <w:rsid w:val="000C495F"/>
    <w:rsid w:val="000C54AD"/>
    <w:rsid w:val="000C55B2"/>
    <w:rsid w:val="000C5864"/>
    <w:rsid w:val="000C5A15"/>
    <w:rsid w:val="000C5DC4"/>
    <w:rsid w:val="000C60D1"/>
    <w:rsid w:val="000C629D"/>
    <w:rsid w:val="000C6884"/>
    <w:rsid w:val="000C6950"/>
    <w:rsid w:val="000C6F5D"/>
    <w:rsid w:val="000C75EA"/>
    <w:rsid w:val="000C76A2"/>
    <w:rsid w:val="000C77ED"/>
    <w:rsid w:val="000D02FA"/>
    <w:rsid w:val="000D033C"/>
    <w:rsid w:val="000D037C"/>
    <w:rsid w:val="000D0686"/>
    <w:rsid w:val="000D06BC"/>
    <w:rsid w:val="000D0809"/>
    <w:rsid w:val="000D11EC"/>
    <w:rsid w:val="000D1470"/>
    <w:rsid w:val="000D1846"/>
    <w:rsid w:val="000D2084"/>
    <w:rsid w:val="000D2695"/>
    <w:rsid w:val="000D285A"/>
    <w:rsid w:val="000D32BB"/>
    <w:rsid w:val="000D33AE"/>
    <w:rsid w:val="000D367C"/>
    <w:rsid w:val="000D3AB1"/>
    <w:rsid w:val="000D3E73"/>
    <w:rsid w:val="000D423D"/>
    <w:rsid w:val="000D458F"/>
    <w:rsid w:val="000D465F"/>
    <w:rsid w:val="000D46D7"/>
    <w:rsid w:val="000D4752"/>
    <w:rsid w:val="000D481C"/>
    <w:rsid w:val="000D4A4D"/>
    <w:rsid w:val="000D54B4"/>
    <w:rsid w:val="000D5786"/>
    <w:rsid w:val="000D592D"/>
    <w:rsid w:val="000D596E"/>
    <w:rsid w:val="000D5DC8"/>
    <w:rsid w:val="000D5FAB"/>
    <w:rsid w:val="000D6020"/>
    <w:rsid w:val="000D6E37"/>
    <w:rsid w:val="000D7007"/>
    <w:rsid w:val="000D7275"/>
    <w:rsid w:val="000D731C"/>
    <w:rsid w:val="000D7378"/>
    <w:rsid w:val="000D77D0"/>
    <w:rsid w:val="000D7E79"/>
    <w:rsid w:val="000E002D"/>
    <w:rsid w:val="000E01FF"/>
    <w:rsid w:val="000E0261"/>
    <w:rsid w:val="000E0A63"/>
    <w:rsid w:val="000E1650"/>
    <w:rsid w:val="000E173D"/>
    <w:rsid w:val="000E1773"/>
    <w:rsid w:val="000E1A4B"/>
    <w:rsid w:val="000E1C0A"/>
    <w:rsid w:val="000E1DAB"/>
    <w:rsid w:val="000E1E2D"/>
    <w:rsid w:val="000E22BE"/>
    <w:rsid w:val="000E2523"/>
    <w:rsid w:val="000E28A2"/>
    <w:rsid w:val="000E2B27"/>
    <w:rsid w:val="000E2B29"/>
    <w:rsid w:val="000E2C04"/>
    <w:rsid w:val="000E330F"/>
    <w:rsid w:val="000E3744"/>
    <w:rsid w:val="000E3828"/>
    <w:rsid w:val="000E3D6C"/>
    <w:rsid w:val="000E43D8"/>
    <w:rsid w:val="000E443F"/>
    <w:rsid w:val="000E4889"/>
    <w:rsid w:val="000E4DA5"/>
    <w:rsid w:val="000E4EEF"/>
    <w:rsid w:val="000E4F5C"/>
    <w:rsid w:val="000E4FDE"/>
    <w:rsid w:val="000E50D6"/>
    <w:rsid w:val="000E5232"/>
    <w:rsid w:val="000E54C7"/>
    <w:rsid w:val="000E5528"/>
    <w:rsid w:val="000E5843"/>
    <w:rsid w:val="000E585D"/>
    <w:rsid w:val="000E63F2"/>
    <w:rsid w:val="000E6663"/>
    <w:rsid w:val="000E685D"/>
    <w:rsid w:val="000E6880"/>
    <w:rsid w:val="000E6EC3"/>
    <w:rsid w:val="000E6EE7"/>
    <w:rsid w:val="000E6F42"/>
    <w:rsid w:val="000E7037"/>
    <w:rsid w:val="000F01C4"/>
    <w:rsid w:val="000F028A"/>
    <w:rsid w:val="000F0543"/>
    <w:rsid w:val="000F0737"/>
    <w:rsid w:val="000F084F"/>
    <w:rsid w:val="000F0C85"/>
    <w:rsid w:val="000F0CA9"/>
    <w:rsid w:val="000F0D1F"/>
    <w:rsid w:val="000F0D8C"/>
    <w:rsid w:val="000F0D98"/>
    <w:rsid w:val="000F10B4"/>
    <w:rsid w:val="000F13A5"/>
    <w:rsid w:val="000F148C"/>
    <w:rsid w:val="000F1A9C"/>
    <w:rsid w:val="000F2064"/>
    <w:rsid w:val="000F2269"/>
    <w:rsid w:val="000F25C3"/>
    <w:rsid w:val="000F25D8"/>
    <w:rsid w:val="000F2676"/>
    <w:rsid w:val="000F2D14"/>
    <w:rsid w:val="000F3228"/>
    <w:rsid w:val="000F33E9"/>
    <w:rsid w:val="000F3711"/>
    <w:rsid w:val="000F3731"/>
    <w:rsid w:val="000F376B"/>
    <w:rsid w:val="000F3917"/>
    <w:rsid w:val="000F3C21"/>
    <w:rsid w:val="000F4057"/>
    <w:rsid w:val="000F4579"/>
    <w:rsid w:val="000F46A9"/>
    <w:rsid w:val="000F4D0F"/>
    <w:rsid w:val="000F4EF1"/>
    <w:rsid w:val="000F5B44"/>
    <w:rsid w:val="000F5BBE"/>
    <w:rsid w:val="000F66F6"/>
    <w:rsid w:val="000F6C28"/>
    <w:rsid w:val="000F6D5C"/>
    <w:rsid w:val="000F74D1"/>
    <w:rsid w:val="000F77DF"/>
    <w:rsid w:val="000F7B33"/>
    <w:rsid w:val="00100032"/>
    <w:rsid w:val="0010020B"/>
    <w:rsid w:val="0010032E"/>
    <w:rsid w:val="0010079B"/>
    <w:rsid w:val="00100A25"/>
    <w:rsid w:val="00100EE2"/>
    <w:rsid w:val="00100EF4"/>
    <w:rsid w:val="00101F58"/>
    <w:rsid w:val="0010267E"/>
    <w:rsid w:val="00102BBF"/>
    <w:rsid w:val="00102F78"/>
    <w:rsid w:val="001031E7"/>
    <w:rsid w:val="00103285"/>
    <w:rsid w:val="00103355"/>
    <w:rsid w:val="00103545"/>
    <w:rsid w:val="00103A67"/>
    <w:rsid w:val="00103E9B"/>
    <w:rsid w:val="001040F2"/>
    <w:rsid w:val="00104750"/>
    <w:rsid w:val="0010477B"/>
    <w:rsid w:val="00104824"/>
    <w:rsid w:val="00105030"/>
    <w:rsid w:val="001056BE"/>
    <w:rsid w:val="001057A3"/>
    <w:rsid w:val="0010619C"/>
    <w:rsid w:val="00106208"/>
    <w:rsid w:val="00106661"/>
    <w:rsid w:val="00106758"/>
    <w:rsid w:val="001072C8"/>
    <w:rsid w:val="001072E4"/>
    <w:rsid w:val="00107865"/>
    <w:rsid w:val="001079CA"/>
    <w:rsid w:val="00107AD1"/>
    <w:rsid w:val="00107D7F"/>
    <w:rsid w:val="001103B7"/>
    <w:rsid w:val="00110941"/>
    <w:rsid w:val="00110945"/>
    <w:rsid w:val="00110DB9"/>
    <w:rsid w:val="00110E4E"/>
    <w:rsid w:val="001111BF"/>
    <w:rsid w:val="001111CA"/>
    <w:rsid w:val="001116FB"/>
    <w:rsid w:val="00111721"/>
    <w:rsid w:val="00111869"/>
    <w:rsid w:val="00111DC7"/>
    <w:rsid w:val="00112241"/>
    <w:rsid w:val="001122E0"/>
    <w:rsid w:val="001126BF"/>
    <w:rsid w:val="001127D3"/>
    <w:rsid w:val="00112ACC"/>
    <w:rsid w:val="00112B44"/>
    <w:rsid w:val="00113335"/>
    <w:rsid w:val="001134AC"/>
    <w:rsid w:val="00113881"/>
    <w:rsid w:val="00113AB5"/>
    <w:rsid w:val="00113BB4"/>
    <w:rsid w:val="00114171"/>
    <w:rsid w:val="0011453A"/>
    <w:rsid w:val="00114589"/>
    <w:rsid w:val="00114714"/>
    <w:rsid w:val="00114902"/>
    <w:rsid w:val="0011528B"/>
    <w:rsid w:val="001158E0"/>
    <w:rsid w:val="00116310"/>
    <w:rsid w:val="00116A3F"/>
    <w:rsid w:val="00117476"/>
    <w:rsid w:val="0011760C"/>
    <w:rsid w:val="0011774B"/>
    <w:rsid w:val="00117758"/>
    <w:rsid w:val="001178A7"/>
    <w:rsid w:val="00117960"/>
    <w:rsid w:val="00117A07"/>
    <w:rsid w:val="00117D54"/>
    <w:rsid w:val="00117F24"/>
    <w:rsid w:val="00117F81"/>
    <w:rsid w:val="0012020A"/>
    <w:rsid w:val="00120C92"/>
    <w:rsid w:val="00120E1A"/>
    <w:rsid w:val="00120F70"/>
    <w:rsid w:val="0012122D"/>
    <w:rsid w:val="0012191B"/>
    <w:rsid w:val="00121922"/>
    <w:rsid w:val="00121950"/>
    <w:rsid w:val="00121D0B"/>
    <w:rsid w:val="00121EED"/>
    <w:rsid w:val="00122601"/>
    <w:rsid w:val="00122780"/>
    <w:rsid w:val="0012286D"/>
    <w:rsid w:val="00122F91"/>
    <w:rsid w:val="00122FF3"/>
    <w:rsid w:val="001231A5"/>
    <w:rsid w:val="0012350B"/>
    <w:rsid w:val="001236E1"/>
    <w:rsid w:val="00123B53"/>
    <w:rsid w:val="00123C44"/>
    <w:rsid w:val="00123EBF"/>
    <w:rsid w:val="00123FCF"/>
    <w:rsid w:val="00124449"/>
    <w:rsid w:val="0012458D"/>
    <w:rsid w:val="00124719"/>
    <w:rsid w:val="00124B69"/>
    <w:rsid w:val="00124FF4"/>
    <w:rsid w:val="00125206"/>
    <w:rsid w:val="00125243"/>
    <w:rsid w:val="00125355"/>
    <w:rsid w:val="00125660"/>
    <w:rsid w:val="001257BA"/>
    <w:rsid w:val="00125F7F"/>
    <w:rsid w:val="00126003"/>
    <w:rsid w:val="0012661F"/>
    <w:rsid w:val="0012671D"/>
    <w:rsid w:val="00126858"/>
    <w:rsid w:val="00126968"/>
    <w:rsid w:val="00126B22"/>
    <w:rsid w:val="00126D27"/>
    <w:rsid w:val="00126ED9"/>
    <w:rsid w:val="0012700F"/>
    <w:rsid w:val="00127120"/>
    <w:rsid w:val="00127621"/>
    <w:rsid w:val="001278FE"/>
    <w:rsid w:val="0012797C"/>
    <w:rsid w:val="00127B9A"/>
    <w:rsid w:val="00127F9F"/>
    <w:rsid w:val="00130031"/>
    <w:rsid w:val="00130397"/>
    <w:rsid w:val="0013077D"/>
    <w:rsid w:val="00130942"/>
    <w:rsid w:val="00130B5B"/>
    <w:rsid w:val="00131327"/>
    <w:rsid w:val="001313C3"/>
    <w:rsid w:val="00131624"/>
    <w:rsid w:val="0013190D"/>
    <w:rsid w:val="001319C7"/>
    <w:rsid w:val="00131C8E"/>
    <w:rsid w:val="00131E53"/>
    <w:rsid w:val="001326AA"/>
    <w:rsid w:val="00132A32"/>
    <w:rsid w:val="00132EF6"/>
    <w:rsid w:val="0013305B"/>
    <w:rsid w:val="00133314"/>
    <w:rsid w:val="00133447"/>
    <w:rsid w:val="001336B4"/>
    <w:rsid w:val="00133FA0"/>
    <w:rsid w:val="0013433E"/>
    <w:rsid w:val="001346AE"/>
    <w:rsid w:val="0013566D"/>
    <w:rsid w:val="001357DF"/>
    <w:rsid w:val="00135D62"/>
    <w:rsid w:val="00135E4B"/>
    <w:rsid w:val="00135E94"/>
    <w:rsid w:val="00136133"/>
    <w:rsid w:val="001362F6"/>
    <w:rsid w:val="001365B6"/>
    <w:rsid w:val="00136B7C"/>
    <w:rsid w:val="00136CF9"/>
    <w:rsid w:val="00136EDF"/>
    <w:rsid w:val="001372A7"/>
    <w:rsid w:val="00137411"/>
    <w:rsid w:val="001379E9"/>
    <w:rsid w:val="00137E20"/>
    <w:rsid w:val="00137EFF"/>
    <w:rsid w:val="00140B05"/>
    <w:rsid w:val="00140DC7"/>
    <w:rsid w:val="001411EF"/>
    <w:rsid w:val="001414D2"/>
    <w:rsid w:val="00141595"/>
    <w:rsid w:val="001416E5"/>
    <w:rsid w:val="001418DE"/>
    <w:rsid w:val="00141B1F"/>
    <w:rsid w:val="00141C6D"/>
    <w:rsid w:val="00141C82"/>
    <w:rsid w:val="00141C8B"/>
    <w:rsid w:val="00141F29"/>
    <w:rsid w:val="00142080"/>
    <w:rsid w:val="001424C4"/>
    <w:rsid w:val="00142601"/>
    <w:rsid w:val="0014264A"/>
    <w:rsid w:val="0014266E"/>
    <w:rsid w:val="001430BA"/>
    <w:rsid w:val="001430C8"/>
    <w:rsid w:val="001432EB"/>
    <w:rsid w:val="001433BA"/>
    <w:rsid w:val="001433D0"/>
    <w:rsid w:val="00143A5C"/>
    <w:rsid w:val="00143D66"/>
    <w:rsid w:val="00143F85"/>
    <w:rsid w:val="001444B2"/>
    <w:rsid w:val="00144851"/>
    <w:rsid w:val="00144C83"/>
    <w:rsid w:val="00145138"/>
    <w:rsid w:val="001452D1"/>
    <w:rsid w:val="00145356"/>
    <w:rsid w:val="00145629"/>
    <w:rsid w:val="001457BC"/>
    <w:rsid w:val="00145ADD"/>
    <w:rsid w:val="00145FDF"/>
    <w:rsid w:val="00146007"/>
    <w:rsid w:val="00146130"/>
    <w:rsid w:val="00146135"/>
    <w:rsid w:val="0014626F"/>
    <w:rsid w:val="001463CA"/>
    <w:rsid w:val="001468CA"/>
    <w:rsid w:val="00146B93"/>
    <w:rsid w:val="00146D90"/>
    <w:rsid w:val="00146E6B"/>
    <w:rsid w:val="00146FD2"/>
    <w:rsid w:val="0014718F"/>
    <w:rsid w:val="00147563"/>
    <w:rsid w:val="001475C5"/>
    <w:rsid w:val="00147C6B"/>
    <w:rsid w:val="00147D24"/>
    <w:rsid w:val="001501BD"/>
    <w:rsid w:val="00150735"/>
    <w:rsid w:val="00151010"/>
    <w:rsid w:val="0015122B"/>
    <w:rsid w:val="00151ADB"/>
    <w:rsid w:val="00152030"/>
    <w:rsid w:val="0015207F"/>
    <w:rsid w:val="00152894"/>
    <w:rsid w:val="001529C4"/>
    <w:rsid w:val="00152C25"/>
    <w:rsid w:val="00152EDA"/>
    <w:rsid w:val="0015301C"/>
    <w:rsid w:val="001530E2"/>
    <w:rsid w:val="00153344"/>
    <w:rsid w:val="0015343F"/>
    <w:rsid w:val="00153757"/>
    <w:rsid w:val="00153DE9"/>
    <w:rsid w:val="0015414E"/>
    <w:rsid w:val="001543DC"/>
    <w:rsid w:val="00154B53"/>
    <w:rsid w:val="00154E50"/>
    <w:rsid w:val="00154F78"/>
    <w:rsid w:val="0015531D"/>
    <w:rsid w:val="001555CA"/>
    <w:rsid w:val="00155A7D"/>
    <w:rsid w:val="00155C3C"/>
    <w:rsid w:val="00155E0D"/>
    <w:rsid w:val="0015685D"/>
    <w:rsid w:val="00156911"/>
    <w:rsid w:val="00156DBA"/>
    <w:rsid w:val="0015720C"/>
    <w:rsid w:val="001577EA"/>
    <w:rsid w:val="0015787A"/>
    <w:rsid w:val="00160514"/>
    <w:rsid w:val="00160821"/>
    <w:rsid w:val="00161394"/>
    <w:rsid w:val="001614CB"/>
    <w:rsid w:val="00161E0F"/>
    <w:rsid w:val="00162130"/>
    <w:rsid w:val="0016223C"/>
    <w:rsid w:val="001626E8"/>
    <w:rsid w:val="001626F5"/>
    <w:rsid w:val="00162D83"/>
    <w:rsid w:val="00163073"/>
    <w:rsid w:val="001637CE"/>
    <w:rsid w:val="00163B75"/>
    <w:rsid w:val="0016442A"/>
    <w:rsid w:val="001646CD"/>
    <w:rsid w:val="001650BF"/>
    <w:rsid w:val="00165520"/>
    <w:rsid w:val="00165648"/>
    <w:rsid w:val="001656B3"/>
    <w:rsid w:val="00165D06"/>
    <w:rsid w:val="00166146"/>
    <w:rsid w:val="00166A56"/>
    <w:rsid w:val="00166E42"/>
    <w:rsid w:val="00167456"/>
    <w:rsid w:val="001674D1"/>
    <w:rsid w:val="00167584"/>
    <w:rsid w:val="00167664"/>
    <w:rsid w:val="001676AC"/>
    <w:rsid w:val="001676C8"/>
    <w:rsid w:val="00167C33"/>
    <w:rsid w:val="00167CD5"/>
    <w:rsid w:val="001701F5"/>
    <w:rsid w:val="001703B6"/>
    <w:rsid w:val="001706E2"/>
    <w:rsid w:val="00170DA3"/>
    <w:rsid w:val="00170E1F"/>
    <w:rsid w:val="0017170D"/>
    <w:rsid w:val="00171A71"/>
    <w:rsid w:val="00171C50"/>
    <w:rsid w:val="00171C59"/>
    <w:rsid w:val="00171F6A"/>
    <w:rsid w:val="00172538"/>
    <w:rsid w:val="00172672"/>
    <w:rsid w:val="001728AF"/>
    <w:rsid w:val="00172A25"/>
    <w:rsid w:val="00172D53"/>
    <w:rsid w:val="00172DFF"/>
    <w:rsid w:val="0017320A"/>
    <w:rsid w:val="0017350C"/>
    <w:rsid w:val="00173721"/>
    <w:rsid w:val="00173BCA"/>
    <w:rsid w:val="00173F88"/>
    <w:rsid w:val="001741A7"/>
    <w:rsid w:val="00174815"/>
    <w:rsid w:val="001754CD"/>
    <w:rsid w:val="00175676"/>
    <w:rsid w:val="0017585C"/>
    <w:rsid w:val="00175AB7"/>
    <w:rsid w:val="00175D68"/>
    <w:rsid w:val="00175FD8"/>
    <w:rsid w:val="00176155"/>
    <w:rsid w:val="001765AC"/>
    <w:rsid w:val="001765F0"/>
    <w:rsid w:val="00176C71"/>
    <w:rsid w:val="00176D6F"/>
    <w:rsid w:val="001774B8"/>
    <w:rsid w:val="001779C0"/>
    <w:rsid w:val="001779D7"/>
    <w:rsid w:val="00177F8A"/>
    <w:rsid w:val="001801CF"/>
    <w:rsid w:val="0018085C"/>
    <w:rsid w:val="0018091D"/>
    <w:rsid w:val="00180924"/>
    <w:rsid w:val="00181096"/>
    <w:rsid w:val="001810DF"/>
    <w:rsid w:val="00181170"/>
    <w:rsid w:val="001811AD"/>
    <w:rsid w:val="001812A9"/>
    <w:rsid w:val="00181CC4"/>
    <w:rsid w:val="0018205C"/>
    <w:rsid w:val="00182601"/>
    <w:rsid w:val="00182CD6"/>
    <w:rsid w:val="0018321F"/>
    <w:rsid w:val="001834AC"/>
    <w:rsid w:val="00183A6D"/>
    <w:rsid w:val="00183C11"/>
    <w:rsid w:val="00183FBF"/>
    <w:rsid w:val="00184744"/>
    <w:rsid w:val="00184A3B"/>
    <w:rsid w:val="00184B78"/>
    <w:rsid w:val="00184D6C"/>
    <w:rsid w:val="00184F4E"/>
    <w:rsid w:val="0018517B"/>
    <w:rsid w:val="00185319"/>
    <w:rsid w:val="001855D8"/>
    <w:rsid w:val="00185626"/>
    <w:rsid w:val="0018587B"/>
    <w:rsid w:val="00185A03"/>
    <w:rsid w:val="00185AD9"/>
    <w:rsid w:val="00185E77"/>
    <w:rsid w:val="00185F95"/>
    <w:rsid w:val="00186429"/>
    <w:rsid w:val="00186807"/>
    <w:rsid w:val="00186A8C"/>
    <w:rsid w:val="00186BF2"/>
    <w:rsid w:val="00187043"/>
    <w:rsid w:val="00187182"/>
    <w:rsid w:val="0018722D"/>
    <w:rsid w:val="001872E9"/>
    <w:rsid w:val="001873F9"/>
    <w:rsid w:val="00187715"/>
    <w:rsid w:val="0018779E"/>
    <w:rsid w:val="00190416"/>
    <w:rsid w:val="00190898"/>
    <w:rsid w:val="001908A3"/>
    <w:rsid w:val="001909B6"/>
    <w:rsid w:val="00190D49"/>
    <w:rsid w:val="00190E61"/>
    <w:rsid w:val="00190EA3"/>
    <w:rsid w:val="00191926"/>
    <w:rsid w:val="00191A00"/>
    <w:rsid w:val="00191CF9"/>
    <w:rsid w:val="00191D90"/>
    <w:rsid w:val="00192121"/>
    <w:rsid w:val="001926B4"/>
    <w:rsid w:val="001928E0"/>
    <w:rsid w:val="001929F0"/>
    <w:rsid w:val="00192A0F"/>
    <w:rsid w:val="00192CEA"/>
    <w:rsid w:val="00192D16"/>
    <w:rsid w:val="00193139"/>
    <w:rsid w:val="00193312"/>
    <w:rsid w:val="00193564"/>
    <w:rsid w:val="00193853"/>
    <w:rsid w:val="00193A0B"/>
    <w:rsid w:val="00193B4D"/>
    <w:rsid w:val="00193CC6"/>
    <w:rsid w:val="00194052"/>
    <w:rsid w:val="0019417A"/>
    <w:rsid w:val="001941B7"/>
    <w:rsid w:val="00194205"/>
    <w:rsid w:val="00194335"/>
    <w:rsid w:val="00194388"/>
    <w:rsid w:val="00194AB9"/>
    <w:rsid w:val="00194B00"/>
    <w:rsid w:val="00195095"/>
    <w:rsid w:val="001951F3"/>
    <w:rsid w:val="00195244"/>
    <w:rsid w:val="001956F2"/>
    <w:rsid w:val="0019650D"/>
    <w:rsid w:val="00196AC9"/>
    <w:rsid w:val="001974D0"/>
    <w:rsid w:val="0019754E"/>
    <w:rsid w:val="00197B38"/>
    <w:rsid w:val="001A06BF"/>
    <w:rsid w:val="001A0831"/>
    <w:rsid w:val="001A0C83"/>
    <w:rsid w:val="001A1439"/>
    <w:rsid w:val="001A1BB9"/>
    <w:rsid w:val="001A1BBF"/>
    <w:rsid w:val="001A1BE8"/>
    <w:rsid w:val="001A1E6A"/>
    <w:rsid w:val="001A1EEE"/>
    <w:rsid w:val="001A2082"/>
    <w:rsid w:val="001A20F3"/>
    <w:rsid w:val="001A2236"/>
    <w:rsid w:val="001A2306"/>
    <w:rsid w:val="001A230D"/>
    <w:rsid w:val="001A2377"/>
    <w:rsid w:val="001A2693"/>
    <w:rsid w:val="001A27A9"/>
    <w:rsid w:val="001A2BA1"/>
    <w:rsid w:val="001A2C16"/>
    <w:rsid w:val="001A2EFF"/>
    <w:rsid w:val="001A308A"/>
    <w:rsid w:val="001A37AD"/>
    <w:rsid w:val="001A37B6"/>
    <w:rsid w:val="001A38C5"/>
    <w:rsid w:val="001A38D5"/>
    <w:rsid w:val="001A3B35"/>
    <w:rsid w:val="001A3D5C"/>
    <w:rsid w:val="001A40A6"/>
    <w:rsid w:val="001A4284"/>
    <w:rsid w:val="001A48A7"/>
    <w:rsid w:val="001A49C5"/>
    <w:rsid w:val="001A49CD"/>
    <w:rsid w:val="001A4F27"/>
    <w:rsid w:val="001A5590"/>
    <w:rsid w:val="001A560C"/>
    <w:rsid w:val="001A56EF"/>
    <w:rsid w:val="001A59A4"/>
    <w:rsid w:val="001A6269"/>
    <w:rsid w:val="001A6299"/>
    <w:rsid w:val="001A66D4"/>
    <w:rsid w:val="001A6C2D"/>
    <w:rsid w:val="001A6E93"/>
    <w:rsid w:val="001A7121"/>
    <w:rsid w:val="001A7302"/>
    <w:rsid w:val="001A75D4"/>
    <w:rsid w:val="001A7E36"/>
    <w:rsid w:val="001B0410"/>
    <w:rsid w:val="001B07A7"/>
    <w:rsid w:val="001B0ADB"/>
    <w:rsid w:val="001B0EA5"/>
    <w:rsid w:val="001B135A"/>
    <w:rsid w:val="001B151E"/>
    <w:rsid w:val="001B1549"/>
    <w:rsid w:val="001B15A8"/>
    <w:rsid w:val="001B1ADB"/>
    <w:rsid w:val="001B212F"/>
    <w:rsid w:val="001B2A1D"/>
    <w:rsid w:val="001B2F90"/>
    <w:rsid w:val="001B2FE2"/>
    <w:rsid w:val="001B3EE4"/>
    <w:rsid w:val="001B472A"/>
    <w:rsid w:val="001B4AA8"/>
    <w:rsid w:val="001B4C32"/>
    <w:rsid w:val="001B4DC1"/>
    <w:rsid w:val="001B4DED"/>
    <w:rsid w:val="001B52C5"/>
    <w:rsid w:val="001B5399"/>
    <w:rsid w:val="001B5881"/>
    <w:rsid w:val="001B6365"/>
    <w:rsid w:val="001B6DB3"/>
    <w:rsid w:val="001B728C"/>
    <w:rsid w:val="001B7374"/>
    <w:rsid w:val="001B768E"/>
    <w:rsid w:val="001B790D"/>
    <w:rsid w:val="001B7985"/>
    <w:rsid w:val="001B7CEE"/>
    <w:rsid w:val="001B7F09"/>
    <w:rsid w:val="001C0668"/>
    <w:rsid w:val="001C07A8"/>
    <w:rsid w:val="001C0A7F"/>
    <w:rsid w:val="001C0B07"/>
    <w:rsid w:val="001C0C6C"/>
    <w:rsid w:val="001C0D31"/>
    <w:rsid w:val="001C0F10"/>
    <w:rsid w:val="001C104B"/>
    <w:rsid w:val="001C1424"/>
    <w:rsid w:val="001C1630"/>
    <w:rsid w:val="001C1909"/>
    <w:rsid w:val="001C19CB"/>
    <w:rsid w:val="001C1BB5"/>
    <w:rsid w:val="001C1CF7"/>
    <w:rsid w:val="001C1D0F"/>
    <w:rsid w:val="001C20C3"/>
    <w:rsid w:val="001C23F6"/>
    <w:rsid w:val="001C2601"/>
    <w:rsid w:val="001C3A02"/>
    <w:rsid w:val="001C3E19"/>
    <w:rsid w:val="001C3F4B"/>
    <w:rsid w:val="001C4183"/>
    <w:rsid w:val="001C431F"/>
    <w:rsid w:val="001C4654"/>
    <w:rsid w:val="001C470E"/>
    <w:rsid w:val="001C5267"/>
    <w:rsid w:val="001C5567"/>
    <w:rsid w:val="001C570B"/>
    <w:rsid w:val="001C5952"/>
    <w:rsid w:val="001C5B2D"/>
    <w:rsid w:val="001C5B81"/>
    <w:rsid w:val="001C604F"/>
    <w:rsid w:val="001C61A5"/>
    <w:rsid w:val="001C646A"/>
    <w:rsid w:val="001C6AF8"/>
    <w:rsid w:val="001C6B28"/>
    <w:rsid w:val="001C6D13"/>
    <w:rsid w:val="001C7345"/>
    <w:rsid w:val="001C7402"/>
    <w:rsid w:val="001C7684"/>
    <w:rsid w:val="001C77B2"/>
    <w:rsid w:val="001C783C"/>
    <w:rsid w:val="001C78EF"/>
    <w:rsid w:val="001D0303"/>
    <w:rsid w:val="001D04A0"/>
    <w:rsid w:val="001D0723"/>
    <w:rsid w:val="001D095B"/>
    <w:rsid w:val="001D0A5C"/>
    <w:rsid w:val="001D1204"/>
    <w:rsid w:val="001D135F"/>
    <w:rsid w:val="001D13A7"/>
    <w:rsid w:val="001D1967"/>
    <w:rsid w:val="001D1E20"/>
    <w:rsid w:val="001D1F79"/>
    <w:rsid w:val="001D2153"/>
    <w:rsid w:val="001D2789"/>
    <w:rsid w:val="001D2D0E"/>
    <w:rsid w:val="001D2F4E"/>
    <w:rsid w:val="001D341B"/>
    <w:rsid w:val="001D3814"/>
    <w:rsid w:val="001D3C2E"/>
    <w:rsid w:val="001D3DD9"/>
    <w:rsid w:val="001D414E"/>
    <w:rsid w:val="001D450D"/>
    <w:rsid w:val="001D4652"/>
    <w:rsid w:val="001D46B8"/>
    <w:rsid w:val="001D4B41"/>
    <w:rsid w:val="001D4D48"/>
    <w:rsid w:val="001D4EFA"/>
    <w:rsid w:val="001D4F6E"/>
    <w:rsid w:val="001D503B"/>
    <w:rsid w:val="001D504F"/>
    <w:rsid w:val="001D519D"/>
    <w:rsid w:val="001D5226"/>
    <w:rsid w:val="001D533A"/>
    <w:rsid w:val="001D5588"/>
    <w:rsid w:val="001D5BAC"/>
    <w:rsid w:val="001D5E93"/>
    <w:rsid w:val="001D67AF"/>
    <w:rsid w:val="001D689E"/>
    <w:rsid w:val="001D738F"/>
    <w:rsid w:val="001D75AA"/>
    <w:rsid w:val="001D7E19"/>
    <w:rsid w:val="001E0175"/>
    <w:rsid w:val="001E0B60"/>
    <w:rsid w:val="001E1144"/>
    <w:rsid w:val="001E1187"/>
    <w:rsid w:val="001E125E"/>
    <w:rsid w:val="001E16E5"/>
    <w:rsid w:val="001E196F"/>
    <w:rsid w:val="001E19E9"/>
    <w:rsid w:val="001E1BBC"/>
    <w:rsid w:val="001E1ECD"/>
    <w:rsid w:val="001E1F1B"/>
    <w:rsid w:val="001E2004"/>
    <w:rsid w:val="001E233D"/>
    <w:rsid w:val="001E2450"/>
    <w:rsid w:val="001E3221"/>
    <w:rsid w:val="001E3713"/>
    <w:rsid w:val="001E386D"/>
    <w:rsid w:val="001E3899"/>
    <w:rsid w:val="001E3A3C"/>
    <w:rsid w:val="001E3EDD"/>
    <w:rsid w:val="001E443A"/>
    <w:rsid w:val="001E4699"/>
    <w:rsid w:val="001E523F"/>
    <w:rsid w:val="001E53E3"/>
    <w:rsid w:val="001E549F"/>
    <w:rsid w:val="001E554B"/>
    <w:rsid w:val="001E558B"/>
    <w:rsid w:val="001E55D6"/>
    <w:rsid w:val="001E56C4"/>
    <w:rsid w:val="001E5CE5"/>
    <w:rsid w:val="001E62F8"/>
    <w:rsid w:val="001E63E2"/>
    <w:rsid w:val="001E6456"/>
    <w:rsid w:val="001E69BC"/>
    <w:rsid w:val="001E6CBF"/>
    <w:rsid w:val="001E71CE"/>
    <w:rsid w:val="001E73B0"/>
    <w:rsid w:val="001E7C9A"/>
    <w:rsid w:val="001F00AA"/>
    <w:rsid w:val="001F0247"/>
    <w:rsid w:val="001F0721"/>
    <w:rsid w:val="001F0F86"/>
    <w:rsid w:val="001F1262"/>
    <w:rsid w:val="001F179C"/>
    <w:rsid w:val="001F1BC1"/>
    <w:rsid w:val="001F1CAB"/>
    <w:rsid w:val="001F1D08"/>
    <w:rsid w:val="001F1FA5"/>
    <w:rsid w:val="001F2137"/>
    <w:rsid w:val="001F224E"/>
    <w:rsid w:val="001F25A6"/>
    <w:rsid w:val="001F25F8"/>
    <w:rsid w:val="001F3054"/>
    <w:rsid w:val="001F3517"/>
    <w:rsid w:val="001F37DD"/>
    <w:rsid w:val="001F39A1"/>
    <w:rsid w:val="001F3CE6"/>
    <w:rsid w:val="001F3CE7"/>
    <w:rsid w:val="001F3D99"/>
    <w:rsid w:val="001F4252"/>
    <w:rsid w:val="001F4372"/>
    <w:rsid w:val="001F443C"/>
    <w:rsid w:val="001F48B8"/>
    <w:rsid w:val="001F48E8"/>
    <w:rsid w:val="001F49CC"/>
    <w:rsid w:val="001F510D"/>
    <w:rsid w:val="001F51AF"/>
    <w:rsid w:val="001F53F1"/>
    <w:rsid w:val="001F5592"/>
    <w:rsid w:val="001F5868"/>
    <w:rsid w:val="001F5CF1"/>
    <w:rsid w:val="001F5FF7"/>
    <w:rsid w:val="001F60C9"/>
    <w:rsid w:val="001F6108"/>
    <w:rsid w:val="001F65D2"/>
    <w:rsid w:val="001F65D7"/>
    <w:rsid w:val="001F6ACD"/>
    <w:rsid w:val="001F6B9B"/>
    <w:rsid w:val="001F6CAA"/>
    <w:rsid w:val="001F759E"/>
    <w:rsid w:val="001F7984"/>
    <w:rsid w:val="001F7C80"/>
    <w:rsid w:val="001F7DED"/>
    <w:rsid w:val="002001D1"/>
    <w:rsid w:val="00200339"/>
    <w:rsid w:val="00200402"/>
    <w:rsid w:val="00200532"/>
    <w:rsid w:val="00200539"/>
    <w:rsid w:val="002007A9"/>
    <w:rsid w:val="002007AB"/>
    <w:rsid w:val="002009E0"/>
    <w:rsid w:val="00200B65"/>
    <w:rsid w:val="00200D59"/>
    <w:rsid w:val="00200E7E"/>
    <w:rsid w:val="0020139C"/>
    <w:rsid w:val="00201A71"/>
    <w:rsid w:val="00201DFD"/>
    <w:rsid w:val="00201ECB"/>
    <w:rsid w:val="002021F1"/>
    <w:rsid w:val="00202E1C"/>
    <w:rsid w:val="00202F30"/>
    <w:rsid w:val="00203232"/>
    <w:rsid w:val="002038B8"/>
    <w:rsid w:val="002038C3"/>
    <w:rsid w:val="002038D6"/>
    <w:rsid w:val="002039A3"/>
    <w:rsid w:val="00203AF6"/>
    <w:rsid w:val="00203BC1"/>
    <w:rsid w:val="00203D70"/>
    <w:rsid w:val="00203E60"/>
    <w:rsid w:val="00204084"/>
    <w:rsid w:val="002044FE"/>
    <w:rsid w:val="0020463C"/>
    <w:rsid w:val="00204D47"/>
    <w:rsid w:val="00205133"/>
    <w:rsid w:val="002051F5"/>
    <w:rsid w:val="002052F9"/>
    <w:rsid w:val="00205876"/>
    <w:rsid w:val="00205E86"/>
    <w:rsid w:val="00206123"/>
    <w:rsid w:val="002066A7"/>
    <w:rsid w:val="00206C19"/>
    <w:rsid w:val="00206DDA"/>
    <w:rsid w:val="00207076"/>
    <w:rsid w:val="0020724F"/>
    <w:rsid w:val="00207707"/>
    <w:rsid w:val="00207CE9"/>
    <w:rsid w:val="00210661"/>
    <w:rsid w:val="00211064"/>
    <w:rsid w:val="002111BE"/>
    <w:rsid w:val="0021158D"/>
    <w:rsid w:val="002115DD"/>
    <w:rsid w:val="00211874"/>
    <w:rsid w:val="00211C1C"/>
    <w:rsid w:val="00211E57"/>
    <w:rsid w:val="00212053"/>
    <w:rsid w:val="002120F7"/>
    <w:rsid w:val="002127CA"/>
    <w:rsid w:val="002127EA"/>
    <w:rsid w:val="00212B0E"/>
    <w:rsid w:val="00212D7A"/>
    <w:rsid w:val="002137C1"/>
    <w:rsid w:val="00213D89"/>
    <w:rsid w:val="00213F25"/>
    <w:rsid w:val="002146D7"/>
    <w:rsid w:val="0021481D"/>
    <w:rsid w:val="002148E3"/>
    <w:rsid w:val="002148F8"/>
    <w:rsid w:val="00214908"/>
    <w:rsid w:val="00214A8E"/>
    <w:rsid w:val="00214D64"/>
    <w:rsid w:val="00214F55"/>
    <w:rsid w:val="0021500E"/>
    <w:rsid w:val="002151A0"/>
    <w:rsid w:val="002153EA"/>
    <w:rsid w:val="00215716"/>
    <w:rsid w:val="00215B72"/>
    <w:rsid w:val="00215DDC"/>
    <w:rsid w:val="0021603D"/>
    <w:rsid w:val="0021611A"/>
    <w:rsid w:val="0021625A"/>
    <w:rsid w:val="00216AAF"/>
    <w:rsid w:val="002173C5"/>
    <w:rsid w:val="002179C4"/>
    <w:rsid w:val="00217EA0"/>
    <w:rsid w:val="00220189"/>
    <w:rsid w:val="00220785"/>
    <w:rsid w:val="00220817"/>
    <w:rsid w:val="00220E1B"/>
    <w:rsid w:val="0022105D"/>
    <w:rsid w:val="00221383"/>
    <w:rsid w:val="00221593"/>
    <w:rsid w:val="00221A10"/>
    <w:rsid w:val="00221D6E"/>
    <w:rsid w:val="0022223C"/>
    <w:rsid w:val="00222491"/>
    <w:rsid w:val="002224FB"/>
    <w:rsid w:val="002228BE"/>
    <w:rsid w:val="00222B82"/>
    <w:rsid w:val="00223AC6"/>
    <w:rsid w:val="00223C76"/>
    <w:rsid w:val="00223C84"/>
    <w:rsid w:val="00223C9B"/>
    <w:rsid w:val="0022409B"/>
    <w:rsid w:val="0022416D"/>
    <w:rsid w:val="00224215"/>
    <w:rsid w:val="00224248"/>
    <w:rsid w:val="00224619"/>
    <w:rsid w:val="002249C6"/>
    <w:rsid w:val="00224D14"/>
    <w:rsid w:val="00225A97"/>
    <w:rsid w:val="00225F1E"/>
    <w:rsid w:val="00226C3C"/>
    <w:rsid w:val="00226CDE"/>
    <w:rsid w:val="00226FED"/>
    <w:rsid w:val="002272A7"/>
    <w:rsid w:val="002273EF"/>
    <w:rsid w:val="0022766B"/>
    <w:rsid w:val="00230148"/>
    <w:rsid w:val="00230188"/>
    <w:rsid w:val="00230531"/>
    <w:rsid w:val="00230B4D"/>
    <w:rsid w:val="00231337"/>
    <w:rsid w:val="002321A3"/>
    <w:rsid w:val="00232380"/>
    <w:rsid w:val="002323A1"/>
    <w:rsid w:val="002327F2"/>
    <w:rsid w:val="00232B18"/>
    <w:rsid w:val="00232BE4"/>
    <w:rsid w:val="00232C1F"/>
    <w:rsid w:val="00232EEA"/>
    <w:rsid w:val="0023303D"/>
    <w:rsid w:val="002331C5"/>
    <w:rsid w:val="002333CC"/>
    <w:rsid w:val="00233696"/>
    <w:rsid w:val="002337F9"/>
    <w:rsid w:val="00233A8C"/>
    <w:rsid w:val="00233C67"/>
    <w:rsid w:val="00233D29"/>
    <w:rsid w:val="002340DF"/>
    <w:rsid w:val="00234196"/>
    <w:rsid w:val="002341A2"/>
    <w:rsid w:val="0023483D"/>
    <w:rsid w:val="002348E0"/>
    <w:rsid w:val="00234AF6"/>
    <w:rsid w:val="00234CCE"/>
    <w:rsid w:val="002354E4"/>
    <w:rsid w:val="002358D8"/>
    <w:rsid w:val="00235E2F"/>
    <w:rsid w:val="00236552"/>
    <w:rsid w:val="002367E5"/>
    <w:rsid w:val="002367EB"/>
    <w:rsid w:val="00236D46"/>
    <w:rsid w:val="00236DAD"/>
    <w:rsid w:val="00236E2D"/>
    <w:rsid w:val="00236FAA"/>
    <w:rsid w:val="00236FFE"/>
    <w:rsid w:val="002374BE"/>
    <w:rsid w:val="002374E0"/>
    <w:rsid w:val="0023754A"/>
    <w:rsid w:val="002378A8"/>
    <w:rsid w:val="00237AF1"/>
    <w:rsid w:val="00237B99"/>
    <w:rsid w:val="00237D9A"/>
    <w:rsid w:val="00237F5D"/>
    <w:rsid w:val="002405C7"/>
    <w:rsid w:val="00240E98"/>
    <w:rsid w:val="002411BB"/>
    <w:rsid w:val="00241524"/>
    <w:rsid w:val="00241A17"/>
    <w:rsid w:val="00241D1D"/>
    <w:rsid w:val="0024201E"/>
    <w:rsid w:val="002422E0"/>
    <w:rsid w:val="00242635"/>
    <w:rsid w:val="00242A05"/>
    <w:rsid w:val="00242B4A"/>
    <w:rsid w:val="00242B83"/>
    <w:rsid w:val="00242FCD"/>
    <w:rsid w:val="00243086"/>
    <w:rsid w:val="002439F2"/>
    <w:rsid w:val="00243DC1"/>
    <w:rsid w:val="002443AB"/>
    <w:rsid w:val="00244612"/>
    <w:rsid w:val="002447CD"/>
    <w:rsid w:val="00244932"/>
    <w:rsid w:val="00244DAD"/>
    <w:rsid w:val="00244EC9"/>
    <w:rsid w:val="00245221"/>
    <w:rsid w:val="00245222"/>
    <w:rsid w:val="00245290"/>
    <w:rsid w:val="00245357"/>
    <w:rsid w:val="002453D7"/>
    <w:rsid w:val="002453E9"/>
    <w:rsid w:val="00245575"/>
    <w:rsid w:val="00245860"/>
    <w:rsid w:val="0024601E"/>
    <w:rsid w:val="002461F8"/>
    <w:rsid w:val="0024697D"/>
    <w:rsid w:val="0024698B"/>
    <w:rsid w:val="00246BE4"/>
    <w:rsid w:val="00246D16"/>
    <w:rsid w:val="00246E87"/>
    <w:rsid w:val="002474C7"/>
    <w:rsid w:val="00247643"/>
    <w:rsid w:val="00247A78"/>
    <w:rsid w:val="00247CD6"/>
    <w:rsid w:val="00250164"/>
    <w:rsid w:val="002503C7"/>
    <w:rsid w:val="00250558"/>
    <w:rsid w:val="002509F0"/>
    <w:rsid w:val="00250C73"/>
    <w:rsid w:val="00250F67"/>
    <w:rsid w:val="002513AC"/>
    <w:rsid w:val="002518DC"/>
    <w:rsid w:val="002519E0"/>
    <w:rsid w:val="00251EBC"/>
    <w:rsid w:val="00252768"/>
    <w:rsid w:val="00252E7B"/>
    <w:rsid w:val="00252F99"/>
    <w:rsid w:val="002532A3"/>
    <w:rsid w:val="002538AB"/>
    <w:rsid w:val="00253C44"/>
    <w:rsid w:val="00253FF5"/>
    <w:rsid w:val="002544BA"/>
    <w:rsid w:val="002547AE"/>
    <w:rsid w:val="00255139"/>
    <w:rsid w:val="002555CD"/>
    <w:rsid w:val="00255B44"/>
    <w:rsid w:val="00255C68"/>
    <w:rsid w:val="00255FED"/>
    <w:rsid w:val="002564FE"/>
    <w:rsid w:val="00256883"/>
    <w:rsid w:val="00256A8D"/>
    <w:rsid w:val="00257004"/>
    <w:rsid w:val="00257552"/>
    <w:rsid w:val="002577A7"/>
    <w:rsid w:val="00257A1B"/>
    <w:rsid w:val="00257A57"/>
    <w:rsid w:val="00257DB8"/>
    <w:rsid w:val="00260669"/>
    <w:rsid w:val="0026068A"/>
    <w:rsid w:val="00260B72"/>
    <w:rsid w:val="00260D09"/>
    <w:rsid w:val="00260ECA"/>
    <w:rsid w:val="002614DF"/>
    <w:rsid w:val="00261871"/>
    <w:rsid w:val="00261DC6"/>
    <w:rsid w:val="00261E20"/>
    <w:rsid w:val="00262318"/>
    <w:rsid w:val="0026252C"/>
    <w:rsid w:val="00262959"/>
    <w:rsid w:val="00263B1E"/>
    <w:rsid w:val="00263F1F"/>
    <w:rsid w:val="00263FD8"/>
    <w:rsid w:val="00264198"/>
    <w:rsid w:val="002642C4"/>
    <w:rsid w:val="00264627"/>
    <w:rsid w:val="00264759"/>
    <w:rsid w:val="0026476E"/>
    <w:rsid w:val="00264A0C"/>
    <w:rsid w:val="00264A1A"/>
    <w:rsid w:val="00264AC4"/>
    <w:rsid w:val="00264ACE"/>
    <w:rsid w:val="00264B43"/>
    <w:rsid w:val="0026531A"/>
    <w:rsid w:val="002654ED"/>
    <w:rsid w:val="00265546"/>
    <w:rsid w:val="0026558A"/>
    <w:rsid w:val="002655AD"/>
    <w:rsid w:val="002657A7"/>
    <w:rsid w:val="002657B5"/>
    <w:rsid w:val="002657C7"/>
    <w:rsid w:val="00265CB5"/>
    <w:rsid w:val="00265CD0"/>
    <w:rsid w:val="00266426"/>
    <w:rsid w:val="00266731"/>
    <w:rsid w:val="00266FB4"/>
    <w:rsid w:val="0026708A"/>
    <w:rsid w:val="00267147"/>
    <w:rsid w:val="002672DC"/>
    <w:rsid w:val="0026773E"/>
    <w:rsid w:val="0026796D"/>
    <w:rsid w:val="00267C0F"/>
    <w:rsid w:val="00267FB7"/>
    <w:rsid w:val="00267FCA"/>
    <w:rsid w:val="002703F1"/>
    <w:rsid w:val="00270714"/>
    <w:rsid w:val="002708CB"/>
    <w:rsid w:val="00270A10"/>
    <w:rsid w:val="00270C54"/>
    <w:rsid w:val="00270D14"/>
    <w:rsid w:val="00270E91"/>
    <w:rsid w:val="00270ECC"/>
    <w:rsid w:val="00271142"/>
    <w:rsid w:val="00271544"/>
    <w:rsid w:val="00271687"/>
    <w:rsid w:val="0027171F"/>
    <w:rsid w:val="00271C06"/>
    <w:rsid w:val="00271D20"/>
    <w:rsid w:val="0027266E"/>
    <w:rsid w:val="0027277A"/>
    <w:rsid w:val="002728BA"/>
    <w:rsid w:val="00272A53"/>
    <w:rsid w:val="00272E32"/>
    <w:rsid w:val="00273379"/>
    <w:rsid w:val="00273509"/>
    <w:rsid w:val="002737EA"/>
    <w:rsid w:val="002739A1"/>
    <w:rsid w:val="00273F29"/>
    <w:rsid w:val="0027413F"/>
    <w:rsid w:val="002744FC"/>
    <w:rsid w:val="0027456E"/>
    <w:rsid w:val="00275027"/>
    <w:rsid w:val="00275029"/>
    <w:rsid w:val="002754B9"/>
    <w:rsid w:val="00275540"/>
    <w:rsid w:val="00275A24"/>
    <w:rsid w:val="00275E8F"/>
    <w:rsid w:val="002765A2"/>
    <w:rsid w:val="00276EFD"/>
    <w:rsid w:val="0027711A"/>
    <w:rsid w:val="00277178"/>
    <w:rsid w:val="002773CD"/>
    <w:rsid w:val="002804F1"/>
    <w:rsid w:val="00280A0B"/>
    <w:rsid w:val="00280A55"/>
    <w:rsid w:val="00280BE3"/>
    <w:rsid w:val="00280FAF"/>
    <w:rsid w:val="00281524"/>
    <w:rsid w:val="0028153A"/>
    <w:rsid w:val="0028198E"/>
    <w:rsid w:val="00281D06"/>
    <w:rsid w:val="00281D65"/>
    <w:rsid w:val="00281EC1"/>
    <w:rsid w:val="00282259"/>
    <w:rsid w:val="002824DD"/>
    <w:rsid w:val="002827E9"/>
    <w:rsid w:val="00282B54"/>
    <w:rsid w:val="00282E30"/>
    <w:rsid w:val="002830FD"/>
    <w:rsid w:val="00283428"/>
    <w:rsid w:val="00284089"/>
    <w:rsid w:val="002842D7"/>
    <w:rsid w:val="00284551"/>
    <w:rsid w:val="0028463B"/>
    <w:rsid w:val="00284A73"/>
    <w:rsid w:val="00284B84"/>
    <w:rsid w:val="00284C44"/>
    <w:rsid w:val="0028539D"/>
    <w:rsid w:val="00285801"/>
    <w:rsid w:val="00285869"/>
    <w:rsid w:val="00285A40"/>
    <w:rsid w:val="00285CE7"/>
    <w:rsid w:val="0028642A"/>
    <w:rsid w:val="00286A48"/>
    <w:rsid w:val="00286EA7"/>
    <w:rsid w:val="00287231"/>
    <w:rsid w:val="00287278"/>
    <w:rsid w:val="00287A45"/>
    <w:rsid w:val="00287B2F"/>
    <w:rsid w:val="00287D11"/>
    <w:rsid w:val="00287E51"/>
    <w:rsid w:val="00287EF2"/>
    <w:rsid w:val="0029076E"/>
    <w:rsid w:val="00290AAD"/>
    <w:rsid w:val="00290BAE"/>
    <w:rsid w:val="00291005"/>
    <w:rsid w:val="00291023"/>
    <w:rsid w:val="0029121E"/>
    <w:rsid w:val="00291313"/>
    <w:rsid w:val="00291329"/>
    <w:rsid w:val="0029140B"/>
    <w:rsid w:val="0029143F"/>
    <w:rsid w:val="002916C2"/>
    <w:rsid w:val="002916E9"/>
    <w:rsid w:val="0029171C"/>
    <w:rsid w:val="00291C00"/>
    <w:rsid w:val="00291D10"/>
    <w:rsid w:val="00291EEF"/>
    <w:rsid w:val="00292294"/>
    <w:rsid w:val="002922C7"/>
    <w:rsid w:val="002924EF"/>
    <w:rsid w:val="002928AA"/>
    <w:rsid w:val="002928C0"/>
    <w:rsid w:val="00292EAA"/>
    <w:rsid w:val="00293364"/>
    <w:rsid w:val="00293618"/>
    <w:rsid w:val="00293842"/>
    <w:rsid w:val="00293A41"/>
    <w:rsid w:val="00293E34"/>
    <w:rsid w:val="00293EFE"/>
    <w:rsid w:val="00294BC8"/>
    <w:rsid w:val="00294CF8"/>
    <w:rsid w:val="00294DE5"/>
    <w:rsid w:val="0029538E"/>
    <w:rsid w:val="002955A2"/>
    <w:rsid w:val="002956DC"/>
    <w:rsid w:val="00295A3E"/>
    <w:rsid w:val="00295B8F"/>
    <w:rsid w:val="00295BCD"/>
    <w:rsid w:val="00295F59"/>
    <w:rsid w:val="00296299"/>
    <w:rsid w:val="0029632C"/>
    <w:rsid w:val="00296C28"/>
    <w:rsid w:val="002979C7"/>
    <w:rsid w:val="00297C11"/>
    <w:rsid w:val="00297CAB"/>
    <w:rsid w:val="00297FFC"/>
    <w:rsid w:val="002A0420"/>
    <w:rsid w:val="002A06CA"/>
    <w:rsid w:val="002A11C9"/>
    <w:rsid w:val="002A13A9"/>
    <w:rsid w:val="002A1456"/>
    <w:rsid w:val="002A1546"/>
    <w:rsid w:val="002A15C7"/>
    <w:rsid w:val="002A171B"/>
    <w:rsid w:val="002A183A"/>
    <w:rsid w:val="002A1C6F"/>
    <w:rsid w:val="002A1E8E"/>
    <w:rsid w:val="002A1EEB"/>
    <w:rsid w:val="002A2173"/>
    <w:rsid w:val="002A24A0"/>
    <w:rsid w:val="002A2715"/>
    <w:rsid w:val="002A27EB"/>
    <w:rsid w:val="002A2945"/>
    <w:rsid w:val="002A3878"/>
    <w:rsid w:val="002A38C3"/>
    <w:rsid w:val="002A3AED"/>
    <w:rsid w:val="002A3E72"/>
    <w:rsid w:val="002A3F83"/>
    <w:rsid w:val="002A426A"/>
    <w:rsid w:val="002A4297"/>
    <w:rsid w:val="002A43A1"/>
    <w:rsid w:val="002A456F"/>
    <w:rsid w:val="002A4866"/>
    <w:rsid w:val="002A5045"/>
    <w:rsid w:val="002A50F4"/>
    <w:rsid w:val="002A51E7"/>
    <w:rsid w:val="002A5244"/>
    <w:rsid w:val="002A5CCF"/>
    <w:rsid w:val="002A5FDC"/>
    <w:rsid w:val="002A67DB"/>
    <w:rsid w:val="002A6A43"/>
    <w:rsid w:val="002A6AB6"/>
    <w:rsid w:val="002A6B9D"/>
    <w:rsid w:val="002A6BC1"/>
    <w:rsid w:val="002A6F00"/>
    <w:rsid w:val="002A76C5"/>
    <w:rsid w:val="002A76D9"/>
    <w:rsid w:val="002A771D"/>
    <w:rsid w:val="002A7AC1"/>
    <w:rsid w:val="002A7C2B"/>
    <w:rsid w:val="002A7F6D"/>
    <w:rsid w:val="002B0331"/>
    <w:rsid w:val="002B054F"/>
    <w:rsid w:val="002B0874"/>
    <w:rsid w:val="002B1038"/>
    <w:rsid w:val="002B117B"/>
    <w:rsid w:val="002B12A1"/>
    <w:rsid w:val="002B2692"/>
    <w:rsid w:val="002B2913"/>
    <w:rsid w:val="002B2D77"/>
    <w:rsid w:val="002B2F43"/>
    <w:rsid w:val="002B34E7"/>
    <w:rsid w:val="002B372D"/>
    <w:rsid w:val="002B3BCD"/>
    <w:rsid w:val="002B47DF"/>
    <w:rsid w:val="002B48B4"/>
    <w:rsid w:val="002B4B4F"/>
    <w:rsid w:val="002B51D9"/>
    <w:rsid w:val="002B5D0B"/>
    <w:rsid w:val="002B62B1"/>
    <w:rsid w:val="002B642E"/>
    <w:rsid w:val="002B69D3"/>
    <w:rsid w:val="002B6B71"/>
    <w:rsid w:val="002B72E2"/>
    <w:rsid w:val="002B7388"/>
    <w:rsid w:val="002B78E1"/>
    <w:rsid w:val="002B7C29"/>
    <w:rsid w:val="002B7C30"/>
    <w:rsid w:val="002C0C18"/>
    <w:rsid w:val="002C0D3D"/>
    <w:rsid w:val="002C0D98"/>
    <w:rsid w:val="002C0DA9"/>
    <w:rsid w:val="002C0F67"/>
    <w:rsid w:val="002C0F8F"/>
    <w:rsid w:val="002C0FDB"/>
    <w:rsid w:val="002C174A"/>
    <w:rsid w:val="002C188E"/>
    <w:rsid w:val="002C19D8"/>
    <w:rsid w:val="002C19EF"/>
    <w:rsid w:val="002C1F21"/>
    <w:rsid w:val="002C26A4"/>
    <w:rsid w:val="002C2BB3"/>
    <w:rsid w:val="002C2FA8"/>
    <w:rsid w:val="002C336A"/>
    <w:rsid w:val="002C354C"/>
    <w:rsid w:val="002C35A3"/>
    <w:rsid w:val="002C35B6"/>
    <w:rsid w:val="002C398F"/>
    <w:rsid w:val="002C39B5"/>
    <w:rsid w:val="002C3A30"/>
    <w:rsid w:val="002C3AC3"/>
    <w:rsid w:val="002C3E36"/>
    <w:rsid w:val="002C4B70"/>
    <w:rsid w:val="002C508D"/>
    <w:rsid w:val="002C5105"/>
    <w:rsid w:val="002C554A"/>
    <w:rsid w:val="002C62CF"/>
    <w:rsid w:val="002C6305"/>
    <w:rsid w:val="002C63ED"/>
    <w:rsid w:val="002C64B8"/>
    <w:rsid w:val="002C68CC"/>
    <w:rsid w:val="002C6A0F"/>
    <w:rsid w:val="002C6AB6"/>
    <w:rsid w:val="002C6B16"/>
    <w:rsid w:val="002C6B65"/>
    <w:rsid w:val="002C6DD1"/>
    <w:rsid w:val="002C6DE5"/>
    <w:rsid w:val="002C7125"/>
    <w:rsid w:val="002C7774"/>
    <w:rsid w:val="002D0862"/>
    <w:rsid w:val="002D093B"/>
    <w:rsid w:val="002D12D5"/>
    <w:rsid w:val="002D1657"/>
    <w:rsid w:val="002D19AB"/>
    <w:rsid w:val="002D1FC5"/>
    <w:rsid w:val="002D2031"/>
    <w:rsid w:val="002D3108"/>
    <w:rsid w:val="002D3250"/>
    <w:rsid w:val="002D3BDC"/>
    <w:rsid w:val="002D3E12"/>
    <w:rsid w:val="002D4144"/>
    <w:rsid w:val="002D4158"/>
    <w:rsid w:val="002D4741"/>
    <w:rsid w:val="002D491B"/>
    <w:rsid w:val="002D4E92"/>
    <w:rsid w:val="002D5195"/>
    <w:rsid w:val="002D5365"/>
    <w:rsid w:val="002D559E"/>
    <w:rsid w:val="002D573A"/>
    <w:rsid w:val="002D58E7"/>
    <w:rsid w:val="002D5EF5"/>
    <w:rsid w:val="002D60AB"/>
    <w:rsid w:val="002D63FD"/>
    <w:rsid w:val="002D699E"/>
    <w:rsid w:val="002D6A4B"/>
    <w:rsid w:val="002D6F07"/>
    <w:rsid w:val="002D723F"/>
    <w:rsid w:val="002D76CA"/>
    <w:rsid w:val="002D7E09"/>
    <w:rsid w:val="002D7F46"/>
    <w:rsid w:val="002E0605"/>
    <w:rsid w:val="002E0C62"/>
    <w:rsid w:val="002E0EF0"/>
    <w:rsid w:val="002E0F80"/>
    <w:rsid w:val="002E1764"/>
    <w:rsid w:val="002E1A17"/>
    <w:rsid w:val="002E1F77"/>
    <w:rsid w:val="002E2095"/>
    <w:rsid w:val="002E280B"/>
    <w:rsid w:val="002E3943"/>
    <w:rsid w:val="002E39A0"/>
    <w:rsid w:val="002E3FA3"/>
    <w:rsid w:val="002E44EC"/>
    <w:rsid w:val="002E471A"/>
    <w:rsid w:val="002E4FD1"/>
    <w:rsid w:val="002E5041"/>
    <w:rsid w:val="002E5348"/>
    <w:rsid w:val="002E5522"/>
    <w:rsid w:val="002E5837"/>
    <w:rsid w:val="002E5BAA"/>
    <w:rsid w:val="002E6277"/>
    <w:rsid w:val="002E657E"/>
    <w:rsid w:val="002E65E1"/>
    <w:rsid w:val="002E6C36"/>
    <w:rsid w:val="002E6C71"/>
    <w:rsid w:val="002E6CE2"/>
    <w:rsid w:val="002E6EA6"/>
    <w:rsid w:val="002E713B"/>
    <w:rsid w:val="002E718B"/>
    <w:rsid w:val="002E7F24"/>
    <w:rsid w:val="002F030F"/>
    <w:rsid w:val="002F07D0"/>
    <w:rsid w:val="002F0A06"/>
    <w:rsid w:val="002F0B1D"/>
    <w:rsid w:val="002F0F5E"/>
    <w:rsid w:val="002F10AD"/>
    <w:rsid w:val="002F11B7"/>
    <w:rsid w:val="002F14BC"/>
    <w:rsid w:val="002F1760"/>
    <w:rsid w:val="002F18C6"/>
    <w:rsid w:val="002F1B56"/>
    <w:rsid w:val="002F1CA7"/>
    <w:rsid w:val="002F2059"/>
    <w:rsid w:val="002F2684"/>
    <w:rsid w:val="002F2B30"/>
    <w:rsid w:val="002F2B31"/>
    <w:rsid w:val="002F2EF9"/>
    <w:rsid w:val="002F3CB6"/>
    <w:rsid w:val="002F3D9D"/>
    <w:rsid w:val="002F40EF"/>
    <w:rsid w:val="002F48F5"/>
    <w:rsid w:val="002F4F34"/>
    <w:rsid w:val="002F5407"/>
    <w:rsid w:val="002F5703"/>
    <w:rsid w:val="002F5DA0"/>
    <w:rsid w:val="002F604F"/>
    <w:rsid w:val="002F606B"/>
    <w:rsid w:val="002F62EB"/>
    <w:rsid w:val="002F6873"/>
    <w:rsid w:val="002F6A90"/>
    <w:rsid w:val="002F70AA"/>
    <w:rsid w:val="002F71A1"/>
    <w:rsid w:val="002F71F5"/>
    <w:rsid w:val="002F7F96"/>
    <w:rsid w:val="003002E7"/>
    <w:rsid w:val="003004AE"/>
    <w:rsid w:val="0030050F"/>
    <w:rsid w:val="00300713"/>
    <w:rsid w:val="00300CAF"/>
    <w:rsid w:val="00300D50"/>
    <w:rsid w:val="00300F3A"/>
    <w:rsid w:val="00301060"/>
    <w:rsid w:val="0030108A"/>
    <w:rsid w:val="00301162"/>
    <w:rsid w:val="00301342"/>
    <w:rsid w:val="00301AA0"/>
    <w:rsid w:val="00301B5C"/>
    <w:rsid w:val="00301FEA"/>
    <w:rsid w:val="0030210A"/>
    <w:rsid w:val="003022F7"/>
    <w:rsid w:val="0030240F"/>
    <w:rsid w:val="0030250F"/>
    <w:rsid w:val="003029E8"/>
    <w:rsid w:val="00302B32"/>
    <w:rsid w:val="00302FC3"/>
    <w:rsid w:val="0030337A"/>
    <w:rsid w:val="0030397F"/>
    <w:rsid w:val="00304616"/>
    <w:rsid w:val="00305872"/>
    <w:rsid w:val="0030592C"/>
    <w:rsid w:val="00305A5D"/>
    <w:rsid w:val="003061D1"/>
    <w:rsid w:val="00306574"/>
    <w:rsid w:val="00306EE7"/>
    <w:rsid w:val="00306F4C"/>
    <w:rsid w:val="00306FF5"/>
    <w:rsid w:val="003071F4"/>
    <w:rsid w:val="00307414"/>
    <w:rsid w:val="00307477"/>
    <w:rsid w:val="0030755A"/>
    <w:rsid w:val="0030776B"/>
    <w:rsid w:val="003077B4"/>
    <w:rsid w:val="003078D0"/>
    <w:rsid w:val="00307B28"/>
    <w:rsid w:val="00307DD2"/>
    <w:rsid w:val="003104BA"/>
    <w:rsid w:val="00310730"/>
    <w:rsid w:val="00310846"/>
    <w:rsid w:val="00310C7B"/>
    <w:rsid w:val="00310CBC"/>
    <w:rsid w:val="00311048"/>
    <w:rsid w:val="003112A1"/>
    <w:rsid w:val="00311829"/>
    <w:rsid w:val="003119EC"/>
    <w:rsid w:val="00311CF6"/>
    <w:rsid w:val="003120DF"/>
    <w:rsid w:val="0031225F"/>
    <w:rsid w:val="00312437"/>
    <w:rsid w:val="00312DFB"/>
    <w:rsid w:val="0031331A"/>
    <w:rsid w:val="003136DC"/>
    <w:rsid w:val="00313A1D"/>
    <w:rsid w:val="00313E06"/>
    <w:rsid w:val="003140C0"/>
    <w:rsid w:val="003147DD"/>
    <w:rsid w:val="00314906"/>
    <w:rsid w:val="00314F75"/>
    <w:rsid w:val="0031528D"/>
    <w:rsid w:val="0031574D"/>
    <w:rsid w:val="003166FD"/>
    <w:rsid w:val="00316B1F"/>
    <w:rsid w:val="00316E74"/>
    <w:rsid w:val="00316ECB"/>
    <w:rsid w:val="00317315"/>
    <w:rsid w:val="00317320"/>
    <w:rsid w:val="00317419"/>
    <w:rsid w:val="0031755F"/>
    <w:rsid w:val="0031756A"/>
    <w:rsid w:val="00317586"/>
    <w:rsid w:val="0031764D"/>
    <w:rsid w:val="00317A4A"/>
    <w:rsid w:val="00317D52"/>
    <w:rsid w:val="00317D56"/>
    <w:rsid w:val="00317D7B"/>
    <w:rsid w:val="00317F46"/>
    <w:rsid w:val="00320780"/>
    <w:rsid w:val="00320E61"/>
    <w:rsid w:val="0032105B"/>
    <w:rsid w:val="00321C74"/>
    <w:rsid w:val="003220E3"/>
    <w:rsid w:val="00322D7B"/>
    <w:rsid w:val="00322DB8"/>
    <w:rsid w:val="00322FE4"/>
    <w:rsid w:val="0032314D"/>
    <w:rsid w:val="003232E7"/>
    <w:rsid w:val="0032359D"/>
    <w:rsid w:val="00323771"/>
    <w:rsid w:val="00323E11"/>
    <w:rsid w:val="0032436E"/>
    <w:rsid w:val="00324A2B"/>
    <w:rsid w:val="00324C4F"/>
    <w:rsid w:val="00324F17"/>
    <w:rsid w:val="00325314"/>
    <w:rsid w:val="00325392"/>
    <w:rsid w:val="003254F1"/>
    <w:rsid w:val="00325983"/>
    <w:rsid w:val="00325BBB"/>
    <w:rsid w:val="00326042"/>
    <w:rsid w:val="003267B4"/>
    <w:rsid w:val="003267DE"/>
    <w:rsid w:val="00326BA2"/>
    <w:rsid w:val="00326D6A"/>
    <w:rsid w:val="00326E17"/>
    <w:rsid w:val="00326F27"/>
    <w:rsid w:val="003273BB"/>
    <w:rsid w:val="0032777F"/>
    <w:rsid w:val="00327E58"/>
    <w:rsid w:val="00327FF4"/>
    <w:rsid w:val="00330243"/>
    <w:rsid w:val="00331570"/>
    <w:rsid w:val="00331608"/>
    <w:rsid w:val="00331D01"/>
    <w:rsid w:val="00331FF7"/>
    <w:rsid w:val="00332130"/>
    <w:rsid w:val="00332859"/>
    <w:rsid w:val="00332D09"/>
    <w:rsid w:val="00332EA0"/>
    <w:rsid w:val="00333047"/>
    <w:rsid w:val="00333975"/>
    <w:rsid w:val="0033399C"/>
    <w:rsid w:val="00333B05"/>
    <w:rsid w:val="00333BCF"/>
    <w:rsid w:val="00333CB1"/>
    <w:rsid w:val="00333FD1"/>
    <w:rsid w:val="00334055"/>
    <w:rsid w:val="00334092"/>
    <w:rsid w:val="00334185"/>
    <w:rsid w:val="003343F6"/>
    <w:rsid w:val="0033453D"/>
    <w:rsid w:val="003346E6"/>
    <w:rsid w:val="00334825"/>
    <w:rsid w:val="00334A56"/>
    <w:rsid w:val="00334A68"/>
    <w:rsid w:val="00334ACF"/>
    <w:rsid w:val="003354FC"/>
    <w:rsid w:val="0033687D"/>
    <w:rsid w:val="00336C90"/>
    <w:rsid w:val="00336CB7"/>
    <w:rsid w:val="0033743D"/>
    <w:rsid w:val="003376F1"/>
    <w:rsid w:val="0033779D"/>
    <w:rsid w:val="00337939"/>
    <w:rsid w:val="00337943"/>
    <w:rsid w:val="00340C04"/>
    <w:rsid w:val="00340E20"/>
    <w:rsid w:val="0034109B"/>
    <w:rsid w:val="00341166"/>
    <w:rsid w:val="00341984"/>
    <w:rsid w:val="00341C93"/>
    <w:rsid w:val="00341E72"/>
    <w:rsid w:val="003424B1"/>
    <w:rsid w:val="003429FA"/>
    <w:rsid w:val="00342AD0"/>
    <w:rsid w:val="00342ECD"/>
    <w:rsid w:val="0034303D"/>
    <w:rsid w:val="003437DC"/>
    <w:rsid w:val="00344735"/>
    <w:rsid w:val="00345096"/>
    <w:rsid w:val="00345279"/>
    <w:rsid w:val="00345723"/>
    <w:rsid w:val="00345AFB"/>
    <w:rsid w:val="00345B68"/>
    <w:rsid w:val="00345D0E"/>
    <w:rsid w:val="00345EFE"/>
    <w:rsid w:val="00345F40"/>
    <w:rsid w:val="003468BD"/>
    <w:rsid w:val="003468E3"/>
    <w:rsid w:val="00346A56"/>
    <w:rsid w:val="00346D84"/>
    <w:rsid w:val="0034709D"/>
    <w:rsid w:val="003472BE"/>
    <w:rsid w:val="00347512"/>
    <w:rsid w:val="0034773B"/>
    <w:rsid w:val="00347AD4"/>
    <w:rsid w:val="00347B03"/>
    <w:rsid w:val="00347D69"/>
    <w:rsid w:val="00347DFC"/>
    <w:rsid w:val="00347EFC"/>
    <w:rsid w:val="003501D4"/>
    <w:rsid w:val="003503CF"/>
    <w:rsid w:val="0035057A"/>
    <w:rsid w:val="00350739"/>
    <w:rsid w:val="00350908"/>
    <w:rsid w:val="003509CE"/>
    <w:rsid w:val="00350CC2"/>
    <w:rsid w:val="00350F62"/>
    <w:rsid w:val="0035118C"/>
    <w:rsid w:val="003512F0"/>
    <w:rsid w:val="003512FC"/>
    <w:rsid w:val="00351430"/>
    <w:rsid w:val="00351C0E"/>
    <w:rsid w:val="00351D8E"/>
    <w:rsid w:val="00351DB3"/>
    <w:rsid w:val="00351F91"/>
    <w:rsid w:val="0035202E"/>
    <w:rsid w:val="003522C1"/>
    <w:rsid w:val="00352B80"/>
    <w:rsid w:val="00352C46"/>
    <w:rsid w:val="003531B8"/>
    <w:rsid w:val="0035324F"/>
    <w:rsid w:val="00353479"/>
    <w:rsid w:val="003537CB"/>
    <w:rsid w:val="00353D32"/>
    <w:rsid w:val="0035443F"/>
    <w:rsid w:val="00354464"/>
    <w:rsid w:val="003546C6"/>
    <w:rsid w:val="003548AC"/>
    <w:rsid w:val="00354A22"/>
    <w:rsid w:val="00354AA5"/>
    <w:rsid w:val="00354DE6"/>
    <w:rsid w:val="00355334"/>
    <w:rsid w:val="003559DD"/>
    <w:rsid w:val="003564D8"/>
    <w:rsid w:val="00356715"/>
    <w:rsid w:val="00356879"/>
    <w:rsid w:val="00357088"/>
    <w:rsid w:val="0035709F"/>
    <w:rsid w:val="003575E6"/>
    <w:rsid w:val="00357970"/>
    <w:rsid w:val="00360385"/>
    <w:rsid w:val="00360499"/>
    <w:rsid w:val="003604B5"/>
    <w:rsid w:val="00360579"/>
    <w:rsid w:val="00360AA9"/>
    <w:rsid w:val="00360C73"/>
    <w:rsid w:val="00360EF4"/>
    <w:rsid w:val="003616CA"/>
    <w:rsid w:val="003618A0"/>
    <w:rsid w:val="003624B0"/>
    <w:rsid w:val="003628F4"/>
    <w:rsid w:val="0036325A"/>
    <w:rsid w:val="00364408"/>
    <w:rsid w:val="0036458F"/>
    <w:rsid w:val="00365924"/>
    <w:rsid w:val="00365A6A"/>
    <w:rsid w:val="00365A81"/>
    <w:rsid w:val="00365C02"/>
    <w:rsid w:val="003661D9"/>
    <w:rsid w:val="003663F8"/>
    <w:rsid w:val="00367670"/>
    <w:rsid w:val="003677E0"/>
    <w:rsid w:val="00367944"/>
    <w:rsid w:val="003679DC"/>
    <w:rsid w:val="00370031"/>
    <w:rsid w:val="003700EC"/>
    <w:rsid w:val="00370260"/>
    <w:rsid w:val="00370531"/>
    <w:rsid w:val="0037125C"/>
    <w:rsid w:val="00371B46"/>
    <w:rsid w:val="00371B51"/>
    <w:rsid w:val="00371E11"/>
    <w:rsid w:val="003724DE"/>
    <w:rsid w:val="003729AF"/>
    <w:rsid w:val="003729EC"/>
    <w:rsid w:val="00372D48"/>
    <w:rsid w:val="00372E23"/>
    <w:rsid w:val="00372E53"/>
    <w:rsid w:val="00373077"/>
    <w:rsid w:val="0037320A"/>
    <w:rsid w:val="00373342"/>
    <w:rsid w:val="003735A1"/>
    <w:rsid w:val="0037389F"/>
    <w:rsid w:val="00373AEB"/>
    <w:rsid w:val="0037430B"/>
    <w:rsid w:val="00374780"/>
    <w:rsid w:val="003747E7"/>
    <w:rsid w:val="00374BC3"/>
    <w:rsid w:val="00374E8F"/>
    <w:rsid w:val="0037546C"/>
    <w:rsid w:val="0037586B"/>
    <w:rsid w:val="003759F8"/>
    <w:rsid w:val="00375F3D"/>
    <w:rsid w:val="00376759"/>
    <w:rsid w:val="00376964"/>
    <w:rsid w:val="00376A04"/>
    <w:rsid w:val="00376A59"/>
    <w:rsid w:val="00376ADD"/>
    <w:rsid w:val="00376FA7"/>
    <w:rsid w:val="003770BB"/>
    <w:rsid w:val="00377527"/>
    <w:rsid w:val="0037764D"/>
    <w:rsid w:val="00377989"/>
    <w:rsid w:val="003779B9"/>
    <w:rsid w:val="00377F54"/>
    <w:rsid w:val="003803FF"/>
    <w:rsid w:val="00380749"/>
    <w:rsid w:val="00380B2A"/>
    <w:rsid w:val="003819F2"/>
    <w:rsid w:val="00381FA3"/>
    <w:rsid w:val="00381FAF"/>
    <w:rsid w:val="00381FD4"/>
    <w:rsid w:val="0038234F"/>
    <w:rsid w:val="00382A4E"/>
    <w:rsid w:val="00382BE2"/>
    <w:rsid w:val="003831CA"/>
    <w:rsid w:val="003834B5"/>
    <w:rsid w:val="00383F71"/>
    <w:rsid w:val="00384220"/>
    <w:rsid w:val="00384297"/>
    <w:rsid w:val="003847D1"/>
    <w:rsid w:val="00384DA2"/>
    <w:rsid w:val="003851AA"/>
    <w:rsid w:val="003855A6"/>
    <w:rsid w:val="0038561F"/>
    <w:rsid w:val="00385679"/>
    <w:rsid w:val="00385B8A"/>
    <w:rsid w:val="0038691B"/>
    <w:rsid w:val="00386A9C"/>
    <w:rsid w:val="00386BFE"/>
    <w:rsid w:val="00386DC7"/>
    <w:rsid w:val="00387646"/>
    <w:rsid w:val="00387BF1"/>
    <w:rsid w:val="00387E82"/>
    <w:rsid w:val="00390546"/>
    <w:rsid w:val="00390B08"/>
    <w:rsid w:val="00390C35"/>
    <w:rsid w:val="00390D41"/>
    <w:rsid w:val="00390F2D"/>
    <w:rsid w:val="0039131C"/>
    <w:rsid w:val="003913BB"/>
    <w:rsid w:val="003918A1"/>
    <w:rsid w:val="003918C5"/>
    <w:rsid w:val="00391C1D"/>
    <w:rsid w:val="00391C2F"/>
    <w:rsid w:val="00391E28"/>
    <w:rsid w:val="003922B7"/>
    <w:rsid w:val="00392A4E"/>
    <w:rsid w:val="003932C2"/>
    <w:rsid w:val="003934F5"/>
    <w:rsid w:val="0039363D"/>
    <w:rsid w:val="00393EB3"/>
    <w:rsid w:val="003941EE"/>
    <w:rsid w:val="003943DC"/>
    <w:rsid w:val="0039449B"/>
    <w:rsid w:val="003945E7"/>
    <w:rsid w:val="003949B7"/>
    <w:rsid w:val="00395793"/>
    <w:rsid w:val="00395794"/>
    <w:rsid w:val="0039587F"/>
    <w:rsid w:val="00395930"/>
    <w:rsid w:val="00395A99"/>
    <w:rsid w:val="00395BB0"/>
    <w:rsid w:val="00395E65"/>
    <w:rsid w:val="0039636E"/>
    <w:rsid w:val="00396898"/>
    <w:rsid w:val="003968D2"/>
    <w:rsid w:val="00396D0C"/>
    <w:rsid w:val="003971D0"/>
    <w:rsid w:val="003972B0"/>
    <w:rsid w:val="0039786C"/>
    <w:rsid w:val="00397935"/>
    <w:rsid w:val="00397B06"/>
    <w:rsid w:val="00397B9F"/>
    <w:rsid w:val="003A00C3"/>
    <w:rsid w:val="003A0322"/>
    <w:rsid w:val="003A03C0"/>
    <w:rsid w:val="003A03EB"/>
    <w:rsid w:val="003A0B5D"/>
    <w:rsid w:val="003A0B7C"/>
    <w:rsid w:val="003A0BDE"/>
    <w:rsid w:val="003A0C5B"/>
    <w:rsid w:val="003A0CCD"/>
    <w:rsid w:val="003A120E"/>
    <w:rsid w:val="003A1304"/>
    <w:rsid w:val="003A1482"/>
    <w:rsid w:val="003A16E0"/>
    <w:rsid w:val="003A1729"/>
    <w:rsid w:val="003A1B2E"/>
    <w:rsid w:val="003A1D98"/>
    <w:rsid w:val="003A1DA5"/>
    <w:rsid w:val="003A1EBE"/>
    <w:rsid w:val="003A207F"/>
    <w:rsid w:val="003A220C"/>
    <w:rsid w:val="003A26AA"/>
    <w:rsid w:val="003A282A"/>
    <w:rsid w:val="003A2DC5"/>
    <w:rsid w:val="003A34DB"/>
    <w:rsid w:val="003A383E"/>
    <w:rsid w:val="003A3A9A"/>
    <w:rsid w:val="003A3B13"/>
    <w:rsid w:val="003A3C91"/>
    <w:rsid w:val="003A3DBE"/>
    <w:rsid w:val="003A44FE"/>
    <w:rsid w:val="003A47D0"/>
    <w:rsid w:val="003A4B55"/>
    <w:rsid w:val="003A4D7B"/>
    <w:rsid w:val="003A50CA"/>
    <w:rsid w:val="003A5A94"/>
    <w:rsid w:val="003A61ED"/>
    <w:rsid w:val="003A6823"/>
    <w:rsid w:val="003A7397"/>
    <w:rsid w:val="003A74B5"/>
    <w:rsid w:val="003A74EB"/>
    <w:rsid w:val="003A750A"/>
    <w:rsid w:val="003A77C7"/>
    <w:rsid w:val="003A7A32"/>
    <w:rsid w:val="003A7B29"/>
    <w:rsid w:val="003A7DB7"/>
    <w:rsid w:val="003A7FC3"/>
    <w:rsid w:val="003A7FE7"/>
    <w:rsid w:val="003B0804"/>
    <w:rsid w:val="003B130B"/>
    <w:rsid w:val="003B134A"/>
    <w:rsid w:val="003B1F08"/>
    <w:rsid w:val="003B25D5"/>
    <w:rsid w:val="003B294F"/>
    <w:rsid w:val="003B29A2"/>
    <w:rsid w:val="003B33D1"/>
    <w:rsid w:val="003B3712"/>
    <w:rsid w:val="003B3AD2"/>
    <w:rsid w:val="003B3DF1"/>
    <w:rsid w:val="003B44C6"/>
    <w:rsid w:val="003B4602"/>
    <w:rsid w:val="003B46DA"/>
    <w:rsid w:val="003B4D5C"/>
    <w:rsid w:val="003B4E58"/>
    <w:rsid w:val="003B572C"/>
    <w:rsid w:val="003B583B"/>
    <w:rsid w:val="003B58CA"/>
    <w:rsid w:val="003B5B35"/>
    <w:rsid w:val="003B5FC5"/>
    <w:rsid w:val="003B6733"/>
    <w:rsid w:val="003B7389"/>
    <w:rsid w:val="003B739D"/>
    <w:rsid w:val="003B7687"/>
    <w:rsid w:val="003B768B"/>
    <w:rsid w:val="003B7A8B"/>
    <w:rsid w:val="003C0855"/>
    <w:rsid w:val="003C0888"/>
    <w:rsid w:val="003C135C"/>
    <w:rsid w:val="003C1468"/>
    <w:rsid w:val="003C1921"/>
    <w:rsid w:val="003C19DF"/>
    <w:rsid w:val="003C1A3C"/>
    <w:rsid w:val="003C2133"/>
    <w:rsid w:val="003C23B4"/>
    <w:rsid w:val="003C247D"/>
    <w:rsid w:val="003C26B9"/>
    <w:rsid w:val="003C2DA7"/>
    <w:rsid w:val="003C377B"/>
    <w:rsid w:val="003C3962"/>
    <w:rsid w:val="003C3E72"/>
    <w:rsid w:val="003C3F6A"/>
    <w:rsid w:val="003C43DB"/>
    <w:rsid w:val="003C45A4"/>
    <w:rsid w:val="003C47AD"/>
    <w:rsid w:val="003C48F0"/>
    <w:rsid w:val="003C4A16"/>
    <w:rsid w:val="003C4D5A"/>
    <w:rsid w:val="003C4EAD"/>
    <w:rsid w:val="003C52E6"/>
    <w:rsid w:val="003C534A"/>
    <w:rsid w:val="003C5887"/>
    <w:rsid w:val="003C5E66"/>
    <w:rsid w:val="003C6081"/>
    <w:rsid w:val="003C60F0"/>
    <w:rsid w:val="003C655D"/>
    <w:rsid w:val="003C6831"/>
    <w:rsid w:val="003C69FB"/>
    <w:rsid w:val="003C70AD"/>
    <w:rsid w:val="003C7246"/>
    <w:rsid w:val="003C7350"/>
    <w:rsid w:val="003C747A"/>
    <w:rsid w:val="003C7699"/>
    <w:rsid w:val="003C7F36"/>
    <w:rsid w:val="003D0D30"/>
    <w:rsid w:val="003D0E0C"/>
    <w:rsid w:val="003D1064"/>
    <w:rsid w:val="003D153D"/>
    <w:rsid w:val="003D17C9"/>
    <w:rsid w:val="003D23A7"/>
    <w:rsid w:val="003D2413"/>
    <w:rsid w:val="003D2922"/>
    <w:rsid w:val="003D2B56"/>
    <w:rsid w:val="003D2BE8"/>
    <w:rsid w:val="003D2E4E"/>
    <w:rsid w:val="003D2F4C"/>
    <w:rsid w:val="003D2FAC"/>
    <w:rsid w:val="003D355D"/>
    <w:rsid w:val="003D35E7"/>
    <w:rsid w:val="003D3B1F"/>
    <w:rsid w:val="003D3B52"/>
    <w:rsid w:val="003D3FA0"/>
    <w:rsid w:val="003D417F"/>
    <w:rsid w:val="003D4486"/>
    <w:rsid w:val="003D44CB"/>
    <w:rsid w:val="003D4756"/>
    <w:rsid w:val="003D4C4E"/>
    <w:rsid w:val="003D4C8F"/>
    <w:rsid w:val="003D4DEC"/>
    <w:rsid w:val="003D55C9"/>
    <w:rsid w:val="003D5739"/>
    <w:rsid w:val="003D57BD"/>
    <w:rsid w:val="003D57C4"/>
    <w:rsid w:val="003D57F2"/>
    <w:rsid w:val="003D58DF"/>
    <w:rsid w:val="003D5FB5"/>
    <w:rsid w:val="003D6336"/>
    <w:rsid w:val="003D63F0"/>
    <w:rsid w:val="003D6488"/>
    <w:rsid w:val="003D65D8"/>
    <w:rsid w:val="003D6931"/>
    <w:rsid w:val="003D6A57"/>
    <w:rsid w:val="003D6B5E"/>
    <w:rsid w:val="003D6C92"/>
    <w:rsid w:val="003D6CC3"/>
    <w:rsid w:val="003D6EE3"/>
    <w:rsid w:val="003D740F"/>
    <w:rsid w:val="003D75B9"/>
    <w:rsid w:val="003D7A22"/>
    <w:rsid w:val="003D7CD2"/>
    <w:rsid w:val="003E0037"/>
    <w:rsid w:val="003E0107"/>
    <w:rsid w:val="003E02AD"/>
    <w:rsid w:val="003E0931"/>
    <w:rsid w:val="003E0CD4"/>
    <w:rsid w:val="003E113C"/>
    <w:rsid w:val="003E11F4"/>
    <w:rsid w:val="003E1AB1"/>
    <w:rsid w:val="003E1D8D"/>
    <w:rsid w:val="003E277B"/>
    <w:rsid w:val="003E2C20"/>
    <w:rsid w:val="003E2E15"/>
    <w:rsid w:val="003E30E2"/>
    <w:rsid w:val="003E30F5"/>
    <w:rsid w:val="003E31C7"/>
    <w:rsid w:val="003E3660"/>
    <w:rsid w:val="003E3CF1"/>
    <w:rsid w:val="003E3DCD"/>
    <w:rsid w:val="003E4E42"/>
    <w:rsid w:val="003E5BD8"/>
    <w:rsid w:val="003E5C8A"/>
    <w:rsid w:val="003E6010"/>
    <w:rsid w:val="003E609F"/>
    <w:rsid w:val="003E6856"/>
    <w:rsid w:val="003E6B3E"/>
    <w:rsid w:val="003E7136"/>
    <w:rsid w:val="003E72D8"/>
    <w:rsid w:val="003E72F1"/>
    <w:rsid w:val="003E730C"/>
    <w:rsid w:val="003E787D"/>
    <w:rsid w:val="003E7C94"/>
    <w:rsid w:val="003F045E"/>
    <w:rsid w:val="003F0486"/>
    <w:rsid w:val="003F0B9B"/>
    <w:rsid w:val="003F0C73"/>
    <w:rsid w:val="003F0EF1"/>
    <w:rsid w:val="003F1827"/>
    <w:rsid w:val="003F1988"/>
    <w:rsid w:val="003F1E2D"/>
    <w:rsid w:val="003F212D"/>
    <w:rsid w:val="003F2187"/>
    <w:rsid w:val="003F2303"/>
    <w:rsid w:val="003F2408"/>
    <w:rsid w:val="003F2594"/>
    <w:rsid w:val="003F2874"/>
    <w:rsid w:val="003F2F3B"/>
    <w:rsid w:val="003F3186"/>
    <w:rsid w:val="003F3496"/>
    <w:rsid w:val="003F36B7"/>
    <w:rsid w:val="003F3795"/>
    <w:rsid w:val="003F3D59"/>
    <w:rsid w:val="003F3F4C"/>
    <w:rsid w:val="003F3FCB"/>
    <w:rsid w:val="003F443E"/>
    <w:rsid w:val="003F457C"/>
    <w:rsid w:val="003F47C8"/>
    <w:rsid w:val="003F4C90"/>
    <w:rsid w:val="003F4CB4"/>
    <w:rsid w:val="003F56F4"/>
    <w:rsid w:val="003F59AE"/>
    <w:rsid w:val="003F5C2E"/>
    <w:rsid w:val="003F5DEA"/>
    <w:rsid w:val="003F5FE8"/>
    <w:rsid w:val="003F6600"/>
    <w:rsid w:val="003F6BBD"/>
    <w:rsid w:val="003F6E2C"/>
    <w:rsid w:val="003F6FD0"/>
    <w:rsid w:val="003F7067"/>
    <w:rsid w:val="003F76A9"/>
    <w:rsid w:val="003F76DB"/>
    <w:rsid w:val="003F77AB"/>
    <w:rsid w:val="003F7BAD"/>
    <w:rsid w:val="003F7F58"/>
    <w:rsid w:val="004000B6"/>
    <w:rsid w:val="0040015B"/>
    <w:rsid w:val="004002F2"/>
    <w:rsid w:val="00400330"/>
    <w:rsid w:val="0040056A"/>
    <w:rsid w:val="004006E2"/>
    <w:rsid w:val="0040073B"/>
    <w:rsid w:val="004007E1"/>
    <w:rsid w:val="00400905"/>
    <w:rsid w:val="00400D86"/>
    <w:rsid w:val="00400E15"/>
    <w:rsid w:val="0040135B"/>
    <w:rsid w:val="004015D5"/>
    <w:rsid w:val="004016DD"/>
    <w:rsid w:val="004017E1"/>
    <w:rsid w:val="00401C4A"/>
    <w:rsid w:val="00401D48"/>
    <w:rsid w:val="00401F63"/>
    <w:rsid w:val="00401FE0"/>
    <w:rsid w:val="00402018"/>
    <w:rsid w:val="004020F8"/>
    <w:rsid w:val="004029D6"/>
    <w:rsid w:val="00402E1B"/>
    <w:rsid w:val="00402E7E"/>
    <w:rsid w:val="00403BD6"/>
    <w:rsid w:val="00403C39"/>
    <w:rsid w:val="00403D63"/>
    <w:rsid w:val="00403F19"/>
    <w:rsid w:val="004043A5"/>
    <w:rsid w:val="00404702"/>
    <w:rsid w:val="00404CCF"/>
    <w:rsid w:val="00404FB2"/>
    <w:rsid w:val="00405095"/>
    <w:rsid w:val="004059A5"/>
    <w:rsid w:val="00405BA1"/>
    <w:rsid w:val="004064F4"/>
    <w:rsid w:val="00406807"/>
    <w:rsid w:val="00406E69"/>
    <w:rsid w:val="00407205"/>
    <w:rsid w:val="00407B49"/>
    <w:rsid w:val="00407CA8"/>
    <w:rsid w:val="00407DAE"/>
    <w:rsid w:val="00410A60"/>
    <w:rsid w:val="00410B16"/>
    <w:rsid w:val="00410FBA"/>
    <w:rsid w:val="004116D0"/>
    <w:rsid w:val="00411814"/>
    <w:rsid w:val="00411B74"/>
    <w:rsid w:val="00411E36"/>
    <w:rsid w:val="0041206E"/>
    <w:rsid w:val="004123C5"/>
    <w:rsid w:val="0041249A"/>
    <w:rsid w:val="004128FF"/>
    <w:rsid w:val="00412A2F"/>
    <w:rsid w:val="00413674"/>
    <w:rsid w:val="0041399F"/>
    <w:rsid w:val="00413AFE"/>
    <w:rsid w:val="00413DDE"/>
    <w:rsid w:val="00413E76"/>
    <w:rsid w:val="0041424E"/>
    <w:rsid w:val="004146F8"/>
    <w:rsid w:val="004147E7"/>
    <w:rsid w:val="00414B95"/>
    <w:rsid w:val="00414EBA"/>
    <w:rsid w:val="004150B8"/>
    <w:rsid w:val="004155E6"/>
    <w:rsid w:val="00415F86"/>
    <w:rsid w:val="00416141"/>
    <w:rsid w:val="0041622E"/>
    <w:rsid w:val="0041627D"/>
    <w:rsid w:val="0041644D"/>
    <w:rsid w:val="004167D7"/>
    <w:rsid w:val="0041692B"/>
    <w:rsid w:val="0041695C"/>
    <w:rsid w:val="00416B34"/>
    <w:rsid w:val="00416C85"/>
    <w:rsid w:val="00416E87"/>
    <w:rsid w:val="0041705C"/>
    <w:rsid w:val="004172F9"/>
    <w:rsid w:val="004173DF"/>
    <w:rsid w:val="00417A45"/>
    <w:rsid w:val="00420523"/>
    <w:rsid w:val="00420692"/>
    <w:rsid w:val="00420A26"/>
    <w:rsid w:val="00420CE8"/>
    <w:rsid w:val="004210B9"/>
    <w:rsid w:val="00421515"/>
    <w:rsid w:val="00421C5D"/>
    <w:rsid w:val="00421D89"/>
    <w:rsid w:val="004221DF"/>
    <w:rsid w:val="00422410"/>
    <w:rsid w:val="0042267F"/>
    <w:rsid w:val="00422A2B"/>
    <w:rsid w:val="00422A56"/>
    <w:rsid w:val="00422E53"/>
    <w:rsid w:val="00423A09"/>
    <w:rsid w:val="00423BE7"/>
    <w:rsid w:val="00423E73"/>
    <w:rsid w:val="00423EE2"/>
    <w:rsid w:val="00424245"/>
    <w:rsid w:val="0042500C"/>
    <w:rsid w:val="004252AA"/>
    <w:rsid w:val="00425886"/>
    <w:rsid w:val="00425AB5"/>
    <w:rsid w:val="00425C7F"/>
    <w:rsid w:val="00425CC1"/>
    <w:rsid w:val="00425EFF"/>
    <w:rsid w:val="00425F42"/>
    <w:rsid w:val="0042600C"/>
    <w:rsid w:val="0042603B"/>
    <w:rsid w:val="0042740F"/>
    <w:rsid w:val="0042756B"/>
    <w:rsid w:val="00427C0B"/>
    <w:rsid w:val="00427DFB"/>
    <w:rsid w:val="0043027A"/>
    <w:rsid w:val="00430B35"/>
    <w:rsid w:val="00430CF8"/>
    <w:rsid w:val="00431B9C"/>
    <w:rsid w:val="00431BDE"/>
    <w:rsid w:val="00431F45"/>
    <w:rsid w:val="0043216F"/>
    <w:rsid w:val="0043291F"/>
    <w:rsid w:val="0043292B"/>
    <w:rsid w:val="00432DF5"/>
    <w:rsid w:val="00432E7A"/>
    <w:rsid w:val="00432F09"/>
    <w:rsid w:val="004330B7"/>
    <w:rsid w:val="004331EC"/>
    <w:rsid w:val="004333DE"/>
    <w:rsid w:val="00433A39"/>
    <w:rsid w:val="00433CBD"/>
    <w:rsid w:val="004346B0"/>
    <w:rsid w:val="004347B5"/>
    <w:rsid w:val="00434922"/>
    <w:rsid w:val="00434A22"/>
    <w:rsid w:val="00434ACE"/>
    <w:rsid w:val="00434DB6"/>
    <w:rsid w:val="00434E78"/>
    <w:rsid w:val="004354B1"/>
    <w:rsid w:val="00435764"/>
    <w:rsid w:val="00435802"/>
    <w:rsid w:val="004358FA"/>
    <w:rsid w:val="00435AD6"/>
    <w:rsid w:val="00435BDE"/>
    <w:rsid w:val="00435CD3"/>
    <w:rsid w:val="00435E5E"/>
    <w:rsid w:val="004365A2"/>
    <w:rsid w:val="00436B64"/>
    <w:rsid w:val="00436C41"/>
    <w:rsid w:val="004406D0"/>
    <w:rsid w:val="004407E7"/>
    <w:rsid w:val="00440BF5"/>
    <w:rsid w:val="00441970"/>
    <w:rsid w:val="00441A26"/>
    <w:rsid w:val="004420BB"/>
    <w:rsid w:val="00442169"/>
    <w:rsid w:val="00442289"/>
    <w:rsid w:val="00442321"/>
    <w:rsid w:val="004424A8"/>
    <w:rsid w:val="004425F3"/>
    <w:rsid w:val="00442CF8"/>
    <w:rsid w:val="00442DE0"/>
    <w:rsid w:val="00442FC6"/>
    <w:rsid w:val="004434A4"/>
    <w:rsid w:val="004434F9"/>
    <w:rsid w:val="00443780"/>
    <w:rsid w:val="00443844"/>
    <w:rsid w:val="00443E1A"/>
    <w:rsid w:val="00444222"/>
    <w:rsid w:val="00444379"/>
    <w:rsid w:val="00444463"/>
    <w:rsid w:val="00444534"/>
    <w:rsid w:val="00444A76"/>
    <w:rsid w:val="00444AEF"/>
    <w:rsid w:val="00444BAF"/>
    <w:rsid w:val="00444BEA"/>
    <w:rsid w:val="00444F2F"/>
    <w:rsid w:val="00444F50"/>
    <w:rsid w:val="00445014"/>
    <w:rsid w:val="00445030"/>
    <w:rsid w:val="004457C2"/>
    <w:rsid w:val="00445818"/>
    <w:rsid w:val="00445F9F"/>
    <w:rsid w:val="00445FC5"/>
    <w:rsid w:val="00446227"/>
    <w:rsid w:val="004463D9"/>
    <w:rsid w:val="004465CA"/>
    <w:rsid w:val="00446833"/>
    <w:rsid w:val="00446908"/>
    <w:rsid w:val="0044696E"/>
    <w:rsid w:val="004470FE"/>
    <w:rsid w:val="004473AB"/>
    <w:rsid w:val="004475B2"/>
    <w:rsid w:val="00447703"/>
    <w:rsid w:val="00447760"/>
    <w:rsid w:val="0044796F"/>
    <w:rsid w:val="00447DD3"/>
    <w:rsid w:val="00447FC7"/>
    <w:rsid w:val="0045025C"/>
    <w:rsid w:val="004505AD"/>
    <w:rsid w:val="004505C4"/>
    <w:rsid w:val="004509DD"/>
    <w:rsid w:val="00450AE2"/>
    <w:rsid w:val="00450DBB"/>
    <w:rsid w:val="004511BE"/>
    <w:rsid w:val="004513D3"/>
    <w:rsid w:val="00451685"/>
    <w:rsid w:val="00451801"/>
    <w:rsid w:val="00451AF7"/>
    <w:rsid w:val="00451E31"/>
    <w:rsid w:val="00451F0B"/>
    <w:rsid w:val="00452002"/>
    <w:rsid w:val="004522BC"/>
    <w:rsid w:val="00452371"/>
    <w:rsid w:val="00452A49"/>
    <w:rsid w:val="00452A9D"/>
    <w:rsid w:val="00452E5A"/>
    <w:rsid w:val="00453360"/>
    <w:rsid w:val="0045393F"/>
    <w:rsid w:val="00453946"/>
    <w:rsid w:val="00453F79"/>
    <w:rsid w:val="004545BD"/>
    <w:rsid w:val="0045489A"/>
    <w:rsid w:val="00454B02"/>
    <w:rsid w:val="00454B2C"/>
    <w:rsid w:val="00454B4D"/>
    <w:rsid w:val="00454C83"/>
    <w:rsid w:val="00454F63"/>
    <w:rsid w:val="004550A7"/>
    <w:rsid w:val="00455126"/>
    <w:rsid w:val="00455257"/>
    <w:rsid w:val="004555AF"/>
    <w:rsid w:val="00455703"/>
    <w:rsid w:val="0045576C"/>
    <w:rsid w:val="004558AC"/>
    <w:rsid w:val="00455940"/>
    <w:rsid w:val="00455AFC"/>
    <w:rsid w:val="00455BCC"/>
    <w:rsid w:val="00455E4D"/>
    <w:rsid w:val="0045657B"/>
    <w:rsid w:val="00456BAA"/>
    <w:rsid w:val="00456C62"/>
    <w:rsid w:val="00456F22"/>
    <w:rsid w:val="00456F8D"/>
    <w:rsid w:val="00457675"/>
    <w:rsid w:val="0045776D"/>
    <w:rsid w:val="00457928"/>
    <w:rsid w:val="00457AE5"/>
    <w:rsid w:val="00457B78"/>
    <w:rsid w:val="0046018B"/>
    <w:rsid w:val="0046028D"/>
    <w:rsid w:val="0046096F"/>
    <w:rsid w:val="00460F41"/>
    <w:rsid w:val="004610C0"/>
    <w:rsid w:val="00461A01"/>
    <w:rsid w:val="004620C2"/>
    <w:rsid w:val="0046239A"/>
    <w:rsid w:val="004627BB"/>
    <w:rsid w:val="0046295F"/>
    <w:rsid w:val="00462D88"/>
    <w:rsid w:val="00462F37"/>
    <w:rsid w:val="00463141"/>
    <w:rsid w:val="00463431"/>
    <w:rsid w:val="00463551"/>
    <w:rsid w:val="00463DD2"/>
    <w:rsid w:val="004640FF"/>
    <w:rsid w:val="0046437A"/>
    <w:rsid w:val="00464471"/>
    <w:rsid w:val="004646C4"/>
    <w:rsid w:val="00465182"/>
    <w:rsid w:val="0046532F"/>
    <w:rsid w:val="004653C3"/>
    <w:rsid w:val="00465DC7"/>
    <w:rsid w:val="00465EC1"/>
    <w:rsid w:val="00466512"/>
    <w:rsid w:val="004666A5"/>
    <w:rsid w:val="00466C58"/>
    <w:rsid w:val="0046769C"/>
    <w:rsid w:val="00467CF8"/>
    <w:rsid w:val="00467F10"/>
    <w:rsid w:val="004705E6"/>
    <w:rsid w:val="00470662"/>
    <w:rsid w:val="004709AA"/>
    <w:rsid w:val="00470C78"/>
    <w:rsid w:val="00470EA0"/>
    <w:rsid w:val="00470EED"/>
    <w:rsid w:val="00470FE6"/>
    <w:rsid w:val="00471128"/>
    <w:rsid w:val="004714FB"/>
    <w:rsid w:val="00471DE1"/>
    <w:rsid w:val="00472552"/>
    <w:rsid w:val="00473584"/>
    <w:rsid w:val="00473691"/>
    <w:rsid w:val="004738A4"/>
    <w:rsid w:val="00473F8A"/>
    <w:rsid w:val="0047404C"/>
    <w:rsid w:val="0047430F"/>
    <w:rsid w:val="004743A3"/>
    <w:rsid w:val="00474422"/>
    <w:rsid w:val="00474912"/>
    <w:rsid w:val="004749ED"/>
    <w:rsid w:val="00474A76"/>
    <w:rsid w:val="00474BA9"/>
    <w:rsid w:val="00474CFC"/>
    <w:rsid w:val="00475037"/>
    <w:rsid w:val="00475090"/>
    <w:rsid w:val="00475227"/>
    <w:rsid w:val="00475689"/>
    <w:rsid w:val="00475711"/>
    <w:rsid w:val="004758CE"/>
    <w:rsid w:val="00475A13"/>
    <w:rsid w:val="00475DA9"/>
    <w:rsid w:val="00475FA1"/>
    <w:rsid w:val="0047606A"/>
    <w:rsid w:val="00476950"/>
    <w:rsid w:val="00476E81"/>
    <w:rsid w:val="0047742D"/>
    <w:rsid w:val="0048013B"/>
    <w:rsid w:val="00480446"/>
    <w:rsid w:val="00480575"/>
    <w:rsid w:val="00480B35"/>
    <w:rsid w:val="00481032"/>
    <w:rsid w:val="0048112C"/>
    <w:rsid w:val="00481254"/>
    <w:rsid w:val="004819B0"/>
    <w:rsid w:val="00481A3F"/>
    <w:rsid w:val="00481C3A"/>
    <w:rsid w:val="004825A2"/>
    <w:rsid w:val="00482BFB"/>
    <w:rsid w:val="00482DF8"/>
    <w:rsid w:val="00482E0D"/>
    <w:rsid w:val="0048321A"/>
    <w:rsid w:val="00483443"/>
    <w:rsid w:val="0048360A"/>
    <w:rsid w:val="00483763"/>
    <w:rsid w:val="00483A97"/>
    <w:rsid w:val="00483D27"/>
    <w:rsid w:val="00483D6C"/>
    <w:rsid w:val="00483DCF"/>
    <w:rsid w:val="0048428A"/>
    <w:rsid w:val="00484BFC"/>
    <w:rsid w:val="00485038"/>
    <w:rsid w:val="00485058"/>
    <w:rsid w:val="0048514A"/>
    <w:rsid w:val="004853BA"/>
    <w:rsid w:val="00485C28"/>
    <w:rsid w:val="00485E8A"/>
    <w:rsid w:val="00486277"/>
    <w:rsid w:val="00486840"/>
    <w:rsid w:val="00486A50"/>
    <w:rsid w:val="00486A66"/>
    <w:rsid w:val="00486F0D"/>
    <w:rsid w:val="00487366"/>
    <w:rsid w:val="004873E1"/>
    <w:rsid w:val="004874E1"/>
    <w:rsid w:val="004879AD"/>
    <w:rsid w:val="00487D4E"/>
    <w:rsid w:val="00490165"/>
    <w:rsid w:val="0049016F"/>
    <w:rsid w:val="00490A9F"/>
    <w:rsid w:val="00490F2E"/>
    <w:rsid w:val="0049133A"/>
    <w:rsid w:val="004913BF"/>
    <w:rsid w:val="00491408"/>
    <w:rsid w:val="004919ED"/>
    <w:rsid w:val="00491DB7"/>
    <w:rsid w:val="004922DA"/>
    <w:rsid w:val="00492323"/>
    <w:rsid w:val="004923A7"/>
    <w:rsid w:val="0049270F"/>
    <w:rsid w:val="00492842"/>
    <w:rsid w:val="0049286D"/>
    <w:rsid w:val="00492A46"/>
    <w:rsid w:val="00492BD9"/>
    <w:rsid w:val="00492D5C"/>
    <w:rsid w:val="00492DB4"/>
    <w:rsid w:val="00493145"/>
    <w:rsid w:val="004931B7"/>
    <w:rsid w:val="004933BE"/>
    <w:rsid w:val="0049340A"/>
    <w:rsid w:val="0049342C"/>
    <w:rsid w:val="00493A9C"/>
    <w:rsid w:val="004940DB"/>
    <w:rsid w:val="00494239"/>
    <w:rsid w:val="00494872"/>
    <w:rsid w:val="00494942"/>
    <w:rsid w:val="0049499A"/>
    <w:rsid w:val="0049542C"/>
    <w:rsid w:val="0049572B"/>
    <w:rsid w:val="00495917"/>
    <w:rsid w:val="0049597F"/>
    <w:rsid w:val="00496331"/>
    <w:rsid w:val="00496C2C"/>
    <w:rsid w:val="00496F53"/>
    <w:rsid w:val="00497096"/>
    <w:rsid w:val="004976CF"/>
    <w:rsid w:val="0049784F"/>
    <w:rsid w:val="004979EA"/>
    <w:rsid w:val="00497A38"/>
    <w:rsid w:val="00497EC9"/>
    <w:rsid w:val="004A00DD"/>
    <w:rsid w:val="004A0125"/>
    <w:rsid w:val="004A01FF"/>
    <w:rsid w:val="004A0303"/>
    <w:rsid w:val="004A06DD"/>
    <w:rsid w:val="004A080C"/>
    <w:rsid w:val="004A1217"/>
    <w:rsid w:val="004A15FA"/>
    <w:rsid w:val="004A1A04"/>
    <w:rsid w:val="004A1A2E"/>
    <w:rsid w:val="004A1FEB"/>
    <w:rsid w:val="004A21C1"/>
    <w:rsid w:val="004A265E"/>
    <w:rsid w:val="004A2C94"/>
    <w:rsid w:val="004A3353"/>
    <w:rsid w:val="004A37CA"/>
    <w:rsid w:val="004A3843"/>
    <w:rsid w:val="004A3EFA"/>
    <w:rsid w:val="004A45F4"/>
    <w:rsid w:val="004A479B"/>
    <w:rsid w:val="004A4DAC"/>
    <w:rsid w:val="004A5966"/>
    <w:rsid w:val="004A597D"/>
    <w:rsid w:val="004A5A41"/>
    <w:rsid w:val="004A5C0C"/>
    <w:rsid w:val="004A5FF2"/>
    <w:rsid w:val="004A6370"/>
    <w:rsid w:val="004A6434"/>
    <w:rsid w:val="004A6628"/>
    <w:rsid w:val="004A6711"/>
    <w:rsid w:val="004A69CF"/>
    <w:rsid w:val="004A6A7F"/>
    <w:rsid w:val="004A70D4"/>
    <w:rsid w:val="004A7149"/>
    <w:rsid w:val="004A741D"/>
    <w:rsid w:val="004A7A3B"/>
    <w:rsid w:val="004B0238"/>
    <w:rsid w:val="004B0469"/>
    <w:rsid w:val="004B091C"/>
    <w:rsid w:val="004B0AB9"/>
    <w:rsid w:val="004B0B2B"/>
    <w:rsid w:val="004B0C3C"/>
    <w:rsid w:val="004B0DF2"/>
    <w:rsid w:val="004B114C"/>
    <w:rsid w:val="004B12BD"/>
    <w:rsid w:val="004B1F10"/>
    <w:rsid w:val="004B2948"/>
    <w:rsid w:val="004B2B22"/>
    <w:rsid w:val="004B2D0C"/>
    <w:rsid w:val="004B2E49"/>
    <w:rsid w:val="004B2F6B"/>
    <w:rsid w:val="004B330A"/>
    <w:rsid w:val="004B35CE"/>
    <w:rsid w:val="004B3CB3"/>
    <w:rsid w:val="004B4439"/>
    <w:rsid w:val="004B47C1"/>
    <w:rsid w:val="004B4A0B"/>
    <w:rsid w:val="004B4ADA"/>
    <w:rsid w:val="004B520C"/>
    <w:rsid w:val="004B5F67"/>
    <w:rsid w:val="004B601F"/>
    <w:rsid w:val="004B6607"/>
    <w:rsid w:val="004B66B6"/>
    <w:rsid w:val="004B6BE6"/>
    <w:rsid w:val="004B6E34"/>
    <w:rsid w:val="004B7255"/>
    <w:rsid w:val="004B7603"/>
    <w:rsid w:val="004B76D3"/>
    <w:rsid w:val="004B7841"/>
    <w:rsid w:val="004B78D2"/>
    <w:rsid w:val="004B7C22"/>
    <w:rsid w:val="004B7C4B"/>
    <w:rsid w:val="004B7D0A"/>
    <w:rsid w:val="004B7ECB"/>
    <w:rsid w:val="004B7FD5"/>
    <w:rsid w:val="004C01E1"/>
    <w:rsid w:val="004C0740"/>
    <w:rsid w:val="004C08E3"/>
    <w:rsid w:val="004C0AE9"/>
    <w:rsid w:val="004C0C0D"/>
    <w:rsid w:val="004C14D3"/>
    <w:rsid w:val="004C185A"/>
    <w:rsid w:val="004C1B05"/>
    <w:rsid w:val="004C1C8A"/>
    <w:rsid w:val="004C1FE7"/>
    <w:rsid w:val="004C2022"/>
    <w:rsid w:val="004C2553"/>
    <w:rsid w:val="004C2680"/>
    <w:rsid w:val="004C27AB"/>
    <w:rsid w:val="004C2AB8"/>
    <w:rsid w:val="004C2D7F"/>
    <w:rsid w:val="004C379D"/>
    <w:rsid w:val="004C3F82"/>
    <w:rsid w:val="004C43A8"/>
    <w:rsid w:val="004C4490"/>
    <w:rsid w:val="004C4887"/>
    <w:rsid w:val="004C4A1D"/>
    <w:rsid w:val="004C4C49"/>
    <w:rsid w:val="004C4DBA"/>
    <w:rsid w:val="004C4F2D"/>
    <w:rsid w:val="004C598D"/>
    <w:rsid w:val="004C5AB9"/>
    <w:rsid w:val="004C60F9"/>
    <w:rsid w:val="004C6446"/>
    <w:rsid w:val="004C6506"/>
    <w:rsid w:val="004C66A9"/>
    <w:rsid w:val="004C6F28"/>
    <w:rsid w:val="004C6FD6"/>
    <w:rsid w:val="004C7276"/>
    <w:rsid w:val="004C75F1"/>
    <w:rsid w:val="004C7683"/>
    <w:rsid w:val="004C7FF4"/>
    <w:rsid w:val="004D030D"/>
    <w:rsid w:val="004D0541"/>
    <w:rsid w:val="004D06B6"/>
    <w:rsid w:val="004D0E79"/>
    <w:rsid w:val="004D1AD3"/>
    <w:rsid w:val="004D1B13"/>
    <w:rsid w:val="004D1B46"/>
    <w:rsid w:val="004D24E2"/>
    <w:rsid w:val="004D2591"/>
    <w:rsid w:val="004D2870"/>
    <w:rsid w:val="004D32EC"/>
    <w:rsid w:val="004D330D"/>
    <w:rsid w:val="004D361E"/>
    <w:rsid w:val="004D3B80"/>
    <w:rsid w:val="004D3CB9"/>
    <w:rsid w:val="004D3CDE"/>
    <w:rsid w:val="004D3D55"/>
    <w:rsid w:val="004D3EBD"/>
    <w:rsid w:val="004D3EF9"/>
    <w:rsid w:val="004D3F27"/>
    <w:rsid w:val="004D4350"/>
    <w:rsid w:val="004D437A"/>
    <w:rsid w:val="004D4402"/>
    <w:rsid w:val="004D448E"/>
    <w:rsid w:val="004D4540"/>
    <w:rsid w:val="004D47BE"/>
    <w:rsid w:val="004D4B8C"/>
    <w:rsid w:val="004D5451"/>
    <w:rsid w:val="004D559C"/>
    <w:rsid w:val="004D5B67"/>
    <w:rsid w:val="004D5EC0"/>
    <w:rsid w:val="004D5F84"/>
    <w:rsid w:val="004D63E3"/>
    <w:rsid w:val="004D64AB"/>
    <w:rsid w:val="004D6524"/>
    <w:rsid w:val="004D678B"/>
    <w:rsid w:val="004D6CA8"/>
    <w:rsid w:val="004D6FEE"/>
    <w:rsid w:val="004D7187"/>
    <w:rsid w:val="004D7D01"/>
    <w:rsid w:val="004E0D0F"/>
    <w:rsid w:val="004E1224"/>
    <w:rsid w:val="004E15F8"/>
    <w:rsid w:val="004E1DC3"/>
    <w:rsid w:val="004E1DD8"/>
    <w:rsid w:val="004E1EB8"/>
    <w:rsid w:val="004E20E4"/>
    <w:rsid w:val="004E2377"/>
    <w:rsid w:val="004E2C48"/>
    <w:rsid w:val="004E3014"/>
    <w:rsid w:val="004E35EE"/>
    <w:rsid w:val="004E3770"/>
    <w:rsid w:val="004E3CAB"/>
    <w:rsid w:val="004E40E7"/>
    <w:rsid w:val="004E4466"/>
    <w:rsid w:val="004E4B26"/>
    <w:rsid w:val="004E4B61"/>
    <w:rsid w:val="004E4F9F"/>
    <w:rsid w:val="004E53E6"/>
    <w:rsid w:val="004E5A05"/>
    <w:rsid w:val="004E5B79"/>
    <w:rsid w:val="004E5F40"/>
    <w:rsid w:val="004E6031"/>
    <w:rsid w:val="004E6070"/>
    <w:rsid w:val="004E6584"/>
    <w:rsid w:val="004E663E"/>
    <w:rsid w:val="004E6760"/>
    <w:rsid w:val="004E74CC"/>
    <w:rsid w:val="004E7785"/>
    <w:rsid w:val="004E78CD"/>
    <w:rsid w:val="004E7A25"/>
    <w:rsid w:val="004F0339"/>
    <w:rsid w:val="004F0A4B"/>
    <w:rsid w:val="004F0C0D"/>
    <w:rsid w:val="004F11A8"/>
    <w:rsid w:val="004F1268"/>
    <w:rsid w:val="004F13F9"/>
    <w:rsid w:val="004F177D"/>
    <w:rsid w:val="004F2061"/>
    <w:rsid w:val="004F23D9"/>
    <w:rsid w:val="004F27D6"/>
    <w:rsid w:val="004F28AA"/>
    <w:rsid w:val="004F2A8D"/>
    <w:rsid w:val="004F2AC2"/>
    <w:rsid w:val="004F2B7B"/>
    <w:rsid w:val="004F3362"/>
    <w:rsid w:val="004F341B"/>
    <w:rsid w:val="004F3637"/>
    <w:rsid w:val="004F3803"/>
    <w:rsid w:val="004F386E"/>
    <w:rsid w:val="004F39F3"/>
    <w:rsid w:val="004F3AA3"/>
    <w:rsid w:val="004F3D53"/>
    <w:rsid w:val="004F4001"/>
    <w:rsid w:val="004F43BA"/>
    <w:rsid w:val="004F455F"/>
    <w:rsid w:val="004F4ABF"/>
    <w:rsid w:val="004F5308"/>
    <w:rsid w:val="004F5468"/>
    <w:rsid w:val="004F5567"/>
    <w:rsid w:val="004F562C"/>
    <w:rsid w:val="004F582A"/>
    <w:rsid w:val="004F5E10"/>
    <w:rsid w:val="004F61B0"/>
    <w:rsid w:val="004F6E28"/>
    <w:rsid w:val="004F6E5F"/>
    <w:rsid w:val="004F713B"/>
    <w:rsid w:val="004F719A"/>
    <w:rsid w:val="004F7391"/>
    <w:rsid w:val="004F7446"/>
    <w:rsid w:val="004F77B8"/>
    <w:rsid w:val="004F7989"/>
    <w:rsid w:val="004F7B14"/>
    <w:rsid w:val="005002B4"/>
    <w:rsid w:val="00500937"/>
    <w:rsid w:val="00500AF8"/>
    <w:rsid w:val="00500E65"/>
    <w:rsid w:val="00501225"/>
    <w:rsid w:val="005012B2"/>
    <w:rsid w:val="005015CD"/>
    <w:rsid w:val="00501B40"/>
    <w:rsid w:val="0050252C"/>
    <w:rsid w:val="0050269D"/>
    <w:rsid w:val="00502A28"/>
    <w:rsid w:val="00502B9F"/>
    <w:rsid w:val="00502BA1"/>
    <w:rsid w:val="00502BB6"/>
    <w:rsid w:val="00502DE7"/>
    <w:rsid w:val="005037F7"/>
    <w:rsid w:val="005039AA"/>
    <w:rsid w:val="00503E9C"/>
    <w:rsid w:val="00504322"/>
    <w:rsid w:val="0050483A"/>
    <w:rsid w:val="00504AFD"/>
    <w:rsid w:val="00504CB8"/>
    <w:rsid w:val="00504E98"/>
    <w:rsid w:val="00504F15"/>
    <w:rsid w:val="0050500D"/>
    <w:rsid w:val="00505515"/>
    <w:rsid w:val="0050561D"/>
    <w:rsid w:val="0050581F"/>
    <w:rsid w:val="005058B7"/>
    <w:rsid w:val="00505A7B"/>
    <w:rsid w:val="005063EA"/>
    <w:rsid w:val="00506B4F"/>
    <w:rsid w:val="005072DD"/>
    <w:rsid w:val="00507437"/>
    <w:rsid w:val="00507484"/>
    <w:rsid w:val="00507560"/>
    <w:rsid w:val="0050775B"/>
    <w:rsid w:val="005078F9"/>
    <w:rsid w:val="00510707"/>
    <w:rsid w:val="0051079A"/>
    <w:rsid w:val="00510CA4"/>
    <w:rsid w:val="00510CE2"/>
    <w:rsid w:val="00511173"/>
    <w:rsid w:val="00511377"/>
    <w:rsid w:val="00511621"/>
    <w:rsid w:val="005120F8"/>
    <w:rsid w:val="00512581"/>
    <w:rsid w:val="005129D1"/>
    <w:rsid w:val="00512B0B"/>
    <w:rsid w:val="00512BFF"/>
    <w:rsid w:val="00513297"/>
    <w:rsid w:val="0051354F"/>
    <w:rsid w:val="00513565"/>
    <w:rsid w:val="005136EB"/>
    <w:rsid w:val="00513705"/>
    <w:rsid w:val="0051373C"/>
    <w:rsid w:val="005147D8"/>
    <w:rsid w:val="0051489D"/>
    <w:rsid w:val="00514B22"/>
    <w:rsid w:val="00514D8E"/>
    <w:rsid w:val="00514F50"/>
    <w:rsid w:val="005151E2"/>
    <w:rsid w:val="0051567B"/>
    <w:rsid w:val="00515F5B"/>
    <w:rsid w:val="00516225"/>
    <w:rsid w:val="005162C3"/>
    <w:rsid w:val="005166DC"/>
    <w:rsid w:val="00516AB2"/>
    <w:rsid w:val="00516F2E"/>
    <w:rsid w:val="00516F96"/>
    <w:rsid w:val="00517148"/>
    <w:rsid w:val="00517170"/>
    <w:rsid w:val="00517409"/>
    <w:rsid w:val="00517725"/>
    <w:rsid w:val="00517A01"/>
    <w:rsid w:val="00517A02"/>
    <w:rsid w:val="00517B04"/>
    <w:rsid w:val="00517B67"/>
    <w:rsid w:val="00517DEC"/>
    <w:rsid w:val="005203A5"/>
    <w:rsid w:val="00520653"/>
    <w:rsid w:val="005208A0"/>
    <w:rsid w:val="00520955"/>
    <w:rsid w:val="00520C77"/>
    <w:rsid w:val="00521369"/>
    <w:rsid w:val="00521F1D"/>
    <w:rsid w:val="00521F39"/>
    <w:rsid w:val="005223A4"/>
    <w:rsid w:val="00522607"/>
    <w:rsid w:val="00522B2A"/>
    <w:rsid w:val="00522B3B"/>
    <w:rsid w:val="00522FAC"/>
    <w:rsid w:val="005231EC"/>
    <w:rsid w:val="00523712"/>
    <w:rsid w:val="00523C6E"/>
    <w:rsid w:val="005240A1"/>
    <w:rsid w:val="00524572"/>
    <w:rsid w:val="00524858"/>
    <w:rsid w:val="00524998"/>
    <w:rsid w:val="005249D2"/>
    <w:rsid w:val="00524A7D"/>
    <w:rsid w:val="00524F3A"/>
    <w:rsid w:val="0052509F"/>
    <w:rsid w:val="00525179"/>
    <w:rsid w:val="00525213"/>
    <w:rsid w:val="005255EC"/>
    <w:rsid w:val="00525723"/>
    <w:rsid w:val="00525836"/>
    <w:rsid w:val="00525A26"/>
    <w:rsid w:val="00525F6F"/>
    <w:rsid w:val="0052635E"/>
    <w:rsid w:val="0052636F"/>
    <w:rsid w:val="00526B43"/>
    <w:rsid w:val="00527939"/>
    <w:rsid w:val="00527B41"/>
    <w:rsid w:val="00527BB7"/>
    <w:rsid w:val="00527C0D"/>
    <w:rsid w:val="00527CC4"/>
    <w:rsid w:val="0053018C"/>
    <w:rsid w:val="00530763"/>
    <w:rsid w:val="00530DC3"/>
    <w:rsid w:val="005319E3"/>
    <w:rsid w:val="00531BFC"/>
    <w:rsid w:val="00531CA8"/>
    <w:rsid w:val="00531DAE"/>
    <w:rsid w:val="00531E58"/>
    <w:rsid w:val="00531FEB"/>
    <w:rsid w:val="00532487"/>
    <w:rsid w:val="0053260C"/>
    <w:rsid w:val="00532A09"/>
    <w:rsid w:val="00533131"/>
    <w:rsid w:val="00533423"/>
    <w:rsid w:val="00533697"/>
    <w:rsid w:val="0053388A"/>
    <w:rsid w:val="00533B29"/>
    <w:rsid w:val="00533C73"/>
    <w:rsid w:val="0053483A"/>
    <w:rsid w:val="00534D3F"/>
    <w:rsid w:val="0053507A"/>
    <w:rsid w:val="005350A7"/>
    <w:rsid w:val="005354BA"/>
    <w:rsid w:val="005357DE"/>
    <w:rsid w:val="0053589B"/>
    <w:rsid w:val="005358E0"/>
    <w:rsid w:val="00535DCC"/>
    <w:rsid w:val="0053620F"/>
    <w:rsid w:val="005367DB"/>
    <w:rsid w:val="0053691E"/>
    <w:rsid w:val="00536B4F"/>
    <w:rsid w:val="00536FC8"/>
    <w:rsid w:val="00537382"/>
    <w:rsid w:val="0053743D"/>
    <w:rsid w:val="00537765"/>
    <w:rsid w:val="00537989"/>
    <w:rsid w:val="00537C97"/>
    <w:rsid w:val="00537CE5"/>
    <w:rsid w:val="00537DF8"/>
    <w:rsid w:val="005402FA"/>
    <w:rsid w:val="005406BF"/>
    <w:rsid w:val="005409B7"/>
    <w:rsid w:val="00540C04"/>
    <w:rsid w:val="00541166"/>
    <w:rsid w:val="00541241"/>
    <w:rsid w:val="00541285"/>
    <w:rsid w:val="005416D6"/>
    <w:rsid w:val="0054188B"/>
    <w:rsid w:val="005418A1"/>
    <w:rsid w:val="00541CEE"/>
    <w:rsid w:val="00541D37"/>
    <w:rsid w:val="00542017"/>
    <w:rsid w:val="00542BCB"/>
    <w:rsid w:val="00542C56"/>
    <w:rsid w:val="00543047"/>
    <w:rsid w:val="00543123"/>
    <w:rsid w:val="005431CC"/>
    <w:rsid w:val="00543211"/>
    <w:rsid w:val="00543255"/>
    <w:rsid w:val="005432A7"/>
    <w:rsid w:val="00543766"/>
    <w:rsid w:val="0054392E"/>
    <w:rsid w:val="00543A59"/>
    <w:rsid w:val="0054412F"/>
    <w:rsid w:val="00544396"/>
    <w:rsid w:val="005443F4"/>
    <w:rsid w:val="0054454E"/>
    <w:rsid w:val="00544654"/>
    <w:rsid w:val="0054483A"/>
    <w:rsid w:val="00544A62"/>
    <w:rsid w:val="00544B5A"/>
    <w:rsid w:val="00544BD3"/>
    <w:rsid w:val="00544EC5"/>
    <w:rsid w:val="005452C1"/>
    <w:rsid w:val="00545600"/>
    <w:rsid w:val="0054594E"/>
    <w:rsid w:val="00545B5F"/>
    <w:rsid w:val="00546096"/>
    <w:rsid w:val="0054662B"/>
    <w:rsid w:val="00546758"/>
    <w:rsid w:val="00546B72"/>
    <w:rsid w:val="00546E91"/>
    <w:rsid w:val="0054701C"/>
    <w:rsid w:val="00547317"/>
    <w:rsid w:val="00547BBB"/>
    <w:rsid w:val="00547F6C"/>
    <w:rsid w:val="00547F84"/>
    <w:rsid w:val="0055070A"/>
    <w:rsid w:val="00551029"/>
    <w:rsid w:val="00551194"/>
    <w:rsid w:val="00551511"/>
    <w:rsid w:val="0055152D"/>
    <w:rsid w:val="00551805"/>
    <w:rsid w:val="00552794"/>
    <w:rsid w:val="00552B9B"/>
    <w:rsid w:val="00552BFA"/>
    <w:rsid w:val="00552C9C"/>
    <w:rsid w:val="00552D63"/>
    <w:rsid w:val="00553049"/>
    <w:rsid w:val="00553177"/>
    <w:rsid w:val="0055324D"/>
    <w:rsid w:val="0055371A"/>
    <w:rsid w:val="00553E41"/>
    <w:rsid w:val="0055474A"/>
    <w:rsid w:val="005548CC"/>
    <w:rsid w:val="00554968"/>
    <w:rsid w:val="00554A3F"/>
    <w:rsid w:val="00554CB8"/>
    <w:rsid w:val="00554D93"/>
    <w:rsid w:val="00554FE4"/>
    <w:rsid w:val="00555530"/>
    <w:rsid w:val="00555623"/>
    <w:rsid w:val="00555F3C"/>
    <w:rsid w:val="0055607E"/>
    <w:rsid w:val="00556645"/>
    <w:rsid w:val="0055664E"/>
    <w:rsid w:val="00556784"/>
    <w:rsid w:val="0055788D"/>
    <w:rsid w:val="00557CDE"/>
    <w:rsid w:val="0056067E"/>
    <w:rsid w:val="00560826"/>
    <w:rsid w:val="00560A08"/>
    <w:rsid w:val="00560DFE"/>
    <w:rsid w:val="00561059"/>
    <w:rsid w:val="00561238"/>
    <w:rsid w:val="00561410"/>
    <w:rsid w:val="00561519"/>
    <w:rsid w:val="00561548"/>
    <w:rsid w:val="00561904"/>
    <w:rsid w:val="00561988"/>
    <w:rsid w:val="00561C9B"/>
    <w:rsid w:val="00561CB8"/>
    <w:rsid w:val="00561EA7"/>
    <w:rsid w:val="00562004"/>
    <w:rsid w:val="0056265D"/>
    <w:rsid w:val="005626D8"/>
    <w:rsid w:val="00562B6F"/>
    <w:rsid w:val="00562C98"/>
    <w:rsid w:val="00562E2C"/>
    <w:rsid w:val="005641C3"/>
    <w:rsid w:val="00564285"/>
    <w:rsid w:val="005642E7"/>
    <w:rsid w:val="00564472"/>
    <w:rsid w:val="0056467D"/>
    <w:rsid w:val="00564817"/>
    <w:rsid w:val="0056487D"/>
    <w:rsid w:val="005649C2"/>
    <w:rsid w:val="00564AFB"/>
    <w:rsid w:val="00564B70"/>
    <w:rsid w:val="00564FDE"/>
    <w:rsid w:val="00565097"/>
    <w:rsid w:val="00565188"/>
    <w:rsid w:val="005651DA"/>
    <w:rsid w:val="005655DF"/>
    <w:rsid w:val="0056560C"/>
    <w:rsid w:val="00565C11"/>
    <w:rsid w:val="00565CD7"/>
    <w:rsid w:val="00565CDD"/>
    <w:rsid w:val="00565EB2"/>
    <w:rsid w:val="0056630F"/>
    <w:rsid w:val="005666F6"/>
    <w:rsid w:val="00566A9C"/>
    <w:rsid w:val="00566AD1"/>
    <w:rsid w:val="00566B77"/>
    <w:rsid w:val="005670DD"/>
    <w:rsid w:val="00567A37"/>
    <w:rsid w:val="005705AE"/>
    <w:rsid w:val="005705D3"/>
    <w:rsid w:val="0057151B"/>
    <w:rsid w:val="00571687"/>
    <w:rsid w:val="00571823"/>
    <w:rsid w:val="00571B6D"/>
    <w:rsid w:val="00572031"/>
    <w:rsid w:val="005720FD"/>
    <w:rsid w:val="00572177"/>
    <w:rsid w:val="00572226"/>
    <w:rsid w:val="005722B8"/>
    <w:rsid w:val="00572355"/>
    <w:rsid w:val="005726B7"/>
    <w:rsid w:val="00572960"/>
    <w:rsid w:val="00572966"/>
    <w:rsid w:val="005729F4"/>
    <w:rsid w:val="00572F0E"/>
    <w:rsid w:val="005733C1"/>
    <w:rsid w:val="00573CC1"/>
    <w:rsid w:val="00574054"/>
    <w:rsid w:val="0057452B"/>
    <w:rsid w:val="00574584"/>
    <w:rsid w:val="00574FA4"/>
    <w:rsid w:val="005758C1"/>
    <w:rsid w:val="00575ACA"/>
    <w:rsid w:val="00575DC6"/>
    <w:rsid w:val="005764C3"/>
    <w:rsid w:val="005764D2"/>
    <w:rsid w:val="0057653D"/>
    <w:rsid w:val="005765D1"/>
    <w:rsid w:val="00576695"/>
    <w:rsid w:val="005769D8"/>
    <w:rsid w:val="00576B7E"/>
    <w:rsid w:val="00576BAF"/>
    <w:rsid w:val="005770FE"/>
    <w:rsid w:val="00577191"/>
    <w:rsid w:val="00577386"/>
    <w:rsid w:val="005776DA"/>
    <w:rsid w:val="00577877"/>
    <w:rsid w:val="005779A7"/>
    <w:rsid w:val="00577B34"/>
    <w:rsid w:val="00577F35"/>
    <w:rsid w:val="005801B1"/>
    <w:rsid w:val="00580281"/>
    <w:rsid w:val="00580882"/>
    <w:rsid w:val="005810E2"/>
    <w:rsid w:val="00581FDC"/>
    <w:rsid w:val="005820F6"/>
    <w:rsid w:val="005828D7"/>
    <w:rsid w:val="00582A9F"/>
    <w:rsid w:val="00582ED5"/>
    <w:rsid w:val="00582F29"/>
    <w:rsid w:val="00583028"/>
    <w:rsid w:val="00583030"/>
    <w:rsid w:val="0058308C"/>
    <w:rsid w:val="005831C0"/>
    <w:rsid w:val="00583413"/>
    <w:rsid w:val="00583697"/>
    <w:rsid w:val="005838FC"/>
    <w:rsid w:val="0058391A"/>
    <w:rsid w:val="00583A07"/>
    <w:rsid w:val="00583D25"/>
    <w:rsid w:val="00583EB1"/>
    <w:rsid w:val="00583FBD"/>
    <w:rsid w:val="00584451"/>
    <w:rsid w:val="0058446E"/>
    <w:rsid w:val="005846F4"/>
    <w:rsid w:val="005849D8"/>
    <w:rsid w:val="00584FA6"/>
    <w:rsid w:val="00585368"/>
    <w:rsid w:val="00585434"/>
    <w:rsid w:val="005857BC"/>
    <w:rsid w:val="005858CB"/>
    <w:rsid w:val="00585E35"/>
    <w:rsid w:val="00586127"/>
    <w:rsid w:val="00586344"/>
    <w:rsid w:val="005863E5"/>
    <w:rsid w:val="00586542"/>
    <w:rsid w:val="0058669D"/>
    <w:rsid w:val="00586C2A"/>
    <w:rsid w:val="00587198"/>
    <w:rsid w:val="00587948"/>
    <w:rsid w:val="00587E5C"/>
    <w:rsid w:val="0059000C"/>
    <w:rsid w:val="005904B0"/>
    <w:rsid w:val="00590E63"/>
    <w:rsid w:val="005918AF"/>
    <w:rsid w:val="00591BF3"/>
    <w:rsid w:val="00591D12"/>
    <w:rsid w:val="00592206"/>
    <w:rsid w:val="00592C0C"/>
    <w:rsid w:val="00592FE2"/>
    <w:rsid w:val="005936FC"/>
    <w:rsid w:val="00593B09"/>
    <w:rsid w:val="00594381"/>
    <w:rsid w:val="0059479C"/>
    <w:rsid w:val="00594999"/>
    <w:rsid w:val="00594AF4"/>
    <w:rsid w:val="00595F30"/>
    <w:rsid w:val="00596305"/>
    <w:rsid w:val="00596323"/>
    <w:rsid w:val="0059637E"/>
    <w:rsid w:val="0059656E"/>
    <w:rsid w:val="0059693F"/>
    <w:rsid w:val="00596E23"/>
    <w:rsid w:val="00596FED"/>
    <w:rsid w:val="00597442"/>
    <w:rsid w:val="00597469"/>
    <w:rsid w:val="005A053E"/>
    <w:rsid w:val="005A05D2"/>
    <w:rsid w:val="005A062F"/>
    <w:rsid w:val="005A068C"/>
    <w:rsid w:val="005A09DA"/>
    <w:rsid w:val="005A0A11"/>
    <w:rsid w:val="005A0BC6"/>
    <w:rsid w:val="005A1182"/>
    <w:rsid w:val="005A13AB"/>
    <w:rsid w:val="005A169C"/>
    <w:rsid w:val="005A178E"/>
    <w:rsid w:val="005A1852"/>
    <w:rsid w:val="005A1866"/>
    <w:rsid w:val="005A1E64"/>
    <w:rsid w:val="005A1F9D"/>
    <w:rsid w:val="005A2321"/>
    <w:rsid w:val="005A27D0"/>
    <w:rsid w:val="005A2AE1"/>
    <w:rsid w:val="005A2CF3"/>
    <w:rsid w:val="005A2E03"/>
    <w:rsid w:val="005A30F6"/>
    <w:rsid w:val="005A3132"/>
    <w:rsid w:val="005A3618"/>
    <w:rsid w:val="005A3AF6"/>
    <w:rsid w:val="005A3B73"/>
    <w:rsid w:val="005A3BB8"/>
    <w:rsid w:val="005A485F"/>
    <w:rsid w:val="005A4BAB"/>
    <w:rsid w:val="005A52BD"/>
    <w:rsid w:val="005A534D"/>
    <w:rsid w:val="005A5424"/>
    <w:rsid w:val="005A5535"/>
    <w:rsid w:val="005A5817"/>
    <w:rsid w:val="005A5C22"/>
    <w:rsid w:val="005A5D32"/>
    <w:rsid w:val="005A63AF"/>
    <w:rsid w:val="005A667A"/>
    <w:rsid w:val="005A6820"/>
    <w:rsid w:val="005A6A53"/>
    <w:rsid w:val="005A6EB7"/>
    <w:rsid w:val="005A7190"/>
    <w:rsid w:val="005A7301"/>
    <w:rsid w:val="005A7780"/>
    <w:rsid w:val="005B0210"/>
    <w:rsid w:val="005B058C"/>
    <w:rsid w:val="005B0B98"/>
    <w:rsid w:val="005B0BD2"/>
    <w:rsid w:val="005B0C53"/>
    <w:rsid w:val="005B0F9E"/>
    <w:rsid w:val="005B12C0"/>
    <w:rsid w:val="005B1372"/>
    <w:rsid w:val="005B16B4"/>
    <w:rsid w:val="005B17E1"/>
    <w:rsid w:val="005B1C06"/>
    <w:rsid w:val="005B1E84"/>
    <w:rsid w:val="005B1F1D"/>
    <w:rsid w:val="005B2AA7"/>
    <w:rsid w:val="005B2D6A"/>
    <w:rsid w:val="005B30BE"/>
    <w:rsid w:val="005B3659"/>
    <w:rsid w:val="005B3E46"/>
    <w:rsid w:val="005B3E4F"/>
    <w:rsid w:val="005B3F87"/>
    <w:rsid w:val="005B4320"/>
    <w:rsid w:val="005B46CF"/>
    <w:rsid w:val="005B46F1"/>
    <w:rsid w:val="005B4931"/>
    <w:rsid w:val="005B5152"/>
    <w:rsid w:val="005B51F7"/>
    <w:rsid w:val="005B5D53"/>
    <w:rsid w:val="005B5DD4"/>
    <w:rsid w:val="005B6211"/>
    <w:rsid w:val="005B6973"/>
    <w:rsid w:val="005B6A04"/>
    <w:rsid w:val="005B6A63"/>
    <w:rsid w:val="005B6ABA"/>
    <w:rsid w:val="005B6E62"/>
    <w:rsid w:val="005B723D"/>
    <w:rsid w:val="005B72F1"/>
    <w:rsid w:val="005B75FA"/>
    <w:rsid w:val="005B7792"/>
    <w:rsid w:val="005B7919"/>
    <w:rsid w:val="005B791D"/>
    <w:rsid w:val="005C067C"/>
    <w:rsid w:val="005C0A35"/>
    <w:rsid w:val="005C0DA4"/>
    <w:rsid w:val="005C0E8C"/>
    <w:rsid w:val="005C196E"/>
    <w:rsid w:val="005C1CAD"/>
    <w:rsid w:val="005C1FA0"/>
    <w:rsid w:val="005C23ED"/>
    <w:rsid w:val="005C26C9"/>
    <w:rsid w:val="005C2C8B"/>
    <w:rsid w:val="005C2D41"/>
    <w:rsid w:val="005C2DA3"/>
    <w:rsid w:val="005C342F"/>
    <w:rsid w:val="005C3E2B"/>
    <w:rsid w:val="005C4206"/>
    <w:rsid w:val="005C48A1"/>
    <w:rsid w:val="005C4980"/>
    <w:rsid w:val="005C4B5B"/>
    <w:rsid w:val="005C4C4F"/>
    <w:rsid w:val="005C4CCC"/>
    <w:rsid w:val="005C4D94"/>
    <w:rsid w:val="005C4F0C"/>
    <w:rsid w:val="005C5316"/>
    <w:rsid w:val="005C54B9"/>
    <w:rsid w:val="005C571B"/>
    <w:rsid w:val="005C5A54"/>
    <w:rsid w:val="005C5FB0"/>
    <w:rsid w:val="005C619C"/>
    <w:rsid w:val="005C6745"/>
    <w:rsid w:val="005C67DA"/>
    <w:rsid w:val="005C689B"/>
    <w:rsid w:val="005C769C"/>
    <w:rsid w:val="005C7772"/>
    <w:rsid w:val="005C7977"/>
    <w:rsid w:val="005C7A30"/>
    <w:rsid w:val="005C7ADB"/>
    <w:rsid w:val="005C7EDD"/>
    <w:rsid w:val="005D0143"/>
    <w:rsid w:val="005D025E"/>
    <w:rsid w:val="005D055D"/>
    <w:rsid w:val="005D05CB"/>
    <w:rsid w:val="005D0733"/>
    <w:rsid w:val="005D075E"/>
    <w:rsid w:val="005D0BE1"/>
    <w:rsid w:val="005D170D"/>
    <w:rsid w:val="005D19AD"/>
    <w:rsid w:val="005D1D72"/>
    <w:rsid w:val="005D1E1B"/>
    <w:rsid w:val="005D1F00"/>
    <w:rsid w:val="005D2451"/>
    <w:rsid w:val="005D28D9"/>
    <w:rsid w:val="005D2956"/>
    <w:rsid w:val="005D2C82"/>
    <w:rsid w:val="005D3415"/>
    <w:rsid w:val="005D35A9"/>
    <w:rsid w:val="005D3BA8"/>
    <w:rsid w:val="005D3BDC"/>
    <w:rsid w:val="005D3DF3"/>
    <w:rsid w:val="005D42E4"/>
    <w:rsid w:val="005D4343"/>
    <w:rsid w:val="005D436C"/>
    <w:rsid w:val="005D43F2"/>
    <w:rsid w:val="005D4463"/>
    <w:rsid w:val="005D4772"/>
    <w:rsid w:val="005D4CA7"/>
    <w:rsid w:val="005D4EE3"/>
    <w:rsid w:val="005D521B"/>
    <w:rsid w:val="005D53E4"/>
    <w:rsid w:val="005D57AF"/>
    <w:rsid w:val="005D5E2E"/>
    <w:rsid w:val="005D5EED"/>
    <w:rsid w:val="005D6179"/>
    <w:rsid w:val="005D6252"/>
    <w:rsid w:val="005D6500"/>
    <w:rsid w:val="005D651A"/>
    <w:rsid w:val="005D6809"/>
    <w:rsid w:val="005D68B7"/>
    <w:rsid w:val="005D6A1C"/>
    <w:rsid w:val="005D6D0C"/>
    <w:rsid w:val="005D6D33"/>
    <w:rsid w:val="005D6FFB"/>
    <w:rsid w:val="005D70A0"/>
    <w:rsid w:val="005D7234"/>
    <w:rsid w:val="005D734B"/>
    <w:rsid w:val="005D7998"/>
    <w:rsid w:val="005D7BF2"/>
    <w:rsid w:val="005E0131"/>
    <w:rsid w:val="005E03D8"/>
    <w:rsid w:val="005E0665"/>
    <w:rsid w:val="005E073F"/>
    <w:rsid w:val="005E1267"/>
    <w:rsid w:val="005E26EF"/>
    <w:rsid w:val="005E2A85"/>
    <w:rsid w:val="005E2B61"/>
    <w:rsid w:val="005E2D87"/>
    <w:rsid w:val="005E3701"/>
    <w:rsid w:val="005E3E35"/>
    <w:rsid w:val="005E3E8B"/>
    <w:rsid w:val="005E40AC"/>
    <w:rsid w:val="005E428D"/>
    <w:rsid w:val="005E42F7"/>
    <w:rsid w:val="005E4876"/>
    <w:rsid w:val="005E4935"/>
    <w:rsid w:val="005E49E6"/>
    <w:rsid w:val="005E4DE2"/>
    <w:rsid w:val="005E4F4C"/>
    <w:rsid w:val="005E507B"/>
    <w:rsid w:val="005E50B2"/>
    <w:rsid w:val="005E55D7"/>
    <w:rsid w:val="005E5723"/>
    <w:rsid w:val="005E60DC"/>
    <w:rsid w:val="005E63D5"/>
    <w:rsid w:val="005E66CE"/>
    <w:rsid w:val="005E673E"/>
    <w:rsid w:val="005E6B44"/>
    <w:rsid w:val="005E714D"/>
    <w:rsid w:val="005E7588"/>
    <w:rsid w:val="005E7782"/>
    <w:rsid w:val="005E7A7A"/>
    <w:rsid w:val="005F0589"/>
    <w:rsid w:val="005F06ED"/>
    <w:rsid w:val="005F0C2A"/>
    <w:rsid w:val="005F125A"/>
    <w:rsid w:val="005F15AE"/>
    <w:rsid w:val="005F1A45"/>
    <w:rsid w:val="005F1CB9"/>
    <w:rsid w:val="005F1D2A"/>
    <w:rsid w:val="005F2163"/>
    <w:rsid w:val="005F2458"/>
    <w:rsid w:val="005F2674"/>
    <w:rsid w:val="005F2A05"/>
    <w:rsid w:val="005F2AFD"/>
    <w:rsid w:val="005F2CA2"/>
    <w:rsid w:val="005F2F5A"/>
    <w:rsid w:val="005F3056"/>
    <w:rsid w:val="005F3860"/>
    <w:rsid w:val="005F3930"/>
    <w:rsid w:val="005F3CD1"/>
    <w:rsid w:val="005F3E96"/>
    <w:rsid w:val="005F42C6"/>
    <w:rsid w:val="005F46EE"/>
    <w:rsid w:val="005F4A7D"/>
    <w:rsid w:val="005F4DF7"/>
    <w:rsid w:val="005F5232"/>
    <w:rsid w:val="005F5449"/>
    <w:rsid w:val="005F60A5"/>
    <w:rsid w:val="005F629F"/>
    <w:rsid w:val="005F69BC"/>
    <w:rsid w:val="005F6AD2"/>
    <w:rsid w:val="005F6BD4"/>
    <w:rsid w:val="005F73D3"/>
    <w:rsid w:val="005F7661"/>
    <w:rsid w:val="005F78E4"/>
    <w:rsid w:val="005F7D91"/>
    <w:rsid w:val="005F7DD5"/>
    <w:rsid w:val="00600004"/>
    <w:rsid w:val="006000D0"/>
    <w:rsid w:val="006001D2"/>
    <w:rsid w:val="00600331"/>
    <w:rsid w:val="00600932"/>
    <w:rsid w:val="0060146E"/>
    <w:rsid w:val="00601711"/>
    <w:rsid w:val="00601D49"/>
    <w:rsid w:val="00601FF1"/>
    <w:rsid w:val="006021C7"/>
    <w:rsid w:val="0060221D"/>
    <w:rsid w:val="006024AB"/>
    <w:rsid w:val="006024E9"/>
    <w:rsid w:val="00602593"/>
    <w:rsid w:val="0060265C"/>
    <w:rsid w:val="0060271A"/>
    <w:rsid w:val="00602807"/>
    <w:rsid w:val="00602941"/>
    <w:rsid w:val="00602AF0"/>
    <w:rsid w:val="00602C35"/>
    <w:rsid w:val="00602CAF"/>
    <w:rsid w:val="00603156"/>
    <w:rsid w:val="00603351"/>
    <w:rsid w:val="00603936"/>
    <w:rsid w:val="00603D87"/>
    <w:rsid w:val="00603D99"/>
    <w:rsid w:val="006046A5"/>
    <w:rsid w:val="00604D3E"/>
    <w:rsid w:val="00605116"/>
    <w:rsid w:val="00605645"/>
    <w:rsid w:val="00605652"/>
    <w:rsid w:val="00605706"/>
    <w:rsid w:val="00605EB3"/>
    <w:rsid w:val="00606281"/>
    <w:rsid w:val="0060660E"/>
    <w:rsid w:val="00606A59"/>
    <w:rsid w:val="00606B8E"/>
    <w:rsid w:val="00606ECF"/>
    <w:rsid w:val="006070A0"/>
    <w:rsid w:val="00607298"/>
    <w:rsid w:val="00607330"/>
    <w:rsid w:val="00607842"/>
    <w:rsid w:val="0060792A"/>
    <w:rsid w:val="00607CC7"/>
    <w:rsid w:val="00607D7F"/>
    <w:rsid w:val="00610123"/>
    <w:rsid w:val="0061031D"/>
    <w:rsid w:val="00610334"/>
    <w:rsid w:val="0061069C"/>
    <w:rsid w:val="006106E1"/>
    <w:rsid w:val="0061099A"/>
    <w:rsid w:val="00610DBB"/>
    <w:rsid w:val="00611233"/>
    <w:rsid w:val="00612365"/>
    <w:rsid w:val="006127E0"/>
    <w:rsid w:val="00612AB5"/>
    <w:rsid w:val="00612C34"/>
    <w:rsid w:val="00612E65"/>
    <w:rsid w:val="00612FEA"/>
    <w:rsid w:val="0061322E"/>
    <w:rsid w:val="00613868"/>
    <w:rsid w:val="00613D8B"/>
    <w:rsid w:val="0061456B"/>
    <w:rsid w:val="00614604"/>
    <w:rsid w:val="006149E0"/>
    <w:rsid w:val="00614E04"/>
    <w:rsid w:val="00614E97"/>
    <w:rsid w:val="0061543F"/>
    <w:rsid w:val="006154F7"/>
    <w:rsid w:val="006157D2"/>
    <w:rsid w:val="006158BC"/>
    <w:rsid w:val="00615B61"/>
    <w:rsid w:val="00616229"/>
    <w:rsid w:val="00616338"/>
    <w:rsid w:val="00616347"/>
    <w:rsid w:val="006165D0"/>
    <w:rsid w:val="00616790"/>
    <w:rsid w:val="006167BC"/>
    <w:rsid w:val="00616836"/>
    <w:rsid w:val="00617929"/>
    <w:rsid w:val="006202A6"/>
    <w:rsid w:val="006204E7"/>
    <w:rsid w:val="006209D4"/>
    <w:rsid w:val="00620A9E"/>
    <w:rsid w:val="00620B77"/>
    <w:rsid w:val="00620C3E"/>
    <w:rsid w:val="00621190"/>
    <w:rsid w:val="006212BD"/>
    <w:rsid w:val="006217D9"/>
    <w:rsid w:val="00621AB3"/>
    <w:rsid w:val="00621B77"/>
    <w:rsid w:val="00621B9B"/>
    <w:rsid w:val="006221AB"/>
    <w:rsid w:val="006221AD"/>
    <w:rsid w:val="00622294"/>
    <w:rsid w:val="0062276C"/>
    <w:rsid w:val="00622E56"/>
    <w:rsid w:val="00622FC8"/>
    <w:rsid w:val="00623146"/>
    <w:rsid w:val="006231C5"/>
    <w:rsid w:val="00623221"/>
    <w:rsid w:val="00623260"/>
    <w:rsid w:val="00623512"/>
    <w:rsid w:val="006235E1"/>
    <w:rsid w:val="00623DBB"/>
    <w:rsid w:val="006245AE"/>
    <w:rsid w:val="00624A3B"/>
    <w:rsid w:val="0062553C"/>
    <w:rsid w:val="00625677"/>
    <w:rsid w:val="00625981"/>
    <w:rsid w:val="006259BC"/>
    <w:rsid w:val="00625BFF"/>
    <w:rsid w:val="00625C15"/>
    <w:rsid w:val="00625D25"/>
    <w:rsid w:val="00626055"/>
    <w:rsid w:val="006260D7"/>
    <w:rsid w:val="0062610F"/>
    <w:rsid w:val="0062663B"/>
    <w:rsid w:val="00626887"/>
    <w:rsid w:val="00626A05"/>
    <w:rsid w:val="00626FFB"/>
    <w:rsid w:val="00627064"/>
    <w:rsid w:val="00627533"/>
    <w:rsid w:val="00627572"/>
    <w:rsid w:val="00627751"/>
    <w:rsid w:val="006277A9"/>
    <w:rsid w:val="0063003D"/>
    <w:rsid w:val="00630129"/>
    <w:rsid w:val="0063091A"/>
    <w:rsid w:val="006309D4"/>
    <w:rsid w:val="00630E95"/>
    <w:rsid w:val="0063104D"/>
    <w:rsid w:val="00631362"/>
    <w:rsid w:val="0063173B"/>
    <w:rsid w:val="006318B5"/>
    <w:rsid w:val="00631A6E"/>
    <w:rsid w:val="006322F0"/>
    <w:rsid w:val="006325F1"/>
    <w:rsid w:val="00632608"/>
    <w:rsid w:val="006326D1"/>
    <w:rsid w:val="00632743"/>
    <w:rsid w:val="006327BE"/>
    <w:rsid w:val="006328AE"/>
    <w:rsid w:val="00632A55"/>
    <w:rsid w:val="00632BEA"/>
    <w:rsid w:val="00632F5F"/>
    <w:rsid w:val="00633547"/>
    <w:rsid w:val="006335A9"/>
    <w:rsid w:val="006335E6"/>
    <w:rsid w:val="0063382E"/>
    <w:rsid w:val="00633C36"/>
    <w:rsid w:val="00633C38"/>
    <w:rsid w:val="00633F01"/>
    <w:rsid w:val="00633F1A"/>
    <w:rsid w:val="00633FE7"/>
    <w:rsid w:val="006344BE"/>
    <w:rsid w:val="00634691"/>
    <w:rsid w:val="006346F6"/>
    <w:rsid w:val="00634F0C"/>
    <w:rsid w:val="00636061"/>
    <w:rsid w:val="006363A0"/>
    <w:rsid w:val="006363C8"/>
    <w:rsid w:val="00636B4D"/>
    <w:rsid w:val="006372E0"/>
    <w:rsid w:val="006374D2"/>
    <w:rsid w:val="006376E6"/>
    <w:rsid w:val="006400C9"/>
    <w:rsid w:val="0064013F"/>
    <w:rsid w:val="006405E5"/>
    <w:rsid w:val="0064092A"/>
    <w:rsid w:val="00640F8F"/>
    <w:rsid w:val="006412DF"/>
    <w:rsid w:val="00641FE7"/>
    <w:rsid w:val="006428BC"/>
    <w:rsid w:val="00642AB2"/>
    <w:rsid w:val="00642ABA"/>
    <w:rsid w:val="00642D7F"/>
    <w:rsid w:val="00642DE6"/>
    <w:rsid w:val="0064357A"/>
    <w:rsid w:val="00643855"/>
    <w:rsid w:val="00643FBA"/>
    <w:rsid w:val="006442AA"/>
    <w:rsid w:val="0064440E"/>
    <w:rsid w:val="0064462C"/>
    <w:rsid w:val="00644665"/>
    <w:rsid w:val="00644B52"/>
    <w:rsid w:val="00644CA7"/>
    <w:rsid w:val="006451D6"/>
    <w:rsid w:val="00645227"/>
    <w:rsid w:val="00645766"/>
    <w:rsid w:val="00645C56"/>
    <w:rsid w:val="00645C6D"/>
    <w:rsid w:val="00645F61"/>
    <w:rsid w:val="006461AD"/>
    <w:rsid w:val="0064647C"/>
    <w:rsid w:val="00647252"/>
    <w:rsid w:val="006478F4"/>
    <w:rsid w:val="00647935"/>
    <w:rsid w:val="00647D86"/>
    <w:rsid w:val="00650228"/>
    <w:rsid w:val="006502ED"/>
    <w:rsid w:val="006502F2"/>
    <w:rsid w:val="00650420"/>
    <w:rsid w:val="00650741"/>
    <w:rsid w:val="00651418"/>
    <w:rsid w:val="00651559"/>
    <w:rsid w:val="006539B9"/>
    <w:rsid w:val="00653CF3"/>
    <w:rsid w:val="006548CA"/>
    <w:rsid w:val="00654A89"/>
    <w:rsid w:val="00654D86"/>
    <w:rsid w:val="00654FF5"/>
    <w:rsid w:val="0065528C"/>
    <w:rsid w:val="0065586F"/>
    <w:rsid w:val="00655908"/>
    <w:rsid w:val="00655ABD"/>
    <w:rsid w:val="00655DAC"/>
    <w:rsid w:val="0065602F"/>
    <w:rsid w:val="006562B7"/>
    <w:rsid w:val="00656943"/>
    <w:rsid w:val="00656A1C"/>
    <w:rsid w:val="00656FE3"/>
    <w:rsid w:val="00657752"/>
    <w:rsid w:val="00657AEE"/>
    <w:rsid w:val="00657EB7"/>
    <w:rsid w:val="0066069F"/>
    <w:rsid w:val="00660BD4"/>
    <w:rsid w:val="0066154C"/>
    <w:rsid w:val="00661686"/>
    <w:rsid w:val="00661C52"/>
    <w:rsid w:val="0066202C"/>
    <w:rsid w:val="00662540"/>
    <w:rsid w:val="00662A69"/>
    <w:rsid w:val="00663546"/>
    <w:rsid w:val="006635E1"/>
    <w:rsid w:val="00663CC7"/>
    <w:rsid w:val="00663E18"/>
    <w:rsid w:val="006651D3"/>
    <w:rsid w:val="00665598"/>
    <w:rsid w:val="00665863"/>
    <w:rsid w:val="006659F4"/>
    <w:rsid w:val="00665B4E"/>
    <w:rsid w:val="00665D8B"/>
    <w:rsid w:val="00665F01"/>
    <w:rsid w:val="00665FFF"/>
    <w:rsid w:val="00666081"/>
    <w:rsid w:val="0066672F"/>
    <w:rsid w:val="00666CDC"/>
    <w:rsid w:val="00666DA8"/>
    <w:rsid w:val="00666EB7"/>
    <w:rsid w:val="00667258"/>
    <w:rsid w:val="006672AA"/>
    <w:rsid w:val="006672B2"/>
    <w:rsid w:val="00667454"/>
    <w:rsid w:val="00667467"/>
    <w:rsid w:val="006675E0"/>
    <w:rsid w:val="00667C45"/>
    <w:rsid w:val="00667D2C"/>
    <w:rsid w:val="00670134"/>
    <w:rsid w:val="0067064E"/>
    <w:rsid w:val="00670673"/>
    <w:rsid w:val="00670983"/>
    <w:rsid w:val="00671609"/>
    <w:rsid w:val="006718F9"/>
    <w:rsid w:val="00671B6C"/>
    <w:rsid w:val="00671C43"/>
    <w:rsid w:val="00671C73"/>
    <w:rsid w:val="00671D1D"/>
    <w:rsid w:val="00671DBE"/>
    <w:rsid w:val="006722C0"/>
    <w:rsid w:val="0067242E"/>
    <w:rsid w:val="00672DAA"/>
    <w:rsid w:val="00672FBC"/>
    <w:rsid w:val="0067302F"/>
    <w:rsid w:val="00673263"/>
    <w:rsid w:val="006734D9"/>
    <w:rsid w:val="0067364F"/>
    <w:rsid w:val="00673775"/>
    <w:rsid w:val="00673BAB"/>
    <w:rsid w:val="00673CC5"/>
    <w:rsid w:val="0067438D"/>
    <w:rsid w:val="0067444C"/>
    <w:rsid w:val="00674E25"/>
    <w:rsid w:val="0067545F"/>
    <w:rsid w:val="00675832"/>
    <w:rsid w:val="00675E57"/>
    <w:rsid w:val="00675F55"/>
    <w:rsid w:val="006769E8"/>
    <w:rsid w:val="00676C40"/>
    <w:rsid w:val="00676D6D"/>
    <w:rsid w:val="00677032"/>
    <w:rsid w:val="00677777"/>
    <w:rsid w:val="0067793A"/>
    <w:rsid w:val="006779ED"/>
    <w:rsid w:val="00677F89"/>
    <w:rsid w:val="006805B4"/>
    <w:rsid w:val="006805E4"/>
    <w:rsid w:val="006807E6"/>
    <w:rsid w:val="00680AB5"/>
    <w:rsid w:val="00680D98"/>
    <w:rsid w:val="00680E88"/>
    <w:rsid w:val="00680EAF"/>
    <w:rsid w:val="00680FF6"/>
    <w:rsid w:val="0068127B"/>
    <w:rsid w:val="006818D3"/>
    <w:rsid w:val="006819D3"/>
    <w:rsid w:val="00681A40"/>
    <w:rsid w:val="00681AE7"/>
    <w:rsid w:val="00681CE2"/>
    <w:rsid w:val="00681E60"/>
    <w:rsid w:val="006820B9"/>
    <w:rsid w:val="006821BB"/>
    <w:rsid w:val="00682384"/>
    <w:rsid w:val="006823F2"/>
    <w:rsid w:val="00682F94"/>
    <w:rsid w:val="0068308E"/>
    <w:rsid w:val="00683633"/>
    <w:rsid w:val="00683943"/>
    <w:rsid w:val="0068403B"/>
    <w:rsid w:val="00684200"/>
    <w:rsid w:val="00684212"/>
    <w:rsid w:val="0068421B"/>
    <w:rsid w:val="00684661"/>
    <w:rsid w:val="00684978"/>
    <w:rsid w:val="00684C3B"/>
    <w:rsid w:val="00684D99"/>
    <w:rsid w:val="00684F7B"/>
    <w:rsid w:val="0068519F"/>
    <w:rsid w:val="006856B4"/>
    <w:rsid w:val="00686262"/>
    <w:rsid w:val="006862C7"/>
    <w:rsid w:val="00686D49"/>
    <w:rsid w:val="00686EDF"/>
    <w:rsid w:val="00687026"/>
    <w:rsid w:val="006871F8"/>
    <w:rsid w:val="00687340"/>
    <w:rsid w:val="00687A74"/>
    <w:rsid w:val="0069066D"/>
    <w:rsid w:val="006909DE"/>
    <w:rsid w:val="00690B2A"/>
    <w:rsid w:val="00690F80"/>
    <w:rsid w:val="00691B6D"/>
    <w:rsid w:val="00691DE0"/>
    <w:rsid w:val="00691E1D"/>
    <w:rsid w:val="00692475"/>
    <w:rsid w:val="006924AE"/>
    <w:rsid w:val="0069257F"/>
    <w:rsid w:val="0069261F"/>
    <w:rsid w:val="006928ED"/>
    <w:rsid w:val="00692CB6"/>
    <w:rsid w:val="00692E32"/>
    <w:rsid w:val="00692FAB"/>
    <w:rsid w:val="006930A7"/>
    <w:rsid w:val="00693222"/>
    <w:rsid w:val="006934D3"/>
    <w:rsid w:val="006935A0"/>
    <w:rsid w:val="00693769"/>
    <w:rsid w:val="006939C3"/>
    <w:rsid w:val="006939C9"/>
    <w:rsid w:val="00693BBF"/>
    <w:rsid w:val="00693C37"/>
    <w:rsid w:val="006941AC"/>
    <w:rsid w:val="00694563"/>
    <w:rsid w:val="006946A6"/>
    <w:rsid w:val="00694BBA"/>
    <w:rsid w:val="00694EE5"/>
    <w:rsid w:val="00694F23"/>
    <w:rsid w:val="006950B2"/>
    <w:rsid w:val="00695158"/>
    <w:rsid w:val="00695190"/>
    <w:rsid w:val="006951B0"/>
    <w:rsid w:val="006953A6"/>
    <w:rsid w:val="00695C92"/>
    <w:rsid w:val="006964D3"/>
    <w:rsid w:val="00696D1C"/>
    <w:rsid w:val="00696F6B"/>
    <w:rsid w:val="006970E0"/>
    <w:rsid w:val="00697282"/>
    <w:rsid w:val="006972B1"/>
    <w:rsid w:val="00697C20"/>
    <w:rsid w:val="00697E7B"/>
    <w:rsid w:val="00697F0E"/>
    <w:rsid w:val="006A018F"/>
    <w:rsid w:val="006A031F"/>
    <w:rsid w:val="006A03EF"/>
    <w:rsid w:val="006A0661"/>
    <w:rsid w:val="006A0894"/>
    <w:rsid w:val="006A08F5"/>
    <w:rsid w:val="006A091E"/>
    <w:rsid w:val="006A148C"/>
    <w:rsid w:val="006A194B"/>
    <w:rsid w:val="006A1D0D"/>
    <w:rsid w:val="006A1F2E"/>
    <w:rsid w:val="006A21BE"/>
    <w:rsid w:val="006A21F3"/>
    <w:rsid w:val="006A2534"/>
    <w:rsid w:val="006A257C"/>
    <w:rsid w:val="006A25BA"/>
    <w:rsid w:val="006A26C3"/>
    <w:rsid w:val="006A2898"/>
    <w:rsid w:val="006A28B5"/>
    <w:rsid w:val="006A2D72"/>
    <w:rsid w:val="006A2FF7"/>
    <w:rsid w:val="006A3076"/>
    <w:rsid w:val="006A311E"/>
    <w:rsid w:val="006A3213"/>
    <w:rsid w:val="006A338E"/>
    <w:rsid w:val="006A3992"/>
    <w:rsid w:val="006A415B"/>
    <w:rsid w:val="006A46E3"/>
    <w:rsid w:val="006A4826"/>
    <w:rsid w:val="006A48BA"/>
    <w:rsid w:val="006A4C80"/>
    <w:rsid w:val="006A4FDF"/>
    <w:rsid w:val="006A534B"/>
    <w:rsid w:val="006A574C"/>
    <w:rsid w:val="006A58DF"/>
    <w:rsid w:val="006A5C21"/>
    <w:rsid w:val="006A5DD3"/>
    <w:rsid w:val="006A5E35"/>
    <w:rsid w:val="006A6ABA"/>
    <w:rsid w:val="006A6E0C"/>
    <w:rsid w:val="006A70E2"/>
    <w:rsid w:val="006A76F9"/>
    <w:rsid w:val="006A7A1A"/>
    <w:rsid w:val="006A7C54"/>
    <w:rsid w:val="006B0F91"/>
    <w:rsid w:val="006B11A7"/>
    <w:rsid w:val="006B1211"/>
    <w:rsid w:val="006B13A6"/>
    <w:rsid w:val="006B1CDF"/>
    <w:rsid w:val="006B1F8C"/>
    <w:rsid w:val="006B2DE9"/>
    <w:rsid w:val="006B333D"/>
    <w:rsid w:val="006B38F2"/>
    <w:rsid w:val="006B3A1E"/>
    <w:rsid w:val="006B3F99"/>
    <w:rsid w:val="006B420B"/>
    <w:rsid w:val="006B4849"/>
    <w:rsid w:val="006B48FD"/>
    <w:rsid w:val="006B5383"/>
    <w:rsid w:val="006B5508"/>
    <w:rsid w:val="006B5BEE"/>
    <w:rsid w:val="006B606B"/>
    <w:rsid w:val="006B6128"/>
    <w:rsid w:val="006B62DD"/>
    <w:rsid w:val="006B6953"/>
    <w:rsid w:val="006B708D"/>
    <w:rsid w:val="006B7188"/>
    <w:rsid w:val="006B7537"/>
    <w:rsid w:val="006B7643"/>
    <w:rsid w:val="006B7823"/>
    <w:rsid w:val="006B7B58"/>
    <w:rsid w:val="006B7D6D"/>
    <w:rsid w:val="006B7F07"/>
    <w:rsid w:val="006B7F9D"/>
    <w:rsid w:val="006B7FBA"/>
    <w:rsid w:val="006C06E0"/>
    <w:rsid w:val="006C082B"/>
    <w:rsid w:val="006C08D0"/>
    <w:rsid w:val="006C0AA1"/>
    <w:rsid w:val="006C0AF5"/>
    <w:rsid w:val="006C0E00"/>
    <w:rsid w:val="006C0F64"/>
    <w:rsid w:val="006C1071"/>
    <w:rsid w:val="006C13D6"/>
    <w:rsid w:val="006C174D"/>
    <w:rsid w:val="006C1D1B"/>
    <w:rsid w:val="006C22DF"/>
    <w:rsid w:val="006C2655"/>
    <w:rsid w:val="006C288D"/>
    <w:rsid w:val="006C29F8"/>
    <w:rsid w:val="006C2E47"/>
    <w:rsid w:val="006C339E"/>
    <w:rsid w:val="006C353A"/>
    <w:rsid w:val="006C3549"/>
    <w:rsid w:val="006C387F"/>
    <w:rsid w:val="006C3ABD"/>
    <w:rsid w:val="006C3DD7"/>
    <w:rsid w:val="006C4315"/>
    <w:rsid w:val="006C446A"/>
    <w:rsid w:val="006C493B"/>
    <w:rsid w:val="006C4F7F"/>
    <w:rsid w:val="006C526C"/>
    <w:rsid w:val="006C54F0"/>
    <w:rsid w:val="006C554D"/>
    <w:rsid w:val="006C58DF"/>
    <w:rsid w:val="006C598C"/>
    <w:rsid w:val="006C59EA"/>
    <w:rsid w:val="006C5AF1"/>
    <w:rsid w:val="006C6082"/>
    <w:rsid w:val="006C610A"/>
    <w:rsid w:val="006C6630"/>
    <w:rsid w:val="006C6765"/>
    <w:rsid w:val="006C71DD"/>
    <w:rsid w:val="006C73E4"/>
    <w:rsid w:val="006C7448"/>
    <w:rsid w:val="006C75AD"/>
    <w:rsid w:val="006C78C1"/>
    <w:rsid w:val="006C7B1B"/>
    <w:rsid w:val="006C7BCF"/>
    <w:rsid w:val="006D0267"/>
    <w:rsid w:val="006D0663"/>
    <w:rsid w:val="006D0677"/>
    <w:rsid w:val="006D067B"/>
    <w:rsid w:val="006D0E7D"/>
    <w:rsid w:val="006D0E86"/>
    <w:rsid w:val="006D0F43"/>
    <w:rsid w:val="006D0F72"/>
    <w:rsid w:val="006D109E"/>
    <w:rsid w:val="006D1111"/>
    <w:rsid w:val="006D1425"/>
    <w:rsid w:val="006D1B46"/>
    <w:rsid w:val="006D1E13"/>
    <w:rsid w:val="006D1E97"/>
    <w:rsid w:val="006D1FBC"/>
    <w:rsid w:val="006D2136"/>
    <w:rsid w:val="006D26D8"/>
    <w:rsid w:val="006D284F"/>
    <w:rsid w:val="006D28B0"/>
    <w:rsid w:val="006D2BAD"/>
    <w:rsid w:val="006D2C13"/>
    <w:rsid w:val="006D2DCB"/>
    <w:rsid w:val="006D2EB5"/>
    <w:rsid w:val="006D339B"/>
    <w:rsid w:val="006D3DD8"/>
    <w:rsid w:val="006D409C"/>
    <w:rsid w:val="006D41F0"/>
    <w:rsid w:val="006D4AED"/>
    <w:rsid w:val="006D4D79"/>
    <w:rsid w:val="006D5406"/>
    <w:rsid w:val="006D554C"/>
    <w:rsid w:val="006D5652"/>
    <w:rsid w:val="006D5786"/>
    <w:rsid w:val="006D5848"/>
    <w:rsid w:val="006D5D19"/>
    <w:rsid w:val="006D5DC0"/>
    <w:rsid w:val="006D6D02"/>
    <w:rsid w:val="006D7065"/>
    <w:rsid w:val="006D728B"/>
    <w:rsid w:val="006D7350"/>
    <w:rsid w:val="006D7B89"/>
    <w:rsid w:val="006E06D0"/>
    <w:rsid w:val="006E0ABE"/>
    <w:rsid w:val="006E0B80"/>
    <w:rsid w:val="006E0D9A"/>
    <w:rsid w:val="006E11B6"/>
    <w:rsid w:val="006E129D"/>
    <w:rsid w:val="006E1538"/>
    <w:rsid w:val="006E16BC"/>
    <w:rsid w:val="006E16C8"/>
    <w:rsid w:val="006E1A3A"/>
    <w:rsid w:val="006E1BA5"/>
    <w:rsid w:val="006E252D"/>
    <w:rsid w:val="006E2E01"/>
    <w:rsid w:val="006E31A2"/>
    <w:rsid w:val="006E334A"/>
    <w:rsid w:val="006E3386"/>
    <w:rsid w:val="006E3B4A"/>
    <w:rsid w:val="006E3ED1"/>
    <w:rsid w:val="006E426D"/>
    <w:rsid w:val="006E48A1"/>
    <w:rsid w:val="006E4F12"/>
    <w:rsid w:val="006E4FF3"/>
    <w:rsid w:val="006E50B5"/>
    <w:rsid w:val="006E535E"/>
    <w:rsid w:val="006E572A"/>
    <w:rsid w:val="006E5A6E"/>
    <w:rsid w:val="006E5C59"/>
    <w:rsid w:val="006E5DCF"/>
    <w:rsid w:val="006E6063"/>
    <w:rsid w:val="006E6202"/>
    <w:rsid w:val="006E624A"/>
    <w:rsid w:val="006E62D1"/>
    <w:rsid w:val="006E63F6"/>
    <w:rsid w:val="006E66BB"/>
    <w:rsid w:val="006E6805"/>
    <w:rsid w:val="006E69C2"/>
    <w:rsid w:val="006E6B0E"/>
    <w:rsid w:val="006E6C06"/>
    <w:rsid w:val="006E6EEA"/>
    <w:rsid w:val="006E7D81"/>
    <w:rsid w:val="006E7E0A"/>
    <w:rsid w:val="006E7E78"/>
    <w:rsid w:val="006F0416"/>
    <w:rsid w:val="006F0465"/>
    <w:rsid w:val="006F0610"/>
    <w:rsid w:val="006F0647"/>
    <w:rsid w:val="006F09E8"/>
    <w:rsid w:val="006F0F49"/>
    <w:rsid w:val="006F1579"/>
    <w:rsid w:val="006F17F4"/>
    <w:rsid w:val="006F233B"/>
    <w:rsid w:val="006F2B0C"/>
    <w:rsid w:val="006F32D2"/>
    <w:rsid w:val="006F37B5"/>
    <w:rsid w:val="006F3A03"/>
    <w:rsid w:val="006F3A38"/>
    <w:rsid w:val="006F3D8B"/>
    <w:rsid w:val="006F3DF6"/>
    <w:rsid w:val="006F3EF6"/>
    <w:rsid w:val="006F421A"/>
    <w:rsid w:val="006F547A"/>
    <w:rsid w:val="006F55F7"/>
    <w:rsid w:val="006F57DA"/>
    <w:rsid w:val="006F58F7"/>
    <w:rsid w:val="006F5FF8"/>
    <w:rsid w:val="006F6865"/>
    <w:rsid w:val="006F750F"/>
    <w:rsid w:val="006F76AF"/>
    <w:rsid w:val="006F78C6"/>
    <w:rsid w:val="006F78D5"/>
    <w:rsid w:val="0070095F"/>
    <w:rsid w:val="00700DEF"/>
    <w:rsid w:val="00700F59"/>
    <w:rsid w:val="007010EC"/>
    <w:rsid w:val="007011B1"/>
    <w:rsid w:val="00701945"/>
    <w:rsid w:val="007019BC"/>
    <w:rsid w:val="00701AFD"/>
    <w:rsid w:val="007020B5"/>
    <w:rsid w:val="0070215A"/>
    <w:rsid w:val="00702201"/>
    <w:rsid w:val="007029DF"/>
    <w:rsid w:val="00702E6F"/>
    <w:rsid w:val="00702E92"/>
    <w:rsid w:val="007036CE"/>
    <w:rsid w:val="007040EC"/>
    <w:rsid w:val="007041F4"/>
    <w:rsid w:val="0070424A"/>
    <w:rsid w:val="00704475"/>
    <w:rsid w:val="00704942"/>
    <w:rsid w:val="007049E0"/>
    <w:rsid w:val="00704B35"/>
    <w:rsid w:val="00704B37"/>
    <w:rsid w:val="0070522C"/>
    <w:rsid w:val="00705445"/>
    <w:rsid w:val="00705619"/>
    <w:rsid w:val="007056BC"/>
    <w:rsid w:val="0070571E"/>
    <w:rsid w:val="00706182"/>
    <w:rsid w:val="007062B5"/>
    <w:rsid w:val="007066B8"/>
    <w:rsid w:val="00706A82"/>
    <w:rsid w:val="00706D2D"/>
    <w:rsid w:val="00706ECC"/>
    <w:rsid w:val="00706F09"/>
    <w:rsid w:val="00707067"/>
    <w:rsid w:val="007071AF"/>
    <w:rsid w:val="007073FB"/>
    <w:rsid w:val="007074B1"/>
    <w:rsid w:val="00707786"/>
    <w:rsid w:val="007108B0"/>
    <w:rsid w:val="007109D6"/>
    <w:rsid w:val="0071107D"/>
    <w:rsid w:val="00711255"/>
    <w:rsid w:val="007116FC"/>
    <w:rsid w:val="00711A76"/>
    <w:rsid w:val="00711B9D"/>
    <w:rsid w:val="00711C5B"/>
    <w:rsid w:val="00711CA1"/>
    <w:rsid w:val="00711D59"/>
    <w:rsid w:val="00712379"/>
    <w:rsid w:val="00712665"/>
    <w:rsid w:val="007126C7"/>
    <w:rsid w:val="00712BA6"/>
    <w:rsid w:val="007134B4"/>
    <w:rsid w:val="00713506"/>
    <w:rsid w:val="00713686"/>
    <w:rsid w:val="007136F8"/>
    <w:rsid w:val="00713949"/>
    <w:rsid w:val="007144FE"/>
    <w:rsid w:val="007146DC"/>
    <w:rsid w:val="0071479D"/>
    <w:rsid w:val="007149CA"/>
    <w:rsid w:val="00714D11"/>
    <w:rsid w:val="00714D68"/>
    <w:rsid w:val="00714E6B"/>
    <w:rsid w:val="00714EBD"/>
    <w:rsid w:val="00715364"/>
    <w:rsid w:val="00715419"/>
    <w:rsid w:val="007158EE"/>
    <w:rsid w:val="00715949"/>
    <w:rsid w:val="00715E4C"/>
    <w:rsid w:val="00715F3C"/>
    <w:rsid w:val="00716176"/>
    <w:rsid w:val="00716852"/>
    <w:rsid w:val="00716D58"/>
    <w:rsid w:val="00716DF1"/>
    <w:rsid w:val="0071732F"/>
    <w:rsid w:val="007177BE"/>
    <w:rsid w:val="00717B54"/>
    <w:rsid w:val="00720495"/>
    <w:rsid w:val="00720944"/>
    <w:rsid w:val="007209EE"/>
    <w:rsid w:val="00720AC3"/>
    <w:rsid w:val="00720D1A"/>
    <w:rsid w:val="00720E67"/>
    <w:rsid w:val="007213A5"/>
    <w:rsid w:val="00721623"/>
    <w:rsid w:val="00721695"/>
    <w:rsid w:val="007224D6"/>
    <w:rsid w:val="00722822"/>
    <w:rsid w:val="007236A2"/>
    <w:rsid w:val="00723B1E"/>
    <w:rsid w:val="00723BD6"/>
    <w:rsid w:val="00723DC3"/>
    <w:rsid w:val="00723DD0"/>
    <w:rsid w:val="00723DD9"/>
    <w:rsid w:val="00724389"/>
    <w:rsid w:val="0072441A"/>
    <w:rsid w:val="007247AF"/>
    <w:rsid w:val="0072483F"/>
    <w:rsid w:val="00724AB4"/>
    <w:rsid w:val="00724DDD"/>
    <w:rsid w:val="00724EF9"/>
    <w:rsid w:val="007253DD"/>
    <w:rsid w:val="00725438"/>
    <w:rsid w:val="007259EC"/>
    <w:rsid w:val="00725F1B"/>
    <w:rsid w:val="00726072"/>
    <w:rsid w:val="007261D6"/>
    <w:rsid w:val="007261F3"/>
    <w:rsid w:val="00726A63"/>
    <w:rsid w:val="00726AD7"/>
    <w:rsid w:val="00726C77"/>
    <w:rsid w:val="00726F51"/>
    <w:rsid w:val="007277DE"/>
    <w:rsid w:val="007278A2"/>
    <w:rsid w:val="00727B3B"/>
    <w:rsid w:val="00727D0B"/>
    <w:rsid w:val="0073080A"/>
    <w:rsid w:val="00730810"/>
    <w:rsid w:val="00730814"/>
    <w:rsid w:val="00730A46"/>
    <w:rsid w:val="00730BA0"/>
    <w:rsid w:val="00730D6F"/>
    <w:rsid w:val="0073155B"/>
    <w:rsid w:val="0073166F"/>
    <w:rsid w:val="007317DD"/>
    <w:rsid w:val="0073186A"/>
    <w:rsid w:val="007319AA"/>
    <w:rsid w:val="00731EBC"/>
    <w:rsid w:val="00731EC3"/>
    <w:rsid w:val="00732448"/>
    <w:rsid w:val="0073274D"/>
    <w:rsid w:val="00732F27"/>
    <w:rsid w:val="007332D4"/>
    <w:rsid w:val="007334DF"/>
    <w:rsid w:val="0073377D"/>
    <w:rsid w:val="00733794"/>
    <w:rsid w:val="007338CD"/>
    <w:rsid w:val="00733E4B"/>
    <w:rsid w:val="00733F60"/>
    <w:rsid w:val="0073416E"/>
    <w:rsid w:val="007342E8"/>
    <w:rsid w:val="00734378"/>
    <w:rsid w:val="007344C7"/>
    <w:rsid w:val="007344DF"/>
    <w:rsid w:val="00734A59"/>
    <w:rsid w:val="00734D1D"/>
    <w:rsid w:val="0073522B"/>
    <w:rsid w:val="007355BC"/>
    <w:rsid w:val="00735827"/>
    <w:rsid w:val="00735B41"/>
    <w:rsid w:val="0073631C"/>
    <w:rsid w:val="00736562"/>
    <w:rsid w:val="00736FAB"/>
    <w:rsid w:val="0073735E"/>
    <w:rsid w:val="007379BE"/>
    <w:rsid w:val="00737A05"/>
    <w:rsid w:val="00737CA0"/>
    <w:rsid w:val="007403B9"/>
    <w:rsid w:val="00740405"/>
    <w:rsid w:val="007404A6"/>
    <w:rsid w:val="007405A7"/>
    <w:rsid w:val="007405B3"/>
    <w:rsid w:val="00740F24"/>
    <w:rsid w:val="00740F6D"/>
    <w:rsid w:val="007410A8"/>
    <w:rsid w:val="00741534"/>
    <w:rsid w:val="007415C6"/>
    <w:rsid w:val="007417BD"/>
    <w:rsid w:val="00741AF3"/>
    <w:rsid w:val="00741ECB"/>
    <w:rsid w:val="00741FFC"/>
    <w:rsid w:val="0074208B"/>
    <w:rsid w:val="00742121"/>
    <w:rsid w:val="007425AE"/>
    <w:rsid w:val="00742C6A"/>
    <w:rsid w:val="00742F87"/>
    <w:rsid w:val="00742FA9"/>
    <w:rsid w:val="007433EF"/>
    <w:rsid w:val="007435C3"/>
    <w:rsid w:val="00743FAD"/>
    <w:rsid w:val="007443BA"/>
    <w:rsid w:val="00745080"/>
    <w:rsid w:val="007457DB"/>
    <w:rsid w:val="0074590C"/>
    <w:rsid w:val="00745A97"/>
    <w:rsid w:val="00746137"/>
    <w:rsid w:val="007462D3"/>
    <w:rsid w:val="0074656E"/>
    <w:rsid w:val="007472C4"/>
    <w:rsid w:val="00747B3D"/>
    <w:rsid w:val="00747C43"/>
    <w:rsid w:val="00747E03"/>
    <w:rsid w:val="00750246"/>
    <w:rsid w:val="0075084F"/>
    <w:rsid w:val="007509E2"/>
    <w:rsid w:val="00750DA7"/>
    <w:rsid w:val="00750EF3"/>
    <w:rsid w:val="00750F2C"/>
    <w:rsid w:val="00750F61"/>
    <w:rsid w:val="00751201"/>
    <w:rsid w:val="00751245"/>
    <w:rsid w:val="007512C3"/>
    <w:rsid w:val="0075132B"/>
    <w:rsid w:val="00751C41"/>
    <w:rsid w:val="007520EB"/>
    <w:rsid w:val="0075216C"/>
    <w:rsid w:val="00752379"/>
    <w:rsid w:val="0075247E"/>
    <w:rsid w:val="00752577"/>
    <w:rsid w:val="00752721"/>
    <w:rsid w:val="00752AC3"/>
    <w:rsid w:val="00752D49"/>
    <w:rsid w:val="0075327B"/>
    <w:rsid w:val="007539EB"/>
    <w:rsid w:val="007545BE"/>
    <w:rsid w:val="0075487D"/>
    <w:rsid w:val="007549D8"/>
    <w:rsid w:val="007552EA"/>
    <w:rsid w:val="0075530A"/>
    <w:rsid w:val="007558EA"/>
    <w:rsid w:val="007559B4"/>
    <w:rsid w:val="00755B27"/>
    <w:rsid w:val="00755E13"/>
    <w:rsid w:val="00755EBD"/>
    <w:rsid w:val="00756928"/>
    <w:rsid w:val="00756C7B"/>
    <w:rsid w:val="00756D32"/>
    <w:rsid w:val="00756D51"/>
    <w:rsid w:val="007571A4"/>
    <w:rsid w:val="00760055"/>
    <w:rsid w:val="00760251"/>
    <w:rsid w:val="0076068C"/>
    <w:rsid w:val="0076069A"/>
    <w:rsid w:val="007606B5"/>
    <w:rsid w:val="00760719"/>
    <w:rsid w:val="0076090D"/>
    <w:rsid w:val="00760CE4"/>
    <w:rsid w:val="00760E61"/>
    <w:rsid w:val="007610EF"/>
    <w:rsid w:val="007611F6"/>
    <w:rsid w:val="0076139B"/>
    <w:rsid w:val="00761886"/>
    <w:rsid w:val="00761EE3"/>
    <w:rsid w:val="0076229B"/>
    <w:rsid w:val="00762A61"/>
    <w:rsid w:val="00763677"/>
    <w:rsid w:val="00764922"/>
    <w:rsid w:val="00764D81"/>
    <w:rsid w:val="00764FE3"/>
    <w:rsid w:val="007650AA"/>
    <w:rsid w:val="0076512B"/>
    <w:rsid w:val="00765201"/>
    <w:rsid w:val="0076554F"/>
    <w:rsid w:val="00765A88"/>
    <w:rsid w:val="00765B4E"/>
    <w:rsid w:val="0076656B"/>
    <w:rsid w:val="007668BC"/>
    <w:rsid w:val="00766F81"/>
    <w:rsid w:val="00767042"/>
    <w:rsid w:val="0076731C"/>
    <w:rsid w:val="00767361"/>
    <w:rsid w:val="00767392"/>
    <w:rsid w:val="00767518"/>
    <w:rsid w:val="00767724"/>
    <w:rsid w:val="00767933"/>
    <w:rsid w:val="00767942"/>
    <w:rsid w:val="00767A81"/>
    <w:rsid w:val="00767AD5"/>
    <w:rsid w:val="00767D73"/>
    <w:rsid w:val="00767DC9"/>
    <w:rsid w:val="00770117"/>
    <w:rsid w:val="007702DD"/>
    <w:rsid w:val="00770ACF"/>
    <w:rsid w:val="00770E9E"/>
    <w:rsid w:val="00771395"/>
    <w:rsid w:val="0077176D"/>
    <w:rsid w:val="00771797"/>
    <w:rsid w:val="00771E2E"/>
    <w:rsid w:val="00771F49"/>
    <w:rsid w:val="00771FCB"/>
    <w:rsid w:val="00772093"/>
    <w:rsid w:val="0077214D"/>
    <w:rsid w:val="00772999"/>
    <w:rsid w:val="00772B41"/>
    <w:rsid w:val="00772FBB"/>
    <w:rsid w:val="00773571"/>
    <w:rsid w:val="00773CA6"/>
    <w:rsid w:val="0077451F"/>
    <w:rsid w:val="0077468D"/>
    <w:rsid w:val="007749DF"/>
    <w:rsid w:val="00774B14"/>
    <w:rsid w:val="007750F7"/>
    <w:rsid w:val="00775122"/>
    <w:rsid w:val="00775A0D"/>
    <w:rsid w:val="00775B6B"/>
    <w:rsid w:val="007761E7"/>
    <w:rsid w:val="007764CD"/>
    <w:rsid w:val="007766B5"/>
    <w:rsid w:val="007769E6"/>
    <w:rsid w:val="0077718A"/>
    <w:rsid w:val="00777411"/>
    <w:rsid w:val="007776A3"/>
    <w:rsid w:val="00777870"/>
    <w:rsid w:val="00777AB0"/>
    <w:rsid w:val="00780104"/>
    <w:rsid w:val="007805DB"/>
    <w:rsid w:val="00780901"/>
    <w:rsid w:val="00780911"/>
    <w:rsid w:val="007809EC"/>
    <w:rsid w:val="00780CB1"/>
    <w:rsid w:val="00780D70"/>
    <w:rsid w:val="0078160E"/>
    <w:rsid w:val="00781B05"/>
    <w:rsid w:val="00781EA0"/>
    <w:rsid w:val="00781EA7"/>
    <w:rsid w:val="00782462"/>
    <w:rsid w:val="00782A8C"/>
    <w:rsid w:val="00782D2C"/>
    <w:rsid w:val="00782F59"/>
    <w:rsid w:val="007831DE"/>
    <w:rsid w:val="007835A3"/>
    <w:rsid w:val="007838AA"/>
    <w:rsid w:val="00783BA9"/>
    <w:rsid w:val="00783BB1"/>
    <w:rsid w:val="0078417C"/>
    <w:rsid w:val="0078435A"/>
    <w:rsid w:val="00784532"/>
    <w:rsid w:val="00784BFC"/>
    <w:rsid w:val="0078557F"/>
    <w:rsid w:val="0078594D"/>
    <w:rsid w:val="00785AB3"/>
    <w:rsid w:val="007860EA"/>
    <w:rsid w:val="00786133"/>
    <w:rsid w:val="007863D3"/>
    <w:rsid w:val="00786F98"/>
    <w:rsid w:val="0078706C"/>
    <w:rsid w:val="007870E8"/>
    <w:rsid w:val="00787179"/>
    <w:rsid w:val="0078743D"/>
    <w:rsid w:val="007877F2"/>
    <w:rsid w:val="00790143"/>
    <w:rsid w:val="00790174"/>
    <w:rsid w:val="007902AF"/>
    <w:rsid w:val="007905BA"/>
    <w:rsid w:val="0079082B"/>
    <w:rsid w:val="00790915"/>
    <w:rsid w:val="00790A85"/>
    <w:rsid w:val="00790B8C"/>
    <w:rsid w:val="00790C82"/>
    <w:rsid w:val="00791061"/>
    <w:rsid w:val="0079109A"/>
    <w:rsid w:val="0079135D"/>
    <w:rsid w:val="007914A6"/>
    <w:rsid w:val="00791AB8"/>
    <w:rsid w:val="00791AEA"/>
    <w:rsid w:val="00791C4D"/>
    <w:rsid w:val="00791D29"/>
    <w:rsid w:val="007920BD"/>
    <w:rsid w:val="007921B4"/>
    <w:rsid w:val="00792241"/>
    <w:rsid w:val="00792456"/>
    <w:rsid w:val="00792793"/>
    <w:rsid w:val="0079326D"/>
    <w:rsid w:val="00793484"/>
    <w:rsid w:val="00793B9E"/>
    <w:rsid w:val="00793D56"/>
    <w:rsid w:val="0079400A"/>
    <w:rsid w:val="0079410B"/>
    <w:rsid w:val="00794957"/>
    <w:rsid w:val="00794A29"/>
    <w:rsid w:val="00794C37"/>
    <w:rsid w:val="00794DA1"/>
    <w:rsid w:val="0079511B"/>
    <w:rsid w:val="007951D7"/>
    <w:rsid w:val="00795580"/>
    <w:rsid w:val="0079604C"/>
    <w:rsid w:val="007961E3"/>
    <w:rsid w:val="00796348"/>
    <w:rsid w:val="00796810"/>
    <w:rsid w:val="007968F2"/>
    <w:rsid w:val="00796A93"/>
    <w:rsid w:val="0079708F"/>
    <w:rsid w:val="00797AD2"/>
    <w:rsid w:val="00797DB9"/>
    <w:rsid w:val="007A08BE"/>
    <w:rsid w:val="007A08FE"/>
    <w:rsid w:val="007A0C40"/>
    <w:rsid w:val="007A0F59"/>
    <w:rsid w:val="007A11E9"/>
    <w:rsid w:val="007A1231"/>
    <w:rsid w:val="007A171C"/>
    <w:rsid w:val="007A17FC"/>
    <w:rsid w:val="007A1FD4"/>
    <w:rsid w:val="007A23DE"/>
    <w:rsid w:val="007A24F2"/>
    <w:rsid w:val="007A2539"/>
    <w:rsid w:val="007A2574"/>
    <w:rsid w:val="007A2898"/>
    <w:rsid w:val="007A2916"/>
    <w:rsid w:val="007A2B7A"/>
    <w:rsid w:val="007A3119"/>
    <w:rsid w:val="007A33A9"/>
    <w:rsid w:val="007A3587"/>
    <w:rsid w:val="007A37A3"/>
    <w:rsid w:val="007A396E"/>
    <w:rsid w:val="007A3BCB"/>
    <w:rsid w:val="007A3DFE"/>
    <w:rsid w:val="007A4609"/>
    <w:rsid w:val="007A4871"/>
    <w:rsid w:val="007A5141"/>
    <w:rsid w:val="007A5191"/>
    <w:rsid w:val="007A5523"/>
    <w:rsid w:val="007A5B57"/>
    <w:rsid w:val="007A5D86"/>
    <w:rsid w:val="007A628B"/>
    <w:rsid w:val="007A689E"/>
    <w:rsid w:val="007A69CF"/>
    <w:rsid w:val="007A6E1B"/>
    <w:rsid w:val="007A718D"/>
    <w:rsid w:val="007A7B16"/>
    <w:rsid w:val="007B017B"/>
    <w:rsid w:val="007B0319"/>
    <w:rsid w:val="007B05D1"/>
    <w:rsid w:val="007B1159"/>
    <w:rsid w:val="007B1399"/>
    <w:rsid w:val="007B1486"/>
    <w:rsid w:val="007B1577"/>
    <w:rsid w:val="007B16AA"/>
    <w:rsid w:val="007B16E8"/>
    <w:rsid w:val="007B1710"/>
    <w:rsid w:val="007B1757"/>
    <w:rsid w:val="007B189F"/>
    <w:rsid w:val="007B1E07"/>
    <w:rsid w:val="007B1EB4"/>
    <w:rsid w:val="007B27DC"/>
    <w:rsid w:val="007B28AB"/>
    <w:rsid w:val="007B2C50"/>
    <w:rsid w:val="007B2D5A"/>
    <w:rsid w:val="007B46C2"/>
    <w:rsid w:val="007B4CBA"/>
    <w:rsid w:val="007B4D87"/>
    <w:rsid w:val="007B5985"/>
    <w:rsid w:val="007B59A0"/>
    <w:rsid w:val="007B59E5"/>
    <w:rsid w:val="007B5E95"/>
    <w:rsid w:val="007B5F14"/>
    <w:rsid w:val="007B61C3"/>
    <w:rsid w:val="007B6343"/>
    <w:rsid w:val="007B6376"/>
    <w:rsid w:val="007B6579"/>
    <w:rsid w:val="007B6B8B"/>
    <w:rsid w:val="007B707A"/>
    <w:rsid w:val="007B73B5"/>
    <w:rsid w:val="007B76D2"/>
    <w:rsid w:val="007B788E"/>
    <w:rsid w:val="007B7E4A"/>
    <w:rsid w:val="007C0081"/>
    <w:rsid w:val="007C0143"/>
    <w:rsid w:val="007C0BD8"/>
    <w:rsid w:val="007C11C1"/>
    <w:rsid w:val="007C15EB"/>
    <w:rsid w:val="007C1A44"/>
    <w:rsid w:val="007C1C63"/>
    <w:rsid w:val="007C1E92"/>
    <w:rsid w:val="007C24F9"/>
    <w:rsid w:val="007C257F"/>
    <w:rsid w:val="007C2B13"/>
    <w:rsid w:val="007C2B89"/>
    <w:rsid w:val="007C2F4F"/>
    <w:rsid w:val="007C2FDB"/>
    <w:rsid w:val="007C30E3"/>
    <w:rsid w:val="007C313E"/>
    <w:rsid w:val="007C3E29"/>
    <w:rsid w:val="007C403B"/>
    <w:rsid w:val="007C41B2"/>
    <w:rsid w:val="007C42C6"/>
    <w:rsid w:val="007C4B7A"/>
    <w:rsid w:val="007C4D80"/>
    <w:rsid w:val="007C5248"/>
    <w:rsid w:val="007C525C"/>
    <w:rsid w:val="007C5359"/>
    <w:rsid w:val="007C56AC"/>
    <w:rsid w:val="007C575B"/>
    <w:rsid w:val="007C58F5"/>
    <w:rsid w:val="007C5909"/>
    <w:rsid w:val="007C5C0E"/>
    <w:rsid w:val="007C5D4D"/>
    <w:rsid w:val="007C600F"/>
    <w:rsid w:val="007C641E"/>
    <w:rsid w:val="007C6606"/>
    <w:rsid w:val="007C6A33"/>
    <w:rsid w:val="007C6A8A"/>
    <w:rsid w:val="007C6F77"/>
    <w:rsid w:val="007C7033"/>
    <w:rsid w:val="007C748D"/>
    <w:rsid w:val="007C7768"/>
    <w:rsid w:val="007C77E3"/>
    <w:rsid w:val="007C7814"/>
    <w:rsid w:val="007C786F"/>
    <w:rsid w:val="007C79C3"/>
    <w:rsid w:val="007C7C41"/>
    <w:rsid w:val="007C7D5D"/>
    <w:rsid w:val="007C7E7C"/>
    <w:rsid w:val="007D054D"/>
    <w:rsid w:val="007D0747"/>
    <w:rsid w:val="007D0828"/>
    <w:rsid w:val="007D1470"/>
    <w:rsid w:val="007D17AA"/>
    <w:rsid w:val="007D229A"/>
    <w:rsid w:val="007D2496"/>
    <w:rsid w:val="007D2A44"/>
    <w:rsid w:val="007D2E2D"/>
    <w:rsid w:val="007D3002"/>
    <w:rsid w:val="007D33E9"/>
    <w:rsid w:val="007D3598"/>
    <w:rsid w:val="007D3704"/>
    <w:rsid w:val="007D38C4"/>
    <w:rsid w:val="007D3FF9"/>
    <w:rsid w:val="007D487A"/>
    <w:rsid w:val="007D4982"/>
    <w:rsid w:val="007D4A47"/>
    <w:rsid w:val="007D4A8B"/>
    <w:rsid w:val="007D4BC9"/>
    <w:rsid w:val="007D4E1B"/>
    <w:rsid w:val="007D4FD6"/>
    <w:rsid w:val="007D5038"/>
    <w:rsid w:val="007D5373"/>
    <w:rsid w:val="007D5479"/>
    <w:rsid w:val="007D57D4"/>
    <w:rsid w:val="007D5AA8"/>
    <w:rsid w:val="007D5AEB"/>
    <w:rsid w:val="007D5C1A"/>
    <w:rsid w:val="007D5EEC"/>
    <w:rsid w:val="007D655E"/>
    <w:rsid w:val="007D68E6"/>
    <w:rsid w:val="007D6A25"/>
    <w:rsid w:val="007D6EF4"/>
    <w:rsid w:val="007D7627"/>
    <w:rsid w:val="007D78EC"/>
    <w:rsid w:val="007D7A62"/>
    <w:rsid w:val="007E0014"/>
    <w:rsid w:val="007E07E8"/>
    <w:rsid w:val="007E0C53"/>
    <w:rsid w:val="007E0D33"/>
    <w:rsid w:val="007E0D52"/>
    <w:rsid w:val="007E0F99"/>
    <w:rsid w:val="007E16E5"/>
    <w:rsid w:val="007E1C0D"/>
    <w:rsid w:val="007E1DB4"/>
    <w:rsid w:val="007E2142"/>
    <w:rsid w:val="007E21F5"/>
    <w:rsid w:val="007E242B"/>
    <w:rsid w:val="007E24AE"/>
    <w:rsid w:val="007E25E0"/>
    <w:rsid w:val="007E261A"/>
    <w:rsid w:val="007E27AB"/>
    <w:rsid w:val="007E28F6"/>
    <w:rsid w:val="007E293D"/>
    <w:rsid w:val="007E2B58"/>
    <w:rsid w:val="007E2DA2"/>
    <w:rsid w:val="007E2F76"/>
    <w:rsid w:val="007E38CF"/>
    <w:rsid w:val="007E3AFD"/>
    <w:rsid w:val="007E46F5"/>
    <w:rsid w:val="007E4723"/>
    <w:rsid w:val="007E4C16"/>
    <w:rsid w:val="007E553C"/>
    <w:rsid w:val="007E5B7D"/>
    <w:rsid w:val="007E5BBB"/>
    <w:rsid w:val="007E5CFD"/>
    <w:rsid w:val="007E5FBC"/>
    <w:rsid w:val="007E61A1"/>
    <w:rsid w:val="007E624F"/>
    <w:rsid w:val="007E62C3"/>
    <w:rsid w:val="007E641E"/>
    <w:rsid w:val="007E6523"/>
    <w:rsid w:val="007E6B48"/>
    <w:rsid w:val="007E6B7E"/>
    <w:rsid w:val="007E6C82"/>
    <w:rsid w:val="007E7267"/>
    <w:rsid w:val="007E730C"/>
    <w:rsid w:val="007E7598"/>
    <w:rsid w:val="007E7E46"/>
    <w:rsid w:val="007E7EAE"/>
    <w:rsid w:val="007F0365"/>
    <w:rsid w:val="007F08F8"/>
    <w:rsid w:val="007F0FC3"/>
    <w:rsid w:val="007F1596"/>
    <w:rsid w:val="007F1746"/>
    <w:rsid w:val="007F1C27"/>
    <w:rsid w:val="007F2078"/>
    <w:rsid w:val="007F28D3"/>
    <w:rsid w:val="007F28E2"/>
    <w:rsid w:val="007F2A8F"/>
    <w:rsid w:val="007F2AD0"/>
    <w:rsid w:val="007F2B51"/>
    <w:rsid w:val="007F2B54"/>
    <w:rsid w:val="007F30E1"/>
    <w:rsid w:val="007F3192"/>
    <w:rsid w:val="007F32D9"/>
    <w:rsid w:val="007F36DB"/>
    <w:rsid w:val="007F3978"/>
    <w:rsid w:val="007F3AD4"/>
    <w:rsid w:val="007F3B77"/>
    <w:rsid w:val="007F3D78"/>
    <w:rsid w:val="007F4D7F"/>
    <w:rsid w:val="007F4F44"/>
    <w:rsid w:val="007F5183"/>
    <w:rsid w:val="007F521E"/>
    <w:rsid w:val="007F5338"/>
    <w:rsid w:val="007F549F"/>
    <w:rsid w:val="007F593C"/>
    <w:rsid w:val="007F5A68"/>
    <w:rsid w:val="007F64B1"/>
    <w:rsid w:val="007F6505"/>
    <w:rsid w:val="007F66F3"/>
    <w:rsid w:val="007F68D9"/>
    <w:rsid w:val="007F6C0C"/>
    <w:rsid w:val="007F6CCF"/>
    <w:rsid w:val="007F7025"/>
    <w:rsid w:val="007F70D9"/>
    <w:rsid w:val="007F74FB"/>
    <w:rsid w:val="007F75B2"/>
    <w:rsid w:val="00800E84"/>
    <w:rsid w:val="008011C4"/>
    <w:rsid w:val="00801231"/>
    <w:rsid w:val="00801470"/>
    <w:rsid w:val="00801480"/>
    <w:rsid w:val="008017F0"/>
    <w:rsid w:val="00801AF8"/>
    <w:rsid w:val="00802935"/>
    <w:rsid w:val="008029C7"/>
    <w:rsid w:val="00802A32"/>
    <w:rsid w:val="00802B85"/>
    <w:rsid w:val="008030B7"/>
    <w:rsid w:val="00803720"/>
    <w:rsid w:val="00803B73"/>
    <w:rsid w:val="00803FB8"/>
    <w:rsid w:val="008040C4"/>
    <w:rsid w:val="00804334"/>
    <w:rsid w:val="008047E4"/>
    <w:rsid w:val="00804ED0"/>
    <w:rsid w:val="0080539C"/>
    <w:rsid w:val="008053B1"/>
    <w:rsid w:val="008053EC"/>
    <w:rsid w:val="00805731"/>
    <w:rsid w:val="00805C04"/>
    <w:rsid w:val="00805D95"/>
    <w:rsid w:val="0080657E"/>
    <w:rsid w:val="00806897"/>
    <w:rsid w:val="0080695C"/>
    <w:rsid w:val="00806AE3"/>
    <w:rsid w:val="00806B77"/>
    <w:rsid w:val="00806C42"/>
    <w:rsid w:val="00807084"/>
    <w:rsid w:val="00807221"/>
    <w:rsid w:val="008072B8"/>
    <w:rsid w:val="00807427"/>
    <w:rsid w:val="00807A70"/>
    <w:rsid w:val="00807BA9"/>
    <w:rsid w:val="00807DA3"/>
    <w:rsid w:val="0081052B"/>
    <w:rsid w:val="00810755"/>
    <w:rsid w:val="0081076B"/>
    <w:rsid w:val="008107BC"/>
    <w:rsid w:val="0081092A"/>
    <w:rsid w:val="00810A09"/>
    <w:rsid w:val="00810C10"/>
    <w:rsid w:val="00810D14"/>
    <w:rsid w:val="00810D9F"/>
    <w:rsid w:val="008110EC"/>
    <w:rsid w:val="0081110C"/>
    <w:rsid w:val="0081162D"/>
    <w:rsid w:val="00811636"/>
    <w:rsid w:val="00811848"/>
    <w:rsid w:val="00811BA3"/>
    <w:rsid w:val="00811CCD"/>
    <w:rsid w:val="00811FA5"/>
    <w:rsid w:val="0081242D"/>
    <w:rsid w:val="0081245A"/>
    <w:rsid w:val="0081282C"/>
    <w:rsid w:val="00812EA0"/>
    <w:rsid w:val="0081334D"/>
    <w:rsid w:val="0081338F"/>
    <w:rsid w:val="00813600"/>
    <w:rsid w:val="00813631"/>
    <w:rsid w:val="00813677"/>
    <w:rsid w:val="0081369B"/>
    <w:rsid w:val="00813940"/>
    <w:rsid w:val="00813ED0"/>
    <w:rsid w:val="00814050"/>
    <w:rsid w:val="00814154"/>
    <w:rsid w:val="00814484"/>
    <w:rsid w:val="00814DD1"/>
    <w:rsid w:val="0081526A"/>
    <w:rsid w:val="008154D5"/>
    <w:rsid w:val="00815C6F"/>
    <w:rsid w:val="00816246"/>
    <w:rsid w:val="00816399"/>
    <w:rsid w:val="0081655B"/>
    <w:rsid w:val="00816A2D"/>
    <w:rsid w:val="00817001"/>
    <w:rsid w:val="0081747F"/>
    <w:rsid w:val="00817732"/>
    <w:rsid w:val="00817743"/>
    <w:rsid w:val="008177E6"/>
    <w:rsid w:val="00817A5C"/>
    <w:rsid w:val="00817FAA"/>
    <w:rsid w:val="008205D7"/>
    <w:rsid w:val="00821014"/>
    <w:rsid w:val="0082106D"/>
    <w:rsid w:val="0082152E"/>
    <w:rsid w:val="00821925"/>
    <w:rsid w:val="00821C41"/>
    <w:rsid w:val="008222A6"/>
    <w:rsid w:val="008222FB"/>
    <w:rsid w:val="008223F7"/>
    <w:rsid w:val="00822732"/>
    <w:rsid w:val="008228A9"/>
    <w:rsid w:val="00822AB4"/>
    <w:rsid w:val="00822C2E"/>
    <w:rsid w:val="0082334D"/>
    <w:rsid w:val="00823BEE"/>
    <w:rsid w:val="00823D25"/>
    <w:rsid w:val="00824005"/>
    <w:rsid w:val="00824182"/>
    <w:rsid w:val="00824482"/>
    <w:rsid w:val="008245F0"/>
    <w:rsid w:val="008245FB"/>
    <w:rsid w:val="00824736"/>
    <w:rsid w:val="00824BD7"/>
    <w:rsid w:val="00824BF6"/>
    <w:rsid w:val="008256A0"/>
    <w:rsid w:val="00825710"/>
    <w:rsid w:val="008258A2"/>
    <w:rsid w:val="00825E84"/>
    <w:rsid w:val="00826001"/>
    <w:rsid w:val="00826978"/>
    <w:rsid w:val="00826CFE"/>
    <w:rsid w:val="00827BFA"/>
    <w:rsid w:val="008302A7"/>
    <w:rsid w:val="008304C0"/>
    <w:rsid w:val="008304CF"/>
    <w:rsid w:val="00830568"/>
    <w:rsid w:val="0083074E"/>
    <w:rsid w:val="008308BB"/>
    <w:rsid w:val="00830C02"/>
    <w:rsid w:val="00830C19"/>
    <w:rsid w:val="00830F02"/>
    <w:rsid w:val="00830F0D"/>
    <w:rsid w:val="00831282"/>
    <w:rsid w:val="00831390"/>
    <w:rsid w:val="00831465"/>
    <w:rsid w:val="00831582"/>
    <w:rsid w:val="008316CA"/>
    <w:rsid w:val="00831735"/>
    <w:rsid w:val="00832127"/>
    <w:rsid w:val="008327BC"/>
    <w:rsid w:val="008329F5"/>
    <w:rsid w:val="008331A3"/>
    <w:rsid w:val="008332D4"/>
    <w:rsid w:val="0083347A"/>
    <w:rsid w:val="00833761"/>
    <w:rsid w:val="008337B1"/>
    <w:rsid w:val="00833A32"/>
    <w:rsid w:val="00833B6C"/>
    <w:rsid w:val="00833C05"/>
    <w:rsid w:val="00833D60"/>
    <w:rsid w:val="00834168"/>
    <w:rsid w:val="0083419D"/>
    <w:rsid w:val="008343B0"/>
    <w:rsid w:val="008343FC"/>
    <w:rsid w:val="00834A56"/>
    <w:rsid w:val="00834E23"/>
    <w:rsid w:val="00834FB9"/>
    <w:rsid w:val="0083501F"/>
    <w:rsid w:val="00835087"/>
    <w:rsid w:val="0083517F"/>
    <w:rsid w:val="008355D6"/>
    <w:rsid w:val="00835673"/>
    <w:rsid w:val="00835A0D"/>
    <w:rsid w:val="00835C78"/>
    <w:rsid w:val="00835EA6"/>
    <w:rsid w:val="008360D8"/>
    <w:rsid w:val="008360F3"/>
    <w:rsid w:val="0083692D"/>
    <w:rsid w:val="00836A87"/>
    <w:rsid w:val="00836B7E"/>
    <w:rsid w:val="00836DE2"/>
    <w:rsid w:val="00836EF0"/>
    <w:rsid w:val="00837517"/>
    <w:rsid w:val="0083791A"/>
    <w:rsid w:val="00837EE3"/>
    <w:rsid w:val="008401BB"/>
    <w:rsid w:val="00840390"/>
    <w:rsid w:val="00840DAD"/>
    <w:rsid w:val="00840EB8"/>
    <w:rsid w:val="00841130"/>
    <w:rsid w:val="008419B6"/>
    <w:rsid w:val="00842556"/>
    <w:rsid w:val="00842F4C"/>
    <w:rsid w:val="008435ED"/>
    <w:rsid w:val="00843638"/>
    <w:rsid w:val="0084421D"/>
    <w:rsid w:val="0084438D"/>
    <w:rsid w:val="0084445A"/>
    <w:rsid w:val="00844549"/>
    <w:rsid w:val="00844826"/>
    <w:rsid w:val="008460AC"/>
    <w:rsid w:val="0084627A"/>
    <w:rsid w:val="00846FDA"/>
    <w:rsid w:val="008470C2"/>
    <w:rsid w:val="008505DB"/>
    <w:rsid w:val="0085060E"/>
    <w:rsid w:val="00850653"/>
    <w:rsid w:val="008507E2"/>
    <w:rsid w:val="00850BE2"/>
    <w:rsid w:val="00851223"/>
    <w:rsid w:val="008513DA"/>
    <w:rsid w:val="008517F9"/>
    <w:rsid w:val="00851CB4"/>
    <w:rsid w:val="0085252C"/>
    <w:rsid w:val="00852785"/>
    <w:rsid w:val="008529A7"/>
    <w:rsid w:val="00852A4A"/>
    <w:rsid w:val="00853356"/>
    <w:rsid w:val="00853366"/>
    <w:rsid w:val="00853630"/>
    <w:rsid w:val="008538B8"/>
    <w:rsid w:val="00853B2D"/>
    <w:rsid w:val="00853C90"/>
    <w:rsid w:val="00853E01"/>
    <w:rsid w:val="00853FCD"/>
    <w:rsid w:val="00854772"/>
    <w:rsid w:val="008548A9"/>
    <w:rsid w:val="0085554E"/>
    <w:rsid w:val="0085588D"/>
    <w:rsid w:val="00856082"/>
    <w:rsid w:val="008560E6"/>
    <w:rsid w:val="00856454"/>
    <w:rsid w:val="008565B2"/>
    <w:rsid w:val="008565EE"/>
    <w:rsid w:val="008567B9"/>
    <w:rsid w:val="008567E6"/>
    <w:rsid w:val="0085782E"/>
    <w:rsid w:val="008578C7"/>
    <w:rsid w:val="00857C48"/>
    <w:rsid w:val="008600AE"/>
    <w:rsid w:val="0086032B"/>
    <w:rsid w:val="0086087F"/>
    <w:rsid w:val="00861753"/>
    <w:rsid w:val="00861A37"/>
    <w:rsid w:val="00861CDD"/>
    <w:rsid w:val="00861E4F"/>
    <w:rsid w:val="008625E1"/>
    <w:rsid w:val="00862D10"/>
    <w:rsid w:val="00862DD3"/>
    <w:rsid w:val="00862FF2"/>
    <w:rsid w:val="008631EC"/>
    <w:rsid w:val="008633F2"/>
    <w:rsid w:val="00863649"/>
    <w:rsid w:val="00863807"/>
    <w:rsid w:val="008639BF"/>
    <w:rsid w:val="00863C36"/>
    <w:rsid w:val="008644CD"/>
    <w:rsid w:val="00864548"/>
    <w:rsid w:val="00864567"/>
    <w:rsid w:val="00864B82"/>
    <w:rsid w:val="00864FAB"/>
    <w:rsid w:val="0086535F"/>
    <w:rsid w:val="0086576F"/>
    <w:rsid w:val="00865977"/>
    <w:rsid w:val="0086608A"/>
    <w:rsid w:val="0086673C"/>
    <w:rsid w:val="00866B60"/>
    <w:rsid w:val="00867054"/>
    <w:rsid w:val="0086737F"/>
    <w:rsid w:val="008674F8"/>
    <w:rsid w:val="00867D9E"/>
    <w:rsid w:val="00870043"/>
    <w:rsid w:val="00870176"/>
    <w:rsid w:val="00870221"/>
    <w:rsid w:val="008702C2"/>
    <w:rsid w:val="0087059B"/>
    <w:rsid w:val="00870C05"/>
    <w:rsid w:val="00870FA7"/>
    <w:rsid w:val="00870FC5"/>
    <w:rsid w:val="008713DC"/>
    <w:rsid w:val="008716C4"/>
    <w:rsid w:val="00871811"/>
    <w:rsid w:val="00871EA1"/>
    <w:rsid w:val="00871EA8"/>
    <w:rsid w:val="00871F98"/>
    <w:rsid w:val="00872610"/>
    <w:rsid w:val="0087296B"/>
    <w:rsid w:val="00872B0E"/>
    <w:rsid w:val="00872D0C"/>
    <w:rsid w:val="00873C8E"/>
    <w:rsid w:val="00873D64"/>
    <w:rsid w:val="00874560"/>
    <w:rsid w:val="00874906"/>
    <w:rsid w:val="008751EB"/>
    <w:rsid w:val="00875531"/>
    <w:rsid w:val="008756B0"/>
    <w:rsid w:val="00876980"/>
    <w:rsid w:val="00876A52"/>
    <w:rsid w:val="00880423"/>
    <w:rsid w:val="008806DF"/>
    <w:rsid w:val="008806EB"/>
    <w:rsid w:val="0088072B"/>
    <w:rsid w:val="0088104D"/>
    <w:rsid w:val="008810F7"/>
    <w:rsid w:val="00881802"/>
    <w:rsid w:val="00881819"/>
    <w:rsid w:val="0088181F"/>
    <w:rsid w:val="008818A9"/>
    <w:rsid w:val="00882005"/>
    <w:rsid w:val="00882068"/>
    <w:rsid w:val="0088218E"/>
    <w:rsid w:val="008821BF"/>
    <w:rsid w:val="008823F8"/>
    <w:rsid w:val="008827AE"/>
    <w:rsid w:val="008827CB"/>
    <w:rsid w:val="00882A7E"/>
    <w:rsid w:val="00882B2F"/>
    <w:rsid w:val="00882E27"/>
    <w:rsid w:val="00883348"/>
    <w:rsid w:val="008835F2"/>
    <w:rsid w:val="0088363F"/>
    <w:rsid w:val="008837B3"/>
    <w:rsid w:val="00883874"/>
    <w:rsid w:val="00883897"/>
    <w:rsid w:val="00883B05"/>
    <w:rsid w:val="008840A7"/>
    <w:rsid w:val="008840D4"/>
    <w:rsid w:val="008841CB"/>
    <w:rsid w:val="00884280"/>
    <w:rsid w:val="0088430D"/>
    <w:rsid w:val="008843A4"/>
    <w:rsid w:val="008843B7"/>
    <w:rsid w:val="008846E2"/>
    <w:rsid w:val="008847C7"/>
    <w:rsid w:val="0088537F"/>
    <w:rsid w:val="00885ABF"/>
    <w:rsid w:val="00885B2F"/>
    <w:rsid w:val="00886429"/>
    <w:rsid w:val="008865A3"/>
    <w:rsid w:val="0088663B"/>
    <w:rsid w:val="008866B4"/>
    <w:rsid w:val="008867A9"/>
    <w:rsid w:val="00886875"/>
    <w:rsid w:val="00887151"/>
    <w:rsid w:val="008871FE"/>
    <w:rsid w:val="00887A37"/>
    <w:rsid w:val="00887ADE"/>
    <w:rsid w:val="00887BF2"/>
    <w:rsid w:val="00890313"/>
    <w:rsid w:val="008909BB"/>
    <w:rsid w:val="00890F91"/>
    <w:rsid w:val="00891397"/>
    <w:rsid w:val="00891578"/>
    <w:rsid w:val="008918F3"/>
    <w:rsid w:val="00891B4A"/>
    <w:rsid w:val="00891C2A"/>
    <w:rsid w:val="00891D20"/>
    <w:rsid w:val="00891E50"/>
    <w:rsid w:val="0089216B"/>
    <w:rsid w:val="00892358"/>
    <w:rsid w:val="00892426"/>
    <w:rsid w:val="00892578"/>
    <w:rsid w:val="00893BB3"/>
    <w:rsid w:val="00893DD0"/>
    <w:rsid w:val="00894301"/>
    <w:rsid w:val="00894350"/>
    <w:rsid w:val="00894384"/>
    <w:rsid w:val="008946D1"/>
    <w:rsid w:val="00894A7E"/>
    <w:rsid w:val="00894D37"/>
    <w:rsid w:val="008950B1"/>
    <w:rsid w:val="008957A1"/>
    <w:rsid w:val="00895B9D"/>
    <w:rsid w:val="00895F73"/>
    <w:rsid w:val="00895FC1"/>
    <w:rsid w:val="00895FEF"/>
    <w:rsid w:val="00896884"/>
    <w:rsid w:val="00896B54"/>
    <w:rsid w:val="008972A2"/>
    <w:rsid w:val="0089759E"/>
    <w:rsid w:val="00897A2B"/>
    <w:rsid w:val="00897D7C"/>
    <w:rsid w:val="00897E22"/>
    <w:rsid w:val="00897E66"/>
    <w:rsid w:val="008A003D"/>
    <w:rsid w:val="008A06CB"/>
    <w:rsid w:val="008A08D8"/>
    <w:rsid w:val="008A0A03"/>
    <w:rsid w:val="008A0C30"/>
    <w:rsid w:val="008A0E01"/>
    <w:rsid w:val="008A0E4B"/>
    <w:rsid w:val="008A11A6"/>
    <w:rsid w:val="008A1385"/>
    <w:rsid w:val="008A140D"/>
    <w:rsid w:val="008A14DE"/>
    <w:rsid w:val="008A19E4"/>
    <w:rsid w:val="008A22BF"/>
    <w:rsid w:val="008A271C"/>
    <w:rsid w:val="008A2BFB"/>
    <w:rsid w:val="008A2E56"/>
    <w:rsid w:val="008A36BF"/>
    <w:rsid w:val="008A3C50"/>
    <w:rsid w:val="008A43C5"/>
    <w:rsid w:val="008A441A"/>
    <w:rsid w:val="008A4D72"/>
    <w:rsid w:val="008A4D89"/>
    <w:rsid w:val="008A61F4"/>
    <w:rsid w:val="008A6299"/>
    <w:rsid w:val="008A6424"/>
    <w:rsid w:val="008A7136"/>
    <w:rsid w:val="008A7363"/>
    <w:rsid w:val="008A7A6F"/>
    <w:rsid w:val="008A7CCE"/>
    <w:rsid w:val="008A7FB0"/>
    <w:rsid w:val="008B06A6"/>
    <w:rsid w:val="008B0B5C"/>
    <w:rsid w:val="008B0C05"/>
    <w:rsid w:val="008B0CF0"/>
    <w:rsid w:val="008B0ECE"/>
    <w:rsid w:val="008B0F67"/>
    <w:rsid w:val="008B106A"/>
    <w:rsid w:val="008B153D"/>
    <w:rsid w:val="008B1A32"/>
    <w:rsid w:val="008B1A93"/>
    <w:rsid w:val="008B1ACB"/>
    <w:rsid w:val="008B1EC5"/>
    <w:rsid w:val="008B1ED0"/>
    <w:rsid w:val="008B2723"/>
    <w:rsid w:val="008B2A69"/>
    <w:rsid w:val="008B2E58"/>
    <w:rsid w:val="008B33E3"/>
    <w:rsid w:val="008B3401"/>
    <w:rsid w:val="008B36FF"/>
    <w:rsid w:val="008B3D48"/>
    <w:rsid w:val="008B3FE4"/>
    <w:rsid w:val="008B4C81"/>
    <w:rsid w:val="008B524F"/>
    <w:rsid w:val="008B5BCF"/>
    <w:rsid w:val="008B5D3D"/>
    <w:rsid w:val="008B6317"/>
    <w:rsid w:val="008B6F95"/>
    <w:rsid w:val="008B731C"/>
    <w:rsid w:val="008B7C9F"/>
    <w:rsid w:val="008B7D7A"/>
    <w:rsid w:val="008B7FB8"/>
    <w:rsid w:val="008C0291"/>
    <w:rsid w:val="008C068D"/>
    <w:rsid w:val="008C0A36"/>
    <w:rsid w:val="008C0BA4"/>
    <w:rsid w:val="008C0C6B"/>
    <w:rsid w:val="008C1BDF"/>
    <w:rsid w:val="008C223D"/>
    <w:rsid w:val="008C29C7"/>
    <w:rsid w:val="008C2CD0"/>
    <w:rsid w:val="008C315C"/>
    <w:rsid w:val="008C34C5"/>
    <w:rsid w:val="008C3790"/>
    <w:rsid w:val="008C3C84"/>
    <w:rsid w:val="008C3EDB"/>
    <w:rsid w:val="008C4A17"/>
    <w:rsid w:val="008C4BA4"/>
    <w:rsid w:val="008C546E"/>
    <w:rsid w:val="008C5BC9"/>
    <w:rsid w:val="008C5CFB"/>
    <w:rsid w:val="008C5D50"/>
    <w:rsid w:val="008C6000"/>
    <w:rsid w:val="008C68D4"/>
    <w:rsid w:val="008C69F8"/>
    <w:rsid w:val="008C6C21"/>
    <w:rsid w:val="008C6F39"/>
    <w:rsid w:val="008C6F7F"/>
    <w:rsid w:val="008C705B"/>
    <w:rsid w:val="008C70C9"/>
    <w:rsid w:val="008C72FB"/>
    <w:rsid w:val="008D0443"/>
    <w:rsid w:val="008D075B"/>
    <w:rsid w:val="008D1494"/>
    <w:rsid w:val="008D1D1A"/>
    <w:rsid w:val="008D207A"/>
    <w:rsid w:val="008D213A"/>
    <w:rsid w:val="008D2562"/>
    <w:rsid w:val="008D2AFA"/>
    <w:rsid w:val="008D2B1E"/>
    <w:rsid w:val="008D380A"/>
    <w:rsid w:val="008D3823"/>
    <w:rsid w:val="008D3A0F"/>
    <w:rsid w:val="008D3CE9"/>
    <w:rsid w:val="008D41E2"/>
    <w:rsid w:val="008D4898"/>
    <w:rsid w:val="008D4FE7"/>
    <w:rsid w:val="008D508C"/>
    <w:rsid w:val="008D51D3"/>
    <w:rsid w:val="008D51EB"/>
    <w:rsid w:val="008D54B7"/>
    <w:rsid w:val="008D618A"/>
    <w:rsid w:val="008D6203"/>
    <w:rsid w:val="008D63D8"/>
    <w:rsid w:val="008D64ED"/>
    <w:rsid w:val="008D6609"/>
    <w:rsid w:val="008D67F8"/>
    <w:rsid w:val="008D6A3A"/>
    <w:rsid w:val="008D6DCB"/>
    <w:rsid w:val="008D6FE5"/>
    <w:rsid w:val="008D7122"/>
    <w:rsid w:val="008D74BD"/>
    <w:rsid w:val="008D7BEB"/>
    <w:rsid w:val="008D7D00"/>
    <w:rsid w:val="008E0017"/>
    <w:rsid w:val="008E01D8"/>
    <w:rsid w:val="008E0255"/>
    <w:rsid w:val="008E0365"/>
    <w:rsid w:val="008E0911"/>
    <w:rsid w:val="008E09CD"/>
    <w:rsid w:val="008E0BA8"/>
    <w:rsid w:val="008E0C6E"/>
    <w:rsid w:val="008E122E"/>
    <w:rsid w:val="008E138E"/>
    <w:rsid w:val="008E1620"/>
    <w:rsid w:val="008E16EA"/>
    <w:rsid w:val="008E1C06"/>
    <w:rsid w:val="008E1EA4"/>
    <w:rsid w:val="008E204B"/>
    <w:rsid w:val="008E2062"/>
    <w:rsid w:val="008E275C"/>
    <w:rsid w:val="008E298A"/>
    <w:rsid w:val="008E2A9F"/>
    <w:rsid w:val="008E2D1A"/>
    <w:rsid w:val="008E31EC"/>
    <w:rsid w:val="008E3579"/>
    <w:rsid w:val="008E37AA"/>
    <w:rsid w:val="008E3B47"/>
    <w:rsid w:val="008E3EB6"/>
    <w:rsid w:val="008E3FC9"/>
    <w:rsid w:val="008E438D"/>
    <w:rsid w:val="008E45B2"/>
    <w:rsid w:val="008E4648"/>
    <w:rsid w:val="008E4808"/>
    <w:rsid w:val="008E4914"/>
    <w:rsid w:val="008E4D43"/>
    <w:rsid w:val="008E5007"/>
    <w:rsid w:val="008E5069"/>
    <w:rsid w:val="008E55FD"/>
    <w:rsid w:val="008E58F7"/>
    <w:rsid w:val="008E5904"/>
    <w:rsid w:val="008E5B73"/>
    <w:rsid w:val="008E5C88"/>
    <w:rsid w:val="008E5CFC"/>
    <w:rsid w:val="008E5D90"/>
    <w:rsid w:val="008E5E1B"/>
    <w:rsid w:val="008E5EFB"/>
    <w:rsid w:val="008E6182"/>
    <w:rsid w:val="008E62C8"/>
    <w:rsid w:val="008E65ED"/>
    <w:rsid w:val="008E67C3"/>
    <w:rsid w:val="008E6951"/>
    <w:rsid w:val="008E73AE"/>
    <w:rsid w:val="008E784C"/>
    <w:rsid w:val="008E786E"/>
    <w:rsid w:val="008E7DB8"/>
    <w:rsid w:val="008E7EB0"/>
    <w:rsid w:val="008F01E0"/>
    <w:rsid w:val="008F06FF"/>
    <w:rsid w:val="008F0C32"/>
    <w:rsid w:val="008F11E6"/>
    <w:rsid w:val="008F1535"/>
    <w:rsid w:val="008F1861"/>
    <w:rsid w:val="008F1D59"/>
    <w:rsid w:val="008F1EF2"/>
    <w:rsid w:val="008F1FF7"/>
    <w:rsid w:val="008F2018"/>
    <w:rsid w:val="008F202B"/>
    <w:rsid w:val="008F21F7"/>
    <w:rsid w:val="008F2A62"/>
    <w:rsid w:val="008F2BBA"/>
    <w:rsid w:val="008F2BE6"/>
    <w:rsid w:val="008F2E2D"/>
    <w:rsid w:val="008F2E69"/>
    <w:rsid w:val="008F3240"/>
    <w:rsid w:val="008F3462"/>
    <w:rsid w:val="008F39AB"/>
    <w:rsid w:val="008F3AAD"/>
    <w:rsid w:val="008F43F8"/>
    <w:rsid w:val="008F4505"/>
    <w:rsid w:val="008F4728"/>
    <w:rsid w:val="008F4DF5"/>
    <w:rsid w:val="008F4E60"/>
    <w:rsid w:val="008F5011"/>
    <w:rsid w:val="008F5059"/>
    <w:rsid w:val="008F5745"/>
    <w:rsid w:val="008F5A18"/>
    <w:rsid w:val="008F5A46"/>
    <w:rsid w:val="008F5CDD"/>
    <w:rsid w:val="008F6538"/>
    <w:rsid w:val="008F680D"/>
    <w:rsid w:val="008F7BE9"/>
    <w:rsid w:val="008F7EC4"/>
    <w:rsid w:val="0090022B"/>
    <w:rsid w:val="0090023D"/>
    <w:rsid w:val="00900CB8"/>
    <w:rsid w:val="00900FC7"/>
    <w:rsid w:val="009017A6"/>
    <w:rsid w:val="00901AFB"/>
    <w:rsid w:val="00901B3B"/>
    <w:rsid w:val="00901D1A"/>
    <w:rsid w:val="00902B2F"/>
    <w:rsid w:val="00902BED"/>
    <w:rsid w:val="00902D27"/>
    <w:rsid w:val="00902F45"/>
    <w:rsid w:val="009037D6"/>
    <w:rsid w:val="00903C0B"/>
    <w:rsid w:val="00903F53"/>
    <w:rsid w:val="009041FF"/>
    <w:rsid w:val="00904467"/>
    <w:rsid w:val="00904653"/>
    <w:rsid w:val="009046A0"/>
    <w:rsid w:val="009047C4"/>
    <w:rsid w:val="00905337"/>
    <w:rsid w:val="00905B46"/>
    <w:rsid w:val="00905C21"/>
    <w:rsid w:val="00905E2D"/>
    <w:rsid w:val="00906C25"/>
    <w:rsid w:val="00906E9E"/>
    <w:rsid w:val="00906F28"/>
    <w:rsid w:val="0090724A"/>
    <w:rsid w:val="009073CC"/>
    <w:rsid w:val="009076EA"/>
    <w:rsid w:val="00907DFE"/>
    <w:rsid w:val="00907E6C"/>
    <w:rsid w:val="00911094"/>
    <w:rsid w:val="0091114C"/>
    <w:rsid w:val="009113BC"/>
    <w:rsid w:val="0091165D"/>
    <w:rsid w:val="009116E2"/>
    <w:rsid w:val="00911730"/>
    <w:rsid w:val="009118B3"/>
    <w:rsid w:val="0091223F"/>
    <w:rsid w:val="0091302F"/>
    <w:rsid w:val="0091313E"/>
    <w:rsid w:val="00913AA8"/>
    <w:rsid w:val="00913B79"/>
    <w:rsid w:val="0091427A"/>
    <w:rsid w:val="009144E2"/>
    <w:rsid w:val="00914C8E"/>
    <w:rsid w:val="0091507B"/>
    <w:rsid w:val="00915192"/>
    <w:rsid w:val="009151B1"/>
    <w:rsid w:val="00915305"/>
    <w:rsid w:val="0091540A"/>
    <w:rsid w:val="00915748"/>
    <w:rsid w:val="0091580D"/>
    <w:rsid w:val="00915921"/>
    <w:rsid w:val="00915C69"/>
    <w:rsid w:val="00915C6C"/>
    <w:rsid w:val="009161FE"/>
    <w:rsid w:val="009164DC"/>
    <w:rsid w:val="00916579"/>
    <w:rsid w:val="0091686E"/>
    <w:rsid w:val="009171F9"/>
    <w:rsid w:val="00917356"/>
    <w:rsid w:val="00917656"/>
    <w:rsid w:val="00917E71"/>
    <w:rsid w:val="0092058A"/>
    <w:rsid w:val="009205D0"/>
    <w:rsid w:val="00920620"/>
    <w:rsid w:val="0092065D"/>
    <w:rsid w:val="009208AE"/>
    <w:rsid w:val="00920B93"/>
    <w:rsid w:val="009214EA"/>
    <w:rsid w:val="009216E8"/>
    <w:rsid w:val="00921D40"/>
    <w:rsid w:val="00921EEB"/>
    <w:rsid w:val="00921F2D"/>
    <w:rsid w:val="009223B9"/>
    <w:rsid w:val="0092245F"/>
    <w:rsid w:val="0092261F"/>
    <w:rsid w:val="00922A50"/>
    <w:rsid w:val="00922BFD"/>
    <w:rsid w:val="00922C0D"/>
    <w:rsid w:val="0092392D"/>
    <w:rsid w:val="009239E7"/>
    <w:rsid w:val="00924302"/>
    <w:rsid w:val="0092443F"/>
    <w:rsid w:val="00924953"/>
    <w:rsid w:val="009249A0"/>
    <w:rsid w:val="00924A82"/>
    <w:rsid w:val="0092533D"/>
    <w:rsid w:val="009253FB"/>
    <w:rsid w:val="0092593A"/>
    <w:rsid w:val="00925BC2"/>
    <w:rsid w:val="00925C94"/>
    <w:rsid w:val="0092603A"/>
    <w:rsid w:val="009263E0"/>
    <w:rsid w:val="00926400"/>
    <w:rsid w:val="00926B75"/>
    <w:rsid w:val="00927331"/>
    <w:rsid w:val="009279C9"/>
    <w:rsid w:val="009279DF"/>
    <w:rsid w:val="00927D5D"/>
    <w:rsid w:val="00927D92"/>
    <w:rsid w:val="00927F6D"/>
    <w:rsid w:val="00927FE3"/>
    <w:rsid w:val="009301CB"/>
    <w:rsid w:val="009303A5"/>
    <w:rsid w:val="0093044B"/>
    <w:rsid w:val="00930CBB"/>
    <w:rsid w:val="00930D56"/>
    <w:rsid w:val="00930E4D"/>
    <w:rsid w:val="009318EF"/>
    <w:rsid w:val="00931D17"/>
    <w:rsid w:val="00931EA4"/>
    <w:rsid w:val="00932611"/>
    <w:rsid w:val="00932667"/>
    <w:rsid w:val="0093293D"/>
    <w:rsid w:val="00932DC5"/>
    <w:rsid w:val="00933166"/>
    <w:rsid w:val="00933835"/>
    <w:rsid w:val="00933CC5"/>
    <w:rsid w:val="00933F6F"/>
    <w:rsid w:val="00934143"/>
    <w:rsid w:val="009345A0"/>
    <w:rsid w:val="00934635"/>
    <w:rsid w:val="0093495D"/>
    <w:rsid w:val="00934D95"/>
    <w:rsid w:val="00934E34"/>
    <w:rsid w:val="009354EB"/>
    <w:rsid w:val="0093603B"/>
    <w:rsid w:val="00936087"/>
    <w:rsid w:val="009361CA"/>
    <w:rsid w:val="009361E3"/>
    <w:rsid w:val="00936AE6"/>
    <w:rsid w:val="00936B3D"/>
    <w:rsid w:val="00936F17"/>
    <w:rsid w:val="00936F25"/>
    <w:rsid w:val="00937346"/>
    <w:rsid w:val="00937357"/>
    <w:rsid w:val="0093765D"/>
    <w:rsid w:val="00937ABF"/>
    <w:rsid w:val="00937C7E"/>
    <w:rsid w:val="00940136"/>
    <w:rsid w:val="0094071C"/>
    <w:rsid w:val="0094090E"/>
    <w:rsid w:val="00940CCE"/>
    <w:rsid w:val="00940F89"/>
    <w:rsid w:val="00941676"/>
    <w:rsid w:val="009418EE"/>
    <w:rsid w:val="00941B3B"/>
    <w:rsid w:val="00941F19"/>
    <w:rsid w:val="00942849"/>
    <w:rsid w:val="00942BAA"/>
    <w:rsid w:val="00942C1F"/>
    <w:rsid w:val="00942D54"/>
    <w:rsid w:val="0094322E"/>
    <w:rsid w:val="0094323E"/>
    <w:rsid w:val="00943508"/>
    <w:rsid w:val="00943B6D"/>
    <w:rsid w:val="00944348"/>
    <w:rsid w:val="009443E4"/>
    <w:rsid w:val="009444F3"/>
    <w:rsid w:val="009447EB"/>
    <w:rsid w:val="009448E4"/>
    <w:rsid w:val="00944EEE"/>
    <w:rsid w:val="00945051"/>
    <w:rsid w:val="0094542F"/>
    <w:rsid w:val="00945C0B"/>
    <w:rsid w:val="00946141"/>
    <w:rsid w:val="00946212"/>
    <w:rsid w:val="00946214"/>
    <w:rsid w:val="00946825"/>
    <w:rsid w:val="00946AE3"/>
    <w:rsid w:val="00946F70"/>
    <w:rsid w:val="009470E3"/>
    <w:rsid w:val="00947207"/>
    <w:rsid w:val="009474CC"/>
    <w:rsid w:val="00950014"/>
    <w:rsid w:val="00950432"/>
    <w:rsid w:val="00950775"/>
    <w:rsid w:val="00950830"/>
    <w:rsid w:val="009508E1"/>
    <w:rsid w:val="00950E67"/>
    <w:rsid w:val="009512A3"/>
    <w:rsid w:val="009516C5"/>
    <w:rsid w:val="00951B25"/>
    <w:rsid w:val="009523EA"/>
    <w:rsid w:val="00952751"/>
    <w:rsid w:val="00953092"/>
    <w:rsid w:val="00953457"/>
    <w:rsid w:val="00953B2E"/>
    <w:rsid w:val="00953CB7"/>
    <w:rsid w:val="00953DC1"/>
    <w:rsid w:val="00953F41"/>
    <w:rsid w:val="00954052"/>
    <w:rsid w:val="0095438E"/>
    <w:rsid w:val="00954440"/>
    <w:rsid w:val="009544CB"/>
    <w:rsid w:val="00954B18"/>
    <w:rsid w:val="00955685"/>
    <w:rsid w:val="009559A5"/>
    <w:rsid w:val="00955C48"/>
    <w:rsid w:val="00955E79"/>
    <w:rsid w:val="009565DE"/>
    <w:rsid w:val="00956CCA"/>
    <w:rsid w:val="009574A1"/>
    <w:rsid w:val="00957581"/>
    <w:rsid w:val="00957766"/>
    <w:rsid w:val="00957828"/>
    <w:rsid w:val="00957BB8"/>
    <w:rsid w:val="009600C9"/>
    <w:rsid w:val="00960243"/>
    <w:rsid w:val="00960544"/>
    <w:rsid w:val="00960EA6"/>
    <w:rsid w:val="00961233"/>
    <w:rsid w:val="0096152B"/>
    <w:rsid w:val="009617AD"/>
    <w:rsid w:val="009619D1"/>
    <w:rsid w:val="00961B62"/>
    <w:rsid w:val="00961D05"/>
    <w:rsid w:val="00961D3A"/>
    <w:rsid w:val="00961F43"/>
    <w:rsid w:val="00961FC6"/>
    <w:rsid w:val="009624DA"/>
    <w:rsid w:val="0096289B"/>
    <w:rsid w:val="00962A3C"/>
    <w:rsid w:val="0096349A"/>
    <w:rsid w:val="00963A89"/>
    <w:rsid w:val="00963B83"/>
    <w:rsid w:val="00963F28"/>
    <w:rsid w:val="0096427B"/>
    <w:rsid w:val="00964E80"/>
    <w:rsid w:val="0096529A"/>
    <w:rsid w:val="0096591D"/>
    <w:rsid w:val="00965981"/>
    <w:rsid w:val="00965D42"/>
    <w:rsid w:val="00965D5F"/>
    <w:rsid w:val="00965E7D"/>
    <w:rsid w:val="0096705E"/>
    <w:rsid w:val="00967B57"/>
    <w:rsid w:val="00967B5F"/>
    <w:rsid w:val="00967CD4"/>
    <w:rsid w:val="00967D3C"/>
    <w:rsid w:val="00967E07"/>
    <w:rsid w:val="009700B1"/>
    <w:rsid w:val="00970802"/>
    <w:rsid w:val="00970AF4"/>
    <w:rsid w:val="00970D7D"/>
    <w:rsid w:val="00970FAE"/>
    <w:rsid w:val="00972100"/>
    <w:rsid w:val="00972580"/>
    <w:rsid w:val="00972A71"/>
    <w:rsid w:val="00972EDF"/>
    <w:rsid w:val="00973119"/>
    <w:rsid w:val="0097321E"/>
    <w:rsid w:val="009732B4"/>
    <w:rsid w:val="00973333"/>
    <w:rsid w:val="0097447E"/>
    <w:rsid w:val="00974A86"/>
    <w:rsid w:val="00974CF3"/>
    <w:rsid w:val="00974E5D"/>
    <w:rsid w:val="00974E5E"/>
    <w:rsid w:val="009752BB"/>
    <w:rsid w:val="00975588"/>
    <w:rsid w:val="00975F09"/>
    <w:rsid w:val="00975F46"/>
    <w:rsid w:val="0097611D"/>
    <w:rsid w:val="009761DB"/>
    <w:rsid w:val="009768EC"/>
    <w:rsid w:val="00976ACE"/>
    <w:rsid w:val="00976C25"/>
    <w:rsid w:val="00976CD3"/>
    <w:rsid w:val="00976E2B"/>
    <w:rsid w:val="00976E65"/>
    <w:rsid w:val="00976FA2"/>
    <w:rsid w:val="0097733E"/>
    <w:rsid w:val="0097734A"/>
    <w:rsid w:val="00977ED8"/>
    <w:rsid w:val="00980153"/>
    <w:rsid w:val="0098072C"/>
    <w:rsid w:val="00980874"/>
    <w:rsid w:val="009809E5"/>
    <w:rsid w:val="00980AEA"/>
    <w:rsid w:val="0098182C"/>
    <w:rsid w:val="00981BCE"/>
    <w:rsid w:val="00983053"/>
    <w:rsid w:val="00983457"/>
    <w:rsid w:val="00983555"/>
    <w:rsid w:val="0098384F"/>
    <w:rsid w:val="00983971"/>
    <w:rsid w:val="00983ACE"/>
    <w:rsid w:val="00983CCE"/>
    <w:rsid w:val="00983E73"/>
    <w:rsid w:val="009847E7"/>
    <w:rsid w:val="009848F6"/>
    <w:rsid w:val="00984B18"/>
    <w:rsid w:val="00984C53"/>
    <w:rsid w:val="00985026"/>
    <w:rsid w:val="0098508D"/>
    <w:rsid w:val="009853EF"/>
    <w:rsid w:val="00985C09"/>
    <w:rsid w:val="00986050"/>
    <w:rsid w:val="00986292"/>
    <w:rsid w:val="0098632D"/>
    <w:rsid w:val="009866CB"/>
    <w:rsid w:val="00986892"/>
    <w:rsid w:val="00986C54"/>
    <w:rsid w:val="00986D2A"/>
    <w:rsid w:val="00986F9E"/>
    <w:rsid w:val="00987272"/>
    <w:rsid w:val="0098740B"/>
    <w:rsid w:val="00987723"/>
    <w:rsid w:val="00987B96"/>
    <w:rsid w:val="0099002E"/>
    <w:rsid w:val="00990196"/>
    <w:rsid w:val="0099040A"/>
    <w:rsid w:val="00990444"/>
    <w:rsid w:val="009906BC"/>
    <w:rsid w:val="009909B9"/>
    <w:rsid w:val="00990B0B"/>
    <w:rsid w:val="0099140E"/>
    <w:rsid w:val="009915B2"/>
    <w:rsid w:val="00991813"/>
    <w:rsid w:val="00991DD0"/>
    <w:rsid w:val="009920BE"/>
    <w:rsid w:val="00992801"/>
    <w:rsid w:val="00992835"/>
    <w:rsid w:val="009931D5"/>
    <w:rsid w:val="009939E6"/>
    <w:rsid w:val="00993C45"/>
    <w:rsid w:val="00993F46"/>
    <w:rsid w:val="00993F6E"/>
    <w:rsid w:val="0099425D"/>
    <w:rsid w:val="00994704"/>
    <w:rsid w:val="00994709"/>
    <w:rsid w:val="00994CD5"/>
    <w:rsid w:val="00995649"/>
    <w:rsid w:val="00995964"/>
    <w:rsid w:val="009959E0"/>
    <w:rsid w:val="00995BFC"/>
    <w:rsid w:val="00995D52"/>
    <w:rsid w:val="00995E04"/>
    <w:rsid w:val="00995E78"/>
    <w:rsid w:val="00996000"/>
    <w:rsid w:val="00996406"/>
    <w:rsid w:val="009966F2"/>
    <w:rsid w:val="0099685D"/>
    <w:rsid w:val="009969A4"/>
    <w:rsid w:val="0099752E"/>
    <w:rsid w:val="00997D18"/>
    <w:rsid w:val="00997F69"/>
    <w:rsid w:val="009A09F9"/>
    <w:rsid w:val="009A10B4"/>
    <w:rsid w:val="009A15B9"/>
    <w:rsid w:val="009A16FC"/>
    <w:rsid w:val="009A1A80"/>
    <w:rsid w:val="009A1AED"/>
    <w:rsid w:val="009A1C5E"/>
    <w:rsid w:val="009A23FC"/>
    <w:rsid w:val="009A25C5"/>
    <w:rsid w:val="009A2A02"/>
    <w:rsid w:val="009A2DF7"/>
    <w:rsid w:val="009A2E20"/>
    <w:rsid w:val="009A2EA3"/>
    <w:rsid w:val="009A30F6"/>
    <w:rsid w:val="009A35FA"/>
    <w:rsid w:val="009A3888"/>
    <w:rsid w:val="009A3A51"/>
    <w:rsid w:val="009A3DCD"/>
    <w:rsid w:val="009A3F3E"/>
    <w:rsid w:val="009A3FAD"/>
    <w:rsid w:val="009A4054"/>
    <w:rsid w:val="009A4CDD"/>
    <w:rsid w:val="009A5795"/>
    <w:rsid w:val="009A57BB"/>
    <w:rsid w:val="009A5AA7"/>
    <w:rsid w:val="009A64E1"/>
    <w:rsid w:val="009A663E"/>
    <w:rsid w:val="009A66B1"/>
    <w:rsid w:val="009A67B6"/>
    <w:rsid w:val="009A68F2"/>
    <w:rsid w:val="009A6C6F"/>
    <w:rsid w:val="009A7440"/>
    <w:rsid w:val="009A755C"/>
    <w:rsid w:val="009A7852"/>
    <w:rsid w:val="009A7930"/>
    <w:rsid w:val="009A7979"/>
    <w:rsid w:val="009A7D01"/>
    <w:rsid w:val="009A7ECD"/>
    <w:rsid w:val="009B01FD"/>
    <w:rsid w:val="009B07BD"/>
    <w:rsid w:val="009B08B6"/>
    <w:rsid w:val="009B0D78"/>
    <w:rsid w:val="009B0DF6"/>
    <w:rsid w:val="009B11ED"/>
    <w:rsid w:val="009B14CB"/>
    <w:rsid w:val="009B185B"/>
    <w:rsid w:val="009B1914"/>
    <w:rsid w:val="009B1968"/>
    <w:rsid w:val="009B1977"/>
    <w:rsid w:val="009B1CD1"/>
    <w:rsid w:val="009B1E20"/>
    <w:rsid w:val="009B1E9B"/>
    <w:rsid w:val="009B1EB7"/>
    <w:rsid w:val="009B1ED8"/>
    <w:rsid w:val="009B230F"/>
    <w:rsid w:val="009B2398"/>
    <w:rsid w:val="009B25E4"/>
    <w:rsid w:val="009B29AC"/>
    <w:rsid w:val="009B2A79"/>
    <w:rsid w:val="009B2BB4"/>
    <w:rsid w:val="009B2CAF"/>
    <w:rsid w:val="009B30FF"/>
    <w:rsid w:val="009B3208"/>
    <w:rsid w:val="009B32B9"/>
    <w:rsid w:val="009B37C1"/>
    <w:rsid w:val="009B39C1"/>
    <w:rsid w:val="009B3F8F"/>
    <w:rsid w:val="009B401F"/>
    <w:rsid w:val="009B42C2"/>
    <w:rsid w:val="009B43F4"/>
    <w:rsid w:val="009B46CE"/>
    <w:rsid w:val="009B499B"/>
    <w:rsid w:val="009B4A49"/>
    <w:rsid w:val="009B4B53"/>
    <w:rsid w:val="009B4B85"/>
    <w:rsid w:val="009B4CB4"/>
    <w:rsid w:val="009B4D61"/>
    <w:rsid w:val="009B4E0B"/>
    <w:rsid w:val="009B4E5D"/>
    <w:rsid w:val="009B541E"/>
    <w:rsid w:val="009B5805"/>
    <w:rsid w:val="009B58B3"/>
    <w:rsid w:val="009B5A6F"/>
    <w:rsid w:val="009B60C6"/>
    <w:rsid w:val="009B618D"/>
    <w:rsid w:val="009B6895"/>
    <w:rsid w:val="009B6B8C"/>
    <w:rsid w:val="009B6BBA"/>
    <w:rsid w:val="009B6D33"/>
    <w:rsid w:val="009B714E"/>
    <w:rsid w:val="009B7288"/>
    <w:rsid w:val="009B743D"/>
    <w:rsid w:val="009B748D"/>
    <w:rsid w:val="009B76F7"/>
    <w:rsid w:val="009B7775"/>
    <w:rsid w:val="009B7C35"/>
    <w:rsid w:val="009B7D51"/>
    <w:rsid w:val="009B7EB1"/>
    <w:rsid w:val="009C0239"/>
    <w:rsid w:val="009C0365"/>
    <w:rsid w:val="009C06F0"/>
    <w:rsid w:val="009C075F"/>
    <w:rsid w:val="009C0BFB"/>
    <w:rsid w:val="009C0EA9"/>
    <w:rsid w:val="009C10CD"/>
    <w:rsid w:val="009C1387"/>
    <w:rsid w:val="009C1987"/>
    <w:rsid w:val="009C20FD"/>
    <w:rsid w:val="009C21C6"/>
    <w:rsid w:val="009C2535"/>
    <w:rsid w:val="009C27D8"/>
    <w:rsid w:val="009C3575"/>
    <w:rsid w:val="009C3CE4"/>
    <w:rsid w:val="009C3E3B"/>
    <w:rsid w:val="009C42DD"/>
    <w:rsid w:val="009C44CA"/>
    <w:rsid w:val="009C4CA4"/>
    <w:rsid w:val="009C4F25"/>
    <w:rsid w:val="009C5029"/>
    <w:rsid w:val="009C5090"/>
    <w:rsid w:val="009C5103"/>
    <w:rsid w:val="009C5885"/>
    <w:rsid w:val="009C5931"/>
    <w:rsid w:val="009C5F64"/>
    <w:rsid w:val="009C5F73"/>
    <w:rsid w:val="009C5FD6"/>
    <w:rsid w:val="009C6155"/>
    <w:rsid w:val="009C615C"/>
    <w:rsid w:val="009C61F7"/>
    <w:rsid w:val="009C6946"/>
    <w:rsid w:val="009C694B"/>
    <w:rsid w:val="009C6A4A"/>
    <w:rsid w:val="009C6DBD"/>
    <w:rsid w:val="009C7AD1"/>
    <w:rsid w:val="009C7F7D"/>
    <w:rsid w:val="009D0209"/>
    <w:rsid w:val="009D0258"/>
    <w:rsid w:val="009D0672"/>
    <w:rsid w:val="009D068A"/>
    <w:rsid w:val="009D070F"/>
    <w:rsid w:val="009D14CF"/>
    <w:rsid w:val="009D1747"/>
    <w:rsid w:val="009D185C"/>
    <w:rsid w:val="009D186F"/>
    <w:rsid w:val="009D1972"/>
    <w:rsid w:val="009D199D"/>
    <w:rsid w:val="009D1E6E"/>
    <w:rsid w:val="009D1EE9"/>
    <w:rsid w:val="009D23C6"/>
    <w:rsid w:val="009D240D"/>
    <w:rsid w:val="009D26EF"/>
    <w:rsid w:val="009D28B5"/>
    <w:rsid w:val="009D2CCD"/>
    <w:rsid w:val="009D2D00"/>
    <w:rsid w:val="009D3117"/>
    <w:rsid w:val="009D3269"/>
    <w:rsid w:val="009D32B3"/>
    <w:rsid w:val="009D3431"/>
    <w:rsid w:val="009D344A"/>
    <w:rsid w:val="009D36A6"/>
    <w:rsid w:val="009D3F60"/>
    <w:rsid w:val="009D40F4"/>
    <w:rsid w:val="009D4362"/>
    <w:rsid w:val="009D46B1"/>
    <w:rsid w:val="009D4D1A"/>
    <w:rsid w:val="009D512B"/>
    <w:rsid w:val="009D5440"/>
    <w:rsid w:val="009D54FB"/>
    <w:rsid w:val="009D5C98"/>
    <w:rsid w:val="009D5ED2"/>
    <w:rsid w:val="009D6446"/>
    <w:rsid w:val="009D6BD0"/>
    <w:rsid w:val="009D6EEE"/>
    <w:rsid w:val="009D7252"/>
    <w:rsid w:val="009D7444"/>
    <w:rsid w:val="009D75DF"/>
    <w:rsid w:val="009D799D"/>
    <w:rsid w:val="009D7A61"/>
    <w:rsid w:val="009D7BE5"/>
    <w:rsid w:val="009D7CB5"/>
    <w:rsid w:val="009D7E6D"/>
    <w:rsid w:val="009D7FD2"/>
    <w:rsid w:val="009E061F"/>
    <w:rsid w:val="009E0C62"/>
    <w:rsid w:val="009E144E"/>
    <w:rsid w:val="009E1895"/>
    <w:rsid w:val="009E18CF"/>
    <w:rsid w:val="009E1DA5"/>
    <w:rsid w:val="009E1EE6"/>
    <w:rsid w:val="009E25C9"/>
    <w:rsid w:val="009E2666"/>
    <w:rsid w:val="009E2DF3"/>
    <w:rsid w:val="009E3144"/>
    <w:rsid w:val="009E35AB"/>
    <w:rsid w:val="009E39B6"/>
    <w:rsid w:val="009E3B6A"/>
    <w:rsid w:val="009E3E6A"/>
    <w:rsid w:val="009E40DC"/>
    <w:rsid w:val="009E41C2"/>
    <w:rsid w:val="009E429F"/>
    <w:rsid w:val="009E4461"/>
    <w:rsid w:val="009E56D1"/>
    <w:rsid w:val="009E5A39"/>
    <w:rsid w:val="009E5B94"/>
    <w:rsid w:val="009E5CB6"/>
    <w:rsid w:val="009E5FD7"/>
    <w:rsid w:val="009E60EC"/>
    <w:rsid w:val="009E6134"/>
    <w:rsid w:val="009E61A1"/>
    <w:rsid w:val="009E626C"/>
    <w:rsid w:val="009E62CF"/>
    <w:rsid w:val="009E6E1D"/>
    <w:rsid w:val="009E6F07"/>
    <w:rsid w:val="009E7445"/>
    <w:rsid w:val="009E7D22"/>
    <w:rsid w:val="009F0467"/>
    <w:rsid w:val="009F0643"/>
    <w:rsid w:val="009F0BAA"/>
    <w:rsid w:val="009F122B"/>
    <w:rsid w:val="009F129C"/>
    <w:rsid w:val="009F12FC"/>
    <w:rsid w:val="009F1793"/>
    <w:rsid w:val="009F1C7C"/>
    <w:rsid w:val="009F2308"/>
    <w:rsid w:val="009F242D"/>
    <w:rsid w:val="009F26FE"/>
    <w:rsid w:val="009F2B0A"/>
    <w:rsid w:val="009F2E02"/>
    <w:rsid w:val="009F2F3D"/>
    <w:rsid w:val="009F3408"/>
    <w:rsid w:val="009F372E"/>
    <w:rsid w:val="009F3772"/>
    <w:rsid w:val="009F3D60"/>
    <w:rsid w:val="009F3F8D"/>
    <w:rsid w:val="009F451E"/>
    <w:rsid w:val="009F4BB3"/>
    <w:rsid w:val="009F5002"/>
    <w:rsid w:val="009F5322"/>
    <w:rsid w:val="009F53CE"/>
    <w:rsid w:val="009F54F1"/>
    <w:rsid w:val="009F56EA"/>
    <w:rsid w:val="009F572E"/>
    <w:rsid w:val="009F5BE6"/>
    <w:rsid w:val="009F5E6F"/>
    <w:rsid w:val="009F616A"/>
    <w:rsid w:val="009F6BB7"/>
    <w:rsid w:val="009F6F10"/>
    <w:rsid w:val="009F78DB"/>
    <w:rsid w:val="009F7AAC"/>
    <w:rsid w:val="00A0019D"/>
    <w:rsid w:val="00A004DA"/>
    <w:rsid w:val="00A00AE9"/>
    <w:rsid w:val="00A00C82"/>
    <w:rsid w:val="00A00F5C"/>
    <w:rsid w:val="00A00F65"/>
    <w:rsid w:val="00A01E4E"/>
    <w:rsid w:val="00A024DB"/>
    <w:rsid w:val="00A0288E"/>
    <w:rsid w:val="00A029C3"/>
    <w:rsid w:val="00A02A5D"/>
    <w:rsid w:val="00A02B2E"/>
    <w:rsid w:val="00A02CA3"/>
    <w:rsid w:val="00A02DD2"/>
    <w:rsid w:val="00A03006"/>
    <w:rsid w:val="00A03571"/>
    <w:rsid w:val="00A03D74"/>
    <w:rsid w:val="00A03DBC"/>
    <w:rsid w:val="00A03DFB"/>
    <w:rsid w:val="00A03E6F"/>
    <w:rsid w:val="00A046F7"/>
    <w:rsid w:val="00A048E7"/>
    <w:rsid w:val="00A04BAF"/>
    <w:rsid w:val="00A04DAB"/>
    <w:rsid w:val="00A05188"/>
    <w:rsid w:val="00A05766"/>
    <w:rsid w:val="00A05884"/>
    <w:rsid w:val="00A05BFF"/>
    <w:rsid w:val="00A05DB9"/>
    <w:rsid w:val="00A05F2A"/>
    <w:rsid w:val="00A063C6"/>
    <w:rsid w:val="00A069D3"/>
    <w:rsid w:val="00A06A57"/>
    <w:rsid w:val="00A072E6"/>
    <w:rsid w:val="00A07501"/>
    <w:rsid w:val="00A07747"/>
    <w:rsid w:val="00A07A32"/>
    <w:rsid w:val="00A07B71"/>
    <w:rsid w:val="00A07CD8"/>
    <w:rsid w:val="00A07F31"/>
    <w:rsid w:val="00A10277"/>
    <w:rsid w:val="00A11082"/>
    <w:rsid w:val="00A118A6"/>
    <w:rsid w:val="00A1212C"/>
    <w:rsid w:val="00A123F0"/>
    <w:rsid w:val="00A123FA"/>
    <w:rsid w:val="00A12F16"/>
    <w:rsid w:val="00A12F37"/>
    <w:rsid w:val="00A130A2"/>
    <w:rsid w:val="00A14260"/>
    <w:rsid w:val="00A1478F"/>
    <w:rsid w:val="00A1493E"/>
    <w:rsid w:val="00A14DB5"/>
    <w:rsid w:val="00A15237"/>
    <w:rsid w:val="00A153FA"/>
    <w:rsid w:val="00A158E6"/>
    <w:rsid w:val="00A158FC"/>
    <w:rsid w:val="00A16542"/>
    <w:rsid w:val="00A16565"/>
    <w:rsid w:val="00A16FE9"/>
    <w:rsid w:val="00A173BC"/>
    <w:rsid w:val="00A17660"/>
    <w:rsid w:val="00A177B2"/>
    <w:rsid w:val="00A17F68"/>
    <w:rsid w:val="00A17FAB"/>
    <w:rsid w:val="00A20398"/>
    <w:rsid w:val="00A20785"/>
    <w:rsid w:val="00A219EE"/>
    <w:rsid w:val="00A21AC8"/>
    <w:rsid w:val="00A21B03"/>
    <w:rsid w:val="00A21F01"/>
    <w:rsid w:val="00A21F4D"/>
    <w:rsid w:val="00A21F55"/>
    <w:rsid w:val="00A221E0"/>
    <w:rsid w:val="00A2244E"/>
    <w:rsid w:val="00A22488"/>
    <w:rsid w:val="00A22AFD"/>
    <w:rsid w:val="00A23661"/>
    <w:rsid w:val="00A23718"/>
    <w:rsid w:val="00A23D88"/>
    <w:rsid w:val="00A23EBE"/>
    <w:rsid w:val="00A23FAF"/>
    <w:rsid w:val="00A2458A"/>
    <w:rsid w:val="00A248E5"/>
    <w:rsid w:val="00A24AD0"/>
    <w:rsid w:val="00A25569"/>
    <w:rsid w:val="00A26352"/>
    <w:rsid w:val="00A26399"/>
    <w:rsid w:val="00A265E2"/>
    <w:rsid w:val="00A2670B"/>
    <w:rsid w:val="00A26A43"/>
    <w:rsid w:val="00A27015"/>
    <w:rsid w:val="00A270F8"/>
    <w:rsid w:val="00A271FC"/>
    <w:rsid w:val="00A2734D"/>
    <w:rsid w:val="00A27608"/>
    <w:rsid w:val="00A279E3"/>
    <w:rsid w:val="00A27A8F"/>
    <w:rsid w:val="00A30040"/>
    <w:rsid w:val="00A3014F"/>
    <w:rsid w:val="00A302D4"/>
    <w:rsid w:val="00A3057A"/>
    <w:rsid w:val="00A311A2"/>
    <w:rsid w:val="00A3132B"/>
    <w:rsid w:val="00A31CB8"/>
    <w:rsid w:val="00A320E7"/>
    <w:rsid w:val="00A323BA"/>
    <w:rsid w:val="00A326E8"/>
    <w:rsid w:val="00A328E5"/>
    <w:rsid w:val="00A32CE8"/>
    <w:rsid w:val="00A32ED8"/>
    <w:rsid w:val="00A335F2"/>
    <w:rsid w:val="00A3367D"/>
    <w:rsid w:val="00A343CB"/>
    <w:rsid w:val="00A34A2D"/>
    <w:rsid w:val="00A350A6"/>
    <w:rsid w:val="00A350D3"/>
    <w:rsid w:val="00A35658"/>
    <w:rsid w:val="00A35B4A"/>
    <w:rsid w:val="00A36061"/>
    <w:rsid w:val="00A36E9D"/>
    <w:rsid w:val="00A37534"/>
    <w:rsid w:val="00A37CC5"/>
    <w:rsid w:val="00A400B1"/>
    <w:rsid w:val="00A40180"/>
    <w:rsid w:val="00A40300"/>
    <w:rsid w:val="00A4068A"/>
    <w:rsid w:val="00A406FF"/>
    <w:rsid w:val="00A40C8C"/>
    <w:rsid w:val="00A40D36"/>
    <w:rsid w:val="00A40D78"/>
    <w:rsid w:val="00A40E82"/>
    <w:rsid w:val="00A41032"/>
    <w:rsid w:val="00A411EB"/>
    <w:rsid w:val="00A413C1"/>
    <w:rsid w:val="00A4145B"/>
    <w:rsid w:val="00A41464"/>
    <w:rsid w:val="00A41505"/>
    <w:rsid w:val="00A41B0B"/>
    <w:rsid w:val="00A4207C"/>
    <w:rsid w:val="00A420F2"/>
    <w:rsid w:val="00A423E6"/>
    <w:rsid w:val="00A42609"/>
    <w:rsid w:val="00A4384E"/>
    <w:rsid w:val="00A43A72"/>
    <w:rsid w:val="00A43B99"/>
    <w:rsid w:val="00A43FED"/>
    <w:rsid w:val="00A44943"/>
    <w:rsid w:val="00A4496F"/>
    <w:rsid w:val="00A44D27"/>
    <w:rsid w:val="00A44E4B"/>
    <w:rsid w:val="00A44E5C"/>
    <w:rsid w:val="00A450F0"/>
    <w:rsid w:val="00A45303"/>
    <w:rsid w:val="00A4584B"/>
    <w:rsid w:val="00A45C72"/>
    <w:rsid w:val="00A4638A"/>
    <w:rsid w:val="00A465F3"/>
    <w:rsid w:val="00A468AA"/>
    <w:rsid w:val="00A468DE"/>
    <w:rsid w:val="00A46971"/>
    <w:rsid w:val="00A46BB0"/>
    <w:rsid w:val="00A47219"/>
    <w:rsid w:val="00A47487"/>
    <w:rsid w:val="00A50308"/>
    <w:rsid w:val="00A50342"/>
    <w:rsid w:val="00A503D2"/>
    <w:rsid w:val="00A50565"/>
    <w:rsid w:val="00A505F6"/>
    <w:rsid w:val="00A507AD"/>
    <w:rsid w:val="00A5098C"/>
    <w:rsid w:val="00A50BAC"/>
    <w:rsid w:val="00A50D28"/>
    <w:rsid w:val="00A50DD0"/>
    <w:rsid w:val="00A512CD"/>
    <w:rsid w:val="00A5134F"/>
    <w:rsid w:val="00A513AA"/>
    <w:rsid w:val="00A516EE"/>
    <w:rsid w:val="00A51EF8"/>
    <w:rsid w:val="00A52E0C"/>
    <w:rsid w:val="00A5349B"/>
    <w:rsid w:val="00A534A0"/>
    <w:rsid w:val="00A53D43"/>
    <w:rsid w:val="00A53F53"/>
    <w:rsid w:val="00A540C3"/>
    <w:rsid w:val="00A54435"/>
    <w:rsid w:val="00A54ADA"/>
    <w:rsid w:val="00A54FF6"/>
    <w:rsid w:val="00A5543F"/>
    <w:rsid w:val="00A55481"/>
    <w:rsid w:val="00A55490"/>
    <w:rsid w:val="00A5592F"/>
    <w:rsid w:val="00A55A4D"/>
    <w:rsid w:val="00A55EFC"/>
    <w:rsid w:val="00A55FE1"/>
    <w:rsid w:val="00A560A3"/>
    <w:rsid w:val="00A5610A"/>
    <w:rsid w:val="00A563B6"/>
    <w:rsid w:val="00A563DA"/>
    <w:rsid w:val="00A5651D"/>
    <w:rsid w:val="00A56863"/>
    <w:rsid w:val="00A569C2"/>
    <w:rsid w:val="00A56C15"/>
    <w:rsid w:val="00A56CB8"/>
    <w:rsid w:val="00A56F2E"/>
    <w:rsid w:val="00A56F48"/>
    <w:rsid w:val="00A5731C"/>
    <w:rsid w:val="00A57571"/>
    <w:rsid w:val="00A57EB5"/>
    <w:rsid w:val="00A60067"/>
    <w:rsid w:val="00A60427"/>
    <w:rsid w:val="00A604D7"/>
    <w:rsid w:val="00A60C24"/>
    <w:rsid w:val="00A60C97"/>
    <w:rsid w:val="00A61366"/>
    <w:rsid w:val="00A6169D"/>
    <w:rsid w:val="00A61891"/>
    <w:rsid w:val="00A61B17"/>
    <w:rsid w:val="00A61D13"/>
    <w:rsid w:val="00A61FCC"/>
    <w:rsid w:val="00A62250"/>
    <w:rsid w:val="00A62342"/>
    <w:rsid w:val="00A623F2"/>
    <w:rsid w:val="00A625C4"/>
    <w:rsid w:val="00A632B1"/>
    <w:rsid w:val="00A632DD"/>
    <w:rsid w:val="00A63529"/>
    <w:rsid w:val="00A636D8"/>
    <w:rsid w:val="00A63DC2"/>
    <w:rsid w:val="00A63FDC"/>
    <w:rsid w:val="00A642CC"/>
    <w:rsid w:val="00A6465E"/>
    <w:rsid w:val="00A647F4"/>
    <w:rsid w:val="00A6488D"/>
    <w:rsid w:val="00A64D5A"/>
    <w:rsid w:val="00A64FAA"/>
    <w:rsid w:val="00A659FC"/>
    <w:rsid w:val="00A65FEF"/>
    <w:rsid w:val="00A673C4"/>
    <w:rsid w:val="00A6748F"/>
    <w:rsid w:val="00A67DE9"/>
    <w:rsid w:val="00A67F59"/>
    <w:rsid w:val="00A7004C"/>
    <w:rsid w:val="00A70492"/>
    <w:rsid w:val="00A70A61"/>
    <w:rsid w:val="00A70B32"/>
    <w:rsid w:val="00A70C73"/>
    <w:rsid w:val="00A7102A"/>
    <w:rsid w:val="00A71114"/>
    <w:rsid w:val="00A7123D"/>
    <w:rsid w:val="00A71428"/>
    <w:rsid w:val="00A716F9"/>
    <w:rsid w:val="00A7170A"/>
    <w:rsid w:val="00A7171A"/>
    <w:rsid w:val="00A71818"/>
    <w:rsid w:val="00A71C8E"/>
    <w:rsid w:val="00A71D01"/>
    <w:rsid w:val="00A71D80"/>
    <w:rsid w:val="00A71E3F"/>
    <w:rsid w:val="00A71F6B"/>
    <w:rsid w:val="00A72001"/>
    <w:rsid w:val="00A728B2"/>
    <w:rsid w:val="00A729B1"/>
    <w:rsid w:val="00A72A52"/>
    <w:rsid w:val="00A72DEA"/>
    <w:rsid w:val="00A735E4"/>
    <w:rsid w:val="00A738FC"/>
    <w:rsid w:val="00A73978"/>
    <w:rsid w:val="00A74686"/>
    <w:rsid w:val="00A74838"/>
    <w:rsid w:val="00A748F3"/>
    <w:rsid w:val="00A748F5"/>
    <w:rsid w:val="00A74C8E"/>
    <w:rsid w:val="00A74E40"/>
    <w:rsid w:val="00A751DD"/>
    <w:rsid w:val="00A754F8"/>
    <w:rsid w:val="00A755EB"/>
    <w:rsid w:val="00A759E3"/>
    <w:rsid w:val="00A762D7"/>
    <w:rsid w:val="00A76664"/>
    <w:rsid w:val="00A76685"/>
    <w:rsid w:val="00A76C36"/>
    <w:rsid w:val="00A76D1E"/>
    <w:rsid w:val="00A7763B"/>
    <w:rsid w:val="00A778FC"/>
    <w:rsid w:val="00A77E47"/>
    <w:rsid w:val="00A80090"/>
    <w:rsid w:val="00A80189"/>
    <w:rsid w:val="00A80329"/>
    <w:rsid w:val="00A80511"/>
    <w:rsid w:val="00A806D3"/>
    <w:rsid w:val="00A80827"/>
    <w:rsid w:val="00A80E21"/>
    <w:rsid w:val="00A80FC1"/>
    <w:rsid w:val="00A8137F"/>
    <w:rsid w:val="00A81921"/>
    <w:rsid w:val="00A81A7D"/>
    <w:rsid w:val="00A81B5F"/>
    <w:rsid w:val="00A82296"/>
    <w:rsid w:val="00A82300"/>
    <w:rsid w:val="00A826B4"/>
    <w:rsid w:val="00A82B5B"/>
    <w:rsid w:val="00A83AF1"/>
    <w:rsid w:val="00A83CC6"/>
    <w:rsid w:val="00A83FA1"/>
    <w:rsid w:val="00A840E7"/>
    <w:rsid w:val="00A84149"/>
    <w:rsid w:val="00A84171"/>
    <w:rsid w:val="00A8418F"/>
    <w:rsid w:val="00A841B6"/>
    <w:rsid w:val="00A842CC"/>
    <w:rsid w:val="00A84418"/>
    <w:rsid w:val="00A84BD1"/>
    <w:rsid w:val="00A84E22"/>
    <w:rsid w:val="00A85573"/>
    <w:rsid w:val="00A859BE"/>
    <w:rsid w:val="00A86915"/>
    <w:rsid w:val="00A86EF5"/>
    <w:rsid w:val="00A877D5"/>
    <w:rsid w:val="00A87BD5"/>
    <w:rsid w:val="00A87E6C"/>
    <w:rsid w:val="00A90112"/>
    <w:rsid w:val="00A9023A"/>
    <w:rsid w:val="00A90363"/>
    <w:rsid w:val="00A905A5"/>
    <w:rsid w:val="00A9079B"/>
    <w:rsid w:val="00A909A0"/>
    <w:rsid w:val="00A909C3"/>
    <w:rsid w:val="00A911B1"/>
    <w:rsid w:val="00A913A9"/>
    <w:rsid w:val="00A9174F"/>
    <w:rsid w:val="00A9197E"/>
    <w:rsid w:val="00A91DE2"/>
    <w:rsid w:val="00A91DF5"/>
    <w:rsid w:val="00A91F43"/>
    <w:rsid w:val="00A920D5"/>
    <w:rsid w:val="00A9228E"/>
    <w:rsid w:val="00A922EB"/>
    <w:rsid w:val="00A9259C"/>
    <w:rsid w:val="00A92825"/>
    <w:rsid w:val="00A928E4"/>
    <w:rsid w:val="00A92E0E"/>
    <w:rsid w:val="00A92EB1"/>
    <w:rsid w:val="00A92F22"/>
    <w:rsid w:val="00A933CD"/>
    <w:rsid w:val="00A93871"/>
    <w:rsid w:val="00A93905"/>
    <w:rsid w:val="00A94074"/>
    <w:rsid w:val="00A9415E"/>
    <w:rsid w:val="00A945A4"/>
    <w:rsid w:val="00A94715"/>
    <w:rsid w:val="00A947D2"/>
    <w:rsid w:val="00A94D87"/>
    <w:rsid w:val="00A94DE0"/>
    <w:rsid w:val="00A94EDC"/>
    <w:rsid w:val="00A95180"/>
    <w:rsid w:val="00A951B8"/>
    <w:rsid w:val="00A95F2A"/>
    <w:rsid w:val="00A96D61"/>
    <w:rsid w:val="00A96EAE"/>
    <w:rsid w:val="00A972AB"/>
    <w:rsid w:val="00A977DC"/>
    <w:rsid w:val="00AA0A0F"/>
    <w:rsid w:val="00AA11FA"/>
    <w:rsid w:val="00AA16E3"/>
    <w:rsid w:val="00AA1B3D"/>
    <w:rsid w:val="00AA1D5E"/>
    <w:rsid w:val="00AA20C8"/>
    <w:rsid w:val="00AA2D96"/>
    <w:rsid w:val="00AA3062"/>
    <w:rsid w:val="00AA3807"/>
    <w:rsid w:val="00AA3D49"/>
    <w:rsid w:val="00AA4160"/>
    <w:rsid w:val="00AA417F"/>
    <w:rsid w:val="00AA4363"/>
    <w:rsid w:val="00AA4414"/>
    <w:rsid w:val="00AA47A2"/>
    <w:rsid w:val="00AA48B6"/>
    <w:rsid w:val="00AA48DC"/>
    <w:rsid w:val="00AA4CE6"/>
    <w:rsid w:val="00AA4DAC"/>
    <w:rsid w:val="00AA4E2A"/>
    <w:rsid w:val="00AA4FE9"/>
    <w:rsid w:val="00AA51DD"/>
    <w:rsid w:val="00AA5285"/>
    <w:rsid w:val="00AA53D3"/>
    <w:rsid w:val="00AA53FD"/>
    <w:rsid w:val="00AA5407"/>
    <w:rsid w:val="00AA5BE4"/>
    <w:rsid w:val="00AA5D94"/>
    <w:rsid w:val="00AA620F"/>
    <w:rsid w:val="00AA63A1"/>
    <w:rsid w:val="00AA6AD7"/>
    <w:rsid w:val="00AA6B65"/>
    <w:rsid w:val="00AA6CDE"/>
    <w:rsid w:val="00AA75C2"/>
    <w:rsid w:val="00AA7749"/>
    <w:rsid w:val="00AA77E1"/>
    <w:rsid w:val="00AA79EA"/>
    <w:rsid w:val="00AA7ACB"/>
    <w:rsid w:val="00AB099B"/>
    <w:rsid w:val="00AB0B89"/>
    <w:rsid w:val="00AB115B"/>
    <w:rsid w:val="00AB14AD"/>
    <w:rsid w:val="00AB17CE"/>
    <w:rsid w:val="00AB18D7"/>
    <w:rsid w:val="00AB193A"/>
    <w:rsid w:val="00AB1C16"/>
    <w:rsid w:val="00AB2407"/>
    <w:rsid w:val="00AB25E0"/>
    <w:rsid w:val="00AB2AE4"/>
    <w:rsid w:val="00AB2B41"/>
    <w:rsid w:val="00AB309D"/>
    <w:rsid w:val="00AB3357"/>
    <w:rsid w:val="00AB3534"/>
    <w:rsid w:val="00AB3BCE"/>
    <w:rsid w:val="00AB3E1E"/>
    <w:rsid w:val="00AB4717"/>
    <w:rsid w:val="00AB4E9D"/>
    <w:rsid w:val="00AB5270"/>
    <w:rsid w:val="00AB5A02"/>
    <w:rsid w:val="00AB5A90"/>
    <w:rsid w:val="00AB5DB8"/>
    <w:rsid w:val="00AB65B3"/>
    <w:rsid w:val="00AB66F4"/>
    <w:rsid w:val="00AB6A0F"/>
    <w:rsid w:val="00AB6FB8"/>
    <w:rsid w:val="00AB7284"/>
    <w:rsid w:val="00AB73C5"/>
    <w:rsid w:val="00AB73CF"/>
    <w:rsid w:val="00AB781D"/>
    <w:rsid w:val="00AB7B8D"/>
    <w:rsid w:val="00AB7FF2"/>
    <w:rsid w:val="00AC0925"/>
    <w:rsid w:val="00AC0B92"/>
    <w:rsid w:val="00AC0C77"/>
    <w:rsid w:val="00AC1065"/>
    <w:rsid w:val="00AC1473"/>
    <w:rsid w:val="00AC252D"/>
    <w:rsid w:val="00AC2744"/>
    <w:rsid w:val="00AC2805"/>
    <w:rsid w:val="00AC299C"/>
    <w:rsid w:val="00AC29AC"/>
    <w:rsid w:val="00AC2B58"/>
    <w:rsid w:val="00AC2EE8"/>
    <w:rsid w:val="00AC33C3"/>
    <w:rsid w:val="00AC3420"/>
    <w:rsid w:val="00AC36C1"/>
    <w:rsid w:val="00AC4DA4"/>
    <w:rsid w:val="00AC4DC1"/>
    <w:rsid w:val="00AC4E2C"/>
    <w:rsid w:val="00AC4ED4"/>
    <w:rsid w:val="00AC4FB1"/>
    <w:rsid w:val="00AC5135"/>
    <w:rsid w:val="00AC547B"/>
    <w:rsid w:val="00AC582D"/>
    <w:rsid w:val="00AC5996"/>
    <w:rsid w:val="00AC601E"/>
    <w:rsid w:val="00AC670B"/>
    <w:rsid w:val="00AC671B"/>
    <w:rsid w:val="00AC6C1B"/>
    <w:rsid w:val="00AC6FD2"/>
    <w:rsid w:val="00AC726E"/>
    <w:rsid w:val="00AC74D7"/>
    <w:rsid w:val="00AC764E"/>
    <w:rsid w:val="00AC789D"/>
    <w:rsid w:val="00AC7D95"/>
    <w:rsid w:val="00AC7EA5"/>
    <w:rsid w:val="00AD0021"/>
    <w:rsid w:val="00AD0190"/>
    <w:rsid w:val="00AD0553"/>
    <w:rsid w:val="00AD0906"/>
    <w:rsid w:val="00AD09C2"/>
    <w:rsid w:val="00AD09FD"/>
    <w:rsid w:val="00AD0CC0"/>
    <w:rsid w:val="00AD1054"/>
    <w:rsid w:val="00AD14DA"/>
    <w:rsid w:val="00AD14F5"/>
    <w:rsid w:val="00AD16BD"/>
    <w:rsid w:val="00AD17D5"/>
    <w:rsid w:val="00AD1879"/>
    <w:rsid w:val="00AD18C8"/>
    <w:rsid w:val="00AD23A2"/>
    <w:rsid w:val="00AD23E3"/>
    <w:rsid w:val="00AD3521"/>
    <w:rsid w:val="00AD360E"/>
    <w:rsid w:val="00AD36B9"/>
    <w:rsid w:val="00AD37D9"/>
    <w:rsid w:val="00AD3A8D"/>
    <w:rsid w:val="00AD3AF8"/>
    <w:rsid w:val="00AD3DFC"/>
    <w:rsid w:val="00AD4230"/>
    <w:rsid w:val="00AD4824"/>
    <w:rsid w:val="00AD532B"/>
    <w:rsid w:val="00AD56FB"/>
    <w:rsid w:val="00AD5BE2"/>
    <w:rsid w:val="00AD5EF5"/>
    <w:rsid w:val="00AD5F67"/>
    <w:rsid w:val="00AD5F83"/>
    <w:rsid w:val="00AD61DD"/>
    <w:rsid w:val="00AD63D9"/>
    <w:rsid w:val="00AD64E1"/>
    <w:rsid w:val="00AD67C4"/>
    <w:rsid w:val="00AD6A22"/>
    <w:rsid w:val="00AD6CED"/>
    <w:rsid w:val="00AD7068"/>
    <w:rsid w:val="00AD7273"/>
    <w:rsid w:val="00AD767A"/>
    <w:rsid w:val="00AD77CB"/>
    <w:rsid w:val="00AD77E2"/>
    <w:rsid w:val="00AD78C0"/>
    <w:rsid w:val="00AD78FD"/>
    <w:rsid w:val="00AD7B75"/>
    <w:rsid w:val="00AE0097"/>
    <w:rsid w:val="00AE0163"/>
    <w:rsid w:val="00AE0185"/>
    <w:rsid w:val="00AE0672"/>
    <w:rsid w:val="00AE0CC5"/>
    <w:rsid w:val="00AE106A"/>
    <w:rsid w:val="00AE14A1"/>
    <w:rsid w:val="00AE17DE"/>
    <w:rsid w:val="00AE1897"/>
    <w:rsid w:val="00AE1960"/>
    <w:rsid w:val="00AE1B38"/>
    <w:rsid w:val="00AE1D8B"/>
    <w:rsid w:val="00AE2344"/>
    <w:rsid w:val="00AE27B3"/>
    <w:rsid w:val="00AE2A22"/>
    <w:rsid w:val="00AE2DC7"/>
    <w:rsid w:val="00AE304C"/>
    <w:rsid w:val="00AE306F"/>
    <w:rsid w:val="00AE3164"/>
    <w:rsid w:val="00AE375D"/>
    <w:rsid w:val="00AE38A9"/>
    <w:rsid w:val="00AE3B4E"/>
    <w:rsid w:val="00AE3B7D"/>
    <w:rsid w:val="00AE417D"/>
    <w:rsid w:val="00AE420C"/>
    <w:rsid w:val="00AE4423"/>
    <w:rsid w:val="00AE4732"/>
    <w:rsid w:val="00AE487F"/>
    <w:rsid w:val="00AE4D65"/>
    <w:rsid w:val="00AE5273"/>
    <w:rsid w:val="00AE5999"/>
    <w:rsid w:val="00AE5A30"/>
    <w:rsid w:val="00AE5A58"/>
    <w:rsid w:val="00AE5EA5"/>
    <w:rsid w:val="00AE635C"/>
    <w:rsid w:val="00AE684E"/>
    <w:rsid w:val="00AE7532"/>
    <w:rsid w:val="00AE7542"/>
    <w:rsid w:val="00AE79AF"/>
    <w:rsid w:val="00AE7AB3"/>
    <w:rsid w:val="00AE7D12"/>
    <w:rsid w:val="00AE7E3B"/>
    <w:rsid w:val="00AF016E"/>
    <w:rsid w:val="00AF03DF"/>
    <w:rsid w:val="00AF07D4"/>
    <w:rsid w:val="00AF0A5B"/>
    <w:rsid w:val="00AF1B26"/>
    <w:rsid w:val="00AF1E39"/>
    <w:rsid w:val="00AF2081"/>
    <w:rsid w:val="00AF2380"/>
    <w:rsid w:val="00AF2B7C"/>
    <w:rsid w:val="00AF2EC4"/>
    <w:rsid w:val="00AF2EE6"/>
    <w:rsid w:val="00AF36A5"/>
    <w:rsid w:val="00AF3D9A"/>
    <w:rsid w:val="00AF40F5"/>
    <w:rsid w:val="00AF4A44"/>
    <w:rsid w:val="00AF4D93"/>
    <w:rsid w:val="00AF4E94"/>
    <w:rsid w:val="00AF560E"/>
    <w:rsid w:val="00AF5837"/>
    <w:rsid w:val="00AF5C9F"/>
    <w:rsid w:val="00AF628B"/>
    <w:rsid w:val="00AF62AB"/>
    <w:rsid w:val="00AF68F0"/>
    <w:rsid w:val="00AF6B3E"/>
    <w:rsid w:val="00AF6DE5"/>
    <w:rsid w:val="00AF70BD"/>
    <w:rsid w:val="00AF7112"/>
    <w:rsid w:val="00AF78B5"/>
    <w:rsid w:val="00B003FD"/>
    <w:rsid w:val="00B0041B"/>
    <w:rsid w:val="00B00FF1"/>
    <w:rsid w:val="00B011E1"/>
    <w:rsid w:val="00B0174B"/>
    <w:rsid w:val="00B019D1"/>
    <w:rsid w:val="00B01EF3"/>
    <w:rsid w:val="00B022AE"/>
    <w:rsid w:val="00B0257D"/>
    <w:rsid w:val="00B02852"/>
    <w:rsid w:val="00B02979"/>
    <w:rsid w:val="00B02BA8"/>
    <w:rsid w:val="00B02E8C"/>
    <w:rsid w:val="00B02F4D"/>
    <w:rsid w:val="00B02F78"/>
    <w:rsid w:val="00B03095"/>
    <w:rsid w:val="00B03ADA"/>
    <w:rsid w:val="00B04609"/>
    <w:rsid w:val="00B0472B"/>
    <w:rsid w:val="00B04A78"/>
    <w:rsid w:val="00B04BD0"/>
    <w:rsid w:val="00B04EE4"/>
    <w:rsid w:val="00B05056"/>
    <w:rsid w:val="00B056AE"/>
    <w:rsid w:val="00B05B3E"/>
    <w:rsid w:val="00B05B4C"/>
    <w:rsid w:val="00B061AE"/>
    <w:rsid w:val="00B06282"/>
    <w:rsid w:val="00B06889"/>
    <w:rsid w:val="00B068DC"/>
    <w:rsid w:val="00B072AF"/>
    <w:rsid w:val="00B07302"/>
    <w:rsid w:val="00B076EB"/>
    <w:rsid w:val="00B07BA8"/>
    <w:rsid w:val="00B07BBB"/>
    <w:rsid w:val="00B07DED"/>
    <w:rsid w:val="00B07E40"/>
    <w:rsid w:val="00B10254"/>
    <w:rsid w:val="00B104A3"/>
    <w:rsid w:val="00B1058D"/>
    <w:rsid w:val="00B10C26"/>
    <w:rsid w:val="00B10C53"/>
    <w:rsid w:val="00B11068"/>
    <w:rsid w:val="00B113F2"/>
    <w:rsid w:val="00B116E4"/>
    <w:rsid w:val="00B11B09"/>
    <w:rsid w:val="00B11DB6"/>
    <w:rsid w:val="00B11E3F"/>
    <w:rsid w:val="00B11F17"/>
    <w:rsid w:val="00B12086"/>
    <w:rsid w:val="00B12690"/>
    <w:rsid w:val="00B12A5B"/>
    <w:rsid w:val="00B12D54"/>
    <w:rsid w:val="00B12F87"/>
    <w:rsid w:val="00B13180"/>
    <w:rsid w:val="00B131D7"/>
    <w:rsid w:val="00B13E1A"/>
    <w:rsid w:val="00B13E8D"/>
    <w:rsid w:val="00B144A6"/>
    <w:rsid w:val="00B14678"/>
    <w:rsid w:val="00B146B4"/>
    <w:rsid w:val="00B1474B"/>
    <w:rsid w:val="00B1487B"/>
    <w:rsid w:val="00B1519B"/>
    <w:rsid w:val="00B151A9"/>
    <w:rsid w:val="00B151F9"/>
    <w:rsid w:val="00B152A3"/>
    <w:rsid w:val="00B15408"/>
    <w:rsid w:val="00B15A16"/>
    <w:rsid w:val="00B15A2C"/>
    <w:rsid w:val="00B15A58"/>
    <w:rsid w:val="00B16554"/>
    <w:rsid w:val="00B165C3"/>
    <w:rsid w:val="00B16969"/>
    <w:rsid w:val="00B16B67"/>
    <w:rsid w:val="00B1713F"/>
    <w:rsid w:val="00B177D8"/>
    <w:rsid w:val="00B178DD"/>
    <w:rsid w:val="00B17EAA"/>
    <w:rsid w:val="00B204E2"/>
    <w:rsid w:val="00B205B5"/>
    <w:rsid w:val="00B205F4"/>
    <w:rsid w:val="00B208BC"/>
    <w:rsid w:val="00B20993"/>
    <w:rsid w:val="00B20C2E"/>
    <w:rsid w:val="00B20D53"/>
    <w:rsid w:val="00B20FF4"/>
    <w:rsid w:val="00B21303"/>
    <w:rsid w:val="00B213DB"/>
    <w:rsid w:val="00B214CA"/>
    <w:rsid w:val="00B21731"/>
    <w:rsid w:val="00B2193A"/>
    <w:rsid w:val="00B21A30"/>
    <w:rsid w:val="00B21E2C"/>
    <w:rsid w:val="00B21F71"/>
    <w:rsid w:val="00B2222E"/>
    <w:rsid w:val="00B226AB"/>
    <w:rsid w:val="00B228FA"/>
    <w:rsid w:val="00B2309C"/>
    <w:rsid w:val="00B23167"/>
    <w:rsid w:val="00B23BB8"/>
    <w:rsid w:val="00B23E31"/>
    <w:rsid w:val="00B23E8A"/>
    <w:rsid w:val="00B24064"/>
    <w:rsid w:val="00B24444"/>
    <w:rsid w:val="00B245FB"/>
    <w:rsid w:val="00B24E86"/>
    <w:rsid w:val="00B24FF9"/>
    <w:rsid w:val="00B2502C"/>
    <w:rsid w:val="00B2512D"/>
    <w:rsid w:val="00B25644"/>
    <w:rsid w:val="00B25A9B"/>
    <w:rsid w:val="00B25C47"/>
    <w:rsid w:val="00B26027"/>
    <w:rsid w:val="00B263C9"/>
    <w:rsid w:val="00B26566"/>
    <w:rsid w:val="00B267A8"/>
    <w:rsid w:val="00B26A3C"/>
    <w:rsid w:val="00B27615"/>
    <w:rsid w:val="00B27709"/>
    <w:rsid w:val="00B27832"/>
    <w:rsid w:val="00B27A4C"/>
    <w:rsid w:val="00B27A80"/>
    <w:rsid w:val="00B27DEC"/>
    <w:rsid w:val="00B3019B"/>
    <w:rsid w:val="00B30591"/>
    <w:rsid w:val="00B306E9"/>
    <w:rsid w:val="00B30711"/>
    <w:rsid w:val="00B30A59"/>
    <w:rsid w:val="00B30C51"/>
    <w:rsid w:val="00B30CBF"/>
    <w:rsid w:val="00B30DF3"/>
    <w:rsid w:val="00B30E02"/>
    <w:rsid w:val="00B31022"/>
    <w:rsid w:val="00B31301"/>
    <w:rsid w:val="00B317B9"/>
    <w:rsid w:val="00B319CE"/>
    <w:rsid w:val="00B31A0E"/>
    <w:rsid w:val="00B3249C"/>
    <w:rsid w:val="00B327B7"/>
    <w:rsid w:val="00B329CD"/>
    <w:rsid w:val="00B32C0D"/>
    <w:rsid w:val="00B32CB8"/>
    <w:rsid w:val="00B33116"/>
    <w:rsid w:val="00B33168"/>
    <w:rsid w:val="00B331B1"/>
    <w:rsid w:val="00B33477"/>
    <w:rsid w:val="00B334A9"/>
    <w:rsid w:val="00B33ABC"/>
    <w:rsid w:val="00B33D47"/>
    <w:rsid w:val="00B340F1"/>
    <w:rsid w:val="00B34181"/>
    <w:rsid w:val="00B34685"/>
    <w:rsid w:val="00B346B9"/>
    <w:rsid w:val="00B34ED4"/>
    <w:rsid w:val="00B3551B"/>
    <w:rsid w:val="00B358AB"/>
    <w:rsid w:val="00B35BC9"/>
    <w:rsid w:val="00B35C19"/>
    <w:rsid w:val="00B3604F"/>
    <w:rsid w:val="00B36295"/>
    <w:rsid w:val="00B362B9"/>
    <w:rsid w:val="00B364D9"/>
    <w:rsid w:val="00B36547"/>
    <w:rsid w:val="00B36D9E"/>
    <w:rsid w:val="00B375EF"/>
    <w:rsid w:val="00B3778E"/>
    <w:rsid w:val="00B37835"/>
    <w:rsid w:val="00B37A92"/>
    <w:rsid w:val="00B37AFA"/>
    <w:rsid w:val="00B37E26"/>
    <w:rsid w:val="00B37E42"/>
    <w:rsid w:val="00B37E5B"/>
    <w:rsid w:val="00B401EE"/>
    <w:rsid w:val="00B4021E"/>
    <w:rsid w:val="00B4057F"/>
    <w:rsid w:val="00B405EB"/>
    <w:rsid w:val="00B405F7"/>
    <w:rsid w:val="00B4074E"/>
    <w:rsid w:val="00B40A4F"/>
    <w:rsid w:val="00B40AB5"/>
    <w:rsid w:val="00B40C86"/>
    <w:rsid w:val="00B40E1B"/>
    <w:rsid w:val="00B40FA9"/>
    <w:rsid w:val="00B4128C"/>
    <w:rsid w:val="00B41D09"/>
    <w:rsid w:val="00B423A1"/>
    <w:rsid w:val="00B42647"/>
    <w:rsid w:val="00B42B34"/>
    <w:rsid w:val="00B438FA"/>
    <w:rsid w:val="00B43BCE"/>
    <w:rsid w:val="00B43D6F"/>
    <w:rsid w:val="00B441CF"/>
    <w:rsid w:val="00B448DD"/>
    <w:rsid w:val="00B4491F"/>
    <w:rsid w:val="00B44AB9"/>
    <w:rsid w:val="00B451B6"/>
    <w:rsid w:val="00B451BC"/>
    <w:rsid w:val="00B453A3"/>
    <w:rsid w:val="00B454E9"/>
    <w:rsid w:val="00B455E2"/>
    <w:rsid w:val="00B45793"/>
    <w:rsid w:val="00B45E1C"/>
    <w:rsid w:val="00B4602C"/>
    <w:rsid w:val="00B4641A"/>
    <w:rsid w:val="00B46CFF"/>
    <w:rsid w:val="00B47002"/>
    <w:rsid w:val="00B4740E"/>
    <w:rsid w:val="00B47794"/>
    <w:rsid w:val="00B478F2"/>
    <w:rsid w:val="00B47BD2"/>
    <w:rsid w:val="00B47D9E"/>
    <w:rsid w:val="00B47F79"/>
    <w:rsid w:val="00B47FFE"/>
    <w:rsid w:val="00B50426"/>
    <w:rsid w:val="00B508F7"/>
    <w:rsid w:val="00B509AF"/>
    <w:rsid w:val="00B51025"/>
    <w:rsid w:val="00B5109C"/>
    <w:rsid w:val="00B514DF"/>
    <w:rsid w:val="00B51576"/>
    <w:rsid w:val="00B516CE"/>
    <w:rsid w:val="00B51D0C"/>
    <w:rsid w:val="00B51D11"/>
    <w:rsid w:val="00B51E14"/>
    <w:rsid w:val="00B51E84"/>
    <w:rsid w:val="00B522E5"/>
    <w:rsid w:val="00B52410"/>
    <w:rsid w:val="00B524A8"/>
    <w:rsid w:val="00B527B3"/>
    <w:rsid w:val="00B527CC"/>
    <w:rsid w:val="00B52D4B"/>
    <w:rsid w:val="00B52E32"/>
    <w:rsid w:val="00B53179"/>
    <w:rsid w:val="00B531DC"/>
    <w:rsid w:val="00B5350F"/>
    <w:rsid w:val="00B53594"/>
    <w:rsid w:val="00B5366D"/>
    <w:rsid w:val="00B53868"/>
    <w:rsid w:val="00B53908"/>
    <w:rsid w:val="00B53A08"/>
    <w:rsid w:val="00B53FC8"/>
    <w:rsid w:val="00B54391"/>
    <w:rsid w:val="00B54517"/>
    <w:rsid w:val="00B5465B"/>
    <w:rsid w:val="00B546B3"/>
    <w:rsid w:val="00B54B29"/>
    <w:rsid w:val="00B555BC"/>
    <w:rsid w:val="00B555E4"/>
    <w:rsid w:val="00B55A8B"/>
    <w:rsid w:val="00B55E08"/>
    <w:rsid w:val="00B55FAF"/>
    <w:rsid w:val="00B560E9"/>
    <w:rsid w:val="00B56704"/>
    <w:rsid w:val="00B56F77"/>
    <w:rsid w:val="00B570F3"/>
    <w:rsid w:val="00B57609"/>
    <w:rsid w:val="00B576A1"/>
    <w:rsid w:val="00B57782"/>
    <w:rsid w:val="00B57853"/>
    <w:rsid w:val="00B57921"/>
    <w:rsid w:val="00B57923"/>
    <w:rsid w:val="00B57AFF"/>
    <w:rsid w:val="00B60A68"/>
    <w:rsid w:val="00B610E3"/>
    <w:rsid w:val="00B61290"/>
    <w:rsid w:val="00B61396"/>
    <w:rsid w:val="00B61630"/>
    <w:rsid w:val="00B61990"/>
    <w:rsid w:val="00B620D3"/>
    <w:rsid w:val="00B6322E"/>
    <w:rsid w:val="00B6427C"/>
    <w:rsid w:val="00B647E8"/>
    <w:rsid w:val="00B649B9"/>
    <w:rsid w:val="00B64A68"/>
    <w:rsid w:val="00B65785"/>
    <w:rsid w:val="00B6585D"/>
    <w:rsid w:val="00B65AE0"/>
    <w:rsid w:val="00B65FE9"/>
    <w:rsid w:val="00B6602C"/>
    <w:rsid w:val="00B660A3"/>
    <w:rsid w:val="00B660DD"/>
    <w:rsid w:val="00B66145"/>
    <w:rsid w:val="00B662B6"/>
    <w:rsid w:val="00B665EA"/>
    <w:rsid w:val="00B6698C"/>
    <w:rsid w:val="00B66A7A"/>
    <w:rsid w:val="00B66A9A"/>
    <w:rsid w:val="00B66B93"/>
    <w:rsid w:val="00B66C2D"/>
    <w:rsid w:val="00B66E88"/>
    <w:rsid w:val="00B67396"/>
    <w:rsid w:val="00B675E9"/>
    <w:rsid w:val="00B67C79"/>
    <w:rsid w:val="00B70404"/>
    <w:rsid w:val="00B708B8"/>
    <w:rsid w:val="00B70CF1"/>
    <w:rsid w:val="00B70DA7"/>
    <w:rsid w:val="00B71AEC"/>
    <w:rsid w:val="00B71BDB"/>
    <w:rsid w:val="00B720DB"/>
    <w:rsid w:val="00B7252A"/>
    <w:rsid w:val="00B726B3"/>
    <w:rsid w:val="00B72953"/>
    <w:rsid w:val="00B72C64"/>
    <w:rsid w:val="00B73064"/>
    <w:rsid w:val="00B7325E"/>
    <w:rsid w:val="00B73356"/>
    <w:rsid w:val="00B7399A"/>
    <w:rsid w:val="00B739D5"/>
    <w:rsid w:val="00B73D88"/>
    <w:rsid w:val="00B73E3F"/>
    <w:rsid w:val="00B7419E"/>
    <w:rsid w:val="00B746E7"/>
    <w:rsid w:val="00B74938"/>
    <w:rsid w:val="00B74AA8"/>
    <w:rsid w:val="00B74B99"/>
    <w:rsid w:val="00B74E89"/>
    <w:rsid w:val="00B753E0"/>
    <w:rsid w:val="00B7545A"/>
    <w:rsid w:val="00B757EE"/>
    <w:rsid w:val="00B75A85"/>
    <w:rsid w:val="00B76459"/>
    <w:rsid w:val="00B76513"/>
    <w:rsid w:val="00B7677F"/>
    <w:rsid w:val="00B76792"/>
    <w:rsid w:val="00B76941"/>
    <w:rsid w:val="00B77345"/>
    <w:rsid w:val="00B77A67"/>
    <w:rsid w:val="00B77AD8"/>
    <w:rsid w:val="00B77AFD"/>
    <w:rsid w:val="00B77D0F"/>
    <w:rsid w:val="00B77D52"/>
    <w:rsid w:val="00B80108"/>
    <w:rsid w:val="00B80554"/>
    <w:rsid w:val="00B805DF"/>
    <w:rsid w:val="00B806EF"/>
    <w:rsid w:val="00B80A68"/>
    <w:rsid w:val="00B80F02"/>
    <w:rsid w:val="00B810B9"/>
    <w:rsid w:val="00B811A1"/>
    <w:rsid w:val="00B81354"/>
    <w:rsid w:val="00B813F9"/>
    <w:rsid w:val="00B814BF"/>
    <w:rsid w:val="00B817F6"/>
    <w:rsid w:val="00B81DFD"/>
    <w:rsid w:val="00B8202E"/>
    <w:rsid w:val="00B82195"/>
    <w:rsid w:val="00B8252D"/>
    <w:rsid w:val="00B827A2"/>
    <w:rsid w:val="00B82B6E"/>
    <w:rsid w:val="00B82C5D"/>
    <w:rsid w:val="00B82C93"/>
    <w:rsid w:val="00B82CA1"/>
    <w:rsid w:val="00B82EEF"/>
    <w:rsid w:val="00B83349"/>
    <w:rsid w:val="00B83534"/>
    <w:rsid w:val="00B83572"/>
    <w:rsid w:val="00B83A01"/>
    <w:rsid w:val="00B83DDD"/>
    <w:rsid w:val="00B84037"/>
    <w:rsid w:val="00B84093"/>
    <w:rsid w:val="00B841F2"/>
    <w:rsid w:val="00B8488E"/>
    <w:rsid w:val="00B84F39"/>
    <w:rsid w:val="00B854AE"/>
    <w:rsid w:val="00B85E05"/>
    <w:rsid w:val="00B86012"/>
    <w:rsid w:val="00B86178"/>
    <w:rsid w:val="00B8626F"/>
    <w:rsid w:val="00B864C9"/>
    <w:rsid w:val="00B8682D"/>
    <w:rsid w:val="00B86A9C"/>
    <w:rsid w:val="00B870B9"/>
    <w:rsid w:val="00B87484"/>
    <w:rsid w:val="00B8769F"/>
    <w:rsid w:val="00B876AC"/>
    <w:rsid w:val="00B879B8"/>
    <w:rsid w:val="00B87F16"/>
    <w:rsid w:val="00B9023E"/>
    <w:rsid w:val="00B90267"/>
    <w:rsid w:val="00B903D5"/>
    <w:rsid w:val="00B9049F"/>
    <w:rsid w:val="00B90550"/>
    <w:rsid w:val="00B90925"/>
    <w:rsid w:val="00B9121F"/>
    <w:rsid w:val="00B91FCA"/>
    <w:rsid w:val="00B9204C"/>
    <w:rsid w:val="00B92164"/>
    <w:rsid w:val="00B928D9"/>
    <w:rsid w:val="00B9299F"/>
    <w:rsid w:val="00B92A32"/>
    <w:rsid w:val="00B93554"/>
    <w:rsid w:val="00B93794"/>
    <w:rsid w:val="00B938E5"/>
    <w:rsid w:val="00B939C2"/>
    <w:rsid w:val="00B93D1A"/>
    <w:rsid w:val="00B93E13"/>
    <w:rsid w:val="00B93E60"/>
    <w:rsid w:val="00B93EA4"/>
    <w:rsid w:val="00B9401A"/>
    <w:rsid w:val="00B9428F"/>
    <w:rsid w:val="00B943D8"/>
    <w:rsid w:val="00B9470E"/>
    <w:rsid w:val="00B953A9"/>
    <w:rsid w:val="00B95BCE"/>
    <w:rsid w:val="00B95C76"/>
    <w:rsid w:val="00B963AD"/>
    <w:rsid w:val="00B96D75"/>
    <w:rsid w:val="00B96D76"/>
    <w:rsid w:val="00B9739F"/>
    <w:rsid w:val="00B97884"/>
    <w:rsid w:val="00B97C6B"/>
    <w:rsid w:val="00BA0384"/>
    <w:rsid w:val="00BA0487"/>
    <w:rsid w:val="00BA0B03"/>
    <w:rsid w:val="00BA1201"/>
    <w:rsid w:val="00BA126A"/>
    <w:rsid w:val="00BA16A7"/>
    <w:rsid w:val="00BA1BD0"/>
    <w:rsid w:val="00BA1EF5"/>
    <w:rsid w:val="00BA2102"/>
    <w:rsid w:val="00BA2748"/>
    <w:rsid w:val="00BA2B9B"/>
    <w:rsid w:val="00BA394D"/>
    <w:rsid w:val="00BA3961"/>
    <w:rsid w:val="00BA3ED5"/>
    <w:rsid w:val="00BA4374"/>
    <w:rsid w:val="00BA4383"/>
    <w:rsid w:val="00BA47F6"/>
    <w:rsid w:val="00BA4A05"/>
    <w:rsid w:val="00BA4B99"/>
    <w:rsid w:val="00BA54EB"/>
    <w:rsid w:val="00BA55DF"/>
    <w:rsid w:val="00BA5695"/>
    <w:rsid w:val="00BA5B90"/>
    <w:rsid w:val="00BA61D6"/>
    <w:rsid w:val="00BA65A2"/>
    <w:rsid w:val="00BA65E5"/>
    <w:rsid w:val="00BA66C2"/>
    <w:rsid w:val="00BA77A1"/>
    <w:rsid w:val="00BB07FE"/>
    <w:rsid w:val="00BB0C94"/>
    <w:rsid w:val="00BB147F"/>
    <w:rsid w:val="00BB17A2"/>
    <w:rsid w:val="00BB1BF2"/>
    <w:rsid w:val="00BB1C0F"/>
    <w:rsid w:val="00BB204A"/>
    <w:rsid w:val="00BB23E1"/>
    <w:rsid w:val="00BB2903"/>
    <w:rsid w:val="00BB2A7E"/>
    <w:rsid w:val="00BB2F8C"/>
    <w:rsid w:val="00BB2FDF"/>
    <w:rsid w:val="00BB3A57"/>
    <w:rsid w:val="00BB4116"/>
    <w:rsid w:val="00BB4BBF"/>
    <w:rsid w:val="00BB505E"/>
    <w:rsid w:val="00BB5AAC"/>
    <w:rsid w:val="00BB5C03"/>
    <w:rsid w:val="00BB5CB0"/>
    <w:rsid w:val="00BB5E3C"/>
    <w:rsid w:val="00BB5F29"/>
    <w:rsid w:val="00BB5FE1"/>
    <w:rsid w:val="00BB6343"/>
    <w:rsid w:val="00BB64A8"/>
    <w:rsid w:val="00BB661D"/>
    <w:rsid w:val="00BB662A"/>
    <w:rsid w:val="00BB6969"/>
    <w:rsid w:val="00BB6AE1"/>
    <w:rsid w:val="00BB6B4C"/>
    <w:rsid w:val="00BB71FF"/>
    <w:rsid w:val="00BB7814"/>
    <w:rsid w:val="00BB79C8"/>
    <w:rsid w:val="00BB7E4E"/>
    <w:rsid w:val="00BB7F1C"/>
    <w:rsid w:val="00BB7F43"/>
    <w:rsid w:val="00BC01AE"/>
    <w:rsid w:val="00BC0206"/>
    <w:rsid w:val="00BC0580"/>
    <w:rsid w:val="00BC0859"/>
    <w:rsid w:val="00BC0D7D"/>
    <w:rsid w:val="00BC0FB1"/>
    <w:rsid w:val="00BC1110"/>
    <w:rsid w:val="00BC12D1"/>
    <w:rsid w:val="00BC18F5"/>
    <w:rsid w:val="00BC19F9"/>
    <w:rsid w:val="00BC1B34"/>
    <w:rsid w:val="00BC1C36"/>
    <w:rsid w:val="00BC205E"/>
    <w:rsid w:val="00BC2152"/>
    <w:rsid w:val="00BC2826"/>
    <w:rsid w:val="00BC2A6A"/>
    <w:rsid w:val="00BC2D2C"/>
    <w:rsid w:val="00BC2E1B"/>
    <w:rsid w:val="00BC392D"/>
    <w:rsid w:val="00BC40BD"/>
    <w:rsid w:val="00BC40EB"/>
    <w:rsid w:val="00BC41F9"/>
    <w:rsid w:val="00BC4565"/>
    <w:rsid w:val="00BC489E"/>
    <w:rsid w:val="00BC48EB"/>
    <w:rsid w:val="00BC4B56"/>
    <w:rsid w:val="00BC4DA5"/>
    <w:rsid w:val="00BC5485"/>
    <w:rsid w:val="00BC55F8"/>
    <w:rsid w:val="00BC56BD"/>
    <w:rsid w:val="00BC570F"/>
    <w:rsid w:val="00BC58D1"/>
    <w:rsid w:val="00BC5BCF"/>
    <w:rsid w:val="00BC5F2D"/>
    <w:rsid w:val="00BC6063"/>
    <w:rsid w:val="00BC6148"/>
    <w:rsid w:val="00BC691F"/>
    <w:rsid w:val="00BC6F3D"/>
    <w:rsid w:val="00BC7204"/>
    <w:rsid w:val="00BC7389"/>
    <w:rsid w:val="00BC7B8C"/>
    <w:rsid w:val="00BC7EC1"/>
    <w:rsid w:val="00BD0257"/>
    <w:rsid w:val="00BD064F"/>
    <w:rsid w:val="00BD07AF"/>
    <w:rsid w:val="00BD13C6"/>
    <w:rsid w:val="00BD141F"/>
    <w:rsid w:val="00BD1910"/>
    <w:rsid w:val="00BD1C7C"/>
    <w:rsid w:val="00BD2318"/>
    <w:rsid w:val="00BD2E3D"/>
    <w:rsid w:val="00BD2EEE"/>
    <w:rsid w:val="00BD2EF1"/>
    <w:rsid w:val="00BD2F52"/>
    <w:rsid w:val="00BD3370"/>
    <w:rsid w:val="00BD3B19"/>
    <w:rsid w:val="00BD3D47"/>
    <w:rsid w:val="00BD4188"/>
    <w:rsid w:val="00BD41EE"/>
    <w:rsid w:val="00BD4683"/>
    <w:rsid w:val="00BD4708"/>
    <w:rsid w:val="00BD4CBB"/>
    <w:rsid w:val="00BD5172"/>
    <w:rsid w:val="00BD54B7"/>
    <w:rsid w:val="00BD5AF8"/>
    <w:rsid w:val="00BD612B"/>
    <w:rsid w:val="00BD6229"/>
    <w:rsid w:val="00BD6266"/>
    <w:rsid w:val="00BD6381"/>
    <w:rsid w:val="00BD66C5"/>
    <w:rsid w:val="00BD6736"/>
    <w:rsid w:val="00BD6A17"/>
    <w:rsid w:val="00BD6F0A"/>
    <w:rsid w:val="00BD71F8"/>
    <w:rsid w:val="00BD744E"/>
    <w:rsid w:val="00BD7B8E"/>
    <w:rsid w:val="00BE0462"/>
    <w:rsid w:val="00BE0679"/>
    <w:rsid w:val="00BE09B9"/>
    <w:rsid w:val="00BE1124"/>
    <w:rsid w:val="00BE113B"/>
    <w:rsid w:val="00BE11D4"/>
    <w:rsid w:val="00BE1521"/>
    <w:rsid w:val="00BE1C26"/>
    <w:rsid w:val="00BE1EDF"/>
    <w:rsid w:val="00BE20B5"/>
    <w:rsid w:val="00BE2551"/>
    <w:rsid w:val="00BE2755"/>
    <w:rsid w:val="00BE2C1D"/>
    <w:rsid w:val="00BE3071"/>
    <w:rsid w:val="00BE3A2E"/>
    <w:rsid w:val="00BE3BE7"/>
    <w:rsid w:val="00BE3C21"/>
    <w:rsid w:val="00BE3F1F"/>
    <w:rsid w:val="00BE3F8F"/>
    <w:rsid w:val="00BE4566"/>
    <w:rsid w:val="00BE4847"/>
    <w:rsid w:val="00BE4924"/>
    <w:rsid w:val="00BE4C70"/>
    <w:rsid w:val="00BE62BC"/>
    <w:rsid w:val="00BE6D3A"/>
    <w:rsid w:val="00BE71BF"/>
    <w:rsid w:val="00BE7728"/>
    <w:rsid w:val="00BE7AA3"/>
    <w:rsid w:val="00BE7D00"/>
    <w:rsid w:val="00BE7F97"/>
    <w:rsid w:val="00BF0042"/>
    <w:rsid w:val="00BF028A"/>
    <w:rsid w:val="00BF02D0"/>
    <w:rsid w:val="00BF050E"/>
    <w:rsid w:val="00BF05EE"/>
    <w:rsid w:val="00BF08C4"/>
    <w:rsid w:val="00BF08EA"/>
    <w:rsid w:val="00BF0D35"/>
    <w:rsid w:val="00BF0E94"/>
    <w:rsid w:val="00BF146C"/>
    <w:rsid w:val="00BF14D4"/>
    <w:rsid w:val="00BF1A5F"/>
    <w:rsid w:val="00BF1B5E"/>
    <w:rsid w:val="00BF278E"/>
    <w:rsid w:val="00BF301B"/>
    <w:rsid w:val="00BF345B"/>
    <w:rsid w:val="00BF3A12"/>
    <w:rsid w:val="00BF4D31"/>
    <w:rsid w:val="00BF4EED"/>
    <w:rsid w:val="00BF4FBF"/>
    <w:rsid w:val="00BF52B9"/>
    <w:rsid w:val="00BF5378"/>
    <w:rsid w:val="00BF5C04"/>
    <w:rsid w:val="00BF60BD"/>
    <w:rsid w:val="00BF60FE"/>
    <w:rsid w:val="00BF6107"/>
    <w:rsid w:val="00BF647C"/>
    <w:rsid w:val="00BF6AC1"/>
    <w:rsid w:val="00BF6B36"/>
    <w:rsid w:val="00BF7A6D"/>
    <w:rsid w:val="00BF7AAF"/>
    <w:rsid w:val="00BF7D76"/>
    <w:rsid w:val="00C0066F"/>
    <w:rsid w:val="00C0068F"/>
    <w:rsid w:val="00C00F38"/>
    <w:rsid w:val="00C0110D"/>
    <w:rsid w:val="00C016DD"/>
    <w:rsid w:val="00C0193C"/>
    <w:rsid w:val="00C0243A"/>
    <w:rsid w:val="00C02565"/>
    <w:rsid w:val="00C025CF"/>
    <w:rsid w:val="00C02842"/>
    <w:rsid w:val="00C02FBD"/>
    <w:rsid w:val="00C03085"/>
    <w:rsid w:val="00C03405"/>
    <w:rsid w:val="00C034B3"/>
    <w:rsid w:val="00C035DD"/>
    <w:rsid w:val="00C03889"/>
    <w:rsid w:val="00C03905"/>
    <w:rsid w:val="00C03B34"/>
    <w:rsid w:val="00C03E4B"/>
    <w:rsid w:val="00C03F40"/>
    <w:rsid w:val="00C04227"/>
    <w:rsid w:val="00C04A30"/>
    <w:rsid w:val="00C04B53"/>
    <w:rsid w:val="00C04D76"/>
    <w:rsid w:val="00C04DB0"/>
    <w:rsid w:val="00C04DC6"/>
    <w:rsid w:val="00C04FB6"/>
    <w:rsid w:val="00C050EA"/>
    <w:rsid w:val="00C051C4"/>
    <w:rsid w:val="00C05899"/>
    <w:rsid w:val="00C05D2A"/>
    <w:rsid w:val="00C0602D"/>
    <w:rsid w:val="00C06696"/>
    <w:rsid w:val="00C06FD8"/>
    <w:rsid w:val="00C07175"/>
    <w:rsid w:val="00C071AC"/>
    <w:rsid w:val="00C07375"/>
    <w:rsid w:val="00C07497"/>
    <w:rsid w:val="00C076FE"/>
    <w:rsid w:val="00C0785E"/>
    <w:rsid w:val="00C1006F"/>
    <w:rsid w:val="00C100B2"/>
    <w:rsid w:val="00C10933"/>
    <w:rsid w:val="00C10D0F"/>
    <w:rsid w:val="00C11DB4"/>
    <w:rsid w:val="00C12116"/>
    <w:rsid w:val="00C1268F"/>
    <w:rsid w:val="00C127A7"/>
    <w:rsid w:val="00C12B5D"/>
    <w:rsid w:val="00C12C08"/>
    <w:rsid w:val="00C12C57"/>
    <w:rsid w:val="00C12D47"/>
    <w:rsid w:val="00C12FBE"/>
    <w:rsid w:val="00C133A5"/>
    <w:rsid w:val="00C133C6"/>
    <w:rsid w:val="00C133E4"/>
    <w:rsid w:val="00C1386F"/>
    <w:rsid w:val="00C13977"/>
    <w:rsid w:val="00C13A48"/>
    <w:rsid w:val="00C13D04"/>
    <w:rsid w:val="00C14123"/>
    <w:rsid w:val="00C1499A"/>
    <w:rsid w:val="00C14A29"/>
    <w:rsid w:val="00C14D01"/>
    <w:rsid w:val="00C14ED7"/>
    <w:rsid w:val="00C15083"/>
    <w:rsid w:val="00C15444"/>
    <w:rsid w:val="00C157DA"/>
    <w:rsid w:val="00C15B07"/>
    <w:rsid w:val="00C15D5E"/>
    <w:rsid w:val="00C16036"/>
    <w:rsid w:val="00C161F2"/>
    <w:rsid w:val="00C16A51"/>
    <w:rsid w:val="00C170BD"/>
    <w:rsid w:val="00C17259"/>
    <w:rsid w:val="00C17326"/>
    <w:rsid w:val="00C17621"/>
    <w:rsid w:val="00C17B67"/>
    <w:rsid w:val="00C20221"/>
    <w:rsid w:val="00C2023F"/>
    <w:rsid w:val="00C20540"/>
    <w:rsid w:val="00C20AB1"/>
    <w:rsid w:val="00C20B38"/>
    <w:rsid w:val="00C20C1E"/>
    <w:rsid w:val="00C213A5"/>
    <w:rsid w:val="00C21450"/>
    <w:rsid w:val="00C21644"/>
    <w:rsid w:val="00C2169B"/>
    <w:rsid w:val="00C21707"/>
    <w:rsid w:val="00C21797"/>
    <w:rsid w:val="00C21A01"/>
    <w:rsid w:val="00C21AFA"/>
    <w:rsid w:val="00C21C7B"/>
    <w:rsid w:val="00C21C94"/>
    <w:rsid w:val="00C21CD2"/>
    <w:rsid w:val="00C220E4"/>
    <w:rsid w:val="00C22190"/>
    <w:rsid w:val="00C2239B"/>
    <w:rsid w:val="00C225EF"/>
    <w:rsid w:val="00C23030"/>
    <w:rsid w:val="00C23526"/>
    <w:rsid w:val="00C23B62"/>
    <w:rsid w:val="00C23C84"/>
    <w:rsid w:val="00C23D3D"/>
    <w:rsid w:val="00C24093"/>
    <w:rsid w:val="00C24520"/>
    <w:rsid w:val="00C24F5C"/>
    <w:rsid w:val="00C25024"/>
    <w:rsid w:val="00C26305"/>
    <w:rsid w:val="00C26CB4"/>
    <w:rsid w:val="00C271D1"/>
    <w:rsid w:val="00C272F4"/>
    <w:rsid w:val="00C27336"/>
    <w:rsid w:val="00C27360"/>
    <w:rsid w:val="00C27478"/>
    <w:rsid w:val="00C2764F"/>
    <w:rsid w:val="00C27AC6"/>
    <w:rsid w:val="00C27B43"/>
    <w:rsid w:val="00C27CA1"/>
    <w:rsid w:val="00C27F65"/>
    <w:rsid w:val="00C307E4"/>
    <w:rsid w:val="00C30A2F"/>
    <w:rsid w:val="00C3188D"/>
    <w:rsid w:val="00C31CAE"/>
    <w:rsid w:val="00C31CDC"/>
    <w:rsid w:val="00C31D71"/>
    <w:rsid w:val="00C320E1"/>
    <w:rsid w:val="00C3222A"/>
    <w:rsid w:val="00C329A6"/>
    <w:rsid w:val="00C334F9"/>
    <w:rsid w:val="00C3391A"/>
    <w:rsid w:val="00C33F5E"/>
    <w:rsid w:val="00C340E0"/>
    <w:rsid w:val="00C34359"/>
    <w:rsid w:val="00C3451C"/>
    <w:rsid w:val="00C34BA9"/>
    <w:rsid w:val="00C34D31"/>
    <w:rsid w:val="00C35052"/>
    <w:rsid w:val="00C35353"/>
    <w:rsid w:val="00C35510"/>
    <w:rsid w:val="00C3554F"/>
    <w:rsid w:val="00C356B3"/>
    <w:rsid w:val="00C357D3"/>
    <w:rsid w:val="00C35A25"/>
    <w:rsid w:val="00C36151"/>
    <w:rsid w:val="00C3687A"/>
    <w:rsid w:val="00C369BB"/>
    <w:rsid w:val="00C36A85"/>
    <w:rsid w:val="00C37943"/>
    <w:rsid w:val="00C3794A"/>
    <w:rsid w:val="00C379D4"/>
    <w:rsid w:val="00C37EA8"/>
    <w:rsid w:val="00C404F2"/>
    <w:rsid w:val="00C40F43"/>
    <w:rsid w:val="00C4119D"/>
    <w:rsid w:val="00C4139B"/>
    <w:rsid w:val="00C41409"/>
    <w:rsid w:val="00C4183C"/>
    <w:rsid w:val="00C419D6"/>
    <w:rsid w:val="00C41DC0"/>
    <w:rsid w:val="00C42540"/>
    <w:rsid w:val="00C426E6"/>
    <w:rsid w:val="00C42813"/>
    <w:rsid w:val="00C42885"/>
    <w:rsid w:val="00C42B81"/>
    <w:rsid w:val="00C42FEF"/>
    <w:rsid w:val="00C433EB"/>
    <w:rsid w:val="00C439BA"/>
    <w:rsid w:val="00C439EE"/>
    <w:rsid w:val="00C439EF"/>
    <w:rsid w:val="00C43D6A"/>
    <w:rsid w:val="00C43E5C"/>
    <w:rsid w:val="00C4441F"/>
    <w:rsid w:val="00C4448F"/>
    <w:rsid w:val="00C447D2"/>
    <w:rsid w:val="00C44826"/>
    <w:rsid w:val="00C451F6"/>
    <w:rsid w:val="00C453A7"/>
    <w:rsid w:val="00C453B6"/>
    <w:rsid w:val="00C45443"/>
    <w:rsid w:val="00C4547F"/>
    <w:rsid w:val="00C46082"/>
    <w:rsid w:val="00C462F9"/>
    <w:rsid w:val="00C465A8"/>
    <w:rsid w:val="00C4675E"/>
    <w:rsid w:val="00C4681F"/>
    <w:rsid w:val="00C46853"/>
    <w:rsid w:val="00C46CBF"/>
    <w:rsid w:val="00C46F79"/>
    <w:rsid w:val="00C47B11"/>
    <w:rsid w:val="00C47BBF"/>
    <w:rsid w:val="00C50049"/>
    <w:rsid w:val="00C50237"/>
    <w:rsid w:val="00C504D0"/>
    <w:rsid w:val="00C50953"/>
    <w:rsid w:val="00C50CB6"/>
    <w:rsid w:val="00C50E98"/>
    <w:rsid w:val="00C50FD1"/>
    <w:rsid w:val="00C51112"/>
    <w:rsid w:val="00C5138C"/>
    <w:rsid w:val="00C515E3"/>
    <w:rsid w:val="00C520D3"/>
    <w:rsid w:val="00C52108"/>
    <w:rsid w:val="00C52343"/>
    <w:rsid w:val="00C526DD"/>
    <w:rsid w:val="00C5271B"/>
    <w:rsid w:val="00C52755"/>
    <w:rsid w:val="00C52A27"/>
    <w:rsid w:val="00C52B74"/>
    <w:rsid w:val="00C52F85"/>
    <w:rsid w:val="00C53206"/>
    <w:rsid w:val="00C5340C"/>
    <w:rsid w:val="00C53490"/>
    <w:rsid w:val="00C53E05"/>
    <w:rsid w:val="00C54561"/>
    <w:rsid w:val="00C545CC"/>
    <w:rsid w:val="00C54796"/>
    <w:rsid w:val="00C55128"/>
    <w:rsid w:val="00C55694"/>
    <w:rsid w:val="00C558D0"/>
    <w:rsid w:val="00C5598E"/>
    <w:rsid w:val="00C559E2"/>
    <w:rsid w:val="00C5606E"/>
    <w:rsid w:val="00C560C0"/>
    <w:rsid w:val="00C56123"/>
    <w:rsid w:val="00C5650B"/>
    <w:rsid w:val="00C5654B"/>
    <w:rsid w:val="00C56A6D"/>
    <w:rsid w:val="00C56BEF"/>
    <w:rsid w:val="00C5713C"/>
    <w:rsid w:val="00C57171"/>
    <w:rsid w:val="00C573D0"/>
    <w:rsid w:val="00C57542"/>
    <w:rsid w:val="00C57B63"/>
    <w:rsid w:val="00C57CF7"/>
    <w:rsid w:val="00C57D1A"/>
    <w:rsid w:val="00C604B2"/>
    <w:rsid w:val="00C604F2"/>
    <w:rsid w:val="00C60673"/>
    <w:rsid w:val="00C61028"/>
    <w:rsid w:val="00C61160"/>
    <w:rsid w:val="00C61235"/>
    <w:rsid w:val="00C61589"/>
    <w:rsid w:val="00C61996"/>
    <w:rsid w:val="00C619D1"/>
    <w:rsid w:val="00C61ADA"/>
    <w:rsid w:val="00C61B70"/>
    <w:rsid w:val="00C61CCE"/>
    <w:rsid w:val="00C62146"/>
    <w:rsid w:val="00C621CE"/>
    <w:rsid w:val="00C6223D"/>
    <w:rsid w:val="00C624B9"/>
    <w:rsid w:val="00C62518"/>
    <w:rsid w:val="00C625C8"/>
    <w:rsid w:val="00C627BE"/>
    <w:rsid w:val="00C62CF5"/>
    <w:rsid w:val="00C62DFD"/>
    <w:rsid w:val="00C62E3A"/>
    <w:rsid w:val="00C62FB1"/>
    <w:rsid w:val="00C63147"/>
    <w:rsid w:val="00C6331C"/>
    <w:rsid w:val="00C637AE"/>
    <w:rsid w:val="00C63DDA"/>
    <w:rsid w:val="00C640B1"/>
    <w:rsid w:val="00C6414C"/>
    <w:rsid w:val="00C64430"/>
    <w:rsid w:val="00C64596"/>
    <w:rsid w:val="00C64686"/>
    <w:rsid w:val="00C648D1"/>
    <w:rsid w:val="00C64B4B"/>
    <w:rsid w:val="00C64B94"/>
    <w:rsid w:val="00C64E3F"/>
    <w:rsid w:val="00C654A6"/>
    <w:rsid w:val="00C6580C"/>
    <w:rsid w:val="00C65B1C"/>
    <w:rsid w:val="00C65FA6"/>
    <w:rsid w:val="00C660B6"/>
    <w:rsid w:val="00C66346"/>
    <w:rsid w:val="00C669F8"/>
    <w:rsid w:val="00C66A62"/>
    <w:rsid w:val="00C66AEE"/>
    <w:rsid w:val="00C66C26"/>
    <w:rsid w:val="00C66FF5"/>
    <w:rsid w:val="00C6726B"/>
    <w:rsid w:val="00C673D6"/>
    <w:rsid w:val="00C6758D"/>
    <w:rsid w:val="00C676E9"/>
    <w:rsid w:val="00C6790E"/>
    <w:rsid w:val="00C67AD5"/>
    <w:rsid w:val="00C67DDE"/>
    <w:rsid w:val="00C7052F"/>
    <w:rsid w:val="00C70691"/>
    <w:rsid w:val="00C708ED"/>
    <w:rsid w:val="00C70985"/>
    <w:rsid w:val="00C70A49"/>
    <w:rsid w:val="00C711B9"/>
    <w:rsid w:val="00C7129E"/>
    <w:rsid w:val="00C71A74"/>
    <w:rsid w:val="00C71DE2"/>
    <w:rsid w:val="00C72017"/>
    <w:rsid w:val="00C7297D"/>
    <w:rsid w:val="00C72B1E"/>
    <w:rsid w:val="00C72C74"/>
    <w:rsid w:val="00C72DC4"/>
    <w:rsid w:val="00C72EFB"/>
    <w:rsid w:val="00C72F4D"/>
    <w:rsid w:val="00C73058"/>
    <w:rsid w:val="00C731C6"/>
    <w:rsid w:val="00C73469"/>
    <w:rsid w:val="00C737FA"/>
    <w:rsid w:val="00C74173"/>
    <w:rsid w:val="00C7464B"/>
    <w:rsid w:val="00C74FD1"/>
    <w:rsid w:val="00C75BBA"/>
    <w:rsid w:val="00C76141"/>
    <w:rsid w:val="00C76581"/>
    <w:rsid w:val="00C7678E"/>
    <w:rsid w:val="00C76C68"/>
    <w:rsid w:val="00C77434"/>
    <w:rsid w:val="00C77B8F"/>
    <w:rsid w:val="00C77CDA"/>
    <w:rsid w:val="00C77E73"/>
    <w:rsid w:val="00C77F4D"/>
    <w:rsid w:val="00C80542"/>
    <w:rsid w:val="00C805F0"/>
    <w:rsid w:val="00C806E6"/>
    <w:rsid w:val="00C80786"/>
    <w:rsid w:val="00C80C5B"/>
    <w:rsid w:val="00C81E4B"/>
    <w:rsid w:val="00C820A3"/>
    <w:rsid w:val="00C82C6A"/>
    <w:rsid w:val="00C82F19"/>
    <w:rsid w:val="00C82F49"/>
    <w:rsid w:val="00C82F7F"/>
    <w:rsid w:val="00C838EE"/>
    <w:rsid w:val="00C84688"/>
    <w:rsid w:val="00C849AB"/>
    <w:rsid w:val="00C859F1"/>
    <w:rsid w:val="00C85C43"/>
    <w:rsid w:val="00C86083"/>
    <w:rsid w:val="00C86728"/>
    <w:rsid w:val="00C8685A"/>
    <w:rsid w:val="00C86894"/>
    <w:rsid w:val="00C86A16"/>
    <w:rsid w:val="00C86C04"/>
    <w:rsid w:val="00C8776D"/>
    <w:rsid w:val="00C87B05"/>
    <w:rsid w:val="00C87C82"/>
    <w:rsid w:val="00C90749"/>
    <w:rsid w:val="00C90844"/>
    <w:rsid w:val="00C90856"/>
    <w:rsid w:val="00C90C34"/>
    <w:rsid w:val="00C90E19"/>
    <w:rsid w:val="00C9100F"/>
    <w:rsid w:val="00C91B77"/>
    <w:rsid w:val="00C91D05"/>
    <w:rsid w:val="00C926B6"/>
    <w:rsid w:val="00C92EF0"/>
    <w:rsid w:val="00C932CB"/>
    <w:rsid w:val="00C93617"/>
    <w:rsid w:val="00C937F5"/>
    <w:rsid w:val="00C93CE0"/>
    <w:rsid w:val="00C93E3A"/>
    <w:rsid w:val="00C948E5"/>
    <w:rsid w:val="00C9517F"/>
    <w:rsid w:val="00C95196"/>
    <w:rsid w:val="00C95249"/>
    <w:rsid w:val="00C95322"/>
    <w:rsid w:val="00C9543E"/>
    <w:rsid w:val="00C954C5"/>
    <w:rsid w:val="00C956DF"/>
    <w:rsid w:val="00C958A1"/>
    <w:rsid w:val="00C96231"/>
    <w:rsid w:val="00C9625C"/>
    <w:rsid w:val="00C962AC"/>
    <w:rsid w:val="00C964AB"/>
    <w:rsid w:val="00C9677A"/>
    <w:rsid w:val="00C96932"/>
    <w:rsid w:val="00C975F6"/>
    <w:rsid w:val="00C97835"/>
    <w:rsid w:val="00C97ED6"/>
    <w:rsid w:val="00CA02EA"/>
    <w:rsid w:val="00CA035E"/>
    <w:rsid w:val="00CA06A2"/>
    <w:rsid w:val="00CA0725"/>
    <w:rsid w:val="00CA07CB"/>
    <w:rsid w:val="00CA0F45"/>
    <w:rsid w:val="00CA1018"/>
    <w:rsid w:val="00CA1CCA"/>
    <w:rsid w:val="00CA2570"/>
    <w:rsid w:val="00CA2D5B"/>
    <w:rsid w:val="00CA2EAA"/>
    <w:rsid w:val="00CA2EC6"/>
    <w:rsid w:val="00CA2FC7"/>
    <w:rsid w:val="00CA31CD"/>
    <w:rsid w:val="00CA3364"/>
    <w:rsid w:val="00CA3492"/>
    <w:rsid w:val="00CA37F5"/>
    <w:rsid w:val="00CA3A68"/>
    <w:rsid w:val="00CA3F81"/>
    <w:rsid w:val="00CA43A0"/>
    <w:rsid w:val="00CA46EF"/>
    <w:rsid w:val="00CA4939"/>
    <w:rsid w:val="00CA4BC9"/>
    <w:rsid w:val="00CA51BF"/>
    <w:rsid w:val="00CA51E1"/>
    <w:rsid w:val="00CA539A"/>
    <w:rsid w:val="00CA5701"/>
    <w:rsid w:val="00CA5726"/>
    <w:rsid w:val="00CA576C"/>
    <w:rsid w:val="00CA59C3"/>
    <w:rsid w:val="00CA5CFB"/>
    <w:rsid w:val="00CA5D37"/>
    <w:rsid w:val="00CA5E73"/>
    <w:rsid w:val="00CA5F19"/>
    <w:rsid w:val="00CA65C4"/>
    <w:rsid w:val="00CA6736"/>
    <w:rsid w:val="00CA6845"/>
    <w:rsid w:val="00CA6A18"/>
    <w:rsid w:val="00CA6B01"/>
    <w:rsid w:val="00CA6B57"/>
    <w:rsid w:val="00CA6E14"/>
    <w:rsid w:val="00CA7167"/>
    <w:rsid w:val="00CA7236"/>
    <w:rsid w:val="00CA741C"/>
    <w:rsid w:val="00CA7652"/>
    <w:rsid w:val="00CA783A"/>
    <w:rsid w:val="00CA7879"/>
    <w:rsid w:val="00CB029B"/>
    <w:rsid w:val="00CB07CF"/>
    <w:rsid w:val="00CB0F81"/>
    <w:rsid w:val="00CB15F0"/>
    <w:rsid w:val="00CB1682"/>
    <w:rsid w:val="00CB17E7"/>
    <w:rsid w:val="00CB182A"/>
    <w:rsid w:val="00CB1A2E"/>
    <w:rsid w:val="00CB1DAE"/>
    <w:rsid w:val="00CB1FBD"/>
    <w:rsid w:val="00CB2125"/>
    <w:rsid w:val="00CB23F6"/>
    <w:rsid w:val="00CB2412"/>
    <w:rsid w:val="00CB247B"/>
    <w:rsid w:val="00CB2579"/>
    <w:rsid w:val="00CB3025"/>
    <w:rsid w:val="00CB3327"/>
    <w:rsid w:val="00CB3457"/>
    <w:rsid w:val="00CB347C"/>
    <w:rsid w:val="00CB3F62"/>
    <w:rsid w:val="00CB45A4"/>
    <w:rsid w:val="00CB49CC"/>
    <w:rsid w:val="00CB4F2F"/>
    <w:rsid w:val="00CB4F7A"/>
    <w:rsid w:val="00CB518C"/>
    <w:rsid w:val="00CB51F7"/>
    <w:rsid w:val="00CB52C4"/>
    <w:rsid w:val="00CB56AD"/>
    <w:rsid w:val="00CB577E"/>
    <w:rsid w:val="00CB57FA"/>
    <w:rsid w:val="00CB5A07"/>
    <w:rsid w:val="00CB5A62"/>
    <w:rsid w:val="00CB5BBE"/>
    <w:rsid w:val="00CB5CB2"/>
    <w:rsid w:val="00CB5F77"/>
    <w:rsid w:val="00CB618F"/>
    <w:rsid w:val="00CB63EB"/>
    <w:rsid w:val="00CB641F"/>
    <w:rsid w:val="00CB651A"/>
    <w:rsid w:val="00CB6796"/>
    <w:rsid w:val="00CB68EB"/>
    <w:rsid w:val="00CB69C3"/>
    <w:rsid w:val="00CB6AF1"/>
    <w:rsid w:val="00CB6E17"/>
    <w:rsid w:val="00CB7025"/>
    <w:rsid w:val="00CB7338"/>
    <w:rsid w:val="00CB75D5"/>
    <w:rsid w:val="00CB764A"/>
    <w:rsid w:val="00CB7A10"/>
    <w:rsid w:val="00CC00A2"/>
    <w:rsid w:val="00CC00CF"/>
    <w:rsid w:val="00CC03C2"/>
    <w:rsid w:val="00CC05B1"/>
    <w:rsid w:val="00CC0607"/>
    <w:rsid w:val="00CC083F"/>
    <w:rsid w:val="00CC0922"/>
    <w:rsid w:val="00CC0D8B"/>
    <w:rsid w:val="00CC1179"/>
    <w:rsid w:val="00CC14AE"/>
    <w:rsid w:val="00CC17BD"/>
    <w:rsid w:val="00CC17FA"/>
    <w:rsid w:val="00CC1D14"/>
    <w:rsid w:val="00CC21EC"/>
    <w:rsid w:val="00CC2920"/>
    <w:rsid w:val="00CC2BC7"/>
    <w:rsid w:val="00CC2CFF"/>
    <w:rsid w:val="00CC32B8"/>
    <w:rsid w:val="00CC3479"/>
    <w:rsid w:val="00CC392E"/>
    <w:rsid w:val="00CC398F"/>
    <w:rsid w:val="00CC3A81"/>
    <w:rsid w:val="00CC3C96"/>
    <w:rsid w:val="00CC3CA5"/>
    <w:rsid w:val="00CC4B31"/>
    <w:rsid w:val="00CC4E30"/>
    <w:rsid w:val="00CC4F83"/>
    <w:rsid w:val="00CC5000"/>
    <w:rsid w:val="00CC54EA"/>
    <w:rsid w:val="00CC559C"/>
    <w:rsid w:val="00CC5706"/>
    <w:rsid w:val="00CC5717"/>
    <w:rsid w:val="00CC5765"/>
    <w:rsid w:val="00CC5B27"/>
    <w:rsid w:val="00CC5CDB"/>
    <w:rsid w:val="00CC5D26"/>
    <w:rsid w:val="00CC6102"/>
    <w:rsid w:val="00CC6462"/>
    <w:rsid w:val="00CC6508"/>
    <w:rsid w:val="00CC66AF"/>
    <w:rsid w:val="00CC677D"/>
    <w:rsid w:val="00CC6801"/>
    <w:rsid w:val="00CC6B94"/>
    <w:rsid w:val="00CC6CBC"/>
    <w:rsid w:val="00CC6D3C"/>
    <w:rsid w:val="00CC6D89"/>
    <w:rsid w:val="00CC72B4"/>
    <w:rsid w:val="00CC787C"/>
    <w:rsid w:val="00CC7932"/>
    <w:rsid w:val="00CD012B"/>
    <w:rsid w:val="00CD02CD"/>
    <w:rsid w:val="00CD0579"/>
    <w:rsid w:val="00CD05E8"/>
    <w:rsid w:val="00CD0F01"/>
    <w:rsid w:val="00CD1305"/>
    <w:rsid w:val="00CD1339"/>
    <w:rsid w:val="00CD13D3"/>
    <w:rsid w:val="00CD1477"/>
    <w:rsid w:val="00CD196C"/>
    <w:rsid w:val="00CD221E"/>
    <w:rsid w:val="00CD255B"/>
    <w:rsid w:val="00CD269B"/>
    <w:rsid w:val="00CD28F0"/>
    <w:rsid w:val="00CD2A7C"/>
    <w:rsid w:val="00CD2B9F"/>
    <w:rsid w:val="00CD2CDC"/>
    <w:rsid w:val="00CD2DAB"/>
    <w:rsid w:val="00CD2E12"/>
    <w:rsid w:val="00CD30E0"/>
    <w:rsid w:val="00CD36F1"/>
    <w:rsid w:val="00CD3835"/>
    <w:rsid w:val="00CD3966"/>
    <w:rsid w:val="00CD39CF"/>
    <w:rsid w:val="00CD3B40"/>
    <w:rsid w:val="00CD3CCB"/>
    <w:rsid w:val="00CD3CCE"/>
    <w:rsid w:val="00CD3FD7"/>
    <w:rsid w:val="00CD4025"/>
    <w:rsid w:val="00CD43DC"/>
    <w:rsid w:val="00CD45A0"/>
    <w:rsid w:val="00CD4B3E"/>
    <w:rsid w:val="00CD5061"/>
    <w:rsid w:val="00CD54BC"/>
    <w:rsid w:val="00CD5575"/>
    <w:rsid w:val="00CD56EC"/>
    <w:rsid w:val="00CD5795"/>
    <w:rsid w:val="00CD57C9"/>
    <w:rsid w:val="00CD5AC1"/>
    <w:rsid w:val="00CD5D99"/>
    <w:rsid w:val="00CD5FD6"/>
    <w:rsid w:val="00CD5FD7"/>
    <w:rsid w:val="00CD7288"/>
    <w:rsid w:val="00CD7797"/>
    <w:rsid w:val="00CD7A7F"/>
    <w:rsid w:val="00CD7BE4"/>
    <w:rsid w:val="00CD7C0B"/>
    <w:rsid w:val="00CD7C25"/>
    <w:rsid w:val="00CD7DAD"/>
    <w:rsid w:val="00CE01D4"/>
    <w:rsid w:val="00CE03AA"/>
    <w:rsid w:val="00CE043C"/>
    <w:rsid w:val="00CE0E6E"/>
    <w:rsid w:val="00CE120D"/>
    <w:rsid w:val="00CE167E"/>
    <w:rsid w:val="00CE198D"/>
    <w:rsid w:val="00CE19EB"/>
    <w:rsid w:val="00CE1A35"/>
    <w:rsid w:val="00CE1AEE"/>
    <w:rsid w:val="00CE1FB4"/>
    <w:rsid w:val="00CE26C4"/>
    <w:rsid w:val="00CE288A"/>
    <w:rsid w:val="00CE2D50"/>
    <w:rsid w:val="00CE33FB"/>
    <w:rsid w:val="00CE350E"/>
    <w:rsid w:val="00CE37C9"/>
    <w:rsid w:val="00CE3B84"/>
    <w:rsid w:val="00CE3D25"/>
    <w:rsid w:val="00CE3D28"/>
    <w:rsid w:val="00CE45C0"/>
    <w:rsid w:val="00CE47D3"/>
    <w:rsid w:val="00CE4949"/>
    <w:rsid w:val="00CE49B6"/>
    <w:rsid w:val="00CE4AEB"/>
    <w:rsid w:val="00CE4F80"/>
    <w:rsid w:val="00CE502D"/>
    <w:rsid w:val="00CE577A"/>
    <w:rsid w:val="00CE58C4"/>
    <w:rsid w:val="00CE5976"/>
    <w:rsid w:val="00CE5A74"/>
    <w:rsid w:val="00CE5B23"/>
    <w:rsid w:val="00CE5CFF"/>
    <w:rsid w:val="00CE5D55"/>
    <w:rsid w:val="00CE5EAD"/>
    <w:rsid w:val="00CE5F29"/>
    <w:rsid w:val="00CE5F75"/>
    <w:rsid w:val="00CE6419"/>
    <w:rsid w:val="00CE67B3"/>
    <w:rsid w:val="00CE67FA"/>
    <w:rsid w:val="00CE6C6D"/>
    <w:rsid w:val="00CE6CB1"/>
    <w:rsid w:val="00CE6E32"/>
    <w:rsid w:val="00CE6EE0"/>
    <w:rsid w:val="00CE717D"/>
    <w:rsid w:val="00CE7A5F"/>
    <w:rsid w:val="00CE7AFB"/>
    <w:rsid w:val="00CE7E19"/>
    <w:rsid w:val="00CF0646"/>
    <w:rsid w:val="00CF0763"/>
    <w:rsid w:val="00CF0798"/>
    <w:rsid w:val="00CF07AC"/>
    <w:rsid w:val="00CF082C"/>
    <w:rsid w:val="00CF0E3F"/>
    <w:rsid w:val="00CF0F06"/>
    <w:rsid w:val="00CF11F0"/>
    <w:rsid w:val="00CF19C6"/>
    <w:rsid w:val="00CF1A90"/>
    <w:rsid w:val="00CF1C6F"/>
    <w:rsid w:val="00CF1E19"/>
    <w:rsid w:val="00CF1F0B"/>
    <w:rsid w:val="00CF2264"/>
    <w:rsid w:val="00CF23DC"/>
    <w:rsid w:val="00CF2438"/>
    <w:rsid w:val="00CF28BF"/>
    <w:rsid w:val="00CF2DEF"/>
    <w:rsid w:val="00CF3263"/>
    <w:rsid w:val="00CF33F2"/>
    <w:rsid w:val="00CF353C"/>
    <w:rsid w:val="00CF372C"/>
    <w:rsid w:val="00CF38A0"/>
    <w:rsid w:val="00CF3BE1"/>
    <w:rsid w:val="00CF4401"/>
    <w:rsid w:val="00CF466D"/>
    <w:rsid w:val="00CF4A85"/>
    <w:rsid w:val="00CF4B72"/>
    <w:rsid w:val="00CF4D20"/>
    <w:rsid w:val="00CF5044"/>
    <w:rsid w:val="00CF5065"/>
    <w:rsid w:val="00CF622F"/>
    <w:rsid w:val="00CF62A3"/>
    <w:rsid w:val="00CF64E4"/>
    <w:rsid w:val="00CF6548"/>
    <w:rsid w:val="00CF675F"/>
    <w:rsid w:val="00CF6974"/>
    <w:rsid w:val="00CF6F19"/>
    <w:rsid w:val="00CF752A"/>
    <w:rsid w:val="00CF7667"/>
    <w:rsid w:val="00CF773C"/>
    <w:rsid w:val="00CF785D"/>
    <w:rsid w:val="00CF7AFE"/>
    <w:rsid w:val="00CF7BBA"/>
    <w:rsid w:val="00CF7E77"/>
    <w:rsid w:val="00D003EA"/>
    <w:rsid w:val="00D008C0"/>
    <w:rsid w:val="00D00904"/>
    <w:rsid w:val="00D00C05"/>
    <w:rsid w:val="00D00EC3"/>
    <w:rsid w:val="00D01522"/>
    <w:rsid w:val="00D015E2"/>
    <w:rsid w:val="00D016D4"/>
    <w:rsid w:val="00D018D5"/>
    <w:rsid w:val="00D01982"/>
    <w:rsid w:val="00D019D8"/>
    <w:rsid w:val="00D01A09"/>
    <w:rsid w:val="00D01AF3"/>
    <w:rsid w:val="00D01DBE"/>
    <w:rsid w:val="00D01EA7"/>
    <w:rsid w:val="00D01FC0"/>
    <w:rsid w:val="00D02011"/>
    <w:rsid w:val="00D0201E"/>
    <w:rsid w:val="00D02023"/>
    <w:rsid w:val="00D02155"/>
    <w:rsid w:val="00D0240D"/>
    <w:rsid w:val="00D02831"/>
    <w:rsid w:val="00D02A90"/>
    <w:rsid w:val="00D02D90"/>
    <w:rsid w:val="00D02FA0"/>
    <w:rsid w:val="00D0340C"/>
    <w:rsid w:val="00D03571"/>
    <w:rsid w:val="00D03D0B"/>
    <w:rsid w:val="00D03DD4"/>
    <w:rsid w:val="00D041C6"/>
    <w:rsid w:val="00D042A8"/>
    <w:rsid w:val="00D04442"/>
    <w:rsid w:val="00D04478"/>
    <w:rsid w:val="00D04A35"/>
    <w:rsid w:val="00D052FF"/>
    <w:rsid w:val="00D0531C"/>
    <w:rsid w:val="00D055D7"/>
    <w:rsid w:val="00D05622"/>
    <w:rsid w:val="00D05719"/>
    <w:rsid w:val="00D05778"/>
    <w:rsid w:val="00D05E9A"/>
    <w:rsid w:val="00D06051"/>
    <w:rsid w:val="00D0605A"/>
    <w:rsid w:val="00D061BF"/>
    <w:rsid w:val="00D064E2"/>
    <w:rsid w:val="00D071DA"/>
    <w:rsid w:val="00D0775D"/>
    <w:rsid w:val="00D079E7"/>
    <w:rsid w:val="00D07DDC"/>
    <w:rsid w:val="00D1058A"/>
    <w:rsid w:val="00D10C36"/>
    <w:rsid w:val="00D10DC6"/>
    <w:rsid w:val="00D10DD4"/>
    <w:rsid w:val="00D115D9"/>
    <w:rsid w:val="00D116A1"/>
    <w:rsid w:val="00D11876"/>
    <w:rsid w:val="00D11EED"/>
    <w:rsid w:val="00D11F5B"/>
    <w:rsid w:val="00D12543"/>
    <w:rsid w:val="00D12C14"/>
    <w:rsid w:val="00D13170"/>
    <w:rsid w:val="00D1327D"/>
    <w:rsid w:val="00D13353"/>
    <w:rsid w:val="00D13AAB"/>
    <w:rsid w:val="00D13C16"/>
    <w:rsid w:val="00D1425B"/>
    <w:rsid w:val="00D14336"/>
    <w:rsid w:val="00D143A7"/>
    <w:rsid w:val="00D1499F"/>
    <w:rsid w:val="00D14F4A"/>
    <w:rsid w:val="00D15051"/>
    <w:rsid w:val="00D1508A"/>
    <w:rsid w:val="00D151D9"/>
    <w:rsid w:val="00D15EEC"/>
    <w:rsid w:val="00D160F5"/>
    <w:rsid w:val="00D1612D"/>
    <w:rsid w:val="00D1647D"/>
    <w:rsid w:val="00D1682E"/>
    <w:rsid w:val="00D16BCD"/>
    <w:rsid w:val="00D16D16"/>
    <w:rsid w:val="00D17AB3"/>
    <w:rsid w:val="00D17AC3"/>
    <w:rsid w:val="00D200D6"/>
    <w:rsid w:val="00D205FC"/>
    <w:rsid w:val="00D206D3"/>
    <w:rsid w:val="00D20C6E"/>
    <w:rsid w:val="00D210E8"/>
    <w:rsid w:val="00D21916"/>
    <w:rsid w:val="00D219FC"/>
    <w:rsid w:val="00D21ED5"/>
    <w:rsid w:val="00D220D1"/>
    <w:rsid w:val="00D22296"/>
    <w:rsid w:val="00D22592"/>
    <w:rsid w:val="00D226C8"/>
    <w:rsid w:val="00D22CB0"/>
    <w:rsid w:val="00D22D2B"/>
    <w:rsid w:val="00D22E72"/>
    <w:rsid w:val="00D22F79"/>
    <w:rsid w:val="00D23023"/>
    <w:rsid w:val="00D23731"/>
    <w:rsid w:val="00D23B73"/>
    <w:rsid w:val="00D2425A"/>
    <w:rsid w:val="00D24353"/>
    <w:rsid w:val="00D243A7"/>
    <w:rsid w:val="00D2465D"/>
    <w:rsid w:val="00D24698"/>
    <w:rsid w:val="00D25308"/>
    <w:rsid w:val="00D25923"/>
    <w:rsid w:val="00D259E5"/>
    <w:rsid w:val="00D263CD"/>
    <w:rsid w:val="00D26BBE"/>
    <w:rsid w:val="00D26EEF"/>
    <w:rsid w:val="00D270D7"/>
    <w:rsid w:val="00D27429"/>
    <w:rsid w:val="00D274C5"/>
    <w:rsid w:val="00D27DCE"/>
    <w:rsid w:val="00D30083"/>
    <w:rsid w:val="00D302B3"/>
    <w:rsid w:val="00D30491"/>
    <w:rsid w:val="00D3049F"/>
    <w:rsid w:val="00D30CC2"/>
    <w:rsid w:val="00D30CCE"/>
    <w:rsid w:val="00D31478"/>
    <w:rsid w:val="00D3169F"/>
    <w:rsid w:val="00D316F0"/>
    <w:rsid w:val="00D3187B"/>
    <w:rsid w:val="00D31A18"/>
    <w:rsid w:val="00D31A25"/>
    <w:rsid w:val="00D31A76"/>
    <w:rsid w:val="00D31AF6"/>
    <w:rsid w:val="00D31D1C"/>
    <w:rsid w:val="00D320A5"/>
    <w:rsid w:val="00D32319"/>
    <w:rsid w:val="00D32344"/>
    <w:rsid w:val="00D32545"/>
    <w:rsid w:val="00D325AB"/>
    <w:rsid w:val="00D32834"/>
    <w:rsid w:val="00D32AED"/>
    <w:rsid w:val="00D32E62"/>
    <w:rsid w:val="00D32F3C"/>
    <w:rsid w:val="00D3319F"/>
    <w:rsid w:val="00D33510"/>
    <w:rsid w:val="00D339C6"/>
    <w:rsid w:val="00D339C9"/>
    <w:rsid w:val="00D339E9"/>
    <w:rsid w:val="00D33AA4"/>
    <w:rsid w:val="00D33BDF"/>
    <w:rsid w:val="00D34514"/>
    <w:rsid w:val="00D3452B"/>
    <w:rsid w:val="00D346ED"/>
    <w:rsid w:val="00D347AB"/>
    <w:rsid w:val="00D34CD1"/>
    <w:rsid w:val="00D34D85"/>
    <w:rsid w:val="00D34DD9"/>
    <w:rsid w:val="00D352E4"/>
    <w:rsid w:val="00D355B5"/>
    <w:rsid w:val="00D3574D"/>
    <w:rsid w:val="00D3598A"/>
    <w:rsid w:val="00D35E14"/>
    <w:rsid w:val="00D360A9"/>
    <w:rsid w:val="00D362DD"/>
    <w:rsid w:val="00D3634D"/>
    <w:rsid w:val="00D363BD"/>
    <w:rsid w:val="00D3698B"/>
    <w:rsid w:val="00D369D6"/>
    <w:rsid w:val="00D36C96"/>
    <w:rsid w:val="00D36CFB"/>
    <w:rsid w:val="00D36D60"/>
    <w:rsid w:val="00D36E09"/>
    <w:rsid w:val="00D37043"/>
    <w:rsid w:val="00D3715F"/>
    <w:rsid w:val="00D37869"/>
    <w:rsid w:val="00D37C0A"/>
    <w:rsid w:val="00D37E13"/>
    <w:rsid w:val="00D4058C"/>
    <w:rsid w:val="00D407B5"/>
    <w:rsid w:val="00D40848"/>
    <w:rsid w:val="00D40A65"/>
    <w:rsid w:val="00D41121"/>
    <w:rsid w:val="00D41209"/>
    <w:rsid w:val="00D41383"/>
    <w:rsid w:val="00D41B33"/>
    <w:rsid w:val="00D41C37"/>
    <w:rsid w:val="00D41E66"/>
    <w:rsid w:val="00D41FE3"/>
    <w:rsid w:val="00D4213E"/>
    <w:rsid w:val="00D4241A"/>
    <w:rsid w:val="00D4244C"/>
    <w:rsid w:val="00D42583"/>
    <w:rsid w:val="00D42669"/>
    <w:rsid w:val="00D4290F"/>
    <w:rsid w:val="00D42A13"/>
    <w:rsid w:val="00D43114"/>
    <w:rsid w:val="00D4321F"/>
    <w:rsid w:val="00D434DD"/>
    <w:rsid w:val="00D436C3"/>
    <w:rsid w:val="00D438B7"/>
    <w:rsid w:val="00D43B15"/>
    <w:rsid w:val="00D43CA5"/>
    <w:rsid w:val="00D440B8"/>
    <w:rsid w:val="00D44633"/>
    <w:rsid w:val="00D44C8D"/>
    <w:rsid w:val="00D44F82"/>
    <w:rsid w:val="00D45155"/>
    <w:rsid w:val="00D4523C"/>
    <w:rsid w:val="00D45531"/>
    <w:rsid w:val="00D45C92"/>
    <w:rsid w:val="00D45E2F"/>
    <w:rsid w:val="00D45E4B"/>
    <w:rsid w:val="00D45FF4"/>
    <w:rsid w:val="00D460E3"/>
    <w:rsid w:val="00D468A3"/>
    <w:rsid w:val="00D46E78"/>
    <w:rsid w:val="00D46FF4"/>
    <w:rsid w:val="00D47126"/>
    <w:rsid w:val="00D471D1"/>
    <w:rsid w:val="00D474C1"/>
    <w:rsid w:val="00D47A0F"/>
    <w:rsid w:val="00D47C4F"/>
    <w:rsid w:val="00D50BFB"/>
    <w:rsid w:val="00D50F00"/>
    <w:rsid w:val="00D516C5"/>
    <w:rsid w:val="00D520B5"/>
    <w:rsid w:val="00D523CD"/>
    <w:rsid w:val="00D52452"/>
    <w:rsid w:val="00D5272A"/>
    <w:rsid w:val="00D52775"/>
    <w:rsid w:val="00D527AA"/>
    <w:rsid w:val="00D52996"/>
    <w:rsid w:val="00D52A7B"/>
    <w:rsid w:val="00D52D99"/>
    <w:rsid w:val="00D52DAA"/>
    <w:rsid w:val="00D52E12"/>
    <w:rsid w:val="00D53329"/>
    <w:rsid w:val="00D533C0"/>
    <w:rsid w:val="00D5343D"/>
    <w:rsid w:val="00D53663"/>
    <w:rsid w:val="00D53D41"/>
    <w:rsid w:val="00D5499A"/>
    <w:rsid w:val="00D55047"/>
    <w:rsid w:val="00D559A6"/>
    <w:rsid w:val="00D56567"/>
    <w:rsid w:val="00D56991"/>
    <w:rsid w:val="00D56B7D"/>
    <w:rsid w:val="00D56F4D"/>
    <w:rsid w:val="00D56F8B"/>
    <w:rsid w:val="00D57110"/>
    <w:rsid w:val="00D578BE"/>
    <w:rsid w:val="00D57C2C"/>
    <w:rsid w:val="00D57FA6"/>
    <w:rsid w:val="00D60543"/>
    <w:rsid w:val="00D60DC3"/>
    <w:rsid w:val="00D60FAA"/>
    <w:rsid w:val="00D60FAF"/>
    <w:rsid w:val="00D60FCF"/>
    <w:rsid w:val="00D610A8"/>
    <w:rsid w:val="00D61779"/>
    <w:rsid w:val="00D61BB3"/>
    <w:rsid w:val="00D61D76"/>
    <w:rsid w:val="00D61E37"/>
    <w:rsid w:val="00D61E8A"/>
    <w:rsid w:val="00D61FBD"/>
    <w:rsid w:val="00D62179"/>
    <w:rsid w:val="00D62336"/>
    <w:rsid w:val="00D6239F"/>
    <w:rsid w:val="00D6258C"/>
    <w:rsid w:val="00D62BC2"/>
    <w:rsid w:val="00D62D5A"/>
    <w:rsid w:val="00D631D3"/>
    <w:rsid w:val="00D63445"/>
    <w:rsid w:val="00D63BF7"/>
    <w:rsid w:val="00D63DA7"/>
    <w:rsid w:val="00D63DD0"/>
    <w:rsid w:val="00D63FCB"/>
    <w:rsid w:val="00D6403D"/>
    <w:rsid w:val="00D6418D"/>
    <w:rsid w:val="00D6426F"/>
    <w:rsid w:val="00D64519"/>
    <w:rsid w:val="00D646DD"/>
    <w:rsid w:val="00D646E0"/>
    <w:rsid w:val="00D64715"/>
    <w:rsid w:val="00D64C68"/>
    <w:rsid w:val="00D64D88"/>
    <w:rsid w:val="00D64FEF"/>
    <w:rsid w:val="00D6599A"/>
    <w:rsid w:val="00D65D20"/>
    <w:rsid w:val="00D65FFA"/>
    <w:rsid w:val="00D66613"/>
    <w:rsid w:val="00D66BD3"/>
    <w:rsid w:val="00D66C09"/>
    <w:rsid w:val="00D66CE2"/>
    <w:rsid w:val="00D66ED4"/>
    <w:rsid w:val="00D67CDD"/>
    <w:rsid w:val="00D67E3C"/>
    <w:rsid w:val="00D67EB3"/>
    <w:rsid w:val="00D70383"/>
    <w:rsid w:val="00D70A77"/>
    <w:rsid w:val="00D70B5F"/>
    <w:rsid w:val="00D70BFD"/>
    <w:rsid w:val="00D71067"/>
    <w:rsid w:val="00D714A1"/>
    <w:rsid w:val="00D71550"/>
    <w:rsid w:val="00D71AEE"/>
    <w:rsid w:val="00D71D77"/>
    <w:rsid w:val="00D71E66"/>
    <w:rsid w:val="00D71F2C"/>
    <w:rsid w:val="00D720B0"/>
    <w:rsid w:val="00D7331F"/>
    <w:rsid w:val="00D73A07"/>
    <w:rsid w:val="00D73A3C"/>
    <w:rsid w:val="00D73AFB"/>
    <w:rsid w:val="00D73BAC"/>
    <w:rsid w:val="00D7428F"/>
    <w:rsid w:val="00D7445E"/>
    <w:rsid w:val="00D7464F"/>
    <w:rsid w:val="00D7490B"/>
    <w:rsid w:val="00D75335"/>
    <w:rsid w:val="00D75386"/>
    <w:rsid w:val="00D75B17"/>
    <w:rsid w:val="00D7630B"/>
    <w:rsid w:val="00D76485"/>
    <w:rsid w:val="00D7672B"/>
    <w:rsid w:val="00D768F9"/>
    <w:rsid w:val="00D76A2D"/>
    <w:rsid w:val="00D76B8A"/>
    <w:rsid w:val="00D76E59"/>
    <w:rsid w:val="00D76F24"/>
    <w:rsid w:val="00D77793"/>
    <w:rsid w:val="00D777C4"/>
    <w:rsid w:val="00D77A77"/>
    <w:rsid w:val="00D77FB7"/>
    <w:rsid w:val="00D8006B"/>
    <w:rsid w:val="00D80125"/>
    <w:rsid w:val="00D80494"/>
    <w:rsid w:val="00D80923"/>
    <w:rsid w:val="00D80A38"/>
    <w:rsid w:val="00D81452"/>
    <w:rsid w:val="00D819BE"/>
    <w:rsid w:val="00D81AEA"/>
    <w:rsid w:val="00D81F72"/>
    <w:rsid w:val="00D8234D"/>
    <w:rsid w:val="00D82401"/>
    <w:rsid w:val="00D82887"/>
    <w:rsid w:val="00D82E71"/>
    <w:rsid w:val="00D82EC6"/>
    <w:rsid w:val="00D83007"/>
    <w:rsid w:val="00D83185"/>
    <w:rsid w:val="00D832B0"/>
    <w:rsid w:val="00D8361F"/>
    <w:rsid w:val="00D838DB"/>
    <w:rsid w:val="00D83909"/>
    <w:rsid w:val="00D83BF4"/>
    <w:rsid w:val="00D83E02"/>
    <w:rsid w:val="00D8456E"/>
    <w:rsid w:val="00D84672"/>
    <w:rsid w:val="00D84C4C"/>
    <w:rsid w:val="00D8553A"/>
    <w:rsid w:val="00D85CE9"/>
    <w:rsid w:val="00D8608A"/>
    <w:rsid w:val="00D86145"/>
    <w:rsid w:val="00D86288"/>
    <w:rsid w:val="00D86CF4"/>
    <w:rsid w:val="00D87465"/>
    <w:rsid w:val="00D87D78"/>
    <w:rsid w:val="00D87D8F"/>
    <w:rsid w:val="00D90129"/>
    <w:rsid w:val="00D901D0"/>
    <w:rsid w:val="00D9037A"/>
    <w:rsid w:val="00D907D5"/>
    <w:rsid w:val="00D908AE"/>
    <w:rsid w:val="00D90B56"/>
    <w:rsid w:val="00D90BB8"/>
    <w:rsid w:val="00D90EFC"/>
    <w:rsid w:val="00D9105E"/>
    <w:rsid w:val="00D91626"/>
    <w:rsid w:val="00D9199F"/>
    <w:rsid w:val="00D91A1A"/>
    <w:rsid w:val="00D91A4F"/>
    <w:rsid w:val="00D91B64"/>
    <w:rsid w:val="00D91CC9"/>
    <w:rsid w:val="00D921DD"/>
    <w:rsid w:val="00D92518"/>
    <w:rsid w:val="00D92686"/>
    <w:rsid w:val="00D92A19"/>
    <w:rsid w:val="00D92CED"/>
    <w:rsid w:val="00D9324F"/>
    <w:rsid w:val="00D93960"/>
    <w:rsid w:val="00D939BB"/>
    <w:rsid w:val="00D939CC"/>
    <w:rsid w:val="00D9401E"/>
    <w:rsid w:val="00D94470"/>
    <w:rsid w:val="00D947AC"/>
    <w:rsid w:val="00D94C23"/>
    <w:rsid w:val="00D95554"/>
    <w:rsid w:val="00D959AF"/>
    <w:rsid w:val="00D95A4B"/>
    <w:rsid w:val="00D95B59"/>
    <w:rsid w:val="00D95C4D"/>
    <w:rsid w:val="00D960C2"/>
    <w:rsid w:val="00D96478"/>
    <w:rsid w:val="00D96547"/>
    <w:rsid w:val="00D96659"/>
    <w:rsid w:val="00D967D0"/>
    <w:rsid w:val="00D969B3"/>
    <w:rsid w:val="00D96A0C"/>
    <w:rsid w:val="00D96CB4"/>
    <w:rsid w:val="00D9702A"/>
    <w:rsid w:val="00D973E2"/>
    <w:rsid w:val="00D9787C"/>
    <w:rsid w:val="00D97897"/>
    <w:rsid w:val="00D97A5C"/>
    <w:rsid w:val="00D97B4E"/>
    <w:rsid w:val="00DA0617"/>
    <w:rsid w:val="00DA0CDC"/>
    <w:rsid w:val="00DA1009"/>
    <w:rsid w:val="00DA1138"/>
    <w:rsid w:val="00DA1268"/>
    <w:rsid w:val="00DA1279"/>
    <w:rsid w:val="00DA1579"/>
    <w:rsid w:val="00DA1642"/>
    <w:rsid w:val="00DA1643"/>
    <w:rsid w:val="00DA188B"/>
    <w:rsid w:val="00DA1BE0"/>
    <w:rsid w:val="00DA20E2"/>
    <w:rsid w:val="00DA2249"/>
    <w:rsid w:val="00DA24E9"/>
    <w:rsid w:val="00DA250A"/>
    <w:rsid w:val="00DA2A2E"/>
    <w:rsid w:val="00DA2CD1"/>
    <w:rsid w:val="00DA2CD6"/>
    <w:rsid w:val="00DA3270"/>
    <w:rsid w:val="00DA3651"/>
    <w:rsid w:val="00DA3AB4"/>
    <w:rsid w:val="00DA40A8"/>
    <w:rsid w:val="00DA41AA"/>
    <w:rsid w:val="00DA420C"/>
    <w:rsid w:val="00DA438F"/>
    <w:rsid w:val="00DA4596"/>
    <w:rsid w:val="00DA49BA"/>
    <w:rsid w:val="00DA4A39"/>
    <w:rsid w:val="00DA4AC1"/>
    <w:rsid w:val="00DA4FAD"/>
    <w:rsid w:val="00DA5B8D"/>
    <w:rsid w:val="00DA6002"/>
    <w:rsid w:val="00DA639A"/>
    <w:rsid w:val="00DA66AC"/>
    <w:rsid w:val="00DA7037"/>
    <w:rsid w:val="00DA75E5"/>
    <w:rsid w:val="00DA7B5B"/>
    <w:rsid w:val="00DB005B"/>
    <w:rsid w:val="00DB0382"/>
    <w:rsid w:val="00DB09D6"/>
    <w:rsid w:val="00DB0BA5"/>
    <w:rsid w:val="00DB0E31"/>
    <w:rsid w:val="00DB1193"/>
    <w:rsid w:val="00DB12DE"/>
    <w:rsid w:val="00DB1A9E"/>
    <w:rsid w:val="00DB22AB"/>
    <w:rsid w:val="00DB2306"/>
    <w:rsid w:val="00DB24C7"/>
    <w:rsid w:val="00DB2632"/>
    <w:rsid w:val="00DB27AA"/>
    <w:rsid w:val="00DB2BBF"/>
    <w:rsid w:val="00DB2CDB"/>
    <w:rsid w:val="00DB2CF3"/>
    <w:rsid w:val="00DB2E25"/>
    <w:rsid w:val="00DB34E3"/>
    <w:rsid w:val="00DB3B69"/>
    <w:rsid w:val="00DB3F8B"/>
    <w:rsid w:val="00DB40F8"/>
    <w:rsid w:val="00DB460D"/>
    <w:rsid w:val="00DB46F2"/>
    <w:rsid w:val="00DB49B5"/>
    <w:rsid w:val="00DB5635"/>
    <w:rsid w:val="00DB587F"/>
    <w:rsid w:val="00DB5A0E"/>
    <w:rsid w:val="00DB5ABC"/>
    <w:rsid w:val="00DB5B5C"/>
    <w:rsid w:val="00DB5ECE"/>
    <w:rsid w:val="00DB654F"/>
    <w:rsid w:val="00DB6ACB"/>
    <w:rsid w:val="00DB6D66"/>
    <w:rsid w:val="00DB7205"/>
    <w:rsid w:val="00DB7269"/>
    <w:rsid w:val="00DB75B3"/>
    <w:rsid w:val="00DB7685"/>
    <w:rsid w:val="00DB7F9C"/>
    <w:rsid w:val="00DC01AB"/>
    <w:rsid w:val="00DC02B3"/>
    <w:rsid w:val="00DC0383"/>
    <w:rsid w:val="00DC0413"/>
    <w:rsid w:val="00DC0482"/>
    <w:rsid w:val="00DC04C0"/>
    <w:rsid w:val="00DC0E9F"/>
    <w:rsid w:val="00DC1164"/>
    <w:rsid w:val="00DC121C"/>
    <w:rsid w:val="00DC1866"/>
    <w:rsid w:val="00DC1A36"/>
    <w:rsid w:val="00DC22EF"/>
    <w:rsid w:val="00DC2343"/>
    <w:rsid w:val="00DC24CD"/>
    <w:rsid w:val="00DC27F5"/>
    <w:rsid w:val="00DC28E1"/>
    <w:rsid w:val="00DC2B2E"/>
    <w:rsid w:val="00DC2C1F"/>
    <w:rsid w:val="00DC2CCE"/>
    <w:rsid w:val="00DC2D5C"/>
    <w:rsid w:val="00DC2D5E"/>
    <w:rsid w:val="00DC2DF6"/>
    <w:rsid w:val="00DC2E5E"/>
    <w:rsid w:val="00DC2F1E"/>
    <w:rsid w:val="00DC31BD"/>
    <w:rsid w:val="00DC3659"/>
    <w:rsid w:val="00DC3922"/>
    <w:rsid w:val="00DC4004"/>
    <w:rsid w:val="00DC408B"/>
    <w:rsid w:val="00DC41DD"/>
    <w:rsid w:val="00DC4B39"/>
    <w:rsid w:val="00DC4D42"/>
    <w:rsid w:val="00DC4F3A"/>
    <w:rsid w:val="00DC4FB9"/>
    <w:rsid w:val="00DC5333"/>
    <w:rsid w:val="00DC5821"/>
    <w:rsid w:val="00DC58DF"/>
    <w:rsid w:val="00DC5CF4"/>
    <w:rsid w:val="00DC5F96"/>
    <w:rsid w:val="00DC614C"/>
    <w:rsid w:val="00DC6C19"/>
    <w:rsid w:val="00DC6D22"/>
    <w:rsid w:val="00DC6D89"/>
    <w:rsid w:val="00DC6E0F"/>
    <w:rsid w:val="00DC70EC"/>
    <w:rsid w:val="00DC71C6"/>
    <w:rsid w:val="00DC72BC"/>
    <w:rsid w:val="00DC72C7"/>
    <w:rsid w:val="00DC7325"/>
    <w:rsid w:val="00DC7645"/>
    <w:rsid w:val="00DC7680"/>
    <w:rsid w:val="00DC7901"/>
    <w:rsid w:val="00DC7FC3"/>
    <w:rsid w:val="00DD0019"/>
    <w:rsid w:val="00DD0064"/>
    <w:rsid w:val="00DD0376"/>
    <w:rsid w:val="00DD0378"/>
    <w:rsid w:val="00DD0560"/>
    <w:rsid w:val="00DD09CA"/>
    <w:rsid w:val="00DD09ED"/>
    <w:rsid w:val="00DD0A5A"/>
    <w:rsid w:val="00DD0C16"/>
    <w:rsid w:val="00DD1506"/>
    <w:rsid w:val="00DD1737"/>
    <w:rsid w:val="00DD1A6E"/>
    <w:rsid w:val="00DD2322"/>
    <w:rsid w:val="00DD27CC"/>
    <w:rsid w:val="00DD2960"/>
    <w:rsid w:val="00DD30DE"/>
    <w:rsid w:val="00DD3191"/>
    <w:rsid w:val="00DD3325"/>
    <w:rsid w:val="00DD34CE"/>
    <w:rsid w:val="00DD35E1"/>
    <w:rsid w:val="00DD3D02"/>
    <w:rsid w:val="00DD4223"/>
    <w:rsid w:val="00DD4809"/>
    <w:rsid w:val="00DD48F1"/>
    <w:rsid w:val="00DD4990"/>
    <w:rsid w:val="00DD4BBE"/>
    <w:rsid w:val="00DD4CD7"/>
    <w:rsid w:val="00DD4D53"/>
    <w:rsid w:val="00DD4FD4"/>
    <w:rsid w:val="00DD504E"/>
    <w:rsid w:val="00DD52AE"/>
    <w:rsid w:val="00DD5341"/>
    <w:rsid w:val="00DD5812"/>
    <w:rsid w:val="00DD5E56"/>
    <w:rsid w:val="00DD698E"/>
    <w:rsid w:val="00DD6A7B"/>
    <w:rsid w:val="00DD6D9B"/>
    <w:rsid w:val="00DD6E27"/>
    <w:rsid w:val="00DD7822"/>
    <w:rsid w:val="00DD7AF5"/>
    <w:rsid w:val="00DD7E76"/>
    <w:rsid w:val="00DE03BB"/>
    <w:rsid w:val="00DE04F7"/>
    <w:rsid w:val="00DE0929"/>
    <w:rsid w:val="00DE0EF0"/>
    <w:rsid w:val="00DE0FE7"/>
    <w:rsid w:val="00DE14C5"/>
    <w:rsid w:val="00DE15C4"/>
    <w:rsid w:val="00DE170C"/>
    <w:rsid w:val="00DE1811"/>
    <w:rsid w:val="00DE1C07"/>
    <w:rsid w:val="00DE1E85"/>
    <w:rsid w:val="00DE2063"/>
    <w:rsid w:val="00DE2722"/>
    <w:rsid w:val="00DE27F7"/>
    <w:rsid w:val="00DE284C"/>
    <w:rsid w:val="00DE300C"/>
    <w:rsid w:val="00DE3079"/>
    <w:rsid w:val="00DE365F"/>
    <w:rsid w:val="00DE37F2"/>
    <w:rsid w:val="00DE3955"/>
    <w:rsid w:val="00DE3CE9"/>
    <w:rsid w:val="00DE40E8"/>
    <w:rsid w:val="00DE4678"/>
    <w:rsid w:val="00DE49DB"/>
    <w:rsid w:val="00DE4C16"/>
    <w:rsid w:val="00DE4C63"/>
    <w:rsid w:val="00DE4EF8"/>
    <w:rsid w:val="00DE505F"/>
    <w:rsid w:val="00DE5300"/>
    <w:rsid w:val="00DE53C5"/>
    <w:rsid w:val="00DE5B4A"/>
    <w:rsid w:val="00DE5B55"/>
    <w:rsid w:val="00DE5C1F"/>
    <w:rsid w:val="00DE5E2B"/>
    <w:rsid w:val="00DE5E2C"/>
    <w:rsid w:val="00DE62DC"/>
    <w:rsid w:val="00DE63ED"/>
    <w:rsid w:val="00DE6426"/>
    <w:rsid w:val="00DE6E4E"/>
    <w:rsid w:val="00DE7051"/>
    <w:rsid w:val="00DE71BC"/>
    <w:rsid w:val="00DE76E5"/>
    <w:rsid w:val="00DE7865"/>
    <w:rsid w:val="00DE7AFB"/>
    <w:rsid w:val="00DE7C20"/>
    <w:rsid w:val="00DE7C4A"/>
    <w:rsid w:val="00DE7E60"/>
    <w:rsid w:val="00DF02F7"/>
    <w:rsid w:val="00DF047A"/>
    <w:rsid w:val="00DF0FD8"/>
    <w:rsid w:val="00DF1C71"/>
    <w:rsid w:val="00DF1D80"/>
    <w:rsid w:val="00DF2103"/>
    <w:rsid w:val="00DF21C2"/>
    <w:rsid w:val="00DF2332"/>
    <w:rsid w:val="00DF25C0"/>
    <w:rsid w:val="00DF269B"/>
    <w:rsid w:val="00DF2F1A"/>
    <w:rsid w:val="00DF3B58"/>
    <w:rsid w:val="00DF3B8B"/>
    <w:rsid w:val="00DF3D23"/>
    <w:rsid w:val="00DF407A"/>
    <w:rsid w:val="00DF42E1"/>
    <w:rsid w:val="00DF463E"/>
    <w:rsid w:val="00DF465E"/>
    <w:rsid w:val="00DF46B5"/>
    <w:rsid w:val="00DF497B"/>
    <w:rsid w:val="00DF5385"/>
    <w:rsid w:val="00DF6278"/>
    <w:rsid w:val="00DF64E6"/>
    <w:rsid w:val="00DF6599"/>
    <w:rsid w:val="00DF65BF"/>
    <w:rsid w:val="00DF6622"/>
    <w:rsid w:val="00DF66B3"/>
    <w:rsid w:val="00DF66F0"/>
    <w:rsid w:val="00DF6CD0"/>
    <w:rsid w:val="00DF6E40"/>
    <w:rsid w:val="00DF6EDA"/>
    <w:rsid w:val="00DF6F3B"/>
    <w:rsid w:val="00DF708D"/>
    <w:rsid w:val="00DF77E1"/>
    <w:rsid w:val="00DF7877"/>
    <w:rsid w:val="00DF792C"/>
    <w:rsid w:val="00DF7A0B"/>
    <w:rsid w:val="00E00107"/>
    <w:rsid w:val="00E0019E"/>
    <w:rsid w:val="00E001EA"/>
    <w:rsid w:val="00E006D9"/>
    <w:rsid w:val="00E009FA"/>
    <w:rsid w:val="00E00EF3"/>
    <w:rsid w:val="00E00F38"/>
    <w:rsid w:val="00E010CC"/>
    <w:rsid w:val="00E01276"/>
    <w:rsid w:val="00E01443"/>
    <w:rsid w:val="00E0190D"/>
    <w:rsid w:val="00E0196F"/>
    <w:rsid w:val="00E01D22"/>
    <w:rsid w:val="00E01E4B"/>
    <w:rsid w:val="00E01ED8"/>
    <w:rsid w:val="00E01FB5"/>
    <w:rsid w:val="00E02081"/>
    <w:rsid w:val="00E02274"/>
    <w:rsid w:val="00E02392"/>
    <w:rsid w:val="00E024D5"/>
    <w:rsid w:val="00E02BB2"/>
    <w:rsid w:val="00E02E6F"/>
    <w:rsid w:val="00E035AC"/>
    <w:rsid w:val="00E036CF"/>
    <w:rsid w:val="00E03B0F"/>
    <w:rsid w:val="00E03D43"/>
    <w:rsid w:val="00E041FD"/>
    <w:rsid w:val="00E0453E"/>
    <w:rsid w:val="00E045EE"/>
    <w:rsid w:val="00E0472B"/>
    <w:rsid w:val="00E0473B"/>
    <w:rsid w:val="00E0481D"/>
    <w:rsid w:val="00E04969"/>
    <w:rsid w:val="00E04980"/>
    <w:rsid w:val="00E04BE5"/>
    <w:rsid w:val="00E04DF1"/>
    <w:rsid w:val="00E06A3B"/>
    <w:rsid w:val="00E0714B"/>
    <w:rsid w:val="00E074B0"/>
    <w:rsid w:val="00E0758D"/>
    <w:rsid w:val="00E07BA9"/>
    <w:rsid w:val="00E10719"/>
    <w:rsid w:val="00E10BA2"/>
    <w:rsid w:val="00E10FC7"/>
    <w:rsid w:val="00E11AE9"/>
    <w:rsid w:val="00E11D4A"/>
    <w:rsid w:val="00E11D8A"/>
    <w:rsid w:val="00E11FFB"/>
    <w:rsid w:val="00E12845"/>
    <w:rsid w:val="00E133EA"/>
    <w:rsid w:val="00E1347B"/>
    <w:rsid w:val="00E13576"/>
    <w:rsid w:val="00E135B1"/>
    <w:rsid w:val="00E139A1"/>
    <w:rsid w:val="00E13BFF"/>
    <w:rsid w:val="00E13E55"/>
    <w:rsid w:val="00E141AA"/>
    <w:rsid w:val="00E1428C"/>
    <w:rsid w:val="00E145F1"/>
    <w:rsid w:val="00E14614"/>
    <w:rsid w:val="00E152E9"/>
    <w:rsid w:val="00E157BD"/>
    <w:rsid w:val="00E164C9"/>
    <w:rsid w:val="00E169C4"/>
    <w:rsid w:val="00E16A94"/>
    <w:rsid w:val="00E16AFD"/>
    <w:rsid w:val="00E16C87"/>
    <w:rsid w:val="00E16D06"/>
    <w:rsid w:val="00E16D60"/>
    <w:rsid w:val="00E17197"/>
    <w:rsid w:val="00E17377"/>
    <w:rsid w:val="00E20022"/>
    <w:rsid w:val="00E2029E"/>
    <w:rsid w:val="00E202A5"/>
    <w:rsid w:val="00E20667"/>
    <w:rsid w:val="00E20760"/>
    <w:rsid w:val="00E208DA"/>
    <w:rsid w:val="00E20C5B"/>
    <w:rsid w:val="00E20D5D"/>
    <w:rsid w:val="00E2108E"/>
    <w:rsid w:val="00E21342"/>
    <w:rsid w:val="00E21704"/>
    <w:rsid w:val="00E21A41"/>
    <w:rsid w:val="00E21A72"/>
    <w:rsid w:val="00E21D99"/>
    <w:rsid w:val="00E21DDA"/>
    <w:rsid w:val="00E220A3"/>
    <w:rsid w:val="00E221F4"/>
    <w:rsid w:val="00E221F5"/>
    <w:rsid w:val="00E22B5B"/>
    <w:rsid w:val="00E2369E"/>
    <w:rsid w:val="00E236EE"/>
    <w:rsid w:val="00E23BE3"/>
    <w:rsid w:val="00E23C23"/>
    <w:rsid w:val="00E23C2C"/>
    <w:rsid w:val="00E23F9A"/>
    <w:rsid w:val="00E241A6"/>
    <w:rsid w:val="00E24438"/>
    <w:rsid w:val="00E2462A"/>
    <w:rsid w:val="00E2468C"/>
    <w:rsid w:val="00E246B8"/>
    <w:rsid w:val="00E24D02"/>
    <w:rsid w:val="00E25190"/>
    <w:rsid w:val="00E253CA"/>
    <w:rsid w:val="00E25432"/>
    <w:rsid w:val="00E257D9"/>
    <w:rsid w:val="00E25A12"/>
    <w:rsid w:val="00E2606C"/>
    <w:rsid w:val="00E26322"/>
    <w:rsid w:val="00E26406"/>
    <w:rsid w:val="00E26573"/>
    <w:rsid w:val="00E26576"/>
    <w:rsid w:val="00E26911"/>
    <w:rsid w:val="00E271BF"/>
    <w:rsid w:val="00E27623"/>
    <w:rsid w:val="00E27657"/>
    <w:rsid w:val="00E27BAF"/>
    <w:rsid w:val="00E27BB8"/>
    <w:rsid w:val="00E27C58"/>
    <w:rsid w:val="00E27D54"/>
    <w:rsid w:val="00E30C60"/>
    <w:rsid w:val="00E32061"/>
    <w:rsid w:val="00E320AE"/>
    <w:rsid w:val="00E322FE"/>
    <w:rsid w:val="00E3251E"/>
    <w:rsid w:val="00E3261E"/>
    <w:rsid w:val="00E3264A"/>
    <w:rsid w:val="00E32682"/>
    <w:rsid w:val="00E32D84"/>
    <w:rsid w:val="00E32FF0"/>
    <w:rsid w:val="00E33045"/>
    <w:rsid w:val="00E33180"/>
    <w:rsid w:val="00E33198"/>
    <w:rsid w:val="00E33949"/>
    <w:rsid w:val="00E34131"/>
    <w:rsid w:val="00E34375"/>
    <w:rsid w:val="00E34B08"/>
    <w:rsid w:val="00E34DF2"/>
    <w:rsid w:val="00E35022"/>
    <w:rsid w:val="00E353DA"/>
    <w:rsid w:val="00E35510"/>
    <w:rsid w:val="00E357CE"/>
    <w:rsid w:val="00E35B0F"/>
    <w:rsid w:val="00E36FCE"/>
    <w:rsid w:val="00E37E45"/>
    <w:rsid w:val="00E37F38"/>
    <w:rsid w:val="00E405D8"/>
    <w:rsid w:val="00E40A43"/>
    <w:rsid w:val="00E4131F"/>
    <w:rsid w:val="00E413F9"/>
    <w:rsid w:val="00E4199D"/>
    <w:rsid w:val="00E41E09"/>
    <w:rsid w:val="00E42377"/>
    <w:rsid w:val="00E424E0"/>
    <w:rsid w:val="00E42615"/>
    <w:rsid w:val="00E42849"/>
    <w:rsid w:val="00E429C0"/>
    <w:rsid w:val="00E429DC"/>
    <w:rsid w:val="00E42E8F"/>
    <w:rsid w:val="00E42F70"/>
    <w:rsid w:val="00E4320A"/>
    <w:rsid w:val="00E43535"/>
    <w:rsid w:val="00E4371F"/>
    <w:rsid w:val="00E4418B"/>
    <w:rsid w:val="00E443F7"/>
    <w:rsid w:val="00E4446B"/>
    <w:rsid w:val="00E44718"/>
    <w:rsid w:val="00E4474A"/>
    <w:rsid w:val="00E44D15"/>
    <w:rsid w:val="00E4533B"/>
    <w:rsid w:val="00E45514"/>
    <w:rsid w:val="00E4552E"/>
    <w:rsid w:val="00E45A3B"/>
    <w:rsid w:val="00E45B14"/>
    <w:rsid w:val="00E45BC2"/>
    <w:rsid w:val="00E45BDE"/>
    <w:rsid w:val="00E45E7D"/>
    <w:rsid w:val="00E45E8D"/>
    <w:rsid w:val="00E4601C"/>
    <w:rsid w:val="00E4602E"/>
    <w:rsid w:val="00E460B3"/>
    <w:rsid w:val="00E4663B"/>
    <w:rsid w:val="00E46730"/>
    <w:rsid w:val="00E4674F"/>
    <w:rsid w:val="00E4680C"/>
    <w:rsid w:val="00E46A1D"/>
    <w:rsid w:val="00E46B0C"/>
    <w:rsid w:val="00E46B3E"/>
    <w:rsid w:val="00E46E3E"/>
    <w:rsid w:val="00E47178"/>
    <w:rsid w:val="00E47CFB"/>
    <w:rsid w:val="00E47D49"/>
    <w:rsid w:val="00E50072"/>
    <w:rsid w:val="00E5019A"/>
    <w:rsid w:val="00E50731"/>
    <w:rsid w:val="00E51039"/>
    <w:rsid w:val="00E511D1"/>
    <w:rsid w:val="00E516DF"/>
    <w:rsid w:val="00E5199E"/>
    <w:rsid w:val="00E51BA5"/>
    <w:rsid w:val="00E51E75"/>
    <w:rsid w:val="00E5289B"/>
    <w:rsid w:val="00E53149"/>
    <w:rsid w:val="00E531FD"/>
    <w:rsid w:val="00E535E9"/>
    <w:rsid w:val="00E536AA"/>
    <w:rsid w:val="00E548CE"/>
    <w:rsid w:val="00E54950"/>
    <w:rsid w:val="00E54A87"/>
    <w:rsid w:val="00E54F5D"/>
    <w:rsid w:val="00E5519F"/>
    <w:rsid w:val="00E55A8E"/>
    <w:rsid w:val="00E55B59"/>
    <w:rsid w:val="00E55CAF"/>
    <w:rsid w:val="00E55DDE"/>
    <w:rsid w:val="00E56374"/>
    <w:rsid w:val="00E56650"/>
    <w:rsid w:val="00E56D97"/>
    <w:rsid w:val="00E56FEF"/>
    <w:rsid w:val="00E571F0"/>
    <w:rsid w:val="00E57245"/>
    <w:rsid w:val="00E57BA6"/>
    <w:rsid w:val="00E57CCA"/>
    <w:rsid w:val="00E57EC3"/>
    <w:rsid w:val="00E6071D"/>
    <w:rsid w:val="00E60832"/>
    <w:rsid w:val="00E60C9B"/>
    <w:rsid w:val="00E61686"/>
    <w:rsid w:val="00E62031"/>
    <w:rsid w:val="00E627AF"/>
    <w:rsid w:val="00E62C7E"/>
    <w:rsid w:val="00E62D69"/>
    <w:rsid w:val="00E62DB7"/>
    <w:rsid w:val="00E63E2D"/>
    <w:rsid w:val="00E6416A"/>
    <w:rsid w:val="00E64423"/>
    <w:rsid w:val="00E64ED6"/>
    <w:rsid w:val="00E650E5"/>
    <w:rsid w:val="00E651A0"/>
    <w:rsid w:val="00E6520C"/>
    <w:rsid w:val="00E65BED"/>
    <w:rsid w:val="00E664BA"/>
    <w:rsid w:val="00E66593"/>
    <w:rsid w:val="00E66B33"/>
    <w:rsid w:val="00E66C55"/>
    <w:rsid w:val="00E66FFD"/>
    <w:rsid w:val="00E6738C"/>
    <w:rsid w:val="00E67395"/>
    <w:rsid w:val="00E67544"/>
    <w:rsid w:val="00E675A4"/>
    <w:rsid w:val="00E67DA4"/>
    <w:rsid w:val="00E67FDC"/>
    <w:rsid w:val="00E7063E"/>
    <w:rsid w:val="00E70784"/>
    <w:rsid w:val="00E70F49"/>
    <w:rsid w:val="00E70F69"/>
    <w:rsid w:val="00E71881"/>
    <w:rsid w:val="00E71E86"/>
    <w:rsid w:val="00E71FB2"/>
    <w:rsid w:val="00E72291"/>
    <w:rsid w:val="00E72394"/>
    <w:rsid w:val="00E725BD"/>
    <w:rsid w:val="00E726C6"/>
    <w:rsid w:val="00E72D76"/>
    <w:rsid w:val="00E72E25"/>
    <w:rsid w:val="00E73054"/>
    <w:rsid w:val="00E735F8"/>
    <w:rsid w:val="00E7370A"/>
    <w:rsid w:val="00E742D7"/>
    <w:rsid w:val="00E744C2"/>
    <w:rsid w:val="00E74956"/>
    <w:rsid w:val="00E74F0A"/>
    <w:rsid w:val="00E75030"/>
    <w:rsid w:val="00E751F6"/>
    <w:rsid w:val="00E75AC1"/>
    <w:rsid w:val="00E75E8B"/>
    <w:rsid w:val="00E75FAC"/>
    <w:rsid w:val="00E763AF"/>
    <w:rsid w:val="00E76BDC"/>
    <w:rsid w:val="00E77557"/>
    <w:rsid w:val="00E77676"/>
    <w:rsid w:val="00E77B5D"/>
    <w:rsid w:val="00E77BDC"/>
    <w:rsid w:val="00E8021D"/>
    <w:rsid w:val="00E81720"/>
    <w:rsid w:val="00E8176A"/>
    <w:rsid w:val="00E8199C"/>
    <w:rsid w:val="00E8206F"/>
    <w:rsid w:val="00E82611"/>
    <w:rsid w:val="00E82793"/>
    <w:rsid w:val="00E827F5"/>
    <w:rsid w:val="00E82D4C"/>
    <w:rsid w:val="00E83196"/>
    <w:rsid w:val="00E83632"/>
    <w:rsid w:val="00E83B0A"/>
    <w:rsid w:val="00E83B74"/>
    <w:rsid w:val="00E84CF9"/>
    <w:rsid w:val="00E85CF8"/>
    <w:rsid w:val="00E8661C"/>
    <w:rsid w:val="00E869F3"/>
    <w:rsid w:val="00E86EE9"/>
    <w:rsid w:val="00E87456"/>
    <w:rsid w:val="00E9001E"/>
    <w:rsid w:val="00E90153"/>
    <w:rsid w:val="00E902C3"/>
    <w:rsid w:val="00E90825"/>
    <w:rsid w:val="00E909AA"/>
    <w:rsid w:val="00E90B0D"/>
    <w:rsid w:val="00E91578"/>
    <w:rsid w:val="00E917AC"/>
    <w:rsid w:val="00E91828"/>
    <w:rsid w:val="00E91F0E"/>
    <w:rsid w:val="00E92948"/>
    <w:rsid w:val="00E92F42"/>
    <w:rsid w:val="00E930BB"/>
    <w:rsid w:val="00E930D4"/>
    <w:rsid w:val="00E93312"/>
    <w:rsid w:val="00E9335C"/>
    <w:rsid w:val="00E9377C"/>
    <w:rsid w:val="00E937A6"/>
    <w:rsid w:val="00E93868"/>
    <w:rsid w:val="00E93BBE"/>
    <w:rsid w:val="00E94ACE"/>
    <w:rsid w:val="00E94ADC"/>
    <w:rsid w:val="00E94B75"/>
    <w:rsid w:val="00E94C03"/>
    <w:rsid w:val="00E95F53"/>
    <w:rsid w:val="00E96157"/>
    <w:rsid w:val="00E964CA"/>
    <w:rsid w:val="00E9673F"/>
    <w:rsid w:val="00E967BD"/>
    <w:rsid w:val="00E968F3"/>
    <w:rsid w:val="00E96B73"/>
    <w:rsid w:val="00E96CAB"/>
    <w:rsid w:val="00E96CC4"/>
    <w:rsid w:val="00E96FCB"/>
    <w:rsid w:val="00E9753E"/>
    <w:rsid w:val="00E975AF"/>
    <w:rsid w:val="00E9772F"/>
    <w:rsid w:val="00E97E9C"/>
    <w:rsid w:val="00E97EB7"/>
    <w:rsid w:val="00EA0045"/>
    <w:rsid w:val="00EA0124"/>
    <w:rsid w:val="00EA02DA"/>
    <w:rsid w:val="00EA0326"/>
    <w:rsid w:val="00EA0477"/>
    <w:rsid w:val="00EA097D"/>
    <w:rsid w:val="00EA0B65"/>
    <w:rsid w:val="00EA0BBD"/>
    <w:rsid w:val="00EA0E55"/>
    <w:rsid w:val="00EA0F36"/>
    <w:rsid w:val="00EA124B"/>
    <w:rsid w:val="00EA1346"/>
    <w:rsid w:val="00EA14DE"/>
    <w:rsid w:val="00EA1EDA"/>
    <w:rsid w:val="00EA1F8D"/>
    <w:rsid w:val="00EA21BF"/>
    <w:rsid w:val="00EA21D8"/>
    <w:rsid w:val="00EA27EF"/>
    <w:rsid w:val="00EA306F"/>
    <w:rsid w:val="00EA3325"/>
    <w:rsid w:val="00EA3C39"/>
    <w:rsid w:val="00EA3F03"/>
    <w:rsid w:val="00EA3FCC"/>
    <w:rsid w:val="00EA4331"/>
    <w:rsid w:val="00EA46AB"/>
    <w:rsid w:val="00EA4809"/>
    <w:rsid w:val="00EA577F"/>
    <w:rsid w:val="00EA5875"/>
    <w:rsid w:val="00EA5A20"/>
    <w:rsid w:val="00EA5E5C"/>
    <w:rsid w:val="00EA6022"/>
    <w:rsid w:val="00EA6050"/>
    <w:rsid w:val="00EA6078"/>
    <w:rsid w:val="00EA6408"/>
    <w:rsid w:val="00EA6C54"/>
    <w:rsid w:val="00EA6D04"/>
    <w:rsid w:val="00EA6F28"/>
    <w:rsid w:val="00EA6F2A"/>
    <w:rsid w:val="00EA6F39"/>
    <w:rsid w:val="00EA7413"/>
    <w:rsid w:val="00EA748E"/>
    <w:rsid w:val="00EA7560"/>
    <w:rsid w:val="00EA771C"/>
    <w:rsid w:val="00EA7AD7"/>
    <w:rsid w:val="00EA7B85"/>
    <w:rsid w:val="00EA7BF4"/>
    <w:rsid w:val="00EB0D4E"/>
    <w:rsid w:val="00EB0E21"/>
    <w:rsid w:val="00EB10F9"/>
    <w:rsid w:val="00EB118A"/>
    <w:rsid w:val="00EB1260"/>
    <w:rsid w:val="00EB159C"/>
    <w:rsid w:val="00EB1947"/>
    <w:rsid w:val="00EB198D"/>
    <w:rsid w:val="00EB1A71"/>
    <w:rsid w:val="00EB1FF7"/>
    <w:rsid w:val="00EB2373"/>
    <w:rsid w:val="00EB2400"/>
    <w:rsid w:val="00EB2591"/>
    <w:rsid w:val="00EB2B2C"/>
    <w:rsid w:val="00EB2BD8"/>
    <w:rsid w:val="00EB2E60"/>
    <w:rsid w:val="00EB3D32"/>
    <w:rsid w:val="00EB3F6B"/>
    <w:rsid w:val="00EB4B27"/>
    <w:rsid w:val="00EB5507"/>
    <w:rsid w:val="00EB5647"/>
    <w:rsid w:val="00EB57FB"/>
    <w:rsid w:val="00EB5ACA"/>
    <w:rsid w:val="00EB5C4A"/>
    <w:rsid w:val="00EB5CF6"/>
    <w:rsid w:val="00EB5D30"/>
    <w:rsid w:val="00EB6267"/>
    <w:rsid w:val="00EB6648"/>
    <w:rsid w:val="00EB6963"/>
    <w:rsid w:val="00EB6A9C"/>
    <w:rsid w:val="00EB7068"/>
    <w:rsid w:val="00EB733E"/>
    <w:rsid w:val="00EB73F3"/>
    <w:rsid w:val="00EB7A7E"/>
    <w:rsid w:val="00EB7AFE"/>
    <w:rsid w:val="00EB7BC0"/>
    <w:rsid w:val="00EB7D49"/>
    <w:rsid w:val="00EB7FB0"/>
    <w:rsid w:val="00EB7FEC"/>
    <w:rsid w:val="00EC025D"/>
    <w:rsid w:val="00EC0637"/>
    <w:rsid w:val="00EC065B"/>
    <w:rsid w:val="00EC073C"/>
    <w:rsid w:val="00EC0A28"/>
    <w:rsid w:val="00EC0AEB"/>
    <w:rsid w:val="00EC121E"/>
    <w:rsid w:val="00EC18FA"/>
    <w:rsid w:val="00EC1A14"/>
    <w:rsid w:val="00EC20CF"/>
    <w:rsid w:val="00EC21FA"/>
    <w:rsid w:val="00EC2340"/>
    <w:rsid w:val="00EC24FE"/>
    <w:rsid w:val="00EC2A32"/>
    <w:rsid w:val="00EC2D34"/>
    <w:rsid w:val="00EC39A9"/>
    <w:rsid w:val="00EC3C41"/>
    <w:rsid w:val="00EC3C77"/>
    <w:rsid w:val="00EC3DAD"/>
    <w:rsid w:val="00EC3FF0"/>
    <w:rsid w:val="00EC403F"/>
    <w:rsid w:val="00EC44A4"/>
    <w:rsid w:val="00EC4509"/>
    <w:rsid w:val="00EC4A93"/>
    <w:rsid w:val="00EC4BBC"/>
    <w:rsid w:val="00EC4C0B"/>
    <w:rsid w:val="00EC4FE4"/>
    <w:rsid w:val="00EC5847"/>
    <w:rsid w:val="00EC58BF"/>
    <w:rsid w:val="00EC613C"/>
    <w:rsid w:val="00EC6631"/>
    <w:rsid w:val="00EC6692"/>
    <w:rsid w:val="00EC6AED"/>
    <w:rsid w:val="00EC6C5A"/>
    <w:rsid w:val="00EC6E21"/>
    <w:rsid w:val="00EC6E25"/>
    <w:rsid w:val="00EC6E50"/>
    <w:rsid w:val="00EC6FFC"/>
    <w:rsid w:val="00EC726D"/>
    <w:rsid w:val="00EC7E58"/>
    <w:rsid w:val="00ED01F9"/>
    <w:rsid w:val="00ED0C3A"/>
    <w:rsid w:val="00ED0FD9"/>
    <w:rsid w:val="00ED1042"/>
    <w:rsid w:val="00ED10A3"/>
    <w:rsid w:val="00ED1177"/>
    <w:rsid w:val="00ED1633"/>
    <w:rsid w:val="00ED168F"/>
    <w:rsid w:val="00ED1862"/>
    <w:rsid w:val="00ED1953"/>
    <w:rsid w:val="00ED1B92"/>
    <w:rsid w:val="00ED1EA7"/>
    <w:rsid w:val="00ED1F3B"/>
    <w:rsid w:val="00ED2446"/>
    <w:rsid w:val="00ED253E"/>
    <w:rsid w:val="00ED2B47"/>
    <w:rsid w:val="00ED2C01"/>
    <w:rsid w:val="00ED2C31"/>
    <w:rsid w:val="00ED2C7C"/>
    <w:rsid w:val="00ED2D25"/>
    <w:rsid w:val="00ED2D59"/>
    <w:rsid w:val="00ED2D90"/>
    <w:rsid w:val="00ED3087"/>
    <w:rsid w:val="00ED3571"/>
    <w:rsid w:val="00ED3802"/>
    <w:rsid w:val="00ED3BA7"/>
    <w:rsid w:val="00ED417E"/>
    <w:rsid w:val="00ED4357"/>
    <w:rsid w:val="00ED4417"/>
    <w:rsid w:val="00ED4661"/>
    <w:rsid w:val="00ED475D"/>
    <w:rsid w:val="00ED4E3D"/>
    <w:rsid w:val="00ED4E49"/>
    <w:rsid w:val="00ED52C6"/>
    <w:rsid w:val="00ED5578"/>
    <w:rsid w:val="00ED55C9"/>
    <w:rsid w:val="00ED5C61"/>
    <w:rsid w:val="00ED5D9A"/>
    <w:rsid w:val="00ED5DB0"/>
    <w:rsid w:val="00ED5E2C"/>
    <w:rsid w:val="00ED5EFC"/>
    <w:rsid w:val="00ED663B"/>
    <w:rsid w:val="00ED669D"/>
    <w:rsid w:val="00ED66F7"/>
    <w:rsid w:val="00ED6712"/>
    <w:rsid w:val="00ED6E5E"/>
    <w:rsid w:val="00ED71B6"/>
    <w:rsid w:val="00ED7754"/>
    <w:rsid w:val="00ED7839"/>
    <w:rsid w:val="00ED7EC4"/>
    <w:rsid w:val="00ED7F5B"/>
    <w:rsid w:val="00EE0177"/>
    <w:rsid w:val="00EE0363"/>
    <w:rsid w:val="00EE08ED"/>
    <w:rsid w:val="00EE0AE6"/>
    <w:rsid w:val="00EE0DB7"/>
    <w:rsid w:val="00EE0E7C"/>
    <w:rsid w:val="00EE12F3"/>
    <w:rsid w:val="00EE141B"/>
    <w:rsid w:val="00EE14B3"/>
    <w:rsid w:val="00EE14C4"/>
    <w:rsid w:val="00EE1B89"/>
    <w:rsid w:val="00EE2412"/>
    <w:rsid w:val="00EE2558"/>
    <w:rsid w:val="00EE2642"/>
    <w:rsid w:val="00EE27BC"/>
    <w:rsid w:val="00EE334F"/>
    <w:rsid w:val="00EE369B"/>
    <w:rsid w:val="00EE3F16"/>
    <w:rsid w:val="00EE4026"/>
    <w:rsid w:val="00EE42C6"/>
    <w:rsid w:val="00EE4522"/>
    <w:rsid w:val="00EE4DD2"/>
    <w:rsid w:val="00EE4EAE"/>
    <w:rsid w:val="00EE5152"/>
    <w:rsid w:val="00EE5312"/>
    <w:rsid w:val="00EE5D45"/>
    <w:rsid w:val="00EE5E4F"/>
    <w:rsid w:val="00EE60A9"/>
    <w:rsid w:val="00EE61F5"/>
    <w:rsid w:val="00EE666E"/>
    <w:rsid w:val="00EE6ABF"/>
    <w:rsid w:val="00EE6B22"/>
    <w:rsid w:val="00EE6B60"/>
    <w:rsid w:val="00EE6EBD"/>
    <w:rsid w:val="00EE6F36"/>
    <w:rsid w:val="00EE7481"/>
    <w:rsid w:val="00EE7541"/>
    <w:rsid w:val="00EE7CA1"/>
    <w:rsid w:val="00EF003F"/>
    <w:rsid w:val="00EF02DC"/>
    <w:rsid w:val="00EF0D80"/>
    <w:rsid w:val="00EF1072"/>
    <w:rsid w:val="00EF1273"/>
    <w:rsid w:val="00EF13D6"/>
    <w:rsid w:val="00EF17B1"/>
    <w:rsid w:val="00EF1A2C"/>
    <w:rsid w:val="00EF1AFC"/>
    <w:rsid w:val="00EF1DBC"/>
    <w:rsid w:val="00EF2E12"/>
    <w:rsid w:val="00EF2FA3"/>
    <w:rsid w:val="00EF3231"/>
    <w:rsid w:val="00EF32C0"/>
    <w:rsid w:val="00EF3453"/>
    <w:rsid w:val="00EF388F"/>
    <w:rsid w:val="00EF38C7"/>
    <w:rsid w:val="00EF39A7"/>
    <w:rsid w:val="00EF3A68"/>
    <w:rsid w:val="00EF3B87"/>
    <w:rsid w:val="00EF3D62"/>
    <w:rsid w:val="00EF3DE1"/>
    <w:rsid w:val="00EF465A"/>
    <w:rsid w:val="00EF475F"/>
    <w:rsid w:val="00EF4A2C"/>
    <w:rsid w:val="00EF4B31"/>
    <w:rsid w:val="00EF50B8"/>
    <w:rsid w:val="00EF522F"/>
    <w:rsid w:val="00EF52F2"/>
    <w:rsid w:val="00EF555D"/>
    <w:rsid w:val="00EF56D9"/>
    <w:rsid w:val="00EF5901"/>
    <w:rsid w:val="00EF5B45"/>
    <w:rsid w:val="00EF647D"/>
    <w:rsid w:val="00EF6AF0"/>
    <w:rsid w:val="00EF6BB9"/>
    <w:rsid w:val="00EF6C34"/>
    <w:rsid w:val="00EF6C5D"/>
    <w:rsid w:val="00EF70BF"/>
    <w:rsid w:val="00EF7172"/>
    <w:rsid w:val="00EF731B"/>
    <w:rsid w:val="00EF78C0"/>
    <w:rsid w:val="00EF7A21"/>
    <w:rsid w:val="00EF7C1E"/>
    <w:rsid w:val="00F000A6"/>
    <w:rsid w:val="00F002A8"/>
    <w:rsid w:val="00F0035D"/>
    <w:rsid w:val="00F009B1"/>
    <w:rsid w:val="00F00C8D"/>
    <w:rsid w:val="00F01353"/>
    <w:rsid w:val="00F0150C"/>
    <w:rsid w:val="00F01890"/>
    <w:rsid w:val="00F02065"/>
    <w:rsid w:val="00F0207E"/>
    <w:rsid w:val="00F02712"/>
    <w:rsid w:val="00F0278C"/>
    <w:rsid w:val="00F027C4"/>
    <w:rsid w:val="00F02AEC"/>
    <w:rsid w:val="00F035CB"/>
    <w:rsid w:val="00F0370A"/>
    <w:rsid w:val="00F039B6"/>
    <w:rsid w:val="00F04075"/>
    <w:rsid w:val="00F0471F"/>
    <w:rsid w:val="00F047C8"/>
    <w:rsid w:val="00F04EBC"/>
    <w:rsid w:val="00F04F5F"/>
    <w:rsid w:val="00F05386"/>
    <w:rsid w:val="00F05601"/>
    <w:rsid w:val="00F05D18"/>
    <w:rsid w:val="00F06261"/>
    <w:rsid w:val="00F0630D"/>
    <w:rsid w:val="00F06943"/>
    <w:rsid w:val="00F069DA"/>
    <w:rsid w:val="00F06EE8"/>
    <w:rsid w:val="00F0718C"/>
    <w:rsid w:val="00F076DD"/>
    <w:rsid w:val="00F07F54"/>
    <w:rsid w:val="00F100C5"/>
    <w:rsid w:val="00F10CA0"/>
    <w:rsid w:val="00F116A3"/>
    <w:rsid w:val="00F116BC"/>
    <w:rsid w:val="00F1196C"/>
    <w:rsid w:val="00F11B6C"/>
    <w:rsid w:val="00F122D2"/>
    <w:rsid w:val="00F1254E"/>
    <w:rsid w:val="00F12751"/>
    <w:rsid w:val="00F12931"/>
    <w:rsid w:val="00F12AC3"/>
    <w:rsid w:val="00F12C83"/>
    <w:rsid w:val="00F1345D"/>
    <w:rsid w:val="00F13704"/>
    <w:rsid w:val="00F1390A"/>
    <w:rsid w:val="00F13915"/>
    <w:rsid w:val="00F14839"/>
    <w:rsid w:val="00F14952"/>
    <w:rsid w:val="00F14D88"/>
    <w:rsid w:val="00F14D8F"/>
    <w:rsid w:val="00F1582E"/>
    <w:rsid w:val="00F15AC8"/>
    <w:rsid w:val="00F15C45"/>
    <w:rsid w:val="00F15F4C"/>
    <w:rsid w:val="00F16326"/>
    <w:rsid w:val="00F16532"/>
    <w:rsid w:val="00F16740"/>
    <w:rsid w:val="00F1676C"/>
    <w:rsid w:val="00F16A7E"/>
    <w:rsid w:val="00F173FE"/>
    <w:rsid w:val="00F17418"/>
    <w:rsid w:val="00F1741D"/>
    <w:rsid w:val="00F1761E"/>
    <w:rsid w:val="00F17AB2"/>
    <w:rsid w:val="00F20208"/>
    <w:rsid w:val="00F2026D"/>
    <w:rsid w:val="00F204D9"/>
    <w:rsid w:val="00F21913"/>
    <w:rsid w:val="00F21EDE"/>
    <w:rsid w:val="00F220F3"/>
    <w:rsid w:val="00F222FE"/>
    <w:rsid w:val="00F22F90"/>
    <w:rsid w:val="00F23E37"/>
    <w:rsid w:val="00F23EB4"/>
    <w:rsid w:val="00F24236"/>
    <w:rsid w:val="00F244E7"/>
    <w:rsid w:val="00F24511"/>
    <w:rsid w:val="00F24B84"/>
    <w:rsid w:val="00F25184"/>
    <w:rsid w:val="00F254D7"/>
    <w:rsid w:val="00F25CEA"/>
    <w:rsid w:val="00F265FE"/>
    <w:rsid w:val="00F2689D"/>
    <w:rsid w:val="00F26B01"/>
    <w:rsid w:val="00F279B8"/>
    <w:rsid w:val="00F27A55"/>
    <w:rsid w:val="00F30CD3"/>
    <w:rsid w:val="00F3156D"/>
    <w:rsid w:val="00F31866"/>
    <w:rsid w:val="00F31924"/>
    <w:rsid w:val="00F31967"/>
    <w:rsid w:val="00F31B62"/>
    <w:rsid w:val="00F31DBF"/>
    <w:rsid w:val="00F320F0"/>
    <w:rsid w:val="00F3267B"/>
    <w:rsid w:val="00F326F1"/>
    <w:rsid w:val="00F32810"/>
    <w:rsid w:val="00F32ADD"/>
    <w:rsid w:val="00F32C61"/>
    <w:rsid w:val="00F33161"/>
    <w:rsid w:val="00F33542"/>
    <w:rsid w:val="00F3374C"/>
    <w:rsid w:val="00F338BF"/>
    <w:rsid w:val="00F338E1"/>
    <w:rsid w:val="00F33932"/>
    <w:rsid w:val="00F33A93"/>
    <w:rsid w:val="00F34070"/>
    <w:rsid w:val="00F34246"/>
    <w:rsid w:val="00F34517"/>
    <w:rsid w:val="00F345BA"/>
    <w:rsid w:val="00F34E8E"/>
    <w:rsid w:val="00F34EBC"/>
    <w:rsid w:val="00F35178"/>
    <w:rsid w:val="00F351E2"/>
    <w:rsid w:val="00F35631"/>
    <w:rsid w:val="00F3576A"/>
    <w:rsid w:val="00F35A81"/>
    <w:rsid w:val="00F35B41"/>
    <w:rsid w:val="00F35D1F"/>
    <w:rsid w:val="00F35DDF"/>
    <w:rsid w:val="00F360EE"/>
    <w:rsid w:val="00F3615B"/>
    <w:rsid w:val="00F362EF"/>
    <w:rsid w:val="00F36E2D"/>
    <w:rsid w:val="00F37A5F"/>
    <w:rsid w:val="00F400EF"/>
    <w:rsid w:val="00F4021F"/>
    <w:rsid w:val="00F402B3"/>
    <w:rsid w:val="00F402CA"/>
    <w:rsid w:val="00F4042F"/>
    <w:rsid w:val="00F4079F"/>
    <w:rsid w:val="00F407EA"/>
    <w:rsid w:val="00F408A7"/>
    <w:rsid w:val="00F40CC5"/>
    <w:rsid w:val="00F41034"/>
    <w:rsid w:val="00F41157"/>
    <w:rsid w:val="00F4121F"/>
    <w:rsid w:val="00F4134F"/>
    <w:rsid w:val="00F416EB"/>
    <w:rsid w:val="00F41C23"/>
    <w:rsid w:val="00F42108"/>
    <w:rsid w:val="00F427E6"/>
    <w:rsid w:val="00F42ADE"/>
    <w:rsid w:val="00F43623"/>
    <w:rsid w:val="00F437DF"/>
    <w:rsid w:val="00F4394D"/>
    <w:rsid w:val="00F43AB4"/>
    <w:rsid w:val="00F43F1A"/>
    <w:rsid w:val="00F44048"/>
    <w:rsid w:val="00F442EF"/>
    <w:rsid w:val="00F4437F"/>
    <w:rsid w:val="00F44BE1"/>
    <w:rsid w:val="00F44D86"/>
    <w:rsid w:val="00F45059"/>
    <w:rsid w:val="00F451F8"/>
    <w:rsid w:val="00F45291"/>
    <w:rsid w:val="00F452F6"/>
    <w:rsid w:val="00F45871"/>
    <w:rsid w:val="00F45AF0"/>
    <w:rsid w:val="00F45CB8"/>
    <w:rsid w:val="00F45DDE"/>
    <w:rsid w:val="00F46B1B"/>
    <w:rsid w:val="00F46B3D"/>
    <w:rsid w:val="00F47400"/>
    <w:rsid w:val="00F47478"/>
    <w:rsid w:val="00F47777"/>
    <w:rsid w:val="00F5082F"/>
    <w:rsid w:val="00F50904"/>
    <w:rsid w:val="00F50CED"/>
    <w:rsid w:val="00F50FE1"/>
    <w:rsid w:val="00F51436"/>
    <w:rsid w:val="00F514FA"/>
    <w:rsid w:val="00F51E27"/>
    <w:rsid w:val="00F52066"/>
    <w:rsid w:val="00F520E7"/>
    <w:rsid w:val="00F52193"/>
    <w:rsid w:val="00F5246B"/>
    <w:rsid w:val="00F527C9"/>
    <w:rsid w:val="00F528C4"/>
    <w:rsid w:val="00F52931"/>
    <w:rsid w:val="00F52DD9"/>
    <w:rsid w:val="00F53107"/>
    <w:rsid w:val="00F532D3"/>
    <w:rsid w:val="00F53ECC"/>
    <w:rsid w:val="00F5494D"/>
    <w:rsid w:val="00F54D41"/>
    <w:rsid w:val="00F54E7F"/>
    <w:rsid w:val="00F55196"/>
    <w:rsid w:val="00F55232"/>
    <w:rsid w:val="00F554D7"/>
    <w:rsid w:val="00F55518"/>
    <w:rsid w:val="00F555C7"/>
    <w:rsid w:val="00F5581D"/>
    <w:rsid w:val="00F55943"/>
    <w:rsid w:val="00F55C9A"/>
    <w:rsid w:val="00F55EA1"/>
    <w:rsid w:val="00F55F89"/>
    <w:rsid w:val="00F56077"/>
    <w:rsid w:val="00F56167"/>
    <w:rsid w:val="00F56270"/>
    <w:rsid w:val="00F5698D"/>
    <w:rsid w:val="00F56B88"/>
    <w:rsid w:val="00F57041"/>
    <w:rsid w:val="00F57831"/>
    <w:rsid w:val="00F57C3F"/>
    <w:rsid w:val="00F57CF8"/>
    <w:rsid w:val="00F6039D"/>
    <w:rsid w:val="00F609BE"/>
    <w:rsid w:val="00F609BF"/>
    <w:rsid w:val="00F60D51"/>
    <w:rsid w:val="00F60F84"/>
    <w:rsid w:val="00F6127D"/>
    <w:rsid w:val="00F61851"/>
    <w:rsid w:val="00F61B19"/>
    <w:rsid w:val="00F61B1D"/>
    <w:rsid w:val="00F61DF2"/>
    <w:rsid w:val="00F62A94"/>
    <w:rsid w:val="00F62D61"/>
    <w:rsid w:val="00F63245"/>
    <w:rsid w:val="00F63539"/>
    <w:rsid w:val="00F639BE"/>
    <w:rsid w:val="00F63B34"/>
    <w:rsid w:val="00F63C7E"/>
    <w:rsid w:val="00F6400F"/>
    <w:rsid w:val="00F64595"/>
    <w:rsid w:val="00F645C4"/>
    <w:rsid w:val="00F6464C"/>
    <w:rsid w:val="00F64769"/>
    <w:rsid w:val="00F64D51"/>
    <w:rsid w:val="00F64EBF"/>
    <w:rsid w:val="00F6556E"/>
    <w:rsid w:val="00F658BD"/>
    <w:rsid w:val="00F65F37"/>
    <w:rsid w:val="00F661D2"/>
    <w:rsid w:val="00F66709"/>
    <w:rsid w:val="00F66B1F"/>
    <w:rsid w:val="00F66CC8"/>
    <w:rsid w:val="00F66D10"/>
    <w:rsid w:val="00F66E02"/>
    <w:rsid w:val="00F670E8"/>
    <w:rsid w:val="00F672D6"/>
    <w:rsid w:val="00F675A2"/>
    <w:rsid w:val="00F67812"/>
    <w:rsid w:val="00F678EB"/>
    <w:rsid w:val="00F67A95"/>
    <w:rsid w:val="00F67AC6"/>
    <w:rsid w:val="00F67CFC"/>
    <w:rsid w:val="00F7082A"/>
    <w:rsid w:val="00F70872"/>
    <w:rsid w:val="00F71060"/>
    <w:rsid w:val="00F71594"/>
    <w:rsid w:val="00F716AD"/>
    <w:rsid w:val="00F71CAE"/>
    <w:rsid w:val="00F7281E"/>
    <w:rsid w:val="00F72CF5"/>
    <w:rsid w:val="00F72EFE"/>
    <w:rsid w:val="00F72F04"/>
    <w:rsid w:val="00F7311B"/>
    <w:rsid w:val="00F731B5"/>
    <w:rsid w:val="00F73B4C"/>
    <w:rsid w:val="00F73B57"/>
    <w:rsid w:val="00F73B59"/>
    <w:rsid w:val="00F74246"/>
    <w:rsid w:val="00F74647"/>
    <w:rsid w:val="00F7507A"/>
    <w:rsid w:val="00F75520"/>
    <w:rsid w:val="00F75A63"/>
    <w:rsid w:val="00F75BE1"/>
    <w:rsid w:val="00F75DE8"/>
    <w:rsid w:val="00F75E06"/>
    <w:rsid w:val="00F762E9"/>
    <w:rsid w:val="00F76437"/>
    <w:rsid w:val="00F7672E"/>
    <w:rsid w:val="00F76AA4"/>
    <w:rsid w:val="00F76C7E"/>
    <w:rsid w:val="00F76E04"/>
    <w:rsid w:val="00F7705F"/>
    <w:rsid w:val="00F77190"/>
    <w:rsid w:val="00F773D6"/>
    <w:rsid w:val="00F77B0C"/>
    <w:rsid w:val="00F77B25"/>
    <w:rsid w:val="00F77F86"/>
    <w:rsid w:val="00F806DB"/>
    <w:rsid w:val="00F80868"/>
    <w:rsid w:val="00F80A4F"/>
    <w:rsid w:val="00F80B5A"/>
    <w:rsid w:val="00F80FA9"/>
    <w:rsid w:val="00F81007"/>
    <w:rsid w:val="00F81213"/>
    <w:rsid w:val="00F813B8"/>
    <w:rsid w:val="00F817B6"/>
    <w:rsid w:val="00F81B35"/>
    <w:rsid w:val="00F81FE4"/>
    <w:rsid w:val="00F82182"/>
    <w:rsid w:val="00F82A0A"/>
    <w:rsid w:val="00F82DB8"/>
    <w:rsid w:val="00F830EF"/>
    <w:rsid w:val="00F8310C"/>
    <w:rsid w:val="00F8315B"/>
    <w:rsid w:val="00F831E3"/>
    <w:rsid w:val="00F833A5"/>
    <w:rsid w:val="00F83AF3"/>
    <w:rsid w:val="00F83B13"/>
    <w:rsid w:val="00F843B0"/>
    <w:rsid w:val="00F84BB7"/>
    <w:rsid w:val="00F85359"/>
    <w:rsid w:val="00F8566F"/>
    <w:rsid w:val="00F8589D"/>
    <w:rsid w:val="00F8655F"/>
    <w:rsid w:val="00F868BE"/>
    <w:rsid w:val="00F86969"/>
    <w:rsid w:val="00F86A68"/>
    <w:rsid w:val="00F86A93"/>
    <w:rsid w:val="00F86CB3"/>
    <w:rsid w:val="00F86DF5"/>
    <w:rsid w:val="00F872A9"/>
    <w:rsid w:val="00F87855"/>
    <w:rsid w:val="00F87D79"/>
    <w:rsid w:val="00F903FE"/>
    <w:rsid w:val="00F90544"/>
    <w:rsid w:val="00F90663"/>
    <w:rsid w:val="00F90A47"/>
    <w:rsid w:val="00F90E3E"/>
    <w:rsid w:val="00F90F6B"/>
    <w:rsid w:val="00F9114C"/>
    <w:rsid w:val="00F91C65"/>
    <w:rsid w:val="00F91D94"/>
    <w:rsid w:val="00F91ECD"/>
    <w:rsid w:val="00F923B0"/>
    <w:rsid w:val="00F927E2"/>
    <w:rsid w:val="00F9290F"/>
    <w:rsid w:val="00F92AD8"/>
    <w:rsid w:val="00F92E33"/>
    <w:rsid w:val="00F9312F"/>
    <w:rsid w:val="00F931D0"/>
    <w:rsid w:val="00F93306"/>
    <w:rsid w:val="00F93751"/>
    <w:rsid w:val="00F9378F"/>
    <w:rsid w:val="00F93887"/>
    <w:rsid w:val="00F93D8F"/>
    <w:rsid w:val="00F947B6"/>
    <w:rsid w:val="00F949F4"/>
    <w:rsid w:val="00F94BFB"/>
    <w:rsid w:val="00F94F07"/>
    <w:rsid w:val="00F950D7"/>
    <w:rsid w:val="00F951DA"/>
    <w:rsid w:val="00F95DD3"/>
    <w:rsid w:val="00F95E24"/>
    <w:rsid w:val="00F963C5"/>
    <w:rsid w:val="00F963D6"/>
    <w:rsid w:val="00F963FD"/>
    <w:rsid w:val="00F965AA"/>
    <w:rsid w:val="00F96A1C"/>
    <w:rsid w:val="00F96E12"/>
    <w:rsid w:val="00F96F26"/>
    <w:rsid w:val="00F974AD"/>
    <w:rsid w:val="00F975DB"/>
    <w:rsid w:val="00F97837"/>
    <w:rsid w:val="00F978D9"/>
    <w:rsid w:val="00F97D83"/>
    <w:rsid w:val="00F97F1B"/>
    <w:rsid w:val="00FA02DF"/>
    <w:rsid w:val="00FA175D"/>
    <w:rsid w:val="00FA1A97"/>
    <w:rsid w:val="00FA1DAC"/>
    <w:rsid w:val="00FA1DC4"/>
    <w:rsid w:val="00FA1DEB"/>
    <w:rsid w:val="00FA2329"/>
    <w:rsid w:val="00FA24E2"/>
    <w:rsid w:val="00FA24FD"/>
    <w:rsid w:val="00FA2780"/>
    <w:rsid w:val="00FA2A4B"/>
    <w:rsid w:val="00FA2E42"/>
    <w:rsid w:val="00FA30D5"/>
    <w:rsid w:val="00FA314B"/>
    <w:rsid w:val="00FA31C3"/>
    <w:rsid w:val="00FA3332"/>
    <w:rsid w:val="00FA400F"/>
    <w:rsid w:val="00FA45C5"/>
    <w:rsid w:val="00FA4C28"/>
    <w:rsid w:val="00FA4D84"/>
    <w:rsid w:val="00FA4D86"/>
    <w:rsid w:val="00FA5668"/>
    <w:rsid w:val="00FA57DA"/>
    <w:rsid w:val="00FA6407"/>
    <w:rsid w:val="00FA642C"/>
    <w:rsid w:val="00FA68F6"/>
    <w:rsid w:val="00FA69FB"/>
    <w:rsid w:val="00FA6B34"/>
    <w:rsid w:val="00FA70E5"/>
    <w:rsid w:val="00FA7382"/>
    <w:rsid w:val="00FA7568"/>
    <w:rsid w:val="00FA7754"/>
    <w:rsid w:val="00FA7EB9"/>
    <w:rsid w:val="00FB015F"/>
    <w:rsid w:val="00FB089E"/>
    <w:rsid w:val="00FB08FC"/>
    <w:rsid w:val="00FB0E2B"/>
    <w:rsid w:val="00FB103D"/>
    <w:rsid w:val="00FB115F"/>
    <w:rsid w:val="00FB1AE4"/>
    <w:rsid w:val="00FB1C79"/>
    <w:rsid w:val="00FB1D6E"/>
    <w:rsid w:val="00FB1DB2"/>
    <w:rsid w:val="00FB21C1"/>
    <w:rsid w:val="00FB29D2"/>
    <w:rsid w:val="00FB2CD5"/>
    <w:rsid w:val="00FB30F4"/>
    <w:rsid w:val="00FB3314"/>
    <w:rsid w:val="00FB3347"/>
    <w:rsid w:val="00FB41CA"/>
    <w:rsid w:val="00FB43B7"/>
    <w:rsid w:val="00FB4A0D"/>
    <w:rsid w:val="00FB4C20"/>
    <w:rsid w:val="00FB4D15"/>
    <w:rsid w:val="00FB4E9E"/>
    <w:rsid w:val="00FB4EF7"/>
    <w:rsid w:val="00FB5518"/>
    <w:rsid w:val="00FB551B"/>
    <w:rsid w:val="00FB5CEC"/>
    <w:rsid w:val="00FB6136"/>
    <w:rsid w:val="00FB62E1"/>
    <w:rsid w:val="00FB631A"/>
    <w:rsid w:val="00FB65A1"/>
    <w:rsid w:val="00FB66A4"/>
    <w:rsid w:val="00FB67B5"/>
    <w:rsid w:val="00FB68FE"/>
    <w:rsid w:val="00FB6E1E"/>
    <w:rsid w:val="00FB7113"/>
    <w:rsid w:val="00FB783A"/>
    <w:rsid w:val="00FB7893"/>
    <w:rsid w:val="00FB7BE1"/>
    <w:rsid w:val="00FB7F14"/>
    <w:rsid w:val="00FB7FAD"/>
    <w:rsid w:val="00FC0D09"/>
    <w:rsid w:val="00FC0F68"/>
    <w:rsid w:val="00FC186B"/>
    <w:rsid w:val="00FC1962"/>
    <w:rsid w:val="00FC1B20"/>
    <w:rsid w:val="00FC2202"/>
    <w:rsid w:val="00FC241F"/>
    <w:rsid w:val="00FC255D"/>
    <w:rsid w:val="00FC297B"/>
    <w:rsid w:val="00FC2BD0"/>
    <w:rsid w:val="00FC334F"/>
    <w:rsid w:val="00FC3478"/>
    <w:rsid w:val="00FC3ACE"/>
    <w:rsid w:val="00FC40FD"/>
    <w:rsid w:val="00FC421A"/>
    <w:rsid w:val="00FC432B"/>
    <w:rsid w:val="00FC4611"/>
    <w:rsid w:val="00FC47BE"/>
    <w:rsid w:val="00FC4840"/>
    <w:rsid w:val="00FC48EA"/>
    <w:rsid w:val="00FC4DA4"/>
    <w:rsid w:val="00FC4E57"/>
    <w:rsid w:val="00FC5009"/>
    <w:rsid w:val="00FC5176"/>
    <w:rsid w:val="00FC556D"/>
    <w:rsid w:val="00FC558D"/>
    <w:rsid w:val="00FC562B"/>
    <w:rsid w:val="00FC56A7"/>
    <w:rsid w:val="00FC5F23"/>
    <w:rsid w:val="00FC5F5B"/>
    <w:rsid w:val="00FC60E5"/>
    <w:rsid w:val="00FC61F9"/>
    <w:rsid w:val="00FC6DA8"/>
    <w:rsid w:val="00FC6EBD"/>
    <w:rsid w:val="00FC6F1C"/>
    <w:rsid w:val="00FC7080"/>
    <w:rsid w:val="00FC728C"/>
    <w:rsid w:val="00FC72B2"/>
    <w:rsid w:val="00FC737F"/>
    <w:rsid w:val="00FC766A"/>
    <w:rsid w:val="00FC772A"/>
    <w:rsid w:val="00FC7FB6"/>
    <w:rsid w:val="00FD03A9"/>
    <w:rsid w:val="00FD0A76"/>
    <w:rsid w:val="00FD140E"/>
    <w:rsid w:val="00FD16E7"/>
    <w:rsid w:val="00FD181E"/>
    <w:rsid w:val="00FD19C8"/>
    <w:rsid w:val="00FD1A94"/>
    <w:rsid w:val="00FD1AC9"/>
    <w:rsid w:val="00FD1CD9"/>
    <w:rsid w:val="00FD1FD7"/>
    <w:rsid w:val="00FD2147"/>
    <w:rsid w:val="00FD2AFF"/>
    <w:rsid w:val="00FD2E84"/>
    <w:rsid w:val="00FD330B"/>
    <w:rsid w:val="00FD36D7"/>
    <w:rsid w:val="00FD3873"/>
    <w:rsid w:val="00FD38B7"/>
    <w:rsid w:val="00FD38FF"/>
    <w:rsid w:val="00FD3EE1"/>
    <w:rsid w:val="00FD3F15"/>
    <w:rsid w:val="00FD3F6C"/>
    <w:rsid w:val="00FD47EB"/>
    <w:rsid w:val="00FD48D9"/>
    <w:rsid w:val="00FD4FFD"/>
    <w:rsid w:val="00FD5706"/>
    <w:rsid w:val="00FD57BF"/>
    <w:rsid w:val="00FD586F"/>
    <w:rsid w:val="00FD58E7"/>
    <w:rsid w:val="00FD5AF3"/>
    <w:rsid w:val="00FD5B51"/>
    <w:rsid w:val="00FD5BCC"/>
    <w:rsid w:val="00FD5D1A"/>
    <w:rsid w:val="00FD5D40"/>
    <w:rsid w:val="00FD5F32"/>
    <w:rsid w:val="00FD62D2"/>
    <w:rsid w:val="00FD6787"/>
    <w:rsid w:val="00FD6818"/>
    <w:rsid w:val="00FD6C17"/>
    <w:rsid w:val="00FD7158"/>
    <w:rsid w:val="00FD7A6F"/>
    <w:rsid w:val="00FD7A74"/>
    <w:rsid w:val="00FD7B7C"/>
    <w:rsid w:val="00FD7EEA"/>
    <w:rsid w:val="00FE061C"/>
    <w:rsid w:val="00FE0635"/>
    <w:rsid w:val="00FE0B91"/>
    <w:rsid w:val="00FE111B"/>
    <w:rsid w:val="00FE11A4"/>
    <w:rsid w:val="00FE12AA"/>
    <w:rsid w:val="00FE1577"/>
    <w:rsid w:val="00FE162F"/>
    <w:rsid w:val="00FE1746"/>
    <w:rsid w:val="00FE1B18"/>
    <w:rsid w:val="00FE2149"/>
    <w:rsid w:val="00FE21FA"/>
    <w:rsid w:val="00FE30E4"/>
    <w:rsid w:val="00FE311E"/>
    <w:rsid w:val="00FE325D"/>
    <w:rsid w:val="00FE363A"/>
    <w:rsid w:val="00FE3DE7"/>
    <w:rsid w:val="00FE4001"/>
    <w:rsid w:val="00FE41D0"/>
    <w:rsid w:val="00FE44DB"/>
    <w:rsid w:val="00FE45FE"/>
    <w:rsid w:val="00FE4664"/>
    <w:rsid w:val="00FE4D6C"/>
    <w:rsid w:val="00FE4F95"/>
    <w:rsid w:val="00FE507F"/>
    <w:rsid w:val="00FE5434"/>
    <w:rsid w:val="00FE59B8"/>
    <w:rsid w:val="00FE6535"/>
    <w:rsid w:val="00FE6642"/>
    <w:rsid w:val="00FE6B09"/>
    <w:rsid w:val="00FE6C41"/>
    <w:rsid w:val="00FE6C53"/>
    <w:rsid w:val="00FE700B"/>
    <w:rsid w:val="00FE745A"/>
    <w:rsid w:val="00FE7C7D"/>
    <w:rsid w:val="00FF06DE"/>
    <w:rsid w:val="00FF08E7"/>
    <w:rsid w:val="00FF0B9B"/>
    <w:rsid w:val="00FF0F64"/>
    <w:rsid w:val="00FF102A"/>
    <w:rsid w:val="00FF10C1"/>
    <w:rsid w:val="00FF1427"/>
    <w:rsid w:val="00FF1462"/>
    <w:rsid w:val="00FF1505"/>
    <w:rsid w:val="00FF1CAF"/>
    <w:rsid w:val="00FF1F34"/>
    <w:rsid w:val="00FF26E1"/>
    <w:rsid w:val="00FF2C13"/>
    <w:rsid w:val="00FF2DF8"/>
    <w:rsid w:val="00FF3262"/>
    <w:rsid w:val="00FF35B0"/>
    <w:rsid w:val="00FF3602"/>
    <w:rsid w:val="00FF3718"/>
    <w:rsid w:val="00FF3CE3"/>
    <w:rsid w:val="00FF3CFD"/>
    <w:rsid w:val="00FF3E4F"/>
    <w:rsid w:val="00FF3EF1"/>
    <w:rsid w:val="00FF3F47"/>
    <w:rsid w:val="00FF3F97"/>
    <w:rsid w:val="00FF426A"/>
    <w:rsid w:val="00FF43DE"/>
    <w:rsid w:val="00FF45C8"/>
    <w:rsid w:val="00FF4B77"/>
    <w:rsid w:val="00FF4C67"/>
    <w:rsid w:val="00FF4F3D"/>
    <w:rsid w:val="00FF501D"/>
    <w:rsid w:val="00FF5069"/>
    <w:rsid w:val="00FF5253"/>
    <w:rsid w:val="00FF559C"/>
    <w:rsid w:val="00FF569C"/>
    <w:rsid w:val="00FF57D2"/>
    <w:rsid w:val="00FF5AD4"/>
    <w:rsid w:val="00FF5CD2"/>
    <w:rsid w:val="00FF5D0B"/>
    <w:rsid w:val="00FF6133"/>
    <w:rsid w:val="00FF63FF"/>
    <w:rsid w:val="00FF6AA7"/>
    <w:rsid w:val="00FF6BAE"/>
    <w:rsid w:val="00FF770B"/>
    <w:rsid w:val="00FF7BF1"/>
    <w:rsid w:val="00FF7D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70B6A"/>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4" w:qFormat="1"/>
    <w:lsdException w:name="heading 2" w:locked="0" w:uiPriority="4" w:qFormat="1"/>
    <w:lsdException w:name="heading 3" w:locked="0" w:uiPriority="4" w:qFormat="1"/>
    <w:lsdException w:name="heading 4" w:locked="0" w:uiPriority="4" w:qFormat="1"/>
    <w:lsdException w:name="heading 5" w:locked="0" w:uiPriority="4" w:qFormat="1"/>
    <w:lsdException w:name="heading 6" w:locked="0" w:uiPriority="9" w:qFormat="1"/>
    <w:lsdException w:name="heading 7" w:locked="0" w:semiHidden="1" w:uiPriority="9" w:qFormat="1"/>
    <w:lsdException w:name="heading 8" w:locked="0" w:semiHidden="1" w:uiPriority="9" w:qFormat="1"/>
    <w:lsdException w:name="heading 9" w:locked="0" w:semiHidden="1" w:uiPriority="9" w:qFormat="1"/>
    <w:lsdException w:name="index 1" w:locked="0" w:semiHidden="1"/>
    <w:lsdException w:name="index 2" w:locked="0" w:semiHidden="1"/>
    <w:lsdException w:name="index 3" w:locked="0" w:semiHidden="1"/>
    <w:lsdException w:name="index 4" w:locked="0" w:semiHidden="1"/>
    <w:lsdException w:name="index 5" w:locked="0" w:semiHidden="1"/>
    <w:lsdException w:name="index 6" w:locked="0" w:semiHidden="1"/>
    <w:lsdException w:name="index 7" w:locked="0" w:semiHidden="1"/>
    <w:lsdException w:name="index 8" w:locked="0" w:semiHidden="1"/>
    <w:lsdException w:name="index 9" w:locked="0" w:semiHidden="1"/>
    <w:lsdException w:name="toc 1" w:locked="0" w:uiPriority="39" w:unhideWhenUsed="1"/>
    <w:lsdException w:name="toc 2" w:locked="0" w:uiPriority="39" w:unhideWhenUsed="1"/>
    <w:lsdException w:name="toc 3" w:locked="0" w:uiPriority="39" w:unhideWhenUsed="1"/>
    <w:lsdException w:name="toc 4" w:locked="0" w:semiHidden="1" w:uiPriority="39"/>
    <w:lsdException w:name="toc 5" w:locked="0" w:semiHidden="1" w:uiPriority="39"/>
    <w:lsdException w:name="toc 6" w:locked="0" w:semiHidden="1" w:uiPriority="39"/>
    <w:lsdException w:name="toc 7" w:locked="0" w:semiHidden="1" w:uiPriority="39"/>
    <w:lsdException w:name="toc 8" w:locked="0" w:semiHidden="1" w:uiPriority="39"/>
    <w:lsdException w:name="toc 9" w:locked="0" w:semiHidden="1" w:uiPriority="39"/>
    <w:lsdException w:name="Normal Indent" w:locked="0" w:semiHidden="1"/>
    <w:lsdException w:name="footnote text" w:locked="0" w:semiHidden="1" w:qFormat="1"/>
    <w:lsdException w:name="annotation text" w:locked="0" w:semiHidden="1"/>
    <w:lsdException w:name="header" w:locked="0" w:unhideWhenUsed="1"/>
    <w:lsdException w:name="footer" w:locked="0" w:unhideWhenUsed="1"/>
    <w:lsdException w:name="index heading" w:locked="0" w:semiHidden="1"/>
    <w:lsdException w:name="caption" w:locked="0" w:uiPriority="35" w:unhideWhenUsed="1" w:qFormat="1"/>
    <w:lsdException w:name="table of figures" w:locked="0" w:unhideWhenUsed="1"/>
    <w:lsdException w:name="envelope address" w:locked="0" w:semiHidden="1"/>
    <w:lsdException w:name="envelope return" w:locked="0" w:semiHidden="1"/>
    <w:lsdException w:name="footnote reference" w:locked="0" w:semiHidden="1"/>
    <w:lsdException w:name="annotation reference" w:locked="0" w:semiHidden="1"/>
    <w:lsdException w:name="line number" w:locked="0" w:semiHidden="1"/>
    <w:lsdException w:name="page number" w:locked="0" w:unhideWhenUsed="1"/>
    <w:lsdException w:name="endnote reference" w:locked="0" w:semiHidden="1"/>
    <w:lsdException w:name="endnote text" w:locked="0" w:semiHidden="1"/>
    <w:lsdException w:name="table of authorities" w:semiHidden="1"/>
    <w:lsdException w:name="macro" w:locked="0" w:semiHidden="1"/>
    <w:lsdException w:name="toa heading" w:locked="0" w:semiHidden="1"/>
    <w:lsdException w:name="List" w:locked="0" w:semiHidden="1"/>
    <w:lsdException w:name="List Bullet" w:locked="0" w:semiHidden="1" w:uiPriority="0" w:unhideWhenUsed="1" w:qFormat="1"/>
    <w:lsdException w:name="List Number" w:locked="0" w:semiHidden="1" w:unhideWhenUsed="1" w:qFormat="1"/>
    <w:lsdException w:name="List 2" w:locked="0" w:semiHidden="1"/>
    <w:lsdException w:name="List 3" w:locked="0" w:semiHidden="1"/>
    <w:lsdException w:name="List 4" w:locked="0" w:semiHidden="1"/>
    <w:lsdException w:name="List 5" w:locked="0" w:semiHidden="1"/>
    <w:lsdException w:name="List Bullet 2" w:locked="0" w:semiHidden="1" w:uiPriority="0" w:unhideWhenUsed="1" w:qFormat="1"/>
    <w:lsdException w:name="List Bullet 3" w:locked="0" w:semiHidden="1" w:uiPriority="0" w:unhideWhenUsed="1" w:qFormat="1"/>
    <w:lsdException w:name="List Bullet 4" w:locked="0" w:semiHidden="1" w:uiPriority="0"/>
    <w:lsdException w:name="List Bullet 5" w:locked="0" w:semiHidden="1"/>
    <w:lsdException w:name="List Number 2" w:locked="0" w:semiHidden="1" w:uiPriority="5" w:unhideWhenUsed="1" w:qFormat="1"/>
    <w:lsdException w:name="List Number 3" w:locked="0" w:semiHidden="1" w:uiPriority="5" w:unhideWhenUsed="1" w:qFormat="1"/>
    <w:lsdException w:name="List Number 4" w:locked="0" w:semiHidden="1"/>
    <w:lsdException w:name="List Number 5" w:locked="0" w:semiHidden="1"/>
    <w:lsdException w:name="Title" w:locked="0" w:uiPriority="10" w:qFormat="1"/>
    <w:lsdException w:name="Closing" w:locked="0" w:semiHidden="1"/>
    <w:lsdException w:name="Signature" w:locked="0" w:semiHidden="1" w:uiPriority="23"/>
    <w:lsdException w:name="Default Paragraph Font" w:locked="0" w:semiHidden="1" w:uiPriority="1" w:unhideWhenUsed="1"/>
    <w:lsdException w:name="Body Text" w:locked="0" w:uiPriority="0" w:unhideWhenUsed="1" w:qFormat="1"/>
    <w:lsdException w:name="Body Text Indent" w:locked="0" w:semiHidden="1"/>
    <w:lsdException w:name="List Continue" w:locked="0" w:semiHidden="1"/>
    <w:lsdException w:name="List Continue 2" w:locked="0" w:semiHidden="1"/>
    <w:lsdException w:name="List Continue 3" w:locked="0" w:semiHidden="1"/>
    <w:lsdException w:name="List Continue 4" w:locked="0" w:semiHidden="1"/>
    <w:lsdException w:name="List Continue 5" w:locked="0" w:semiHidden="1"/>
    <w:lsdException w:name="Message Header" w:locked="0" w:semiHidden="1"/>
    <w:lsdException w:name="Subtitle" w:locked="0" w:uiPriority="11" w:qFormat="1"/>
    <w:lsdException w:name="Salutation" w:locked="0" w:semiHidden="1"/>
    <w:lsdException w:name="Date" w:locked="0" w:semiHidden="1"/>
    <w:lsdException w:name="Body Text First Indent" w:locked="0" w:semiHidden="1"/>
    <w:lsdException w:name="Body Text First Indent 2" w:locked="0" w:semiHidden="1"/>
    <w:lsdException w:name="Note Heading" w:locked="0" w:semiHidden="1"/>
    <w:lsdException w:name="Body Text 2" w:locked="0" w:semiHidden="1"/>
    <w:lsdException w:name="Body Text 3" w:locked="0" w:semiHidden="1"/>
    <w:lsdException w:name="Body Text Indent 2" w:locked="0" w:semiHidden="1"/>
    <w:lsdException w:name="Body Text Indent 3" w:locked="0" w:semiHidden="1"/>
    <w:lsdException w:name="Block Text" w:locked="0" w:semiHidden="1"/>
    <w:lsdException w:name="Hyperlink" w:locked="0" w:semiHidden="1" w:unhideWhenUsed="1" w:qFormat="1"/>
    <w:lsdException w:name="FollowedHyperlink" w:locked="0" w:semiHidden="1"/>
    <w:lsdException w:name="Strong" w:locked="0" w:semiHidden="1" w:uiPriority="22" w:qFormat="1"/>
    <w:lsdException w:name="Emphasis" w:locked="0" w:semiHidden="1" w:uiPriority="20" w:qFormat="1"/>
    <w:lsdException w:name="Document Map" w:locked="0" w:semiHidden="1"/>
    <w:lsdException w:name="Plain Text" w:locked="0" w:semiHidden="1"/>
    <w:lsdException w:name="E-mail Signature" w:locked="0" w:semiHidden="1"/>
    <w:lsdException w:name="HTML Top of Form" w:locked="0" w:semiHidden="1" w:unhideWhenUsed="1"/>
    <w:lsdException w:name="HTML Bottom of Form" w:locked="0" w:semiHidden="1" w:unhideWhenUsed="1"/>
    <w:lsdException w:name="Normal (Web)" w:locked="0" w:semiHidden="1"/>
    <w:lsdException w:name="HTML Acronym" w:locked="0" w:semiHidden="1"/>
    <w:lsdException w:name="HTML Address" w:locked="0" w:semiHidden="1"/>
    <w:lsdException w:name="HTML Cite" w:locked="0" w:semiHidden="1"/>
    <w:lsdException w:name="HTML Code" w:locked="0" w:semiHidden="1"/>
    <w:lsdException w:name="HTML Definition" w:locked="0" w:semiHidden="1"/>
    <w:lsdException w:name="HTML Keyboard" w:locked="0" w:semiHidden="1"/>
    <w:lsdException w:name="HTML Preformatted" w:locked="0" w:semiHidden="1"/>
    <w:lsdException w:name="HTML Sample" w:locked="0" w:semiHidden="1"/>
    <w:lsdException w:name="HTML Typewriter" w:locked="0" w:semiHidden="1"/>
    <w:lsdException w:name="HTML Variable" w:locked="0" w:semiHidden="1" w:unhideWhenUsed="1"/>
    <w:lsdException w:name="Normal Table" w:locked="0" w:semiHidden="1" w:unhideWhenUsed="1"/>
    <w:lsdException w:name="annotation subject" w:locked="0" w:semiHidden="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qFormat="1"/>
    <w:lsdException w:name="Intense Emphasis" w:locked="0" w:semiHidden="1" w:uiPriority="21" w:qFormat="1"/>
    <w:lsdException w:name="Subtle Reference" w:locked="0" w:semiHidden="1" w:qFormat="1"/>
    <w:lsdException w:name="Intense Reference" w:locked="0" w:semiHidden="1" w:uiPriority="32" w:qFormat="1"/>
    <w:lsdException w:name="Book Title" w:locked="0" w:semiHidden="1" w:qFormat="1"/>
    <w:lsdException w:name="Bibliography" w:locked="0" w:semiHidden="1" w:uiPriority="37"/>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716176"/>
    <w:rPr>
      <w:rFonts w:ascii="Arial" w:hAnsi="Arial"/>
      <w:sz w:val="22"/>
      <w:lang w:val="en-AU"/>
    </w:rPr>
  </w:style>
  <w:style w:type="paragraph" w:styleId="Heading1">
    <w:name w:val="heading 1"/>
    <w:basedOn w:val="BodyText"/>
    <w:next w:val="BodyText"/>
    <w:link w:val="Heading1Char"/>
    <w:uiPriority w:val="9"/>
    <w:qFormat/>
    <w:rsid w:val="00660BD4"/>
    <w:pPr>
      <w:keepNext/>
      <w:pageBreakBefore/>
      <w:numPr>
        <w:numId w:val="17"/>
      </w:numPr>
      <w:spacing w:before="240" w:after="2000"/>
      <w:outlineLvl w:val="0"/>
    </w:pPr>
    <w:rPr>
      <w:rFonts w:eastAsia="Times New Roman" w:cs="Arial"/>
      <w:b/>
      <w:bCs/>
      <w:color w:val="4B0985"/>
      <w:sz w:val="48"/>
      <w:szCs w:val="32"/>
      <w:lang w:eastAsia="en-AU"/>
    </w:rPr>
  </w:style>
  <w:style w:type="paragraph" w:styleId="Heading2">
    <w:name w:val="heading 2"/>
    <w:basedOn w:val="Heading1"/>
    <w:next w:val="BodyText"/>
    <w:link w:val="Heading2Char"/>
    <w:uiPriority w:val="9"/>
    <w:qFormat/>
    <w:rsid w:val="002D3250"/>
    <w:pPr>
      <w:pageBreakBefore w:val="0"/>
      <w:numPr>
        <w:ilvl w:val="1"/>
      </w:numPr>
      <w:tabs>
        <w:tab w:val="clear" w:pos="357"/>
        <w:tab w:val="clear" w:pos="714"/>
        <w:tab w:val="clear" w:pos="1429"/>
      </w:tabs>
      <w:spacing w:after="0"/>
      <w:outlineLvl w:val="1"/>
    </w:pPr>
    <w:rPr>
      <w:bCs w:val="0"/>
      <w:iCs/>
      <w:color w:val="2F005F"/>
      <w:sz w:val="32"/>
      <w:szCs w:val="28"/>
    </w:rPr>
  </w:style>
  <w:style w:type="paragraph" w:styleId="Heading3">
    <w:name w:val="heading 3"/>
    <w:basedOn w:val="Heading1"/>
    <w:next w:val="BodyText"/>
    <w:link w:val="Heading3Char"/>
    <w:uiPriority w:val="9"/>
    <w:qFormat/>
    <w:rsid w:val="00E26406"/>
    <w:pPr>
      <w:pageBreakBefore w:val="0"/>
      <w:numPr>
        <w:ilvl w:val="2"/>
      </w:numPr>
      <w:tabs>
        <w:tab w:val="clear" w:pos="357"/>
        <w:tab w:val="clear" w:pos="714"/>
        <w:tab w:val="clear" w:pos="1429"/>
      </w:tabs>
      <w:spacing w:after="0"/>
      <w:outlineLvl w:val="2"/>
    </w:pPr>
    <w:rPr>
      <w:bCs w:val="0"/>
      <w:sz w:val="26"/>
      <w:szCs w:val="26"/>
    </w:rPr>
  </w:style>
  <w:style w:type="paragraph" w:styleId="Heading4">
    <w:name w:val="heading 4"/>
    <w:basedOn w:val="Heading1"/>
    <w:next w:val="BodyText"/>
    <w:link w:val="Heading4Char"/>
    <w:uiPriority w:val="9"/>
    <w:qFormat/>
    <w:rsid w:val="002E6277"/>
    <w:pPr>
      <w:pageBreakBefore w:val="0"/>
      <w:numPr>
        <w:numId w:val="0"/>
      </w:numPr>
      <w:tabs>
        <w:tab w:val="clear" w:pos="357"/>
        <w:tab w:val="clear" w:pos="714"/>
        <w:tab w:val="clear" w:pos="1429"/>
      </w:tabs>
      <w:spacing w:after="0"/>
      <w:outlineLvl w:val="3"/>
    </w:pPr>
    <w:rPr>
      <w:bCs w:val="0"/>
      <w:color w:val="012749"/>
      <w:sz w:val="22"/>
      <w:szCs w:val="21"/>
    </w:rPr>
  </w:style>
  <w:style w:type="paragraph" w:styleId="Heading5">
    <w:name w:val="heading 5"/>
    <w:basedOn w:val="Normal"/>
    <w:next w:val="Normal"/>
    <w:link w:val="Heading5Char"/>
    <w:uiPriority w:val="9"/>
    <w:qFormat/>
    <w:rsid w:val="0082152E"/>
    <w:pPr>
      <w:tabs>
        <w:tab w:val="left" w:pos="1072"/>
      </w:tabs>
      <w:spacing w:before="240" w:line="276" w:lineRule="auto"/>
      <w:outlineLvl w:val="4"/>
    </w:pPr>
    <w:rPr>
      <w:rFonts w:eastAsia="Times New Roman" w:cs="Times New Roman"/>
      <w:b/>
      <w:bCs/>
      <w:iCs/>
      <w:color w:val="4B0885"/>
      <w:lang w:val="en-GB" w:eastAsia="en-AU"/>
    </w:rPr>
  </w:style>
  <w:style w:type="paragraph" w:styleId="Heading6">
    <w:name w:val="heading 6"/>
    <w:basedOn w:val="Normal"/>
    <w:next w:val="Normal"/>
    <w:link w:val="Heading6Char"/>
    <w:uiPriority w:val="9"/>
    <w:qFormat/>
    <w:rsid w:val="003C7246"/>
    <w:pPr>
      <w:keepNext/>
      <w:keepLines/>
      <w:spacing w:before="240" w:line="276" w:lineRule="auto"/>
      <w:outlineLvl w:val="5"/>
    </w:pPr>
    <w:rPr>
      <w:rFonts w:eastAsiaTheme="majorEastAsia" w:cstheme="majorBidi"/>
      <w:color w:val="4B0885"/>
      <w:sz w:val="19"/>
    </w:rPr>
  </w:style>
  <w:style w:type="paragraph" w:styleId="Heading7">
    <w:name w:val="heading 7"/>
    <w:basedOn w:val="Normal"/>
    <w:next w:val="Normal"/>
    <w:uiPriority w:val="9"/>
    <w:unhideWhenUsed/>
    <w:qFormat/>
    <w:rsid w:val="007B28AB"/>
    <w:pPr>
      <w:keepNext/>
      <w:keepLines/>
      <w:spacing w:before="240" w:line="264" w:lineRule="auto"/>
      <w:outlineLvl w:val="6"/>
    </w:pPr>
    <w:rPr>
      <w:rFonts w:asciiTheme="majorHAnsi" w:eastAsiaTheme="majorEastAsia" w:hAnsiTheme="majorHAnsi" w:cstheme="majorBidi"/>
      <w:i/>
      <w:iCs/>
      <w:color w:val="341461" w:themeColor="accent1" w:themeShade="7F"/>
      <w:szCs w:val="22"/>
    </w:rPr>
  </w:style>
  <w:style w:type="paragraph" w:styleId="Heading8">
    <w:name w:val="heading 8"/>
    <w:basedOn w:val="Normal"/>
    <w:next w:val="Normal"/>
    <w:uiPriority w:val="9"/>
    <w:semiHidden/>
    <w:unhideWhenUsed/>
    <w:qFormat/>
    <w:rsid w:val="007B28AB"/>
    <w:pPr>
      <w:keepNext/>
      <w:keepLines/>
      <w:spacing w:before="240" w:line="264"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uiPriority w:val="9"/>
    <w:semiHidden/>
    <w:unhideWhenUsed/>
    <w:qFormat/>
    <w:rsid w:val="007B28AB"/>
    <w:pPr>
      <w:keepNext/>
      <w:keepLines/>
      <w:spacing w:before="240" w:line="264"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D26D8"/>
    <w:rPr>
      <w:rFonts w:ascii="Tahoma" w:hAnsi="Tahoma" w:cs="Tahoma"/>
      <w:sz w:val="16"/>
      <w:szCs w:val="16"/>
    </w:rPr>
  </w:style>
  <w:style w:type="character" w:customStyle="1" w:styleId="BalloonTextChar">
    <w:name w:val="Balloon Text Char"/>
    <w:basedOn w:val="DefaultParagraphFont"/>
    <w:link w:val="BalloonText"/>
    <w:uiPriority w:val="99"/>
    <w:semiHidden/>
    <w:rsid w:val="006D26D8"/>
    <w:rPr>
      <w:rFonts w:ascii="Tahoma" w:hAnsi="Tahoma" w:cs="Tahoma"/>
      <w:sz w:val="16"/>
      <w:szCs w:val="16"/>
    </w:rPr>
  </w:style>
  <w:style w:type="paragraph" w:styleId="ListBullet">
    <w:name w:val="List Bullet"/>
    <w:basedOn w:val="Normal"/>
    <w:qFormat/>
    <w:rsid w:val="005002B4"/>
    <w:pPr>
      <w:numPr>
        <w:numId w:val="11"/>
      </w:numPr>
      <w:spacing w:before="120" w:after="120" w:line="276" w:lineRule="auto"/>
    </w:pPr>
    <w:rPr>
      <w:rFonts w:eastAsia="Times New Roman" w:cs="Times New Roman"/>
      <w:szCs w:val="24"/>
      <w:lang w:eastAsia="en-GB"/>
    </w:rPr>
  </w:style>
  <w:style w:type="numbering" w:customStyle="1" w:styleId="ListBulletmaster">
    <w:name w:val="List Bullet (master)"/>
    <w:rsid w:val="006E4F12"/>
    <w:pPr>
      <w:numPr>
        <w:numId w:val="70"/>
      </w:numPr>
    </w:pPr>
  </w:style>
  <w:style w:type="paragraph" w:styleId="ListBullet2">
    <w:name w:val="List Bullet 2"/>
    <w:basedOn w:val="Normal"/>
    <w:qFormat/>
    <w:rsid w:val="005002B4"/>
    <w:pPr>
      <w:numPr>
        <w:ilvl w:val="1"/>
        <w:numId w:val="11"/>
      </w:numPr>
      <w:spacing w:before="120" w:after="120" w:line="276" w:lineRule="auto"/>
    </w:pPr>
    <w:rPr>
      <w:rFonts w:eastAsia="Times New Roman" w:cs="Times New Roman"/>
      <w:szCs w:val="24"/>
      <w:lang w:eastAsia="en-GB"/>
    </w:rPr>
  </w:style>
  <w:style w:type="paragraph" w:styleId="ListBullet3">
    <w:name w:val="List Bullet 3"/>
    <w:basedOn w:val="Normal"/>
    <w:qFormat/>
    <w:rsid w:val="005002B4"/>
    <w:pPr>
      <w:numPr>
        <w:ilvl w:val="2"/>
        <w:numId w:val="11"/>
      </w:numPr>
      <w:spacing w:before="120" w:after="120" w:line="276" w:lineRule="auto"/>
    </w:pPr>
    <w:rPr>
      <w:rFonts w:eastAsia="Times New Roman" w:cs="Times New Roman"/>
      <w:szCs w:val="24"/>
      <w:lang w:eastAsia="en-GB"/>
    </w:rPr>
  </w:style>
  <w:style w:type="numbering" w:customStyle="1" w:styleId="ListNumbermaster">
    <w:name w:val="List Number (master)"/>
    <w:rsid w:val="000419F4"/>
    <w:pPr>
      <w:numPr>
        <w:numId w:val="4"/>
      </w:numPr>
    </w:pPr>
  </w:style>
  <w:style w:type="paragraph" w:styleId="ListNumber2">
    <w:name w:val="List Number 2"/>
    <w:basedOn w:val="Normal"/>
    <w:uiPriority w:val="5"/>
    <w:qFormat/>
    <w:rsid w:val="005002B4"/>
    <w:pPr>
      <w:numPr>
        <w:ilvl w:val="1"/>
        <w:numId w:val="21"/>
      </w:numPr>
      <w:spacing w:before="120" w:after="120" w:line="276" w:lineRule="auto"/>
    </w:pPr>
    <w:rPr>
      <w:rFonts w:eastAsia="Times New Roman" w:cs="Times New Roman"/>
      <w:szCs w:val="24"/>
      <w:lang w:eastAsia="en-GB"/>
    </w:rPr>
  </w:style>
  <w:style w:type="paragraph" w:styleId="ListNumber3">
    <w:name w:val="List Number 3"/>
    <w:basedOn w:val="Normal"/>
    <w:uiPriority w:val="5"/>
    <w:qFormat/>
    <w:rsid w:val="005002B4"/>
    <w:pPr>
      <w:numPr>
        <w:ilvl w:val="2"/>
        <w:numId w:val="21"/>
      </w:numPr>
      <w:spacing w:before="120" w:after="120" w:line="276" w:lineRule="auto"/>
    </w:pPr>
    <w:rPr>
      <w:rFonts w:eastAsia="Times New Roman" w:cs="Times New Roman"/>
      <w:szCs w:val="24"/>
      <w:lang w:eastAsia="en-GB"/>
    </w:rPr>
  </w:style>
  <w:style w:type="paragraph" w:styleId="ListNumber">
    <w:name w:val="List Number"/>
    <w:basedOn w:val="Normal"/>
    <w:uiPriority w:val="99"/>
    <w:qFormat/>
    <w:rsid w:val="005002B4"/>
    <w:pPr>
      <w:numPr>
        <w:numId w:val="21"/>
      </w:numPr>
      <w:spacing w:before="120" w:after="120" w:line="276" w:lineRule="auto"/>
    </w:pPr>
    <w:rPr>
      <w:rFonts w:eastAsia="Times New Roman" w:cs="Times New Roman"/>
      <w:szCs w:val="24"/>
      <w:lang w:eastAsia="en-GB"/>
    </w:rPr>
  </w:style>
  <w:style w:type="paragraph" w:styleId="NoSpacing">
    <w:name w:val="No Spacing"/>
    <w:link w:val="NoSpacingChar"/>
    <w:uiPriority w:val="1"/>
    <w:qFormat/>
    <w:rsid w:val="006722C0"/>
    <w:rPr>
      <w:rFonts w:ascii="Arial" w:eastAsia="Times New Roman" w:hAnsi="Arial" w:cs="Times New Roman"/>
      <w:sz w:val="2"/>
      <w:szCs w:val="24"/>
      <w:lang w:val="en-AU" w:eastAsia="en-GB"/>
    </w:rPr>
  </w:style>
  <w:style w:type="paragraph" w:customStyle="1" w:styleId="TableHeading1">
    <w:name w:val="Table Heading 1"/>
    <w:basedOn w:val="Normal"/>
    <w:uiPriority w:val="13"/>
    <w:qFormat/>
    <w:rsid w:val="0082152E"/>
    <w:pPr>
      <w:spacing w:before="80" w:after="80"/>
    </w:pPr>
    <w:rPr>
      <w:rFonts w:eastAsia="Times New Roman" w:cs="Times New Roman"/>
      <w:bCs/>
      <w:sz w:val="20"/>
      <w:szCs w:val="24"/>
      <w:lang w:eastAsia="en-GB"/>
    </w:rPr>
  </w:style>
  <w:style w:type="paragraph" w:customStyle="1" w:styleId="TableListBullet">
    <w:name w:val="Table List Bullet"/>
    <w:basedOn w:val="Normal"/>
    <w:uiPriority w:val="15"/>
    <w:qFormat/>
    <w:rsid w:val="0082152E"/>
    <w:pPr>
      <w:numPr>
        <w:numId w:val="12"/>
      </w:numPr>
      <w:spacing w:before="80" w:after="80"/>
    </w:pPr>
    <w:rPr>
      <w:rFonts w:eastAsia="Times New Roman" w:cs="Times New Roman"/>
      <w:bCs/>
      <w:sz w:val="20"/>
      <w:szCs w:val="24"/>
      <w:lang w:eastAsia="en-GB"/>
    </w:rPr>
  </w:style>
  <w:style w:type="numbering" w:customStyle="1" w:styleId="TableListBulletmaster">
    <w:name w:val="Table List Bullet (master)"/>
    <w:rsid w:val="00CF6974"/>
    <w:pPr>
      <w:numPr>
        <w:numId w:val="5"/>
      </w:numPr>
    </w:pPr>
  </w:style>
  <w:style w:type="paragraph" w:customStyle="1" w:styleId="TableListBullet2">
    <w:name w:val="Table List Bullet 2"/>
    <w:basedOn w:val="TableListBullet"/>
    <w:uiPriority w:val="15"/>
    <w:qFormat/>
    <w:rsid w:val="00544654"/>
    <w:pPr>
      <w:numPr>
        <w:ilvl w:val="1"/>
      </w:numPr>
    </w:pPr>
  </w:style>
  <w:style w:type="paragraph" w:customStyle="1" w:styleId="TableListNumber">
    <w:name w:val="Table List Number"/>
    <w:basedOn w:val="Normal"/>
    <w:uiPriority w:val="15"/>
    <w:qFormat/>
    <w:rsid w:val="0082152E"/>
    <w:pPr>
      <w:numPr>
        <w:numId w:val="13"/>
      </w:numPr>
      <w:spacing w:before="80" w:after="80"/>
    </w:pPr>
    <w:rPr>
      <w:rFonts w:eastAsia="Times New Roman" w:cs="Times New Roman"/>
      <w:bCs/>
      <w:sz w:val="20"/>
      <w:szCs w:val="24"/>
      <w:lang w:eastAsia="en-GB"/>
    </w:rPr>
  </w:style>
  <w:style w:type="numbering" w:customStyle="1" w:styleId="TableListNumbermaster">
    <w:name w:val="Table List Number (master)"/>
    <w:rsid w:val="00CF6974"/>
    <w:pPr>
      <w:numPr>
        <w:numId w:val="6"/>
      </w:numPr>
    </w:pPr>
  </w:style>
  <w:style w:type="paragraph" w:customStyle="1" w:styleId="TableListNumber2">
    <w:name w:val="Table List Number 2"/>
    <w:basedOn w:val="TableListNumber"/>
    <w:uiPriority w:val="15"/>
    <w:qFormat/>
    <w:rsid w:val="0082152E"/>
    <w:pPr>
      <w:numPr>
        <w:ilvl w:val="1"/>
      </w:numPr>
    </w:pPr>
  </w:style>
  <w:style w:type="paragraph" w:customStyle="1" w:styleId="TableBodyText">
    <w:name w:val="Table Body Text"/>
    <w:basedOn w:val="Normal"/>
    <w:uiPriority w:val="14"/>
    <w:qFormat/>
    <w:rsid w:val="0082152E"/>
    <w:pPr>
      <w:spacing w:before="80" w:after="80"/>
    </w:pPr>
    <w:rPr>
      <w:rFonts w:eastAsia="Times New Roman" w:cs="Times New Roman"/>
      <w:bCs/>
      <w:sz w:val="20"/>
      <w:szCs w:val="24"/>
      <w:lang w:eastAsia="en-GB"/>
    </w:rPr>
  </w:style>
  <w:style w:type="paragraph" w:customStyle="1" w:styleId="TableBodyTextsmall">
    <w:name w:val="Table Body Text (small)"/>
    <w:basedOn w:val="TableBodyText"/>
    <w:uiPriority w:val="16"/>
    <w:semiHidden/>
    <w:qFormat/>
    <w:rsid w:val="00544654"/>
    <w:pPr>
      <w:spacing w:before="20" w:after="20"/>
    </w:pPr>
    <w:rPr>
      <w:sz w:val="15"/>
    </w:rPr>
  </w:style>
  <w:style w:type="character" w:customStyle="1" w:styleId="Characterbold">
    <w:name w:val="Character (bold)"/>
    <w:basedOn w:val="DefaultParagraphFont"/>
    <w:uiPriority w:val="2"/>
    <w:qFormat/>
    <w:rsid w:val="005012B2"/>
    <w:rPr>
      <w:b/>
      <w:lang w:val="en-AU"/>
    </w:rPr>
  </w:style>
  <w:style w:type="character" w:customStyle="1" w:styleId="Characteritalic">
    <w:name w:val="Character (italic)"/>
    <w:basedOn w:val="DefaultParagraphFont"/>
    <w:uiPriority w:val="2"/>
    <w:qFormat/>
    <w:rsid w:val="005012B2"/>
    <w:rPr>
      <w:i/>
      <w:lang w:val="en-AU"/>
    </w:rPr>
  </w:style>
  <w:style w:type="character" w:customStyle="1" w:styleId="Charactersubscript">
    <w:name w:val="Character (subscript)"/>
    <w:basedOn w:val="DefaultParagraphFont"/>
    <w:uiPriority w:val="3"/>
    <w:qFormat/>
    <w:rsid w:val="005012B2"/>
    <w:rPr>
      <w:vertAlign w:val="subscript"/>
      <w:lang w:val="en-AU"/>
    </w:rPr>
  </w:style>
  <w:style w:type="character" w:customStyle="1" w:styleId="Charactersuperscript">
    <w:name w:val="Character (superscript)"/>
    <w:basedOn w:val="DefaultParagraphFont"/>
    <w:uiPriority w:val="3"/>
    <w:qFormat/>
    <w:rsid w:val="005012B2"/>
    <w:rPr>
      <w:vertAlign w:val="superscript"/>
      <w:lang w:val="en-AU"/>
    </w:rPr>
  </w:style>
  <w:style w:type="paragraph" w:styleId="ListParagraph">
    <w:name w:val="List Paragraph"/>
    <w:aliases w:val="Recommendation,List Paragraph1,List Paragraph11,List Paragraph2,List Bullet Cab,Bulletr List Paragraph,FooterText,L,List Paragraph21,Listeafsnit1,Paragraphe de liste1,Parágrafo da Lista1,Párrafo de lista1,bullet point list,列出段,NAST Quote"/>
    <w:basedOn w:val="Normal"/>
    <w:uiPriority w:val="34"/>
    <w:qFormat/>
    <w:rsid w:val="0023754A"/>
    <w:pPr>
      <w:ind w:left="720"/>
      <w:contextualSpacing/>
    </w:pPr>
  </w:style>
  <w:style w:type="character" w:customStyle="1" w:styleId="Heading1Char">
    <w:name w:val="Heading 1 Char"/>
    <w:basedOn w:val="DefaultParagraphFont"/>
    <w:link w:val="Heading1"/>
    <w:uiPriority w:val="9"/>
    <w:rsid w:val="00660BD4"/>
    <w:rPr>
      <w:rFonts w:ascii="Arial" w:eastAsia="Times New Roman" w:hAnsi="Arial" w:cs="Arial"/>
      <w:b/>
      <w:bCs/>
      <w:color w:val="4B0985"/>
      <w:sz w:val="48"/>
      <w:szCs w:val="32"/>
      <w:lang w:val="en-AU" w:eastAsia="en-AU"/>
    </w:rPr>
  </w:style>
  <w:style w:type="character" w:customStyle="1" w:styleId="Heading2Char">
    <w:name w:val="Heading 2 Char"/>
    <w:basedOn w:val="DefaultParagraphFont"/>
    <w:link w:val="Heading2"/>
    <w:uiPriority w:val="9"/>
    <w:rsid w:val="002D3250"/>
    <w:rPr>
      <w:rFonts w:ascii="Arial" w:eastAsia="Times New Roman" w:hAnsi="Arial" w:cs="Arial"/>
      <w:b/>
      <w:iCs/>
      <w:color w:val="2F005F"/>
      <w:sz w:val="32"/>
      <w:szCs w:val="28"/>
      <w:lang w:val="en-AU" w:eastAsia="en-AU"/>
    </w:rPr>
  </w:style>
  <w:style w:type="character" w:customStyle="1" w:styleId="Heading3Char">
    <w:name w:val="Heading 3 Char"/>
    <w:basedOn w:val="DefaultParagraphFont"/>
    <w:link w:val="Heading3"/>
    <w:uiPriority w:val="9"/>
    <w:rsid w:val="0009644B"/>
    <w:rPr>
      <w:rFonts w:ascii="Arial" w:eastAsia="Times New Roman" w:hAnsi="Arial" w:cs="Arial"/>
      <w:b/>
      <w:color w:val="4B0985"/>
      <w:sz w:val="26"/>
      <w:szCs w:val="26"/>
      <w:lang w:val="en-AU" w:eastAsia="en-AU"/>
    </w:rPr>
  </w:style>
  <w:style w:type="character" w:customStyle="1" w:styleId="Heading4Char">
    <w:name w:val="Heading 4 Char"/>
    <w:basedOn w:val="DefaultParagraphFont"/>
    <w:link w:val="Heading4"/>
    <w:uiPriority w:val="9"/>
    <w:rsid w:val="0009644B"/>
    <w:rPr>
      <w:rFonts w:ascii="Arial" w:eastAsia="Times New Roman" w:hAnsi="Arial" w:cs="Arial"/>
      <w:b/>
      <w:color w:val="012749"/>
      <w:sz w:val="22"/>
      <w:szCs w:val="21"/>
      <w:lang w:val="en-AU" w:eastAsia="en-AU"/>
    </w:rPr>
  </w:style>
  <w:style w:type="character" w:customStyle="1" w:styleId="Heading5Char">
    <w:name w:val="Heading 5 Char"/>
    <w:basedOn w:val="DefaultParagraphFont"/>
    <w:link w:val="Heading5"/>
    <w:uiPriority w:val="9"/>
    <w:rsid w:val="0082152E"/>
    <w:rPr>
      <w:rFonts w:ascii="Arial" w:eastAsia="Times New Roman" w:hAnsi="Arial" w:cs="Times New Roman"/>
      <w:b/>
      <w:bCs/>
      <w:iCs/>
      <w:color w:val="4B0885"/>
      <w:sz w:val="22"/>
      <w:lang w:val="en-GB" w:eastAsia="en-AU"/>
    </w:rPr>
  </w:style>
  <w:style w:type="paragraph" w:customStyle="1" w:styleId="AppendixHeading1">
    <w:name w:val="Appendix Heading 1"/>
    <w:basedOn w:val="Heading1"/>
    <w:next w:val="BodyText"/>
    <w:uiPriority w:val="11"/>
    <w:qFormat/>
    <w:rsid w:val="00FF3E4F"/>
    <w:pPr>
      <w:keepNext w:val="0"/>
      <w:numPr>
        <w:numId w:val="14"/>
      </w:numPr>
      <w:tabs>
        <w:tab w:val="left" w:pos="2268"/>
      </w:tabs>
      <w:suppressAutoHyphens/>
      <w:spacing w:after="800"/>
      <w:ind w:left="0" w:firstLine="0"/>
    </w:pPr>
    <w:rPr>
      <w:szCs w:val="30"/>
    </w:rPr>
  </w:style>
  <w:style w:type="numbering" w:customStyle="1" w:styleId="AppendixHeadingmaster">
    <w:name w:val="Appendix Heading (master)"/>
    <w:uiPriority w:val="99"/>
    <w:rsid w:val="004A69CF"/>
    <w:pPr>
      <w:numPr>
        <w:numId w:val="1"/>
      </w:numPr>
    </w:pPr>
  </w:style>
  <w:style w:type="paragraph" w:styleId="BodyText">
    <w:name w:val="Body Text"/>
    <w:basedOn w:val="Normal"/>
    <w:link w:val="BodyTextChar"/>
    <w:qFormat/>
    <w:rsid w:val="00E77B5D"/>
    <w:pPr>
      <w:tabs>
        <w:tab w:val="left" w:pos="357"/>
        <w:tab w:val="left" w:pos="714"/>
        <w:tab w:val="left" w:pos="1072"/>
        <w:tab w:val="left" w:pos="1429"/>
      </w:tabs>
      <w:spacing w:before="120" w:after="120" w:line="276" w:lineRule="auto"/>
    </w:pPr>
  </w:style>
  <w:style w:type="character" w:customStyle="1" w:styleId="BodyTextChar">
    <w:name w:val="Body Text Char"/>
    <w:basedOn w:val="DefaultParagraphFont"/>
    <w:link w:val="BodyText"/>
    <w:rsid w:val="00E77B5D"/>
    <w:rPr>
      <w:rFonts w:ascii="Arial" w:hAnsi="Arial"/>
      <w:sz w:val="22"/>
      <w:lang w:val="en-AU"/>
    </w:rPr>
  </w:style>
  <w:style w:type="paragraph" w:customStyle="1" w:styleId="AppendixHeading2">
    <w:name w:val="Appendix Heading 2"/>
    <w:basedOn w:val="AppendixHeading1"/>
    <w:next w:val="BodyText"/>
    <w:uiPriority w:val="11"/>
    <w:qFormat/>
    <w:rsid w:val="00281D65"/>
    <w:pPr>
      <w:keepNext/>
      <w:pageBreakBefore w:val="0"/>
      <w:numPr>
        <w:ilvl w:val="1"/>
      </w:numPr>
      <w:spacing w:after="120"/>
    </w:pPr>
    <w:rPr>
      <w:color w:val="012749"/>
      <w:sz w:val="28"/>
    </w:rPr>
  </w:style>
  <w:style w:type="paragraph" w:customStyle="1" w:styleId="AppendixHeading3">
    <w:name w:val="Appendix Heading 3"/>
    <w:basedOn w:val="Heading1"/>
    <w:next w:val="BodyText"/>
    <w:uiPriority w:val="11"/>
    <w:semiHidden/>
    <w:rsid w:val="000419F4"/>
    <w:pPr>
      <w:suppressAutoHyphens/>
      <w:spacing w:after="120" w:line="312" w:lineRule="auto"/>
    </w:pPr>
    <w:rPr>
      <w:b w:val="0"/>
      <w:color w:val="0C9FCD"/>
      <w:sz w:val="26"/>
      <w:szCs w:val="30"/>
    </w:rPr>
  </w:style>
  <w:style w:type="paragraph" w:customStyle="1" w:styleId="Heading1unnumbered">
    <w:name w:val="Heading 1 (unnumbered)"/>
    <w:basedOn w:val="Heading1"/>
    <w:next w:val="BodyText"/>
    <w:uiPriority w:val="10"/>
    <w:rsid w:val="00127F9F"/>
    <w:pPr>
      <w:numPr>
        <w:numId w:val="0"/>
      </w:numPr>
      <w:spacing w:after="0"/>
    </w:pPr>
  </w:style>
  <w:style w:type="numbering" w:customStyle="1" w:styleId="Headingsmaster">
    <w:name w:val="Headings (master)"/>
    <w:uiPriority w:val="99"/>
    <w:rsid w:val="00E26406"/>
    <w:pPr>
      <w:numPr>
        <w:numId w:val="2"/>
      </w:numPr>
    </w:pPr>
  </w:style>
  <w:style w:type="paragraph" w:customStyle="1" w:styleId="Image">
    <w:name w:val="Image"/>
    <w:basedOn w:val="Normal"/>
    <w:next w:val="BodyText"/>
    <w:uiPriority w:val="19"/>
    <w:qFormat/>
    <w:rsid w:val="00891E50"/>
    <w:pPr>
      <w:spacing w:before="120" w:after="120" w:line="276" w:lineRule="auto"/>
    </w:pPr>
    <w:rPr>
      <w:rFonts w:eastAsia="Times New Roman" w:cs="Times New Roman"/>
      <w:szCs w:val="24"/>
      <w:lang w:eastAsia="en-AU"/>
    </w:rPr>
  </w:style>
  <w:style w:type="paragraph" w:customStyle="1" w:styleId="InstructionalText">
    <w:name w:val="Instructional Text"/>
    <w:basedOn w:val="Normal"/>
    <w:uiPriority w:val="40"/>
    <w:semiHidden/>
    <w:rsid w:val="000419F4"/>
    <w:pPr>
      <w:spacing w:after="80" w:line="288" w:lineRule="auto"/>
    </w:pPr>
    <w:rPr>
      <w:rFonts w:eastAsia="Times New Roman" w:cs="Times New Roman"/>
      <w:vanish/>
      <w:color w:val="FF0000"/>
      <w:sz w:val="16"/>
      <w:szCs w:val="24"/>
      <w:lang w:eastAsia="en-GB"/>
    </w:rPr>
  </w:style>
  <w:style w:type="paragraph" w:customStyle="1" w:styleId="Source">
    <w:name w:val="Source"/>
    <w:basedOn w:val="TableBodyText"/>
    <w:next w:val="BodyText"/>
    <w:uiPriority w:val="17"/>
    <w:qFormat/>
    <w:rsid w:val="002B3BCD"/>
    <w:pPr>
      <w:spacing w:line="200" w:lineRule="atLeast"/>
    </w:pPr>
    <w:rPr>
      <w:sz w:val="17"/>
    </w:rPr>
  </w:style>
  <w:style w:type="paragraph" w:customStyle="1" w:styleId="TableBodyTextright">
    <w:name w:val="Table Body Text (right)"/>
    <w:basedOn w:val="TableBodyText"/>
    <w:uiPriority w:val="14"/>
    <w:qFormat/>
    <w:rsid w:val="0082152E"/>
    <w:pPr>
      <w:jc w:val="right"/>
    </w:pPr>
  </w:style>
  <w:style w:type="table" w:styleId="TableGrid">
    <w:name w:val="Table Grid"/>
    <w:basedOn w:val="TableNormal"/>
    <w:uiPriority w:val="39"/>
    <w:locked/>
    <w:rsid w:val="00D32F3C"/>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val="0"/>
        <w:sz w:val="18"/>
      </w:rPr>
      <w:tblPr/>
      <w:trPr>
        <w:tblHeader/>
      </w:trPr>
      <w:tcPr>
        <w:shd w:val="clear" w:color="auto" w:fill="F2F2F2" w:themeFill="background1" w:themeFillShade="F2"/>
      </w:tcPr>
    </w:tblStylePr>
  </w:style>
  <w:style w:type="paragraph" w:styleId="Quote">
    <w:name w:val="Quote"/>
    <w:basedOn w:val="Normal"/>
    <w:link w:val="QuoteChar"/>
    <w:uiPriority w:val="29"/>
    <w:qFormat/>
    <w:rsid w:val="000B1A4D"/>
    <w:pPr>
      <w:spacing w:before="120" w:after="120" w:line="23" w:lineRule="atLeast"/>
      <w:ind w:left="714" w:right="714"/>
      <w:jc w:val="center"/>
    </w:pPr>
    <w:rPr>
      <w:i/>
      <w:iCs/>
      <w:color w:val="0F2532"/>
    </w:rPr>
  </w:style>
  <w:style w:type="character" w:customStyle="1" w:styleId="QuoteChar">
    <w:name w:val="Quote Char"/>
    <w:basedOn w:val="DefaultParagraphFont"/>
    <w:link w:val="Quote"/>
    <w:uiPriority w:val="29"/>
    <w:rsid w:val="000B1A4D"/>
    <w:rPr>
      <w:rFonts w:ascii="Arial" w:hAnsi="Arial"/>
      <w:i/>
      <w:iCs/>
      <w:color w:val="0F2532"/>
      <w:sz w:val="22"/>
      <w:lang w:val="en-AU"/>
    </w:rPr>
  </w:style>
  <w:style w:type="paragraph" w:styleId="Header">
    <w:name w:val="header"/>
    <w:basedOn w:val="Normal"/>
    <w:link w:val="HeaderChar"/>
    <w:uiPriority w:val="99"/>
    <w:rsid w:val="004714FB"/>
    <w:pPr>
      <w:tabs>
        <w:tab w:val="right" w:pos="0"/>
        <w:tab w:val="center" w:pos="4680"/>
        <w:tab w:val="right" w:pos="9360"/>
      </w:tabs>
      <w:spacing w:line="276" w:lineRule="auto"/>
    </w:pPr>
    <w:rPr>
      <w:sz w:val="16"/>
    </w:rPr>
  </w:style>
  <w:style w:type="character" w:customStyle="1" w:styleId="HeaderChar">
    <w:name w:val="Header Char"/>
    <w:basedOn w:val="DefaultParagraphFont"/>
    <w:link w:val="Header"/>
    <w:uiPriority w:val="99"/>
    <w:rsid w:val="003F3496"/>
    <w:rPr>
      <w:rFonts w:ascii="Arial" w:hAnsi="Arial"/>
      <w:sz w:val="16"/>
      <w:lang w:val="en-AU"/>
    </w:rPr>
  </w:style>
  <w:style w:type="paragraph" w:styleId="Footer">
    <w:name w:val="footer"/>
    <w:basedOn w:val="Normal"/>
    <w:link w:val="FooterChar"/>
    <w:uiPriority w:val="99"/>
    <w:rsid w:val="004714FB"/>
    <w:pPr>
      <w:tabs>
        <w:tab w:val="right" w:pos="14629"/>
      </w:tabs>
      <w:spacing w:line="276" w:lineRule="auto"/>
    </w:pPr>
    <w:rPr>
      <w:sz w:val="16"/>
    </w:rPr>
  </w:style>
  <w:style w:type="character" w:customStyle="1" w:styleId="FooterChar">
    <w:name w:val="Footer Char"/>
    <w:basedOn w:val="DefaultParagraphFont"/>
    <w:link w:val="Footer"/>
    <w:uiPriority w:val="99"/>
    <w:rsid w:val="003F3496"/>
    <w:rPr>
      <w:rFonts w:ascii="Arial" w:hAnsi="Arial"/>
      <w:sz w:val="16"/>
      <w:lang w:val="en-AU"/>
    </w:rPr>
  </w:style>
  <w:style w:type="character" w:styleId="PageNumber">
    <w:name w:val="page number"/>
    <w:basedOn w:val="DefaultParagraphFont"/>
    <w:uiPriority w:val="24"/>
    <w:semiHidden/>
    <w:rsid w:val="005012B2"/>
    <w:rPr>
      <w:lang w:val="en-AU"/>
    </w:rPr>
  </w:style>
  <w:style w:type="table" w:styleId="LightShading">
    <w:name w:val="Light Shading"/>
    <w:basedOn w:val="TableNormal"/>
    <w:uiPriority w:val="60"/>
    <w:locked/>
    <w:rsid w:val="009076E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9076EA"/>
    <w:rPr>
      <w:color w:val="4E1E92" w:themeColor="accent1" w:themeShade="BF"/>
    </w:rPr>
    <w:tblPr>
      <w:tblStyleRowBandSize w:val="1"/>
      <w:tblStyleColBandSize w:val="1"/>
      <w:tblBorders>
        <w:top w:val="single" w:sz="8" w:space="0" w:color="6929C4" w:themeColor="accent1"/>
        <w:bottom w:val="single" w:sz="8" w:space="0" w:color="6929C4" w:themeColor="accent1"/>
      </w:tblBorders>
    </w:tblPr>
    <w:tblStylePr w:type="fir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la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C7F3" w:themeFill="accent1" w:themeFillTint="3F"/>
      </w:tcPr>
    </w:tblStylePr>
    <w:tblStylePr w:type="band1Horz">
      <w:tblPr/>
      <w:tcPr>
        <w:tcBorders>
          <w:left w:val="nil"/>
          <w:right w:val="nil"/>
          <w:insideH w:val="nil"/>
          <w:insideV w:val="nil"/>
        </w:tcBorders>
        <w:shd w:val="clear" w:color="auto" w:fill="D9C7F3" w:themeFill="accent1" w:themeFillTint="3F"/>
      </w:tcPr>
    </w:tblStylePr>
  </w:style>
  <w:style w:type="paragraph" w:styleId="Title">
    <w:name w:val="Title"/>
    <w:basedOn w:val="Normal"/>
    <w:next w:val="BodyText"/>
    <w:link w:val="TitleChar"/>
    <w:uiPriority w:val="10"/>
    <w:qFormat/>
    <w:rsid w:val="00835A0D"/>
    <w:pPr>
      <w:spacing w:before="2600" w:after="400" w:line="276" w:lineRule="auto"/>
    </w:pPr>
    <w:rPr>
      <w:rFonts w:eastAsiaTheme="majorEastAsia" w:cs="Arial"/>
      <w:b/>
      <w:color w:val="FFFFFF" w:themeColor="background1"/>
      <w:kern w:val="28"/>
      <w:sz w:val="80"/>
      <w:szCs w:val="52"/>
    </w:rPr>
  </w:style>
  <w:style w:type="character" w:customStyle="1" w:styleId="TitleChar">
    <w:name w:val="Title Char"/>
    <w:basedOn w:val="DefaultParagraphFont"/>
    <w:link w:val="Title"/>
    <w:uiPriority w:val="10"/>
    <w:rsid w:val="00835A0D"/>
    <w:rPr>
      <w:rFonts w:ascii="Arial" w:eastAsiaTheme="majorEastAsia" w:hAnsi="Arial" w:cs="Arial"/>
      <w:b/>
      <w:color w:val="FFFFFF" w:themeColor="background1"/>
      <w:kern w:val="28"/>
      <w:sz w:val="80"/>
      <w:szCs w:val="52"/>
      <w:lang w:val="en-AU"/>
    </w:rPr>
  </w:style>
  <w:style w:type="paragraph" w:styleId="Subtitle">
    <w:name w:val="Subtitle"/>
    <w:basedOn w:val="Normal"/>
    <w:next w:val="BodyText"/>
    <w:link w:val="SubtitleChar"/>
    <w:uiPriority w:val="11"/>
    <w:qFormat/>
    <w:rsid w:val="000803B6"/>
    <w:pPr>
      <w:numPr>
        <w:ilvl w:val="1"/>
      </w:numPr>
      <w:spacing w:before="480" w:after="240" w:line="276" w:lineRule="auto"/>
    </w:pPr>
    <w:rPr>
      <w:rFonts w:eastAsiaTheme="majorEastAsia" w:cstheme="majorBidi"/>
      <w:iCs/>
      <w:color w:val="FFFFFF" w:themeColor="background1"/>
      <w:sz w:val="48"/>
      <w:szCs w:val="24"/>
    </w:rPr>
  </w:style>
  <w:style w:type="character" w:customStyle="1" w:styleId="SubtitleChar">
    <w:name w:val="Subtitle Char"/>
    <w:basedOn w:val="DefaultParagraphFont"/>
    <w:link w:val="Subtitle"/>
    <w:uiPriority w:val="11"/>
    <w:rsid w:val="000803B6"/>
    <w:rPr>
      <w:rFonts w:ascii="Arial" w:eastAsiaTheme="majorEastAsia" w:hAnsi="Arial" w:cstheme="majorBidi"/>
      <w:iCs/>
      <w:color w:val="FFFFFF" w:themeColor="background1"/>
      <w:sz w:val="48"/>
      <w:szCs w:val="24"/>
      <w:lang w:val="en-AU"/>
    </w:rPr>
  </w:style>
  <w:style w:type="numbering" w:customStyle="1" w:styleId="ListAlphanumericmaster">
    <w:name w:val="List Alphanumeric (master)"/>
    <w:uiPriority w:val="99"/>
    <w:rsid w:val="003D2B56"/>
    <w:pPr>
      <w:numPr>
        <w:numId w:val="7"/>
      </w:numPr>
    </w:pPr>
  </w:style>
  <w:style w:type="paragraph" w:styleId="TOCHeading">
    <w:name w:val="TOC Heading"/>
    <w:basedOn w:val="Heading1"/>
    <w:next w:val="Normal"/>
    <w:uiPriority w:val="39"/>
    <w:qFormat/>
    <w:rsid w:val="00F55EA1"/>
    <w:pPr>
      <w:keepLines/>
      <w:pageBreakBefore w:val="0"/>
      <w:numPr>
        <w:numId w:val="0"/>
      </w:numPr>
      <w:spacing w:after="0"/>
      <w:outlineLvl w:val="9"/>
    </w:pPr>
    <w:rPr>
      <w:rFonts w:eastAsiaTheme="majorEastAsia" w:cstheme="majorBidi"/>
      <w:szCs w:val="28"/>
      <w:lang w:eastAsia="en-US"/>
    </w:rPr>
  </w:style>
  <w:style w:type="paragraph" w:styleId="TOC1">
    <w:name w:val="toc 1"/>
    <w:basedOn w:val="Normal"/>
    <w:next w:val="Normal"/>
    <w:autoRedefine/>
    <w:uiPriority w:val="39"/>
    <w:rsid w:val="0075216C"/>
    <w:pPr>
      <w:tabs>
        <w:tab w:val="left" w:pos="440"/>
        <w:tab w:val="left" w:pos="1191"/>
        <w:tab w:val="right" w:leader="dot" w:pos="9017"/>
      </w:tabs>
      <w:spacing w:after="100" w:line="276" w:lineRule="auto"/>
      <w:ind w:left="1191" w:right="851" w:hanging="1191"/>
    </w:pPr>
    <w:rPr>
      <w:b/>
      <w:color w:val="4B0985"/>
    </w:rPr>
  </w:style>
  <w:style w:type="paragraph" w:styleId="TOC2">
    <w:name w:val="toc 2"/>
    <w:basedOn w:val="Normal"/>
    <w:next w:val="Normal"/>
    <w:autoRedefine/>
    <w:uiPriority w:val="39"/>
    <w:rsid w:val="00FF559C"/>
    <w:pPr>
      <w:tabs>
        <w:tab w:val="left" w:pos="1134"/>
        <w:tab w:val="right" w:leader="dot" w:pos="9017"/>
      </w:tabs>
      <w:spacing w:after="100" w:line="276" w:lineRule="auto"/>
      <w:ind w:left="714" w:right="851" w:hanging="714"/>
    </w:pPr>
    <w:rPr>
      <w:b/>
    </w:rPr>
  </w:style>
  <w:style w:type="character" w:styleId="Hyperlink">
    <w:name w:val="Hyperlink"/>
    <w:basedOn w:val="DefaultParagraphFont"/>
    <w:uiPriority w:val="99"/>
    <w:qFormat/>
    <w:rsid w:val="003E6856"/>
    <w:rPr>
      <w:color w:val="215E9E"/>
      <w:u w:val="single"/>
    </w:rPr>
  </w:style>
  <w:style w:type="paragraph" w:styleId="TOC3">
    <w:name w:val="toc 3"/>
    <w:basedOn w:val="Normal"/>
    <w:next w:val="Normal"/>
    <w:autoRedefine/>
    <w:uiPriority w:val="39"/>
    <w:rsid w:val="003F3496"/>
    <w:pPr>
      <w:tabs>
        <w:tab w:val="left" w:pos="1928"/>
        <w:tab w:val="right" w:leader="dot" w:pos="9017"/>
      </w:tabs>
      <w:spacing w:after="100" w:line="276" w:lineRule="auto"/>
      <w:ind w:left="714" w:right="851" w:hanging="714"/>
    </w:pPr>
  </w:style>
  <w:style w:type="paragraph" w:styleId="Caption">
    <w:name w:val="caption"/>
    <w:basedOn w:val="Normal"/>
    <w:next w:val="BodyText"/>
    <w:uiPriority w:val="35"/>
    <w:qFormat/>
    <w:rsid w:val="004B3CB3"/>
    <w:pPr>
      <w:keepNext/>
      <w:spacing w:before="120" w:line="276" w:lineRule="auto"/>
    </w:pPr>
    <w:rPr>
      <w:b/>
      <w:bCs/>
      <w:color w:val="012749"/>
      <w:sz w:val="18"/>
      <w:szCs w:val="18"/>
    </w:rPr>
  </w:style>
  <w:style w:type="paragraph" w:customStyle="1" w:styleId="Footerlandscape">
    <w:name w:val="Footer (landscape)"/>
    <w:basedOn w:val="Footer"/>
    <w:uiPriority w:val="24"/>
    <w:semiHidden/>
    <w:rsid w:val="008331A3"/>
    <w:pPr>
      <w:tabs>
        <w:tab w:val="right" w:pos="13608"/>
      </w:tabs>
    </w:pPr>
  </w:style>
  <w:style w:type="paragraph" w:customStyle="1" w:styleId="Headerlandscape">
    <w:name w:val="Header (landscape)"/>
    <w:basedOn w:val="Header"/>
    <w:uiPriority w:val="24"/>
    <w:semiHidden/>
    <w:rsid w:val="005012B2"/>
    <w:pPr>
      <w:tabs>
        <w:tab w:val="clear" w:pos="9360"/>
        <w:tab w:val="right" w:pos="13608"/>
      </w:tabs>
    </w:pPr>
  </w:style>
  <w:style w:type="paragraph" w:customStyle="1" w:styleId="ListLegal">
    <w:name w:val="List Legal"/>
    <w:basedOn w:val="ListNumber"/>
    <w:uiPriority w:val="8"/>
    <w:semiHidden/>
    <w:qFormat/>
    <w:rsid w:val="00291313"/>
    <w:pPr>
      <w:numPr>
        <w:numId w:val="10"/>
      </w:numPr>
    </w:pPr>
  </w:style>
  <w:style w:type="numbering" w:customStyle="1" w:styleId="ListLegalmaster">
    <w:name w:val="List Legal (master)"/>
    <w:uiPriority w:val="99"/>
    <w:rsid w:val="00291313"/>
    <w:pPr>
      <w:numPr>
        <w:numId w:val="9"/>
      </w:numPr>
    </w:pPr>
  </w:style>
  <w:style w:type="paragraph" w:customStyle="1" w:styleId="ListLegal2">
    <w:name w:val="List Legal 2"/>
    <w:basedOn w:val="ListNumber2"/>
    <w:uiPriority w:val="8"/>
    <w:semiHidden/>
    <w:qFormat/>
    <w:rsid w:val="00291313"/>
    <w:pPr>
      <w:numPr>
        <w:numId w:val="10"/>
      </w:numPr>
      <w:tabs>
        <w:tab w:val="left" w:pos="1077"/>
      </w:tabs>
    </w:pPr>
  </w:style>
  <w:style w:type="paragraph" w:customStyle="1" w:styleId="ListLegal3">
    <w:name w:val="List Legal 3"/>
    <w:basedOn w:val="ListLegal2"/>
    <w:uiPriority w:val="8"/>
    <w:semiHidden/>
    <w:qFormat/>
    <w:rsid w:val="00291313"/>
    <w:pPr>
      <w:numPr>
        <w:ilvl w:val="2"/>
      </w:numPr>
      <w:tabs>
        <w:tab w:val="clear" w:pos="1077"/>
        <w:tab w:val="left" w:pos="1435"/>
      </w:tabs>
    </w:pPr>
  </w:style>
  <w:style w:type="paragraph" w:customStyle="1" w:styleId="DocumentDetails">
    <w:name w:val="Document Details"/>
    <w:basedOn w:val="Normal"/>
    <w:next w:val="BodyText"/>
    <w:uiPriority w:val="24"/>
    <w:rsid w:val="005E26EF"/>
    <w:pPr>
      <w:spacing w:before="480" w:after="240" w:line="276" w:lineRule="auto"/>
    </w:pPr>
    <w:rPr>
      <w:rFonts w:ascii="Arial Bold" w:hAnsi="Arial Bold"/>
      <w:b/>
      <w:color w:val="FFFFFF" w:themeColor="background1"/>
      <w:spacing w:val="-10"/>
      <w:sz w:val="28"/>
    </w:rPr>
  </w:style>
  <w:style w:type="paragraph" w:customStyle="1" w:styleId="SingleSpace">
    <w:name w:val="Single Space"/>
    <w:basedOn w:val="BodyText"/>
    <w:uiPriority w:val="21"/>
    <w:rsid w:val="00891E50"/>
    <w:pPr>
      <w:spacing w:before="0" w:after="0" w:line="240" w:lineRule="auto"/>
    </w:pPr>
    <w:rPr>
      <w:sz w:val="2"/>
    </w:rPr>
  </w:style>
  <w:style w:type="character" w:customStyle="1" w:styleId="Characteryellowhighlight">
    <w:name w:val="Character (yellow highlight)"/>
    <w:basedOn w:val="DefaultParagraphFont"/>
    <w:uiPriority w:val="2"/>
    <w:semiHidden/>
    <w:qFormat/>
    <w:rsid w:val="005012B2"/>
    <w:rPr>
      <w:bdr w:val="none" w:sz="0" w:space="0" w:color="auto"/>
      <w:shd w:val="clear" w:color="auto" w:fill="FFFF00"/>
      <w:lang w:val="en-AU"/>
    </w:rPr>
  </w:style>
  <w:style w:type="paragraph" w:styleId="TableofFigures">
    <w:name w:val="table of figures"/>
    <w:basedOn w:val="Normal"/>
    <w:next w:val="Normal"/>
    <w:uiPriority w:val="99"/>
    <w:rsid w:val="00891E50"/>
    <w:pPr>
      <w:spacing w:after="100" w:line="276" w:lineRule="auto"/>
      <w:ind w:right="851"/>
    </w:pPr>
  </w:style>
  <w:style w:type="paragraph" w:customStyle="1" w:styleId="BodyTextindent">
    <w:name w:val="Body Text (indent)"/>
    <w:basedOn w:val="BodyText"/>
    <w:semiHidden/>
    <w:qFormat/>
    <w:rsid w:val="00010BC1"/>
    <w:pPr>
      <w:ind w:left="357"/>
    </w:pPr>
  </w:style>
  <w:style w:type="paragraph" w:customStyle="1" w:styleId="BodyTextindent2">
    <w:name w:val="Body Text (indent 2)"/>
    <w:basedOn w:val="BodyText"/>
    <w:uiPriority w:val="1"/>
    <w:semiHidden/>
    <w:qFormat/>
    <w:rsid w:val="001C4183"/>
    <w:pPr>
      <w:ind w:left="714"/>
    </w:pPr>
  </w:style>
  <w:style w:type="paragraph" w:customStyle="1" w:styleId="BodyTextindent3">
    <w:name w:val="Body Text (indent 3)"/>
    <w:basedOn w:val="BodyText"/>
    <w:uiPriority w:val="1"/>
    <w:semiHidden/>
    <w:qFormat/>
    <w:rsid w:val="001C4183"/>
    <w:pPr>
      <w:ind w:left="1077"/>
    </w:pPr>
  </w:style>
  <w:style w:type="character" w:customStyle="1" w:styleId="Charactersourcecode">
    <w:name w:val="Character (source code)"/>
    <w:basedOn w:val="DefaultParagraphFont"/>
    <w:uiPriority w:val="3"/>
    <w:semiHidden/>
    <w:qFormat/>
    <w:rsid w:val="00CA539A"/>
    <w:rPr>
      <w:rFonts w:ascii="Courier New" w:hAnsi="Courier New"/>
    </w:rPr>
  </w:style>
  <w:style w:type="paragraph" w:customStyle="1" w:styleId="EndNoteBibliography">
    <w:name w:val="EndNote Bibliography"/>
    <w:basedOn w:val="BodyText"/>
    <w:link w:val="EndNoteBibliographyChar"/>
    <w:uiPriority w:val="23"/>
    <w:semiHidden/>
    <w:rsid w:val="00402E7E"/>
    <w:pPr>
      <w:ind w:left="720" w:hanging="720"/>
    </w:pPr>
    <w:rPr>
      <w:rFonts w:cs="Calibri"/>
      <w:noProof/>
      <w:szCs w:val="22"/>
    </w:rPr>
  </w:style>
  <w:style w:type="character" w:customStyle="1" w:styleId="EndNoteBibliographyChar">
    <w:name w:val="EndNote Bibliography Char"/>
    <w:basedOn w:val="BodyTextChar"/>
    <w:link w:val="EndNoteBibliography"/>
    <w:uiPriority w:val="23"/>
    <w:semiHidden/>
    <w:rsid w:val="009E61A1"/>
    <w:rPr>
      <w:rFonts w:ascii="Arial" w:hAnsi="Arial" w:cs="Calibri"/>
      <w:noProof/>
      <w:sz w:val="22"/>
      <w:szCs w:val="22"/>
      <w:lang w:val="en-AU"/>
    </w:rPr>
  </w:style>
  <w:style w:type="paragraph" w:customStyle="1" w:styleId="EndNoteBibliographyTitle">
    <w:name w:val="EndNote Bibliography Title"/>
    <w:basedOn w:val="Heading1"/>
    <w:next w:val="EndNoteBibliography"/>
    <w:link w:val="EndNoteBibliographyTitleChar4"/>
    <w:uiPriority w:val="23"/>
    <w:semiHidden/>
    <w:rsid w:val="00402E7E"/>
    <w:pPr>
      <w:pageBreakBefore w:val="0"/>
      <w:numPr>
        <w:numId w:val="0"/>
      </w:numPr>
      <w:spacing w:before="120" w:after="120"/>
    </w:pPr>
    <w:rPr>
      <w:rFonts w:cs="Calibri"/>
      <w:i/>
      <w:noProof/>
      <w:sz w:val="20"/>
    </w:rPr>
  </w:style>
  <w:style w:type="character" w:customStyle="1" w:styleId="EndNoteBibliographyTitleChar4">
    <w:name w:val="EndNote Bibliography Title Char4"/>
    <w:basedOn w:val="BodyTextChar"/>
    <w:link w:val="EndNoteBibliographyTitle"/>
    <w:uiPriority w:val="23"/>
    <w:semiHidden/>
    <w:rsid w:val="009E61A1"/>
    <w:rPr>
      <w:rFonts w:ascii="Arial" w:eastAsia="Times New Roman" w:hAnsi="Arial" w:cs="Calibri"/>
      <w:bCs/>
      <w:i/>
      <w:noProof/>
      <w:sz w:val="22"/>
      <w:szCs w:val="32"/>
      <w:lang w:val="en-AU" w:eastAsia="en-AU"/>
    </w:rPr>
  </w:style>
  <w:style w:type="character" w:styleId="PlaceholderText">
    <w:name w:val="Placeholder Text"/>
    <w:basedOn w:val="DefaultParagraphFont"/>
    <w:uiPriority w:val="99"/>
    <w:rsid w:val="00706D2D"/>
    <w:rPr>
      <w:color w:val="C00000"/>
    </w:rPr>
  </w:style>
  <w:style w:type="paragraph" w:styleId="TOC4">
    <w:name w:val="toc 4"/>
    <w:basedOn w:val="TOC1"/>
    <w:next w:val="Normal"/>
    <w:autoRedefine/>
    <w:uiPriority w:val="39"/>
    <w:rsid w:val="00D92686"/>
    <w:pPr>
      <w:tabs>
        <w:tab w:val="left" w:pos="1418"/>
      </w:tabs>
    </w:pPr>
    <w:rPr>
      <w:noProof/>
    </w:rPr>
  </w:style>
  <w:style w:type="paragraph" w:customStyle="1" w:styleId="BodyTextindent4">
    <w:name w:val="Body Text (indent 4)"/>
    <w:basedOn w:val="BodyText"/>
    <w:uiPriority w:val="1"/>
    <w:semiHidden/>
    <w:qFormat/>
    <w:rsid w:val="00291313"/>
    <w:pPr>
      <w:ind w:left="1435"/>
    </w:pPr>
  </w:style>
  <w:style w:type="paragraph" w:styleId="FootnoteText">
    <w:name w:val="footnote text"/>
    <w:aliases w:val="Footnote Text Char1 Char,Footnote Text Char Char1 Char,Footnote Text Char Char Char Char Char1,Footnote Text Char Char Char,Footnote Text Char Char Char Char"/>
    <w:basedOn w:val="Normal"/>
    <w:link w:val="FootnoteTextChar"/>
    <w:uiPriority w:val="99"/>
    <w:qFormat/>
    <w:rsid w:val="00E23C2C"/>
    <w:pPr>
      <w:spacing w:after="80"/>
      <w:ind w:left="113" w:hanging="113"/>
    </w:pPr>
    <w:rPr>
      <w:sz w:val="18"/>
    </w:rPr>
  </w:style>
  <w:style w:type="character" w:customStyle="1" w:styleId="FootnoteTextChar">
    <w:name w:val="Footnote Text Char"/>
    <w:aliases w:val="Footnote Text Char1 Char Char,Footnote Text Char Char1 Char Char,Footnote Text Char Char Char Char Char1 Char,Footnote Text Char Char Char Char1,Footnote Text Char Char Char Char Char"/>
    <w:basedOn w:val="DefaultParagraphFont"/>
    <w:link w:val="FootnoteText"/>
    <w:uiPriority w:val="99"/>
    <w:rsid w:val="00E23C2C"/>
    <w:rPr>
      <w:rFonts w:ascii="Arial" w:hAnsi="Arial"/>
      <w:sz w:val="18"/>
      <w:lang w:val="en-AU"/>
    </w:rPr>
  </w:style>
  <w:style w:type="character" w:styleId="FootnoteReference">
    <w:name w:val="footnote reference"/>
    <w:aliases w:val="FC,(NECG) Footnote Reference,Footnote sign,Footnote sign1,EN Footnote Reference,number,SUPERS"/>
    <w:basedOn w:val="DefaultParagraphFont"/>
    <w:uiPriority w:val="99"/>
    <w:rsid w:val="00600004"/>
    <w:rPr>
      <w:vertAlign w:val="superscript"/>
    </w:rPr>
  </w:style>
  <w:style w:type="table" w:customStyle="1" w:styleId="CustomTableoption1">
    <w:name w:val="Custom Table (option 1)"/>
    <w:basedOn w:val="TableNormal"/>
    <w:uiPriority w:val="99"/>
    <w:rsid w:val="001646CD"/>
    <w:rPr>
      <w:rFonts w:ascii="Arial" w:hAnsi="Arial"/>
      <w:sz w:val="22"/>
    </w:rPr>
    <w:tblPr>
      <w:tblStyleRowBandSize w:val="1"/>
      <w:tblStyleColBandSize w:val="1"/>
      <w:tblBorders>
        <w:bottom w:val="single" w:sz="4" w:space="0" w:color="2F005F"/>
      </w:tblBorders>
    </w:tblPr>
    <w:trPr>
      <w:cantSplit/>
    </w:trPr>
    <w:tblStylePr w:type="firstRow">
      <w:rPr>
        <w:b w:val="0"/>
        <w:color w:val="FFFFFF" w:themeColor="background1"/>
      </w:rPr>
      <w:tblPr/>
      <w:tcPr>
        <w:shd w:val="clear" w:color="auto" w:fill="2F005F"/>
      </w:tcPr>
    </w:tblStylePr>
    <w:tblStylePr w:type="lastRow">
      <w:rPr>
        <w:b/>
      </w:rPr>
      <w:tblPr/>
      <w:tcPr>
        <w:shd w:val="clear" w:color="auto" w:fill="4B0985"/>
      </w:tcPr>
    </w:tblStylePr>
    <w:tblStylePr w:type="firstCol">
      <w:rPr>
        <w:b w:val="0"/>
        <w:color w:val="FFFFFF" w:themeColor="background1"/>
      </w:rPr>
      <w:tblPr/>
      <w:tcPr>
        <w:shd w:val="clear" w:color="auto" w:fill="2F005F"/>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table" w:customStyle="1" w:styleId="CustomTableoption2">
    <w:name w:val="Custom Table (option 2)"/>
    <w:basedOn w:val="TableNormal"/>
    <w:uiPriority w:val="99"/>
    <w:rsid w:val="001646CD"/>
    <w:rPr>
      <w:rFonts w:ascii="Arial" w:hAnsi="Arial"/>
      <w:sz w:val="22"/>
    </w:rPr>
    <w:tblPr>
      <w:tblStyleRowBandSize w:val="1"/>
      <w:tblStyleColBandSize w:val="1"/>
      <w:tblBorders>
        <w:bottom w:val="single" w:sz="4" w:space="0" w:color="012749"/>
      </w:tblBorders>
    </w:tblPr>
    <w:trPr>
      <w:cantSplit/>
    </w:trPr>
    <w:tblStylePr w:type="firstRow">
      <w:rPr>
        <w:b w:val="0"/>
        <w:color w:val="FFFFFF" w:themeColor="background1"/>
      </w:rPr>
      <w:tblPr/>
      <w:tcPr>
        <w:shd w:val="clear" w:color="auto" w:fill="012749"/>
      </w:tcPr>
    </w:tblStylePr>
    <w:tblStylePr w:type="lastRow">
      <w:rPr>
        <w:b/>
      </w:rPr>
      <w:tblPr/>
      <w:tcPr>
        <w:shd w:val="clear" w:color="auto" w:fill="4B0985"/>
      </w:tcPr>
    </w:tblStylePr>
    <w:tblStylePr w:type="firstCol">
      <w:rPr>
        <w:b w:val="0"/>
        <w:color w:val="auto"/>
      </w:rPr>
      <w:tblPr/>
      <w:tcPr>
        <w:shd w:val="clear" w:color="auto" w:fill="012749"/>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LargeSpace">
    <w:name w:val="Large Space"/>
    <w:basedOn w:val="SingleSpace"/>
    <w:uiPriority w:val="21"/>
    <w:rsid w:val="00A1478F"/>
    <w:pPr>
      <w:spacing w:after="6000"/>
    </w:pPr>
    <w:rPr>
      <w:sz w:val="96"/>
    </w:rPr>
  </w:style>
  <w:style w:type="table" w:customStyle="1" w:styleId="CustomTableplaceholder">
    <w:name w:val="Custom Table (placeholder)"/>
    <w:basedOn w:val="TableNormal"/>
    <w:uiPriority w:val="99"/>
    <w:rsid w:val="007C1A44"/>
    <w:rPr>
      <w:rFonts w:ascii="Arial" w:hAnsi="Arial"/>
    </w:rPr>
    <w:tblPr/>
  </w:style>
  <w:style w:type="paragraph" w:styleId="Signature">
    <w:name w:val="Signature"/>
    <w:basedOn w:val="Normal"/>
    <w:link w:val="SignatureChar"/>
    <w:uiPriority w:val="23"/>
    <w:semiHidden/>
    <w:rsid w:val="009E61A1"/>
    <w:pPr>
      <w:spacing w:before="360" w:after="360"/>
    </w:pPr>
    <w:rPr>
      <w:rFonts w:ascii="Segoe Script" w:hAnsi="Segoe Script"/>
      <w:color w:val="9630F1" w:themeColor="text2" w:themeTint="99"/>
      <w:sz w:val="24"/>
    </w:rPr>
  </w:style>
  <w:style w:type="character" w:customStyle="1" w:styleId="SignatureChar">
    <w:name w:val="Signature Char"/>
    <w:basedOn w:val="DefaultParagraphFont"/>
    <w:link w:val="Signature"/>
    <w:uiPriority w:val="23"/>
    <w:semiHidden/>
    <w:rsid w:val="009E61A1"/>
    <w:rPr>
      <w:rFonts w:ascii="Segoe Script" w:hAnsi="Segoe Script"/>
      <w:color w:val="9630F1" w:themeColor="text2" w:themeTint="99"/>
      <w:sz w:val="24"/>
      <w:lang w:val="en-AU"/>
    </w:rPr>
  </w:style>
  <w:style w:type="character" w:customStyle="1" w:styleId="NoSpacingChar">
    <w:name w:val="No Spacing Char"/>
    <w:basedOn w:val="DefaultParagraphFont"/>
    <w:link w:val="NoSpacing"/>
    <w:uiPriority w:val="1"/>
    <w:semiHidden/>
    <w:rsid w:val="00544EC5"/>
    <w:rPr>
      <w:rFonts w:ascii="Arial" w:eastAsia="Times New Roman" w:hAnsi="Arial" w:cs="Times New Roman"/>
      <w:sz w:val="2"/>
      <w:szCs w:val="24"/>
      <w:lang w:val="en-AU" w:eastAsia="en-GB"/>
    </w:rPr>
  </w:style>
  <w:style w:type="character" w:customStyle="1" w:styleId="Characterbolditalic">
    <w:name w:val="Character (bold italic)"/>
    <w:basedOn w:val="DefaultParagraphFont"/>
    <w:uiPriority w:val="2"/>
    <w:qFormat/>
    <w:rsid w:val="00137E20"/>
    <w:rPr>
      <w:b/>
      <w:i/>
    </w:rPr>
  </w:style>
  <w:style w:type="table" w:styleId="PlainTable4">
    <w:name w:val="Plain Table 4"/>
    <w:basedOn w:val="TableNormal"/>
    <w:uiPriority w:val="44"/>
    <w:locked/>
    <w:rsid w:val="00F23E37"/>
    <w:rPr>
      <w:rFonts w:ascii="Arial" w:hAnsi="Arial"/>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E41E09"/>
    <w:rPr>
      <w:color w:val="605E5C"/>
      <w:shd w:val="clear" w:color="auto" w:fill="E1DFDD"/>
    </w:rPr>
  </w:style>
  <w:style w:type="table" w:customStyle="1" w:styleId="CustomTablestandard">
    <w:name w:val="Custom Table (standard)"/>
    <w:basedOn w:val="TableNormal"/>
    <w:uiPriority w:val="99"/>
    <w:locked/>
    <w:rsid w:val="00DD34CE"/>
    <w:rPr>
      <w:rFonts w:ascii="Arial" w:hAnsi="Arial"/>
      <w:sz w:val="18"/>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rPr>
      <w:cantSplit/>
    </w:trPr>
    <w:tblStylePr w:type="firstRow">
      <w:rPr>
        <w:rFonts w:ascii="Arial" w:hAnsi="Arial"/>
        <w:b w:val="0"/>
        <w:color w:val="FFFFFF" w:themeColor="background1"/>
      </w:rPr>
      <w:tblPr/>
      <w:tcPr>
        <w:shd w:val="clear" w:color="auto" w:fill="404040" w:themeFill="text1" w:themeFillTint="BF"/>
      </w:tcPr>
    </w:tblStylePr>
  </w:style>
  <w:style w:type="table" w:customStyle="1" w:styleId="CustomTablebasic">
    <w:name w:val="Custom Table (basic)"/>
    <w:basedOn w:val="TableNormal"/>
    <w:uiPriority w:val="99"/>
    <w:rsid w:val="007A171C"/>
    <w:rPr>
      <w:rFonts w:ascii="Arial" w:hAnsi="Arial"/>
      <w:sz w:val="22"/>
    </w:rPr>
    <w:tblPr>
      <w:tblStyleRowBandSize w:val="1"/>
      <w:tblBorders>
        <w:bottom w:val="single" w:sz="4" w:space="0" w:color="2F005F"/>
      </w:tblBorders>
    </w:tblPr>
    <w:tblStylePr w:type="firstRow">
      <w:tblPr/>
      <w:tcPr>
        <w:tcBorders>
          <w:bottom w:val="nil"/>
        </w:tcBorders>
        <w:shd w:val="clear" w:color="auto" w:fill="2F005F"/>
      </w:tcPr>
    </w:tblStylePr>
    <w:tblStylePr w:type="band2Horz">
      <w:tblPr/>
      <w:tcPr>
        <w:shd w:val="clear" w:color="auto" w:fill="F2F2F2" w:themeFill="background1" w:themeFillShade="F2"/>
      </w:tcPr>
    </w:tblStylePr>
  </w:style>
  <w:style w:type="table" w:customStyle="1" w:styleId="CustomTablepulloutbox">
    <w:name w:val="Custom Table (pullout box)"/>
    <w:basedOn w:val="TableNormal"/>
    <w:uiPriority w:val="99"/>
    <w:rsid w:val="00AC33C3"/>
    <w:tblPr>
      <w:tblBorders>
        <w:left w:val="single" w:sz="24" w:space="0" w:color="4B0885"/>
      </w:tblBorders>
    </w:tblPr>
    <w:tcPr>
      <w:shd w:val="clear" w:color="auto" w:fill="F2F2F2" w:themeFill="background1" w:themeFillShade="F2"/>
      <w:tcMar>
        <w:top w:w="227" w:type="dxa"/>
        <w:left w:w="227" w:type="dxa"/>
        <w:bottom w:w="227" w:type="dxa"/>
        <w:right w:w="227" w:type="dxa"/>
      </w:tcMar>
    </w:tcPr>
  </w:style>
  <w:style w:type="table" w:customStyle="1" w:styleId="CustomTablekeythemes">
    <w:name w:val="Custom Table (key themes)"/>
    <w:basedOn w:val="TableNormal"/>
    <w:uiPriority w:val="99"/>
    <w:rsid w:val="006819D3"/>
    <w:tblPr>
      <w:tblBorders>
        <w:top w:val="double" w:sz="12" w:space="0" w:color="D9D9D9" w:themeColor="background1" w:themeShade="D9"/>
        <w:bottom w:val="double" w:sz="12" w:space="0" w:color="D9D9D9" w:themeColor="background1" w:themeShade="D9"/>
      </w:tblBorders>
    </w:tblPr>
    <w:tcPr>
      <w:shd w:val="clear" w:color="auto" w:fill="D9D9D9" w:themeFill="background1" w:themeFillShade="D9"/>
      <w:tcMar>
        <w:top w:w="227" w:type="dxa"/>
        <w:left w:w="227" w:type="dxa"/>
        <w:bottom w:w="227" w:type="dxa"/>
        <w:right w:w="227" w:type="dxa"/>
      </w:tcMar>
    </w:tcPr>
  </w:style>
  <w:style w:type="paragraph" w:customStyle="1" w:styleId="TableHeading1centre">
    <w:name w:val="Table Heading 1 (centre)"/>
    <w:basedOn w:val="TableHeading1"/>
    <w:uiPriority w:val="13"/>
    <w:qFormat/>
    <w:rsid w:val="005D70A0"/>
    <w:pPr>
      <w:jc w:val="center"/>
    </w:pPr>
    <w:rPr>
      <w:color w:val="FFFFFF" w:themeColor="background1"/>
    </w:rPr>
  </w:style>
  <w:style w:type="paragraph" w:customStyle="1" w:styleId="TableHeading1right">
    <w:name w:val="Table Heading 1 (right)"/>
    <w:basedOn w:val="TableHeading1"/>
    <w:uiPriority w:val="13"/>
    <w:qFormat/>
    <w:rsid w:val="005D70A0"/>
    <w:pPr>
      <w:jc w:val="right"/>
    </w:pPr>
    <w:rPr>
      <w:color w:val="FFFFFF" w:themeColor="background1"/>
    </w:rPr>
  </w:style>
  <w:style w:type="paragraph" w:customStyle="1" w:styleId="TableBodyTextcentre">
    <w:name w:val="Table Body Text (centre)"/>
    <w:basedOn w:val="TableBodyText"/>
    <w:uiPriority w:val="14"/>
    <w:qFormat/>
    <w:rsid w:val="005D70A0"/>
    <w:pPr>
      <w:jc w:val="center"/>
    </w:pPr>
  </w:style>
  <w:style w:type="character" w:customStyle="1" w:styleId="Heading6Char">
    <w:name w:val="Heading 6 Char"/>
    <w:basedOn w:val="DefaultParagraphFont"/>
    <w:link w:val="Heading6"/>
    <w:uiPriority w:val="9"/>
    <w:rsid w:val="0082152E"/>
    <w:rPr>
      <w:rFonts w:ascii="Arial" w:eastAsiaTheme="majorEastAsia" w:hAnsi="Arial" w:cstheme="majorBidi"/>
      <w:color w:val="4B0885"/>
      <w:sz w:val="19"/>
      <w:lang w:val="en-AU"/>
    </w:rPr>
  </w:style>
  <w:style w:type="paragraph" w:customStyle="1" w:styleId="Quotelarge">
    <w:name w:val="Quote (large)"/>
    <w:basedOn w:val="Quote"/>
    <w:uiPriority w:val="18"/>
    <w:qFormat/>
    <w:rsid w:val="00B74938"/>
    <w:rPr>
      <w:color w:val="4B0885"/>
      <w:sz w:val="28"/>
    </w:rPr>
  </w:style>
  <w:style w:type="paragraph" w:customStyle="1" w:styleId="BoxHeading">
    <w:name w:val="Box Heading"/>
    <w:basedOn w:val="BodyText"/>
    <w:uiPriority w:val="16"/>
    <w:qFormat/>
    <w:rsid w:val="002D3250"/>
    <w:pPr>
      <w:keepNext/>
    </w:pPr>
    <w:rPr>
      <w:b/>
      <w:color w:val="2F005F"/>
      <w:sz w:val="23"/>
      <w:lang w:eastAsia="en-GB"/>
    </w:rPr>
  </w:style>
  <w:style w:type="table" w:customStyle="1" w:styleId="CustomTablepulloutbox2">
    <w:name w:val="Custom Table (pullout box 2)"/>
    <w:basedOn w:val="CustomTablepulloutbox"/>
    <w:uiPriority w:val="99"/>
    <w:rsid w:val="00F4121F"/>
    <w:tblPr/>
    <w:tcPr>
      <w:shd w:val="clear" w:color="auto" w:fill="E0D1F5"/>
    </w:tcPr>
  </w:style>
  <w:style w:type="character" w:styleId="CommentReference">
    <w:name w:val="annotation reference"/>
    <w:basedOn w:val="DefaultParagraphFont"/>
    <w:uiPriority w:val="99"/>
    <w:semiHidden/>
    <w:unhideWhenUsed/>
    <w:rsid w:val="00802B85"/>
    <w:rPr>
      <w:sz w:val="16"/>
      <w:szCs w:val="16"/>
    </w:rPr>
  </w:style>
  <w:style w:type="paragraph" w:styleId="CommentText">
    <w:name w:val="annotation text"/>
    <w:basedOn w:val="Normal"/>
    <w:link w:val="CommentTextChar"/>
    <w:uiPriority w:val="99"/>
    <w:unhideWhenUsed/>
    <w:rsid w:val="00802B85"/>
    <w:pPr>
      <w:spacing w:after="160"/>
    </w:pPr>
    <w:rPr>
      <w:rFonts w:asciiTheme="minorHAnsi" w:hAnsiTheme="minorHAnsi"/>
      <w:kern w:val="2"/>
      <w:sz w:val="20"/>
      <w14:ligatures w14:val="standardContextual"/>
    </w:rPr>
  </w:style>
  <w:style w:type="character" w:customStyle="1" w:styleId="CommentTextChar">
    <w:name w:val="Comment Text Char"/>
    <w:basedOn w:val="DefaultParagraphFont"/>
    <w:link w:val="CommentText"/>
    <w:uiPriority w:val="99"/>
    <w:rsid w:val="00802B85"/>
    <w:rPr>
      <w:kern w:val="2"/>
      <w:lang w:val="en-AU"/>
      <w14:ligatures w14:val="standardContextual"/>
    </w:rPr>
  </w:style>
  <w:style w:type="paragraph" w:styleId="CommentSubject">
    <w:name w:val="annotation subject"/>
    <w:basedOn w:val="CommentText"/>
    <w:next w:val="CommentText"/>
    <w:link w:val="CommentSubjectChar"/>
    <w:uiPriority w:val="99"/>
    <w:semiHidden/>
    <w:rsid w:val="00B16B67"/>
    <w:pPr>
      <w:spacing w:before="40" w:after="40"/>
    </w:pPr>
    <w:rPr>
      <w:rFonts w:ascii="Arial" w:hAnsi="Arial"/>
      <w:b/>
      <w:bCs/>
      <w:kern w:val="0"/>
      <w14:ligatures w14:val="none"/>
    </w:rPr>
  </w:style>
  <w:style w:type="character" w:customStyle="1" w:styleId="CommentSubjectChar">
    <w:name w:val="Comment Subject Char"/>
    <w:basedOn w:val="CommentTextChar"/>
    <w:link w:val="CommentSubject"/>
    <w:uiPriority w:val="99"/>
    <w:semiHidden/>
    <w:rsid w:val="00B16B67"/>
    <w:rPr>
      <w:rFonts w:ascii="Arial" w:hAnsi="Arial"/>
      <w:b/>
      <w:bCs/>
      <w:kern w:val="2"/>
      <w:lang w:val="en-AU"/>
      <w14:ligatures w14:val="standardContextual"/>
    </w:rPr>
  </w:style>
  <w:style w:type="character" w:styleId="Strong">
    <w:name w:val="Strong"/>
    <w:basedOn w:val="DefaultParagraphFont"/>
    <w:uiPriority w:val="22"/>
    <w:qFormat/>
    <w:rsid w:val="00B177D8"/>
    <w:rPr>
      <w:b/>
      <w:bCs/>
    </w:rPr>
  </w:style>
  <w:style w:type="paragraph" w:styleId="Bibliography">
    <w:name w:val="Bibliography"/>
    <w:basedOn w:val="Normal"/>
    <w:next w:val="Normal"/>
    <w:uiPriority w:val="37"/>
    <w:unhideWhenUsed/>
    <w:rsid w:val="00102BBF"/>
    <w:pPr>
      <w:spacing w:after="160" w:line="259" w:lineRule="auto"/>
    </w:pPr>
    <w:rPr>
      <w:rFonts w:asciiTheme="minorHAnsi" w:hAnsiTheme="minorHAnsi"/>
      <w:kern w:val="2"/>
      <w:szCs w:val="22"/>
      <w14:ligatures w14:val="standardContextual"/>
    </w:rPr>
  </w:style>
  <w:style w:type="paragraph" w:styleId="TOC5">
    <w:name w:val="toc 5"/>
    <w:basedOn w:val="Normal"/>
    <w:next w:val="Normal"/>
    <w:autoRedefine/>
    <w:uiPriority w:val="39"/>
    <w:unhideWhenUsed/>
    <w:rsid w:val="008C2CD0"/>
    <w:pPr>
      <w:spacing w:after="100" w:line="278" w:lineRule="auto"/>
      <w:ind w:left="960"/>
    </w:pPr>
    <w:rPr>
      <w:rFonts w:asciiTheme="minorHAnsi" w:eastAsiaTheme="minorEastAsia" w:hAnsiTheme="minorHAnsi"/>
      <w:kern w:val="2"/>
      <w:sz w:val="24"/>
      <w:szCs w:val="24"/>
      <w:lang w:eastAsia="en-AU"/>
      <w14:ligatures w14:val="standardContextual"/>
    </w:rPr>
  </w:style>
  <w:style w:type="paragraph" w:styleId="TOC6">
    <w:name w:val="toc 6"/>
    <w:basedOn w:val="Normal"/>
    <w:next w:val="Normal"/>
    <w:autoRedefine/>
    <w:uiPriority w:val="39"/>
    <w:unhideWhenUsed/>
    <w:rsid w:val="008C2CD0"/>
    <w:pPr>
      <w:spacing w:after="100" w:line="278" w:lineRule="auto"/>
      <w:ind w:left="1200"/>
    </w:pPr>
    <w:rPr>
      <w:rFonts w:asciiTheme="minorHAnsi" w:eastAsiaTheme="minorEastAsia" w:hAnsiTheme="minorHAnsi"/>
      <w:kern w:val="2"/>
      <w:sz w:val="24"/>
      <w:szCs w:val="24"/>
      <w:lang w:eastAsia="en-AU"/>
      <w14:ligatures w14:val="standardContextual"/>
    </w:rPr>
  </w:style>
  <w:style w:type="paragraph" w:styleId="TOC7">
    <w:name w:val="toc 7"/>
    <w:basedOn w:val="Normal"/>
    <w:next w:val="Normal"/>
    <w:autoRedefine/>
    <w:uiPriority w:val="39"/>
    <w:unhideWhenUsed/>
    <w:rsid w:val="008C2CD0"/>
    <w:pPr>
      <w:spacing w:after="100" w:line="278" w:lineRule="auto"/>
      <w:ind w:left="1440"/>
    </w:pPr>
    <w:rPr>
      <w:rFonts w:asciiTheme="minorHAnsi" w:eastAsiaTheme="minorEastAsia" w:hAnsiTheme="minorHAnsi"/>
      <w:kern w:val="2"/>
      <w:sz w:val="24"/>
      <w:szCs w:val="24"/>
      <w:lang w:eastAsia="en-AU"/>
      <w14:ligatures w14:val="standardContextual"/>
    </w:rPr>
  </w:style>
  <w:style w:type="paragraph" w:styleId="TOC8">
    <w:name w:val="toc 8"/>
    <w:basedOn w:val="Normal"/>
    <w:next w:val="Normal"/>
    <w:autoRedefine/>
    <w:uiPriority w:val="39"/>
    <w:unhideWhenUsed/>
    <w:rsid w:val="008C2CD0"/>
    <w:pPr>
      <w:spacing w:after="100" w:line="278" w:lineRule="auto"/>
      <w:ind w:left="1680"/>
    </w:pPr>
    <w:rPr>
      <w:rFonts w:asciiTheme="minorHAnsi" w:eastAsiaTheme="minorEastAsia" w:hAnsiTheme="minorHAnsi"/>
      <w:kern w:val="2"/>
      <w:sz w:val="24"/>
      <w:szCs w:val="24"/>
      <w:lang w:eastAsia="en-AU"/>
      <w14:ligatures w14:val="standardContextual"/>
    </w:rPr>
  </w:style>
  <w:style w:type="paragraph" w:styleId="TOC9">
    <w:name w:val="toc 9"/>
    <w:basedOn w:val="Normal"/>
    <w:next w:val="Normal"/>
    <w:autoRedefine/>
    <w:uiPriority w:val="39"/>
    <w:unhideWhenUsed/>
    <w:rsid w:val="008C2CD0"/>
    <w:pPr>
      <w:spacing w:after="100" w:line="278" w:lineRule="auto"/>
      <w:ind w:left="1920"/>
    </w:pPr>
    <w:rPr>
      <w:rFonts w:asciiTheme="minorHAnsi" w:eastAsiaTheme="minorEastAsia" w:hAnsiTheme="minorHAnsi"/>
      <w:kern w:val="2"/>
      <w:sz w:val="24"/>
      <w:szCs w:val="24"/>
      <w:lang w:eastAsia="en-AU"/>
      <w14:ligatures w14:val="standardContextual"/>
    </w:rPr>
  </w:style>
  <w:style w:type="paragraph" w:styleId="Revision">
    <w:name w:val="Revision"/>
    <w:hidden/>
    <w:uiPriority w:val="99"/>
    <w:semiHidden/>
    <w:rsid w:val="003B4602"/>
    <w:rPr>
      <w:rFonts w:ascii="Arial" w:hAnsi="Arial"/>
      <w:sz w:val="22"/>
      <w:lang w:val="en-AU"/>
    </w:rPr>
  </w:style>
  <w:style w:type="paragraph" w:styleId="NormalWeb">
    <w:name w:val="Normal (Web)"/>
    <w:basedOn w:val="Normal"/>
    <w:uiPriority w:val="99"/>
    <w:semiHidden/>
    <w:unhideWhenUsed/>
    <w:rsid w:val="004B520C"/>
    <w:pPr>
      <w:spacing w:before="100" w:beforeAutospacing="1" w:after="100" w:afterAutospacing="1"/>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B20FF4"/>
    <w:rPr>
      <w:color w:val="2B579A"/>
      <w:shd w:val="clear" w:color="auto" w:fill="E1DFDD"/>
    </w:rPr>
  </w:style>
  <w:style w:type="character" w:styleId="FollowedHyperlink">
    <w:name w:val="FollowedHyperlink"/>
    <w:basedOn w:val="DefaultParagraphFont"/>
    <w:uiPriority w:val="99"/>
    <w:semiHidden/>
    <w:rsid w:val="0022409B"/>
    <w:rPr>
      <w:color w:val="800080" w:themeColor="followedHyperlink"/>
      <w:u w:val="single"/>
    </w:rPr>
  </w:style>
  <w:style w:type="paragraph" w:styleId="ListBullet4">
    <w:name w:val="List Bullet 4"/>
    <w:basedOn w:val="ListBullet3"/>
    <w:semiHidden/>
    <w:rsid w:val="007E553C"/>
    <w:pPr>
      <w:numPr>
        <w:ilvl w:val="0"/>
        <w:numId w:val="0"/>
      </w:numPr>
      <w:spacing w:before="0" w:after="100" w:line="240" w:lineRule="atLeast"/>
    </w:pPr>
    <w:rPr>
      <w:rFonts w:eastAsia="SimSun"/>
      <w:spacing w:val="-1"/>
      <w:szCs w:val="20"/>
      <w:lang w:val="en-GB"/>
    </w:rPr>
  </w:style>
  <w:style w:type="paragraph" w:customStyle="1" w:styleId="Heading2unnumbered">
    <w:name w:val="Heading 2 (unnumbered)"/>
    <w:basedOn w:val="Heading2"/>
    <w:qFormat/>
    <w:rsid w:val="00CD7DAD"/>
    <w:pPr>
      <w:numPr>
        <w:ilvl w:val="0"/>
        <w:numId w:val="0"/>
      </w:numPr>
    </w:pPr>
  </w:style>
  <w:style w:type="paragraph" w:customStyle="1" w:styleId="Heading3unnumbered">
    <w:name w:val="Heading 3 (unnumbered)"/>
    <w:basedOn w:val="Heading3"/>
    <w:qFormat/>
    <w:rsid w:val="004F0339"/>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408">
      <w:bodyDiv w:val="1"/>
      <w:marLeft w:val="0"/>
      <w:marRight w:val="0"/>
      <w:marTop w:val="0"/>
      <w:marBottom w:val="0"/>
      <w:divBdr>
        <w:top w:val="none" w:sz="0" w:space="0" w:color="auto"/>
        <w:left w:val="none" w:sz="0" w:space="0" w:color="auto"/>
        <w:bottom w:val="none" w:sz="0" w:space="0" w:color="auto"/>
        <w:right w:val="none" w:sz="0" w:space="0" w:color="auto"/>
      </w:divBdr>
    </w:div>
    <w:div w:id="4138668">
      <w:bodyDiv w:val="1"/>
      <w:marLeft w:val="0"/>
      <w:marRight w:val="0"/>
      <w:marTop w:val="0"/>
      <w:marBottom w:val="0"/>
      <w:divBdr>
        <w:top w:val="none" w:sz="0" w:space="0" w:color="auto"/>
        <w:left w:val="none" w:sz="0" w:space="0" w:color="auto"/>
        <w:bottom w:val="none" w:sz="0" w:space="0" w:color="auto"/>
        <w:right w:val="none" w:sz="0" w:space="0" w:color="auto"/>
      </w:divBdr>
    </w:div>
    <w:div w:id="4480889">
      <w:bodyDiv w:val="1"/>
      <w:marLeft w:val="0"/>
      <w:marRight w:val="0"/>
      <w:marTop w:val="0"/>
      <w:marBottom w:val="0"/>
      <w:divBdr>
        <w:top w:val="none" w:sz="0" w:space="0" w:color="auto"/>
        <w:left w:val="none" w:sz="0" w:space="0" w:color="auto"/>
        <w:bottom w:val="none" w:sz="0" w:space="0" w:color="auto"/>
        <w:right w:val="none" w:sz="0" w:space="0" w:color="auto"/>
      </w:divBdr>
    </w:div>
    <w:div w:id="4602797">
      <w:bodyDiv w:val="1"/>
      <w:marLeft w:val="0"/>
      <w:marRight w:val="0"/>
      <w:marTop w:val="0"/>
      <w:marBottom w:val="0"/>
      <w:divBdr>
        <w:top w:val="none" w:sz="0" w:space="0" w:color="auto"/>
        <w:left w:val="none" w:sz="0" w:space="0" w:color="auto"/>
        <w:bottom w:val="none" w:sz="0" w:space="0" w:color="auto"/>
        <w:right w:val="none" w:sz="0" w:space="0" w:color="auto"/>
      </w:divBdr>
    </w:div>
    <w:div w:id="4947366">
      <w:bodyDiv w:val="1"/>
      <w:marLeft w:val="0"/>
      <w:marRight w:val="0"/>
      <w:marTop w:val="0"/>
      <w:marBottom w:val="0"/>
      <w:divBdr>
        <w:top w:val="none" w:sz="0" w:space="0" w:color="auto"/>
        <w:left w:val="none" w:sz="0" w:space="0" w:color="auto"/>
        <w:bottom w:val="none" w:sz="0" w:space="0" w:color="auto"/>
        <w:right w:val="none" w:sz="0" w:space="0" w:color="auto"/>
      </w:divBdr>
    </w:div>
    <w:div w:id="6252634">
      <w:bodyDiv w:val="1"/>
      <w:marLeft w:val="0"/>
      <w:marRight w:val="0"/>
      <w:marTop w:val="0"/>
      <w:marBottom w:val="0"/>
      <w:divBdr>
        <w:top w:val="none" w:sz="0" w:space="0" w:color="auto"/>
        <w:left w:val="none" w:sz="0" w:space="0" w:color="auto"/>
        <w:bottom w:val="none" w:sz="0" w:space="0" w:color="auto"/>
        <w:right w:val="none" w:sz="0" w:space="0" w:color="auto"/>
      </w:divBdr>
    </w:div>
    <w:div w:id="6716048">
      <w:bodyDiv w:val="1"/>
      <w:marLeft w:val="0"/>
      <w:marRight w:val="0"/>
      <w:marTop w:val="0"/>
      <w:marBottom w:val="0"/>
      <w:divBdr>
        <w:top w:val="none" w:sz="0" w:space="0" w:color="auto"/>
        <w:left w:val="none" w:sz="0" w:space="0" w:color="auto"/>
        <w:bottom w:val="none" w:sz="0" w:space="0" w:color="auto"/>
        <w:right w:val="none" w:sz="0" w:space="0" w:color="auto"/>
      </w:divBdr>
    </w:div>
    <w:div w:id="6755022">
      <w:bodyDiv w:val="1"/>
      <w:marLeft w:val="0"/>
      <w:marRight w:val="0"/>
      <w:marTop w:val="0"/>
      <w:marBottom w:val="0"/>
      <w:divBdr>
        <w:top w:val="none" w:sz="0" w:space="0" w:color="auto"/>
        <w:left w:val="none" w:sz="0" w:space="0" w:color="auto"/>
        <w:bottom w:val="none" w:sz="0" w:space="0" w:color="auto"/>
        <w:right w:val="none" w:sz="0" w:space="0" w:color="auto"/>
      </w:divBdr>
    </w:div>
    <w:div w:id="8261210">
      <w:bodyDiv w:val="1"/>
      <w:marLeft w:val="0"/>
      <w:marRight w:val="0"/>
      <w:marTop w:val="0"/>
      <w:marBottom w:val="0"/>
      <w:divBdr>
        <w:top w:val="none" w:sz="0" w:space="0" w:color="auto"/>
        <w:left w:val="none" w:sz="0" w:space="0" w:color="auto"/>
        <w:bottom w:val="none" w:sz="0" w:space="0" w:color="auto"/>
        <w:right w:val="none" w:sz="0" w:space="0" w:color="auto"/>
      </w:divBdr>
    </w:div>
    <w:div w:id="11151090">
      <w:bodyDiv w:val="1"/>
      <w:marLeft w:val="0"/>
      <w:marRight w:val="0"/>
      <w:marTop w:val="0"/>
      <w:marBottom w:val="0"/>
      <w:divBdr>
        <w:top w:val="none" w:sz="0" w:space="0" w:color="auto"/>
        <w:left w:val="none" w:sz="0" w:space="0" w:color="auto"/>
        <w:bottom w:val="none" w:sz="0" w:space="0" w:color="auto"/>
        <w:right w:val="none" w:sz="0" w:space="0" w:color="auto"/>
      </w:divBdr>
    </w:div>
    <w:div w:id="11151881">
      <w:bodyDiv w:val="1"/>
      <w:marLeft w:val="0"/>
      <w:marRight w:val="0"/>
      <w:marTop w:val="0"/>
      <w:marBottom w:val="0"/>
      <w:divBdr>
        <w:top w:val="none" w:sz="0" w:space="0" w:color="auto"/>
        <w:left w:val="none" w:sz="0" w:space="0" w:color="auto"/>
        <w:bottom w:val="none" w:sz="0" w:space="0" w:color="auto"/>
        <w:right w:val="none" w:sz="0" w:space="0" w:color="auto"/>
      </w:divBdr>
    </w:div>
    <w:div w:id="11416920">
      <w:bodyDiv w:val="1"/>
      <w:marLeft w:val="0"/>
      <w:marRight w:val="0"/>
      <w:marTop w:val="0"/>
      <w:marBottom w:val="0"/>
      <w:divBdr>
        <w:top w:val="none" w:sz="0" w:space="0" w:color="auto"/>
        <w:left w:val="none" w:sz="0" w:space="0" w:color="auto"/>
        <w:bottom w:val="none" w:sz="0" w:space="0" w:color="auto"/>
        <w:right w:val="none" w:sz="0" w:space="0" w:color="auto"/>
      </w:divBdr>
    </w:div>
    <w:div w:id="12732511">
      <w:bodyDiv w:val="1"/>
      <w:marLeft w:val="0"/>
      <w:marRight w:val="0"/>
      <w:marTop w:val="0"/>
      <w:marBottom w:val="0"/>
      <w:divBdr>
        <w:top w:val="none" w:sz="0" w:space="0" w:color="auto"/>
        <w:left w:val="none" w:sz="0" w:space="0" w:color="auto"/>
        <w:bottom w:val="none" w:sz="0" w:space="0" w:color="auto"/>
        <w:right w:val="none" w:sz="0" w:space="0" w:color="auto"/>
      </w:divBdr>
    </w:div>
    <w:div w:id="17514654">
      <w:bodyDiv w:val="1"/>
      <w:marLeft w:val="0"/>
      <w:marRight w:val="0"/>
      <w:marTop w:val="0"/>
      <w:marBottom w:val="0"/>
      <w:divBdr>
        <w:top w:val="none" w:sz="0" w:space="0" w:color="auto"/>
        <w:left w:val="none" w:sz="0" w:space="0" w:color="auto"/>
        <w:bottom w:val="none" w:sz="0" w:space="0" w:color="auto"/>
        <w:right w:val="none" w:sz="0" w:space="0" w:color="auto"/>
      </w:divBdr>
    </w:div>
    <w:div w:id="20252068">
      <w:bodyDiv w:val="1"/>
      <w:marLeft w:val="0"/>
      <w:marRight w:val="0"/>
      <w:marTop w:val="0"/>
      <w:marBottom w:val="0"/>
      <w:divBdr>
        <w:top w:val="none" w:sz="0" w:space="0" w:color="auto"/>
        <w:left w:val="none" w:sz="0" w:space="0" w:color="auto"/>
        <w:bottom w:val="none" w:sz="0" w:space="0" w:color="auto"/>
        <w:right w:val="none" w:sz="0" w:space="0" w:color="auto"/>
      </w:divBdr>
    </w:div>
    <w:div w:id="20665897">
      <w:bodyDiv w:val="1"/>
      <w:marLeft w:val="0"/>
      <w:marRight w:val="0"/>
      <w:marTop w:val="0"/>
      <w:marBottom w:val="0"/>
      <w:divBdr>
        <w:top w:val="none" w:sz="0" w:space="0" w:color="auto"/>
        <w:left w:val="none" w:sz="0" w:space="0" w:color="auto"/>
        <w:bottom w:val="none" w:sz="0" w:space="0" w:color="auto"/>
        <w:right w:val="none" w:sz="0" w:space="0" w:color="auto"/>
      </w:divBdr>
    </w:div>
    <w:div w:id="21320413">
      <w:bodyDiv w:val="1"/>
      <w:marLeft w:val="0"/>
      <w:marRight w:val="0"/>
      <w:marTop w:val="0"/>
      <w:marBottom w:val="0"/>
      <w:divBdr>
        <w:top w:val="none" w:sz="0" w:space="0" w:color="auto"/>
        <w:left w:val="none" w:sz="0" w:space="0" w:color="auto"/>
        <w:bottom w:val="none" w:sz="0" w:space="0" w:color="auto"/>
        <w:right w:val="none" w:sz="0" w:space="0" w:color="auto"/>
      </w:divBdr>
    </w:div>
    <w:div w:id="21321029">
      <w:bodyDiv w:val="1"/>
      <w:marLeft w:val="0"/>
      <w:marRight w:val="0"/>
      <w:marTop w:val="0"/>
      <w:marBottom w:val="0"/>
      <w:divBdr>
        <w:top w:val="none" w:sz="0" w:space="0" w:color="auto"/>
        <w:left w:val="none" w:sz="0" w:space="0" w:color="auto"/>
        <w:bottom w:val="none" w:sz="0" w:space="0" w:color="auto"/>
        <w:right w:val="none" w:sz="0" w:space="0" w:color="auto"/>
      </w:divBdr>
    </w:div>
    <w:div w:id="25837671">
      <w:bodyDiv w:val="1"/>
      <w:marLeft w:val="0"/>
      <w:marRight w:val="0"/>
      <w:marTop w:val="0"/>
      <w:marBottom w:val="0"/>
      <w:divBdr>
        <w:top w:val="none" w:sz="0" w:space="0" w:color="auto"/>
        <w:left w:val="none" w:sz="0" w:space="0" w:color="auto"/>
        <w:bottom w:val="none" w:sz="0" w:space="0" w:color="auto"/>
        <w:right w:val="none" w:sz="0" w:space="0" w:color="auto"/>
      </w:divBdr>
    </w:div>
    <w:div w:id="27150164">
      <w:bodyDiv w:val="1"/>
      <w:marLeft w:val="0"/>
      <w:marRight w:val="0"/>
      <w:marTop w:val="0"/>
      <w:marBottom w:val="0"/>
      <w:divBdr>
        <w:top w:val="none" w:sz="0" w:space="0" w:color="auto"/>
        <w:left w:val="none" w:sz="0" w:space="0" w:color="auto"/>
        <w:bottom w:val="none" w:sz="0" w:space="0" w:color="auto"/>
        <w:right w:val="none" w:sz="0" w:space="0" w:color="auto"/>
      </w:divBdr>
    </w:div>
    <w:div w:id="28998575">
      <w:bodyDiv w:val="1"/>
      <w:marLeft w:val="0"/>
      <w:marRight w:val="0"/>
      <w:marTop w:val="0"/>
      <w:marBottom w:val="0"/>
      <w:divBdr>
        <w:top w:val="none" w:sz="0" w:space="0" w:color="auto"/>
        <w:left w:val="none" w:sz="0" w:space="0" w:color="auto"/>
        <w:bottom w:val="none" w:sz="0" w:space="0" w:color="auto"/>
        <w:right w:val="none" w:sz="0" w:space="0" w:color="auto"/>
      </w:divBdr>
    </w:div>
    <w:div w:id="34040988">
      <w:bodyDiv w:val="1"/>
      <w:marLeft w:val="0"/>
      <w:marRight w:val="0"/>
      <w:marTop w:val="0"/>
      <w:marBottom w:val="0"/>
      <w:divBdr>
        <w:top w:val="none" w:sz="0" w:space="0" w:color="auto"/>
        <w:left w:val="none" w:sz="0" w:space="0" w:color="auto"/>
        <w:bottom w:val="none" w:sz="0" w:space="0" w:color="auto"/>
        <w:right w:val="none" w:sz="0" w:space="0" w:color="auto"/>
      </w:divBdr>
    </w:div>
    <w:div w:id="34741858">
      <w:bodyDiv w:val="1"/>
      <w:marLeft w:val="0"/>
      <w:marRight w:val="0"/>
      <w:marTop w:val="0"/>
      <w:marBottom w:val="0"/>
      <w:divBdr>
        <w:top w:val="none" w:sz="0" w:space="0" w:color="auto"/>
        <w:left w:val="none" w:sz="0" w:space="0" w:color="auto"/>
        <w:bottom w:val="none" w:sz="0" w:space="0" w:color="auto"/>
        <w:right w:val="none" w:sz="0" w:space="0" w:color="auto"/>
      </w:divBdr>
    </w:div>
    <w:div w:id="35398006">
      <w:bodyDiv w:val="1"/>
      <w:marLeft w:val="0"/>
      <w:marRight w:val="0"/>
      <w:marTop w:val="0"/>
      <w:marBottom w:val="0"/>
      <w:divBdr>
        <w:top w:val="none" w:sz="0" w:space="0" w:color="auto"/>
        <w:left w:val="none" w:sz="0" w:space="0" w:color="auto"/>
        <w:bottom w:val="none" w:sz="0" w:space="0" w:color="auto"/>
        <w:right w:val="none" w:sz="0" w:space="0" w:color="auto"/>
      </w:divBdr>
    </w:div>
    <w:div w:id="35858210">
      <w:bodyDiv w:val="1"/>
      <w:marLeft w:val="0"/>
      <w:marRight w:val="0"/>
      <w:marTop w:val="0"/>
      <w:marBottom w:val="0"/>
      <w:divBdr>
        <w:top w:val="none" w:sz="0" w:space="0" w:color="auto"/>
        <w:left w:val="none" w:sz="0" w:space="0" w:color="auto"/>
        <w:bottom w:val="none" w:sz="0" w:space="0" w:color="auto"/>
        <w:right w:val="none" w:sz="0" w:space="0" w:color="auto"/>
      </w:divBdr>
    </w:div>
    <w:div w:id="36315922">
      <w:bodyDiv w:val="1"/>
      <w:marLeft w:val="0"/>
      <w:marRight w:val="0"/>
      <w:marTop w:val="0"/>
      <w:marBottom w:val="0"/>
      <w:divBdr>
        <w:top w:val="none" w:sz="0" w:space="0" w:color="auto"/>
        <w:left w:val="none" w:sz="0" w:space="0" w:color="auto"/>
        <w:bottom w:val="none" w:sz="0" w:space="0" w:color="auto"/>
        <w:right w:val="none" w:sz="0" w:space="0" w:color="auto"/>
      </w:divBdr>
    </w:div>
    <w:div w:id="36518115">
      <w:bodyDiv w:val="1"/>
      <w:marLeft w:val="0"/>
      <w:marRight w:val="0"/>
      <w:marTop w:val="0"/>
      <w:marBottom w:val="0"/>
      <w:divBdr>
        <w:top w:val="none" w:sz="0" w:space="0" w:color="auto"/>
        <w:left w:val="none" w:sz="0" w:space="0" w:color="auto"/>
        <w:bottom w:val="none" w:sz="0" w:space="0" w:color="auto"/>
        <w:right w:val="none" w:sz="0" w:space="0" w:color="auto"/>
      </w:divBdr>
    </w:div>
    <w:div w:id="37166773">
      <w:bodyDiv w:val="1"/>
      <w:marLeft w:val="0"/>
      <w:marRight w:val="0"/>
      <w:marTop w:val="0"/>
      <w:marBottom w:val="0"/>
      <w:divBdr>
        <w:top w:val="none" w:sz="0" w:space="0" w:color="auto"/>
        <w:left w:val="none" w:sz="0" w:space="0" w:color="auto"/>
        <w:bottom w:val="none" w:sz="0" w:space="0" w:color="auto"/>
        <w:right w:val="none" w:sz="0" w:space="0" w:color="auto"/>
      </w:divBdr>
    </w:div>
    <w:div w:id="39137498">
      <w:bodyDiv w:val="1"/>
      <w:marLeft w:val="0"/>
      <w:marRight w:val="0"/>
      <w:marTop w:val="0"/>
      <w:marBottom w:val="0"/>
      <w:divBdr>
        <w:top w:val="none" w:sz="0" w:space="0" w:color="auto"/>
        <w:left w:val="none" w:sz="0" w:space="0" w:color="auto"/>
        <w:bottom w:val="none" w:sz="0" w:space="0" w:color="auto"/>
        <w:right w:val="none" w:sz="0" w:space="0" w:color="auto"/>
      </w:divBdr>
    </w:div>
    <w:div w:id="39481509">
      <w:bodyDiv w:val="1"/>
      <w:marLeft w:val="0"/>
      <w:marRight w:val="0"/>
      <w:marTop w:val="0"/>
      <w:marBottom w:val="0"/>
      <w:divBdr>
        <w:top w:val="none" w:sz="0" w:space="0" w:color="auto"/>
        <w:left w:val="none" w:sz="0" w:space="0" w:color="auto"/>
        <w:bottom w:val="none" w:sz="0" w:space="0" w:color="auto"/>
        <w:right w:val="none" w:sz="0" w:space="0" w:color="auto"/>
      </w:divBdr>
    </w:div>
    <w:div w:id="39788693">
      <w:bodyDiv w:val="1"/>
      <w:marLeft w:val="0"/>
      <w:marRight w:val="0"/>
      <w:marTop w:val="0"/>
      <w:marBottom w:val="0"/>
      <w:divBdr>
        <w:top w:val="none" w:sz="0" w:space="0" w:color="auto"/>
        <w:left w:val="none" w:sz="0" w:space="0" w:color="auto"/>
        <w:bottom w:val="none" w:sz="0" w:space="0" w:color="auto"/>
        <w:right w:val="none" w:sz="0" w:space="0" w:color="auto"/>
      </w:divBdr>
    </w:div>
    <w:div w:id="40330888">
      <w:bodyDiv w:val="1"/>
      <w:marLeft w:val="0"/>
      <w:marRight w:val="0"/>
      <w:marTop w:val="0"/>
      <w:marBottom w:val="0"/>
      <w:divBdr>
        <w:top w:val="none" w:sz="0" w:space="0" w:color="auto"/>
        <w:left w:val="none" w:sz="0" w:space="0" w:color="auto"/>
        <w:bottom w:val="none" w:sz="0" w:space="0" w:color="auto"/>
        <w:right w:val="none" w:sz="0" w:space="0" w:color="auto"/>
      </w:divBdr>
    </w:div>
    <w:div w:id="43413597">
      <w:bodyDiv w:val="1"/>
      <w:marLeft w:val="0"/>
      <w:marRight w:val="0"/>
      <w:marTop w:val="0"/>
      <w:marBottom w:val="0"/>
      <w:divBdr>
        <w:top w:val="none" w:sz="0" w:space="0" w:color="auto"/>
        <w:left w:val="none" w:sz="0" w:space="0" w:color="auto"/>
        <w:bottom w:val="none" w:sz="0" w:space="0" w:color="auto"/>
        <w:right w:val="none" w:sz="0" w:space="0" w:color="auto"/>
      </w:divBdr>
    </w:div>
    <w:div w:id="43724339">
      <w:bodyDiv w:val="1"/>
      <w:marLeft w:val="0"/>
      <w:marRight w:val="0"/>
      <w:marTop w:val="0"/>
      <w:marBottom w:val="0"/>
      <w:divBdr>
        <w:top w:val="none" w:sz="0" w:space="0" w:color="auto"/>
        <w:left w:val="none" w:sz="0" w:space="0" w:color="auto"/>
        <w:bottom w:val="none" w:sz="0" w:space="0" w:color="auto"/>
        <w:right w:val="none" w:sz="0" w:space="0" w:color="auto"/>
      </w:divBdr>
    </w:div>
    <w:div w:id="45106647">
      <w:bodyDiv w:val="1"/>
      <w:marLeft w:val="0"/>
      <w:marRight w:val="0"/>
      <w:marTop w:val="0"/>
      <w:marBottom w:val="0"/>
      <w:divBdr>
        <w:top w:val="none" w:sz="0" w:space="0" w:color="auto"/>
        <w:left w:val="none" w:sz="0" w:space="0" w:color="auto"/>
        <w:bottom w:val="none" w:sz="0" w:space="0" w:color="auto"/>
        <w:right w:val="none" w:sz="0" w:space="0" w:color="auto"/>
      </w:divBdr>
    </w:div>
    <w:div w:id="45226456">
      <w:bodyDiv w:val="1"/>
      <w:marLeft w:val="0"/>
      <w:marRight w:val="0"/>
      <w:marTop w:val="0"/>
      <w:marBottom w:val="0"/>
      <w:divBdr>
        <w:top w:val="none" w:sz="0" w:space="0" w:color="auto"/>
        <w:left w:val="none" w:sz="0" w:space="0" w:color="auto"/>
        <w:bottom w:val="none" w:sz="0" w:space="0" w:color="auto"/>
        <w:right w:val="none" w:sz="0" w:space="0" w:color="auto"/>
      </w:divBdr>
    </w:div>
    <w:div w:id="45373799">
      <w:bodyDiv w:val="1"/>
      <w:marLeft w:val="0"/>
      <w:marRight w:val="0"/>
      <w:marTop w:val="0"/>
      <w:marBottom w:val="0"/>
      <w:divBdr>
        <w:top w:val="none" w:sz="0" w:space="0" w:color="auto"/>
        <w:left w:val="none" w:sz="0" w:space="0" w:color="auto"/>
        <w:bottom w:val="none" w:sz="0" w:space="0" w:color="auto"/>
        <w:right w:val="none" w:sz="0" w:space="0" w:color="auto"/>
      </w:divBdr>
    </w:div>
    <w:div w:id="48119294">
      <w:bodyDiv w:val="1"/>
      <w:marLeft w:val="0"/>
      <w:marRight w:val="0"/>
      <w:marTop w:val="0"/>
      <w:marBottom w:val="0"/>
      <w:divBdr>
        <w:top w:val="none" w:sz="0" w:space="0" w:color="auto"/>
        <w:left w:val="none" w:sz="0" w:space="0" w:color="auto"/>
        <w:bottom w:val="none" w:sz="0" w:space="0" w:color="auto"/>
        <w:right w:val="none" w:sz="0" w:space="0" w:color="auto"/>
      </w:divBdr>
    </w:div>
    <w:div w:id="48649791">
      <w:bodyDiv w:val="1"/>
      <w:marLeft w:val="0"/>
      <w:marRight w:val="0"/>
      <w:marTop w:val="0"/>
      <w:marBottom w:val="0"/>
      <w:divBdr>
        <w:top w:val="none" w:sz="0" w:space="0" w:color="auto"/>
        <w:left w:val="none" w:sz="0" w:space="0" w:color="auto"/>
        <w:bottom w:val="none" w:sz="0" w:space="0" w:color="auto"/>
        <w:right w:val="none" w:sz="0" w:space="0" w:color="auto"/>
      </w:divBdr>
    </w:div>
    <w:div w:id="49117395">
      <w:bodyDiv w:val="1"/>
      <w:marLeft w:val="0"/>
      <w:marRight w:val="0"/>
      <w:marTop w:val="0"/>
      <w:marBottom w:val="0"/>
      <w:divBdr>
        <w:top w:val="none" w:sz="0" w:space="0" w:color="auto"/>
        <w:left w:val="none" w:sz="0" w:space="0" w:color="auto"/>
        <w:bottom w:val="none" w:sz="0" w:space="0" w:color="auto"/>
        <w:right w:val="none" w:sz="0" w:space="0" w:color="auto"/>
      </w:divBdr>
    </w:div>
    <w:div w:id="49230763">
      <w:bodyDiv w:val="1"/>
      <w:marLeft w:val="0"/>
      <w:marRight w:val="0"/>
      <w:marTop w:val="0"/>
      <w:marBottom w:val="0"/>
      <w:divBdr>
        <w:top w:val="none" w:sz="0" w:space="0" w:color="auto"/>
        <w:left w:val="none" w:sz="0" w:space="0" w:color="auto"/>
        <w:bottom w:val="none" w:sz="0" w:space="0" w:color="auto"/>
        <w:right w:val="none" w:sz="0" w:space="0" w:color="auto"/>
      </w:divBdr>
    </w:div>
    <w:div w:id="49770565">
      <w:bodyDiv w:val="1"/>
      <w:marLeft w:val="0"/>
      <w:marRight w:val="0"/>
      <w:marTop w:val="0"/>
      <w:marBottom w:val="0"/>
      <w:divBdr>
        <w:top w:val="none" w:sz="0" w:space="0" w:color="auto"/>
        <w:left w:val="none" w:sz="0" w:space="0" w:color="auto"/>
        <w:bottom w:val="none" w:sz="0" w:space="0" w:color="auto"/>
        <w:right w:val="none" w:sz="0" w:space="0" w:color="auto"/>
      </w:divBdr>
    </w:div>
    <w:div w:id="50160521">
      <w:bodyDiv w:val="1"/>
      <w:marLeft w:val="0"/>
      <w:marRight w:val="0"/>
      <w:marTop w:val="0"/>
      <w:marBottom w:val="0"/>
      <w:divBdr>
        <w:top w:val="none" w:sz="0" w:space="0" w:color="auto"/>
        <w:left w:val="none" w:sz="0" w:space="0" w:color="auto"/>
        <w:bottom w:val="none" w:sz="0" w:space="0" w:color="auto"/>
        <w:right w:val="none" w:sz="0" w:space="0" w:color="auto"/>
      </w:divBdr>
    </w:div>
    <w:div w:id="50271505">
      <w:bodyDiv w:val="1"/>
      <w:marLeft w:val="0"/>
      <w:marRight w:val="0"/>
      <w:marTop w:val="0"/>
      <w:marBottom w:val="0"/>
      <w:divBdr>
        <w:top w:val="none" w:sz="0" w:space="0" w:color="auto"/>
        <w:left w:val="none" w:sz="0" w:space="0" w:color="auto"/>
        <w:bottom w:val="none" w:sz="0" w:space="0" w:color="auto"/>
        <w:right w:val="none" w:sz="0" w:space="0" w:color="auto"/>
      </w:divBdr>
    </w:div>
    <w:div w:id="50420897">
      <w:bodyDiv w:val="1"/>
      <w:marLeft w:val="0"/>
      <w:marRight w:val="0"/>
      <w:marTop w:val="0"/>
      <w:marBottom w:val="0"/>
      <w:divBdr>
        <w:top w:val="none" w:sz="0" w:space="0" w:color="auto"/>
        <w:left w:val="none" w:sz="0" w:space="0" w:color="auto"/>
        <w:bottom w:val="none" w:sz="0" w:space="0" w:color="auto"/>
        <w:right w:val="none" w:sz="0" w:space="0" w:color="auto"/>
      </w:divBdr>
    </w:div>
    <w:div w:id="52697925">
      <w:bodyDiv w:val="1"/>
      <w:marLeft w:val="0"/>
      <w:marRight w:val="0"/>
      <w:marTop w:val="0"/>
      <w:marBottom w:val="0"/>
      <w:divBdr>
        <w:top w:val="none" w:sz="0" w:space="0" w:color="auto"/>
        <w:left w:val="none" w:sz="0" w:space="0" w:color="auto"/>
        <w:bottom w:val="none" w:sz="0" w:space="0" w:color="auto"/>
        <w:right w:val="none" w:sz="0" w:space="0" w:color="auto"/>
      </w:divBdr>
    </w:div>
    <w:div w:id="54360961">
      <w:bodyDiv w:val="1"/>
      <w:marLeft w:val="0"/>
      <w:marRight w:val="0"/>
      <w:marTop w:val="0"/>
      <w:marBottom w:val="0"/>
      <w:divBdr>
        <w:top w:val="none" w:sz="0" w:space="0" w:color="auto"/>
        <w:left w:val="none" w:sz="0" w:space="0" w:color="auto"/>
        <w:bottom w:val="none" w:sz="0" w:space="0" w:color="auto"/>
        <w:right w:val="none" w:sz="0" w:space="0" w:color="auto"/>
      </w:divBdr>
    </w:div>
    <w:div w:id="55862440">
      <w:bodyDiv w:val="1"/>
      <w:marLeft w:val="0"/>
      <w:marRight w:val="0"/>
      <w:marTop w:val="0"/>
      <w:marBottom w:val="0"/>
      <w:divBdr>
        <w:top w:val="none" w:sz="0" w:space="0" w:color="auto"/>
        <w:left w:val="none" w:sz="0" w:space="0" w:color="auto"/>
        <w:bottom w:val="none" w:sz="0" w:space="0" w:color="auto"/>
        <w:right w:val="none" w:sz="0" w:space="0" w:color="auto"/>
      </w:divBdr>
    </w:div>
    <w:div w:id="56319987">
      <w:bodyDiv w:val="1"/>
      <w:marLeft w:val="0"/>
      <w:marRight w:val="0"/>
      <w:marTop w:val="0"/>
      <w:marBottom w:val="0"/>
      <w:divBdr>
        <w:top w:val="none" w:sz="0" w:space="0" w:color="auto"/>
        <w:left w:val="none" w:sz="0" w:space="0" w:color="auto"/>
        <w:bottom w:val="none" w:sz="0" w:space="0" w:color="auto"/>
        <w:right w:val="none" w:sz="0" w:space="0" w:color="auto"/>
      </w:divBdr>
    </w:div>
    <w:div w:id="57485293">
      <w:bodyDiv w:val="1"/>
      <w:marLeft w:val="0"/>
      <w:marRight w:val="0"/>
      <w:marTop w:val="0"/>
      <w:marBottom w:val="0"/>
      <w:divBdr>
        <w:top w:val="none" w:sz="0" w:space="0" w:color="auto"/>
        <w:left w:val="none" w:sz="0" w:space="0" w:color="auto"/>
        <w:bottom w:val="none" w:sz="0" w:space="0" w:color="auto"/>
        <w:right w:val="none" w:sz="0" w:space="0" w:color="auto"/>
      </w:divBdr>
    </w:div>
    <w:div w:id="59603590">
      <w:bodyDiv w:val="1"/>
      <w:marLeft w:val="0"/>
      <w:marRight w:val="0"/>
      <w:marTop w:val="0"/>
      <w:marBottom w:val="0"/>
      <w:divBdr>
        <w:top w:val="none" w:sz="0" w:space="0" w:color="auto"/>
        <w:left w:val="none" w:sz="0" w:space="0" w:color="auto"/>
        <w:bottom w:val="none" w:sz="0" w:space="0" w:color="auto"/>
        <w:right w:val="none" w:sz="0" w:space="0" w:color="auto"/>
      </w:divBdr>
    </w:div>
    <w:div w:id="66459796">
      <w:bodyDiv w:val="1"/>
      <w:marLeft w:val="0"/>
      <w:marRight w:val="0"/>
      <w:marTop w:val="0"/>
      <w:marBottom w:val="0"/>
      <w:divBdr>
        <w:top w:val="none" w:sz="0" w:space="0" w:color="auto"/>
        <w:left w:val="none" w:sz="0" w:space="0" w:color="auto"/>
        <w:bottom w:val="none" w:sz="0" w:space="0" w:color="auto"/>
        <w:right w:val="none" w:sz="0" w:space="0" w:color="auto"/>
      </w:divBdr>
    </w:div>
    <w:div w:id="72044319">
      <w:bodyDiv w:val="1"/>
      <w:marLeft w:val="0"/>
      <w:marRight w:val="0"/>
      <w:marTop w:val="0"/>
      <w:marBottom w:val="0"/>
      <w:divBdr>
        <w:top w:val="none" w:sz="0" w:space="0" w:color="auto"/>
        <w:left w:val="none" w:sz="0" w:space="0" w:color="auto"/>
        <w:bottom w:val="none" w:sz="0" w:space="0" w:color="auto"/>
        <w:right w:val="none" w:sz="0" w:space="0" w:color="auto"/>
      </w:divBdr>
    </w:div>
    <w:div w:id="75830532">
      <w:bodyDiv w:val="1"/>
      <w:marLeft w:val="0"/>
      <w:marRight w:val="0"/>
      <w:marTop w:val="0"/>
      <w:marBottom w:val="0"/>
      <w:divBdr>
        <w:top w:val="none" w:sz="0" w:space="0" w:color="auto"/>
        <w:left w:val="none" w:sz="0" w:space="0" w:color="auto"/>
        <w:bottom w:val="none" w:sz="0" w:space="0" w:color="auto"/>
        <w:right w:val="none" w:sz="0" w:space="0" w:color="auto"/>
      </w:divBdr>
    </w:div>
    <w:div w:id="76830828">
      <w:bodyDiv w:val="1"/>
      <w:marLeft w:val="0"/>
      <w:marRight w:val="0"/>
      <w:marTop w:val="0"/>
      <w:marBottom w:val="0"/>
      <w:divBdr>
        <w:top w:val="none" w:sz="0" w:space="0" w:color="auto"/>
        <w:left w:val="none" w:sz="0" w:space="0" w:color="auto"/>
        <w:bottom w:val="none" w:sz="0" w:space="0" w:color="auto"/>
        <w:right w:val="none" w:sz="0" w:space="0" w:color="auto"/>
      </w:divBdr>
    </w:div>
    <w:div w:id="80414392">
      <w:bodyDiv w:val="1"/>
      <w:marLeft w:val="0"/>
      <w:marRight w:val="0"/>
      <w:marTop w:val="0"/>
      <w:marBottom w:val="0"/>
      <w:divBdr>
        <w:top w:val="none" w:sz="0" w:space="0" w:color="auto"/>
        <w:left w:val="none" w:sz="0" w:space="0" w:color="auto"/>
        <w:bottom w:val="none" w:sz="0" w:space="0" w:color="auto"/>
        <w:right w:val="none" w:sz="0" w:space="0" w:color="auto"/>
      </w:divBdr>
    </w:div>
    <w:div w:id="81683736">
      <w:bodyDiv w:val="1"/>
      <w:marLeft w:val="0"/>
      <w:marRight w:val="0"/>
      <w:marTop w:val="0"/>
      <w:marBottom w:val="0"/>
      <w:divBdr>
        <w:top w:val="none" w:sz="0" w:space="0" w:color="auto"/>
        <w:left w:val="none" w:sz="0" w:space="0" w:color="auto"/>
        <w:bottom w:val="none" w:sz="0" w:space="0" w:color="auto"/>
        <w:right w:val="none" w:sz="0" w:space="0" w:color="auto"/>
      </w:divBdr>
    </w:div>
    <w:div w:id="83232696">
      <w:bodyDiv w:val="1"/>
      <w:marLeft w:val="0"/>
      <w:marRight w:val="0"/>
      <w:marTop w:val="0"/>
      <w:marBottom w:val="0"/>
      <w:divBdr>
        <w:top w:val="none" w:sz="0" w:space="0" w:color="auto"/>
        <w:left w:val="none" w:sz="0" w:space="0" w:color="auto"/>
        <w:bottom w:val="none" w:sz="0" w:space="0" w:color="auto"/>
        <w:right w:val="none" w:sz="0" w:space="0" w:color="auto"/>
      </w:divBdr>
    </w:div>
    <w:div w:id="84305770">
      <w:bodyDiv w:val="1"/>
      <w:marLeft w:val="0"/>
      <w:marRight w:val="0"/>
      <w:marTop w:val="0"/>
      <w:marBottom w:val="0"/>
      <w:divBdr>
        <w:top w:val="none" w:sz="0" w:space="0" w:color="auto"/>
        <w:left w:val="none" w:sz="0" w:space="0" w:color="auto"/>
        <w:bottom w:val="none" w:sz="0" w:space="0" w:color="auto"/>
        <w:right w:val="none" w:sz="0" w:space="0" w:color="auto"/>
      </w:divBdr>
    </w:div>
    <w:div w:id="84695540">
      <w:bodyDiv w:val="1"/>
      <w:marLeft w:val="0"/>
      <w:marRight w:val="0"/>
      <w:marTop w:val="0"/>
      <w:marBottom w:val="0"/>
      <w:divBdr>
        <w:top w:val="none" w:sz="0" w:space="0" w:color="auto"/>
        <w:left w:val="none" w:sz="0" w:space="0" w:color="auto"/>
        <w:bottom w:val="none" w:sz="0" w:space="0" w:color="auto"/>
        <w:right w:val="none" w:sz="0" w:space="0" w:color="auto"/>
      </w:divBdr>
    </w:div>
    <w:div w:id="84963092">
      <w:bodyDiv w:val="1"/>
      <w:marLeft w:val="0"/>
      <w:marRight w:val="0"/>
      <w:marTop w:val="0"/>
      <w:marBottom w:val="0"/>
      <w:divBdr>
        <w:top w:val="none" w:sz="0" w:space="0" w:color="auto"/>
        <w:left w:val="none" w:sz="0" w:space="0" w:color="auto"/>
        <w:bottom w:val="none" w:sz="0" w:space="0" w:color="auto"/>
        <w:right w:val="none" w:sz="0" w:space="0" w:color="auto"/>
      </w:divBdr>
    </w:div>
    <w:div w:id="85225983">
      <w:bodyDiv w:val="1"/>
      <w:marLeft w:val="0"/>
      <w:marRight w:val="0"/>
      <w:marTop w:val="0"/>
      <w:marBottom w:val="0"/>
      <w:divBdr>
        <w:top w:val="none" w:sz="0" w:space="0" w:color="auto"/>
        <w:left w:val="none" w:sz="0" w:space="0" w:color="auto"/>
        <w:bottom w:val="none" w:sz="0" w:space="0" w:color="auto"/>
        <w:right w:val="none" w:sz="0" w:space="0" w:color="auto"/>
      </w:divBdr>
    </w:div>
    <w:div w:id="85730173">
      <w:bodyDiv w:val="1"/>
      <w:marLeft w:val="0"/>
      <w:marRight w:val="0"/>
      <w:marTop w:val="0"/>
      <w:marBottom w:val="0"/>
      <w:divBdr>
        <w:top w:val="none" w:sz="0" w:space="0" w:color="auto"/>
        <w:left w:val="none" w:sz="0" w:space="0" w:color="auto"/>
        <w:bottom w:val="none" w:sz="0" w:space="0" w:color="auto"/>
        <w:right w:val="none" w:sz="0" w:space="0" w:color="auto"/>
      </w:divBdr>
    </w:div>
    <w:div w:id="89200229">
      <w:bodyDiv w:val="1"/>
      <w:marLeft w:val="0"/>
      <w:marRight w:val="0"/>
      <w:marTop w:val="0"/>
      <w:marBottom w:val="0"/>
      <w:divBdr>
        <w:top w:val="none" w:sz="0" w:space="0" w:color="auto"/>
        <w:left w:val="none" w:sz="0" w:space="0" w:color="auto"/>
        <w:bottom w:val="none" w:sz="0" w:space="0" w:color="auto"/>
        <w:right w:val="none" w:sz="0" w:space="0" w:color="auto"/>
      </w:divBdr>
    </w:div>
    <w:div w:id="91559699">
      <w:bodyDiv w:val="1"/>
      <w:marLeft w:val="0"/>
      <w:marRight w:val="0"/>
      <w:marTop w:val="0"/>
      <w:marBottom w:val="0"/>
      <w:divBdr>
        <w:top w:val="none" w:sz="0" w:space="0" w:color="auto"/>
        <w:left w:val="none" w:sz="0" w:space="0" w:color="auto"/>
        <w:bottom w:val="none" w:sz="0" w:space="0" w:color="auto"/>
        <w:right w:val="none" w:sz="0" w:space="0" w:color="auto"/>
      </w:divBdr>
    </w:div>
    <w:div w:id="93864420">
      <w:bodyDiv w:val="1"/>
      <w:marLeft w:val="0"/>
      <w:marRight w:val="0"/>
      <w:marTop w:val="0"/>
      <w:marBottom w:val="0"/>
      <w:divBdr>
        <w:top w:val="none" w:sz="0" w:space="0" w:color="auto"/>
        <w:left w:val="none" w:sz="0" w:space="0" w:color="auto"/>
        <w:bottom w:val="none" w:sz="0" w:space="0" w:color="auto"/>
        <w:right w:val="none" w:sz="0" w:space="0" w:color="auto"/>
      </w:divBdr>
    </w:div>
    <w:div w:id="93985883">
      <w:bodyDiv w:val="1"/>
      <w:marLeft w:val="0"/>
      <w:marRight w:val="0"/>
      <w:marTop w:val="0"/>
      <w:marBottom w:val="0"/>
      <w:divBdr>
        <w:top w:val="none" w:sz="0" w:space="0" w:color="auto"/>
        <w:left w:val="none" w:sz="0" w:space="0" w:color="auto"/>
        <w:bottom w:val="none" w:sz="0" w:space="0" w:color="auto"/>
        <w:right w:val="none" w:sz="0" w:space="0" w:color="auto"/>
      </w:divBdr>
    </w:div>
    <w:div w:id="94056334">
      <w:bodyDiv w:val="1"/>
      <w:marLeft w:val="0"/>
      <w:marRight w:val="0"/>
      <w:marTop w:val="0"/>
      <w:marBottom w:val="0"/>
      <w:divBdr>
        <w:top w:val="none" w:sz="0" w:space="0" w:color="auto"/>
        <w:left w:val="none" w:sz="0" w:space="0" w:color="auto"/>
        <w:bottom w:val="none" w:sz="0" w:space="0" w:color="auto"/>
        <w:right w:val="none" w:sz="0" w:space="0" w:color="auto"/>
      </w:divBdr>
    </w:div>
    <w:div w:id="95714638">
      <w:bodyDiv w:val="1"/>
      <w:marLeft w:val="0"/>
      <w:marRight w:val="0"/>
      <w:marTop w:val="0"/>
      <w:marBottom w:val="0"/>
      <w:divBdr>
        <w:top w:val="none" w:sz="0" w:space="0" w:color="auto"/>
        <w:left w:val="none" w:sz="0" w:space="0" w:color="auto"/>
        <w:bottom w:val="none" w:sz="0" w:space="0" w:color="auto"/>
        <w:right w:val="none" w:sz="0" w:space="0" w:color="auto"/>
      </w:divBdr>
    </w:div>
    <w:div w:id="96871502">
      <w:bodyDiv w:val="1"/>
      <w:marLeft w:val="0"/>
      <w:marRight w:val="0"/>
      <w:marTop w:val="0"/>
      <w:marBottom w:val="0"/>
      <w:divBdr>
        <w:top w:val="none" w:sz="0" w:space="0" w:color="auto"/>
        <w:left w:val="none" w:sz="0" w:space="0" w:color="auto"/>
        <w:bottom w:val="none" w:sz="0" w:space="0" w:color="auto"/>
        <w:right w:val="none" w:sz="0" w:space="0" w:color="auto"/>
      </w:divBdr>
    </w:div>
    <w:div w:id="97219416">
      <w:bodyDiv w:val="1"/>
      <w:marLeft w:val="0"/>
      <w:marRight w:val="0"/>
      <w:marTop w:val="0"/>
      <w:marBottom w:val="0"/>
      <w:divBdr>
        <w:top w:val="none" w:sz="0" w:space="0" w:color="auto"/>
        <w:left w:val="none" w:sz="0" w:space="0" w:color="auto"/>
        <w:bottom w:val="none" w:sz="0" w:space="0" w:color="auto"/>
        <w:right w:val="none" w:sz="0" w:space="0" w:color="auto"/>
      </w:divBdr>
    </w:div>
    <w:div w:id="97911922">
      <w:bodyDiv w:val="1"/>
      <w:marLeft w:val="0"/>
      <w:marRight w:val="0"/>
      <w:marTop w:val="0"/>
      <w:marBottom w:val="0"/>
      <w:divBdr>
        <w:top w:val="none" w:sz="0" w:space="0" w:color="auto"/>
        <w:left w:val="none" w:sz="0" w:space="0" w:color="auto"/>
        <w:bottom w:val="none" w:sz="0" w:space="0" w:color="auto"/>
        <w:right w:val="none" w:sz="0" w:space="0" w:color="auto"/>
      </w:divBdr>
    </w:div>
    <w:div w:id="97919060">
      <w:bodyDiv w:val="1"/>
      <w:marLeft w:val="0"/>
      <w:marRight w:val="0"/>
      <w:marTop w:val="0"/>
      <w:marBottom w:val="0"/>
      <w:divBdr>
        <w:top w:val="none" w:sz="0" w:space="0" w:color="auto"/>
        <w:left w:val="none" w:sz="0" w:space="0" w:color="auto"/>
        <w:bottom w:val="none" w:sz="0" w:space="0" w:color="auto"/>
        <w:right w:val="none" w:sz="0" w:space="0" w:color="auto"/>
      </w:divBdr>
    </w:div>
    <w:div w:id="99229503">
      <w:bodyDiv w:val="1"/>
      <w:marLeft w:val="0"/>
      <w:marRight w:val="0"/>
      <w:marTop w:val="0"/>
      <w:marBottom w:val="0"/>
      <w:divBdr>
        <w:top w:val="none" w:sz="0" w:space="0" w:color="auto"/>
        <w:left w:val="none" w:sz="0" w:space="0" w:color="auto"/>
        <w:bottom w:val="none" w:sz="0" w:space="0" w:color="auto"/>
        <w:right w:val="none" w:sz="0" w:space="0" w:color="auto"/>
      </w:divBdr>
    </w:div>
    <w:div w:id="101338740">
      <w:bodyDiv w:val="1"/>
      <w:marLeft w:val="0"/>
      <w:marRight w:val="0"/>
      <w:marTop w:val="0"/>
      <w:marBottom w:val="0"/>
      <w:divBdr>
        <w:top w:val="none" w:sz="0" w:space="0" w:color="auto"/>
        <w:left w:val="none" w:sz="0" w:space="0" w:color="auto"/>
        <w:bottom w:val="none" w:sz="0" w:space="0" w:color="auto"/>
        <w:right w:val="none" w:sz="0" w:space="0" w:color="auto"/>
      </w:divBdr>
    </w:div>
    <w:div w:id="103422508">
      <w:bodyDiv w:val="1"/>
      <w:marLeft w:val="0"/>
      <w:marRight w:val="0"/>
      <w:marTop w:val="0"/>
      <w:marBottom w:val="0"/>
      <w:divBdr>
        <w:top w:val="none" w:sz="0" w:space="0" w:color="auto"/>
        <w:left w:val="none" w:sz="0" w:space="0" w:color="auto"/>
        <w:bottom w:val="none" w:sz="0" w:space="0" w:color="auto"/>
        <w:right w:val="none" w:sz="0" w:space="0" w:color="auto"/>
      </w:divBdr>
    </w:div>
    <w:div w:id="104740505">
      <w:bodyDiv w:val="1"/>
      <w:marLeft w:val="0"/>
      <w:marRight w:val="0"/>
      <w:marTop w:val="0"/>
      <w:marBottom w:val="0"/>
      <w:divBdr>
        <w:top w:val="none" w:sz="0" w:space="0" w:color="auto"/>
        <w:left w:val="none" w:sz="0" w:space="0" w:color="auto"/>
        <w:bottom w:val="none" w:sz="0" w:space="0" w:color="auto"/>
        <w:right w:val="none" w:sz="0" w:space="0" w:color="auto"/>
      </w:divBdr>
    </w:div>
    <w:div w:id="104741121">
      <w:bodyDiv w:val="1"/>
      <w:marLeft w:val="0"/>
      <w:marRight w:val="0"/>
      <w:marTop w:val="0"/>
      <w:marBottom w:val="0"/>
      <w:divBdr>
        <w:top w:val="none" w:sz="0" w:space="0" w:color="auto"/>
        <w:left w:val="none" w:sz="0" w:space="0" w:color="auto"/>
        <w:bottom w:val="none" w:sz="0" w:space="0" w:color="auto"/>
        <w:right w:val="none" w:sz="0" w:space="0" w:color="auto"/>
      </w:divBdr>
    </w:div>
    <w:div w:id="105397079">
      <w:bodyDiv w:val="1"/>
      <w:marLeft w:val="0"/>
      <w:marRight w:val="0"/>
      <w:marTop w:val="0"/>
      <w:marBottom w:val="0"/>
      <w:divBdr>
        <w:top w:val="none" w:sz="0" w:space="0" w:color="auto"/>
        <w:left w:val="none" w:sz="0" w:space="0" w:color="auto"/>
        <w:bottom w:val="none" w:sz="0" w:space="0" w:color="auto"/>
        <w:right w:val="none" w:sz="0" w:space="0" w:color="auto"/>
      </w:divBdr>
    </w:div>
    <w:div w:id="109059276">
      <w:bodyDiv w:val="1"/>
      <w:marLeft w:val="0"/>
      <w:marRight w:val="0"/>
      <w:marTop w:val="0"/>
      <w:marBottom w:val="0"/>
      <w:divBdr>
        <w:top w:val="none" w:sz="0" w:space="0" w:color="auto"/>
        <w:left w:val="none" w:sz="0" w:space="0" w:color="auto"/>
        <w:bottom w:val="none" w:sz="0" w:space="0" w:color="auto"/>
        <w:right w:val="none" w:sz="0" w:space="0" w:color="auto"/>
      </w:divBdr>
    </w:div>
    <w:div w:id="109668676">
      <w:bodyDiv w:val="1"/>
      <w:marLeft w:val="0"/>
      <w:marRight w:val="0"/>
      <w:marTop w:val="0"/>
      <w:marBottom w:val="0"/>
      <w:divBdr>
        <w:top w:val="none" w:sz="0" w:space="0" w:color="auto"/>
        <w:left w:val="none" w:sz="0" w:space="0" w:color="auto"/>
        <w:bottom w:val="none" w:sz="0" w:space="0" w:color="auto"/>
        <w:right w:val="none" w:sz="0" w:space="0" w:color="auto"/>
      </w:divBdr>
    </w:div>
    <w:div w:id="110325668">
      <w:bodyDiv w:val="1"/>
      <w:marLeft w:val="0"/>
      <w:marRight w:val="0"/>
      <w:marTop w:val="0"/>
      <w:marBottom w:val="0"/>
      <w:divBdr>
        <w:top w:val="none" w:sz="0" w:space="0" w:color="auto"/>
        <w:left w:val="none" w:sz="0" w:space="0" w:color="auto"/>
        <w:bottom w:val="none" w:sz="0" w:space="0" w:color="auto"/>
        <w:right w:val="none" w:sz="0" w:space="0" w:color="auto"/>
      </w:divBdr>
    </w:div>
    <w:div w:id="111828239">
      <w:bodyDiv w:val="1"/>
      <w:marLeft w:val="0"/>
      <w:marRight w:val="0"/>
      <w:marTop w:val="0"/>
      <w:marBottom w:val="0"/>
      <w:divBdr>
        <w:top w:val="none" w:sz="0" w:space="0" w:color="auto"/>
        <w:left w:val="none" w:sz="0" w:space="0" w:color="auto"/>
        <w:bottom w:val="none" w:sz="0" w:space="0" w:color="auto"/>
        <w:right w:val="none" w:sz="0" w:space="0" w:color="auto"/>
      </w:divBdr>
    </w:div>
    <w:div w:id="112214265">
      <w:bodyDiv w:val="1"/>
      <w:marLeft w:val="0"/>
      <w:marRight w:val="0"/>
      <w:marTop w:val="0"/>
      <w:marBottom w:val="0"/>
      <w:divBdr>
        <w:top w:val="none" w:sz="0" w:space="0" w:color="auto"/>
        <w:left w:val="none" w:sz="0" w:space="0" w:color="auto"/>
        <w:bottom w:val="none" w:sz="0" w:space="0" w:color="auto"/>
        <w:right w:val="none" w:sz="0" w:space="0" w:color="auto"/>
      </w:divBdr>
    </w:div>
    <w:div w:id="114565554">
      <w:bodyDiv w:val="1"/>
      <w:marLeft w:val="0"/>
      <w:marRight w:val="0"/>
      <w:marTop w:val="0"/>
      <w:marBottom w:val="0"/>
      <w:divBdr>
        <w:top w:val="none" w:sz="0" w:space="0" w:color="auto"/>
        <w:left w:val="none" w:sz="0" w:space="0" w:color="auto"/>
        <w:bottom w:val="none" w:sz="0" w:space="0" w:color="auto"/>
        <w:right w:val="none" w:sz="0" w:space="0" w:color="auto"/>
      </w:divBdr>
    </w:div>
    <w:div w:id="115175415">
      <w:bodyDiv w:val="1"/>
      <w:marLeft w:val="0"/>
      <w:marRight w:val="0"/>
      <w:marTop w:val="0"/>
      <w:marBottom w:val="0"/>
      <w:divBdr>
        <w:top w:val="none" w:sz="0" w:space="0" w:color="auto"/>
        <w:left w:val="none" w:sz="0" w:space="0" w:color="auto"/>
        <w:bottom w:val="none" w:sz="0" w:space="0" w:color="auto"/>
        <w:right w:val="none" w:sz="0" w:space="0" w:color="auto"/>
      </w:divBdr>
    </w:div>
    <w:div w:id="119497249">
      <w:bodyDiv w:val="1"/>
      <w:marLeft w:val="0"/>
      <w:marRight w:val="0"/>
      <w:marTop w:val="0"/>
      <w:marBottom w:val="0"/>
      <w:divBdr>
        <w:top w:val="none" w:sz="0" w:space="0" w:color="auto"/>
        <w:left w:val="none" w:sz="0" w:space="0" w:color="auto"/>
        <w:bottom w:val="none" w:sz="0" w:space="0" w:color="auto"/>
        <w:right w:val="none" w:sz="0" w:space="0" w:color="auto"/>
      </w:divBdr>
    </w:div>
    <w:div w:id="119809215">
      <w:bodyDiv w:val="1"/>
      <w:marLeft w:val="0"/>
      <w:marRight w:val="0"/>
      <w:marTop w:val="0"/>
      <w:marBottom w:val="0"/>
      <w:divBdr>
        <w:top w:val="none" w:sz="0" w:space="0" w:color="auto"/>
        <w:left w:val="none" w:sz="0" w:space="0" w:color="auto"/>
        <w:bottom w:val="none" w:sz="0" w:space="0" w:color="auto"/>
        <w:right w:val="none" w:sz="0" w:space="0" w:color="auto"/>
      </w:divBdr>
    </w:div>
    <w:div w:id="122164320">
      <w:bodyDiv w:val="1"/>
      <w:marLeft w:val="0"/>
      <w:marRight w:val="0"/>
      <w:marTop w:val="0"/>
      <w:marBottom w:val="0"/>
      <w:divBdr>
        <w:top w:val="none" w:sz="0" w:space="0" w:color="auto"/>
        <w:left w:val="none" w:sz="0" w:space="0" w:color="auto"/>
        <w:bottom w:val="none" w:sz="0" w:space="0" w:color="auto"/>
        <w:right w:val="none" w:sz="0" w:space="0" w:color="auto"/>
      </w:divBdr>
    </w:div>
    <w:div w:id="125660214">
      <w:bodyDiv w:val="1"/>
      <w:marLeft w:val="0"/>
      <w:marRight w:val="0"/>
      <w:marTop w:val="0"/>
      <w:marBottom w:val="0"/>
      <w:divBdr>
        <w:top w:val="none" w:sz="0" w:space="0" w:color="auto"/>
        <w:left w:val="none" w:sz="0" w:space="0" w:color="auto"/>
        <w:bottom w:val="none" w:sz="0" w:space="0" w:color="auto"/>
        <w:right w:val="none" w:sz="0" w:space="0" w:color="auto"/>
      </w:divBdr>
    </w:div>
    <w:div w:id="125702704">
      <w:bodyDiv w:val="1"/>
      <w:marLeft w:val="0"/>
      <w:marRight w:val="0"/>
      <w:marTop w:val="0"/>
      <w:marBottom w:val="0"/>
      <w:divBdr>
        <w:top w:val="none" w:sz="0" w:space="0" w:color="auto"/>
        <w:left w:val="none" w:sz="0" w:space="0" w:color="auto"/>
        <w:bottom w:val="none" w:sz="0" w:space="0" w:color="auto"/>
        <w:right w:val="none" w:sz="0" w:space="0" w:color="auto"/>
      </w:divBdr>
    </w:div>
    <w:div w:id="126515367">
      <w:bodyDiv w:val="1"/>
      <w:marLeft w:val="0"/>
      <w:marRight w:val="0"/>
      <w:marTop w:val="0"/>
      <w:marBottom w:val="0"/>
      <w:divBdr>
        <w:top w:val="none" w:sz="0" w:space="0" w:color="auto"/>
        <w:left w:val="none" w:sz="0" w:space="0" w:color="auto"/>
        <w:bottom w:val="none" w:sz="0" w:space="0" w:color="auto"/>
        <w:right w:val="none" w:sz="0" w:space="0" w:color="auto"/>
      </w:divBdr>
    </w:div>
    <w:div w:id="126902882">
      <w:bodyDiv w:val="1"/>
      <w:marLeft w:val="0"/>
      <w:marRight w:val="0"/>
      <w:marTop w:val="0"/>
      <w:marBottom w:val="0"/>
      <w:divBdr>
        <w:top w:val="none" w:sz="0" w:space="0" w:color="auto"/>
        <w:left w:val="none" w:sz="0" w:space="0" w:color="auto"/>
        <w:bottom w:val="none" w:sz="0" w:space="0" w:color="auto"/>
        <w:right w:val="none" w:sz="0" w:space="0" w:color="auto"/>
      </w:divBdr>
    </w:div>
    <w:div w:id="129634300">
      <w:bodyDiv w:val="1"/>
      <w:marLeft w:val="0"/>
      <w:marRight w:val="0"/>
      <w:marTop w:val="0"/>
      <w:marBottom w:val="0"/>
      <w:divBdr>
        <w:top w:val="none" w:sz="0" w:space="0" w:color="auto"/>
        <w:left w:val="none" w:sz="0" w:space="0" w:color="auto"/>
        <w:bottom w:val="none" w:sz="0" w:space="0" w:color="auto"/>
        <w:right w:val="none" w:sz="0" w:space="0" w:color="auto"/>
      </w:divBdr>
    </w:div>
    <w:div w:id="130831392">
      <w:bodyDiv w:val="1"/>
      <w:marLeft w:val="0"/>
      <w:marRight w:val="0"/>
      <w:marTop w:val="0"/>
      <w:marBottom w:val="0"/>
      <w:divBdr>
        <w:top w:val="none" w:sz="0" w:space="0" w:color="auto"/>
        <w:left w:val="none" w:sz="0" w:space="0" w:color="auto"/>
        <w:bottom w:val="none" w:sz="0" w:space="0" w:color="auto"/>
        <w:right w:val="none" w:sz="0" w:space="0" w:color="auto"/>
      </w:divBdr>
    </w:div>
    <w:div w:id="131363720">
      <w:bodyDiv w:val="1"/>
      <w:marLeft w:val="0"/>
      <w:marRight w:val="0"/>
      <w:marTop w:val="0"/>
      <w:marBottom w:val="0"/>
      <w:divBdr>
        <w:top w:val="none" w:sz="0" w:space="0" w:color="auto"/>
        <w:left w:val="none" w:sz="0" w:space="0" w:color="auto"/>
        <w:bottom w:val="none" w:sz="0" w:space="0" w:color="auto"/>
        <w:right w:val="none" w:sz="0" w:space="0" w:color="auto"/>
      </w:divBdr>
    </w:div>
    <w:div w:id="133110537">
      <w:bodyDiv w:val="1"/>
      <w:marLeft w:val="0"/>
      <w:marRight w:val="0"/>
      <w:marTop w:val="0"/>
      <w:marBottom w:val="0"/>
      <w:divBdr>
        <w:top w:val="none" w:sz="0" w:space="0" w:color="auto"/>
        <w:left w:val="none" w:sz="0" w:space="0" w:color="auto"/>
        <w:bottom w:val="none" w:sz="0" w:space="0" w:color="auto"/>
        <w:right w:val="none" w:sz="0" w:space="0" w:color="auto"/>
      </w:divBdr>
    </w:div>
    <w:div w:id="136340301">
      <w:bodyDiv w:val="1"/>
      <w:marLeft w:val="0"/>
      <w:marRight w:val="0"/>
      <w:marTop w:val="0"/>
      <w:marBottom w:val="0"/>
      <w:divBdr>
        <w:top w:val="none" w:sz="0" w:space="0" w:color="auto"/>
        <w:left w:val="none" w:sz="0" w:space="0" w:color="auto"/>
        <w:bottom w:val="none" w:sz="0" w:space="0" w:color="auto"/>
        <w:right w:val="none" w:sz="0" w:space="0" w:color="auto"/>
      </w:divBdr>
    </w:div>
    <w:div w:id="136798129">
      <w:bodyDiv w:val="1"/>
      <w:marLeft w:val="0"/>
      <w:marRight w:val="0"/>
      <w:marTop w:val="0"/>
      <w:marBottom w:val="0"/>
      <w:divBdr>
        <w:top w:val="none" w:sz="0" w:space="0" w:color="auto"/>
        <w:left w:val="none" w:sz="0" w:space="0" w:color="auto"/>
        <w:bottom w:val="none" w:sz="0" w:space="0" w:color="auto"/>
        <w:right w:val="none" w:sz="0" w:space="0" w:color="auto"/>
      </w:divBdr>
    </w:div>
    <w:div w:id="137571292">
      <w:bodyDiv w:val="1"/>
      <w:marLeft w:val="0"/>
      <w:marRight w:val="0"/>
      <w:marTop w:val="0"/>
      <w:marBottom w:val="0"/>
      <w:divBdr>
        <w:top w:val="none" w:sz="0" w:space="0" w:color="auto"/>
        <w:left w:val="none" w:sz="0" w:space="0" w:color="auto"/>
        <w:bottom w:val="none" w:sz="0" w:space="0" w:color="auto"/>
        <w:right w:val="none" w:sz="0" w:space="0" w:color="auto"/>
      </w:divBdr>
    </w:div>
    <w:div w:id="139925824">
      <w:bodyDiv w:val="1"/>
      <w:marLeft w:val="0"/>
      <w:marRight w:val="0"/>
      <w:marTop w:val="0"/>
      <w:marBottom w:val="0"/>
      <w:divBdr>
        <w:top w:val="none" w:sz="0" w:space="0" w:color="auto"/>
        <w:left w:val="none" w:sz="0" w:space="0" w:color="auto"/>
        <w:bottom w:val="none" w:sz="0" w:space="0" w:color="auto"/>
        <w:right w:val="none" w:sz="0" w:space="0" w:color="auto"/>
      </w:divBdr>
    </w:div>
    <w:div w:id="141702334">
      <w:bodyDiv w:val="1"/>
      <w:marLeft w:val="0"/>
      <w:marRight w:val="0"/>
      <w:marTop w:val="0"/>
      <w:marBottom w:val="0"/>
      <w:divBdr>
        <w:top w:val="none" w:sz="0" w:space="0" w:color="auto"/>
        <w:left w:val="none" w:sz="0" w:space="0" w:color="auto"/>
        <w:bottom w:val="none" w:sz="0" w:space="0" w:color="auto"/>
        <w:right w:val="none" w:sz="0" w:space="0" w:color="auto"/>
      </w:divBdr>
    </w:div>
    <w:div w:id="142815357">
      <w:bodyDiv w:val="1"/>
      <w:marLeft w:val="0"/>
      <w:marRight w:val="0"/>
      <w:marTop w:val="0"/>
      <w:marBottom w:val="0"/>
      <w:divBdr>
        <w:top w:val="none" w:sz="0" w:space="0" w:color="auto"/>
        <w:left w:val="none" w:sz="0" w:space="0" w:color="auto"/>
        <w:bottom w:val="none" w:sz="0" w:space="0" w:color="auto"/>
        <w:right w:val="none" w:sz="0" w:space="0" w:color="auto"/>
      </w:divBdr>
    </w:div>
    <w:div w:id="145364495">
      <w:bodyDiv w:val="1"/>
      <w:marLeft w:val="0"/>
      <w:marRight w:val="0"/>
      <w:marTop w:val="0"/>
      <w:marBottom w:val="0"/>
      <w:divBdr>
        <w:top w:val="none" w:sz="0" w:space="0" w:color="auto"/>
        <w:left w:val="none" w:sz="0" w:space="0" w:color="auto"/>
        <w:bottom w:val="none" w:sz="0" w:space="0" w:color="auto"/>
        <w:right w:val="none" w:sz="0" w:space="0" w:color="auto"/>
      </w:divBdr>
    </w:div>
    <w:div w:id="148329083">
      <w:bodyDiv w:val="1"/>
      <w:marLeft w:val="0"/>
      <w:marRight w:val="0"/>
      <w:marTop w:val="0"/>
      <w:marBottom w:val="0"/>
      <w:divBdr>
        <w:top w:val="none" w:sz="0" w:space="0" w:color="auto"/>
        <w:left w:val="none" w:sz="0" w:space="0" w:color="auto"/>
        <w:bottom w:val="none" w:sz="0" w:space="0" w:color="auto"/>
        <w:right w:val="none" w:sz="0" w:space="0" w:color="auto"/>
      </w:divBdr>
    </w:div>
    <w:div w:id="149292215">
      <w:bodyDiv w:val="1"/>
      <w:marLeft w:val="0"/>
      <w:marRight w:val="0"/>
      <w:marTop w:val="0"/>
      <w:marBottom w:val="0"/>
      <w:divBdr>
        <w:top w:val="none" w:sz="0" w:space="0" w:color="auto"/>
        <w:left w:val="none" w:sz="0" w:space="0" w:color="auto"/>
        <w:bottom w:val="none" w:sz="0" w:space="0" w:color="auto"/>
        <w:right w:val="none" w:sz="0" w:space="0" w:color="auto"/>
      </w:divBdr>
    </w:div>
    <w:div w:id="150022106">
      <w:bodyDiv w:val="1"/>
      <w:marLeft w:val="0"/>
      <w:marRight w:val="0"/>
      <w:marTop w:val="0"/>
      <w:marBottom w:val="0"/>
      <w:divBdr>
        <w:top w:val="none" w:sz="0" w:space="0" w:color="auto"/>
        <w:left w:val="none" w:sz="0" w:space="0" w:color="auto"/>
        <w:bottom w:val="none" w:sz="0" w:space="0" w:color="auto"/>
        <w:right w:val="none" w:sz="0" w:space="0" w:color="auto"/>
      </w:divBdr>
    </w:div>
    <w:div w:id="150830504">
      <w:bodyDiv w:val="1"/>
      <w:marLeft w:val="0"/>
      <w:marRight w:val="0"/>
      <w:marTop w:val="0"/>
      <w:marBottom w:val="0"/>
      <w:divBdr>
        <w:top w:val="none" w:sz="0" w:space="0" w:color="auto"/>
        <w:left w:val="none" w:sz="0" w:space="0" w:color="auto"/>
        <w:bottom w:val="none" w:sz="0" w:space="0" w:color="auto"/>
        <w:right w:val="none" w:sz="0" w:space="0" w:color="auto"/>
      </w:divBdr>
    </w:div>
    <w:div w:id="151795119">
      <w:bodyDiv w:val="1"/>
      <w:marLeft w:val="0"/>
      <w:marRight w:val="0"/>
      <w:marTop w:val="0"/>
      <w:marBottom w:val="0"/>
      <w:divBdr>
        <w:top w:val="none" w:sz="0" w:space="0" w:color="auto"/>
        <w:left w:val="none" w:sz="0" w:space="0" w:color="auto"/>
        <w:bottom w:val="none" w:sz="0" w:space="0" w:color="auto"/>
        <w:right w:val="none" w:sz="0" w:space="0" w:color="auto"/>
      </w:divBdr>
    </w:div>
    <w:div w:id="153032552">
      <w:bodyDiv w:val="1"/>
      <w:marLeft w:val="0"/>
      <w:marRight w:val="0"/>
      <w:marTop w:val="0"/>
      <w:marBottom w:val="0"/>
      <w:divBdr>
        <w:top w:val="none" w:sz="0" w:space="0" w:color="auto"/>
        <w:left w:val="none" w:sz="0" w:space="0" w:color="auto"/>
        <w:bottom w:val="none" w:sz="0" w:space="0" w:color="auto"/>
        <w:right w:val="none" w:sz="0" w:space="0" w:color="auto"/>
      </w:divBdr>
    </w:div>
    <w:div w:id="153032702">
      <w:bodyDiv w:val="1"/>
      <w:marLeft w:val="0"/>
      <w:marRight w:val="0"/>
      <w:marTop w:val="0"/>
      <w:marBottom w:val="0"/>
      <w:divBdr>
        <w:top w:val="none" w:sz="0" w:space="0" w:color="auto"/>
        <w:left w:val="none" w:sz="0" w:space="0" w:color="auto"/>
        <w:bottom w:val="none" w:sz="0" w:space="0" w:color="auto"/>
        <w:right w:val="none" w:sz="0" w:space="0" w:color="auto"/>
      </w:divBdr>
    </w:div>
    <w:div w:id="153104368">
      <w:bodyDiv w:val="1"/>
      <w:marLeft w:val="0"/>
      <w:marRight w:val="0"/>
      <w:marTop w:val="0"/>
      <w:marBottom w:val="0"/>
      <w:divBdr>
        <w:top w:val="none" w:sz="0" w:space="0" w:color="auto"/>
        <w:left w:val="none" w:sz="0" w:space="0" w:color="auto"/>
        <w:bottom w:val="none" w:sz="0" w:space="0" w:color="auto"/>
        <w:right w:val="none" w:sz="0" w:space="0" w:color="auto"/>
      </w:divBdr>
    </w:div>
    <w:div w:id="153186848">
      <w:bodyDiv w:val="1"/>
      <w:marLeft w:val="0"/>
      <w:marRight w:val="0"/>
      <w:marTop w:val="0"/>
      <w:marBottom w:val="0"/>
      <w:divBdr>
        <w:top w:val="none" w:sz="0" w:space="0" w:color="auto"/>
        <w:left w:val="none" w:sz="0" w:space="0" w:color="auto"/>
        <w:bottom w:val="none" w:sz="0" w:space="0" w:color="auto"/>
        <w:right w:val="none" w:sz="0" w:space="0" w:color="auto"/>
      </w:divBdr>
    </w:div>
    <w:div w:id="153957003">
      <w:bodyDiv w:val="1"/>
      <w:marLeft w:val="0"/>
      <w:marRight w:val="0"/>
      <w:marTop w:val="0"/>
      <w:marBottom w:val="0"/>
      <w:divBdr>
        <w:top w:val="none" w:sz="0" w:space="0" w:color="auto"/>
        <w:left w:val="none" w:sz="0" w:space="0" w:color="auto"/>
        <w:bottom w:val="none" w:sz="0" w:space="0" w:color="auto"/>
        <w:right w:val="none" w:sz="0" w:space="0" w:color="auto"/>
      </w:divBdr>
    </w:div>
    <w:div w:id="156502317">
      <w:bodyDiv w:val="1"/>
      <w:marLeft w:val="0"/>
      <w:marRight w:val="0"/>
      <w:marTop w:val="0"/>
      <w:marBottom w:val="0"/>
      <w:divBdr>
        <w:top w:val="none" w:sz="0" w:space="0" w:color="auto"/>
        <w:left w:val="none" w:sz="0" w:space="0" w:color="auto"/>
        <w:bottom w:val="none" w:sz="0" w:space="0" w:color="auto"/>
        <w:right w:val="none" w:sz="0" w:space="0" w:color="auto"/>
      </w:divBdr>
    </w:div>
    <w:div w:id="157156946">
      <w:bodyDiv w:val="1"/>
      <w:marLeft w:val="0"/>
      <w:marRight w:val="0"/>
      <w:marTop w:val="0"/>
      <w:marBottom w:val="0"/>
      <w:divBdr>
        <w:top w:val="none" w:sz="0" w:space="0" w:color="auto"/>
        <w:left w:val="none" w:sz="0" w:space="0" w:color="auto"/>
        <w:bottom w:val="none" w:sz="0" w:space="0" w:color="auto"/>
        <w:right w:val="none" w:sz="0" w:space="0" w:color="auto"/>
      </w:divBdr>
    </w:div>
    <w:div w:id="158810629">
      <w:bodyDiv w:val="1"/>
      <w:marLeft w:val="0"/>
      <w:marRight w:val="0"/>
      <w:marTop w:val="0"/>
      <w:marBottom w:val="0"/>
      <w:divBdr>
        <w:top w:val="none" w:sz="0" w:space="0" w:color="auto"/>
        <w:left w:val="none" w:sz="0" w:space="0" w:color="auto"/>
        <w:bottom w:val="none" w:sz="0" w:space="0" w:color="auto"/>
        <w:right w:val="none" w:sz="0" w:space="0" w:color="auto"/>
      </w:divBdr>
    </w:div>
    <w:div w:id="161090408">
      <w:bodyDiv w:val="1"/>
      <w:marLeft w:val="0"/>
      <w:marRight w:val="0"/>
      <w:marTop w:val="0"/>
      <w:marBottom w:val="0"/>
      <w:divBdr>
        <w:top w:val="none" w:sz="0" w:space="0" w:color="auto"/>
        <w:left w:val="none" w:sz="0" w:space="0" w:color="auto"/>
        <w:bottom w:val="none" w:sz="0" w:space="0" w:color="auto"/>
        <w:right w:val="none" w:sz="0" w:space="0" w:color="auto"/>
      </w:divBdr>
    </w:div>
    <w:div w:id="162163381">
      <w:bodyDiv w:val="1"/>
      <w:marLeft w:val="0"/>
      <w:marRight w:val="0"/>
      <w:marTop w:val="0"/>
      <w:marBottom w:val="0"/>
      <w:divBdr>
        <w:top w:val="none" w:sz="0" w:space="0" w:color="auto"/>
        <w:left w:val="none" w:sz="0" w:space="0" w:color="auto"/>
        <w:bottom w:val="none" w:sz="0" w:space="0" w:color="auto"/>
        <w:right w:val="none" w:sz="0" w:space="0" w:color="auto"/>
      </w:divBdr>
    </w:div>
    <w:div w:id="162204376">
      <w:bodyDiv w:val="1"/>
      <w:marLeft w:val="0"/>
      <w:marRight w:val="0"/>
      <w:marTop w:val="0"/>
      <w:marBottom w:val="0"/>
      <w:divBdr>
        <w:top w:val="none" w:sz="0" w:space="0" w:color="auto"/>
        <w:left w:val="none" w:sz="0" w:space="0" w:color="auto"/>
        <w:bottom w:val="none" w:sz="0" w:space="0" w:color="auto"/>
        <w:right w:val="none" w:sz="0" w:space="0" w:color="auto"/>
      </w:divBdr>
    </w:div>
    <w:div w:id="162822198">
      <w:bodyDiv w:val="1"/>
      <w:marLeft w:val="0"/>
      <w:marRight w:val="0"/>
      <w:marTop w:val="0"/>
      <w:marBottom w:val="0"/>
      <w:divBdr>
        <w:top w:val="none" w:sz="0" w:space="0" w:color="auto"/>
        <w:left w:val="none" w:sz="0" w:space="0" w:color="auto"/>
        <w:bottom w:val="none" w:sz="0" w:space="0" w:color="auto"/>
        <w:right w:val="none" w:sz="0" w:space="0" w:color="auto"/>
      </w:divBdr>
    </w:div>
    <w:div w:id="164590187">
      <w:bodyDiv w:val="1"/>
      <w:marLeft w:val="0"/>
      <w:marRight w:val="0"/>
      <w:marTop w:val="0"/>
      <w:marBottom w:val="0"/>
      <w:divBdr>
        <w:top w:val="none" w:sz="0" w:space="0" w:color="auto"/>
        <w:left w:val="none" w:sz="0" w:space="0" w:color="auto"/>
        <w:bottom w:val="none" w:sz="0" w:space="0" w:color="auto"/>
        <w:right w:val="none" w:sz="0" w:space="0" w:color="auto"/>
      </w:divBdr>
    </w:div>
    <w:div w:id="166332093">
      <w:bodyDiv w:val="1"/>
      <w:marLeft w:val="0"/>
      <w:marRight w:val="0"/>
      <w:marTop w:val="0"/>
      <w:marBottom w:val="0"/>
      <w:divBdr>
        <w:top w:val="none" w:sz="0" w:space="0" w:color="auto"/>
        <w:left w:val="none" w:sz="0" w:space="0" w:color="auto"/>
        <w:bottom w:val="none" w:sz="0" w:space="0" w:color="auto"/>
        <w:right w:val="none" w:sz="0" w:space="0" w:color="auto"/>
      </w:divBdr>
    </w:div>
    <w:div w:id="166407671">
      <w:bodyDiv w:val="1"/>
      <w:marLeft w:val="0"/>
      <w:marRight w:val="0"/>
      <w:marTop w:val="0"/>
      <w:marBottom w:val="0"/>
      <w:divBdr>
        <w:top w:val="none" w:sz="0" w:space="0" w:color="auto"/>
        <w:left w:val="none" w:sz="0" w:space="0" w:color="auto"/>
        <w:bottom w:val="none" w:sz="0" w:space="0" w:color="auto"/>
        <w:right w:val="none" w:sz="0" w:space="0" w:color="auto"/>
      </w:divBdr>
    </w:div>
    <w:div w:id="175851992">
      <w:bodyDiv w:val="1"/>
      <w:marLeft w:val="0"/>
      <w:marRight w:val="0"/>
      <w:marTop w:val="0"/>
      <w:marBottom w:val="0"/>
      <w:divBdr>
        <w:top w:val="none" w:sz="0" w:space="0" w:color="auto"/>
        <w:left w:val="none" w:sz="0" w:space="0" w:color="auto"/>
        <w:bottom w:val="none" w:sz="0" w:space="0" w:color="auto"/>
        <w:right w:val="none" w:sz="0" w:space="0" w:color="auto"/>
      </w:divBdr>
    </w:div>
    <w:div w:id="176040979">
      <w:bodyDiv w:val="1"/>
      <w:marLeft w:val="0"/>
      <w:marRight w:val="0"/>
      <w:marTop w:val="0"/>
      <w:marBottom w:val="0"/>
      <w:divBdr>
        <w:top w:val="none" w:sz="0" w:space="0" w:color="auto"/>
        <w:left w:val="none" w:sz="0" w:space="0" w:color="auto"/>
        <w:bottom w:val="none" w:sz="0" w:space="0" w:color="auto"/>
        <w:right w:val="none" w:sz="0" w:space="0" w:color="auto"/>
      </w:divBdr>
    </w:div>
    <w:div w:id="176231909">
      <w:bodyDiv w:val="1"/>
      <w:marLeft w:val="0"/>
      <w:marRight w:val="0"/>
      <w:marTop w:val="0"/>
      <w:marBottom w:val="0"/>
      <w:divBdr>
        <w:top w:val="none" w:sz="0" w:space="0" w:color="auto"/>
        <w:left w:val="none" w:sz="0" w:space="0" w:color="auto"/>
        <w:bottom w:val="none" w:sz="0" w:space="0" w:color="auto"/>
        <w:right w:val="none" w:sz="0" w:space="0" w:color="auto"/>
      </w:divBdr>
    </w:div>
    <w:div w:id="177013871">
      <w:bodyDiv w:val="1"/>
      <w:marLeft w:val="0"/>
      <w:marRight w:val="0"/>
      <w:marTop w:val="0"/>
      <w:marBottom w:val="0"/>
      <w:divBdr>
        <w:top w:val="none" w:sz="0" w:space="0" w:color="auto"/>
        <w:left w:val="none" w:sz="0" w:space="0" w:color="auto"/>
        <w:bottom w:val="none" w:sz="0" w:space="0" w:color="auto"/>
        <w:right w:val="none" w:sz="0" w:space="0" w:color="auto"/>
      </w:divBdr>
    </w:div>
    <w:div w:id="177740202">
      <w:bodyDiv w:val="1"/>
      <w:marLeft w:val="0"/>
      <w:marRight w:val="0"/>
      <w:marTop w:val="0"/>
      <w:marBottom w:val="0"/>
      <w:divBdr>
        <w:top w:val="none" w:sz="0" w:space="0" w:color="auto"/>
        <w:left w:val="none" w:sz="0" w:space="0" w:color="auto"/>
        <w:bottom w:val="none" w:sz="0" w:space="0" w:color="auto"/>
        <w:right w:val="none" w:sz="0" w:space="0" w:color="auto"/>
      </w:divBdr>
    </w:div>
    <w:div w:id="177934167">
      <w:bodyDiv w:val="1"/>
      <w:marLeft w:val="0"/>
      <w:marRight w:val="0"/>
      <w:marTop w:val="0"/>
      <w:marBottom w:val="0"/>
      <w:divBdr>
        <w:top w:val="none" w:sz="0" w:space="0" w:color="auto"/>
        <w:left w:val="none" w:sz="0" w:space="0" w:color="auto"/>
        <w:bottom w:val="none" w:sz="0" w:space="0" w:color="auto"/>
        <w:right w:val="none" w:sz="0" w:space="0" w:color="auto"/>
      </w:divBdr>
    </w:div>
    <w:div w:id="185749907">
      <w:bodyDiv w:val="1"/>
      <w:marLeft w:val="0"/>
      <w:marRight w:val="0"/>
      <w:marTop w:val="0"/>
      <w:marBottom w:val="0"/>
      <w:divBdr>
        <w:top w:val="none" w:sz="0" w:space="0" w:color="auto"/>
        <w:left w:val="none" w:sz="0" w:space="0" w:color="auto"/>
        <w:bottom w:val="none" w:sz="0" w:space="0" w:color="auto"/>
        <w:right w:val="none" w:sz="0" w:space="0" w:color="auto"/>
      </w:divBdr>
    </w:div>
    <w:div w:id="185944953">
      <w:bodyDiv w:val="1"/>
      <w:marLeft w:val="0"/>
      <w:marRight w:val="0"/>
      <w:marTop w:val="0"/>
      <w:marBottom w:val="0"/>
      <w:divBdr>
        <w:top w:val="none" w:sz="0" w:space="0" w:color="auto"/>
        <w:left w:val="none" w:sz="0" w:space="0" w:color="auto"/>
        <w:bottom w:val="none" w:sz="0" w:space="0" w:color="auto"/>
        <w:right w:val="none" w:sz="0" w:space="0" w:color="auto"/>
      </w:divBdr>
    </w:div>
    <w:div w:id="187112016">
      <w:bodyDiv w:val="1"/>
      <w:marLeft w:val="0"/>
      <w:marRight w:val="0"/>
      <w:marTop w:val="0"/>
      <w:marBottom w:val="0"/>
      <w:divBdr>
        <w:top w:val="none" w:sz="0" w:space="0" w:color="auto"/>
        <w:left w:val="none" w:sz="0" w:space="0" w:color="auto"/>
        <w:bottom w:val="none" w:sz="0" w:space="0" w:color="auto"/>
        <w:right w:val="none" w:sz="0" w:space="0" w:color="auto"/>
      </w:divBdr>
    </w:div>
    <w:div w:id="187640712">
      <w:bodyDiv w:val="1"/>
      <w:marLeft w:val="0"/>
      <w:marRight w:val="0"/>
      <w:marTop w:val="0"/>
      <w:marBottom w:val="0"/>
      <w:divBdr>
        <w:top w:val="none" w:sz="0" w:space="0" w:color="auto"/>
        <w:left w:val="none" w:sz="0" w:space="0" w:color="auto"/>
        <w:bottom w:val="none" w:sz="0" w:space="0" w:color="auto"/>
        <w:right w:val="none" w:sz="0" w:space="0" w:color="auto"/>
      </w:divBdr>
    </w:div>
    <w:div w:id="191921361">
      <w:bodyDiv w:val="1"/>
      <w:marLeft w:val="0"/>
      <w:marRight w:val="0"/>
      <w:marTop w:val="0"/>
      <w:marBottom w:val="0"/>
      <w:divBdr>
        <w:top w:val="none" w:sz="0" w:space="0" w:color="auto"/>
        <w:left w:val="none" w:sz="0" w:space="0" w:color="auto"/>
        <w:bottom w:val="none" w:sz="0" w:space="0" w:color="auto"/>
        <w:right w:val="none" w:sz="0" w:space="0" w:color="auto"/>
      </w:divBdr>
    </w:div>
    <w:div w:id="192771270">
      <w:bodyDiv w:val="1"/>
      <w:marLeft w:val="0"/>
      <w:marRight w:val="0"/>
      <w:marTop w:val="0"/>
      <w:marBottom w:val="0"/>
      <w:divBdr>
        <w:top w:val="none" w:sz="0" w:space="0" w:color="auto"/>
        <w:left w:val="none" w:sz="0" w:space="0" w:color="auto"/>
        <w:bottom w:val="none" w:sz="0" w:space="0" w:color="auto"/>
        <w:right w:val="none" w:sz="0" w:space="0" w:color="auto"/>
      </w:divBdr>
      <w:divsChild>
        <w:div w:id="582760193">
          <w:marLeft w:val="0"/>
          <w:marRight w:val="0"/>
          <w:marTop w:val="0"/>
          <w:marBottom w:val="0"/>
          <w:divBdr>
            <w:top w:val="none" w:sz="0" w:space="0" w:color="auto"/>
            <w:left w:val="none" w:sz="0" w:space="0" w:color="auto"/>
            <w:bottom w:val="none" w:sz="0" w:space="0" w:color="auto"/>
            <w:right w:val="none" w:sz="0" w:space="0" w:color="auto"/>
          </w:divBdr>
          <w:divsChild>
            <w:div w:id="470707442">
              <w:marLeft w:val="0"/>
              <w:marRight w:val="0"/>
              <w:marTop w:val="0"/>
              <w:marBottom w:val="0"/>
              <w:divBdr>
                <w:top w:val="none" w:sz="0" w:space="0" w:color="auto"/>
                <w:left w:val="none" w:sz="0" w:space="0" w:color="auto"/>
                <w:bottom w:val="none" w:sz="0" w:space="0" w:color="auto"/>
                <w:right w:val="none" w:sz="0" w:space="0" w:color="auto"/>
              </w:divBdr>
              <w:divsChild>
                <w:div w:id="1022165700">
                  <w:marLeft w:val="0"/>
                  <w:marRight w:val="0"/>
                  <w:marTop w:val="0"/>
                  <w:marBottom w:val="0"/>
                  <w:divBdr>
                    <w:top w:val="none" w:sz="0" w:space="0" w:color="auto"/>
                    <w:left w:val="none" w:sz="0" w:space="0" w:color="auto"/>
                    <w:bottom w:val="none" w:sz="0" w:space="0" w:color="auto"/>
                    <w:right w:val="none" w:sz="0" w:space="0" w:color="auto"/>
                  </w:divBdr>
                  <w:divsChild>
                    <w:div w:id="1854108999">
                      <w:marLeft w:val="0"/>
                      <w:marRight w:val="0"/>
                      <w:marTop w:val="0"/>
                      <w:marBottom w:val="0"/>
                      <w:divBdr>
                        <w:top w:val="none" w:sz="0" w:space="0" w:color="auto"/>
                        <w:left w:val="none" w:sz="0" w:space="0" w:color="auto"/>
                        <w:bottom w:val="none" w:sz="0" w:space="0" w:color="auto"/>
                        <w:right w:val="none" w:sz="0" w:space="0" w:color="auto"/>
                      </w:divBdr>
                      <w:divsChild>
                        <w:div w:id="1884630813">
                          <w:marLeft w:val="0"/>
                          <w:marRight w:val="0"/>
                          <w:marTop w:val="0"/>
                          <w:marBottom w:val="0"/>
                          <w:divBdr>
                            <w:top w:val="none" w:sz="0" w:space="0" w:color="auto"/>
                            <w:left w:val="none" w:sz="0" w:space="0" w:color="auto"/>
                            <w:bottom w:val="none" w:sz="0" w:space="0" w:color="auto"/>
                            <w:right w:val="none" w:sz="0" w:space="0" w:color="auto"/>
                          </w:divBdr>
                          <w:divsChild>
                            <w:div w:id="1325471421">
                              <w:marLeft w:val="0"/>
                              <w:marRight w:val="0"/>
                              <w:marTop w:val="0"/>
                              <w:marBottom w:val="0"/>
                              <w:divBdr>
                                <w:top w:val="none" w:sz="0" w:space="0" w:color="auto"/>
                                <w:left w:val="none" w:sz="0" w:space="0" w:color="auto"/>
                                <w:bottom w:val="none" w:sz="0" w:space="0" w:color="auto"/>
                                <w:right w:val="none" w:sz="0" w:space="0" w:color="auto"/>
                              </w:divBdr>
                              <w:divsChild>
                                <w:div w:id="12194352">
                                  <w:marLeft w:val="0"/>
                                  <w:marRight w:val="0"/>
                                  <w:marTop w:val="0"/>
                                  <w:marBottom w:val="0"/>
                                  <w:divBdr>
                                    <w:top w:val="none" w:sz="0" w:space="0" w:color="auto"/>
                                    <w:left w:val="none" w:sz="0" w:space="0" w:color="auto"/>
                                    <w:bottom w:val="none" w:sz="0" w:space="0" w:color="auto"/>
                                    <w:right w:val="none" w:sz="0" w:space="0" w:color="auto"/>
                                  </w:divBdr>
                                  <w:divsChild>
                                    <w:div w:id="935988939">
                                      <w:marLeft w:val="0"/>
                                      <w:marRight w:val="0"/>
                                      <w:marTop w:val="0"/>
                                      <w:marBottom w:val="0"/>
                                      <w:divBdr>
                                        <w:top w:val="none" w:sz="0" w:space="0" w:color="auto"/>
                                        <w:left w:val="none" w:sz="0" w:space="0" w:color="auto"/>
                                        <w:bottom w:val="none" w:sz="0" w:space="0" w:color="auto"/>
                                        <w:right w:val="none" w:sz="0" w:space="0" w:color="auto"/>
                                      </w:divBdr>
                                      <w:divsChild>
                                        <w:div w:id="74935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8588880">
          <w:marLeft w:val="0"/>
          <w:marRight w:val="0"/>
          <w:marTop w:val="0"/>
          <w:marBottom w:val="0"/>
          <w:divBdr>
            <w:top w:val="none" w:sz="0" w:space="0" w:color="auto"/>
            <w:left w:val="none" w:sz="0" w:space="0" w:color="auto"/>
            <w:bottom w:val="none" w:sz="0" w:space="0" w:color="auto"/>
            <w:right w:val="none" w:sz="0" w:space="0" w:color="auto"/>
          </w:divBdr>
          <w:divsChild>
            <w:div w:id="235089526">
              <w:marLeft w:val="0"/>
              <w:marRight w:val="0"/>
              <w:marTop w:val="0"/>
              <w:marBottom w:val="0"/>
              <w:divBdr>
                <w:top w:val="none" w:sz="0" w:space="0" w:color="auto"/>
                <w:left w:val="none" w:sz="0" w:space="0" w:color="auto"/>
                <w:bottom w:val="none" w:sz="0" w:space="0" w:color="auto"/>
                <w:right w:val="none" w:sz="0" w:space="0" w:color="auto"/>
              </w:divBdr>
              <w:divsChild>
                <w:div w:id="1127814546">
                  <w:marLeft w:val="0"/>
                  <w:marRight w:val="0"/>
                  <w:marTop w:val="0"/>
                  <w:marBottom w:val="0"/>
                  <w:divBdr>
                    <w:top w:val="none" w:sz="0" w:space="0" w:color="auto"/>
                    <w:left w:val="none" w:sz="0" w:space="0" w:color="auto"/>
                    <w:bottom w:val="none" w:sz="0" w:space="0" w:color="auto"/>
                    <w:right w:val="none" w:sz="0" w:space="0" w:color="auto"/>
                  </w:divBdr>
                  <w:divsChild>
                    <w:div w:id="374935531">
                      <w:marLeft w:val="0"/>
                      <w:marRight w:val="0"/>
                      <w:marTop w:val="0"/>
                      <w:marBottom w:val="0"/>
                      <w:divBdr>
                        <w:top w:val="none" w:sz="0" w:space="0" w:color="auto"/>
                        <w:left w:val="none" w:sz="0" w:space="0" w:color="auto"/>
                        <w:bottom w:val="none" w:sz="0" w:space="0" w:color="auto"/>
                        <w:right w:val="none" w:sz="0" w:space="0" w:color="auto"/>
                      </w:divBdr>
                      <w:divsChild>
                        <w:div w:id="1282154055">
                          <w:marLeft w:val="0"/>
                          <w:marRight w:val="0"/>
                          <w:marTop w:val="0"/>
                          <w:marBottom w:val="0"/>
                          <w:divBdr>
                            <w:top w:val="none" w:sz="0" w:space="0" w:color="auto"/>
                            <w:left w:val="none" w:sz="0" w:space="0" w:color="auto"/>
                            <w:bottom w:val="none" w:sz="0" w:space="0" w:color="auto"/>
                            <w:right w:val="none" w:sz="0" w:space="0" w:color="auto"/>
                          </w:divBdr>
                          <w:divsChild>
                            <w:div w:id="77814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13457">
      <w:bodyDiv w:val="1"/>
      <w:marLeft w:val="0"/>
      <w:marRight w:val="0"/>
      <w:marTop w:val="0"/>
      <w:marBottom w:val="0"/>
      <w:divBdr>
        <w:top w:val="none" w:sz="0" w:space="0" w:color="auto"/>
        <w:left w:val="none" w:sz="0" w:space="0" w:color="auto"/>
        <w:bottom w:val="none" w:sz="0" w:space="0" w:color="auto"/>
        <w:right w:val="none" w:sz="0" w:space="0" w:color="auto"/>
      </w:divBdr>
    </w:div>
    <w:div w:id="195125906">
      <w:bodyDiv w:val="1"/>
      <w:marLeft w:val="0"/>
      <w:marRight w:val="0"/>
      <w:marTop w:val="0"/>
      <w:marBottom w:val="0"/>
      <w:divBdr>
        <w:top w:val="none" w:sz="0" w:space="0" w:color="auto"/>
        <w:left w:val="none" w:sz="0" w:space="0" w:color="auto"/>
        <w:bottom w:val="none" w:sz="0" w:space="0" w:color="auto"/>
        <w:right w:val="none" w:sz="0" w:space="0" w:color="auto"/>
      </w:divBdr>
    </w:div>
    <w:div w:id="200289382">
      <w:bodyDiv w:val="1"/>
      <w:marLeft w:val="0"/>
      <w:marRight w:val="0"/>
      <w:marTop w:val="0"/>
      <w:marBottom w:val="0"/>
      <w:divBdr>
        <w:top w:val="none" w:sz="0" w:space="0" w:color="auto"/>
        <w:left w:val="none" w:sz="0" w:space="0" w:color="auto"/>
        <w:bottom w:val="none" w:sz="0" w:space="0" w:color="auto"/>
        <w:right w:val="none" w:sz="0" w:space="0" w:color="auto"/>
      </w:divBdr>
    </w:div>
    <w:div w:id="201091534">
      <w:bodyDiv w:val="1"/>
      <w:marLeft w:val="0"/>
      <w:marRight w:val="0"/>
      <w:marTop w:val="0"/>
      <w:marBottom w:val="0"/>
      <w:divBdr>
        <w:top w:val="none" w:sz="0" w:space="0" w:color="auto"/>
        <w:left w:val="none" w:sz="0" w:space="0" w:color="auto"/>
        <w:bottom w:val="none" w:sz="0" w:space="0" w:color="auto"/>
        <w:right w:val="none" w:sz="0" w:space="0" w:color="auto"/>
      </w:divBdr>
    </w:div>
    <w:div w:id="201524763">
      <w:bodyDiv w:val="1"/>
      <w:marLeft w:val="0"/>
      <w:marRight w:val="0"/>
      <w:marTop w:val="0"/>
      <w:marBottom w:val="0"/>
      <w:divBdr>
        <w:top w:val="none" w:sz="0" w:space="0" w:color="auto"/>
        <w:left w:val="none" w:sz="0" w:space="0" w:color="auto"/>
        <w:bottom w:val="none" w:sz="0" w:space="0" w:color="auto"/>
        <w:right w:val="none" w:sz="0" w:space="0" w:color="auto"/>
      </w:divBdr>
    </w:div>
    <w:div w:id="201554516">
      <w:bodyDiv w:val="1"/>
      <w:marLeft w:val="0"/>
      <w:marRight w:val="0"/>
      <w:marTop w:val="0"/>
      <w:marBottom w:val="0"/>
      <w:divBdr>
        <w:top w:val="none" w:sz="0" w:space="0" w:color="auto"/>
        <w:left w:val="none" w:sz="0" w:space="0" w:color="auto"/>
        <w:bottom w:val="none" w:sz="0" w:space="0" w:color="auto"/>
        <w:right w:val="none" w:sz="0" w:space="0" w:color="auto"/>
      </w:divBdr>
    </w:div>
    <w:div w:id="205877781">
      <w:bodyDiv w:val="1"/>
      <w:marLeft w:val="0"/>
      <w:marRight w:val="0"/>
      <w:marTop w:val="0"/>
      <w:marBottom w:val="0"/>
      <w:divBdr>
        <w:top w:val="none" w:sz="0" w:space="0" w:color="auto"/>
        <w:left w:val="none" w:sz="0" w:space="0" w:color="auto"/>
        <w:bottom w:val="none" w:sz="0" w:space="0" w:color="auto"/>
        <w:right w:val="none" w:sz="0" w:space="0" w:color="auto"/>
      </w:divBdr>
    </w:div>
    <w:div w:id="209075518">
      <w:bodyDiv w:val="1"/>
      <w:marLeft w:val="0"/>
      <w:marRight w:val="0"/>
      <w:marTop w:val="0"/>
      <w:marBottom w:val="0"/>
      <w:divBdr>
        <w:top w:val="none" w:sz="0" w:space="0" w:color="auto"/>
        <w:left w:val="none" w:sz="0" w:space="0" w:color="auto"/>
        <w:bottom w:val="none" w:sz="0" w:space="0" w:color="auto"/>
        <w:right w:val="none" w:sz="0" w:space="0" w:color="auto"/>
      </w:divBdr>
    </w:div>
    <w:div w:id="209926118">
      <w:bodyDiv w:val="1"/>
      <w:marLeft w:val="0"/>
      <w:marRight w:val="0"/>
      <w:marTop w:val="0"/>
      <w:marBottom w:val="0"/>
      <w:divBdr>
        <w:top w:val="none" w:sz="0" w:space="0" w:color="auto"/>
        <w:left w:val="none" w:sz="0" w:space="0" w:color="auto"/>
        <w:bottom w:val="none" w:sz="0" w:space="0" w:color="auto"/>
        <w:right w:val="none" w:sz="0" w:space="0" w:color="auto"/>
      </w:divBdr>
    </w:div>
    <w:div w:id="210266619">
      <w:bodyDiv w:val="1"/>
      <w:marLeft w:val="0"/>
      <w:marRight w:val="0"/>
      <w:marTop w:val="0"/>
      <w:marBottom w:val="0"/>
      <w:divBdr>
        <w:top w:val="none" w:sz="0" w:space="0" w:color="auto"/>
        <w:left w:val="none" w:sz="0" w:space="0" w:color="auto"/>
        <w:bottom w:val="none" w:sz="0" w:space="0" w:color="auto"/>
        <w:right w:val="none" w:sz="0" w:space="0" w:color="auto"/>
      </w:divBdr>
    </w:div>
    <w:div w:id="211693799">
      <w:bodyDiv w:val="1"/>
      <w:marLeft w:val="0"/>
      <w:marRight w:val="0"/>
      <w:marTop w:val="0"/>
      <w:marBottom w:val="0"/>
      <w:divBdr>
        <w:top w:val="none" w:sz="0" w:space="0" w:color="auto"/>
        <w:left w:val="none" w:sz="0" w:space="0" w:color="auto"/>
        <w:bottom w:val="none" w:sz="0" w:space="0" w:color="auto"/>
        <w:right w:val="none" w:sz="0" w:space="0" w:color="auto"/>
      </w:divBdr>
    </w:div>
    <w:div w:id="213658875">
      <w:bodyDiv w:val="1"/>
      <w:marLeft w:val="0"/>
      <w:marRight w:val="0"/>
      <w:marTop w:val="0"/>
      <w:marBottom w:val="0"/>
      <w:divBdr>
        <w:top w:val="none" w:sz="0" w:space="0" w:color="auto"/>
        <w:left w:val="none" w:sz="0" w:space="0" w:color="auto"/>
        <w:bottom w:val="none" w:sz="0" w:space="0" w:color="auto"/>
        <w:right w:val="none" w:sz="0" w:space="0" w:color="auto"/>
      </w:divBdr>
    </w:div>
    <w:div w:id="215166988">
      <w:bodyDiv w:val="1"/>
      <w:marLeft w:val="0"/>
      <w:marRight w:val="0"/>
      <w:marTop w:val="0"/>
      <w:marBottom w:val="0"/>
      <w:divBdr>
        <w:top w:val="none" w:sz="0" w:space="0" w:color="auto"/>
        <w:left w:val="none" w:sz="0" w:space="0" w:color="auto"/>
        <w:bottom w:val="none" w:sz="0" w:space="0" w:color="auto"/>
        <w:right w:val="none" w:sz="0" w:space="0" w:color="auto"/>
      </w:divBdr>
    </w:div>
    <w:div w:id="216626390">
      <w:bodyDiv w:val="1"/>
      <w:marLeft w:val="0"/>
      <w:marRight w:val="0"/>
      <w:marTop w:val="0"/>
      <w:marBottom w:val="0"/>
      <w:divBdr>
        <w:top w:val="none" w:sz="0" w:space="0" w:color="auto"/>
        <w:left w:val="none" w:sz="0" w:space="0" w:color="auto"/>
        <w:bottom w:val="none" w:sz="0" w:space="0" w:color="auto"/>
        <w:right w:val="none" w:sz="0" w:space="0" w:color="auto"/>
      </w:divBdr>
    </w:div>
    <w:div w:id="216666822">
      <w:bodyDiv w:val="1"/>
      <w:marLeft w:val="0"/>
      <w:marRight w:val="0"/>
      <w:marTop w:val="0"/>
      <w:marBottom w:val="0"/>
      <w:divBdr>
        <w:top w:val="none" w:sz="0" w:space="0" w:color="auto"/>
        <w:left w:val="none" w:sz="0" w:space="0" w:color="auto"/>
        <w:bottom w:val="none" w:sz="0" w:space="0" w:color="auto"/>
        <w:right w:val="none" w:sz="0" w:space="0" w:color="auto"/>
      </w:divBdr>
    </w:div>
    <w:div w:id="217398064">
      <w:bodyDiv w:val="1"/>
      <w:marLeft w:val="0"/>
      <w:marRight w:val="0"/>
      <w:marTop w:val="0"/>
      <w:marBottom w:val="0"/>
      <w:divBdr>
        <w:top w:val="none" w:sz="0" w:space="0" w:color="auto"/>
        <w:left w:val="none" w:sz="0" w:space="0" w:color="auto"/>
        <w:bottom w:val="none" w:sz="0" w:space="0" w:color="auto"/>
        <w:right w:val="none" w:sz="0" w:space="0" w:color="auto"/>
      </w:divBdr>
    </w:div>
    <w:div w:id="217517297">
      <w:bodyDiv w:val="1"/>
      <w:marLeft w:val="0"/>
      <w:marRight w:val="0"/>
      <w:marTop w:val="0"/>
      <w:marBottom w:val="0"/>
      <w:divBdr>
        <w:top w:val="none" w:sz="0" w:space="0" w:color="auto"/>
        <w:left w:val="none" w:sz="0" w:space="0" w:color="auto"/>
        <w:bottom w:val="none" w:sz="0" w:space="0" w:color="auto"/>
        <w:right w:val="none" w:sz="0" w:space="0" w:color="auto"/>
      </w:divBdr>
    </w:div>
    <w:div w:id="218635772">
      <w:bodyDiv w:val="1"/>
      <w:marLeft w:val="0"/>
      <w:marRight w:val="0"/>
      <w:marTop w:val="0"/>
      <w:marBottom w:val="0"/>
      <w:divBdr>
        <w:top w:val="none" w:sz="0" w:space="0" w:color="auto"/>
        <w:left w:val="none" w:sz="0" w:space="0" w:color="auto"/>
        <w:bottom w:val="none" w:sz="0" w:space="0" w:color="auto"/>
        <w:right w:val="none" w:sz="0" w:space="0" w:color="auto"/>
      </w:divBdr>
    </w:div>
    <w:div w:id="222060434">
      <w:bodyDiv w:val="1"/>
      <w:marLeft w:val="0"/>
      <w:marRight w:val="0"/>
      <w:marTop w:val="0"/>
      <w:marBottom w:val="0"/>
      <w:divBdr>
        <w:top w:val="none" w:sz="0" w:space="0" w:color="auto"/>
        <w:left w:val="none" w:sz="0" w:space="0" w:color="auto"/>
        <w:bottom w:val="none" w:sz="0" w:space="0" w:color="auto"/>
        <w:right w:val="none" w:sz="0" w:space="0" w:color="auto"/>
      </w:divBdr>
    </w:div>
    <w:div w:id="222836136">
      <w:bodyDiv w:val="1"/>
      <w:marLeft w:val="0"/>
      <w:marRight w:val="0"/>
      <w:marTop w:val="0"/>
      <w:marBottom w:val="0"/>
      <w:divBdr>
        <w:top w:val="none" w:sz="0" w:space="0" w:color="auto"/>
        <w:left w:val="none" w:sz="0" w:space="0" w:color="auto"/>
        <w:bottom w:val="none" w:sz="0" w:space="0" w:color="auto"/>
        <w:right w:val="none" w:sz="0" w:space="0" w:color="auto"/>
      </w:divBdr>
    </w:div>
    <w:div w:id="226378737">
      <w:bodyDiv w:val="1"/>
      <w:marLeft w:val="0"/>
      <w:marRight w:val="0"/>
      <w:marTop w:val="0"/>
      <w:marBottom w:val="0"/>
      <w:divBdr>
        <w:top w:val="none" w:sz="0" w:space="0" w:color="auto"/>
        <w:left w:val="none" w:sz="0" w:space="0" w:color="auto"/>
        <w:bottom w:val="none" w:sz="0" w:space="0" w:color="auto"/>
        <w:right w:val="none" w:sz="0" w:space="0" w:color="auto"/>
      </w:divBdr>
    </w:div>
    <w:div w:id="227688163">
      <w:bodyDiv w:val="1"/>
      <w:marLeft w:val="0"/>
      <w:marRight w:val="0"/>
      <w:marTop w:val="0"/>
      <w:marBottom w:val="0"/>
      <w:divBdr>
        <w:top w:val="none" w:sz="0" w:space="0" w:color="auto"/>
        <w:left w:val="none" w:sz="0" w:space="0" w:color="auto"/>
        <w:bottom w:val="none" w:sz="0" w:space="0" w:color="auto"/>
        <w:right w:val="none" w:sz="0" w:space="0" w:color="auto"/>
      </w:divBdr>
    </w:div>
    <w:div w:id="227693747">
      <w:bodyDiv w:val="1"/>
      <w:marLeft w:val="0"/>
      <w:marRight w:val="0"/>
      <w:marTop w:val="0"/>
      <w:marBottom w:val="0"/>
      <w:divBdr>
        <w:top w:val="none" w:sz="0" w:space="0" w:color="auto"/>
        <w:left w:val="none" w:sz="0" w:space="0" w:color="auto"/>
        <w:bottom w:val="none" w:sz="0" w:space="0" w:color="auto"/>
        <w:right w:val="none" w:sz="0" w:space="0" w:color="auto"/>
      </w:divBdr>
    </w:div>
    <w:div w:id="230118257">
      <w:bodyDiv w:val="1"/>
      <w:marLeft w:val="0"/>
      <w:marRight w:val="0"/>
      <w:marTop w:val="0"/>
      <w:marBottom w:val="0"/>
      <w:divBdr>
        <w:top w:val="none" w:sz="0" w:space="0" w:color="auto"/>
        <w:left w:val="none" w:sz="0" w:space="0" w:color="auto"/>
        <w:bottom w:val="none" w:sz="0" w:space="0" w:color="auto"/>
        <w:right w:val="none" w:sz="0" w:space="0" w:color="auto"/>
      </w:divBdr>
    </w:div>
    <w:div w:id="231158794">
      <w:bodyDiv w:val="1"/>
      <w:marLeft w:val="0"/>
      <w:marRight w:val="0"/>
      <w:marTop w:val="0"/>
      <w:marBottom w:val="0"/>
      <w:divBdr>
        <w:top w:val="none" w:sz="0" w:space="0" w:color="auto"/>
        <w:left w:val="none" w:sz="0" w:space="0" w:color="auto"/>
        <w:bottom w:val="none" w:sz="0" w:space="0" w:color="auto"/>
        <w:right w:val="none" w:sz="0" w:space="0" w:color="auto"/>
      </w:divBdr>
    </w:div>
    <w:div w:id="234627503">
      <w:bodyDiv w:val="1"/>
      <w:marLeft w:val="0"/>
      <w:marRight w:val="0"/>
      <w:marTop w:val="0"/>
      <w:marBottom w:val="0"/>
      <w:divBdr>
        <w:top w:val="none" w:sz="0" w:space="0" w:color="auto"/>
        <w:left w:val="none" w:sz="0" w:space="0" w:color="auto"/>
        <w:bottom w:val="none" w:sz="0" w:space="0" w:color="auto"/>
        <w:right w:val="none" w:sz="0" w:space="0" w:color="auto"/>
      </w:divBdr>
    </w:div>
    <w:div w:id="236205635">
      <w:bodyDiv w:val="1"/>
      <w:marLeft w:val="0"/>
      <w:marRight w:val="0"/>
      <w:marTop w:val="0"/>
      <w:marBottom w:val="0"/>
      <w:divBdr>
        <w:top w:val="none" w:sz="0" w:space="0" w:color="auto"/>
        <w:left w:val="none" w:sz="0" w:space="0" w:color="auto"/>
        <w:bottom w:val="none" w:sz="0" w:space="0" w:color="auto"/>
        <w:right w:val="none" w:sz="0" w:space="0" w:color="auto"/>
      </w:divBdr>
    </w:div>
    <w:div w:id="236942298">
      <w:bodyDiv w:val="1"/>
      <w:marLeft w:val="0"/>
      <w:marRight w:val="0"/>
      <w:marTop w:val="0"/>
      <w:marBottom w:val="0"/>
      <w:divBdr>
        <w:top w:val="none" w:sz="0" w:space="0" w:color="auto"/>
        <w:left w:val="none" w:sz="0" w:space="0" w:color="auto"/>
        <w:bottom w:val="none" w:sz="0" w:space="0" w:color="auto"/>
        <w:right w:val="none" w:sz="0" w:space="0" w:color="auto"/>
      </w:divBdr>
    </w:div>
    <w:div w:id="237055812">
      <w:bodyDiv w:val="1"/>
      <w:marLeft w:val="0"/>
      <w:marRight w:val="0"/>
      <w:marTop w:val="0"/>
      <w:marBottom w:val="0"/>
      <w:divBdr>
        <w:top w:val="none" w:sz="0" w:space="0" w:color="auto"/>
        <w:left w:val="none" w:sz="0" w:space="0" w:color="auto"/>
        <w:bottom w:val="none" w:sz="0" w:space="0" w:color="auto"/>
        <w:right w:val="none" w:sz="0" w:space="0" w:color="auto"/>
      </w:divBdr>
    </w:div>
    <w:div w:id="237326427">
      <w:bodyDiv w:val="1"/>
      <w:marLeft w:val="0"/>
      <w:marRight w:val="0"/>
      <w:marTop w:val="0"/>
      <w:marBottom w:val="0"/>
      <w:divBdr>
        <w:top w:val="none" w:sz="0" w:space="0" w:color="auto"/>
        <w:left w:val="none" w:sz="0" w:space="0" w:color="auto"/>
        <w:bottom w:val="none" w:sz="0" w:space="0" w:color="auto"/>
        <w:right w:val="none" w:sz="0" w:space="0" w:color="auto"/>
      </w:divBdr>
    </w:div>
    <w:div w:id="237638776">
      <w:bodyDiv w:val="1"/>
      <w:marLeft w:val="0"/>
      <w:marRight w:val="0"/>
      <w:marTop w:val="0"/>
      <w:marBottom w:val="0"/>
      <w:divBdr>
        <w:top w:val="none" w:sz="0" w:space="0" w:color="auto"/>
        <w:left w:val="none" w:sz="0" w:space="0" w:color="auto"/>
        <w:bottom w:val="none" w:sz="0" w:space="0" w:color="auto"/>
        <w:right w:val="none" w:sz="0" w:space="0" w:color="auto"/>
      </w:divBdr>
    </w:div>
    <w:div w:id="238291517">
      <w:bodyDiv w:val="1"/>
      <w:marLeft w:val="0"/>
      <w:marRight w:val="0"/>
      <w:marTop w:val="0"/>
      <w:marBottom w:val="0"/>
      <w:divBdr>
        <w:top w:val="none" w:sz="0" w:space="0" w:color="auto"/>
        <w:left w:val="none" w:sz="0" w:space="0" w:color="auto"/>
        <w:bottom w:val="none" w:sz="0" w:space="0" w:color="auto"/>
        <w:right w:val="none" w:sz="0" w:space="0" w:color="auto"/>
      </w:divBdr>
    </w:div>
    <w:div w:id="238486051">
      <w:bodyDiv w:val="1"/>
      <w:marLeft w:val="0"/>
      <w:marRight w:val="0"/>
      <w:marTop w:val="0"/>
      <w:marBottom w:val="0"/>
      <w:divBdr>
        <w:top w:val="none" w:sz="0" w:space="0" w:color="auto"/>
        <w:left w:val="none" w:sz="0" w:space="0" w:color="auto"/>
        <w:bottom w:val="none" w:sz="0" w:space="0" w:color="auto"/>
        <w:right w:val="none" w:sz="0" w:space="0" w:color="auto"/>
      </w:divBdr>
    </w:div>
    <w:div w:id="242834809">
      <w:bodyDiv w:val="1"/>
      <w:marLeft w:val="0"/>
      <w:marRight w:val="0"/>
      <w:marTop w:val="0"/>
      <w:marBottom w:val="0"/>
      <w:divBdr>
        <w:top w:val="none" w:sz="0" w:space="0" w:color="auto"/>
        <w:left w:val="none" w:sz="0" w:space="0" w:color="auto"/>
        <w:bottom w:val="none" w:sz="0" w:space="0" w:color="auto"/>
        <w:right w:val="none" w:sz="0" w:space="0" w:color="auto"/>
      </w:divBdr>
    </w:div>
    <w:div w:id="242959145">
      <w:bodyDiv w:val="1"/>
      <w:marLeft w:val="0"/>
      <w:marRight w:val="0"/>
      <w:marTop w:val="0"/>
      <w:marBottom w:val="0"/>
      <w:divBdr>
        <w:top w:val="none" w:sz="0" w:space="0" w:color="auto"/>
        <w:left w:val="none" w:sz="0" w:space="0" w:color="auto"/>
        <w:bottom w:val="none" w:sz="0" w:space="0" w:color="auto"/>
        <w:right w:val="none" w:sz="0" w:space="0" w:color="auto"/>
      </w:divBdr>
    </w:div>
    <w:div w:id="245695429">
      <w:bodyDiv w:val="1"/>
      <w:marLeft w:val="0"/>
      <w:marRight w:val="0"/>
      <w:marTop w:val="0"/>
      <w:marBottom w:val="0"/>
      <w:divBdr>
        <w:top w:val="none" w:sz="0" w:space="0" w:color="auto"/>
        <w:left w:val="none" w:sz="0" w:space="0" w:color="auto"/>
        <w:bottom w:val="none" w:sz="0" w:space="0" w:color="auto"/>
        <w:right w:val="none" w:sz="0" w:space="0" w:color="auto"/>
      </w:divBdr>
    </w:div>
    <w:div w:id="248201266">
      <w:bodyDiv w:val="1"/>
      <w:marLeft w:val="0"/>
      <w:marRight w:val="0"/>
      <w:marTop w:val="0"/>
      <w:marBottom w:val="0"/>
      <w:divBdr>
        <w:top w:val="none" w:sz="0" w:space="0" w:color="auto"/>
        <w:left w:val="none" w:sz="0" w:space="0" w:color="auto"/>
        <w:bottom w:val="none" w:sz="0" w:space="0" w:color="auto"/>
        <w:right w:val="none" w:sz="0" w:space="0" w:color="auto"/>
      </w:divBdr>
    </w:div>
    <w:div w:id="249002409">
      <w:bodyDiv w:val="1"/>
      <w:marLeft w:val="0"/>
      <w:marRight w:val="0"/>
      <w:marTop w:val="0"/>
      <w:marBottom w:val="0"/>
      <w:divBdr>
        <w:top w:val="none" w:sz="0" w:space="0" w:color="auto"/>
        <w:left w:val="none" w:sz="0" w:space="0" w:color="auto"/>
        <w:bottom w:val="none" w:sz="0" w:space="0" w:color="auto"/>
        <w:right w:val="none" w:sz="0" w:space="0" w:color="auto"/>
      </w:divBdr>
    </w:div>
    <w:div w:id="249045466">
      <w:bodyDiv w:val="1"/>
      <w:marLeft w:val="0"/>
      <w:marRight w:val="0"/>
      <w:marTop w:val="0"/>
      <w:marBottom w:val="0"/>
      <w:divBdr>
        <w:top w:val="none" w:sz="0" w:space="0" w:color="auto"/>
        <w:left w:val="none" w:sz="0" w:space="0" w:color="auto"/>
        <w:bottom w:val="none" w:sz="0" w:space="0" w:color="auto"/>
        <w:right w:val="none" w:sz="0" w:space="0" w:color="auto"/>
      </w:divBdr>
    </w:div>
    <w:div w:id="249659262">
      <w:bodyDiv w:val="1"/>
      <w:marLeft w:val="0"/>
      <w:marRight w:val="0"/>
      <w:marTop w:val="0"/>
      <w:marBottom w:val="0"/>
      <w:divBdr>
        <w:top w:val="none" w:sz="0" w:space="0" w:color="auto"/>
        <w:left w:val="none" w:sz="0" w:space="0" w:color="auto"/>
        <w:bottom w:val="none" w:sz="0" w:space="0" w:color="auto"/>
        <w:right w:val="none" w:sz="0" w:space="0" w:color="auto"/>
      </w:divBdr>
    </w:div>
    <w:div w:id="250891175">
      <w:bodyDiv w:val="1"/>
      <w:marLeft w:val="0"/>
      <w:marRight w:val="0"/>
      <w:marTop w:val="0"/>
      <w:marBottom w:val="0"/>
      <w:divBdr>
        <w:top w:val="none" w:sz="0" w:space="0" w:color="auto"/>
        <w:left w:val="none" w:sz="0" w:space="0" w:color="auto"/>
        <w:bottom w:val="none" w:sz="0" w:space="0" w:color="auto"/>
        <w:right w:val="none" w:sz="0" w:space="0" w:color="auto"/>
      </w:divBdr>
    </w:div>
    <w:div w:id="251282242">
      <w:bodyDiv w:val="1"/>
      <w:marLeft w:val="0"/>
      <w:marRight w:val="0"/>
      <w:marTop w:val="0"/>
      <w:marBottom w:val="0"/>
      <w:divBdr>
        <w:top w:val="none" w:sz="0" w:space="0" w:color="auto"/>
        <w:left w:val="none" w:sz="0" w:space="0" w:color="auto"/>
        <w:bottom w:val="none" w:sz="0" w:space="0" w:color="auto"/>
        <w:right w:val="none" w:sz="0" w:space="0" w:color="auto"/>
      </w:divBdr>
    </w:div>
    <w:div w:id="252205981">
      <w:bodyDiv w:val="1"/>
      <w:marLeft w:val="0"/>
      <w:marRight w:val="0"/>
      <w:marTop w:val="0"/>
      <w:marBottom w:val="0"/>
      <w:divBdr>
        <w:top w:val="none" w:sz="0" w:space="0" w:color="auto"/>
        <w:left w:val="none" w:sz="0" w:space="0" w:color="auto"/>
        <w:bottom w:val="none" w:sz="0" w:space="0" w:color="auto"/>
        <w:right w:val="none" w:sz="0" w:space="0" w:color="auto"/>
      </w:divBdr>
    </w:div>
    <w:div w:id="252473762">
      <w:bodyDiv w:val="1"/>
      <w:marLeft w:val="0"/>
      <w:marRight w:val="0"/>
      <w:marTop w:val="0"/>
      <w:marBottom w:val="0"/>
      <w:divBdr>
        <w:top w:val="none" w:sz="0" w:space="0" w:color="auto"/>
        <w:left w:val="none" w:sz="0" w:space="0" w:color="auto"/>
        <w:bottom w:val="none" w:sz="0" w:space="0" w:color="auto"/>
        <w:right w:val="none" w:sz="0" w:space="0" w:color="auto"/>
      </w:divBdr>
    </w:div>
    <w:div w:id="254553804">
      <w:bodyDiv w:val="1"/>
      <w:marLeft w:val="0"/>
      <w:marRight w:val="0"/>
      <w:marTop w:val="0"/>
      <w:marBottom w:val="0"/>
      <w:divBdr>
        <w:top w:val="none" w:sz="0" w:space="0" w:color="auto"/>
        <w:left w:val="none" w:sz="0" w:space="0" w:color="auto"/>
        <w:bottom w:val="none" w:sz="0" w:space="0" w:color="auto"/>
        <w:right w:val="none" w:sz="0" w:space="0" w:color="auto"/>
      </w:divBdr>
    </w:div>
    <w:div w:id="257060729">
      <w:bodyDiv w:val="1"/>
      <w:marLeft w:val="0"/>
      <w:marRight w:val="0"/>
      <w:marTop w:val="0"/>
      <w:marBottom w:val="0"/>
      <w:divBdr>
        <w:top w:val="none" w:sz="0" w:space="0" w:color="auto"/>
        <w:left w:val="none" w:sz="0" w:space="0" w:color="auto"/>
        <w:bottom w:val="none" w:sz="0" w:space="0" w:color="auto"/>
        <w:right w:val="none" w:sz="0" w:space="0" w:color="auto"/>
      </w:divBdr>
    </w:div>
    <w:div w:id="257177911">
      <w:bodyDiv w:val="1"/>
      <w:marLeft w:val="0"/>
      <w:marRight w:val="0"/>
      <w:marTop w:val="0"/>
      <w:marBottom w:val="0"/>
      <w:divBdr>
        <w:top w:val="none" w:sz="0" w:space="0" w:color="auto"/>
        <w:left w:val="none" w:sz="0" w:space="0" w:color="auto"/>
        <w:bottom w:val="none" w:sz="0" w:space="0" w:color="auto"/>
        <w:right w:val="none" w:sz="0" w:space="0" w:color="auto"/>
      </w:divBdr>
    </w:div>
    <w:div w:id="257449068">
      <w:bodyDiv w:val="1"/>
      <w:marLeft w:val="0"/>
      <w:marRight w:val="0"/>
      <w:marTop w:val="0"/>
      <w:marBottom w:val="0"/>
      <w:divBdr>
        <w:top w:val="none" w:sz="0" w:space="0" w:color="auto"/>
        <w:left w:val="none" w:sz="0" w:space="0" w:color="auto"/>
        <w:bottom w:val="none" w:sz="0" w:space="0" w:color="auto"/>
        <w:right w:val="none" w:sz="0" w:space="0" w:color="auto"/>
      </w:divBdr>
    </w:div>
    <w:div w:id="259457207">
      <w:bodyDiv w:val="1"/>
      <w:marLeft w:val="0"/>
      <w:marRight w:val="0"/>
      <w:marTop w:val="0"/>
      <w:marBottom w:val="0"/>
      <w:divBdr>
        <w:top w:val="none" w:sz="0" w:space="0" w:color="auto"/>
        <w:left w:val="none" w:sz="0" w:space="0" w:color="auto"/>
        <w:bottom w:val="none" w:sz="0" w:space="0" w:color="auto"/>
        <w:right w:val="none" w:sz="0" w:space="0" w:color="auto"/>
      </w:divBdr>
    </w:div>
    <w:div w:id="261954545">
      <w:bodyDiv w:val="1"/>
      <w:marLeft w:val="0"/>
      <w:marRight w:val="0"/>
      <w:marTop w:val="0"/>
      <w:marBottom w:val="0"/>
      <w:divBdr>
        <w:top w:val="none" w:sz="0" w:space="0" w:color="auto"/>
        <w:left w:val="none" w:sz="0" w:space="0" w:color="auto"/>
        <w:bottom w:val="none" w:sz="0" w:space="0" w:color="auto"/>
        <w:right w:val="none" w:sz="0" w:space="0" w:color="auto"/>
      </w:divBdr>
    </w:div>
    <w:div w:id="262417317">
      <w:bodyDiv w:val="1"/>
      <w:marLeft w:val="0"/>
      <w:marRight w:val="0"/>
      <w:marTop w:val="0"/>
      <w:marBottom w:val="0"/>
      <w:divBdr>
        <w:top w:val="none" w:sz="0" w:space="0" w:color="auto"/>
        <w:left w:val="none" w:sz="0" w:space="0" w:color="auto"/>
        <w:bottom w:val="none" w:sz="0" w:space="0" w:color="auto"/>
        <w:right w:val="none" w:sz="0" w:space="0" w:color="auto"/>
      </w:divBdr>
    </w:div>
    <w:div w:id="266086476">
      <w:bodyDiv w:val="1"/>
      <w:marLeft w:val="0"/>
      <w:marRight w:val="0"/>
      <w:marTop w:val="0"/>
      <w:marBottom w:val="0"/>
      <w:divBdr>
        <w:top w:val="none" w:sz="0" w:space="0" w:color="auto"/>
        <w:left w:val="none" w:sz="0" w:space="0" w:color="auto"/>
        <w:bottom w:val="none" w:sz="0" w:space="0" w:color="auto"/>
        <w:right w:val="none" w:sz="0" w:space="0" w:color="auto"/>
      </w:divBdr>
    </w:div>
    <w:div w:id="266474655">
      <w:bodyDiv w:val="1"/>
      <w:marLeft w:val="0"/>
      <w:marRight w:val="0"/>
      <w:marTop w:val="0"/>
      <w:marBottom w:val="0"/>
      <w:divBdr>
        <w:top w:val="none" w:sz="0" w:space="0" w:color="auto"/>
        <w:left w:val="none" w:sz="0" w:space="0" w:color="auto"/>
        <w:bottom w:val="none" w:sz="0" w:space="0" w:color="auto"/>
        <w:right w:val="none" w:sz="0" w:space="0" w:color="auto"/>
      </w:divBdr>
    </w:div>
    <w:div w:id="266695393">
      <w:bodyDiv w:val="1"/>
      <w:marLeft w:val="0"/>
      <w:marRight w:val="0"/>
      <w:marTop w:val="0"/>
      <w:marBottom w:val="0"/>
      <w:divBdr>
        <w:top w:val="none" w:sz="0" w:space="0" w:color="auto"/>
        <w:left w:val="none" w:sz="0" w:space="0" w:color="auto"/>
        <w:bottom w:val="none" w:sz="0" w:space="0" w:color="auto"/>
        <w:right w:val="none" w:sz="0" w:space="0" w:color="auto"/>
      </w:divBdr>
    </w:div>
    <w:div w:id="270935166">
      <w:bodyDiv w:val="1"/>
      <w:marLeft w:val="0"/>
      <w:marRight w:val="0"/>
      <w:marTop w:val="0"/>
      <w:marBottom w:val="0"/>
      <w:divBdr>
        <w:top w:val="none" w:sz="0" w:space="0" w:color="auto"/>
        <w:left w:val="none" w:sz="0" w:space="0" w:color="auto"/>
        <w:bottom w:val="none" w:sz="0" w:space="0" w:color="auto"/>
        <w:right w:val="none" w:sz="0" w:space="0" w:color="auto"/>
      </w:divBdr>
    </w:div>
    <w:div w:id="270941963">
      <w:bodyDiv w:val="1"/>
      <w:marLeft w:val="0"/>
      <w:marRight w:val="0"/>
      <w:marTop w:val="0"/>
      <w:marBottom w:val="0"/>
      <w:divBdr>
        <w:top w:val="none" w:sz="0" w:space="0" w:color="auto"/>
        <w:left w:val="none" w:sz="0" w:space="0" w:color="auto"/>
        <w:bottom w:val="none" w:sz="0" w:space="0" w:color="auto"/>
        <w:right w:val="none" w:sz="0" w:space="0" w:color="auto"/>
      </w:divBdr>
    </w:div>
    <w:div w:id="273707716">
      <w:bodyDiv w:val="1"/>
      <w:marLeft w:val="0"/>
      <w:marRight w:val="0"/>
      <w:marTop w:val="0"/>
      <w:marBottom w:val="0"/>
      <w:divBdr>
        <w:top w:val="none" w:sz="0" w:space="0" w:color="auto"/>
        <w:left w:val="none" w:sz="0" w:space="0" w:color="auto"/>
        <w:bottom w:val="none" w:sz="0" w:space="0" w:color="auto"/>
        <w:right w:val="none" w:sz="0" w:space="0" w:color="auto"/>
      </w:divBdr>
    </w:div>
    <w:div w:id="274140707">
      <w:bodyDiv w:val="1"/>
      <w:marLeft w:val="0"/>
      <w:marRight w:val="0"/>
      <w:marTop w:val="0"/>
      <w:marBottom w:val="0"/>
      <w:divBdr>
        <w:top w:val="none" w:sz="0" w:space="0" w:color="auto"/>
        <w:left w:val="none" w:sz="0" w:space="0" w:color="auto"/>
        <w:bottom w:val="none" w:sz="0" w:space="0" w:color="auto"/>
        <w:right w:val="none" w:sz="0" w:space="0" w:color="auto"/>
      </w:divBdr>
    </w:div>
    <w:div w:id="274872047">
      <w:bodyDiv w:val="1"/>
      <w:marLeft w:val="0"/>
      <w:marRight w:val="0"/>
      <w:marTop w:val="0"/>
      <w:marBottom w:val="0"/>
      <w:divBdr>
        <w:top w:val="none" w:sz="0" w:space="0" w:color="auto"/>
        <w:left w:val="none" w:sz="0" w:space="0" w:color="auto"/>
        <w:bottom w:val="none" w:sz="0" w:space="0" w:color="auto"/>
        <w:right w:val="none" w:sz="0" w:space="0" w:color="auto"/>
      </w:divBdr>
    </w:div>
    <w:div w:id="275797826">
      <w:bodyDiv w:val="1"/>
      <w:marLeft w:val="0"/>
      <w:marRight w:val="0"/>
      <w:marTop w:val="0"/>
      <w:marBottom w:val="0"/>
      <w:divBdr>
        <w:top w:val="none" w:sz="0" w:space="0" w:color="auto"/>
        <w:left w:val="none" w:sz="0" w:space="0" w:color="auto"/>
        <w:bottom w:val="none" w:sz="0" w:space="0" w:color="auto"/>
        <w:right w:val="none" w:sz="0" w:space="0" w:color="auto"/>
      </w:divBdr>
    </w:div>
    <w:div w:id="277614418">
      <w:bodyDiv w:val="1"/>
      <w:marLeft w:val="0"/>
      <w:marRight w:val="0"/>
      <w:marTop w:val="0"/>
      <w:marBottom w:val="0"/>
      <w:divBdr>
        <w:top w:val="none" w:sz="0" w:space="0" w:color="auto"/>
        <w:left w:val="none" w:sz="0" w:space="0" w:color="auto"/>
        <w:bottom w:val="none" w:sz="0" w:space="0" w:color="auto"/>
        <w:right w:val="none" w:sz="0" w:space="0" w:color="auto"/>
      </w:divBdr>
    </w:div>
    <w:div w:id="280038082">
      <w:bodyDiv w:val="1"/>
      <w:marLeft w:val="0"/>
      <w:marRight w:val="0"/>
      <w:marTop w:val="0"/>
      <w:marBottom w:val="0"/>
      <w:divBdr>
        <w:top w:val="none" w:sz="0" w:space="0" w:color="auto"/>
        <w:left w:val="none" w:sz="0" w:space="0" w:color="auto"/>
        <w:bottom w:val="none" w:sz="0" w:space="0" w:color="auto"/>
        <w:right w:val="none" w:sz="0" w:space="0" w:color="auto"/>
      </w:divBdr>
    </w:div>
    <w:div w:id="280382549">
      <w:bodyDiv w:val="1"/>
      <w:marLeft w:val="0"/>
      <w:marRight w:val="0"/>
      <w:marTop w:val="0"/>
      <w:marBottom w:val="0"/>
      <w:divBdr>
        <w:top w:val="none" w:sz="0" w:space="0" w:color="auto"/>
        <w:left w:val="none" w:sz="0" w:space="0" w:color="auto"/>
        <w:bottom w:val="none" w:sz="0" w:space="0" w:color="auto"/>
        <w:right w:val="none" w:sz="0" w:space="0" w:color="auto"/>
      </w:divBdr>
    </w:div>
    <w:div w:id="281770817">
      <w:bodyDiv w:val="1"/>
      <w:marLeft w:val="0"/>
      <w:marRight w:val="0"/>
      <w:marTop w:val="0"/>
      <w:marBottom w:val="0"/>
      <w:divBdr>
        <w:top w:val="none" w:sz="0" w:space="0" w:color="auto"/>
        <w:left w:val="none" w:sz="0" w:space="0" w:color="auto"/>
        <w:bottom w:val="none" w:sz="0" w:space="0" w:color="auto"/>
        <w:right w:val="none" w:sz="0" w:space="0" w:color="auto"/>
      </w:divBdr>
    </w:div>
    <w:div w:id="281885066">
      <w:bodyDiv w:val="1"/>
      <w:marLeft w:val="0"/>
      <w:marRight w:val="0"/>
      <w:marTop w:val="0"/>
      <w:marBottom w:val="0"/>
      <w:divBdr>
        <w:top w:val="none" w:sz="0" w:space="0" w:color="auto"/>
        <w:left w:val="none" w:sz="0" w:space="0" w:color="auto"/>
        <w:bottom w:val="none" w:sz="0" w:space="0" w:color="auto"/>
        <w:right w:val="none" w:sz="0" w:space="0" w:color="auto"/>
      </w:divBdr>
    </w:div>
    <w:div w:id="284507062">
      <w:bodyDiv w:val="1"/>
      <w:marLeft w:val="0"/>
      <w:marRight w:val="0"/>
      <w:marTop w:val="0"/>
      <w:marBottom w:val="0"/>
      <w:divBdr>
        <w:top w:val="none" w:sz="0" w:space="0" w:color="auto"/>
        <w:left w:val="none" w:sz="0" w:space="0" w:color="auto"/>
        <w:bottom w:val="none" w:sz="0" w:space="0" w:color="auto"/>
        <w:right w:val="none" w:sz="0" w:space="0" w:color="auto"/>
      </w:divBdr>
    </w:div>
    <w:div w:id="289943333">
      <w:bodyDiv w:val="1"/>
      <w:marLeft w:val="0"/>
      <w:marRight w:val="0"/>
      <w:marTop w:val="0"/>
      <w:marBottom w:val="0"/>
      <w:divBdr>
        <w:top w:val="none" w:sz="0" w:space="0" w:color="auto"/>
        <w:left w:val="none" w:sz="0" w:space="0" w:color="auto"/>
        <w:bottom w:val="none" w:sz="0" w:space="0" w:color="auto"/>
        <w:right w:val="none" w:sz="0" w:space="0" w:color="auto"/>
      </w:divBdr>
    </w:div>
    <w:div w:id="290134437">
      <w:bodyDiv w:val="1"/>
      <w:marLeft w:val="0"/>
      <w:marRight w:val="0"/>
      <w:marTop w:val="0"/>
      <w:marBottom w:val="0"/>
      <w:divBdr>
        <w:top w:val="none" w:sz="0" w:space="0" w:color="auto"/>
        <w:left w:val="none" w:sz="0" w:space="0" w:color="auto"/>
        <w:bottom w:val="none" w:sz="0" w:space="0" w:color="auto"/>
        <w:right w:val="none" w:sz="0" w:space="0" w:color="auto"/>
      </w:divBdr>
    </w:div>
    <w:div w:id="291912624">
      <w:bodyDiv w:val="1"/>
      <w:marLeft w:val="0"/>
      <w:marRight w:val="0"/>
      <w:marTop w:val="0"/>
      <w:marBottom w:val="0"/>
      <w:divBdr>
        <w:top w:val="none" w:sz="0" w:space="0" w:color="auto"/>
        <w:left w:val="none" w:sz="0" w:space="0" w:color="auto"/>
        <w:bottom w:val="none" w:sz="0" w:space="0" w:color="auto"/>
        <w:right w:val="none" w:sz="0" w:space="0" w:color="auto"/>
      </w:divBdr>
    </w:div>
    <w:div w:id="293289639">
      <w:bodyDiv w:val="1"/>
      <w:marLeft w:val="0"/>
      <w:marRight w:val="0"/>
      <w:marTop w:val="0"/>
      <w:marBottom w:val="0"/>
      <w:divBdr>
        <w:top w:val="none" w:sz="0" w:space="0" w:color="auto"/>
        <w:left w:val="none" w:sz="0" w:space="0" w:color="auto"/>
        <w:bottom w:val="none" w:sz="0" w:space="0" w:color="auto"/>
        <w:right w:val="none" w:sz="0" w:space="0" w:color="auto"/>
      </w:divBdr>
    </w:div>
    <w:div w:id="296959570">
      <w:bodyDiv w:val="1"/>
      <w:marLeft w:val="0"/>
      <w:marRight w:val="0"/>
      <w:marTop w:val="0"/>
      <w:marBottom w:val="0"/>
      <w:divBdr>
        <w:top w:val="none" w:sz="0" w:space="0" w:color="auto"/>
        <w:left w:val="none" w:sz="0" w:space="0" w:color="auto"/>
        <w:bottom w:val="none" w:sz="0" w:space="0" w:color="auto"/>
        <w:right w:val="none" w:sz="0" w:space="0" w:color="auto"/>
      </w:divBdr>
    </w:div>
    <w:div w:id="298266309">
      <w:bodyDiv w:val="1"/>
      <w:marLeft w:val="0"/>
      <w:marRight w:val="0"/>
      <w:marTop w:val="0"/>
      <w:marBottom w:val="0"/>
      <w:divBdr>
        <w:top w:val="none" w:sz="0" w:space="0" w:color="auto"/>
        <w:left w:val="none" w:sz="0" w:space="0" w:color="auto"/>
        <w:bottom w:val="none" w:sz="0" w:space="0" w:color="auto"/>
        <w:right w:val="none" w:sz="0" w:space="0" w:color="auto"/>
      </w:divBdr>
    </w:div>
    <w:div w:id="298340284">
      <w:bodyDiv w:val="1"/>
      <w:marLeft w:val="0"/>
      <w:marRight w:val="0"/>
      <w:marTop w:val="0"/>
      <w:marBottom w:val="0"/>
      <w:divBdr>
        <w:top w:val="none" w:sz="0" w:space="0" w:color="auto"/>
        <w:left w:val="none" w:sz="0" w:space="0" w:color="auto"/>
        <w:bottom w:val="none" w:sz="0" w:space="0" w:color="auto"/>
        <w:right w:val="none" w:sz="0" w:space="0" w:color="auto"/>
      </w:divBdr>
    </w:div>
    <w:div w:id="299460364">
      <w:bodyDiv w:val="1"/>
      <w:marLeft w:val="0"/>
      <w:marRight w:val="0"/>
      <w:marTop w:val="0"/>
      <w:marBottom w:val="0"/>
      <w:divBdr>
        <w:top w:val="none" w:sz="0" w:space="0" w:color="auto"/>
        <w:left w:val="none" w:sz="0" w:space="0" w:color="auto"/>
        <w:bottom w:val="none" w:sz="0" w:space="0" w:color="auto"/>
        <w:right w:val="none" w:sz="0" w:space="0" w:color="auto"/>
      </w:divBdr>
    </w:div>
    <w:div w:id="300502225">
      <w:bodyDiv w:val="1"/>
      <w:marLeft w:val="0"/>
      <w:marRight w:val="0"/>
      <w:marTop w:val="0"/>
      <w:marBottom w:val="0"/>
      <w:divBdr>
        <w:top w:val="none" w:sz="0" w:space="0" w:color="auto"/>
        <w:left w:val="none" w:sz="0" w:space="0" w:color="auto"/>
        <w:bottom w:val="none" w:sz="0" w:space="0" w:color="auto"/>
        <w:right w:val="none" w:sz="0" w:space="0" w:color="auto"/>
      </w:divBdr>
    </w:div>
    <w:div w:id="301621655">
      <w:bodyDiv w:val="1"/>
      <w:marLeft w:val="0"/>
      <w:marRight w:val="0"/>
      <w:marTop w:val="0"/>
      <w:marBottom w:val="0"/>
      <w:divBdr>
        <w:top w:val="none" w:sz="0" w:space="0" w:color="auto"/>
        <w:left w:val="none" w:sz="0" w:space="0" w:color="auto"/>
        <w:bottom w:val="none" w:sz="0" w:space="0" w:color="auto"/>
        <w:right w:val="none" w:sz="0" w:space="0" w:color="auto"/>
      </w:divBdr>
    </w:div>
    <w:div w:id="304431857">
      <w:bodyDiv w:val="1"/>
      <w:marLeft w:val="0"/>
      <w:marRight w:val="0"/>
      <w:marTop w:val="0"/>
      <w:marBottom w:val="0"/>
      <w:divBdr>
        <w:top w:val="none" w:sz="0" w:space="0" w:color="auto"/>
        <w:left w:val="none" w:sz="0" w:space="0" w:color="auto"/>
        <w:bottom w:val="none" w:sz="0" w:space="0" w:color="auto"/>
        <w:right w:val="none" w:sz="0" w:space="0" w:color="auto"/>
      </w:divBdr>
    </w:div>
    <w:div w:id="304622598">
      <w:bodyDiv w:val="1"/>
      <w:marLeft w:val="0"/>
      <w:marRight w:val="0"/>
      <w:marTop w:val="0"/>
      <w:marBottom w:val="0"/>
      <w:divBdr>
        <w:top w:val="none" w:sz="0" w:space="0" w:color="auto"/>
        <w:left w:val="none" w:sz="0" w:space="0" w:color="auto"/>
        <w:bottom w:val="none" w:sz="0" w:space="0" w:color="auto"/>
        <w:right w:val="none" w:sz="0" w:space="0" w:color="auto"/>
      </w:divBdr>
    </w:div>
    <w:div w:id="305161552">
      <w:bodyDiv w:val="1"/>
      <w:marLeft w:val="0"/>
      <w:marRight w:val="0"/>
      <w:marTop w:val="0"/>
      <w:marBottom w:val="0"/>
      <w:divBdr>
        <w:top w:val="none" w:sz="0" w:space="0" w:color="auto"/>
        <w:left w:val="none" w:sz="0" w:space="0" w:color="auto"/>
        <w:bottom w:val="none" w:sz="0" w:space="0" w:color="auto"/>
        <w:right w:val="none" w:sz="0" w:space="0" w:color="auto"/>
      </w:divBdr>
    </w:div>
    <w:div w:id="305748792">
      <w:bodyDiv w:val="1"/>
      <w:marLeft w:val="0"/>
      <w:marRight w:val="0"/>
      <w:marTop w:val="0"/>
      <w:marBottom w:val="0"/>
      <w:divBdr>
        <w:top w:val="none" w:sz="0" w:space="0" w:color="auto"/>
        <w:left w:val="none" w:sz="0" w:space="0" w:color="auto"/>
        <w:bottom w:val="none" w:sz="0" w:space="0" w:color="auto"/>
        <w:right w:val="none" w:sz="0" w:space="0" w:color="auto"/>
      </w:divBdr>
    </w:div>
    <w:div w:id="306740954">
      <w:bodyDiv w:val="1"/>
      <w:marLeft w:val="0"/>
      <w:marRight w:val="0"/>
      <w:marTop w:val="0"/>
      <w:marBottom w:val="0"/>
      <w:divBdr>
        <w:top w:val="none" w:sz="0" w:space="0" w:color="auto"/>
        <w:left w:val="none" w:sz="0" w:space="0" w:color="auto"/>
        <w:bottom w:val="none" w:sz="0" w:space="0" w:color="auto"/>
        <w:right w:val="none" w:sz="0" w:space="0" w:color="auto"/>
      </w:divBdr>
    </w:div>
    <w:div w:id="313414956">
      <w:bodyDiv w:val="1"/>
      <w:marLeft w:val="0"/>
      <w:marRight w:val="0"/>
      <w:marTop w:val="0"/>
      <w:marBottom w:val="0"/>
      <w:divBdr>
        <w:top w:val="none" w:sz="0" w:space="0" w:color="auto"/>
        <w:left w:val="none" w:sz="0" w:space="0" w:color="auto"/>
        <w:bottom w:val="none" w:sz="0" w:space="0" w:color="auto"/>
        <w:right w:val="none" w:sz="0" w:space="0" w:color="auto"/>
      </w:divBdr>
    </w:div>
    <w:div w:id="313874674">
      <w:bodyDiv w:val="1"/>
      <w:marLeft w:val="0"/>
      <w:marRight w:val="0"/>
      <w:marTop w:val="0"/>
      <w:marBottom w:val="0"/>
      <w:divBdr>
        <w:top w:val="none" w:sz="0" w:space="0" w:color="auto"/>
        <w:left w:val="none" w:sz="0" w:space="0" w:color="auto"/>
        <w:bottom w:val="none" w:sz="0" w:space="0" w:color="auto"/>
        <w:right w:val="none" w:sz="0" w:space="0" w:color="auto"/>
      </w:divBdr>
    </w:div>
    <w:div w:id="314653462">
      <w:bodyDiv w:val="1"/>
      <w:marLeft w:val="0"/>
      <w:marRight w:val="0"/>
      <w:marTop w:val="0"/>
      <w:marBottom w:val="0"/>
      <w:divBdr>
        <w:top w:val="none" w:sz="0" w:space="0" w:color="auto"/>
        <w:left w:val="none" w:sz="0" w:space="0" w:color="auto"/>
        <w:bottom w:val="none" w:sz="0" w:space="0" w:color="auto"/>
        <w:right w:val="none" w:sz="0" w:space="0" w:color="auto"/>
      </w:divBdr>
    </w:div>
    <w:div w:id="318926272">
      <w:bodyDiv w:val="1"/>
      <w:marLeft w:val="0"/>
      <w:marRight w:val="0"/>
      <w:marTop w:val="0"/>
      <w:marBottom w:val="0"/>
      <w:divBdr>
        <w:top w:val="none" w:sz="0" w:space="0" w:color="auto"/>
        <w:left w:val="none" w:sz="0" w:space="0" w:color="auto"/>
        <w:bottom w:val="none" w:sz="0" w:space="0" w:color="auto"/>
        <w:right w:val="none" w:sz="0" w:space="0" w:color="auto"/>
      </w:divBdr>
    </w:div>
    <w:div w:id="322776684">
      <w:bodyDiv w:val="1"/>
      <w:marLeft w:val="0"/>
      <w:marRight w:val="0"/>
      <w:marTop w:val="0"/>
      <w:marBottom w:val="0"/>
      <w:divBdr>
        <w:top w:val="none" w:sz="0" w:space="0" w:color="auto"/>
        <w:left w:val="none" w:sz="0" w:space="0" w:color="auto"/>
        <w:bottom w:val="none" w:sz="0" w:space="0" w:color="auto"/>
        <w:right w:val="none" w:sz="0" w:space="0" w:color="auto"/>
      </w:divBdr>
    </w:div>
    <w:div w:id="322976776">
      <w:bodyDiv w:val="1"/>
      <w:marLeft w:val="0"/>
      <w:marRight w:val="0"/>
      <w:marTop w:val="0"/>
      <w:marBottom w:val="0"/>
      <w:divBdr>
        <w:top w:val="none" w:sz="0" w:space="0" w:color="auto"/>
        <w:left w:val="none" w:sz="0" w:space="0" w:color="auto"/>
        <w:bottom w:val="none" w:sz="0" w:space="0" w:color="auto"/>
        <w:right w:val="none" w:sz="0" w:space="0" w:color="auto"/>
      </w:divBdr>
    </w:div>
    <w:div w:id="326055487">
      <w:bodyDiv w:val="1"/>
      <w:marLeft w:val="0"/>
      <w:marRight w:val="0"/>
      <w:marTop w:val="0"/>
      <w:marBottom w:val="0"/>
      <w:divBdr>
        <w:top w:val="none" w:sz="0" w:space="0" w:color="auto"/>
        <w:left w:val="none" w:sz="0" w:space="0" w:color="auto"/>
        <w:bottom w:val="none" w:sz="0" w:space="0" w:color="auto"/>
        <w:right w:val="none" w:sz="0" w:space="0" w:color="auto"/>
      </w:divBdr>
    </w:div>
    <w:div w:id="327367513">
      <w:bodyDiv w:val="1"/>
      <w:marLeft w:val="0"/>
      <w:marRight w:val="0"/>
      <w:marTop w:val="0"/>
      <w:marBottom w:val="0"/>
      <w:divBdr>
        <w:top w:val="none" w:sz="0" w:space="0" w:color="auto"/>
        <w:left w:val="none" w:sz="0" w:space="0" w:color="auto"/>
        <w:bottom w:val="none" w:sz="0" w:space="0" w:color="auto"/>
        <w:right w:val="none" w:sz="0" w:space="0" w:color="auto"/>
      </w:divBdr>
    </w:div>
    <w:div w:id="328607124">
      <w:bodyDiv w:val="1"/>
      <w:marLeft w:val="0"/>
      <w:marRight w:val="0"/>
      <w:marTop w:val="0"/>
      <w:marBottom w:val="0"/>
      <w:divBdr>
        <w:top w:val="none" w:sz="0" w:space="0" w:color="auto"/>
        <w:left w:val="none" w:sz="0" w:space="0" w:color="auto"/>
        <w:bottom w:val="none" w:sz="0" w:space="0" w:color="auto"/>
        <w:right w:val="none" w:sz="0" w:space="0" w:color="auto"/>
      </w:divBdr>
    </w:div>
    <w:div w:id="329338322">
      <w:bodyDiv w:val="1"/>
      <w:marLeft w:val="0"/>
      <w:marRight w:val="0"/>
      <w:marTop w:val="0"/>
      <w:marBottom w:val="0"/>
      <w:divBdr>
        <w:top w:val="none" w:sz="0" w:space="0" w:color="auto"/>
        <w:left w:val="none" w:sz="0" w:space="0" w:color="auto"/>
        <w:bottom w:val="none" w:sz="0" w:space="0" w:color="auto"/>
        <w:right w:val="none" w:sz="0" w:space="0" w:color="auto"/>
      </w:divBdr>
    </w:div>
    <w:div w:id="329911256">
      <w:bodyDiv w:val="1"/>
      <w:marLeft w:val="0"/>
      <w:marRight w:val="0"/>
      <w:marTop w:val="0"/>
      <w:marBottom w:val="0"/>
      <w:divBdr>
        <w:top w:val="none" w:sz="0" w:space="0" w:color="auto"/>
        <w:left w:val="none" w:sz="0" w:space="0" w:color="auto"/>
        <w:bottom w:val="none" w:sz="0" w:space="0" w:color="auto"/>
        <w:right w:val="none" w:sz="0" w:space="0" w:color="auto"/>
      </w:divBdr>
    </w:div>
    <w:div w:id="330564163">
      <w:bodyDiv w:val="1"/>
      <w:marLeft w:val="0"/>
      <w:marRight w:val="0"/>
      <w:marTop w:val="0"/>
      <w:marBottom w:val="0"/>
      <w:divBdr>
        <w:top w:val="none" w:sz="0" w:space="0" w:color="auto"/>
        <w:left w:val="none" w:sz="0" w:space="0" w:color="auto"/>
        <w:bottom w:val="none" w:sz="0" w:space="0" w:color="auto"/>
        <w:right w:val="none" w:sz="0" w:space="0" w:color="auto"/>
      </w:divBdr>
    </w:div>
    <w:div w:id="332533774">
      <w:bodyDiv w:val="1"/>
      <w:marLeft w:val="0"/>
      <w:marRight w:val="0"/>
      <w:marTop w:val="0"/>
      <w:marBottom w:val="0"/>
      <w:divBdr>
        <w:top w:val="none" w:sz="0" w:space="0" w:color="auto"/>
        <w:left w:val="none" w:sz="0" w:space="0" w:color="auto"/>
        <w:bottom w:val="none" w:sz="0" w:space="0" w:color="auto"/>
        <w:right w:val="none" w:sz="0" w:space="0" w:color="auto"/>
      </w:divBdr>
    </w:div>
    <w:div w:id="332537727">
      <w:bodyDiv w:val="1"/>
      <w:marLeft w:val="0"/>
      <w:marRight w:val="0"/>
      <w:marTop w:val="0"/>
      <w:marBottom w:val="0"/>
      <w:divBdr>
        <w:top w:val="none" w:sz="0" w:space="0" w:color="auto"/>
        <w:left w:val="none" w:sz="0" w:space="0" w:color="auto"/>
        <w:bottom w:val="none" w:sz="0" w:space="0" w:color="auto"/>
        <w:right w:val="none" w:sz="0" w:space="0" w:color="auto"/>
      </w:divBdr>
    </w:div>
    <w:div w:id="333537418">
      <w:bodyDiv w:val="1"/>
      <w:marLeft w:val="0"/>
      <w:marRight w:val="0"/>
      <w:marTop w:val="0"/>
      <w:marBottom w:val="0"/>
      <w:divBdr>
        <w:top w:val="none" w:sz="0" w:space="0" w:color="auto"/>
        <w:left w:val="none" w:sz="0" w:space="0" w:color="auto"/>
        <w:bottom w:val="none" w:sz="0" w:space="0" w:color="auto"/>
        <w:right w:val="none" w:sz="0" w:space="0" w:color="auto"/>
      </w:divBdr>
    </w:div>
    <w:div w:id="333846185">
      <w:bodyDiv w:val="1"/>
      <w:marLeft w:val="0"/>
      <w:marRight w:val="0"/>
      <w:marTop w:val="0"/>
      <w:marBottom w:val="0"/>
      <w:divBdr>
        <w:top w:val="none" w:sz="0" w:space="0" w:color="auto"/>
        <w:left w:val="none" w:sz="0" w:space="0" w:color="auto"/>
        <w:bottom w:val="none" w:sz="0" w:space="0" w:color="auto"/>
        <w:right w:val="none" w:sz="0" w:space="0" w:color="auto"/>
      </w:divBdr>
    </w:div>
    <w:div w:id="334766559">
      <w:bodyDiv w:val="1"/>
      <w:marLeft w:val="0"/>
      <w:marRight w:val="0"/>
      <w:marTop w:val="0"/>
      <w:marBottom w:val="0"/>
      <w:divBdr>
        <w:top w:val="none" w:sz="0" w:space="0" w:color="auto"/>
        <w:left w:val="none" w:sz="0" w:space="0" w:color="auto"/>
        <w:bottom w:val="none" w:sz="0" w:space="0" w:color="auto"/>
        <w:right w:val="none" w:sz="0" w:space="0" w:color="auto"/>
      </w:divBdr>
    </w:div>
    <w:div w:id="334889156">
      <w:bodyDiv w:val="1"/>
      <w:marLeft w:val="0"/>
      <w:marRight w:val="0"/>
      <w:marTop w:val="0"/>
      <w:marBottom w:val="0"/>
      <w:divBdr>
        <w:top w:val="none" w:sz="0" w:space="0" w:color="auto"/>
        <w:left w:val="none" w:sz="0" w:space="0" w:color="auto"/>
        <w:bottom w:val="none" w:sz="0" w:space="0" w:color="auto"/>
        <w:right w:val="none" w:sz="0" w:space="0" w:color="auto"/>
      </w:divBdr>
    </w:div>
    <w:div w:id="336931892">
      <w:bodyDiv w:val="1"/>
      <w:marLeft w:val="0"/>
      <w:marRight w:val="0"/>
      <w:marTop w:val="0"/>
      <w:marBottom w:val="0"/>
      <w:divBdr>
        <w:top w:val="none" w:sz="0" w:space="0" w:color="auto"/>
        <w:left w:val="none" w:sz="0" w:space="0" w:color="auto"/>
        <w:bottom w:val="none" w:sz="0" w:space="0" w:color="auto"/>
        <w:right w:val="none" w:sz="0" w:space="0" w:color="auto"/>
      </w:divBdr>
    </w:div>
    <w:div w:id="338779046">
      <w:bodyDiv w:val="1"/>
      <w:marLeft w:val="0"/>
      <w:marRight w:val="0"/>
      <w:marTop w:val="0"/>
      <w:marBottom w:val="0"/>
      <w:divBdr>
        <w:top w:val="none" w:sz="0" w:space="0" w:color="auto"/>
        <w:left w:val="none" w:sz="0" w:space="0" w:color="auto"/>
        <w:bottom w:val="none" w:sz="0" w:space="0" w:color="auto"/>
        <w:right w:val="none" w:sz="0" w:space="0" w:color="auto"/>
      </w:divBdr>
    </w:div>
    <w:div w:id="340395009">
      <w:bodyDiv w:val="1"/>
      <w:marLeft w:val="0"/>
      <w:marRight w:val="0"/>
      <w:marTop w:val="0"/>
      <w:marBottom w:val="0"/>
      <w:divBdr>
        <w:top w:val="none" w:sz="0" w:space="0" w:color="auto"/>
        <w:left w:val="none" w:sz="0" w:space="0" w:color="auto"/>
        <w:bottom w:val="none" w:sz="0" w:space="0" w:color="auto"/>
        <w:right w:val="none" w:sz="0" w:space="0" w:color="auto"/>
      </w:divBdr>
    </w:div>
    <w:div w:id="340742896">
      <w:bodyDiv w:val="1"/>
      <w:marLeft w:val="0"/>
      <w:marRight w:val="0"/>
      <w:marTop w:val="0"/>
      <w:marBottom w:val="0"/>
      <w:divBdr>
        <w:top w:val="none" w:sz="0" w:space="0" w:color="auto"/>
        <w:left w:val="none" w:sz="0" w:space="0" w:color="auto"/>
        <w:bottom w:val="none" w:sz="0" w:space="0" w:color="auto"/>
        <w:right w:val="none" w:sz="0" w:space="0" w:color="auto"/>
      </w:divBdr>
    </w:div>
    <w:div w:id="342368091">
      <w:bodyDiv w:val="1"/>
      <w:marLeft w:val="0"/>
      <w:marRight w:val="0"/>
      <w:marTop w:val="0"/>
      <w:marBottom w:val="0"/>
      <w:divBdr>
        <w:top w:val="none" w:sz="0" w:space="0" w:color="auto"/>
        <w:left w:val="none" w:sz="0" w:space="0" w:color="auto"/>
        <w:bottom w:val="none" w:sz="0" w:space="0" w:color="auto"/>
        <w:right w:val="none" w:sz="0" w:space="0" w:color="auto"/>
      </w:divBdr>
    </w:div>
    <w:div w:id="344022886">
      <w:bodyDiv w:val="1"/>
      <w:marLeft w:val="0"/>
      <w:marRight w:val="0"/>
      <w:marTop w:val="0"/>
      <w:marBottom w:val="0"/>
      <w:divBdr>
        <w:top w:val="none" w:sz="0" w:space="0" w:color="auto"/>
        <w:left w:val="none" w:sz="0" w:space="0" w:color="auto"/>
        <w:bottom w:val="none" w:sz="0" w:space="0" w:color="auto"/>
        <w:right w:val="none" w:sz="0" w:space="0" w:color="auto"/>
      </w:divBdr>
    </w:div>
    <w:div w:id="345399513">
      <w:bodyDiv w:val="1"/>
      <w:marLeft w:val="0"/>
      <w:marRight w:val="0"/>
      <w:marTop w:val="0"/>
      <w:marBottom w:val="0"/>
      <w:divBdr>
        <w:top w:val="none" w:sz="0" w:space="0" w:color="auto"/>
        <w:left w:val="none" w:sz="0" w:space="0" w:color="auto"/>
        <w:bottom w:val="none" w:sz="0" w:space="0" w:color="auto"/>
        <w:right w:val="none" w:sz="0" w:space="0" w:color="auto"/>
      </w:divBdr>
    </w:div>
    <w:div w:id="349920480">
      <w:bodyDiv w:val="1"/>
      <w:marLeft w:val="0"/>
      <w:marRight w:val="0"/>
      <w:marTop w:val="0"/>
      <w:marBottom w:val="0"/>
      <w:divBdr>
        <w:top w:val="none" w:sz="0" w:space="0" w:color="auto"/>
        <w:left w:val="none" w:sz="0" w:space="0" w:color="auto"/>
        <w:bottom w:val="none" w:sz="0" w:space="0" w:color="auto"/>
        <w:right w:val="none" w:sz="0" w:space="0" w:color="auto"/>
      </w:divBdr>
    </w:div>
    <w:div w:id="350107872">
      <w:bodyDiv w:val="1"/>
      <w:marLeft w:val="0"/>
      <w:marRight w:val="0"/>
      <w:marTop w:val="0"/>
      <w:marBottom w:val="0"/>
      <w:divBdr>
        <w:top w:val="none" w:sz="0" w:space="0" w:color="auto"/>
        <w:left w:val="none" w:sz="0" w:space="0" w:color="auto"/>
        <w:bottom w:val="none" w:sz="0" w:space="0" w:color="auto"/>
        <w:right w:val="none" w:sz="0" w:space="0" w:color="auto"/>
      </w:divBdr>
    </w:div>
    <w:div w:id="350256213">
      <w:bodyDiv w:val="1"/>
      <w:marLeft w:val="0"/>
      <w:marRight w:val="0"/>
      <w:marTop w:val="0"/>
      <w:marBottom w:val="0"/>
      <w:divBdr>
        <w:top w:val="none" w:sz="0" w:space="0" w:color="auto"/>
        <w:left w:val="none" w:sz="0" w:space="0" w:color="auto"/>
        <w:bottom w:val="none" w:sz="0" w:space="0" w:color="auto"/>
        <w:right w:val="none" w:sz="0" w:space="0" w:color="auto"/>
      </w:divBdr>
    </w:div>
    <w:div w:id="351959895">
      <w:bodyDiv w:val="1"/>
      <w:marLeft w:val="0"/>
      <w:marRight w:val="0"/>
      <w:marTop w:val="0"/>
      <w:marBottom w:val="0"/>
      <w:divBdr>
        <w:top w:val="none" w:sz="0" w:space="0" w:color="auto"/>
        <w:left w:val="none" w:sz="0" w:space="0" w:color="auto"/>
        <w:bottom w:val="none" w:sz="0" w:space="0" w:color="auto"/>
        <w:right w:val="none" w:sz="0" w:space="0" w:color="auto"/>
      </w:divBdr>
    </w:div>
    <w:div w:id="352808032">
      <w:bodyDiv w:val="1"/>
      <w:marLeft w:val="0"/>
      <w:marRight w:val="0"/>
      <w:marTop w:val="0"/>
      <w:marBottom w:val="0"/>
      <w:divBdr>
        <w:top w:val="none" w:sz="0" w:space="0" w:color="auto"/>
        <w:left w:val="none" w:sz="0" w:space="0" w:color="auto"/>
        <w:bottom w:val="none" w:sz="0" w:space="0" w:color="auto"/>
        <w:right w:val="none" w:sz="0" w:space="0" w:color="auto"/>
      </w:divBdr>
    </w:div>
    <w:div w:id="353386863">
      <w:bodyDiv w:val="1"/>
      <w:marLeft w:val="0"/>
      <w:marRight w:val="0"/>
      <w:marTop w:val="0"/>
      <w:marBottom w:val="0"/>
      <w:divBdr>
        <w:top w:val="none" w:sz="0" w:space="0" w:color="auto"/>
        <w:left w:val="none" w:sz="0" w:space="0" w:color="auto"/>
        <w:bottom w:val="none" w:sz="0" w:space="0" w:color="auto"/>
        <w:right w:val="none" w:sz="0" w:space="0" w:color="auto"/>
      </w:divBdr>
    </w:div>
    <w:div w:id="353581860">
      <w:bodyDiv w:val="1"/>
      <w:marLeft w:val="0"/>
      <w:marRight w:val="0"/>
      <w:marTop w:val="0"/>
      <w:marBottom w:val="0"/>
      <w:divBdr>
        <w:top w:val="none" w:sz="0" w:space="0" w:color="auto"/>
        <w:left w:val="none" w:sz="0" w:space="0" w:color="auto"/>
        <w:bottom w:val="none" w:sz="0" w:space="0" w:color="auto"/>
        <w:right w:val="none" w:sz="0" w:space="0" w:color="auto"/>
      </w:divBdr>
    </w:div>
    <w:div w:id="355621867">
      <w:bodyDiv w:val="1"/>
      <w:marLeft w:val="0"/>
      <w:marRight w:val="0"/>
      <w:marTop w:val="0"/>
      <w:marBottom w:val="0"/>
      <w:divBdr>
        <w:top w:val="none" w:sz="0" w:space="0" w:color="auto"/>
        <w:left w:val="none" w:sz="0" w:space="0" w:color="auto"/>
        <w:bottom w:val="none" w:sz="0" w:space="0" w:color="auto"/>
        <w:right w:val="none" w:sz="0" w:space="0" w:color="auto"/>
      </w:divBdr>
    </w:div>
    <w:div w:id="360742658">
      <w:bodyDiv w:val="1"/>
      <w:marLeft w:val="0"/>
      <w:marRight w:val="0"/>
      <w:marTop w:val="0"/>
      <w:marBottom w:val="0"/>
      <w:divBdr>
        <w:top w:val="none" w:sz="0" w:space="0" w:color="auto"/>
        <w:left w:val="none" w:sz="0" w:space="0" w:color="auto"/>
        <w:bottom w:val="none" w:sz="0" w:space="0" w:color="auto"/>
        <w:right w:val="none" w:sz="0" w:space="0" w:color="auto"/>
      </w:divBdr>
    </w:div>
    <w:div w:id="360937419">
      <w:bodyDiv w:val="1"/>
      <w:marLeft w:val="0"/>
      <w:marRight w:val="0"/>
      <w:marTop w:val="0"/>
      <w:marBottom w:val="0"/>
      <w:divBdr>
        <w:top w:val="none" w:sz="0" w:space="0" w:color="auto"/>
        <w:left w:val="none" w:sz="0" w:space="0" w:color="auto"/>
        <w:bottom w:val="none" w:sz="0" w:space="0" w:color="auto"/>
        <w:right w:val="none" w:sz="0" w:space="0" w:color="auto"/>
      </w:divBdr>
    </w:div>
    <w:div w:id="364138056">
      <w:bodyDiv w:val="1"/>
      <w:marLeft w:val="0"/>
      <w:marRight w:val="0"/>
      <w:marTop w:val="0"/>
      <w:marBottom w:val="0"/>
      <w:divBdr>
        <w:top w:val="none" w:sz="0" w:space="0" w:color="auto"/>
        <w:left w:val="none" w:sz="0" w:space="0" w:color="auto"/>
        <w:bottom w:val="none" w:sz="0" w:space="0" w:color="auto"/>
        <w:right w:val="none" w:sz="0" w:space="0" w:color="auto"/>
      </w:divBdr>
    </w:div>
    <w:div w:id="367225446">
      <w:bodyDiv w:val="1"/>
      <w:marLeft w:val="0"/>
      <w:marRight w:val="0"/>
      <w:marTop w:val="0"/>
      <w:marBottom w:val="0"/>
      <w:divBdr>
        <w:top w:val="none" w:sz="0" w:space="0" w:color="auto"/>
        <w:left w:val="none" w:sz="0" w:space="0" w:color="auto"/>
        <w:bottom w:val="none" w:sz="0" w:space="0" w:color="auto"/>
        <w:right w:val="none" w:sz="0" w:space="0" w:color="auto"/>
      </w:divBdr>
    </w:div>
    <w:div w:id="367489657">
      <w:bodyDiv w:val="1"/>
      <w:marLeft w:val="0"/>
      <w:marRight w:val="0"/>
      <w:marTop w:val="0"/>
      <w:marBottom w:val="0"/>
      <w:divBdr>
        <w:top w:val="none" w:sz="0" w:space="0" w:color="auto"/>
        <w:left w:val="none" w:sz="0" w:space="0" w:color="auto"/>
        <w:bottom w:val="none" w:sz="0" w:space="0" w:color="auto"/>
        <w:right w:val="none" w:sz="0" w:space="0" w:color="auto"/>
      </w:divBdr>
    </w:div>
    <w:div w:id="367876088">
      <w:bodyDiv w:val="1"/>
      <w:marLeft w:val="0"/>
      <w:marRight w:val="0"/>
      <w:marTop w:val="0"/>
      <w:marBottom w:val="0"/>
      <w:divBdr>
        <w:top w:val="none" w:sz="0" w:space="0" w:color="auto"/>
        <w:left w:val="none" w:sz="0" w:space="0" w:color="auto"/>
        <w:bottom w:val="none" w:sz="0" w:space="0" w:color="auto"/>
        <w:right w:val="none" w:sz="0" w:space="0" w:color="auto"/>
      </w:divBdr>
    </w:div>
    <w:div w:id="368531830">
      <w:bodyDiv w:val="1"/>
      <w:marLeft w:val="0"/>
      <w:marRight w:val="0"/>
      <w:marTop w:val="0"/>
      <w:marBottom w:val="0"/>
      <w:divBdr>
        <w:top w:val="none" w:sz="0" w:space="0" w:color="auto"/>
        <w:left w:val="none" w:sz="0" w:space="0" w:color="auto"/>
        <w:bottom w:val="none" w:sz="0" w:space="0" w:color="auto"/>
        <w:right w:val="none" w:sz="0" w:space="0" w:color="auto"/>
      </w:divBdr>
    </w:div>
    <w:div w:id="370305683">
      <w:bodyDiv w:val="1"/>
      <w:marLeft w:val="0"/>
      <w:marRight w:val="0"/>
      <w:marTop w:val="0"/>
      <w:marBottom w:val="0"/>
      <w:divBdr>
        <w:top w:val="none" w:sz="0" w:space="0" w:color="auto"/>
        <w:left w:val="none" w:sz="0" w:space="0" w:color="auto"/>
        <w:bottom w:val="none" w:sz="0" w:space="0" w:color="auto"/>
        <w:right w:val="none" w:sz="0" w:space="0" w:color="auto"/>
      </w:divBdr>
    </w:div>
    <w:div w:id="370886197">
      <w:bodyDiv w:val="1"/>
      <w:marLeft w:val="0"/>
      <w:marRight w:val="0"/>
      <w:marTop w:val="0"/>
      <w:marBottom w:val="0"/>
      <w:divBdr>
        <w:top w:val="none" w:sz="0" w:space="0" w:color="auto"/>
        <w:left w:val="none" w:sz="0" w:space="0" w:color="auto"/>
        <w:bottom w:val="none" w:sz="0" w:space="0" w:color="auto"/>
        <w:right w:val="none" w:sz="0" w:space="0" w:color="auto"/>
      </w:divBdr>
    </w:div>
    <w:div w:id="371729071">
      <w:bodyDiv w:val="1"/>
      <w:marLeft w:val="0"/>
      <w:marRight w:val="0"/>
      <w:marTop w:val="0"/>
      <w:marBottom w:val="0"/>
      <w:divBdr>
        <w:top w:val="none" w:sz="0" w:space="0" w:color="auto"/>
        <w:left w:val="none" w:sz="0" w:space="0" w:color="auto"/>
        <w:bottom w:val="none" w:sz="0" w:space="0" w:color="auto"/>
        <w:right w:val="none" w:sz="0" w:space="0" w:color="auto"/>
      </w:divBdr>
    </w:div>
    <w:div w:id="375012359">
      <w:bodyDiv w:val="1"/>
      <w:marLeft w:val="0"/>
      <w:marRight w:val="0"/>
      <w:marTop w:val="0"/>
      <w:marBottom w:val="0"/>
      <w:divBdr>
        <w:top w:val="none" w:sz="0" w:space="0" w:color="auto"/>
        <w:left w:val="none" w:sz="0" w:space="0" w:color="auto"/>
        <w:bottom w:val="none" w:sz="0" w:space="0" w:color="auto"/>
        <w:right w:val="none" w:sz="0" w:space="0" w:color="auto"/>
      </w:divBdr>
    </w:div>
    <w:div w:id="375784334">
      <w:bodyDiv w:val="1"/>
      <w:marLeft w:val="0"/>
      <w:marRight w:val="0"/>
      <w:marTop w:val="0"/>
      <w:marBottom w:val="0"/>
      <w:divBdr>
        <w:top w:val="none" w:sz="0" w:space="0" w:color="auto"/>
        <w:left w:val="none" w:sz="0" w:space="0" w:color="auto"/>
        <w:bottom w:val="none" w:sz="0" w:space="0" w:color="auto"/>
        <w:right w:val="none" w:sz="0" w:space="0" w:color="auto"/>
      </w:divBdr>
    </w:div>
    <w:div w:id="376003939">
      <w:bodyDiv w:val="1"/>
      <w:marLeft w:val="0"/>
      <w:marRight w:val="0"/>
      <w:marTop w:val="0"/>
      <w:marBottom w:val="0"/>
      <w:divBdr>
        <w:top w:val="none" w:sz="0" w:space="0" w:color="auto"/>
        <w:left w:val="none" w:sz="0" w:space="0" w:color="auto"/>
        <w:bottom w:val="none" w:sz="0" w:space="0" w:color="auto"/>
        <w:right w:val="none" w:sz="0" w:space="0" w:color="auto"/>
      </w:divBdr>
    </w:div>
    <w:div w:id="376392079">
      <w:bodyDiv w:val="1"/>
      <w:marLeft w:val="0"/>
      <w:marRight w:val="0"/>
      <w:marTop w:val="0"/>
      <w:marBottom w:val="0"/>
      <w:divBdr>
        <w:top w:val="none" w:sz="0" w:space="0" w:color="auto"/>
        <w:left w:val="none" w:sz="0" w:space="0" w:color="auto"/>
        <w:bottom w:val="none" w:sz="0" w:space="0" w:color="auto"/>
        <w:right w:val="none" w:sz="0" w:space="0" w:color="auto"/>
      </w:divBdr>
    </w:div>
    <w:div w:id="380132449">
      <w:bodyDiv w:val="1"/>
      <w:marLeft w:val="0"/>
      <w:marRight w:val="0"/>
      <w:marTop w:val="0"/>
      <w:marBottom w:val="0"/>
      <w:divBdr>
        <w:top w:val="none" w:sz="0" w:space="0" w:color="auto"/>
        <w:left w:val="none" w:sz="0" w:space="0" w:color="auto"/>
        <w:bottom w:val="none" w:sz="0" w:space="0" w:color="auto"/>
        <w:right w:val="none" w:sz="0" w:space="0" w:color="auto"/>
      </w:divBdr>
    </w:div>
    <w:div w:id="382339811">
      <w:bodyDiv w:val="1"/>
      <w:marLeft w:val="0"/>
      <w:marRight w:val="0"/>
      <w:marTop w:val="0"/>
      <w:marBottom w:val="0"/>
      <w:divBdr>
        <w:top w:val="none" w:sz="0" w:space="0" w:color="auto"/>
        <w:left w:val="none" w:sz="0" w:space="0" w:color="auto"/>
        <w:bottom w:val="none" w:sz="0" w:space="0" w:color="auto"/>
        <w:right w:val="none" w:sz="0" w:space="0" w:color="auto"/>
      </w:divBdr>
    </w:div>
    <w:div w:id="384836261">
      <w:bodyDiv w:val="1"/>
      <w:marLeft w:val="0"/>
      <w:marRight w:val="0"/>
      <w:marTop w:val="0"/>
      <w:marBottom w:val="0"/>
      <w:divBdr>
        <w:top w:val="none" w:sz="0" w:space="0" w:color="auto"/>
        <w:left w:val="none" w:sz="0" w:space="0" w:color="auto"/>
        <w:bottom w:val="none" w:sz="0" w:space="0" w:color="auto"/>
        <w:right w:val="none" w:sz="0" w:space="0" w:color="auto"/>
      </w:divBdr>
    </w:div>
    <w:div w:id="385295974">
      <w:bodyDiv w:val="1"/>
      <w:marLeft w:val="0"/>
      <w:marRight w:val="0"/>
      <w:marTop w:val="0"/>
      <w:marBottom w:val="0"/>
      <w:divBdr>
        <w:top w:val="none" w:sz="0" w:space="0" w:color="auto"/>
        <w:left w:val="none" w:sz="0" w:space="0" w:color="auto"/>
        <w:bottom w:val="none" w:sz="0" w:space="0" w:color="auto"/>
        <w:right w:val="none" w:sz="0" w:space="0" w:color="auto"/>
      </w:divBdr>
    </w:div>
    <w:div w:id="386294867">
      <w:bodyDiv w:val="1"/>
      <w:marLeft w:val="0"/>
      <w:marRight w:val="0"/>
      <w:marTop w:val="0"/>
      <w:marBottom w:val="0"/>
      <w:divBdr>
        <w:top w:val="none" w:sz="0" w:space="0" w:color="auto"/>
        <w:left w:val="none" w:sz="0" w:space="0" w:color="auto"/>
        <w:bottom w:val="none" w:sz="0" w:space="0" w:color="auto"/>
        <w:right w:val="none" w:sz="0" w:space="0" w:color="auto"/>
      </w:divBdr>
    </w:div>
    <w:div w:id="386496286">
      <w:bodyDiv w:val="1"/>
      <w:marLeft w:val="0"/>
      <w:marRight w:val="0"/>
      <w:marTop w:val="0"/>
      <w:marBottom w:val="0"/>
      <w:divBdr>
        <w:top w:val="none" w:sz="0" w:space="0" w:color="auto"/>
        <w:left w:val="none" w:sz="0" w:space="0" w:color="auto"/>
        <w:bottom w:val="none" w:sz="0" w:space="0" w:color="auto"/>
        <w:right w:val="none" w:sz="0" w:space="0" w:color="auto"/>
      </w:divBdr>
    </w:div>
    <w:div w:id="390808175">
      <w:bodyDiv w:val="1"/>
      <w:marLeft w:val="0"/>
      <w:marRight w:val="0"/>
      <w:marTop w:val="0"/>
      <w:marBottom w:val="0"/>
      <w:divBdr>
        <w:top w:val="none" w:sz="0" w:space="0" w:color="auto"/>
        <w:left w:val="none" w:sz="0" w:space="0" w:color="auto"/>
        <w:bottom w:val="none" w:sz="0" w:space="0" w:color="auto"/>
        <w:right w:val="none" w:sz="0" w:space="0" w:color="auto"/>
      </w:divBdr>
    </w:div>
    <w:div w:id="391973783">
      <w:bodyDiv w:val="1"/>
      <w:marLeft w:val="0"/>
      <w:marRight w:val="0"/>
      <w:marTop w:val="0"/>
      <w:marBottom w:val="0"/>
      <w:divBdr>
        <w:top w:val="none" w:sz="0" w:space="0" w:color="auto"/>
        <w:left w:val="none" w:sz="0" w:space="0" w:color="auto"/>
        <w:bottom w:val="none" w:sz="0" w:space="0" w:color="auto"/>
        <w:right w:val="none" w:sz="0" w:space="0" w:color="auto"/>
      </w:divBdr>
    </w:div>
    <w:div w:id="393351878">
      <w:bodyDiv w:val="1"/>
      <w:marLeft w:val="0"/>
      <w:marRight w:val="0"/>
      <w:marTop w:val="0"/>
      <w:marBottom w:val="0"/>
      <w:divBdr>
        <w:top w:val="none" w:sz="0" w:space="0" w:color="auto"/>
        <w:left w:val="none" w:sz="0" w:space="0" w:color="auto"/>
        <w:bottom w:val="none" w:sz="0" w:space="0" w:color="auto"/>
        <w:right w:val="none" w:sz="0" w:space="0" w:color="auto"/>
      </w:divBdr>
    </w:div>
    <w:div w:id="394360875">
      <w:bodyDiv w:val="1"/>
      <w:marLeft w:val="0"/>
      <w:marRight w:val="0"/>
      <w:marTop w:val="0"/>
      <w:marBottom w:val="0"/>
      <w:divBdr>
        <w:top w:val="none" w:sz="0" w:space="0" w:color="auto"/>
        <w:left w:val="none" w:sz="0" w:space="0" w:color="auto"/>
        <w:bottom w:val="none" w:sz="0" w:space="0" w:color="auto"/>
        <w:right w:val="none" w:sz="0" w:space="0" w:color="auto"/>
      </w:divBdr>
    </w:div>
    <w:div w:id="395857881">
      <w:bodyDiv w:val="1"/>
      <w:marLeft w:val="0"/>
      <w:marRight w:val="0"/>
      <w:marTop w:val="0"/>
      <w:marBottom w:val="0"/>
      <w:divBdr>
        <w:top w:val="none" w:sz="0" w:space="0" w:color="auto"/>
        <w:left w:val="none" w:sz="0" w:space="0" w:color="auto"/>
        <w:bottom w:val="none" w:sz="0" w:space="0" w:color="auto"/>
        <w:right w:val="none" w:sz="0" w:space="0" w:color="auto"/>
      </w:divBdr>
    </w:div>
    <w:div w:id="396050211">
      <w:bodyDiv w:val="1"/>
      <w:marLeft w:val="0"/>
      <w:marRight w:val="0"/>
      <w:marTop w:val="0"/>
      <w:marBottom w:val="0"/>
      <w:divBdr>
        <w:top w:val="none" w:sz="0" w:space="0" w:color="auto"/>
        <w:left w:val="none" w:sz="0" w:space="0" w:color="auto"/>
        <w:bottom w:val="none" w:sz="0" w:space="0" w:color="auto"/>
        <w:right w:val="none" w:sz="0" w:space="0" w:color="auto"/>
      </w:divBdr>
    </w:div>
    <w:div w:id="398863002">
      <w:bodyDiv w:val="1"/>
      <w:marLeft w:val="0"/>
      <w:marRight w:val="0"/>
      <w:marTop w:val="0"/>
      <w:marBottom w:val="0"/>
      <w:divBdr>
        <w:top w:val="none" w:sz="0" w:space="0" w:color="auto"/>
        <w:left w:val="none" w:sz="0" w:space="0" w:color="auto"/>
        <w:bottom w:val="none" w:sz="0" w:space="0" w:color="auto"/>
        <w:right w:val="none" w:sz="0" w:space="0" w:color="auto"/>
      </w:divBdr>
    </w:div>
    <w:div w:id="398869445">
      <w:bodyDiv w:val="1"/>
      <w:marLeft w:val="0"/>
      <w:marRight w:val="0"/>
      <w:marTop w:val="0"/>
      <w:marBottom w:val="0"/>
      <w:divBdr>
        <w:top w:val="none" w:sz="0" w:space="0" w:color="auto"/>
        <w:left w:val="none" w:sz="0" w:space="0" w:color="auto"/>
        <w:bottom w:val="none" w:sz="0" w:space="0" w:color="auto"/>
        <w:right w:val="none" w:sz="0" w:space="0" w:color="auto"/>
      </w:divBdr>
    </w:div>
    <w:div w:id="399599184">
      <w:bodyDiv w:val="1"/>
      <w:marLeft w:val="0"/>
      <w:marRight w:val="0"/>
      <w:marTop w:val="0"/>
      <w:marBottom w:val="0"/>
      <w:divBdr>
        <w:top w:val="none" w:sz="0" w:space="0" w:color="auto"/>
        <w:left w:val="none" w:sz="0" w:space="0" w:color="auto"/>
        <w:bottom w:val="none" w:sz="0" w:space="0" w:color="auto"/>
        <w:right w:val="none" w:sz="0" w:space="0" w:color="auto"/>
      </w:divBdr>
    </w:div>
    <w:div w:id="399602906">
      <w:bodyDiv w:val="1"/>
      <w:marLeft w:val="0"/>
      <w:marRight w:val="0"/>
      <w:marTop w:val="0"/>
      <w:marBottom w:val="0"/>
      <w:divBdr>
        <w:top w:val="none" w:sz="0" w:space="0" w:color="auto"/>
        <w:left w:val="none" w:sz="0" w:space="0" w:color="auto"/>
        <w:bottom w:val="none" w:sz="0" w:space="0" w:color="auto"/>
        <w:right w:val="none" w:sz="0" w:space="0" w:color="auto"/>
      </w:divBdr>
    </w:div>
    <w:div w:id="400443310">
      <w:bodyDiv w:val="1"/>
      <w:marLeft w:val="0"/>
      <w:marRight w:val="0"/>
      <w:marTop w:val="0"/>
      <w:marBottom w:val="0"/>
      <w:divBdr>
        <w:top w:val="none" w:sz="0" w:space="0" w:color="auto"/>
        <w:left w:val="none" w:sz="0" w:space="0" w:color="auto"/>
        <w:bottom w:val="none" w:sz="0" w:space="0" w:color="auto"/>
        <w:right w:val="none" w:sz="0" w:space="0" w:color="auto"/>
      </w:divBdr>
    </w:div>
    <w:div w:id="400519680">
      <w:bodyDiv w:val="1"/>
      <w:marLeft w:val="0"/>
      <w:marRight w:val="0"/>
      <w:marTop w:val="0"/>
      <w:marBottom w:val="0"/>
      <w:divBdr>
        <w:top w:val="none" w:sz="0" w:space="0" w:color="auto"/>
        <w:left w:val="none" w:sz="0" w:space="0" w:color="auto"/>
        <w:bottom w:val="none" w:sz="0" w:space="0" w:color="auto"/>
        <w:right w:val="none" w:sz="0" w:space="0" w:color="auto"/>
      </w:divBdr>
    </w:div>
    <w:div w:id="401759188">
      <w:bodyDiv w:val="1"/>
      <w:marLeft w:val="0"/>
      <w:marRight w:val="0"/>
      <w:marTop w:val="0"/>
      <w:marBottom w:val="0"/>
      <w:divBdr>
        <w:top w:val="none" w:sz="0" w:space="0" w:color="auto"/>
        <w:left w:val="none" w:sz="0" w:space="0" w:color="auto"/>
        <w:bottom w:val="none" w:sz="0" w:space="0" w:color="auto"/>
        <w:right w:val="none" w:sz="0" w:space="0" w:color="auto"/>
      </w:divBdr>
    </w:div>
    <w:div w:id="401873597">
      <w:bodyDiv w:val="1"/>
      <w:marLeft w:val="0"/>
      <w:marRight w:val="0"/>
      <w:marTop w:val="0"/>
      <w:marBottom w:val="0"/>
      <w:divBdr>
        <w:top w:val="none" w:sz="0" w:space="0" w:color="auto"/>
        <w:left w:val="none" w:sz="0" w:space="0" w:color="auto"/>
        <w:bottom w:val="none" w:sz="0" w:space="0" w:color="auto"/>
        <w:right w:val="none" w:sz="0" w:space="0" w:color="auto"/>
      </w:divBdr>
    </w:div>
    <w:div w:id="404373923">
      <w:bodyDiv w:val="1"/>
      <w:marLeft w:val="0"/>
      <w:marRight w:val="0"/>
      <w:marTop w:val="0"/>
      <w:marBottom w:val="0"/>
      <w:divBdr>
        <w:top w:val="none" w:sz="0" w:space="0" w:color="auto"/>
        <w:left w:val="none" w:sz="0" w:space="0" w:color="auto"/>
        <w:bottom w:val="none" w:sz="0" w:space="0" w:color="auto"/>
        <w:right w:val="none" w:sz="0" w:space="0" w:color="auto"/>
      </w:divBdr>
    </w:div>
    <w:div w:id="407272193">
      <w:bodyDiv w:val="1"/>
      <w:marLeft w:val="0"/>
      <w:marRight w:val="0"/>
      <w:marTop w:val="0"/>
      <w:marBottom w:val="0"/>
      <w:divBdr>
        <w:top w:val="none" w:sz="0" w:space="0" w:color="auto"/>
        <w:left w:val="none" w:sz="0" w:space="0" w:color="auto"/>
        <w:bottom w:val="none" w:sz="0" w:space="0" w:color="auto"/>
        <w:right w:val="none" w:sz="0" w:space="0" w:color="auto"/>
      </w:divBdr>
    </w:div>
    <w:div w:id="407338556">
      <w:bodyDiv w:val="1"/>
      <w:marLeft w:val="0"/>
      <w:marRight w:val="0"/>
      <w:marTop w:val="0"/>
      <w:marBottom w:val="0"/>
      <w:divBdr>
        <w:top w:val="none" w:sz="0" w:space="0" w:color="auto"/>
        <w:left w:val="none" w:sz="0" w:space="0" w:color="auto"/>
        <w:bottom w:val="none" w:sz="0" w:space="0" w:color="auto"/>
        <w:right w:val="none" w:sz="0" w:space="0" w:color="auto"/>
      </w:divBdr>
    </w:div>
    <w:div w:id="409084828">
      <w:bodyDiv w:val="1"/>
      <w:marLeft w:val="0"/>
      <w:marRight w:val="0"/>
      <w:marTop w:val="0"/>
      <w:marBottom w:val="0"/>
      <w:divBdr>
        <w:top w:val="none" w:sz="0" w:space="0" w:color="auto"/>
        <w:left w:val="none" w:sz="0" w:space="0" w:color="auto"/>
        <w:bottom w:val="none" w:sz="0" w:space="0" w:color="auto"/>
        <w:right w:val="none" w:sz="0" w:space="0" w:color="auto"/>
      </w:divBdr>
    </w:div>
    <w:div w:id="411046891">
      <w:bodyDiv w:val="1"/>
      <w:marLeft w:val="0"/>
      <w:marRight w:val="0"/>
      <w:marTop w:val="0"/>
      <w:marBottom w:val="0"/>
      <w:divBdr>
        <w:top w:val="none" w:sz="0" w:space="0" w:color="auto"/>
        <w:left w:val="none" w:sz="0" w:space="0" w:color="auto"/>
        <w:bottom w:val="none" w:sz="0" w:space="0" w:color="auto"/>
        <w:right w:val="none" w:sz="0" w:space="0" w:color="auto"/>
      </w:divBdr>
    </w:div>
    <w:div w:id="412165643">
      <w:bodyDiv w:val="1"/>
      <w:marLeft w:val="0"/>
      <w:marRight w:val="0"/>
      <w:marTop w:val="0"/>
      <w:marBottom w:val="0"/>
      <w:divBdr>
        <w:top w:val="none" w:sz="0" w:space="0" w:color="auto"/>
        <w:left w:val="none" w:sz="0" w:space="0" w:color="auto"/>
        <w:bottom w:val="none" w:sz="0" w:space="0" w:color="auto"/>
        <w:right w:val="none" w:sz="0" w:space="0" w:color="auto"/>
      </w:divBdr>
    </w:div>
    <w:div w:id="414939733">
      <w:bodyDiv w:val="1"/>
      <w:marLeft w:val="0"/>
      <w:marRight w:val="0"/>
      <w:marTop w:val="0"/>
      <w:marBottom w:val="0"/>
      <w:divBdr>
        <w:top w:val="none" w:sz="0" w:space="0" w:color="auto"/>
        <w:left w:val="none" w:sz="0" w:space="0" w:color="auto"/>
        <w:bottom w:val="none" w:sz="0" w:space="0" w:color="auto"/>
        <w:right w:val="none" w:sz="0" w:space="0" w:color="auto"/>
      </w:divBdr>
    </w:div>
    <w:div w:id="418452338">
      <w:bodyDiv w:val="1"/>
      <w:marLeft w:val="0"/>
      <w:marRight w:val="0"/>
      <w:marTop w:val="0"/>
      <w:marBottom w:val="0"/>
      <w:divBdr>
        <w:top w:val="none" w:sz="0" w:space="0" w:color="auto"/>
        <w:left w:val="none" w:sz="0" w:space="0" w:color="auto"/>
        <w:bottom w:val="none" w:sz="0" w:space="0" w:color="auto"/>
        <w:right w:val="none" w:sz="0" w:space="0" w:color="auto"/>
      </w:divBdr>
    </w:div>
    <w:div w:id="422996768">
      <w:bodyDiv w:val="1"/>
      <w:marLeft w:val="0"/>
      <w:marRight w:val="0"/>
      <w:marTop w:val="0"/>
      <w:marBottom w:val="0"/>
      <w:divBdr>
        <w:top w:val="none" w:sz="0" w:space="0" w:color="auto"/>
        <w:left w:val="none" w:sz="0" w:space="0" w:color="auto"/>
        <w:bottom w:val="none" w:sz="0" w:space="0" w:color="auto"/>
        <w:right w:val="none" w:sz="0" w:space="0" w:color="auto"/>
      </w:divBdr>
    </w:div>
    <w:div w:id="429591490">
      <w:bodyDiv w:val="1"/>
      <w:marLeft w:val="0"/>
      <w:marRight w:val="0"/>
      <w:marTop w:val="0"/>
      <w:marBottom w:val="0"/>
      <w:divBdr>
        <w:top w:val="none" w:sz="0" w:space="0" w:color="auto"/>
        <w:left w:val="none" w:sz="0" w:space="0" w:color="auto"/>
        <w:bottom w:val="none" w:sz="0" w:space="0" w:color="auto"/>
        <w:right w:val="none" w:sz="0" w:space="0" w:color="auto"/>
      </w:divBdr>
    </w:div>
    <w:div w:id="429933972">
      <w:bodyDiv w:val="1"/>
      <w:marLeft w:val="0"/>
      <w:marRight w:val="0"/>
      <w:marTop w:val="0"/>
      <w:marBottom w:val="0"/>
      <w:divBdr>
        <w:top w:val="none" w:sz="0" w:space="0" w:color="auto"/>
        <w:left w:val="none" w:sz="0" w:space="0" w:color="auto"/>
        <w:bottom w:val="none" w:sz="0" w:space="0" w:color="auto"/>
        <w:right w:val="none" w:sz="0" w:space="0" w:color="auto"/>
      </w:divBdr>
    </w:div>
    <w:div w:id="432289999">
      <w:bodyDiv w:val="1"/>
      <w:marLeft w:val="0"/>
      <w:marRight w:val="0"/>
      <w:marTop w:val="0"/>
      <w:marBottom w:val="0"/>
      <w:divBdr>
        <w:top w:val="none" w:sz="0" w:space="0" w:color="auto"/>
        <w:left w:val="none" w:sz="0" w:space="0" w:color="auto"/>
        <w:bottom w:val="none" w:sz="0" w:space="0" w:color="auto"/>
        <w:right w:val="none" w:sz="0" w:space="0" w:color="auto"/>
      </w:divBdr>
    </w:div>
    <w:div w:id="432365071">
      <w:bodyDiv w:val="1"/>
      <w:marLeft w:val="0"/>
      <w:marRight w:val="0"/>
      <w:marTop w:val="0"/>
      <w:marBottom w:val="0"/>
      <w:divBdr>
        <w:top w:val="none" w:sz="0" w:space="0" w:color="auto"/>
        <w:left w:val="none" w:sz="0" w:space="0" w:color="auto"/>
        <w:bottom w:val="none" w:sz="0" w:space="0" w:color="auto"/>
        <w:right w:val="none" w:sz="0" w:space="0" w:color="auto"/>
      </w:divBdr>
    </w:div>
    <w:div w:id="433207423">
      <w:bodyDiv w:val="1"/>
      <w:marLeft w:val="0"/>
      <w:marRight w:val="0"/>
      <w:marTop w:val="0"/>
      <w:marBottom w:val="0"/>
      <w:divBdr>
        <w:top w:val="none" w:sz="0" w:space="0" w:color="auto"/>
        <w:left w:val="none" w:sz="0" w:space="0" w:color="auto"/>
        <w:bottom w:val="none" w:sz="0" w:space="0" w:color="auto"/>
        <w:right w:val="none" w:sz="0" w:space="0" w:color="auto"/>
      </w:divBdr>
    </w:div>
    <w:div w:id="434177683">
      <w:bodyDiv w:val="1"/>
      <w:marLeft w:val="0"/>
      <w:marRight w:val="0"/>
      <w:marTop w:val="0"/>
      <w:marBottom w:val="0"/>
      <w:divBdr>
        <w:top w:val="none" w:sz="0" w:space="0" w:color="auto"/>
        <w:left w:val="none" w:sz="0" w:space="0" w:color="auto"/>
        <w:bottom w:val="none" w:sz="0" w:space="0" w:color="auto"/>
        <w:right w:val="none" w:sz="0" w:space="0" w:color="auto"/>
      </w:divBdr>
    </w:div>
    <w:div w:id="436995622">
      <w:bodyDiv w:val="1"/>
      <w:marLeft w:val="0"/>
      <w:marRight w:val="0"/>
      <w:marTop w:val="0"/>
      <w:marBottom w:val="0"/>
      <w:divBdr>
        <w:top w:val="none" w:sz="0" w:space="0" w:color="auto"/>
        <w:left w:val="none" w:sz="0" w:space="0" w:color="auto"/>
        <w:bottom w:val="none" w:sz="0" w:space="0" w:color="auto"/>
        <w:right w:val="none" w:sz="0" w:space="0" w:color="auto"/>
      </w:divBdr>
    </w:div>
    <w:div w:id="438916661">
      <w:bodyDiv w:val="1"/>
      <w:marLeft w:val="0"/>
      <w:marRight w:val="0"/>
      <w:marTop w:val="0"/>
      <w:marBottom w:val="0"/>
      <w:divBdr>
        <w:top w:val="none" w:sz="0" w:space="0" w:color="auto"/>
        <w:left w:val="none" w:sz="0" w:space="0" w:color="auto"/>
        <w:bottom w:val="none" w:sz="0" w:space="0" w:color="auto"/>
        <w:right w:val="none" w:sz="0" w:space="0" w:color="auto"/>
      </w:divBdr>
    </w:div>
    <w:div w:id="442304774">
      <w:bodyDiv w:val="1"/>
      <w:marLeft w:val="0"/>
      <w:marRight w:val="0"/>
      <w:marTop w:val="0"/>
      <w:marBottom w:val="0"/>
      <w:divBdr>
        <w:top w:val="none" w:sz="0" w:space="0" w:color="auto"/>
        <w:left w:val="none" w:sz="0" w:space="0" w:color="auto"/>
        <w:bottom w:val="none" w:sz="0" w:space="0" w:color="auto"/>
        <w:right w:val="none" w:sz="0" w:space="0" w:color="auto"/>
      </w:divBdr>
    </w:div>
    <w:div w:id="442842414">
      <w:bodyDiv w:val="1"/>
      <w:marLeft w:val="0"/>
      <w:marRight w:val="0"/>
      <w:marTop w:val="0"/>
      <w:marBottom w:val="0"/>
      <w:divBdr>
        <w:top w:val="none" w:sz="0" w:space="0" w:color="auto"/>
        <w:left w:val="none" w:sz="0" w:space="0" w:color="auto"/>
        <w:bottom w:val="none" w:sz="0" w:space="0" w:color="auto"/>
        <w:right w:val="none" w:sz="0" w:space="0" w:color="auto"/>
      </w:divBdr>
    </w:div>
    <w:div w:id="444157227">
      <w:bodyDiv w:val="1"/>
      <w:marLeft w:val="0"/>
      <w:marRight w:val="0"/>
      <w:marTop w:val="0"/>
      <w:marBottom w:val="0"/>
      <w:divBdr>
        <w:top w:val="none" w:sz="0" w:space="0" w:color="auto"/>
        <w:left w:val="none" w:sz="0" w:space="0" w:color="auto"/>
        <w:bottom w:val="none" w:sz="0" w:space="0" w:color="auto"/>
        <w:right w:val="none" w:sz="0" w:space="0" w:color="auto"/>
      </w:divBdr>
    </w:div>
    <w:div w:id="448162142">
      <w:bodyDiv w:val="1"/>
      <w:marLeft w:val="0"/>
      <w:marRight w:val="0"/>
      <w:marTop w:val="0"/>
      <w:marBottom w:val="0"/>
      <w:divBdr>
        <w:top w:val="none" w:sz="0" w:space="0" w:color="auto"/>
        <w:left w:val="none" w:sz="0" w:space="0" w:color="auto"/>
        <w:bottom w:val="none" w:sz="0" w:space="0" w:color="auto"/>
        <w:right w:val="none" w:sz="0" w:space="0" w:color="auto"/>
      </w:divBdr>
    </w:div>
    <w:div w:id="451480057">
      <w:bodyDiv w:val="1"/>
      <w:marLeft w:val="0"/>
      <w:marRight w:val="0"/>
      <w:marTop w:val="0"/>
      <w:marBottom w:val="0"/>
      <w:divBdr>
        <w:top w:val="none" w:sz="0" w:space="0" w:color="auto"/>
        <w:left w:val="none" w:sz="0" w:space="0" w:color="auto"/>
        <w:bottom w:val="none" w:sz="0" w:space="0" w:color="auto"/>
        <w:right w:val="none" w:sz="0" w:space="0" w:color="auto"/>
      </w:divBdr>
    </w:div>
    <w:div w:id="453595544">
      <w:bodyDiv w:val="1"/>
      <w:marLeft w:val="0"/>
      <w:marRight w:val="0"/>
      <w:marTop w:val="0"/>
      <w:marBottom w:val="0"/>
      <w:divBdr>
        <w:top w:val="none" w:sz="0" w:space="0" w:color="auto"/>
        <w:left w:val="none" w:sz="0" w:space="0" w:color="auto"/>
        <w:bottom w:val="none" w:sz="0" w:space="0" w:color="auto"/>
        <w:right w:val="none" w:sz="0" w:space="0" w:color="auto"/>
      </w:divBdr>
    </w:div>
    <w:div w:id="454369029">
      <w:bodyDiv w:val="1"/>
      <w:marLeft w:val="0"/>
      <w:marRight w:val="0"/>
      <w:marTop w:val="0"/>
      <w:marBottom w:val="0"/>
      <w:divBdr>
        <w:top w:val="none" w:sz="0" w:space="0" w:color="auto"/>
        <w:left w:val="none" w:sz="0" w:space="0" w:color="auto"/>
        <w:bottom w:val="none" w:sz="0" w:space="0" w:color="auto"/>
        <w:right w:val="none" w:sz="0" w:space="0" w:color="auto"/>
      </w:divBdr>
    </w:div>
    <w:div w:id="454713062">
      <w:bodyDiv w:val="1"/>
      <w:marLeft w:val="0"/>
      <w:marRight w:val="0"/>
      <w:marTop w:val="0"/>
      <w:marBottom w:val="0"/>
      <w:divBdr>
        <w:top w:val="none" w:sz="0" w:space="0" w:color="auto"/>
        <w:left w:val="none" w:sz="0" w:space="0" w:color="auto"/>
        <w:bottom w:val="none" w:sz="0" w:space="0" w:color="auto"/>
        <w:right w:val="none" w:sz="0" w:space="0" w:color="auto"/>
      </w:divBdr>
    </w:div>
    <w:div w:id="455874238">
      <w:bodyDiv w:val="1"/>
      <w:marLeft w:val="0"/>
      <w:marRight w:val="0"/>
      <w:marTop w:val="0"/>
      <w:marBottom w:val="0"/>
      <w:divBdr>
        <w:top w:val="none" w:sz="0" w:space="0" w:color="auto"/>
        <w:left w:val="none" w:sz="0" w:space="0" w:color="auto"/>
        <w:bottom w:val="none" w:sz="0" w:space="0" w:color="auto"/>
        <w:right w:val="none" w:sz="0" w:space="0" w:color="auto"/>
      </w:divBdr>
    </w:div>
    <w:div w:id="456265280">
      <w:bodyDiv w:val="1"/>
      <w:marLeft w:val="0"/>
      <w:marRight w:val="0"/>
      <w:marTop w:val="0"/>
      <w:marBottom w:val="0"/>
      <w:divBdr>
        <w:top w:val="none" w:sz="0" w:space="0" w:color="auto"/>
        <w:left w:val="none" w:sz="0" w:space="0" w:color="auto"/>
        <w:bottom w:val="none" w:sz="0" w:space="0" w:color="auto"/>
        <w:right w:val="none" w:sz="0" w:space="0" w:color="auto"/>
      </w:divBdr>
    </w:div>
    <w:div w:id="456340648">
      <w:bodyDiv w:val="1"/>
      <w:marLeft w:val="0"/>
      <w:marRight w:val="0"/>
      <w:marTop w:val="0"/>
      <w:marBottom w:val="0"/>
      <w:divBdr>
        <w:top w:val="none" w:sz="0" w:space="0" w:color="auto"/>
        <w:left w:val="none" w:sz="0" w:space="0" w:color="auto"/>
        <w:bottom w:val="none" w:sz="0" w:space="0" w:color="auto"/>
        <w:right w:val="none" w:sz="0" w:space="0" w:color="auto"/>
      </w:divBdr>
    </w:div>
    <w:div w:id="456949689">
      <w:bodyDiv w:val="1"/>
      <w:marLeft w:val="0"/>
      <w:marRight w:val="0"/>
      <w:marTop w:val="0"/>
      <w:marBottom w:val="0"/>
      <w:divBdr>
        <w:top w:val="none" w:sz="0" w:space="0" w:color="auto"/>
        <w:left w:val="none" w:sz="0" w:space="0" w:color="auto"/>
        <w:bottom w:val="none" w:sz="0" w:space="0" w:color="auto"/>
        <w:right w:val="none" w:sz="0" w:space="0" w:color="auto"/>
      </w:divBdr>
    </w:div>
    <w:div w:id="457575925">
      <w:bodyDiv w:val="1"/>
      <w:marLeft w:val="0"/>
      <w:marRight w:val="0"/>
      <w:marTop w:val="0"/>
      <w:marBottom w:val="0"/>
      <w:divBdr>
        <w:top w:val="none" w:sz="0" w:space="0" w:color="auto"/>
        <w:left w:val="none" w:sz="0" w:space="0" w:color="auto"/>
        <w:bottom w:val="none" w:sz="0" w:space="0" w:color="auto"/>
        <w:right w:val="none" w:sz="0" w:space="0" w:color="auto"/>
      </w:divBdr>
    </w:div>
    <w:div w:id="457988715">
      <w:bodyDiv w:val="1"/>
      <w:marLeft w:val="0"/>
      <w:marRight w:val="0"/>
      <w:marTop w:val="0"/>
      <w:marBottom w:val="0"/>
      <w:divBdr>
        <w:top w:val="none" w:sz="0" w:space="0" w:color="auto"/>
        <w:left w:val="none" w:sz="0" w:space="0" w:color="auto"/>
        <w:bottom w:val="none" w:sz="0" w:space="0" w:color="auto"/>
        <w:right w:val="none" w:sz="0" w:space="0" w:color="auto"/>
      </w:divBdr>
    </w:div>
    <w:div w:id="458768104">
      <w:bodyDiv w:val="1"/>
      <w:marLeft w:val="0"/>
      <w:marRight w:val="0"/>
      <w:marTop w:val="0"/>
      <w:marBottom w:val="0"/>
      <w:divBdr>
        <w:top w:val="none" w:sz="0" w:space="0" w:color="auto"/>
        <w:left w:val="none" w:sz="0" w:space="0" w:color="auto"/>
        <w:bottom w:val="none" w:sz="0" w:space="0" w:color="auto"/>
        <w:right w:val="none" w:sz="0" w:space="0" w:color="auto"/>
      </w:divBdr>
    </w:div>
    <w:div w:id="459416548">
      <w:bodyDiv w:val="1"/>
      <w:marLeft w:val="0"/>
      <w:marRight w:val="0"/>
      <w:marTop w:val="0"/>
      <w:marBottom w:val="0"/>
      <w:divBdr>
        <w:top w:val="none" w:sz="0" w:space="0" w:color="auto"/>
        <w:left w:val="none" w:sz="0" w:space="0" w:color="auto"/>
        <w:bottom w:val="none" w:sz="0" w:space="0" w:color="auto"/>
        <w:right w:val="none" w:sz="0" w:space="0" w:color="auto"/>
      </w:divBdr>
    </w:div>
    <w:div w:id="460154580">
      <w:bodyDiv w:val="1"/>
      <w:marLeft w:val="0"/>
      <w:marRight w:val="0"/>
      <w:marTop w:val="0"/>
      <w:marBottom w:val="0"/>
      <w:divBdr>
        <w:top w:val="none" w:sz="0" w:space="0" w:color="auto"/>
        <w:left w:val="none" w:sz="0" w:space="0" w:color="auto"/>
        <w:bottom w:val="none" w:sz="0" w:space="0" w:color="auto"/>
        <w:right w:val="none" w:sz="0" w:space="0" w:color="auto"/>
      </w:divBdr>
    </w:div>
    <w:div w:id="460341393">
      <w:bodyDiv w:val="1"/>
      <w:marLeft w:val="0"/>
      <w:marRight w:val="0"/>
      <w:marTop w:val="0"/>
      <w:marBottom w:val="0"/>
      <w:divBdr>
        <w:top w:val="none" w:sz="0" w:space="0" w:color="auto"/>
        <w:left w:val="none" w:sz="0" w:space="0" w:color="auto"/>
        <w:bottom w:val="none" w:sz="0" w:space="0" w:color="auto"/>
        <w:right w:val="none" w:sz="0" w:space="0" w:color="auto"/>
      </w:divBdr>
    </w:div>
    <w:div w:id="460348756">
      <w:bodyDiv w:val="1"/>
      <w:marLeft w:val="0"/>
      <w:marRight w:val="0"/>
      <w:marTop w:val="0"/>
      <w:marBottom w:val="0"/>
      <w:divBdr>
        <w:top w:val="none" w:sz="0" w:space="0" w:color="auto"/>
        <w:left w:val="none" w:sz="0" w:space="0" w:color="auto"/>
        <w:bottom w:val="none" w:sz="0" w:space="0" w:color="auto"/>
        <w:right w:val="none" w:sz="0" w:space="0" w:color="auto"/>
      </w:divBdr>
    </w:div>
    <w:div w:id="462969260">
      <w:bodyDiv w:val="1"/>
      <w:marLeft w:val="0"/>
      <w:marRight w:val="0"/>
      <w:marTop w:val="0"/>
      <w:marBottom w:val="0"/>
      <w:divBdr>
        <w:top w:val="none" w:sz="0" w:space="0" w:color="auto"/>
        <w:left w:val="none" w:sz="0" w:space="0" w:color="auto"/>
        <w:bottom w:val="none" w:sz="0" w:space="0" w:color="auto"/>
        <w:right w:val="none" w:sz="0" w:space="0" w:color="auto"/>
      </w:divBdr>
    </w:div>
    <w:div w:id="463087695">
      <w:bodyDiv w:val="1"/>
      <w:marLeft w:val="0"/>
      <w:marRight w:val="0"/>
      <w:marTop w:val="0"/>
      <w:marBottom w:val="0"/>
      <w:divBdr>
        <w:top w:val="none" w:sz="0" w:space="0" w:color="auto"/>
        <w:left w:val="none" w:sz="0" w:space="0" w:color="auto"/>
        <w:bottom w:val="none" w:sz="0" w:space="0" w:color="auto"/>
        <w:right w:val="none" w:sz="0" w:space="0" w:color="auto"/>
      </w:divBdr>
    </w:div>
    <w:div w:id="463546537">
      <w:bodyDiv w:val="1"/>
      <w:marLeft w:val="0"/>
      <w:marRight w:val="0"/>
      <w:marTop w:val="0"/>
      <w:marBottom w:val="0"/>
      <w:divBdr>
        <w:top w:val="none" w:sz="0" w:space="0" w:color="auto"/>
        <w:left w:val="none" w:sz="0" w:space="0" w:color="auto"/>
        <w:bottom w:val="none" w:sz="0" w:space="0" w:color="auto"/>
        <w:right w:val="none" w:sz="0" w:space="0" w:color="auto"/>
      </w:divBdr>
    </w:div>
    <w:div w:id="464347626">
      <w:bodyDiv w:val="1"/>
      <w:marLeft w:val="0"/>
      <w:marRight w:val="0"/>
      <w:marTop w:val="0"/>
      <w:marBottom w:val="0"/>
      <w:divBdr>
        <w:top w:val="none" w:sz="0" w:space="0" w:color="auto"/>
        <w:left w:val="none" w:sz="0" w:space="0" w:color="auto"/>
        <w:bottom w:val="none" w:sz="0" w:space="0" w:color="auto"/>
        <w:right w:val="none" w:sz="0" w:space="0" w:color="auto"/>
      </w:divBdr>
    </w:div>
    <w:div w:id="465703348">
      <w:bodyDiv w:val="1"/>
      <w:marLeft w:val="0"/>
      <w:marRight w:val="0"/>
      <w:marTop w:val="0"/>
      <w:marBottom w:val="0"/>
      <w:divBdr>
        <w:top w:val="none" w:sz="0" w:space="0" w:color="auto"/>
        <w:left w:val="none" w:sz="0" w:space="0" w:color="auto"/>
        <w:bottom w:val="none" w:sz="0" w:space="0" w:color="auto"/>
        <w:right w:val="none" w:sz="0" w:space="0" w:color="auto"/>
      </w:divBdr>
    </w:div>
    <w:div w:id="467430419">
      <w:bodyDiv w:val="1"/>
      <w:marLeft w:val="0"/>
      <w:marRight w:val="0"/>
      <w:marTop w:val="0"/>
      <w:marBottom w:val="0"/>
      <w:divBdr>
        <w:top w:val="none" w:sz="0" w:space="0" w:color="auto"/>
        <w:left w:val="none" w:sz="0" w:space="0" w:color="auto"/>
        <w:bottom w:val="none" w:sz="0" w:space="0" w:color="auto"/>
        <w:right w:val="none" w:sz="0" w:space="0" w:color="auto"/>
      </w:divBdr>
    </w:div>
    <w:div w:id="468519961">
      <w:bodyDiv w:val="1"/>
      <w:marLeft w:val="0"/>
      <w:marRight w:val="0"/>
      <w:marTop w:val="0"/>
      <w:marBottom w:val="0"/>
      <w:divBdr>
        <w:top w:val="none" w:sz="0" w:space="0" w:color="auto"/>
        <w:left w:val="none" w:sz="0" w:space="0" w:color="auto"/>
        <w:bottom w:val="none" w:sz="0" w:space="0" w:color="auto"/>
        <w:right w:val="none" w:sz="0" w:space="0" w:color="auto"/>
      </w:divBdr>
    </w:div>
    <w:div w:id="471337681">
      <w:bodyDiv w:val="1"/>
      <w:marLeft w:val="0"/>
      <w:marRight w:val="0"/>
      <w:marTop w:val="0"/>
      <w:marBottom w:val="0"/>
      <w:divBdr>
        <w:top w:val="none" w:sz="0" w:space="0" w:color="auto"/>
        <w:left w:val="none" w:sz="0" w:space="0" w:color="auto"/>
        <w:bottom w:val="none" w:sz="0" w:space="0" w:color="auto"/>
        <w:right w:val="none" w:sz="0" w:space="0" w:color="auto"/>
      </w:divBdr>
    </w:div>
    <w:div w:id="475419552">
      <w:bodyDiv w:val="1"/>
      <w:marLeft w:val="0"/>
      <w:marRight w:val="0"/>
      <w:marTop w:val="0"/>
      <w:marBottom w:val="0"/>
      <w:divBdr>
        <w:top w:val="none" w:sz="0" w:space="0" w:color="auto"/>
        <w:left w:val="none" w:sz="0" w:space="0" w:color="auto"/>
        <w:bottom w:val="none" w:sz="0" w:space="0" w:color="auto"/>
        <w:right w:val="none" w:sz="0" w:space="0" w:color="auto"/>
      </w:divBdr>
    </w:div>
    <w:div w:id="475419555">
      <w:bodyDiv w:val="1"/>
      <w:marLeft w:val="0"/>
      <w:marRight w:val="0"/>
      <w:marTop w:val="0"/>
      <w:marBottom w:val="0"/>
      <w:divBdr>
        <w:top w:val="none" w:sz="0" w:space="0" w:color="auto"/>
        <w:left w:val="none" w:sz="0" w:space="0" w:color="auto"/>
        <w:bottom w:val="none" w:sz="0" w:space="0" w:color="auto"/>
        <w:right w:val="none" w:sz="0" w:space="0" w:color="auto"/>
      </w:divBdr>
    </w:div>
    <w:div w:id="477190641">
      <w:bodyDiv w:val="1"/>
      <w:marLeft w:val="0"/>
      <w:marRight w:val="0"/>
      <w:marTop w:val="0"/>
      <w:marBottom w:val="0"/>
      <w:divBdr>
        <w:top w:val="none" w:sz="0" w:space="0" w:color="auto"/>
        <w:left w:val="none" w:sz="0" w:space="0" w:color="auto"/>
        <w:bottom w:val="none" w:sz="0" w:space="0" w:color="auto"/>
        <w:right w:val="none" w:sz="0" w:space="0" w:color="auto"/>
      </w:divBdr>
    </w:div>
    <w:div w:id="479929106">
      <w:bodyDiv w:val="1"/>
      <w:marLeft w:val="0"/>
      <w:marRight w:val="0"/>
      <w:marTop w:val="0"/>
      <w:marBottom w:val="0"/>
      <w:divBdr>
        <w:top w:val="none" w:sz="0" w:space="0" w:color="auto"/>
        <w:left w:val="none" w:sz="0" w:space="0" w:color="auto"/>
        <w:bottom w:val="none" w:sz="0" w:space="0" w:color="auto"/>
        <w:right w:val="none" w:sz="0" w:space="0" w:color="auto"/>
      </w:divBdr>
    </w:div>
    <w:div w:id="481118922">
      <w:bodyDiv w:val="1"/>
      <w:marLeft w:val="0"/>
      <w:marRight w:val="0"/>
      <w:marTop w:val="0"/>
      <w:marBottom w:val="0"/>
      <w:divBdr>
        <w:top w:val="none" w:sz="0" w:space="0" w:color="auto"/>
        <w:left w:val="none" w:sz="0" w:space="0" w:color="auto"/>
        <w:bottom w:val="none" w:sz="0" w:space="0" w:color="auto"/>
        <w:right w:val="none" w:sz="0" w:space="0" w:color="auto"/>
      </w:divBdr>
    </w:div>
    <w:div w:id="481579163">
      <w:bodyDiv w:val="1"/>
      <w:marLeft w:val="0"/>
      <w:marRight w:val="0"/>
      <w:marTop w:val="0"/>
      <w:marBottom w:val="0"/>
      <w:divBdr>
        <w:top w:val="none" w:sz="0" w:space="0" w:color="auto"/>
        <w:left w:val="none" w:sz="0" w:space="0" w:color="auto"/>
        <w:bottom w:val="none" w:sz="0" w:space="0" w:color="auto"/>
        <w:right w:val="none" w:sz="0" w:space="0" w:color="auto"/>
      </w:divBdr>
    </w:div>
    <w:div w:id="484247233">
      <w:bodyDiv w:val="1"/>
      <w:marLeft w:val="0"/>
      <w:marRight w:val="0"/>
      <w:marTop w:val="0"/>
      <w:marBottom w:val="0"/>
      <w:divBdr>
        <w:top w:val="none" w:sz="0" w:space="0" w:color="auto"/>
        <w:left w:val="none" w:sz="0" w:space="0" w:color="auto"/>
        <w:bottom w:val="none" w:sz="0" w:space="0" w:color="auto"/>
        <w:right w:val="none" w:sz="0" w:space="0" w:color="auto"/>
      </w:divBdr>
    </w:div>
    <w:div w:id="489949796">
      <w:bodyDiv w:val="1"/>
      <w:marLeft w:val="0"/>
      <w:marRight w:val="0"/>
      <w:marTop w:val="0"/>
      <w:marBottom w:val="0"/>
      <w:divBdr>
        <w:top w:val="none" w:sz="0" w:space="0" w:color="auto"/>
        <w:left w:val="none" w:sz="0" w:space="0" w:color="auto"/>
        <w:bottom w:val="none" w:sz="0" w:space="0" w:color="auto"/>
        <w:right w:val="none" w:sz="0" w:space="0" w:color="auto"/>
      </w:divBdr>
    </w:div>
    <w:div w:id="489954270">
      <w:bodyDiv w:val="1"/>
      <w:marLeft w:val="0"/>
      <w:marRight w:val="0"/>
      <w:marTop w:val="0"/>
      <w:marBottom w:val="0"/>
      <w:divBdr>
        <w:top w:val="none" w:sz="0" w:space="0" w:color="auto"/>
        <w:left w:val="none" w:sz="0" w:space="0" w:color="auto"/>
        <w:bottom w:val="none" w:sz="0" w:space="0" w:color="auto"/>
        <w:right w:val="none" w:sz="0" w:space="0" w:color="auto"/>
      </w:divBdr>
    </w:div>
    <w:div w:id="491144260">
      <w:bodyDiv w:val="1"/>
      <w:marLeft w:val="0"/>
      <w:marRight w:val="0"/>
      <w:marTop w:val="0"/>
      <w:marBottom w:val="0"/>
      <w:divBdr>
        <w:top w:val="none" w:sz="0" w:space="0" w:color="auto"/>
        <w:left w:val="none" w:sz="0" w:space="0" w:color="auto"/>
        <w:bottom w:val="none" w:sz="0" w:space="0" w:color="auto"/>
        <w:right w:val="none" w:sz="0" w:space="0" w:color="auto"/>
      </w:divBdr>
    </w:div>
    <w:div w:id="491335421">
      <w:bodyDiv w:val="1"/>
      <w:marLeft w:val="0"/>
      <w:marRight w:val="0"/>
      <w:marTop w:val="0"/>
      <w:marBottom w:val="0"/>
      <w:divBdr>
        <w:top w:val="none" w:sz="0" w:space="0" w:color="auto"/>
        <w:left w:val="none" w:sz="0" w:space="0" w:color="auto"/>
        <w:bottom w:val="none" w:sz="0" w:space="0" w:color="auto"/>
        <w:right w:val="none" w:sz="0" w:space="0" w:color="auto"/>
      </w:divBdr>
    </w:div>
    <w:div w:id="493106061">
      <w:bodyDiv w:val="1"/>
      <w:marLeft w:val="0"/>
      <w:marRight w:val="0"/>
      <w:marTop w:val="0"/>
      <w:marBottom w:val="0"/>
      <w:divBdr>
        <w:top w:val="none" w:sz="0" w:space="0" w:color="auto"/>
        <w:left w:val="none" w:sz="0" w:space="0" w:color="auto"/>
        <w:bottom w:val="none" w:sz="0" w:space="0" w:color="auto"/>
        <w:right w:val="none" w:sz="0" w:space="0" w:color="auto"/>
      </w:divBdr>
    </w:div>
    <w:div w:id="493763281">
      <w:bodyDiv w:val="1"/>
      <w:marLeft w:val="0"/>
      <w:marRight w:val="0"/>
      <w:marTop w:val="0"/>
      <w:marBottom w:val="0"/>
      <w:divBdr>
        <w:top w:val="none" w:sz="0" w:space="0" w:color="auto"/>
        <w:left w:val="none" w:sz="0" w:space="0" w:color="auto"/>
        <w:bottom w:val="none" w:sz="0" w:space="0" w:color="auto"/>
        <w:right w:val="none" w:sz="0" w:space="0" w:color="auto"/>
      </w:divBdr>
    </w:div>
    <w:div w:id="495146079">
      <w:bodyDiv w:val="1"/>
      <w:marLeft w:val="0"/>
      <w:marRight w:val="0"/>
      <w:marTop w:val="0"/>
      <w:marBottom w:val="0"/>
      <w:divBdr>
        <w:top w:val="none" w:sz="0" w:space="0" w:color="auto"/>
        <w:left w:val="none" w:sz="0" w:space="0" w:color="auto"/>
        <w:bottom w:val="none" w:sz="0" w:space="0" w:color="auto"/>
        <w:right w:val="none" w:sz="0" w:space="0" w:color="auto"/>
      </w:divBdr>
    </w:div>
    <w:div w:id="495387652">
      <w:bodyDiv w:val="1"/>
      <w:marLeft w:val="0"/>
      <w:marRight w:val="0"/>
      <w:marTop w:val="0"/>
      <w:marBottom w:val="0"/>
      <w:divBdr>
        <w:top w:val="none" w:sz="0" w:space="0" w:color="auto"/>
        <w:left w:val="none" w:sz="0" w:space="0" w:color="auto"/>
        <w:bottom w:val="none" w:sz="0" w:space="0" w:color="auto"/>
        <w:right w:val="none" w:sz="0" w:space="0" w:color="auto"/>
      </w:divBdr>
    </w:div>
    <w:div w:id="495920232">
      <w:bodyDiv w:val="1"/>
      <w:marLeft w:val="0"/>
      <w:marRight w:val="0"/>
      <w:marTop w:val="0"/>
      <w:marBottom w:val="0"/>
      <w:divBdr>
        <w:top w:val="none" w:sz="0" w:space="0" w:color="auto"/>
        <w:left w:val="none" w:sz="0" w:space="0" w:color="auto"/>
        <w:bottom w:val="none" w:sz="0" w:space="0" w:color="auto"/>
        <w:right w:val="none" w:sz="0" w:space="0" w:color="auto"/>
      </w:divBdr>
    </w:div>
    <w:div w:id="498734768">
      <w:bodyDiv w:val="1"/>
      <w:marLeft w:val="0"/>
      <w:marRight w:val="0"/>
      <w:marTop w:val="0"/>
      <w:marBottom w:val="0"/>
      <w:divBdr>
        <w:top w:val="none" w:sz="0" w:space="0" w:color="auto"/>
        <w:left w:val="none" w:sz="0" w:space="0" w:color="auto"/>
        <w:bottom w:val="none" w:sz="0" w:space="0" w:color="auto"/>
        <w:right w:val="none" w:sz="0" w:space="0" w:color="auto"/>
      </w:divBdr>
    </w:div>
    <w:div w:id="499081540">
      <w:bodyDiv w:val="1"/>
      <w:marLeft w:val="0"/>
      <w:marRight w:val="0"/>
      <w:marTop w:val="0"/>
      <w:marBottom w:val="0"/>
      <w:divBdr>
        <w:top w:val="none" w:sz="0" w:space="0" w:color="auto"/>
        <w:left w:val="none" w:sz="0" w:space="0" w:color="auto"/>
        <w:bottom w:val="none" w:sz="0" w:space="0" w:color="auto"/>
        <w:right w:val="none" w:sz="0" w:space="0" w:color="auto"/>
      </w:divBdr>
    </w:div>
    <w:div w:id="499125201">
      <w:bodyDiv w:val="1"/>
      <w:marLeft w:val="0"/>
      <w:marRight w:val="0"/>
      <w:marTop w:val="0"/>
      <w:marBottom w:val="0"/>
      <w:divBdr>
        <w:top w:val="none" w:sz="0" w:space="0" w:color="auto"/>
        <w:left w:val="none" w:sz="0" w:space="0" w:color="auto"/>
        <w:bottom w:val="none" w:sz="0" w:space="0" w:color="auto"/>
        <w:right w:val="none" w:sz="0" w:space="0" w:color="auto"/>
      </w:divBdr>
    </w:div>
    <w:div w:id="502009515">
      <w:bodyDiv w:val="1"/>
      <w:marLeft w:val="0"/>
      <w:marRight w:val="0"/>
      <w:marTop w:val="0"/>
      <w:marBottom w:val="0"/>
      <w:divBdr>
        <w:top w:val="none" w:sz="0" w:space="0" w:color="auto"/>
        <w:left w:val="none" w:sz="0" w:space="0" w:color="auto"/>
        <w:bottom w:val="none" w:sz="0" w:space="0" w:color="auto"/>
        <w:right w:val="none" w:sz="0" w:space="0" w:color="auto"/>
      </w:divBdr>
    </w:div>
    <w:div w:id="502090353">
      <w:bodyDiv w:val="1"/>
      <w:marLeft w:val="0"/>
      <w:marRight w:val="0"/>
      <w:marTop w:val="0"/>
      <w:marBottom w:val="0"/>
      <w:divBdr>
        <w:top w:val="none" w:sz="0" w:space="0" w:color="auto"/>
        <w:left w:val="none" w:sz="0" w:space="0" w:color="auto"/>
        <w:bottom w:val="none" w:sz="0" w:space="0" w:color="auto"/>
        <w:right w:val="none" w:sz="0" w:space="0" w:color="auto"/>
      </w:divBdr>
    </w:div>
    <w:div w:id="502822600">
      <w:bodyDiv w:val="1"/>
      <w:marLeft w:val="0"/>
      <w:marRight w:val="0"/>
      <w:marTop w:val="0"/>
      <w:marBottom w:val="0"/>
      <w:divBdr>
        <w:top w:val="none" w:sz="0" w:space="0" w:color="auto"/>
        <w:left w:val="none" w:sz="0" w:space="0" w:color="auto"/>
        <w:bottom w:val="none" w:sz="0" w:space="0" w:color="auto"/>
        <w:right w:val="none" w:sz="0" w:space="0" w:color="auto"/>
      </w:divBdr>
    </w:div>
    <w:div w:id="503058653">
      <w:bodyDiv w:val="1"/>
      <w:marLeft w:val="0"/>
      <w:marRight w:val="0"/>
      <w:marTop w:val="0"/>
      <w:marBottom w:val="0"/>
      <w:divBdr>
        <w:top w:val="none" w:sz="0" w:space="0" w:color="auto"/>
        <w:left w:val="none" w:sz="0" w:space="0" w:color="auto"/>
        <w:bottom w:val="none" w:sz="0" w:space="0" w:color="auto"/>
        <w:right w:val="none" w:sz="0" w:space="0" w:color="auto"/>
      </w:divBdr>
    </w:div>
    <w:div w:id="504172033">
      <w:bodyDiv w:val="1"/>
      <w:marLeft w:val="0"/>
      <w:marRight w:val="0"/>
      <w:marTop w:val="0"/>
      <w:marBottom w:val="0"/>
      <w:divBdr>
        <w:top w:val="none" w:sz="0" w:space="0" w:color="auto"/>
        <w:left w:val="none" w:sz="0" w:space="0" w:color="auto"/>
        <w:bottom w:val="none" w:sz="0" w:space="0" w:color="auto"/>
        <w:right w:val="none" w:sz="0" w:space="0" w:color="auto"/>
      </w:divBdr>
    </w:div>
    <w:div w:id="505444623">
      <w:bodyDiv w:val="1"/>
      <w:marLeft w:val="0"/>
      <w:marRight w:val="0"/>
      <w:marTop w:val="0"/>
      <w:marBottom w:val="0"/>
      <w:divBdr>
        <w:top w:val="none" w:sz="0" w:space="0" w:color="auto"/>
        <w:left w:val="none" w:sz="0" w:space="0" w:color="auto"/>
        <w:bottom w:val="none" w:sz="0" w:space="0" w:color="auto"/>
        <w:right w:val="none" w:sz="0" w:space="0" w:color="auto"/>
      </w:divBdr>
    </w:div>
    <w:div w:id="505480022">
      <w:bodyDiv w:val="1"/>
      <w:marLeft w:val="0"/>
      <w:marRight w:val="0"/>
      <w:marTop w:val="0"/>
      <w:marBottom w:val="0"/>
      <w:divBdr>
        <w:top w:val="none" w:sz="0" w:space="0" w:color="auto"/>
        <w:left w:val="none" w:sz="0" w:space="0" w:color="auto"/>
        <w:bottom w:val="none" w:sz="0" w:space="0" w:color="auto"/>
        <w:right w:val="none" w:sz="0" w:space="0" w:color="auto"/>
      </w:divBdr>
    </w:div>
    <w:div w:id="509493970">
      <w:bodyDiv w:val="1"/>
      <w:marLeft w:val="0"/>
      <w:marRight w:val="0"/>
      <w:marTop w:val="0"/>
      <w:marBottom w:val="0"/>
      <w:divBdr>
        <w:top w:val="none" w:sz="0" w:space="0" w:color="auto"/>
        <w:left w:val="none" w:sz="0" w:space="0" w:color="auto"/>
        <w:bottom w:val="none" w:sz="0" w:space="0" w:color="auto"/>
        <w:right w:val="none" w:sz="0" w:space="0" w:color="auto"/>
      </w:divBdr>
    </w:div>
    <w:div w:id="511265094">
      <w:bodyDiv w:val="1"/>
      <w:marLeft w:val="0"/>
      <w:marRight w:val="0"/>
      <w:marTop w:val="0"/>
      <w:marBottom w:val="0"/>
      <w:divBdr>
        <w:top w:val="none" w:sz="0" w:space="0" w:color="auto"/>
        <w:left w:val="none" w:sz="0" w:space="0" w:color="auto"/>
        <w:bottom w:val="none" w:sz="0" w:space="0" w:color="auto"/>
        <w:right w:val="none" w:sz="0" w:space="0" w:color="auto"/>
      </w:divBdr>
    </w:div>
    <w:div w:id="511526405">
      <w:bodyDiv w:val="1"/>
      <w:marLeft w:val="0"/>
      <w:marRight w:val="0"/>
      <w:marTop w:val="0"/>
      <w:marBottom w:val="0"/>
      <w:divBdr>
        <w:top w:val="none" w:sz="0" w:space="0" w:color="auto"/>
        <w:left w:val="none" w:sz="0" w:space="0" w:color="auto"/>
        <w:bottom w:val="none" w:sz="0" w:space="0" w:color="auto"/>
        <w:right w:val="none" w:sz="0" w:space="0" w:color="auto"/>
      </w:divBdr>
    </w:div>
    <w:div w:id="516892931">
      <w:bodyDiv w:val="1"/>
      <w:marLeft w:val="0"/>
      <w:marRight w:val="0"/>
      <w:marTop w:val="0"/>
      <w:marBottom w:val="0"/>
      <w:divBdr>
        <w:top w:val="none" w:sz="0" w:space="0" w:color="auto"/>
        <w:left w:val="none" w:sz="0" w:space="0" w:color="auto"/>
        <w:bottom w:val="none" w:sz="0" w:space="0" w:color="auto"/>
        <w:right w:val="none" w:sz="0" w:space="0" w:color="auto"/>
      </w:divBdr>
    </w:div>
    <w:div w:id="517503857">
      <w:bodyDiv w:val="1"/>
      <w:marLeft w:val="0"/>
      <w:marRight w:val="0"/>
      <w:marTop w:val="0"/>
      <w:marBottom w:val="0"/>
      <w:divBdr>
        <w:top w:val="none" w:sz="0" w:space="0" w:color="auto"/>
        <w:left w:val="none" w:sz="0" w:space="0" w:color="auto"/>
        <w:bottom w:val="none" w:sz="0" w:space="0" w:color="auto"/>
        <w:right w:val="none" w:sz="0" w:space="0" w:color="auto"/>
      </w:divBdr>
    </w:div>
    <w:div w:id="522591990">
      <w:bodyDiv w:val="1"/>
      <w:marLeft w:val="0"/>
      <w:marRight w:val="0"/>
      <w:marTop w:val="0"/>
      <w:marBottom w:val="0"/>
      <w:divBdr>
        <w:top w:val="none" w:sz="0" w:space="0" w:color="auto"/>
        <w:left w:val="none" w:sz="0" w:space="0" w:color="auto"/>
        <w:bottom w:val="none" w:sz="0" w:space="0" w:color="auto"/>
        <w:right w:val="none" w:sz="0" w:space="0" w:color="auto"/>
      </w:divBdr>
    </w:div>
    <w:div w:id="522717075">
      <w:bodyDiv w:val="1"/>
      <w:marLeft w:val="0"/>
      <w:marRight w:val="0"/>
      <w:marTop w:val="0"/>
      <w:marBottom w:val="0"/>
      <w:divBdr>
        <w:top w:val="none" w:sz="0" w:space="0" w:color="auto"/>
        <w:left w:val="none" w:sz="0" w:space="0" w:color="auto"/>
        <w:bottom w:val="none" w:sz="0" w:space="0" w:color="auto"/>
        <w:right w:val="none" w:sz="0" w:space="0" w:color="auto"/>
      </w:divBdr>
    </w:div>
    <w:div w:id="522789120">
      <w:bodyDiv w:val="1"/>
      <w:marLeft w:val="0"/>
      <w:marRight w:val="0"/>
      <w:marTop w:val="0"/>
      <w:marBottom w:val="0"/>
      <w:divBdr>
        <w:top w:val="none" w:sz="0" w:space="0" w:color="auto"/>
        <w:left w:val="none" w:sz="0" w:space="0" w:color="auto"/>
        <w:bottom w:val="none" w:sz="0" w:space="0" w:color="auto"/>
        <w:right w:val="none" w:sz="0" w:space="0" w:color="auto"/>
      </w:divBdr>
    </w:div>
    <w:div w:id="523596087">
      <w:bodyDiv w:val="1"/>
      <w:marLeft w:val="0"/>
      <w:marRight w:val="0"/>
      <w:marTop w:val="0"/>
      <w:marBottom w:val="0"/>
      <w:divBdr>
        <w:top w:val="none" w:sz="0" w:space="0" w:color="auto"/>
        <w:left w:val="none" w:sz="0" w:space="0" w:color="auto"/>
        <w:bottom w:val="none" w:sz="0" w:space="0" w:color="auto"/>
        <w:right w:val="none" w:sz="0" w:space="0" w:color="auto"/>
      </w:divBdr>
    </w:div>
    <w:div w:id="526910415">
      <w:bodyDiv w:val="1"/>
      <w:marLeft w:val="0"/>
      <w:marRight w:val="0"/>
      <w:marTop w:val="0"/>
      <w:marBottom w:val="0"/>
      <w:divBdr>
        <w:top w:val="none" w:sz="0" w:space="0" w:color="auto"/>
        <w:left w:val="none" w:sz="0" w:space="0" w:color="auto"/>
        <w:bottom w:val="none" w:sz="0" w:space="0" w:color="auto"/>
        <w:right w:val="none" w:sz="0" w:space="0" w:color="auto"/>
      </w:divBdr>
    </w:div>
    <w:div w:id="527838072">
      <w:bodyDiv w:val="1"/>
      <w:marLeft w:val="0"/>
      <w:marRight w:val="0"/>
      <w:marTop w:val="0"/>
      <w:marBottom w:val="0"/>
      <w:divBdr>
        <w:top w:val="none" w:sz="0" w:space="0" w:color="auto"/>
        <w:left w:val="none" w:sz="0" w:space="0" w:color="auto"/>
        <w:bottom w:val="none" w:sz="0" w:space="0" w:color="auto"/>
        <w:right w:val="none" w:sz="0" w:space="0" w:color="auto"/>
      </w:divBdr>
    </w:div>
    <w:div w:id="528370497">
      <w:bodyDiv w:val="1"/>
      <w:marLeft w:val="0"/>
      <w:marRight w:val="0"/>
      <w:marTop w:val="0"/>
      <w:marBottom w:val="0"/>
      <w:divBdr>
        <w:top w:val="none" w:sz="0" w:space="0" w:color="auto"/>
        <w:left w:val="none" w:sz="0" w:space="0" w:color="auto"/>
        <w:bottom w:val="none" w:sz="0" w:space="0" w:color="auto"/>
        <w:right w:val="none" w:sz="0" w:space="0" w:color="auto"/>
      </w:divBdr>
    </w:div>
    <w:div w:id="529221171">
      <w:bodyDiv w:val="1"/>
      <w:marLeft w:val="0"/>
      <w:marRight w:val="0"/>
      <w:marTop w:val="0"/>
      <w:marBottom w:val="0"/>
      <w:divBdr>
        <w:top w:val="none" w:sz="0" w:space="0" w:color="auto"/>
        <w:left w:val="none" w:sz="0" w:space="0" w:color="auto"/>
        <w:bottom w:val="none" w:sz="0" w:space="0" w:color="auto"/>
        <w:right w:val="none" w:sz="0" w:space="0" w:color="auto"/>
      </w:divBdr>
    </w:div>
    <w:div w:id="532109411">
      <w:bodyDiv w:val="1"/>
      <w:marLeft w:val="0"/>
      <w:marRight w:val="0"/>
      <w:marTop w:val="0"/>
      <w:marBottom w:val="0"/>
      <w:divBdr>
        <w:top w:val="none" w:sz="0" w:space="0" w:color="auto"/>
        <w:left w:val="none" w:sz="0" w:space="0" w:color="auto"/>
        <w:bottom w:val="none" w:sz="0" w:space="0" w:color="auto"/>
        <w:right w:val="none" w:sz="0" w:space="0" w:color="auto"/>
      </w:divBdr>
    </w:div>
    <w:div w:id="533352691">
      <w:bodyDiv w:val="1"/>
      <w:marLeft w:val="0"/>
      <w:marRight w:val="0"/>
      <w:marTop w:val="0"/>
      <w:marBottom w:val="0"/>
      <w:divBdr>
        <w:top w:val="none" w:sz="0" w:space="0" w:color="auto"/>
        <w:left w:val="none" w:sz="0" w:space="0" w:color="auto"/>
        <w:bottom w:val="none" w:sz="0" w:space="0" w:color="auto"/>
        <w:right w:val="none" w:sz="0" w:space="0" w:color="auto"/>
      </w:divBdr>
    </w:div>
    <w:div w:id="535697976">
      <w:bodyDiv w:val="1"/>
      <w:marLeft w:val="0"/>
      <w:marRight w:val="0"/>
      <w:marTop w:val="0"/>
      <w:marBottom w:val="0"/>
      <w:divBdr>
        <w:top w:val="none" w:sz="0" w:space="0" w:color="auto"/>
        <w:left w:val="none" w:sz="0" w:space="0" w:color="auto"/>
        <w:bottom w:val="none" w:sz="0" w:space="0" w:color="auto"/>
        <w:right w:val="none" w:sz="0" w:space="0" w:color="auto"/>
      </w:divBdr>
    </w:div>
    <w:div w:id="536622522">
      <w:bodyDiv w:val="1"/>
      <w:marLeft w:val="0"/>
      <w:marRight w:val="0"/>
      <w:marTop w:val="0"/>
      <w:marBottom w:val="0"/>
      <w:divBdr>
        <w:top w:val="none" w:sz="0" w:space="0" w:color="auto"/>
        <w:left w:val="none" w:sz="0" w:space="0" w:color="auto"/>
        <w:bottom w:val="none" w:sz="0" w:space="0" w:color="auto"/>
        <w:right w:val="none" w:sz="0" w:space="0" w:color="auto"/>
      </w:divBdr>
    </w:div>
    <w:div w:id="537008375">
      <w:bodyDiv w:val="1"/>
      <w:marLeft w:val="0"/>
      <w:marRight w:val="0"/>
      <w:marTop w:val="0"/>
      <w:marBottom w:val="0"/>
      <w:divBdr>
        <w:top w:val="none" w:sz="0" w:space="0" w:color="auto"/>
        <w:left w:val="none" w:sz="0" w:space="0" w:color="auto"/>
        <w:bottom w:val="none" w:sz="0" w:space="0" w:color="auto"/>
        <w:right w:val="none" w:sz="0" w:space="0" w:color="auto"/>
      </w:divBdr>
    </w:div>
    <w:div w:id="537550669">
      <w:bodyDiv w:val="1"/>
      <w:marLeft w:val="0"/>
      <w:marRight w:val="0"/>
      <w:marTop w:val="0"/>
      <w:marBottom w:val="0"/>
      <w:divBdr>
        <w:top w:val="none" w:sz="0" w:space="0" w:color="auto"/>
        <w:left w:val="none" w:sz="0" w:space="0" w:color="auto"/>
        <w:bottom w:val="none" w:sz="0" w:space="0" w:color="auto"/>
        <w:right w:val="none" w:sz="0" w:space="0" w:color="auto"/>
      </w:divBdr>
    </w:div>
    <w:div w:id="537620784">
      <w:bodyDiv w:val="1"/>
      <w:marLeft w:val="0"/>
      <w:marRight w:val="0"/>
      <w:marTop w:val="0"/>
      <w:marBottom w:val="0"/>
      <w:divBdr>
        <w:top w:val="none" w:sz="0" w:space="0" w:color="auto"/>
        <w:left w:val="none" w:sz="0" w:space="0" w:color="auto"/>
        <w:bottom w:val="none" w:sz="0" w:space="0" w:color="auto"/>
        <w:right w:val="none" w:sz="0" w:space="0" w:color="auto"/>
      </w:divBdr>
    </w:div>
    <w:div w:id="538975107">
      <w:bodyDiv w:val="1"/>
      <w:marLeft w:val="0"/>
      <w:marRight w:val="0"/>
      <w:marTop w:val="0"/>
      <w:marBottom w:val="0"/>
      <w:divBdr>
        <w:top w:val="none" w:sz="0" w:space="0" w:color="auto"/>
        <w:left w:val="none" w:sz="0" w:space="0" w:color="auto"/>
        <w:bottom w:val="none" w:sz="0" w:space="0" w:color="auto"/>
        <w:right w:val="none" w:sz="0" w:space="0" w:color="auto"/>
      </w:divBdr>
    </w:div>
    <w:div w:id="540556329">
      <w:bodyDiv w:val="1"/>
      <w:marLeft w:val="0"/>
      <w:marRight w:val="0"/>
      <w:marTop w:val="0"/>
      <w:marBottom w:val="0"/>
      <w:divBdr>
        <w:top w:val="none" w:sz="0" w:space="0" w:color="auto"/>
        <w:left w:val="none" w:sz="0" w:space="0" w:color="auto"/>
        <w:bottom w:val="none" w:sz="0" w:space="0" w:color="auto"/>
        <w:right w:val="none" w:sz="0" w:space="0" w:color="auto"/>
      </w:divBdr>
    </w:div>
    <w:div w:id="545336224">
      <w:bodyDiv w:val="1"/>
      <w:marLeft w:val="0"/>
      <w:marRight w:val="0"/>
      <w:marTop w:val="0"/>
      <w:marBottom w:val="0"/>
      <w:divBdr>
        <w:top w:val="none" w:sz="0" w:space="0" w:color="auto"/>
        <w:left w:val="none" w:sz="0" w:space="0" w:color="auto"/>
        <w:bottom w:val="none" w:sz="0" w:space="0" w:color="auto"/>
        <w:right w:val="none" w:sz="0" w:space="0" w:color="auto"/>
      </w:divBdr>
    </w:div>
    <w:div w:id="546064708">
      <w:bodyDiv w:val="1"/>
      <w:marLeft w:val="0"/>
      <w:marRight w:val="0"/>
      <w:marTop w:val="0"/>
      <w:marBottom w:val="0"/>
      <w:divBdr>
        <w:top w:val="none" w:sz="0" w:space="0" w:color="auto"/>
        <w:left w:val="none" w:sz="0" w:space="0" w:color="auto"/>
        <w:bottom w:val="none" w:sz="0" w:space="0" w:color="auto"/>
        <w:right w:val="none" w:sz="0" w:space="0" w:color="auto"/>
      </w:divBdr>
    </w:div>
    <w:div w:id="551312284">
      <w:bodyDiv w:val="1"/>
      <w:marLeft w:val="0"/>
      <w:marRight w:val="0"/>
      <w:marTop w:val="0"/>
      <w:marBottom w:val="0"/>
      <w:divBdr>
        <w:top w:val="none" w:sz="0" w:space="0" w:color="auto"/>
        <w:left w:val="none" w:sz="0" w:space="0" w:color="auto"/>
        <w:bottom w:val="none" w:sz="0" w:space="0" w:color="auto"/>
        <w:right w:val="none" w:sz="0" w:space="0" w:color="auto"/>
      </w:divBdr>
    </w:div>
    <w:div w:id="552541911">
      <w:bodyDiv w:val="1"/>
      <w:marLeft w:val="0"/>
      <w:marRight w:val="0"/>
      <w:marTop w:val="0"/>
      <w:marBottom w:val="0"/>
      <w:divBdr>
        <w:top w:val="none" w:sz="0" w:space="0" w:color="auto"/>
        <w:left w:val="none" w:sz="0" w:space="0" w:color="auto"/>
        <w:bottom w:val="none" w:sz="0" w:space="0" w:color="auto"/>
        <w:right w:val="none" w:sz="0" w:space="0" w:color="auto"/>
      </w:divBdr>
    </w:div>
    <w:div w:id="554126645">
      <w:bodyDiv w:val="1"/>
      <w:marLeft w:val="0"/>
      <w:marRight w:val="0"/>
      <w:marTop w:val="0"/>
      <w:marBottom w:val="0"/>
      <w:divBdr>
        <w:top w:val="none" w:sz="0" w:space="0" w:color="auto"/>
        <w:left w:val="none" w:sz="0" w:space="0" w:color="auto"/>
        <w:bottom w:val="none" w:sz="0" w:space="0" w:color="auto"/>
        <w:right w:val="none" w:sz="0" w:space="0" w:color="auto"/>
      </w:divBdr>
    </w:div>
    <w:div w:id="554199539">
      <w:bodyDiv w:val="1"/>
      <w:marLeft w:val="0"/>
      <w:marRight w:val="0"/>
      <w:marTop w:val="0"/>
      <w:marBottom w:val="0"/>
      <w:divBdr>
        <w:top w:val="none" w:sz="0" w:space="0" w:color="auto"/>
        <w:left w:val="none" w:sz="0" w:space="0" w:color="auto"/>
        <w:bottom w:val="none" w:sz="0" w:space="0" w:color="auto"/>
        <w:right w:val="none" w:sz="0" w:space="0" w:color="auto"/>
      </w:divBdr>
    </w:div>
    <w:div w:id="554321013">
      <w:bodyDiv w:val="1"/>
      <w:marLeft w:val="0"/>
      <w:marRight w:val="0"/>
      <w:marTop w:val="0"/>
      <w:marBottom w:val="0"/>
      <w:divBdr>
        <w:top w:val="none" w:sz="0" w:space="0" w:color="auto"/>
        <w:left w:val="none" w:sz="0" w:space="0" w:color="auto"/>
        <w:bottom w:val="none" w:sz="0" w:space="0" w:color="auto"/>
        <w:right w:val="none" w:sz="0" w:space="0" w:color="auto"/>
      </w:divBdr>
    </w:div>
    <w:div w:id="554586411">
      <w:bodyDiv w:val="1"/>
      <w:marLeft w:val="0"/>
      <w:marRight w:val="0"/>
      <w:marTop w:val="0"/>
      <w:marBottom w:val="0"/>
      <w:divBdr>
        <w:top w:val="none" w:sz="0" w:space="0" w:color="auto"/>
        <w:left w:val="none" w:sz="0" w:space="0" w:color="auto"/>
        <w:bottom w:val="none" w:sz="0" w:space="0" w:color="auto"/>
        <w:right w:val="none" w:sz="0" w:space="0" w:color="auto"/>
      </w:divBdr>
    </w:div>
    <w:div w:id="557253590">
      <w:bodyDiv w:val="1"/>
      <w:marLeft w:val="0"/>
      <w:marRight w:val="0"/>
      <w:marTop w:val="0"/>
      <w:marBottom w:val="0"/>
      <w:divBdr>
        <w:top w:val="none" w:sz="0" w:space="0" w:color="auto"/>
        <w:left w:val="none" w:sz="0" w:space="0" w:color="auto"/>
        <w:bottom w:val="none" w:sz="0" w:space="0" w:color="auto"/>
        <w:right w:val="none" w:sz="0" w:space="0" w:color="auto"/>
      </w:divBdr>
    </w:div>
    <w:div w:id="561872433">
      <w:bodyDiv w:val="1"/>
      <w:marLeft w:val="0"/>
      <w:marRight w:val="0"/>
      <w:marTop w:val="0"/>
      <w:marBottom w:val="0"/>
      <w:divBdr>
        <w:top w:val="none" w:sz="0" w:space="0" w:color="auto"/>
        <w:left w:val="none" w:sz="0" w:space="0" w:color="auto"/>
        <w:bottom w:val="none" w:sz="0" w:space="0" w:color="auto"/>
        <w:right w:val="none" w:sz="0" w:space="0" w:color="auto"/>
      </w:divBdr>
    </w:div>
    <w:div w:id="561982042">
      <w:bodyDiv w:val="1"/>
      <w:marLeft w:val="0"/>
      <w:marRight w:val="0"/>
      <w:marTop w:val="0"/>
      <w:marBottom w:val="0"/>
      <w:divBdr>
        <w:top w:val="none" w:sz="0" w:space="0" w:color="auto"/>
        <w:left w:val="none" w:sz="0" w:space="0" w:color="auto"/>
        <w:bottom w:val="none" w:sz="0" w:space="0" w:color="auto"/>
        <w:right w:val="none" w:sz="0" w:space="0" w:color="auto"/>
      </w:divBdr>
    </w:div>
    <w:div w:id="562252493">
      <w:bodyDiv w:val="1"/>
      <w:marLeft w:val="0"/>
      <w:marRight w:val="0"/>
      <w:marTop w:val="0"/>
      <w:marBottom w:val="0"/>
      <w:divBdr>
        <w:top w:val="none" w:sz="0" w:space="0" w:color="auto"/>
        <w:left w:val="none" w:sz="0" w:space="0" w:color="auto"/>
        <w:bottom w:val="none" w:sz="0" w:space="0" w:color="auto"/>
        <w:right w:val="none" w:sz="0" w:space="0" w:color="auto"/>
      </w:divBdr>
    </w:div>
    <w:div w:id="563103097">
      <w:bodyDiv w:val="1"/>
      <w:marLeft w:val="0"/>
      <w:marRight w:val="0"/>
      <w:marTop w:val="0"/>
      <w:marBottom w:val="0"/>
      <w:divBdr>
        <w:top w:val="none" w:sz="0" w:space="0" w:color="auto"/>
        <w:left w:val="none" w:sz="0" w:space="0" w:color="auto"/>
        <w:bottom w:val="none" w:sz="0" w:space="0" w:color="auto"/>
        <w:right w:val="none" w:sz="0" w:space="0" w:color="auto"/>
      </w:divBdr>
    </w:div>
    <w:div w:id="563613450">
      <w:bodyDiv w:val="1"/>
      <w:marLeft w:val="0"/>
      <w:marRight w:val="0"/>
      <w:marTop w:val="0"/>
      <w:marBottom w:val="0"/>
      <w:divBdr>
        <w:top w:val="none" w:sz="0" w:space="0" w:color="auto"/>
        <w:left w:val="none" w:sz="0" w:space="0" w:color="auto"/>
        <w:bottom w:val="none" w:sz="0" w:space="0" w:color="auto"/>
        <w:right w:val="none" w:sz="0" w:space="0" w:color="auto"/>
      </w:divBdr>
    </w:div>
    <w:div w:id="563949202">
      <w:bodyDiv w:val="1"/>
      <w:marLeft w:val="0"/>
      <w:marRight w:val="0"/>
      <w:marTop w:val="0"/>
      <w:marBottom w:val="0"/>
      <w:divBdr>
        <w:top w:val="none" w:sz="0" w:space="0" w:color="auto"/>
        <w:left w:val="none" w:sz="0" w:space="0" w:color="auto"/>
        <w:bottom w:val="none" w:sz="0" w:space="0" w:color="auto"/>
        <w:right w:val="none" w:sz="0" w:space="0" w:color="auto"/>
      </w:divBdr>
    </w:div>
    <w:div w:id="564031617">
      <w:bodyDiv w:val="1"/>
      <w:marLeft w:val="0"/>
      <w:marRight w:val="0"/>
      <w:marTop w:val="0"/>
      <w:marBottom w:val="0"/>
      <w:divBdr>
        <w:top w:val="none" w:sz="0" w:space="0" w:color="auto"/>
        <w:left w:val="none" w:sz="0" w:space="0" w:color="auto"/>
        <w:bottom w:val="none" w:sz="0" w:space="0" w:color="auto"/>
        <w:right w:val="none" w:sz="0" w:space="0" w:color="auto"/>
      </w:divBdr>
    </w:div>
    <w:div w:id="568855134">
      <w:bodyDiv w:val="1"/>
      <w:marLeft w:val="0"/>
      <w:marRight w:val="0"/>
      <w:marTop w:val="0"/>
      <w:marBottom w:val="0"/>
      <w:divBdr>
        <w:top w:val="none" w:sz="0" w:space="0" w:color="auto"/>
        <w:left w:val="none" w:sz="0" w:space="0" w:color="auto"/>
        <w:bottom w:val="none" w:sz="0" w:space="0" w:color="auto"/>
        <w:right w:val="none" w:sz="0" w:space="0" w:color="auto"/>
      </w:divBdr>
    </w:div>
    <w:div w:id="570623876">
      <w:bodyDiv w:val="1"/>
      <w:marLeft w:val="0"/>
      <w:marRight w:val="0"/>
      <w:marTop w:val="0"/>
      <w:marBottom w:val="0"/>
      <w:divBdr>
        <w:top w:val="none" w:sz="0" w:space="0" w:color="auto"/>
        <w:left w:val="none" w:sz="0" w:space="0" w:color="auto"/>
        <w:bottom w:val="none" w:sz="0" w:space="0" w:color="auto"/>
        <w:right w:val="none" w:sz="0" w:space="0" w:color="auto"/>
      </w:divBdr>
    </w:div>
    <w:div w:id="570891732">
      <w:bodyDiv w:val="1"/>
      <w:marLeft w:val="0"/>
      <w:marRight w:val="0"/>
      <w:marTop w:val="0"/>
      <w:marBottom w:val="0"/>
      <w:divBdr>
        <w:top w:val="none" w:sz="0" w:space="0" w:color="auto"/>
        <w:left w:val="none" w:sz="0" w:space="0" w:color="auto"/>
        <w:bottom w:val="none" w:sz="0" w:space="0" w:color="auto"/>
        <w:right w:val="none" w:sz="0" w:space="0" w:color="auto"/>
      </w:divBdr>
    </w:div>
    <w:div w:id="572009832">
      <w:bodyDiv w:val="1"/>
      <w:marLeft w:val="0"/>
      <w:marRight w:val="0"/>
      <w:marTop w:val="0"/>
      <w:marBottom w:val="0"/>
      <w:divBdr>
        <w:top w:val="none" w:sz="0" w:space="0" w:color="auto"/>
        <w:left w:val="none" w:sz="0" w:space="0" w:color="auto"/>
        <w:bottom w:val="none" w:sz="0" w:space="0" w:color="auto"/>
        <w:right w:val="none" w:sz="0" w:space="0" w:color="auto"/>
      </w:divBdr>
    </w:div>
    <w:div w:id="573592203">
      <w:bodyDiv w:val="1"/>
      <w:marLeft w:val="0"/>
      <w:marRight w:val="0"/>
      <w:marTop w:val="0"/>
      <w:marBottom w:val="0"/>
      <w:divBdr>
        <w:top w:val="none" w:sz="0" w:space="0" w:color="auto"/>
        <w:left w:val="none" w:sz="0" w:space="0" w:color="auto"/>
        <w:bottom w:val="none" w:sz="0" w:space="0" w:color="auto"/>
        <w:right w:val="none" w:sz="0" w:space="0" w:color="auto"/>
      </w:divBdr>
    </w:div>
    <w:div w:id="574629285">
      <w:bodyDiv w:val="1"/>
      <w:marLeft w:val="0"/>
      <w:marRight w:val="0"/>
      <w:marTop w:val="0"/>
      <w:marBottom w:val="0"/>
      <w:divBdr>
        <w:top w:val="none" w:sz="0" w:space="0" w:color="auto"/>
        <w:left w:val="none" w:sz="0" w:space="0" w:color="auto"/>
        <w:bottom w:val="none" w:sz="0" w:space="0" w:color="auto"/>
        <w:right w:val="none" w:sz="0" w:space="0" w:color="auto"/>
      </w:divBdr>
    </w:div>
    <w:div w:id="574709438">
      <w:bodyDiv w:val="1"/>
      <w:marLeft w:val="0"/>
      <w:marRight w:val="0"/>
      <w:marTop w:val="0"/>
      <w:marBottom w:val="0"/>
      <w:divBdr>
        <w:top w:val="none" w:sz="0" w:space="0" w:color="auto"/>
        <w:left w:val="none" w:sz="0" w:space="0" w:color="auto"/>
        <w:bottom w:val="none" w:sz="0" w:space="0" w:color="auto"/>
        <w:right w:val="none" w:sz="0" w:space="0" w:color="auto"/>
      </w:divBdr>
    </w:div>
    <w:div w:id="577666929">
      <w:bodyDiv w:val="1"/>
      <w:marLeft w:val="0"/>
      <w:marRight w:val="0"/>
      <w:marTop w:val="0"/>
      <w:marBottom w:val="0"/>
      <w:divBdr>
        <w:top w:val="none" w:sz="0" w:space="0" w:color="auto"/>
        <w:left w:val="none" w:sz="0" w:space="0" w:color="auto"/>
        <w:bottom w:val="none" w:sz="0" w:space="0" w:color="auto"/>
        <w:right w:val="none" w:sz="0" w:space="0" w:color="auto"/>
      </w:divBdr>
    </w:div>
    <w:div w:id="579602045">
      <w:bodyDiv w:val="1"/>
      <w:marLeft w:val="0"/>
      <w:marRight w:val="0"/>
      <w:marTop w:val="0"/>
      <w:marBottom w:val="0"/>
      <w:divBdr>
        <w:top w:val="none" w:sz="0" w:space="0" w:color="auto"/>
        <w:left w:val="none" w:sz="0" w:space="0" w:color="auto"/>
        <w:bottom w:val="none" w:sz="0" w:space="0" w:color="auto"/>
        <w:right w:val="none" w:sz="0" w:space="0" w:color="auto"/>
      </w:divBdr>
    </w:div>
    <w:div w:id="581063485">
      <w:bodyDiv w:val="1"/>
      <w:marLeft w:val="0"/>
      <w:marRight w:val="0"/>
      <w:marTop w:val="0"/>
      <w:marBottom w:val="0"/>
      <w:divBdr>
        <w:top w:val="none" w:sz="0" w:space="0" w:color="auto"/>
        <w:left w:val="none" w:sz="0" w:space="0" w:color="auto"/>
        <w:bottom w:val="none" w:sz="0" w:space="0" w:color="auto"/>
        <w:right w:val="none" w:sz="0" w:space="0" w:color="auto"/>
      </w:divBdr>
    </w:div>
    <w:div w:id="582304965">
      <w:bodyDiv w:val="1"/>
      <w:marLeft w:val="0"/>
      <w:marRight w:val="0"/>
      <w:marTop w:val="0"/>
      <w:marBottom w:val="0"/>
      <w:divBdr>
        <w:top w:val="none" w:sz="0" w:space="0" w:color="auto"/>
        <w:left w:val="none" w:sz="0" w:space="0" w:color="auto"/>
        <w:bottom w:val="none" w:sz="0" w:space="0" w:color="auto"/>
        <w:right w:val="none" w:sz="0" w:space="0" w:color="auto"/>
      </w:divBdr>
    </w:div>
    <w:div w:id="583998333">
      <w:bodyDiv w:val="1"/>
      <w:marLeft w:val="0"/>
      <w:marRight w:val="0"/>
      <w:marTop w:val="0"/>
      <w:marBottom w:val="0"/>
      <w:divBdr>
        <w:top w:val="none" w:sz="0" w:space="0" w:color="auto"/>
        <w:left w:val="none" w:sz="0" w:space="0" w:color="auto"/>
        <w:bottom w:val="none" w:sz="0" w:space="0" w:color="auto"/>
        <w:right w:val="none" w:sz="0" w:space="0" w:color="auto"/>
      </w:divBdr>
    </w:div>
    <w:div w:id="585649679">
      <w:bodyDiv w:val="1"/>
      <w:marLeft w:val="0"/>
      <w:marRight w:val="0"/>
      <w:marTop w:val="0"/>
      <w:marBottom w:val="0"/>
      <w:divBdr>
        <w:top w:val="none" w:sz="0" w:space="0" w:color="auto"/>
        <w:left w:val="none" w:sz="0" w:space="0" w:color="auto"/>
        <w:bottom w:val="none" w:sz="0" w:space="0" w:color="auto"/>
        <w:right w:val="none" w:sz="0" w:space="0" w:color="auto"/>
      </w:divBdr>
    </w:div>
    <w:div w:id="586232789">
      <w:bodyDiv w:val="1"/>
      <w:marLeft w:val="0"/>
      <w:marRight w:val="0"/>
      <w:marTop w:val="0"/>
      <w:marBottom w:val="0"/>
      <w:divBdr>
        <w:top w:val="none" w:sz="0" w:space="0" w:color="auto"/>
        <w:left w:val="none" w:sz="0" w:space="0" w:color="auto"/>
        <w:bottom w:val="none" w:sz="0" w:space="0" w:color="auto"/>
        <w:right w:val="none" w:sz="0" w:space="0" w:color="auto"/>
      </w:divBdr>
    </w:div>
    <w:div w:id="587008012">
      <w:bodyDiv w:val="1"/>
      <w:marLeft w:val="0"/>
      <w:marRight w:val="0"/>
      <w:marTop w:val="0"/>
      <w:marBottom w:val="0"/>
      <w:divBdr>
        <w:top w:val="none" w:sz="0" w:space="0" w:color="auto"/>
        <w:left w:val="none" w:sz="0" w:space="0" w:color="auto"/>
        <w:bottom w:val="none" w:sz="0" w:space="0" w:color="auto"/>
        <w:right w:val="none" w:sz="0" w:space="0" w:color="auto"/>
      </w:divBdr>
    </w:div>
    <w:div w:id="587732112">
      <w:bodyDiv w:val="1"/>
      <w:marLeft w:val="0"/>
      <w:marRight w:val="0"/>
      <w:marTop w:val="0"/>
      <w:marBottom w:val="0"/>
      <w:divBdr>
        <w:top w:val="none" w:sz="0" w:space="0" w:color="auto"/>
        <w:left w:val="none" w:sz="0" w:space="0" w:color="auto"/>
        <w:bottom w:val="none" w:sz="0" w:space="0" w:color="auto"/>
        <w:right w:val="none" w:sz="0" w:space="0" w:color="auto"/>
      </w:divBdr>
    </w:div>
    <w:div w:id="590816831">
      <w:bodyDiv w:val="1"/>
      <w:marLeft w:val="0"/>
      <w:marRight w:val="0"/>
      <w:marTop w:val="0"/>
      <w:marBottom w:val="0"/>
      <w:divBdr>
        <w:top w:val="none" w:sz="0" w:space="0" w:color="auto"/>
        <w:left w:val="none" w:sz="0" w:space="0" w:color="auto"/>
        <w:bottom w:val="none" w:sz="0" w:space="0" w:color="auto"/>
        <w:right w:val="none" w:sz="0" w:space="0" w:color="auto"/>
      </w:divBdr>
    </w:div>
    <w:div w:id="594441132">
      <w:bodyDiv w:val="1"/>
      <w:marLeft w:val="0"/>
      <w:marRight w:val="0"/>
      <w:marTop w:val="0"/>
      <w:marBottom w:val="0"/>
      <w:divBdr>
        <w:top w:val="none" w:sz="0" w:space="0" w:color="auto"/>
        <w:left w:val="none" w:sz="0" w:space="0" w:color="auto"/>
        <w:bottom w:val="none" w:sz="0" w:space="0" w:color="auto"/>
        <w:right w:val="none" w:sz="0" w:space="0" w:color="auto"/>
      </w:divBdr>
    </w:div>
    <w:div w:id="600574750">
      <w:bodyDiv w:val="1"/>
      <w:marLeft w:val="0"/>
      <w:marRight w:val="0"/>
      <w:marTop w:val="0"/>
      <w:marBottom w:val="0"/>
      <w:divBdr>
        <w:top w:val="none" w:sz="0" w:space="0" w:color="auto"/>
        <w:left w:val="none" w:sz="0" w:space="0" w:color="auto"/>
        <w:bottom w:val="none" w:sz="0" w:space="0" w:color="auto"/>
        <w:right w:val="none" w:sz="0" w:space="0" w:color="auto"/>
      </w:divBdr>
    </w:div>
    <w:div w:id="602036369">
      <w:bodyDiv w:val="1"/>
      <w:marLeft w:val="0"/>
      <w:marRight w:val="0"/>
      <w:marTop w:val="0"/>
      <w:marBottom w:val="0"/>
      <w:divBdr>
        <w:top w:val="none" w:sz="0" w:space="0" w:color="auto"/>
        <w:left w:val="none" w:sz="0" w:space="0" w:color="auto"/>
        <w:bottom w:val="none" w:sz="0" w:space="0" w:color="auto"/>
        <w:right w:val="none" w:sz="0" w:space="0" w:color="auto"/>
      </w:divBdr>
    </w:div>
    <w:div w:id="602960574">
      <w:bodyDiv w:val="1"/>
      <w:marLeft w:val="0"/>
      <w:marRight w:val="0"/>
      <w:marTop w:val="0"/>
      <w:marBottom w:val="0"/>
      <w:divBdr>
        <w:top w:val="none" w:sz="0" w:space="0" w:color="auto"/>
        <w:left w:val="none" w:sz="0" w:space="0" w:color="auto"/>
        <w:bottom w:val="none" w:sz="0" w:space="0" w:color="auto"/>
        <w:right w:val="none" w:sz="0" w:space="0" w:color="auto"/>
      </w:divBdr>
    </w:div>
    <w:div w:id="603735159">
      <w:bodyDiv w:val="1"/>
      <w:marLeft w:val="0"/>
      <w:marRight w:val="0"/>
      <w:marTop w:val="0"/>
      <w:marBottom w:val="0"/>
      <w:divBdr>
        <w:top w:val="none" w:sz="0" w:space="0" w:color="auto"/>
        <w:left w:val="none" w:sz="0" w:space="0" w:color="auto"/>
        <w:bottom w:val="none" w:sz="0" w:space="0" w:color="auto"/>
        <w:right w:val="none" w:sz="0" w:space="0" w:color="auto"/>
      </w:divBdr>
    </w:div>
    <w:div w:id="604075364">
      <w:bodyDiv w:val="1"/>
      <w:marLeft w:val="0"/>
      <w:marRight w:val="0"/>
      <w:marTop w:val="0"/>
      <w:marBottom w:val="0"/>
      <w:divBdr>
        <w:top w:val="none" w:sz="0" w:space="0" w:color="auto"/>
        <w:left w:val="none" w:sz="0" w:space="0" w:color="auto"/>
        <w:bottom w:val="none" w:sz="0" w:space="0" w:color="auto"/>
        <w:right w:val="none" w:sz="0" w:space="0" w:color="auto"/>
      </w:divBdr>
    </w:div>
    <w:div w:id="604925968">
      <w:bodyDiv w:val="1"/>
      <w:marLeft w:val="0"/>
      <w:marRight w:val="0"/>
      <w:marTop w:val="0"/>
      <w:marBottom w:val="0"/>
      <w:divBdr>
        <w:top w:val="none" w:sz="0" w:space="0" w:color="auto"/>
        <w:left w:val="none" w:sz="0" w:space="0" w:color="auto"/>
        <w:bottom w:val="none" w:sz="0" w:space="0" w:color="auto"/>
        <w:right w:val="none" w:sz="0" w:space="0" w:color="auto"/>
      </w:divBdr>
    </w:div>
    <w:div w:id="607852309">
      <w:bodyDiv w:val="1"/>
      <w:marLeft w:val="0"/>
      <w:marRight w:val="0"/>
      <w:marTop w:val="0"/>
      <w:marBottom w:val="0"/>
      <w:divBdr>
        <w:top w:val="none" w:sz="0" w:space="0" w:color="auto"/>
        <w:left w:val="none" w:sz="0" w:space="0" w:color="auto"/>
        <w:bottom w:val="none" w:sz="0" w:space="0" w:color="auto"/>
        <w:right w:val="none" w:sz="0" w:space="0" w:color="auto"/>
      </w:divBdr>
    </w:div>
    <w:div w:id="610745542">
      <w:bodyDiv w:val="1"/>
      <w:marLeft w:val="0"/>
      <w:marRight w:val="0"/>
      <w:marTop w:val="0"/>
      <w:marBottom w:val="0"/>
      <w:divBdr>
        <w:top w:val="none" w:sz="0" w:space="0" w:color="auto"/>
        <w:left w:val="none" w:sz="0" w:space="0" w:color="auto"/>
        <w:bottom w:val="none" w:sz="0" w:space="0" w:color="auto"/>
        <w:right w:val="none" w:sz="0" w:space="0" w:color="auto"/>
      </w:divBdr>
    </w:div>
    <w:div w:id="611518848">
      <w:bodyDiv w:val="1"/>
      <w:marLeft w:val="0"/>
      <w:marRight w:val="0"/>
      <w:marTop w:val="0"/>
      <w:marBottom w:val="0"/>
      <w:divBdr>
        <w:top w:val="none" w:sz="0" w:space="0" w:color="auto"/>
        <w:left w:val="none" w:sz="0" w:space="0" w:color="auto"/>
        <w:bottom w:val="none" w:sz="0" w:space="0" w:color="auto"/>
        <w:right w:val="none" w:sz="0" w:space="0" w:color="auto"/>
      </w:divBdr>
    </w:div>
    <w:div w:id="612055003">
      <w:bodyDiv w:val="1"/>
      <w:marLeft w:val="0"/>
      <w:marRight w:val="0"/>
      <w:marTop w:val="0"/>
      <w:marBottom w:val="0"/>
      <w:divBdr>
        <w:top w:val="none" w:sz="0" w:space="0" w:color="auto"/>
        <w:left w:val="none" w:sz="0" w:space="0" w:color="auto"/>
        <w:bottom w:val="none" w:sz="0" w:space="0" w:color="auto"/>
        <w:right w:val="none" w:sz="0" w:space="0" w:color="auto"/>
      </w:divBdr>
    </w:div>
    <w:div w:id="612176486">
      <w:bodyDiv w:val="1"/>
      <w:marLeft w:val="0"/>
      <w:marRight w:val="0"/>
      <w:marTop w:val="0"/>
      <w:marBottom w:val="0"/>
      <w:divBdr>
        <w:top w:val="none" w:sz="0" w:space="0" w:color="auto"/>
        <w:left w:val="none" w:sz="0" w:space="0" w:color="auto"/>
        <w:bottom w:val="none" w:sz="0" w:space="0" w:color="auto"/>
        <w:right w:val="none" w:sz="0" w:space="0" w:color="auto"/>
      </w:divBdr>
    </w:div>
    <w:div w:id="613564000">
      <w:bodyDiv w:val="1"/>
      <w:marLeft w:val="0"/>
      <w:marRight w:val="0"/>
      <w:marTop w:val="0"/>
      <w:marBottom w:val="0"/>
      <w:divBdr>
        <w:top w:val="none" w:sz="0" w:space="0" w:color="auto"/>
        <w:left w:val="none" w:sz="0" w:space="0" w:color="auto"/>
        <w:bottom w:val="none" w:sz="0" w:space="0" w:color="auto"/>
        <w:right w:val="none" w:sz="0" w:space="0" w:color="auto"/>
      </w:divBdr>
    </w:div>
    <w:div w:id="614286245">
      <w:bodyDiv w:val="1"/>
      <w:marLeft w:val="0"/>
      <w:marRight w:val="0"/>
      <w:marTop w:val="0"/>
      <w:marBottom w:val="0"/>
      <w:divBdr>
        <w:top w:val="none" w:sz="0" w:space="0" w:color="auto"/>
        <w:left w:val="none" w:sz="0" w:space="0" w:color="auto"/>
        <w:bottom w:val="none" w:sz="0" w:space="0" w:color="auto"/>
        <w:right w:val="none" w:sz="0" w:space="0" w:color="auto"/>
      </w:divBdr>
    </w:div>
    <w:div w:id="614940873">
      <w:bodyDiv w:val="1"/>
      <w:marLeft w:val="0"/>
      <w:marRight w:val="0"/>
      <w:marTop w:val="0"/>
      <w:marBottom w:val="0"/>
      <w:divBdr>
        <w:top w:val="none" w:sz="0" w:space="0" w:color="auto"/>
        <w:left w:val="none" w:sz="0" w:space="0" w:color="auto"/>
        <w:bottom w:val="none" w:sz="0" w:space="0" w:color="auto"/>
        <w:right w:val="none" w:sz="0" w:space="0" w:color="auto"/>
      </w:divBdr>
    </w:div>
    <w:div w:id="615520772">
      <w:bodyDiv w:val="1"/>
      <w:marLeft w:val="0"/>
      <w:marRight w:val="0"/>
      <w:marTop w:val="0"/>
      <w:marBottom w:val="0"/>
      <w:divBdr>
        <w:top w:val="none" w:sz="0" w:space="0" w:color="auto"/>
        <w:left w:val="none" w:sz="0" w:space="0" w:color="auto"/>
        <w:bottom w:val="none" w:sz="0" w:space="0" w:color="auto"/>
        <w:right w:val="none" w:sz="0" w:space="0" w:color="auto"/>
      </w:divBdr>
    </w:div>
    <w:div w:id="616328712">
      <w:bodyDiv w:val="1"/>
      <w:marLeft w:val="0"/>
      <w:marRight w:val="0"/>
      <w:marTop w:val="0"/>
      <w:marBottom w:val="0"/>
      <w:divBdr>
        <w:top w:val="none" w:sz="0" w:space="0" w:color="auto"/>
        <w:left w:val="none" w:sz="0" w:space="0" w:color="auto"/>
        <w:bottom w:val="none" w:sz="0" w:space="0" w:color="auto"/>
        <w:right w:val="none" w:sz="0" w:space="0" w:color="auto"/>
      </w:divBdr>
    </w:div>
    <w:div w:id="616374856">
      <w:bodyDiv w:val="1"/>
      <w:marLeft w:val="0"/>
      <w:marRight w:val="0"/>
      <w:marTop w:val="0"/>
      <w:marBottom w:val="0"/>
      <w:divBdr>
        <w:top w:val="none" w:sz="0" w:space="0" w:color="auto"/>
        <w:left w:val="none" w:sz="0" w:space="0" w:color="auto"/>
        <w:bottom w:val="none" w:sz="0" w:space="0" w:color="auto"/>
        <w:right w:val="none" w:sz="0" w:space="0" w:color="auto"/>
      </w:divBdr>
    </w:div>
    <w:div w:id="616376110">
      <w:bodyDiv w:val="1"/>
      <w:marLeft w:val="0"/>
      <w:marRight w:val="0"/>
      <w:marTop w:val="0"/>
      <w:marBottom w:val="0"/>
      <w:divBdr>
        <w:top w:val="none" w:sz="0" w:space="0" w:color="auto"/>
        <w:left w:val="none" w:sz="0" w:space="0" w:color="auto"/>
        <w:bottom w:val="none" w:sz="0" w:space="0" w:color="auto"/>
        <w:right w:val="none" w:sz="0" w:space="0" w:color="auto"/>
      </w:divBdr>
    </w:div>
    <w:div w:id="618148765">
      <w:bodyDiv w:val="1"/>
      <w:marLeft w:val="0"/>
      <w:marRight w:val="0"/>
      <w:marTop w:val="0"/>
      <w:marBottom w:val="0"/>
      <w:divBdr>
        <w:top w:val="none" w:sz="0" w:space="0" w:color="auto"/>
        <w:left w:val="none" w:sz="0" w:space="0" w:color="auto"/>
        <w:bottom w:val="none" w:sz="0" w:space="0" w:color="auto"/>
        <w:right w:val="none" w:sz="0" w:space="0" w:color="auto"/>
      </w:divBdr>
    </w:div>
    <w:div w:id="619921260">
      <w:bodyDiv w:val="1"/>
      <w:marLeft w:val="0"/>
      <w:marRight w:val="0"/>
      <w:marTop w:val="0"/>
      <w:marBottom w:val="0"/>
      <w:divBdr>
        <w:top w:val="none" w:sz="0" w:space="0" w:color="auto"/>
        <w:left w:val="none" w:sz="0" w:space="0" w:color="auto"/>
        <w:bottom w:val="none" w:sz="0" w:space="0" w:color="auto"/>
        <w:right w:val="none" w:sz="0" w:space="0" w:color="auto"/>
      </w:divBdr>
    </w:div>
    <w:div w:id="625239773">
      <w:bodyDiv w:val="1"/>
      <w:marLeft w:val="0"/>
      <w:marRight w:val="0"/>
      <w:marTop w:val="0"/>
      <w:marBottom w:val="0"/>
      <w:divBdr>
        <w:top w:val="none" w:sz="0" w:space="0" w:color="auto"/>
        <w:left w:val="none" w:sz="0" w:space="0" w:color="auto"/>
        <w:bottom w:val="none" w:sz="0" w:space="0" w:color="auto"/>
        <w:right w:val="none" w:sz="0" w:space="0" w:color="auto"/>
      </w:divBdr>
    </w:div>
    <w:div w:id="625888206">
      <w:bodyDiv w:val="1"/>
      <w:marLeft w:val="0"/>
      <w:marRight w:val="0"/>
      <w:marTop w:val="0"/>
      <w:marBottom w:val="0"/>
      <w:divBdr>
        <w:top w:val="none" w:sz="0" w:space="0" w:color="auto"/>
        <w:left w:val="none" w:sz="0" w:space="0" w:color="auto"/>
        <w:bottom w:val="none" w:sz="0" w:space="0" w:color="auto"/>
        <w:right w:val="none" w:sz="0" w:space="0" w:color="auto"/>
      </w:divBdr>
    </w:div>
    <w:div w:id="626349499">
      <w:bodyDiv w:val="1"/>
      <w:marLeft w:val="0"/>
      <w:marRight w:val="0"/>
      <w:marTop w:val="0"/>
      <w:marBottom w:val="0"/>
      <w:divBdr>
        <w:top w:val="none" w:sz="0" w:space="0" w:color="auto"/>
        <w:left w:val="none" w:sz="0" w:space="0" w:color="auto"/>
        <w:bottom w:val="none" w:sz="0" w:space="0" w:color="auto"/>
        <w:right w:val="none" w:sz="0" w:space="0" w:color="auto"/>
      </w:divBdr>
    </w:div>
    <w:div w:id="626545107">
      <w:bodyDiv w:val="1"/>
      <w:marLeft w:val="0"/>
      <w:marRight w:val="0"/>
      <w:marTop w:val="0"/>
      <w:marBottom w:val="0"/>
      <w:divBdr>
        <w:top w:val="none" w:sz="0" w:space="0" w:color="auto"/>
        <w:left w:val="none" w:sz="0" w:space="0" w:color="auto"/>
        <w:bottom w:val="none" w:sz="0" w:space="0" w:color="auto"/>
        <w:right w:val="none" w:sz="0" w:space="0" w:color="auto"/>
      </w:divBdr>
    </w:div>
    <w:div w:id="626813043">
      <w:bodyDiv w:val="1"/>
      <w:marLeft w:val="0"/>
      <w:marRight w:val="0"/>
      <w:marTop w:val="0"/>
      <w:marBottom w:val="0"/>
      <w:divBdr>
        <w:top w:val="none" w:sz="0" w:space="0" w:color="auto"/>
        <w:left w:val="none" w:sz="0" w:space="0" w:color="auto"/>
        <w:bottom w:val="none" w:sz="0" w:space="0" w:color="auto"/>
        <w:right w:val="none" w:sz="0" w:space="0" w:color="auto"/>
      </w:divBdr>
    </w:div>
    <w:div w:id="629634243">
      <w:bodyDiv w:val="1"/>
      <w:marLeft w:val="0"/>
      <w:marRight w:val="0"/>
      <w:marTop w:val="0"/>
      <w:marBottom w:val="0"/>
      <w:divBdr>
        <w:top w:val="none" w:sz="0" w:space="0" w:color="auto"/>
        <w:left w:val="none" w:sz="0" w:space="0" w:color="auto"/>
        <w:bottom w:val="none" w:sz="0" w:space="0" w:color="auto"/>
        <w:right w:val="none" w:sz="0" w:space="0" w:color="auto"/>
      </w:divBdr>
    </w:div>
    <w:div w:id="632298884">
      <w:bodyDiv w:val="1"/>
      <w:marLeft w:val="0"/>
      <w:marRight w:val="0"/>
      <w:marTop w:val="0"/>
      <w:marBottom w:val="0"/>
      <w:divBdr>
        <w:top w:val="none" w:sz="0" w:space="0" w:color="auto"/>
        <w:left w:val="none" w:sz="0" w:space="0" w:color="auto"/>
        <w:bottom w:val="none" w:sz="0" w:space="0" w:color="auto"/>
        <w:right w:val="none" w:sz="0" w:space="0" w:color="auto"/>
      </w:divBdr>
    </w:div>
    <w:div w:id="633028026">
      <w:bodyDiv w:val="1"/>
      <w:marLeft w:val="0"/>
      <w:marRight w:val="0"/>
      <w:marTop w:val="0"/>
      <w:marBottom w:val="0"/>
      <w:divBdr>
        <w:top w:val="none" w:sz="0" w:space="0" w:color="auto"/>
        <w:left w:val="none" w:sz="0" w:space="0" w:color="auto"/>
        <w:bottom w:val="none" w:sz="0" w:space="0" w:color="auto"/>
        <w:right w:val="none" w:sz="0" w:space="0" w:color="auto"/>
      </w:divBdr>
    </w:div>
    <w:div w:id="633607396">
      <w:bodyDiv w:val="1"/>
      <w:marLeft w:val="0"/>
      <w:marRight w:val="0"/>
      <w:marTop w:val="0"/>
      <w:marBottom w:val="0"/>
      <w:divBdr>
        <w:top w:val="none" w:sz="0" w:space="0" w:color="auto"/>
        <w:left w:val="none" w:sz="0" w:space="0" w:color="auto"/>
        <w:bottom w:val="none" w:sz="0" w:space="0" w:color="auto"/>
        <w:right w:val="none" w:sz="0" w:space="0" w:color="auto"/>
      </w:divBdr>
    </w:div>
    <w:div w:id="636571801">
      <w:bodyDiv w:val="1"/>
      <w:marLeft w:val="0"/>
      <w:marRight w:val="0"/>
      <w:marTop w:val="0"/>
      <w:marBottom w:val="0"/>
      <w:divBdr>
        <w:top w:val="none" w:sz="0" w:space="0" w:color="auto"/>
        <w:left w:val="none" w:sz="0" w:space="0" w:color="auto"/>
        <w:bottom w:val="none" w:sz="0" w:space="0" w:color="auto"/>
        <w:right w:val="none" w:sz="0" w:space="0" w:color="auto"/>
      </w:divBdr>
    </w:div>
    <w:div w:id="637223061">
      <w:bodyDiv w:val="1"/>
      <w:marLeft w:val="0"/>
      <w:marRight w:val="0"/>
      <w:marTop w:val="0"/>
      <w:marBottom w:val="0"/>
      <w:divBdr>
        <w:top w:val="none" w:sz="0" w:space="0" w:color="auto"/>
        <w:left w:val="none" w:sz="0" w:space="0" w:color="auto"/>
        <w:bottom w:val="none" w:sz="0" w:space="0" w:color="auto"/>
        <w:right w:val="none" w:sz="0" w:space="0" w:color="auto"/>
      </w:divBdr>
    </w:div>
    <w:div w:id="638152686">
      <w:bodyDiv w:val="1"/>
      <w:marLeft w:val="0"/>
      <w:marRight w:val="0"/>
      <w:marTop w:val="0"/>
      <w:marBottom w:val="0"/>
      <w:divBdr>
        <w:top w:val="none" w:sz="0" w:space="0" w:color="auto"/>
        <w:left w:val="none" w:sz="0" w:space="0" w:color="auto"/>
        <w:bottom w:val="none" w:sz="0" w:space="0" w:color="auto"/>
        <w:right w:val="none" w:sz="0" w:space="0" w:color="auto"/>
      </w:divBdr>
    </w:div>
    <w:div w:id="639189341">
      <w:bodyDiv w:val="1"/>
      <w:marLeft w:val="0"/>
      <w:marRight w:val="0"/>
      <w:marTop w:val="0"/>
      <w:marBottom w:val="0"/>
      <w:divBdr>
        <w:top w:val="none" w:sz="0" w:space="0" w:color="auto"/>
        <w:left w:val="none" w:sz="0" w:space="0" w:color="auto"/>
        <w:bottom w:val="none" w:sz="0" w:space="0" w:color="auto"/>
        <w:right w:val="none" w:sz="0" w:space="0" w:color="auto"/>
      </w:divBdr>
    </w:div>
    <w:div w:id="639309664">
      <w:bodyDiv w:val="1"/>
      <w:marLeft w:val="0"/>
      <w:marRight w:val="0"/>
      <w:marTop w:val="0"/>
      <w:marBottom w:val="0"/>
      <w:divBdr>
        <w:top w:val="none" w:sz="0" w:space="0" w:color="auto"/>
        <w:left w:val="none" w:sz="0" w:space="0" w:color="auto"/>
        <w:bottom w:val="none" w:sz="0" w:space="0" w:color="auto"/>
        <w:right w:val="none" w:sz="0" w:space="0" w:color="auto"/>
      </w:divBdr>
    </w:div>
    <w:div w:id="639455136">
      <w:bodyDiv w:val="1"/>
      <w:marLeft w:val="0"/>
      <w:marRight w:val="0"/>
      <w:marTop w:val="0"/>
      <w:marBottom w:val="0"/>
      <w:divBdr>
        <w:top w:val="none" w:sz="0" w:space="0" w:color="auto"/>
        <w:left w:val="none" w:sz="0" w:space="0" w:color="auto"/>
        <w:bottom w:val="none" w:sz="0" w:space="0" w:color="auto"/>
        <w:right w:val="none" w:sz="0" w:space="0" w:color="auto"/>
      </w:divBdr>
    </w:div>
    <w:div w:id="639572819">
      <w:bodyDiv w:val="1"/>
      <w:marLeft w:val="0"/>
      <w:marRight w:val="0"/>
      <w:marTop w:val="0"/>
      <w:marBottom w:val="0"/>
      <w:divBdr>
        <w:top w:val="none" w:sz="0" w:space="0" w:color="auto"/>
        <w:left w:val="none" w:sz="0" w:space="0" w:color="auto"/>
        <w:bottom w:val="none" w:sz="0" w:space="0" w:color="auto"/>
        <w:right w:val="none" w:sz="0" w:space="0" w:color="auto"/>
      </w:divBdr>
    </w:div>
    <w:div w:id="639965379">
      <w:bodyDiv w:val="1"/>
      <w:marLeft w:val="0"/>
      <w:marRight w:val="0"/>
      <w:marTop w:val="0"/>
      <w:marBottom w:val="0"/>
      <w:divBdr>
        <w:top w:val="none" w:sz="0" w:space="0" w:color="auto"/>
        <w:left w:val="none" w:sz="0" w:space="0" w:color="auto"/>
        <w:bottom w:val="none" w:sz="0" w:space="0" w:color="auto"/>
        <w:right w:val="none" w:sz="0" w:space="0" w:color="auto"/>
      </w:divBdr>
    </w:div>
    <w:div w:id="642083255">
      <w:bodyDiv w:val="1"/>
      <w:marLeft w:val="0"/>
      <w:marRight w:val="0"/>
      <w:marTop w:val="0"/>
      <w:marBottom w:val="0"/>
      <w:divBdr>
        <w:top w:val="none" w:sz="0" w:space="0" w:color="auto"/>
        <w:left w:val="none" w:sz="0" w:space="0" w:color="auto"/>
        <w:bottom w:val="none" w:sz="0" w:space="0" w:color="auto"/>
        <w:right w:val="none" w:sz="0" w:space="0" w:color="auto"/>
      </w:divBdr>
    </w:div>
    <w:div w:id="642198513">
      <w:bodyDiv w:val="1"/>
      <w:marLeft w:val="0"/>
      <w:marRight w:val="0"/>
      <w:marTop w:val="0"/>
      <w:marBottom w:val="0"/>
      <w:divBdr>
        <w:top w:val="none" w:sz="0" w:space="0" w:color="auto"/>
        <w:left w:val="none" w:sz="0" w:space="0" w:color="auto"/>
        <w:bottom w:val="none" w:sz="0" w:space="0" w:color="auto"/>
        <w:right w:val="none" w:sz="0" w:space="0" w:color="auto"/>
      </w:divBdr>
    </w:div>
    <w:div w:id="642976310">
      <w:bodyDiv w:val="1"/>
      <w:marLeft w:val="0"/>
      <w:marRight w:val="0"/>
      <w:marTop w:val="0"/>
      <w:marBottom w:val="0"/>
      <w:divBdr>
        <w:top w:val="none" w:sz="0" w:space="0" w:color="auto"/>
        <w:left w:val="none" w:sz="0" w:space="0" w:color="auto"/>
        <w:bottom w:val="none" w:sz="0" w:space="0" w:color="auto"/>
        <w:right w:val="none" w:sz="0" w:space="0" w:color="auto"/>
      </w:divBdr>
    </w:div>
    <w:div w:id="644511500">
      <w:bodyDiv w:val="1"/>
      <w:marLeft w:val="0"/>
      <w:marRight w:val="0"/>
      <w:marTop w:val="0"/>
      <w:marBottom w:val="0"/>
      <w:divBdr>
        <w:top w:val="none" w:sz="0" w:space="0" w:color="auto"/>
        <w:left w:val="none" w:sz="0" w:space="0" w:color="auto"/>
        <w:bottom w:val="none" w:sz="0" w:space="0" w:color="auto"/>
        <w:right w:val="none" w:sz="0" w:space="0" w:color="auto"/>
      </w:divBdr>
    </w:div>
    <w:div w:id="645357373">
      <w:bodyDiv w:val="1"/>
      <w:marLeft w:val="0"/>
      <w:marRight w:val="0"/>
      <w:marTop w:val="0"/>
      <w:marBottom w:val="0"/>
      <w:divBdr>
        <w:top w:val="none" w:sz="0" w:space="0" w:color="auto"/>
        <w:left w:val="none" w:sz="0" w:space="0" w:color="auto"/>
        <w:bottom w:val="none" w:sz="0" w:space="0" w:color="auto"/>
        <w:right w:val="none" w:sz="0" w:space="0" w:color="auto"/>
      </w:divBdr>
    </w:div>
    <w:div w:id="645857758">
      <w:bodyDiv w:val="1"/>
      <w:marLeft w:val="0"/>
      <w:marRight w:val="0"/>
      <w:marTop w:val="0"/>
      <w:marBottom w:val="0"/>
      <w:divBdr>
        <w:top w:val="none" w:sz="0" w:space="0" w:color="auto"/>
        <w:left w:val="none" w:sz="0" w:space="0" w:color="auto"/>
        <w:bottom w:val="none" w:sz="0" w:space="0" w:color="auto"/>
        <w:right w:val="none" w:sz="0" w:space="0" w:color="auto"/>
      </w:divBdr>
    </w:div>
    <w:div w:id="652101345">
      <w:bodyDiv w:val="1"/>
      <w:marLeft w:val="0"/>
      <w:marRight w:val="0"/>
      <w:marTop w:val="0"/>
      <w:marBottom w:val="0"/>
      <w:divBdr>
        <w:top w:val="none" w:sz="0" w:space="0" w:color="auto"/>
        <w:left w:val="none" w:sz="0" w:space="0" w:color="auto"/>
        <w:bottom w:val="none" w:sz="0" w:space="0" w:color="auto"/>
        <w:right w:val="none" w:sz="0" w:space="0" w:color="auto"/>
      </w:divBdr>
    </w:div>
    <w:div w:id="652952403">
      <w:bodyDiv w:val="1"/>
      <w:marLeft w:val="0"/>
      <w:marRight w:val="0"/>
      <w:marTop w:val="0"/>
      <w:marBottom w:val="0"/>
      <w:divBdr>
        <w:top w:val="none" w:sz="0" w:space="0" w:color="auto"/>
        <w:left w:val="none" w:sz="0" w:space="0" w:color="auto"/>
        <w:bottom w:val="none" w:sz="0" w:space="0" w:color="auto"/>
        <w:right w:val="none" w:sz="0" w:space="0" w:color="auto"/>
      </w:divBdr>
    </w:div>
    <w:div w:id="653410989">
      <w:bodyDiv w:val="1"/>
      <w:marLeft w:val="0"/>
      <w:marRight w:val="0"/>
      <w:marTop w:val="0"/>
      <w:marBottom w:val="0"/>
      <w:divBdr>
        <w:top w:val="none" w:sz="0" w:space="0" w:color="auto"/>
        <w:left w:val="none" w:sz="0" w:space="0" w:color="auto"/>
        <w:bottom w:val="none" w:sz="0" w:space="0" w:color="auto"/>
        <w:right w:val="none" w:sz="0" w:space="0" w:color="auto"/>
      </w:divBdr>
    </w:div>
    <w:div w:id="654377638">
      <w:bodyDiv w:val="1"/>
      <w:marLeft w:val="0"/>
      <w:marRight w:val="0"/>
      <w:marTop w:val="0"/>
      <w:marBottom w:val="0"/>
      <w:divBdr>
        <w:top w:val="none" w:sz="0" w:space="0" w:color="auto"/>
        <w:left w:val="none" w:sz="0" w:space="0" w:color="auto"/>
        <w:bottom w:val="none" w:sz="0" w:space="0" w:color="auto"/>
        <w:right w:val="none" w:sz="0" w:space="0" w:color="auto"/>
      </w:divBdr>
    </w:div>
    <w:div w:id="656417296">
      <w:bodyDiv w:val="1"/>
      <w:marLeft w:val="0"/>
      <w:marRight w:val="0"/>
      <w:marTop w:val="0"/>
      <w:marBottom w:val="0"/>
      <w:divBdr>
        <w:top w:val="none" w:sz="0" w:space="0" w:color="auto"/>
        <w:left w:val="none" w:sz="0" w:space="0" w:color="auto"/>
        <w:bottom w:val="none" w:sz="0" w:space="0" w:color="auto"/>
        <w:right w:val="none" w:sz="0" w:space="0" w:color="auto"/>
      </w:divBdr>
    </w:div>
    <w:div w:id="656762291">
      <w:bodyDiv w:val="1"/>
      <w:marLeft w:val="0"/>
      <w:marRight w:val="0"/>
      <w:marTop w:val="0"/>
      <w:marBottom w:val="0"/>
      <w:divBdr>
        <w:top w:val="none" w:sz="0" w:space="0" w:color="auto"/>
        <w:left w:val="none" w:sz="0" w:space="0" w:color="auto"/>
        <w:bottom w:val="none" w:sz="0" w:space="0" w:color="auto"/>
        <w:right w:val="none" w:sz="0" w:space="0" w:color="auto"/>
      </w:divBdr>
    </w:div>
    <w:div w:id="657727230">
      <w:bodyDiv w:val="1"/>
      <w:marLeft w:val="0"/>
      <w:marRight w:val="0"/>
      <w:marTop w:val="0"/>
      <w:marBottom w:val="0"/>
      <w:divBdr>
        <w:top w:val="none" w:sz="0" w:space="0" w:color="auto"/>
        <w:left w:val="none" w:sz="0" w:space="0" w:color="auto"/>
        <w:bottom w:val="none" w:sz="0" w:space="0" w:color="auto"/>
        <w:right w:val="none" w:sz="0" w:space="0" w:color="auto"/>
      </w:divBdr>
    </w:div>
    <w:div w:id="661540317">
      <w:bodyDiv w:val="1"/>
      <w:marLeft w:val="0"/>
      <w:marRight w:val="0"/>
      <w:marTop w:val="0"/>
      <w:marBottom w:val="0"/>
      <w:divBdr>
        <w:top w:val="none" w:sz="0" w:space="0" w:color="auto"/>
        <w:left w:val="none" w:sz="0" w:space="0" w:color="auto"/>
        <w:bottom w:val="none" w:sz="0" w:space="0" w:color="auto"/>
        <w:right w:val="none" w:sz="0" w:space="0" w:color="auto"/>
      </w:divBdr>
    </w:div>
    <w:div w:id="663968678">
      <w:bodyDiv w:val="1"/>
      <w:marLeft w:val="0"/>
      <w:marRight w:val="0"/>
      <w:marTop w:val="0"/>
      <w:marBottom w:val="0"/>
      <w:divBdr>
        <w:top w:val="none" w:sz="0" w:space="0" w:color="auto"/>
        <w:left w:val="none" w:sz="0" w:space="0" w:color="auto"/>
        <w:bottom w:val="none" w:sz="0" w:space="0" w:color="auto"/>
        <w:right w:val="none" w:sz="0" w:space="0" w:color="auto"/>
      </w:divBdr>
    </w:div>
    <w:div w:id="664667913">
      <w:bodyDiv w:val="1"/>
      <w:marLeft w:val="0"/>
      <w:marRight w:val="0"/>
      <w:marTop w:val="0"/>
      <w:marBottom w:val="0"/>
      <w:divBdr>
        <w:top w:val="none" w:sz="0" w:space="0" w:color="auto"/>
        <w:left w:val="none" w:sz="0" w:space="0" w:color="auto"/>
        <w:bottom w:val="none" w:sz="0" w:space="0" w:color="auto"/>
        <w:right w:val="none" w:sz="0" w:space="0" w:color="auto"/>
      </w:divBdr>
    </w:div>
    <w:div w:id="664742807">
      <w:bodyDiv w:val="1"/>
      <w:marLeft w:val="0"/>
      <w:marRight w:val="0"/>
      <w:marTop w:val="0"/>
      <w:marBottom w:val="0"/>
      <w:divBdr>
        <w:top w:val="none" w:sz="0" w:space="0" w:color="auto"/>
        <w:left w:val="none" w:sz="0" w:space="0" w:color="auto"/>
        <w:bottom w:val="none" w:sz="0" w:space="0" w:color="auto"/>
        <w:right w:val="none" w:sz="0" w:space="0" w:color="auto"/>
      </w:divBdr>
    </w:div>
    <w:div w:id="665667652">
      <w:bodyDiv w:val="1"/>
      <w:marLeft w:val="0"/>
      <w:marRight w:val="0"/>
      <w:marTop w:val="0"/>
      <w:marBottom w:val="0"/>
      <w:divBdr>
        <w:top w:val="none" w:sz="0" w:space="0" w:color="auto"/>
        <w:left w:val="none" w:sz="0" w:space="0" w:color="auto"/>
        <w:bottom w:val="none" w:sz="0" w:space="0" w:color="auto"/>
        <w:right w:val="none" w:sz="0" w:space="0" w:color="auto"/>
      </w:divBdr>
    </w:div>
    <w:div w:id="667254107">
      <w:bodyDiv w:val="1"/>
      <w:marLeft w:val="0"/>
      <w:marRight w:val="0"/>
      <w:marTop w:val="0"/>
      <w:marBottom w:val="0"/>
      <w:divBdr>
        <w:top w:val="none" w:sz="0" w:space="0" w:color="auto"/>
        <w:left w:val="none" w:sz="0" w:space="0" w:color="auto"/>
        <w:bottom w:val="none" w:sz="0" w:space="0" w:color="auto"/>
        <w:right w:val="none" w:sz="0" w:space="0" w:color="auto"/>
      </w:divBdr>
    </w:div>
    <w:div w:id="668214060">
      <w:bodyDiv w:val="1"/>
      <w:marLeft w:val="0"/>
      <w:marRight w:val="0"/>
      <w:marTop w:val="0"/>
      <w:marBottom w:val="0"/>
      <w:divBdr>
        <w:top w:val="none" w:sz="0" w:space="0" w:color="auto"/>
        <w:left w:val="none" w:sz="0" w:space="0" w:color="auto"/>
        <w:bottom w:val="none" w:sz="0" w:space="0" w:color="auto"/>
        <w:right w:val="none" w:sz="0" w:space="0" w:color="auto"/>
      </w:divBdr>
    </w:div>
    <w:div w:id="669790418">
      <w:bodyDiv w:val="1"/>
      <w:marLeft w:val="0"/>
      <w:marRight w:val="0"/>
      <w:marTop w:val="0"/>
      <w:marBottom w:val="0"/>
      <w:divBdr>
        <w:top w:val="none" w:sz="0" w:space="0" w:color="auto"/>
        <w:left w:val="none" w:sz="0" w:space="0" w:color="auto"/>
        <w:bottom w:val="none" w:sz="0" w:space="0" w:color="auto"/>
        <w:right w:val="none" w:sz="0" w:space="0" w:color="auto"/>
      </w:divBdr>
    </w:div>
    <w:div w:id="669911600">
      <w:bodyDiv w:val="1"/>
      <w:marLeft w:val="0"/>
      <w:marRight w:val="0"/>
      <w:marTop w:val="0"/>
      <w:marBottom w:val="0"/>
      <w:divBdr>
        <w:top w:val="none" w:sz="0" w:space="0" w:color="auto"/>
        <w:left w:val="none" w:sz="0" w:space="0" w:color="auto"/>
        <w:bottom w:val="none" w:sz="0" w:space="0" w:color="auto"/>
        <w:right w:val="none" w:sz="0" w:space="0" w:color="auto"/>
      </w:divBdr>
    </w:div>
    <w:div w:id="670137133">
      <w:bodyDiv w:val="1"/>
      <w:marLeft w:val="0"/>
      <w:marRight w:val="0"/>
      <w:marTop w:val="0"/>
      <w:marBottom w:val="0"/>
      <w:divBdr>
        <w:top w:val="none" w:sz="0" w:space="0" w:color="auto"/>
        <w:left w:val="none" w:sz="0" w:space="0" w:color="auto"/>
        <w:bottom w:val="none" w:sz="0" w:space="0" w:color="auto"/>
        <w:right w:val="none" w:sz="0" w:space="0" w:color="auto"/>
      </w:divBdr>
    </w:div>
    <w:div w:id="674266168">
      <w:bodyDiv w:val="1"/>
      <w:marLeft w:val="0"/>
      <w:marRight w:val="0"/>
      <w:marTop w:val="0"/>
      <w:marBottom w:val="0"/>
      <w:divBdr>
        <w:top w:val="none" w:sz="0" w:space="0" w:color="auto"/>
        <w:left w:val="none" w:sz="0" w:space="0" w:color="auto"/>
        <w:bottom w:val="none" w:sz="0" w:space="0" w:color="auto"/>
        <w:right w:val="none" w:sz="0" w:space="0" w:color="auto"/>
      </w:divBdr>
    </w:div>
    <w:div w:id="677003322">
      <w:bodyDiv w:val="1"/>
      <w:marLeft w:val="0"/>
      <w:marRight w:val="0"/>
      <w:marTop w:val="0"/>
      <w:marBottom w:val="0"/>
      <w:divBdr>
        <w:top w:val="none" w:sz="0" w:space="0" w:color="auto"/>
        <w:left w:val="none" w:sz="0" w:space="0" w:color="auto"/>
        <w:bottom w:val="none" w:sz="0" w:space="0" w:color="auto"/>
        <w:right w:val="none" w:sz="0" w:space="0" w:color="auto"/>
      </w:divBdr>
    </w:div>
    <w:div w:id="678585649">
      <w:bodyDiv w:val="1"/>
      <w:marLeft w:val="0"/>
      <w:marRight w:val="0"/>
      <w:marTop w:val="0"/>
      <w:marBottom w:val="0"/>
      <w:divBdr>
        <w:top w:val="none" w:sz="0" w:space="0" w:color="auto"/>
        <w:left w:val="none" w:sz="0" w:space="0" w:color="auto"/>
        <w:bottom w:val="none" w:sz="0" w:space="0" w:color="auto"/>
        <w:right w:val="none" w:sz="0" w:space="0" w:color="auto"/>
      </w:divBdr>
    </w:div>
    <w:div w:id="681276753">
      <w:bodyDiv w:val="1"/>
      <w:marLeft w:val="0"/>
      <w:marRight w:val="0"/>
      <w:marTop w:val="0"/>
      <w:marBottom w:val="0"/>
      <w:divBdr>
        <w:top w:val="none" w:sz="0" w:space="0" w:color="auto"/>
        <w:left w:val="none" w:sz="0" w:space="0" w:color="auto"/>
        <w:bottom w:val="none" w:sz="0" w:space="0" w:color="auto"/>
        <w:right w:val="none" w:sz="0" w:space="0" w:color="auto"/>
      </w:divBdr>
    </w:div>
    <w:div w:id="682361423">
      <w:bodyDiv w:val="1"/>
      <w:marLeft w:val="0"/>
      <w:marRight w:val="0"/>
      <w:marTop w:val="0"/>
      <w:marBottom w:val="0"/>
      <w:divBdr>
        <w:top w:val="none" w:sz="0" w:space="0" w:color="auto"/>
        <w:left w:val="none" w:sz="0" w:space="0" w:color="auto"/>
        <w:bottom w:val="none" w:sz="0" w:space="0" w:color="auto"/>
        <w:right w:val="none" w:sz="0" w:space="0" w:color="auto"/>
      </w:divBdr>
    </w:div>
    <w:div w:id="685252224">
      <w:bodyDiv w:val="1"/>
      <w:marLeft w:val="0"/>
      <w:marRight w:val="0"/>
      <w:marTop w:val="0"/>
      <w:marBottom w:val="0"/>
      <w:divBdr>
        <w:top w:val="none" w:sz="0" w:space="0" w:color="auto"/>
        <w:left w:val="none" w:sz="0" w:space="0" w:color="auto"/>
        <w:bottom w:val="none" w:sz="0" w:space="0" w:color="auto"/>
        <w:right w:val="none" w:sz="0" w:space="0" w:color="auto"/>
      </w:divBdr>
    </w:div>
    <w:div w:id="691109749">
      <w:bodyDiv w:val="1"/>
      <w:marLeft w:val="0"/>
      <w:marRight w:val="0"/>
      <w:marTop w:val="0"/>
      <w:marBottom w:val="0"/>
      <w:divBdr>
        <w:top w:val="none" w:sz="0" w:space="0" w:color="auto"/>
        <w:left w:val="none" w:sz="0" w:space="0" w:color="auto"/>
        <w:bottom w:val="none" w:sz="0" w:space="0" w:color="auto"/>
        <w:right w:val="none" w:sz="0" w:space="0" w:color="auto"/>
      </w:divBdr>
    </w:div>
    <w:div w:id="691537483">
      <w:bodyDiv w:val="1"/>
      <w:marLeft w:val="0"/>
      <w:marRight w:val="0"/>
      <w:marTop w:val="0"/>
      <w:marBottom w:val="0"/>
      <w:divBdr>
        <w:top w:val="none" w:sz="0" w:space="0" w:color="auto"/>
        <w:left w:val="none" w:sz="0" w:space="0" w:color="auto"/>
        <w:bottom w:val="none" w:sz="0" w:space="0" w:color="auto"/>
        <w:right w:val="none" w:sz="0" w:space="0" w:color="auto"/>
      </w:divBdr>
    </w:div>
    <w:div w:id="692339472">
      <w:bodyDiv w:val="1"/>
      <w:marLeft w:val="0"/>
      <w:marRight w:val="0"/>
      <w:marTop w:val="0"/>
      <w:marBottom w:val="0"/>
      <w:divBdr>
        <w:top w:val="none" w:sz="0" w:space="0" w:color="auto"/>
        <w:left w:val="none" w:sz="0" w:space="0" w:color="auto"/>
        <w:bottom w:val="none" w:sz="0" w:space="0" w:color="auto"/>
        <w:right w:val="none" w:sz="0" w:space="0" w:color="auto"/>
      </w:divBdr>
    </w:div>
    <w:div w:id="692925630">
      <w:bodyDiv w:val="1"/>
      <w:marLeft w:val="0"/>
      <w:marRight w:val="0"/>
      <w:marTop w:val="0"/>
      <w:marBottom w:val="0"/>
      <w:divBdr>
        <w:top w:val="none" w:sz="0" w:space="0" w:color="auto"/>
        <w:left w:val="none" w:sz="0" w:space="0" w:color="auto"/>
        <w:bottom w:val="none" w:sz="0" w:space="0" w:color="auto"/>
        <w:right w:val="none" w:sz="0" w:space="0" w:color="auto"/>
      </w:divBdr>
    </w:div>
    <w:div w:id="694311130">
      <w:bodyDiv w:val="1"/>
      <w:marLeft w:val="0"/>
      <w:marRight w:val="0"/>
      <w:marTop w:val="0"/>
      <w:marBottom w:val="0"/>
      <w:divBdr>
        <w:top w:val="none" w:sz="0" w:space="0" w:color="auto"/>
        <w:left w:val="none" w:sz="0" w:space="0" w:color="auto"/>
        <w:bottom w:val="none" w:sz="0" w:space="0" w:color="auto"/>
        <w:right w:val="none" w:sz="0" w:space="0" w:color="auto"/>
      </w:divBdr>
    </w:div>
    <w:div w:id="694421722">
      <w:bodyDiv w:val="1"/>
      <w:marLeft w:val="0"/>
      <w:marRight w:val="0"/>
      <w:marTop w:val="0"/>
      <w:marBottom w:val="0"/>
      <w:divBdr>
        <w:top w:val="none" w:sz="0" w:space="0" w:color="auto"/>
        <w:left w:val="none" w:sz="0" w:space="0" w:color="auto"/>
        <w:bottom w:val="none" w:sz="0" w:space="0" w:color="auto"/>
        <w:right w:val="none" w:sz="0" w:space="0" w:color="auto"/>
      </w:divBdr>
    </w:div>
    <w:div w:id="694885677">
      <w:bodyDiv w:val="1"/>
      <w:marLeft w:val="0"/>
      <w:marRight w:val="0"/>
      <w:marTop w:val="0"/>
      <w:marBottom w:val="0"/>
      <w:divBdr>
        <w:top w:val="none" w:sz="0" w:space="0" w:color="auto"/>
        <w:left w:val="none" w:sz="0" w:space="0" w:color="auto"/>
        <w:bottom w:val="none" w:sz="0" w:space="0" w:color="auto"/>
        <w:right w:val="none" w:sz="0" w:space="0" w:color="auto"/>
      </w:divBdr>
    </w:div>
    <w:div w:id="696737612">
      <w:bodyDiv w:val="1"/>
      <w:marLeft w:val="0"/>
      <w:marRight w:val="0"/>
      <w:marTop w:val="0"/>
      <w:marBottom w:val="0"/>
      <w:divBdr>
        <w:top w:val="none" w:sz="0" w:space="0" w:color="auto"/>
        <w:left w:val="none" w:sz="0" w:space="0" w:color="auto"/>
        <w:bottom w:val="none" w:sz="0" w:space="0" w:color="auto"/>
        <w:right w:val="none" w:sz="0" w:space="0" w:color="auto"/>
      </w:divBdr>
    </w:div>
    <w:div w:id="698316572">
      <w:bodyDiv w:val="1"/>
      <w:marLeft w:val="0"/>
      <w:marRight w:val="0"/>
      <w:marTop w:val="0"/>
      <w:marBottom w:val="0"/>
      <w:divBdr>
        <w:top w:val="none" w:sz="0" w:space="0" w:color="auto"/>
        <w:left w:val="none" w:sz="0" w:space="0" w:color="auto"/>
        <w:bottom w:val="none" w:sz="0" w:space="0" w:color="auto"/>
        <w:right w:val="none" w:sz="0" w:space="0" w:color="auto"/>
      </w:divBdr>
    </w:div>
    <w:div w:id="700126757">
      <w:bodyDiv w:val="1"/>
      <w:marLeft w:val="0"/>
      <w:marRight w:val="0"/>
      <w:marTop w:val="0"/>
      <w:marBottom w:val="0"/>
      <w:divBdr>
        <w:top w:val="none" w:sz="0" w:space="0" w:color="auto"/>
        <w:left w:val="none" w:sz="0" w:space="0" w:color="auto"/>
        <w:bottom w:val="none" w:sz="0" w:space="0" w:color="auto"/>
        <w:right w:val="none" w:sz="0" w:space="0" w:color="auto"/>
      </w:divBdr>
    </w:div>
    <w:div w:id="700934725">
      <w:bodyDiv w:val="1"/>
      <w:marLeft w:val="0"/>
      <w:marRight w:val="0"/>
      <w:marTop w:val="0"/>
      <w:marBottom w:val="0"/>
      <w:divBdr>
        <w:top w:val="none" w:sz="0" w:space="0" w:color="auto"/>
        <w:left w:val="none" w:sz="0" w:space="0" w:color="auto"/>
        <w:bottom w:val="none" w:sz="0" w:space="0" w:color="auto"/>
        <w:right w:val="none" w:sz="0" w:space="0" w:color="auto"/>
      </w:divBdr>
    </w:div>
    <w:div w:id="705299140">
      <w:bodyDiv w:val="1"/>
      <w:marLeft w:val="0"/>
      <w:marRight w:val="0"/>
      <w:marTop w:val="0"/>
      <w:marBottom w:val="0"/>
      <w:divBdr>
        <w:top w:val="none" w:sz="0" w:space="0" w:color="auto"/>
        <w:left w:val="none" w:sz="0" w:space="0" w:color="auto"/>
        <w:bottom w:val="none" w:sz="0" w:space="0" w:color="auto"/>
        <w:right w:val="none" w:sz="0" w:space="0" w:color="auto"/>
      </w:divBdr>
    </w:div>
    <w:div w:id="707341889">
      <w:bodyDiv w:val="1"/>
      <w:marLeft w:val="0"/>
      <w:marRight w:val="0"/>
      <w:marTop w:val="0"/>
      <w:marBottom w:val="0"/>
      <w:divBdr>
        <w:top w:val="none" w:sz="0" w:space="0" w:color="auto"/>
        <w:left w:val="none" w:sz="0" w:space="0" w:color="auto"/>
        <w:bottom w:val="none" w:sz="0" w:space="0" w:color="auto"/>
        <w:right w:val="none" w:sz="0" w:space="0" w:color="auto"/>
      </w:divBdr>
    </w:div>
    <w:div w:id="709916819">
      <w:bodyDiv w:val="1"/>
      <w:marLeft w:val="0"/>
      <w:marRight w:val="0"/>
      <w:marTop w:val="0"/>
      <w:marBottom w:val="0"/>
      <w:divBdr>
        <w:top w:val="none" w:sz="0" w:space="0" w:color="auto"/>
        <w:left w:val="none" w:sz="0" w:space="0" w:color="auto"/>
        <w:bottom w:val="none" w:sz="0" w:space="0" w:color="auto"/>
        <w:right w:val="none" w:sz="0" w:space="0" w:color="auto"/>
      </w:divBdr>
    </w:div>
    <w:div w:id="711659173">
      <w:bodyDiv w:val="1"/>
      <w:marLeft w:val="0"/>
      <w:marRight w:val="0"/>
      <w:marTop w:val="0"/>
      <w:marBottom w:val="0"/>
      <w:divBdr>
        <w:top w:val="none" w:sz="0" w:space="0" w:color="auto"/>
        <w:left w:val="none" w:sz="0" w:space="0" w:color="auto"/>
        <w:bottom w:val="none" w:sz="0" w:space="0" w:color="auto"/>
        <w:right w:val="none" w:sz="0" w:space="0" w:color="auto"/>
      </w:divBdr>
    </w:div>
    <w:div w:id="712266855">
      <w:bodyDiv w:val="1"/>
      <w:marLeft w:val="0"/>
      <w:marRight w:val="0"/>
      <w:marTop w:val="0"/>
      <w:marBottom w:val="0"/>
      <w:divBdr>
        <w:top w:val="none" w:sz="0" w:space="0" w:color="auto"/>
        <w:left w:val="none" w:sz="0" w:space="0" w:color="auto"/>
        <w:bottom w:val="none" w:sz="0" w:space="0" w:color="auto"/>
        <w:right w:val="none" w:sz="0" w:space="0" w:color="auto"/>
      </w:divBdr>
    </w:div>
    <w:div w:id="714623433">
      <w:bodyDiv w:val="1"/>
      <w:marLeft w:val="0"/>
      <w:marRight w:val="0"/>
      <w:marTop w:val="0"/>
      <w:marBottom w:val="0"/>
      <w:divBdr>
        <w:top w:val="none" w:sz="0" w:space="0" w:color="auto"/>
        <w:left w:val="none" w:sz="0" w:space="0" w:color="auto"/>
        <w:bottom w:val="none" w:sz="0" w:space="0" w:color="auto"/>
        <w:right w:val="none" w:sz="0" w:space="0" w:color="auto"/>
      </w:divBdr>
    </w:div>
    <w:div w:id="714737626">
      <w:bodyDiv w:val="1"/>
      <w:marLeft w:val="0"/>
      <w:marRight w:val="0"/>
      <w:marTop w:val="0"/>
      <w:marBottom w:val="0"/>
      <w:divBdr>
        <w:top w:val="none" w:sz="0" w:space="0" w:color="auto"/>
        <w:left w:val="none" w:sz="0" w:space="0" w:color="auto"/>
        <w:bottom w:val="none" w:sz="0" w:space="0" w:color="auto"/>
        <w:right w:val="none" w:sz="0" w:space="0" w:color="auto"/>
      </w:divBdr>
    </w:div>
    <w:div w:id="725222373">
      <w:bodyDiv w:val="1"/>
      <w:marLeft w:val="0"/>
      <w:marRight w:val="0"/>
      <w:marTop w:val="0"/>
      <w:marBottom w:val="0"/>
      <w:divBdr>
        <w:top w:val="none" w:sz="0" w:space="0" w:color="auto"/>
        <w:left w:val="none" w:sz="0" w:space="0" w:color="auto"/>
        <w:bottom w:val="none" w:sz="0" w:space="0" w:color="auto"/>
        <w:right w:val="none" w:sz="0" w:space="0" w:color="auto"/>
      </w:divBdr>
    </w:div>
    <w:div w:id="725421924">
      <w:bodyDiv w:val="1"/>
      <w:marLeft w:val="0"/>
      <w:marRight w:val="0"/>
      <w:marTop w:val="0"/>
      <w:marBottom w:val="0"/>
      <w:divBdr>
        <w:top w:val="none" w:sz="0" w:space="0" w:color="auto"/>
        <w:left w:val="none" w:sz="0" w:space="0" w:color="auto"/>
        <w:bottom w:val="none" w:sz="0" w:space="0" w:color="auto"/>
        <w:right w:val="none" w:sz="0" w:space="0" w:color="auto"/>
      </w:divBdr>
    </w:div>
    <w:div w:id="727342015">
      <w:bodyDiv w:val="1"/>
      <w:marLeft w:val="0"/>
      <w:marRight w:val="0"/>
      <w:marTop w:val="0"/>
      <w:marBottom w:val="0"/>
      <w:divBdr>
        <w:top w:val="none" w:sz="0" w:space="0" w:color="auto"/>
        <w:left w:val="none" w:sz="0" w:space="0" w:color="auto"/>
        <w:bottom w:val="none" w:sz="0" w:space="0" w:color="auto"/>
        <w:right w:val="none" w:sz="0" w:space="0" w:color="auto"/>
      </w:divBdr>
    </w:div>
    <w:div w:id="732583841">
      <w:bodyDiv w:val="1"/>
      <w:marLeft w:val="0"/>
      <w:marRight w:val="0"/>
      <w:marTop w:val="0"/>
      <w:marBottom w:val="0"/>
      <w:divBdr>
        <w:top w:val="none" w:sz="0" w:space="0" w:color="auto"/>
        <w:left w:val="none" w:sz="0" w:space="0" w:color="auto"/>
        <w:bottom w:val="none" w:sz="0" w:space="0" w:color="auto"/>
        <w:right w:val="none" w:sz="0" w:space="0" w:color="auto"/>
      </w:divBdr>
    </w:div>
    <w:div w:id="734082520">
      <w:bodyDiv w:val="1"/>
      <w:marLeft w:val="0"/>
      <w:marRight w:val="0"/>
      <w:marTop w:val="0"/>
      <w:marBottom w:val="0"/>
      <w:divBdr>
        <w:top w:val="none" w:sz="0" w:space="0" w:color="auto"/>
        <w:left w:val="none" w:sz="0" w:space="0" w:color="auto"/>
        <w:bottom w:val="none" w:sz="0" w:space="0" w:color="auto"/>
        <w:right w:val="none" w:sz="0" w:space="0" w:color="auto"/>
      </w:divBdr>
    </w:div>
    <w:div w:id="734202161">
      <w:bodyDiv w:val="1"/>
      <w:marLeft w:val="0"/>
      <w:marRight w:val="0"/>
      <w:marTop w:val="0"/>
      <w:marBottom w:val="0"/>
      <w:divBdr>
        <w:top w:val="none" w:sz="0" w:space="0" w:color="auto"/>
        <w:left w:val="none" w:sz="0" w:space="0" w:color="auto"/>
        <w:bottom w:val="none" w:sz="0" w:space="0" w:color="auto"/>
        <w:right w:val="none" w:sz="0" w:space="0" w:color="auto"/>
      </w:divBdr>
    </w:div>
    <w:div w:id="734553646">
      <w:bodyDiv w:val="1"/>
      <w:marLeft w:val="0"/>
      <w:marRight w:val="0"/>
      <w:marTop w:val="0"/>
      <w:marBottom w:val="0"/>
      <w:divBdr>
        <w:top w:val="none" w:sz="0" w:space="0" w:color="auto"/>
        <w:left w:val="none" w:sz="0" w:space="0" w:color="auto"/>
        <w:bottom w:val="none" w:sz="0" w:space="0" w:color="auto"/>
        <w:right w:val="none" w:sz="0" w:space="0" w:color="auto"/>
      </w:divBdr>
    </w:div>
    <w:div w:id="734816531">
      <w:bodyDiv w:val="1"/>
      <w:marLeft w:val="0"/>
      <w:marRight w:val="0"/>
      <w:marTop w:val="0"/>
      <w:marBottom w:val="0"/>
      <w:divBdr>
        <w:top w:val="none" w:sz="0" w:space="0" w:color="auto"/>
        <w:left w:val="none" w:sz="0" w:space="0" w:color="auto"/>
        <w:bottom w:val="none" w:sz="0" w:space="0" w:color="auto"/>
        <w:right w:val="none" w:sz="0" w:space="0" w:color="auto"/>
      </w:divBdr>
    </w:div>
    <w:div w:id="735515427">
      <w:bodyDiv w:val="1"/>
      <w:marLeft w:val="0"/>
      <w:marRight w:val="0"/>
      <w:marTop w:val="0"/>
      <w:marBottom w:val="0"/>
      <w:divBdr>
        <w:top w:val="none" w:sz="0" w:space="0" w:color="auto"/>
        <w:left w:val="none" w:sz="0" w:space="0" w:color="auto"/>
        <w:bottom w:val="none" w:sz="0" w:space="0" w:color="auto"/>
        <w:right w:val="none" w:sz="0" w:space="0" w:color="auto"/>
      </w:divBdr>
    </w:div>
    <w:div w:id="737361839">
      <w:bodyDiv w:val="1"/>
      <w:marLeft w:val="0"/>
      <w:marRight w:val="0"/>
      <w:marTop w:val="0"/>
      <w:marBottom w:val="0"/>
      <w:divBdr>
        <w:top w:val="none" w:sz="0" w:space="0" w:color="auto"/>
        <w:left w:val="none" w:sz="0" w:space="0" w:color="auto"/>
        <w:bottom w:val="none" w:sz="0" w:space="0" w:color="auto"/>
        <w:right w:val="none" w:sz="0" w:space="0" w:color="auto"/>
      </w:divBdr>
    </w:div>
    <w:div w:id="737752868">
      <w:bodyDiv w:val="1"/>
      <w:marLeft w:val="0"/>
      <w:marRight w:val="0"/>
      <w:marTop w:val="0"/>
      <w:marBottom w:val="0"/>
      <w:divBdr>
        <w:top w:val="none" w:sz="0" w:space="0" w:color="auto"/>
        <w:left w:val="none" w:sz="0" w:space="0" w:color="auto"/>
        <w:bottom w:val="none" w:sz="0" w:space="0" w:color="auto"/>
        <w:right w:val="none" w:sz="0" w:space="0" w:color="auto"/>
      </w:divBdr>
    </w:div>
    <w:div w:id="739795359">
      <w:bodyDiv w:val="1"/>
      <w:marLeft w:val="0"/>
      <w:marRight w:val="0"/>
      <w:marTop w:val="0"/>
      <w:marBottom w:val="0"/>
      <w:divBdr>
        <w:top w:val="none" w:sz="0" w:space="0" w:color="auto"/>
        <w:left w:val="none" w:sz="0" w:space="0" w:color="auto"/>
        <w:bottom w:val="none" w:sz="0" w:space="0" w:color="auto"/>
        <w:right w:val="none" w:sz="0" w:space="0" w:color="auto"/>
      </w:divBdr>
    </w:div>
    <w:div w:id="739868380">
      <w:bodyDiv w:val="1"/>
      <w:marLeft w:val="0"/>
      <w:marRight w:val="0"/>
      <w:marTop w:val="0"/>
      <w:marBottom w:val="0"/>
      <w:divBdr>
        <w:top w:val="none" w:sz="0" w:space="0" w:color="auto"/>
        <w:left w:val="none" w:sz="0" w:space="0" w:color="auto"/>
        <w:bottom w:val="none" w:sz="0" w:space="0" w:color="auto"/>
        <w:right w:val="none" w:sz="0" w:space="0" w:color="auto"/>
      </w:divBdr>
    </w:div>
    <w:div w:id="741752047">
      <w:bodyDiv w:val="1"/>
      <w:marLeft w:val="0"/>
      <w:marRight w:val="0"/>
      <w:marTop w:val="0"/>
      <w:marBottom w:val="0"/>
      <w:divBdr>
        <w:top w:val="none" w:sz="0" w:space="0" w:color="auto"/>
        <w:left w:val="none" w:sz="0" w:space="0" w:color="auto"/>
        <w:bottom w:val="none" w:sz="0" w:space="0" w:color="auto"/>
        <w:right w:val="none" w:sz="0" w:space="0" w:color="auto"/>
      </w:divBdr>
    </w:div>
    <w:div w:id="741829824">
      <w:bodyDiv w:val="1"/>
      <w:marLeft w:val="0"/>
      <w:marRight w:val="0"/>
      <w:marTop w:val="0"/>
      <w:marBottom w:val="0"/>
      <w:divBdr>
        <w:top w:val="none" w:sz="0" w:space="0" w:color="auto"/>
        <w:left w:val="none" w:sz="0" w:space="0" w:color="auto"/>
        <w:bottom w:val="none" w:sz="0" w:space="0" w:color="auto"/>
        <w:right w:val="none" w:sz="0" w:space="0" w:color="auto"/>
      </w:divBdr>
    </w:div>
    <w:div w:id="744033927">
      <w:bodyDiv w:val="1"/>
      <w:marLeft w:val="0"/>
      <w:marRight w:val="0"/>
      <w:marTop w:val="0"/>
      <w:marBottom w:val="0"/>
      <w:divBdr>
        <w:top w:val="none" w:sz="0" w:space="0" w:color="auto"/>
        <w:left w:val="none" w:sz="0" w:space="0" w:color="auto"/>
        <w:bottom w:val="none" w:sz="0" w:space="0" w:color="auto"/>
        <w:right w:val="none" w:sz="0" w:space="0" w:color="auto"/>
      </w:divBdr>
    </w:div>
    <w:div w:id="744109313">
      <w:bodyDiv w:val="1"/>
      <w:marLeft w:val="0"/>
      <w:marRight w:val="0"/>
      <w:marTop w:val="0"/>
      <w:marBottom w:val="0"/>
      <w:divBdr>
        <w:top w:val="none" w:sz="0" w:space="0" w:color="auto"/>
        <w:left w:val="none" w:sz="0" w:space="0" w:color="auto"/>
        <w:bottom w:val="none" w:sz="0" w:space="0" w:color="auto"/>
        <w:right w:val="none" w:sz="0" w:space="0" w:color="auto"/>
      </w:divBdr>
    </w:div>
    <w:div w:id="744374865">
      <w:bodyDiv w:val="1"/>
      <w:marLeft w:val="0"/>
      <w:marRight w:val="0"/>
      <w:marTop w:val="0"/>
      <w:marBottom w:val="0"/>
      <w:divBdr>
        <w:top w:val="none" w:sz="0" w:space="0" w:color="auto"/>
        <w:left w:val="none" w:sz="0" w:space="0" w:color="auto"/>
        <w:bottom w:val="none" w:sz="0" w:space="0" w:color="auto"/>
        <w:right w:val="none" w:sz="0" w:space="0" w:color="auto"/>
      </w:divBdr>
    </w:div>
    <w:div w:id="745305128">
      <w:bodyDiv w:val="1"/>
      <w:marLeft w:val="0"/>
      <w:marRight w:val="0"/>
      <w:marTop w:val="0"/>
      <w:marBottom w:val="0"/>
      <w:divBdr>
        <w:top w:val="none" w:sz="0" w:space="0" w:color="auto"/>
        <w:left w:val="none" w:sz="0" w:space="0" w:color="auto"/>
        <w:bottom w:val="none" w:sz="0" w:space="0" w:color="auto"/>
        <w:right w:val="none" w:sz="0" w:space="0" w:color="auto"/>
      </w:divBdr>
    </w:div>
    <w:div w:id="746339015">
      <w:bodyDiv w:val="1"/>
      <w:marLeft w:val="0"/>
      <w:marRight w:val="0"/>
      <w:marTop w:val="0"/>
      <w:marBottom w:val="0"/>
      <w:divBdr>
        <w:top w:val="none" w:sz="0" w:space="0" w:color="auto"/>
        <w:left w:val="none" w:sz="0" w:space="0" w:color="auto"/>
        <w:bottom w:val="none" w:sz="0" w:space="0" w:color="auto"/>
        <w:right w:val="none" w:sz="0" w:space="0" w:color="auto"/>
      </w:divBdr>
    </w:div>
    <w:div w:id="746999503">
      <w:bodyDiv w:val="1"/>
      <w:marLeft w:val="0"/>
      <w:marRight w:val="0"/>
      <w:marTop w:val="0"/>
      <w:marBottom w:val="0"/>
      <w:divBdr>
        <w:top w:val="none" w:sz="0" w:space="0" w:color="auto"/>
        <w:left w:val="none" w:sz="0" w:space="0" w:color="auto"/>
        <w:bottom w:val="none" w:sz="0" w:space="0" w:color="auto"/>
        <w:right w:val="none" w:sz="0" w:space="0" w:color="auto"/>
      </w:divBdr>
    </w:div>
    <w:div w:id="748111967">
      <w:bodyDiv w:val="1"/>
      <w:marLeft w:val="0"/>
      <w:marRight w:val="0"/>
      <w:marTop w:val="0"/>
      <w:marBottom w:val="0"/>
      <w:divBdr>
        <w:top w:val="none" w:sz="0" w:space="0" w:color="auto"/>
        <w:left w:val="none" w:sz="0" w:space="0" w:color="auto"/>
        <w:bottom w:val="none" w:sz="0" w:space="0" w:color="auto"/>
        <w:right w:val="none" w:sz="0" w:space="0" w:color="auto"/>
      </w:divBdr>
    </w:div>
    <w:div w:id="748503211">
      <w:bodyDiv w:val="1"/>
      <w:marLeft w:val="0"/>
      <w:marRight w:val="0"/>
      <w:marTop w:val="0"/>
      <w:marBottom w:val="0"/>
      <w:divBdr>
        <w:top w:val="none" w:sz="0" w:space="0" w:color="auto"/>
        <w:left w:val="none" w:sz="0" w:space="0" w:color="auto"/>
        <w:bottom w:val="none" w:sz="0" w:space="0" w:color="auto"/>
        <w:right w:val="none" w:sz="0" w:space="0" w:color="auto"/>
      </w:divBdr>
    </w:div>
    <w:div w:id="748967905">
      <w:bodyDiv w:val="1"/>
      <w:marLeft w:val="0"/>
      <w:marRight w:val="0"/>
      <w:marTop w:val="0"/>
      <w:marBottom w:val="0"/>
      <w:divBdr>
        <w:top w:val="none" w:sz="0" w:space="0" w:color="auto"/>
        <w:left w:val="none" w:sz="0" w:space="0" w:color="auto"/>
        <w:bottom w:val="none" w:sz="0" w:space="0" w:color="auto"/>
        <w:right w:val="none" w:sz="0" w:space="0" w:color="auto"/>
      </w:divBdr>
    </w:div>
    <w:div w:id="749277840">
      <w:bodyDiv w:val="1"/>
      <w:marLeft w:val="0"/>
      <w:marRight w:val="0"/>
      <w:marTop w:val="0"/>
      <w:marBottom w:val="0"/>
      <w:divBdr>
        <w:top w:val="none" w:sz="0" w:space="0" w:color="auto"/>
        <w:left w:val="none" w:sz="0" w:space="0" w:color="auto"/>
        <w:bottom w:val="none" w:sz="0" w:space="0" w:color="auto"/>
        <w:right w:val="none" w:sz="0" w:space="0" w:color="auto"/>
      </w:divBdr>
    </w:div>
    <w:div w:id="749930951">
      <w:bodyDiv w:val="1"/>
      <w:marLeft w:val="0"/>
      <w:marRight w:val="0"/>
      <w:marTop w:val="0"/>
      <w:marBottom w:val="0"/>
      <w:divBdr>
        <w:top w:val="none" w:sz="0" w:space="0" w:color="auto"/>
        <w:left w:val="none" w:sz="0" w:space="0" w:color="auto"/>
        <w:bottom w:val="none" w:sz="0" w:space="0" w:color="auto"/>
        <w:right w:val="none" w:sz="0" w:space="0" w:color="auto"/>
      </w:divBdr>
    </w:div>
    <w:div w:id="752705514">
      <w:bodyDiv w:val="1"/>
      <w:marLeft w:val="0"/>
      <w:marRight w:val="0"/>
      <w:marTop w:val="0"/>
      <w:marBottom w:val="0"/>
      <w:divBdr>
        <w:top w:val="none" w:sz="0" w:space="0" w:color="auto"/>
        <w:left w:val="none" w:sz="0" w:space="0" w:color="auto"/>
        <w:bottom w:val="none" w:sz="0" w:space="0" w:color="auto"/>
        <w:right w:val="none" w:sz="0" w:space="0" w:color="auto"/>
      </w:divBdr>
    </w:div>
    <w:div w:id="752778655">
      <w:bodyDiv w:val="1"/>
      <w:marLeft w:val="0"/>
      <w:marRight w:val="0"/>
      <w:marTop w:val="0"/>
      <w:marBottom w:val="0"/>
      <w:divBdr>
        <w:top w:val="none" w:sz="0" w:space="0" w:color="auto"/>
        <w:left w:val="none" w:sz="0" w:space="0" w:color="auto"/>
        <w:bottom w:val="none" w:sz="0" w:space="0" w:color="auto"/>
        <w:right w:val="none" w:sz="0" w:space="0" w:color="auto"/>
      </w:divBdr>
    </w:div>
    <w:div w:id="756445675">
      <w:bodyDiv w:val="1"/>
      <w:marLeft w:val="0"/>
      <w:marRight w:val="0"/>
      <w:marTop w:val="0"/>
      <w:marBottom w:val="0"/>
      <w:divBdr>
        <w:top w:val="none" w:sz="0" w:space="0" w:color="auto"/>
        <w:left w:val="none" w:sz="0" w:space="0" w:color="auto"/>
        <w:bottom w:val="none" w:sz="0" w:space="0" w:color="auto"/>
        <w:right w:val="none" w:sz="0" w:space="0" w:color="auto"/>
      </w:divBdr>
    </w:div>
    <w:div w:id="756824168">
      <w:bodyDiv w:val="1"/>
      <w:marLeft w:val="0"/>
      <w:marRight w:val="0"/>
      <w:marTop w:val="0"/>
      <w:marBottom w:val="0"/>
      <w:divBdr>
        <w:top w:val="none" w:sz="0" w:space="0" w:color="auto"/>
        <w:left w:val="none" w:sz="0" w:space="0" w:color="auto"/>
        <w:bottom w:val="none" w:sz="0" w:space="0" w:color="auto"/>
        <w:right w:val="none" w:sz="0" w:space="0" w:color="auto"/>
      </w:divBdr>
    </w:div>
    <w:div w:id="757287786">
      <w:bodyDiv w:val="1"/>
      <w:marLeft w:val="0"/>
      <w:marRight w:val="0"/>
      <w:marTop w:val="0"/>
      <w:marBottom w:val="0"/>
      <w:divBdr>
        <w:top w:val="none" w:sz="0" w:space="0" w:color="auto"/>
        <w:left w:val="none" w:sz="0" w:space="0" w:color="auto"/>
        <w:bottom w:val="none" w:sz="0" w:space="0" w:color="auto"/>
        <w:right w:val="none" w:sz="0" w:space="0" w:color="auto"/>
      </w:divBdr>
    </w:div>
    <w:div w:id="757598062">
      <w:bodyDiv w:val="1"/>
      <w:marLeft w:val="0"/>
      <w:marRight w:val="0"/>
      <w:marTop w:val="0"/>
      <w:marBottom w:val="0"/>
      <w:divBdr>
        <w:top w:val="none" w:sz="0" w:space="0" w:color="auto"/>
        <w:left w:val="none" w:sz="0" w:space="0" w:color="auto"/>
        <w:bottom w:val="none" w:sz="0" w:space="0" w:color="auto"/>
        <w:right w:val="none" w:sz="0" w:space="0" w:color="auto"/>
      </w:divBdr>
    </w:div>
    <w:div w:id="758133932">
      <w:bodyDiv w:val="1"/>
      <w:marLeft w:val="0"/>
      <w:marRight w:val="0"/>
      <w:marTop w:val="0"/>
      <w:marBottom w:val="0"/>
      <w:divBdr>
        <w:top w:val="none" w:sz="0" w:space="0" w:color="auto"/>
        <w:left w:val="none" w:sz="0" w:space="0" w:color="auto"/>
        <w:bottom w:val="none" w:sz="0" w:space="0" w:color="auto"/>
        <w:right w:val="none" w:sz="0" w:space="0" w:color="auto"/>
      </w:divBdr>
    </w:div>
    <w:div w:id="761879364">
      <w:bodyDiv w:val="1"/>
      <w:marLeft w:val="0"/>
      <w:marRight w:val="0"/>
      <w:marTop w:val="0"/>
      <w:marBottom w:val="0"/>
      <w:divBdr>
        <w:top w:val="none" w:sz="0" w:space="0" w:color="auto"/>
        <w:left w:val="none" w:sz="0" w:space="0" w:color="auto"/>
        <w:bottom w:val="none" w:sz="0" w:space="0" w:color="auto"/>
        <w:right w:val="none" w:sz="0" w:space="0" w:color="auto"/>
      </w:divBdr>
    </w:div>
    <w:div w:id="763038501">
      <w:bodyDiv w:val="1"/>
      <w:marLeft w:val="0"/>
      <w:marRight w:val="0"/>
      <w:marTop w:val="0"/>
      <w:marBottom w:val="0"/>
      <w:divBdr>
        <w:top w:val="none" w:sz="0" w:space="0" w:color="auto"/>
        <w:left w:val="none" w:sz="0" w:space="0" w:color="auto"/>
        <w:bottom w:val="none" w:sz="0" w:space="0" w:color="auto"/>
        <w:right w:val="none" w:sz="0" w:space="0" w:color="auto"/>
      </w:divBdr>
    </w:div>
    <w:div w:id="763574874">
      <w:bodyDiv w:val="1"/>
      <w:marLeft w:val="0"/>
      <w:marRight w:val="0"/>
      <w:marTop w:val="0"/>
      <w:marBottom w:val="0"/>
      <w:divBdr>
        <w:top w:val="none" w:sz="0" w:space="0" w:color="auto"/>
        <w:left w:val="none" w:sz="0" w:space="0" w:color="auto"/>
        <w:bottom w:val="none" w:sz="0" w:space="0" w:color="auto"/>
        <w:right w:val="none" w:sz="0" w:space="0" w:color="auto"/>
      </w:divBdr>
    </w:div>
    <w:div w:id="767697488">
      <w:bodyDiv w:val="1"/>
      <w:marLeft w:val="0"/>
      <w:marRight w:val="0"/>
      <w:marTop w:val="0"/>
      <w:marBottom w:val="0"/>
      <w:divBdr>
        <w:top w:val="none" w:sz="0" w:space="0" w:color="auto"/>
        <w:left w:val="none" w:sz="0" w:space="0" w:color="auto"/>
        <w:bottom w:val="none" w:sz="0" w:space="0" w:color="auto"/>
        <w:right w:val="none" w:sz="0" w:space="0" w:color="auto"/>
      </w:divBdr>
    </w:div>
    <w:div w:id="770660185">
      <w:bodyDiv w:val="1"/>
      <w:marLeft w:val="0"/>
      <w:marRight w:val="0"/>
      <w:marTop w:val="0"/>
      <w:marBottom w:val="0"/>
      <w:divBdr>
        <w:top w:val="none" w:sz="0" w:space="0" w:color="auto"/>
        <w:left w:val="none" w:sz="0" w:space="0" w:color="auto"/>
        <w:bottom w:val="none" w:sz="0" w:space="0" w:color="auto"/>
        <w:right w:val="none" w:sz="0" w:space="0" w:color="auto"/>
      </w:divBdr>
    </w:div>
    <w:div w:id="771441518">
      <w:bodyDiv w:val="1"/>
      <w:marLeft w:val="0"/>
      <w:marRight w:val="0"/>
      <w:marTop w:val="0"/>
      <w:marBottom w:val="0"/>
      <w:divBdr>
        <w:top w:val="none" w:sz="0" w:space="0" w:color="auto"/>
        <w:left w:val="none" w:sz="0" w:space="0" w:color="auto"/>
        <w:bottom w:val="none" w:sz="0" w:space="0" w:color="auto"/>
        <w:right w:val="none" w:sz="0" w:space="0" w:color="auto"/>
      </w:divBdr>
    </w:div>
    <w:div w:id="771899921">
      <w:bodyDiv w:val="1"/>
      <w:marLeft w:val="0"/>
      <w:marRight w:val="0"/>
      <w:marTop w:val="0"/>
      <w:marBottom w:val="0"/>
      <w:divBdr>
        <w:top w:val="none" w:sz="0" w:space="0" w:color="auto"/>
        <w:left w:val="none" w:sz="0" w:space="0" w:color="auto"/>
        <w:bottom w:val="none" w:sz="0" w:space="0" w:color="auto"/>
        <w:right w:val="none" w:sz="0" w:space="0" w:color="auto"/>
      </w:divBdr>
    </w:div>
    <w:div w:id="772241263">
      <w:bodyDiv w:val="1"/>
      <w:marLeft w:val="0"/>
      <w:marRight w:val="0"/>
      <w:marTop w:val="0"/>
      <w:marBottom w:val="0"/>
      <w:divBdr>
        <w:top w:val="none" w:sz="0" w:space="0" w:color="auto"/>
        <w:left w:val="none" w:sz="0" w:space="0" w:color="auto"/>
        <w:bottom w:val="none" w:sz="0" w:space="0" w:color="auto"/>
        <w:right w:val="none" w:sz="0" w:space="0" w:color="auto"/>
      </w:divBdr>
    </w:div>
    <w:div w:id="775716826">
      <w:bodyDiv w:val="1"/>
      <w:marLeft w:val="0"/>
      <w:marRight w:val="0"/>
      <w:marTop w:val="0"/>
      <w:marBottom w:val="0"/>
      <w:divBdr>
        <w:top w:val="none" w:sz="0" w:space="0" w:color="auto"/>
        <w:left w:val="none" w:sz="0" w:space="0" w:color="auto"/>
        <w:bottom w:val="none" w:sz="0" w:space="0" w:color="auto"/>
        <w:right w:val="none" w:sz="0" w:space="0" w:color="auto"/>
      </w:divBdr>
    </w:div>
    <w:div w:id="775750528">
      <w:bodyDiv w:val="1"/>
      <w:marLeft w:val="0"/>
      <w:marRight w:val="0"/>
      <w:marTop w:val="0"/>
      <w:marBottom w:val="0"/>
      <w:divBdr>
        <w:top w:val="none" w:sz="0" w:space="0" w:color="auto"/>
        <w:left w:val="none" w:sz="0" w:space="0" w:color="auto"/>
        <w:bottom w:val="none" w:sz="0" w:space="0" w:color="auto"/>
        <w:right w:val="none" w:sz="0" w:space="0" w:color="auto"/>
      </w:divBdr>
    </w:div>
    <w:div w:id="777482941">
      <w:bodyDiv w:val="1"/>
      <w:marLeft w:val="0"/>
      <w:marRight w:val="0"/>
      <w:marTop w:val="0"/>
      <w:marBottom w:val="0"/>
      <w:divBdr>
        <w:top w:val="none" w:sz="0" w:space="0" w:color="auto"/>
        <w:left w:val="none" w:sz="0" w:space="0" w:color="auto"/>
        <w:bottom w:val="none" w:sz="0" w:space="0" w:color="auto"/>
        <w:right w:val="none" w:sz="0" w:space="0" w:color="auto"/>
      </w:divBdr>
    </w:div>
    <w:div w:id="777918163">
      <w:bodyDiv w:val="1"/>
      <w:marLeft w:val="0"/>
      <w:marRight w:val="0"/>
      <w:marTop w:val="0"/>
      <w:marBottom w:val="0"/>
      <w:divBdr>
        <w:top w:val="none" w:sz="0" w:space="0" w:color="auto"/>
        <w:left w:val="none" w:sz="0" w:space="0" w:color="auto"/>
        <w:bottom w:val="none" w:sz="0" w:space="0" w:color="auto"/>
        <w:right w:val="none" w:sz="0" w:space="0" w:color="auto"/>
      </w:divBdr>
    </w:div>
    <w:div w:id="778648425">
      <w:bodyDiv w:val="1"/>
      <w:marLeft w:val="0"/>
      <w:marRight w:val="0"/>
      <w:marTop w:val="0"/>
      <w:marBottom w:val="0"/>
      <w:divBdr>
        <w:top w:val="none" w:sz="0" w:space="0" w:color="auto"/>
        <w:left w:val="none" w:sz="0" w:space="0" w:color="auto"/>
        <w:bottom w:val="none" w:sz="0" w:space="0" w:color="auto"/>
        <w:right w:val="none" w:sz="0" w:space="0" w:color="auto"/>
      </w:divBdr>
    </w:div>
    <w:div w:id="779255549">
      <w:bodyDiv w:val="1"/>
      <w:marLeft w:val="0"/>
      <w:marRight w:val="0"/>
      <w:marTop w:val="0"/>
      <w:marBottom w:val="0"/>
      <w:divBdr>
        <w:top w:val="none" w:sz="0" w:space="0" w:color="auto"/>
        <w:left w:val="none" w:sz="0" w:space="0" w:color="auto"/>
        <w:bottom w:val="none" w:sz="0" w:space="0" w:color="auto"/>
        <w:right w:val="none" w:sz="0" w:space="0" w:color="auto"/>
      </w:divBdr>
    </w:div>
    <w:div w:id="780492027">
      <w:bodyDiv w:val="1"/>
      <w:marLeft w:val="0"/>
      <w:marRight w:val="0"/>
      <w:marTop w:val="0"/>
      <w:marBottom w:val="0"/>
      <w:divBdr>
        <w:top w:val="none" w:sz="0" w:space="0" w:color="auto"/>
        <w:left w:val="none" w:sz="0" w:space="0" w:color="auto"/>
        <w:bottom w:val="none" w:sz="0" w:space="0" w:color="auto"/>
        <w:right w:val="none" w:sz="0" w:space="0" w:color="auto"/>
      </w:divBdr>
    </w:div>
    <w:div w:id="781654692">
      <w:bodyDiv w:val="1"/>
      <w:marLeft w:val="0"/>
      <w:marRight w:val="0"/>
      <w:marTop w:val="0"/>
      <w:marBottom w:val="0"/>
      <w:divBdr>
        <w:top w:val="none" w:sz="0" w:space="0" w:color="auto"/>
        <w:left w:val="none" w:sz="0" w:space="0" w:color="auto"/>
        <w:bottom w:val="none" w:sz="0" w:space="0" w:color="auto"/>
        <w:right w:val="none" w:sz="0" w:space="0" w:color="auto"/>
      </w:divBdr>
    </w:div>
    <w:div w:id="783038114">
      <w:bodyDiv w:val="1"/>
      <w:marLeft w:val="0"/>
      <w:marRight w:val="0"/>
      <w:marTop w:val="0"/>
      <w:marBottom w:val="0"/>
      <w:divBdr>
        <w:top w:val="none" w:sz="0" w:space="0" w:color="auto"/>
        <w:left w:val="none" w:sz="0" w:space="0" w:color="auto"/>
        <w:bottom w:val="none" w:sz="0" w:space="0" w:color="auto"/>
        <w:right w:val="none" w:sz="0" w:space="0" w:color="auto"/>
      </w:divBdr>
    </w:div>
    <w:div w:id="787089085">
      <w:bodyDiv w:val="1"/>
      <w:marLeft w:val="0"/>
      <w:marRight w:val="0"/>
      <w:marTop w:val="0"/>
      <w:marBottom w:val="0"/>
      <w:divBdr>
        <w:top w:val="none" w:sz="0" w:space="0" w:color="auto"/>
        <w:left w:val="none" w:sz="0" w:space="0" w:color="auto"/>
        <w:bottom w:val="none" w:sz="0" w:space="0" w:color="auto"/>
        <w:right w:val="none" w:sz="0" w:space="0" w:color="auto"/>
      </w:divBdr>
    </w:div>
    <w:div w:id="789125377">
      <w:bodyDiv w:val="1"/>
      <w:marLeft w:val="0"/>
      <w:marRight w:val="0"/>
      <w:marTop w:val="0"/>
      <w:marBottom w:val="0"/>
      <w:divBdr>
        <w:top w:val="none" w:sz="0" w:space="0" w:color="auto"/>
        <w:left w:val="none" w:sz="0" w:space="0" w:color="auto"/>
        <w:bottom w:val="none" w:sz="0" w:space="0" w:color="auto"/>
        <w:right w:val="none" w:sz="0" w:space="0" w:color="auto"/>
      </w:divBdr>
    </w:div>
    <w:div w:id="790250404">
      <w:bodyDiv w:val="1"/>
      <w:marLeft w:val="0"/>
      <w:marRight w:val="0"/>
      <w:marTop w:val="0"/>
      <w:marBottom w:val="0"/>
      <w:divBdr>
        <w:top w:val="none" w:sz="0" w:space="0" w:color="auto"/>
        <w:left w:val="none" w:sz="0" w:space="0" w:color="auto"/>
        <w:bottom w:val="none" w:sz="0" w:space="0" w:color="auto"/>
        <w:right w:val="none" w:sz="0" w:space="0" w:color="auto"/>
      </w:divBdr>
    </w:div>
    <w:div w:id="790320974">
      <w:bodyDiv w:val="1"/>
      <w:marLeft w:val="0"/>
      <w:marRight w:val="0"/>
      <w:marTop w:val="0"/>
      <w:marBottom w:val="0"/>
      <w:divBdr>
        <w:top w:val="none" w:sz="0" w:space="0" w:color="auto"/>
        <w:left w:val="none" w:sz="0" w:space="0" w:color="auto"/>
        <w:bottom w:val="none" w:sz="0" w:space="0" w:color="auto"/>
        <w:right w:val="none" w:sz="0" w:space="0" w:color="auto"/>
      </w:divBdr>
    </w:div>
    <w:div w:id="794369083">
      <w:bodyDiv w:val="1"/>
      <w:marLeft w:val="0"/>
      <w:marRight w:val="0"/>
      <w:marTop w:val="0"/>
      <w:marBottom w:val="0"/>
      <w:divBdr>
        <w:top w:val="none" w:sz="0" w:space="0" w:color="auto"/>
        <w:left w:val="none" w:sz="0" w:space="0" w:color="auto"/>
        <w:bottom w:val="none" w:sz="0" w:space="0" w:color="auto"/>
        <w:right w:val="none" w:sz="0" w:space="0" w:color="auto"/>
      </w:divBdr>
    </w:div>
    <w:div w:id="796411679">
      <w:bodyDiv w:val="1"/>
      <w:marLeft w:val="0"/>
      <w:marRight w:val="0"/>
      <w:marTop w:val="0"/>
      <w:marBottom w:val="0"/>
      <w:divBdr>
        <w:top w:val="none" w:sz="0" w:space="0" w:color="auto"/>
        <w:left w:val="none" w:sz="0" w:space="0" w:color="auto"/>
        <w:bottom w:val="none" w:sz="0" w:space="0" w:color="auto"/>
        <w:right w:val="none" w:sz="0" w:space="0" w:color="auto"/>
      </w:divBdr>
    </w:div>
    <w:div w:id="796727502">
      <w:bodyDiv w:val="1"/>
      <w:marLeft w:val="0"/>
      <w:marRight w:val="0"/>
      <w:marTop w:val="0"/>
      <w:marBottom w:val="0"/>
      <w:divBdr>
        <w:top w:val="none" w:sz="0" w:space="0" w:color="auto"/>
        <w:left w:val="none" w:sz="0" w:space="0" w:color="auto"/>
        <w:bottom w:val="none" w:sz="0" w:space="0" w:color="auto"/>
        <w:right w:val="none" w:sz="0" w:space="0" w:color="auto"/>
      </w:divBdr>
    </w:div>
    <w:div w:id="798885234">
      <w:bodyDiv w:val="1"/>
      <w:marLeft w:val="0"/>
      <w:marRight w:val="0"/>
      <w:marTop w:val="0"/>
      <w:marBottom w:val="0"/>
      <w:divBdr>
        <w:top w:val="none" w:sz="0" w:space="0" w:color="auto"/>
        <w:left w:val="none" w:sz="0" w:space="0" w:color="auto"/>
        <w:bottom w:val="none" w:sz="0" w:space="0" w:color="auto"/>
        <w:right w:val="none" w:sz="0" w:space="0" w:color="auto"/>
      </w:divBdr>
    </w:div>
    <w:div w:id="799302468">
      <w:bodyDiv w:val="1"/>
      <w:marLeft w:val="0"/>
      <w:marRight w:val="0"/>
      <w:marTop w:val="0"/>
      <w:marBottom w:val="0"/>
      <w:divBdr>
        <w:top w:val="none" w:sz="0" w:space="0" w:color="auto"/>
        <w:left w:val="none" w:sz="0" w:space="0" w:color="auto"/>
        <w:bottom w:val="none" w:sz="0" w:space="0" w:color="auto"/>
        <w:right w:val="none" w:sz="0" w:space="0" w:color="auto"/>
      </w:divBdr>
    </w:div>
    <w:div w:id="800269233">
      <w:bodyDiv w:val="1"/>
      <w:marLeft w:val="0"/>
      <w:marRight w:val="0"/>
      <w:marTop w:val="0"/>
      <w:marBottom w:val="0"/>
      <w:divBdr>
        <w:top w:val="none" w:sz="0" w:space="0" w:color="auto"/>
        <w:left w:val="none" w:sz="0" w:space="0" w:color="auto"/>
        <w:bottom w:val="none" w:sz="0" w:space="0" w:color="auto"/>
        <w:right w:val="none" w:sz="0" w:space="0" w:color="auto"/>
      </w:divBdr>
    </w:div>
    <w:div w:id="801462046">
      <w:bodyDiv w:val="1"/>
      <w:marLeft w:val="0"/>
      <w:marRight w:val="0"/>
      <w:marTop w:val="0"/>
      <w:marBottom w:val="0"/>
      <w:divBdr>
        <w:top w:val="none" w:sz="0" w:space="0" w:color="auto"/>
        <w:left w:val="none" w:sz="0" w:space="0" w:color="auto"/>
        <w:bottom w:val="none" w:sz="0" w:space="0" w:color="auto"/>
        <w:right w:val="none" w:sz="0" w:space="0" w:color="auto"/>
      </w:divBdr>
    </w:div>
    <w:div w:id="801968234">
      <w:bodyDiv w:val="1"/>
      <w:marLeft w:val="0"/>
      <w:marRight w:val="0"/>
      <w:marTop w:val="0"/>
      <w:marBottom w:val="0"/>
      <w:divBdr>
        <w:top w:val="none" w:sz="0" w:space="0" w:color="auto"/>
        <w:left w:val="none" w:sz="0" w:space="0" w:color="auto"/>
        <w:bottom w:val="none" w:sz="0" w:space="0" w:color="auto"/>
        <w:right w:val="none" w:sz="0" w:space="0" w:color="auto"/>
      </w:divBdr>
    </w:div>
    <w:div w:id="804195698">
      <w:bodyDiv w:val="1"/>
      <w:marLeft w:val="0"/>
      <w:marRight w:val="0"/>
      <w:marTop w:val="0"/>
      <w:marBottom w:val="0"/>
      <w:divBdr>
        <w:top w:val="none" w:sz="0" w:space="0" w:color="auto"/>
        <w:left w:val="none" w:sz="0" w:space="0" w:color="auto"/>
        <w:bottom w:val="none" w:sz="0" w:space="0" w:color="auto"/>
        <w:right w:val="none" w:sz="0" w:space="0" w:color="auto"/>
      </w:divBdr>
    </w:div>
    <w:div w:id="805927877">
      <w:bodyDiv w:val="1"/>
      <w:marLeft w:val="0"/>
      <w:marRight w:val="0"/>
      <w:marTop w:val="0"/>
      <w:marBottom w:val="0"/>
      <w:divBdr>
        <w:top w:val="none" w:sz="0" w:space="0" w:color="auto"/>
        <w:left w:val="none" w:sz="0" w:space="0" w:color="auto"/>
        <w:bottom w:val="none" w:sz="0" w:space="0" w:color="auto"/>
        <w:right w:val="none" w:sz="0" w:space="0" w:color="auto"/>
      </w:divBdr>
    </w:div>
    <w:div w:id="806511752">
      <w:bodyDiv w:val="1"/>
      <w:marLeft w:val="0"/>
      <w:marRight w:val="0"/>
      <w:marTop w:val="0"/>
      <w:marBottom w:val="0"/>
      <w:divBdr>
        <w:top w:val="none" w:sz="0" w:space="0" w:color="auto"/>
        <w:left w:val="none" w:sz="0" w:space="0" w:color="auto"/>
        <w:bottom w:val="none" w:sz="0" w:space="0" w:color="auto"/>
        <w:right w:val="none" w:sz="0" w:space="0" w:color="auto"/>
      </w:divBdr>
    </w:div>
    <w:div w:id="807818792">
      <w:bodyDiv w:val="1"/>
      <w:marLeft w:val="0"/>
      <w:marRight w:val="0"/>
      <w:marTop w:val="0"/>
      <w:marBottom w:val="0"/>
      <w:divBdr>
        <w:top w:val="none" w:sz="0" w:space="0" w:color="auto"/>
        <w:left w:val="none" w:sz="0" w:space="0" w:color="auto"/>
        <w:bottom w:val="none" w:sz="0" w:space="0" w:color="auto"/>
        <w:right w:val="none" w:sz="0" w:space="0" w:color="auto"/>
      </w:divBdr>
    </w:div>
    <w:div w:id="808481047">
      <w:bodyDiv w:val="1"/>
      <w:marLeft w:val="0"/>
      <w:marRight w:val="0"/>
      <w:marTop w:val="0"/>
      <w:marBottom w:val="0"/>
      <w:divBdr>
        <w:top w:val="none" w:sz="0" w:space="0" w:color="auto"/>
        <w:left w:val="none" w:sz="0" w:space="0" w:color="auto"/>
        <w:bottom w:val="none" w:sz="0" w:space="0" w:color="auto"/>
        <w:right w:val="none" w:sz="0" w:space="0" w:color="auto"/>
      </w:divBdr>
    </w:div>
    <w:div w:id="808523688">
      <w:bodyDiv w:val="1"/>
      <w:marLeft w:val="0"/>
      <w:marRight w:val="0"/>
      <w:marTop w:val="0"/>
      <w:marBottom w:val="0"/>
      <w:divBdr>
        <w:top w:val="none" w:sz="0" w:space="0" w:color="auto"/>
        <w:left w:val="none" w:sz="0" w:space="0" w:color="auto"/>
        <w:bottom w:val="none" w:sz="0" w:space="0" w:color="auto"/>
        <w:right w:val="none" w:sz="0" w:space="0" w:color="auto"/>
      </w:divBdr>
    </w:div>
    <w:div w:id="810444590">
      <w:bodyDiv w:val="1"/>
      <w:marLeft w:val="0"/>
      <w:marRight w:val="0"/>
      <w:marTop w:val="0"/>
      <w:marBottom w:val="0"/>
      <w:divBdr>
        <w:top w:val="none" w:sz="0" w:space="0" w:color="auto"/>
        <w:left w:val="none" w:sz="0" w:space="0" w:color="auto"/>
        <w:bottom w:val="none" w:sz="0" w:space="0" w:color="auto"/>
        <w:right w:val="none" w:sz="0" w:space="0" w:color="auto"/>
      </w:divBdr>
    </w:div>
    <w:div w:id="816148038">
      <w:bodyDiv w:val="1"/>
      <w:marLeft w:val="0"/>
      <w:marRight w:val="0"/>
      <w:marTop w:val="0"/>
      <w:marBottom w:val="0"/>
      <w:divBdr>
        <w:top w:val="none" w:sz="0" w:space="0" w:color="auto"/>
        <w:left w:val="none" w:sz="0" w:space="0" w:color="auto"/>
        <w:bottom w:val="none" w:sz="0" w:space="0" w:color="auto"/>
        <w:right w:val="none" w:sz="0" w:space="0" w:color="auto"/>
      </w:divBdr>
    </w:div>
    <w:div w:id="816801979">
      <w:bodyDiv w:val="1"/>
      <w:marLeft w:val="0"/>
      <w:marRight w:val="0"/>
      <w:marTop w:val="0"/>
      <w:marBottom w:val="0"/>
      <w:divBdr>
        <w:top w:val="none" w:sz="0" w:space="0" w:color="auto"/>
        <w:left w:val="none" w:sz="0" w:space="0" w:color="auto"/>
        <w:bottom w:val="none" w:sz="0" w:space="0" w:color="auto"/>
        <w:right w:val="none" w:sz="0" w:space="0" w:color="auto"/>
      </w:divBdr>
    </w:div>
    <w:div w:id="820661731">
      <w:bodyDiv w:val="1"/>
      <w:marLeft w:val="0"/>
      <w:marRight w:val="0"/>
      <w:marTop w:val="0"/>
      <w:marBottom w:val="0"/>
      <w:divBdr>
        <w:top w:val="none" w:sz="0" w:space="0" w:color="auto"/>
        <w:left w:val="none" w:sz="0" w:space="0" w:color="auto"/>
        <w:bottom w:val="none" w:sz="0" w:space="0" w:color="auto"/>
        <w:right w:val="none" w:sz="0" w:space="0" w:color="auto"/>
      </w:divBdr>
    </w:div>
    <w:div w:id="822547817">
      <w:bodyDiv w:val="1"/>
      <w:marLeft w:val="0"/>
      <w:marRight w:val="0"/>
      <w:marTop w:val="0"/>
      <w:marBottom w:val="0"/>
      <w:divBdr>
        <w:top w:val="none" w:sz="0" w:space="0" w:color="auto"/>
        <w:left w:val="none" w:sz="0" w:space="0" w:color="auto"/>
        <w:bottom w:val="none" w:sz="0" w:space="0" w:color="auto"/>
        <w:right w:val="none" w:sz="0" w:space="0" w:color="auto"/>
      </w:divBdr>
    </w:div>
    <w:div w:id="823745266">
      <w:bodyDiv w:val="1"/>
      <w:marLeft w:val="0"/>
      <w:marRight w:val="0"/>
      <w:marTop w:val="0"/>
      <w:marBottom w:val="0"/>
      <w:divBdr>
        <w:top w:val="none" w:sz="0" w:space="0" w:color="auto"/>
        <w:left w:val="none" w:sz="0" w:space="0" w:color="auto"/>
        <w:bottom w:val="none" w:sz="0" w:space="0" w:color="auto"/>
        <w:right w:val="none" w:sz="0" w:space="0" w:color="auto"/>
      </w:divBdr>
    </w:div>
    <w:div w:id="824081987">
      <w:bodyDiv w:val="1"/>
      <w:marLeft w:val="0"/>
      <w:marRight w:val="0"/>
      <w:marTop w:val="0"/>
      <w:marBottom w:val="0"/>
      <w:divBdr>
        <w:top w:val="none" w:sz="0" w:space="0" w:color="auto"/>
        <w:left w:val="none" w:sz="0" w:space="0" w:color="auto"/>
        <w:bottom w:val="none" w:sz="0" w:space="0" w:color="auto"/>
        <w:right w:val="none" w:sz="0" w:space="0" w:color="auto"/>
      </w:divBdr>
    </w:div>
    <w:div w:id="825819859">
      <w:bodyDiv w:val="1"/>
      <w:marLeft w:val="0"/>
      <w:marRight w:val="0"/>
      <w:marTop w:val="0"/>
      <w:marBottom w:val="0"/>
      <w:divBdr>
        <w:top w:val="none" w:sz="0" w:space="0" w:color="auto"/>
        <w:left w:val="none" w:sz="0" w:space="0" w:color="auto"/>
        <w:bottom w:val="none" w:sz="0" w:space="0" w:color="auto"/>
        <w:right w:val="none" w:sz="0" w:space="0" w:color="auto"/>
      </w:divBdr>
    </w:div>
    <w:div w:id="827526003">
      <w:bodyDiv w:val="1"/>
      <w:marLeft w:val="0"/>
      <w:marRight w:val="0"/>
      <w:marTop w:val="0"/>
      <w:marBottom w:val="0"/>
      <w:divBdr>
        <w:top w:val="none" w:sz="0" w:space="0" w:color="auto"/>
        <w:left w:val="none" w:sz="0" w:space="0" w:color="auto"/>
        <w:bottom w:val="none" w:sz="0" w:space="0" w:color="auto"/>
        <w:right w:val="none" w:sz="0" w:space="0" w:color="auto"/>
      </w:divBdr>
    </w:div>
    <w:div w:id="828130025">
      <w:bodyDiv w:val="1"/>
      <w:marLeft w:val="0"/>
      <w:marRight w:val="0"/>
      <w:marTop w:val="0"/>
      <w:marBottom w:val="0"/>
      <w:divBdr>
        <w:top w:val="none" w:sz="0" w:space="0" w:color="auto"/>
        <w:left w:val="none" w:sz="0" w:space="0" w:color="auto"/>
        <w:bottom w:val="none" w:sz="0" w:space="0" w:color="auto"/>
        <w:right w:val="none" w:sz="0" w:space="0" w:color="auto"/>
      </w:divBdr>
    </w:div>
    <w:div w:id="833037262">
      <w:bodyDiv w:val="1"/>
      <w:marLeft w:val="0"/>
      <w:marRight w:val="0"/>
      <w:marTop w:val="0"/>
      <w:marBottom w:val="0"/>
      <w:divBdr>
        <w:top w:val="none" w:sz="0" w:space="0" w:color="auto"/>
        <w:left w:val="none" w:sz="0" w:space="0" w:color="auto"/>
        <w:bottom w:val="none" w:sz="0" w:space="0" w:color="auto"/>
        <w:right w:val="none" w:sz="0" w:space="0" w:color="auto"/>
      </w:divBdr>
    </w:div>
    <w:div w:id="834104368">
      <w:bodyDiv w:val="1"/>
      <w:marLeft w:val="0"/>
      <w:marRight w:val="0"/>
      <w:marTop w:val="0"/>
      <w:marBottom w:val="0"/>
      <w:divBdr>
        <w:top w:val="none" w:sz="0" w:space="0" w:color="auto"/>
        <w:left w:val="none" w:sz="0" w:space="0" w:color="auto"/>
        <w:bottom w:val="none" w:sz="0" w:space="0" w:color="auto"/>
        <w:right w:val="none" w:sz="0" w:space="0" w:color="auto"/>
      </w:divBdr>
    </w:div>
    <w:div w:id="834151708">
      <w:bodyDiv w:val="1"/>
      <w:marLeft w:val="0"/>
      <w:marRight w:val="0"/>
      <w:marTop w:val="0"/>
      <w:marBottom w:val="0"/>
      <w:divBdr>
        <w:top w:val="none" w:sz="0" w:space="0" w:color="auto"/>
        <w:left w:val="none" w:sz="0" w:space="0" w:color="auto"/>
        <w:bottom w:val="none" w:sz="0" w:space="0" w:color="auto"/>
        <w:right w:val="none" w:sz="0" w:space="0" w:color="auto"/>
      </w:divBdr>
    </w:div>
    <w:div w:id="834153621">
      <w:bodyDiv w:val="1"/>
      <w:marLeft w:val="0"/>
      <w:marRight w:val="0"/>
      <w:marTop w:val="0"/>
      <w:marBottom w:val="0"/>
      <w:divBdr>
        <w:top w:val="none" w:sz="0" w:space="0" w:color="auto"/>
        <w:left w:val="none" w:sz="0" w:space="0" w:color="auto"/>
        <w:bottom w:val="none" w:sz="0" w:space="0" w:color="auto"/>
        <w:right w:val="none" w:sz="0" w:space="0" w:color="auto"/>
      </w:divBdr>
    </w:div>
    <w:div w:id="834297994">
      <w:bodyDiv w:val="1"/>
      <w:marLeft w:val="0"/>
      <w:marRight w:val="0"/>
      <w:marTop w:val="0"/>
      <w:marBottom w:val="0"/>
      <w:divBdr>
        <w:top w:val="none" w:sz="0" w:space="0" w:color="auto"/>
        <w:left w:val="none" w:sz="0" w:space="0" w:color="auto"/>
        <w:bottom w:val="none" w:sz="0" w:space="0" w:color="auto"/>
        <w:right w:val="none" w:sz="0" w:space="0" w:color="auto"/>
      </w:divBdr>
    </w:div>
    <w:div w:id="839737888">
      <w:bodyDiv w:val="1"/>
      <w:marLeft w:val="0"/>
      <w:marRight w:val="0"/>
      <w:marTop w:val="0"/>
      <w:marBottom w:val="0"/>
      <w:divBdr>
        <w:top w:val="none" w:sz="0" w:space="0" w:color="auto"/>
        <w:left w:val="none" w:sz="0" w:space="0" w:color="auto"/>
        <w:bottom w:val="none" w:sz="0" w:space="0" w:color="auto"/>
        <w:right w:val="none" w:sz="0" w:space="0" w:color="auto"/>
      </w:divBdr>
    </w:div>
    <w:div w:id="841042532">
      <w:bodyDiv w:val="1"/>
      <w:marLeft w:val="0"/>
      <w:marRight w:val="0"/>
      <w:marTop w:val="0"/>
      <w:marBottom w:val="0"/>
      <w:divBdr>
        <w:top w:val="none" w:sz="0" w:space="0" w:color="auto"/>
        <w:left w:val="none" w:sz="0" w:space="0" w:color="auto"/>
        <w:bottom w:val="none" w:sz="0" w:space="0" w:color="auto"/>
        <w:right w:val="none" w:sz="0" w:space="0" w:color="auto"/>
      </w:divBdr>
    </w:div>
    <w:div w:id="841432453">
      <w:bodyDiv w:val="1"/>
      <w:marLeft w:val="0"/>
      <w:marRight w:val="0"/>
      <w:marTop w:val="0"/>
      <w:marBottom w:val="0"/>
      <w:divBdr>
        <w:top w:val="none" w:sz="0" w:space="0" w:color="auto"/>
        <w:left w:val="none" w:sz="0" w:space="0" w:color="auto"/>
        <w:bottom w:val="none" w:sz="0" w:space="0" w:color="auto"/>
        <w:right w:val="none" w:sz="0" w:space="0" w:color="auto"/>
      </w:divBdr>
    </w:div>
    <w:div w:id="842622263">
      <w:bodyDiv w:val="1"/>
      <w:marLeft w:val="0"/>
      <w:marRight w:val="0"/>
      <w:marTop w:val="0"/>
      <w:marBottom w:val="0"/>
      <w:divBdr>
        <w:top w:val="none" w:sz="0" w:space="0" w:color="auto"/>
        <w:left w:val="none" w:sz="0" w:space="0" w:color="auto"/>
        <w:bottom w:val="none" w:sz="0" w:space="0" w:color="auto"/>
        <w:right w:val="none" w:sz="0" w:space="0" w:color="auto"/>
      </w:divBdr>
    </w:div>
    <w:div w:id="845025333">
      <w:bodyDiv w:val="1"/>
      <w:marLeft w:val="0"/>
      <w:marRight w:val="0"/>
      <w:marTop w:val="0"/>
      <w:marBottom w:val="0"/>
      <w:divBdr>
        <w:top w:val="none" w:sz="0" w:space="0" w:color="auto"/>
        <w:left w:val="none" w:sz="0" w:space="0" w:color="auto"/>
        <w:bottom w:val="none" w:sz="0" w:space="0" w:color="auto"/>
        <w:right w:val="none" w:sz="0" w:space="0" w:color="auto"/>
      </w:divBdr>
    </w:div>
    <w:div w:id="850726761">
      <w:bodyDiv w:val="1"/>
      <w:marLeft w:val="0"/>
      <w:marRight w:val="0"/>
      <w:marTop w:val="0"/>
      <w:marBottom w:val="0"/>
      <w:divBdr>
        <w:top w:val="none" w:sz="0" w:space="0" w:color="auto"/>
        <w:left w:val="none" w:sz="0" w:space="0" w:color="auto"/>
        <w:bottom w:val="none" w:sz="0" w:space="0" w:color="auto"/>
        <w:right w:val="none" w:sz="0" w:space="0" w:color="auto"/>
      </w:divBdr>
    </w:div>
    <w:div w:id="851993682">
      <w:bodyDiv w:val="1"/>
      <w:marLeft w:val="0"/>
      <w:marRight w:val="0"/>
      <w:marTop w:val="0"/>
      <w:marBottom w:val="0"/>
      <w:divBdr>
        <w:top w:val="none" w:sz="0" w:space="0" w:color="auto"/>
        <w:left w:val="none" w:sz="0" w:space="0" w:color="auto"/>
        <w:bottom w:val="none" w:sz="0" w:space="0" w:color="auto"/>
        <w:right w:val="none" w:sz="0" w:space="0" w:color="auto"/>
      </w:divBdr>
    </w:div>
    <w:div w:id="852033858">
      <w:bodyDiv w:val="1"/>
      <w:marLeft w:val="0"/>
      <w:marRight w:val="0"/>
      <w:marTop w:val="0"/>
      <w:marBottom w:val="0"/>
      <w:divBdr>
        <w:top w:val="none" w:sz="0" w:space="0" w:color="auto"/>
        <w:left w:val="none" w:sz="0" w:space="0" w:color="auto"/>
        <w:bottom w:val="none" w:sz="0" w:space="0" w:color="auto"/>
        <w:right w:val="none" w:sz="0" w:space="0" w:color="auto"/>
      </w:divBdr>
    </w:div>
    <w:div w:id="853037814">
      <w:bodyDiv w:val="1"/>
      <w:marLeft w:val="0"/>
      <w:marRight w:val="0"/>
      <w:marTop w:val="0"/>
      <w:marBottom w:val="0"/>
      <w:divBdr>
        <w:top w:val="none" w:sz="0" w:space="0" w:color="auto"/>
        <w:left w:val="none" w:sz="0" w:space="0" w:color="auto"/>
        <w:bottom w:val="none" w:sz="0" w:space="0" w:color="auto"/>
        <w:right w:val="none" w:sz="0" w:space="0" w:color="auto"/>
      </w:divBdr>
    </w:div>
    <w:div w:id="853763175">
      <w:bodyDiv w:val="1"/>
      <w:marLeft w:val="0"/>
      <w:marRight w:val="0"/>
      <w:marTop w:val="0"/>
      <w:marBottom w:val="0"/>
      <w:divBdr>
        <w:top w:val="none" w:sz="0" w:space="0" w:color="auto"/>
        <w:left w:val="none" w:sz="0" w:space="0" w:color="auto"/>
        <w:bottom w:val="none" w:sz="0" w:space="0" w:color="auto"/>
        <w:right w:val="none" w:sz="0" w:space="0" w:color="auto"/>
      </w:divBdr>
    </w:div>
    <w:div w:id="854920229">
      <w:bodyDiv w:val="1"/>
      <w:marLeft w:val="0"/>
      <w:marRight w:val="0"/>
      <w:marTop w:val="0"/>
      <w:marBottom w:val="0"/>
      <w:divBdr>
        <w:top w:val="none" w:sz="0" w:space="0" w:color="auto"/>
        <w:left w:val="none" w:sz="0" w:space="0" w:color="auto"/>
        <w:bottom w:val="none" w:sz="0" w:space="0" w:color="auto"/>
        <w:right w:val="none" w:sz="0" w:space="0" w:color="auto"/>
      </w:divBdr>
    </w:div>
    <w:div w:id="855146344">
      <w:bodyDiv w:val="1"/>
      <w:marLeft w:val="0"/>
      <w:marRight w:val="0"/>
      <w:marTop w:val="0"/>
      <w:marBottom w:val="0"/>
      <w:divBdr>
        <w:top w:val="none" w:sz="0" w:space="0" w:color="auto"/>
        <w:left w:val="none" w:sz="0" w:space="0" w:color="auto"/>
        <w:bottom w:val="none" w:sz="0" w:space="0" w:color="auto"/>
        <w:right w:val="none" w:sz="0" w:space="0" w:color="auto"/>
      </w:divBdr>
    </w:div>
    <w:div w:id="857037464">
      <w:bodyDiv w:val="1"/>
      <w:marLeft w:val="0"/>
      <w:marRight w:val="0"/>
      <w:marTop w:val="0"/>
      <w:marBottom w:val="0"/>
      <w:divBdr>
        <w:top w:val="none" w:sz="0" w:space="0" w:color="auto"/>
        <w:left w:val="none" w:sz="0" w:space="0" w:color="auto"/>
        <w:bottom w:val="none" w:sz="0" w:space="0" w:color="auto"/>
        <w:right w:val="none" w:sz="0" w:space="0" w:color="auto"/>
      </w:divBdr>
    </w:div>
    <w:div w:id="857622910">
      <w:bodyDiv w:val="1"/>
      <w:marLeft w:val="0"/>
      <w:marRight w:val="0"/>
      <w:marTop w:val="0"/>
      <w:marBottom w:val="0"/>
      <w:divBdr>
        <w:top w:val="none" w:sz="0" w:space="0" w:color="auto"/>
        <w:left w:val="none" w:sz="0" w:space="0" w:color="auto"/>
        <w:bottom w:val="none" w:sz="0" w:space="0" w:color="auto"/>
        <w:right w:val="none" w:sz="0" w:space="0" w:color="auto"/>
      </w:divBdr>
    </w:div>
    <w:div w:id="863325802">
      <w:bodyDiv w:val="1"/>
      <w:marLeft w:val="0"/>
      <w:marRight w:val="0"/>
      <w:marTop w:val="0"/>
      <w:marBottom w:val="0"/>
      <w:divBdr>
        <w:top w:val="none" w:sz="0" w:space="0" w:color="auto"/>
        <w:left w:val="none" w:sz="0" w:space="0" w:color="auto"/>
        <w:bottom w:val="none" w:sz="0" w:space="0" w:color="auto"/>
        <w:right w:val="none" w:sz="0" w:space="0" w:color="auto"/>
      </w:divBdr>
    </w:div>
    <w:div w:id="863861020">
      <w:bodyDiv w:val="1"/>
      <w:marLeft w:val="0"/>
      <w:marRight w:val="0"/>
      <w:marTop w:val="0"/>
      <w:marBottom w:val="0"/>
      <w:divBdr>
        <w:top w:val="none" w:sz="0" w:space="0" w:color="auto"/>
        <w:left w:val="none" w:sz="0" w:space="0" w:color="auto"/>
        <w:bottom w:val="none" w:sz="0" w:space="0" w:color="auto"/>
        <w:right w:val="none" w:sz="0" w:space="0" w:color="auto"/>
      </w:divBdr>
    </w:div>
    <w:div w:id="864513345">
      <w:bodyDiv w:val="1"/>
      <w:marLeft w:val="0"/>
      <w:marRight w:val="0"/>
      <w:marTop w:val="0"/>
      <w:marBottom w:val="0"/>
      <w:divBdr>
        <w:top w:val="none" w:sz="0" w:space="0" w:color="auto"/>
        <w:left w:val="none" w:sz="0" w:space="0" w:color="auto"/>
        <w:bottom w:val="none" w:sz="0" w:space="0" w:color="auto"/>
        <w:right w:val="none" w:sz="0" w:space="0" w:color="auto"/>
      </w:divBdr>
    </w:div>
    <w:div w:id="864709308">
      <w:bodyDiv w:val="1"/>
      <w:marLeft w:val="0"/>
      <w:marRight w:val="0"/>
      <w:marTop w:val="0"/>
      <w:marBottom w:val="0"/>
      <w:divBdr>
        <w:top w:val="none" w:sz="0" w:space="0" w:color="auto"/>
        <w:left w:val="none" w:sz="0" w:space="0" w:color="auto"/>
        <w:bottom w:val="none" w:sz="0" w:space="0" w:color="auto"/>
        <w:right w:val="none" w:sz="0" w:space="0" w:color="auto"/>
      </w:divBdr>
    </w:div>
    <w:div w:id="865142045">
      <w:bodyDiv w:val="1"/>
      <w:marLeft w:val="0"/>
      <w:marRight w:val="0"/>
      <w:marTop w:val="0"/>
      <w:marBottom w:val="0"/>
      <w:divBdr>
        <w:top w:val="none" w:sz="0" w:space="0" w:color="auto"/>
        <w:left w:val="none" w:sz="0" w:space="0" w:color="auto"/>
        <w:bottom w:val="none" w:sz="0" w:space="0" w:color="auto"/>
        <w:right w:val="none" w:sz="0" w:space="0" w:color="auto"/>
      </w:divBdr>
    </w:div>
    <w:div w:id="865555531">
      <w:bodyDiv w:val="1"/>
      <w:marLeft w:val="0"/>
      <w:marRight w:val="0"/>
      <w:marTop w:val="0"/>
      <w:marBottom w:val="0"/>
      <w:divBdr>
        <w:top w:val="none" w:sz="0" w:space="0" w:color="auto"/>
        <w:left w:val="none" w:sz="0" w:space="0" w:color="auto"/>
        <w:bottom w:val="none" w:sz="0" w:space="0" w:color="auto"/>
        <w:right w:val="none" w:sz="0" w:space="0" w:color="auto"/>
      </w:divBdr>
    </w:div>
    <w:div w:id="866404482">
      <w:bodyDiv w:val="1"/>
      <w:marLeft w:val="0"/>
      <w:marRight w:val="0"/>
      <w:marTop w:val="0"/>
      <w:marBottom w:val="0"/>
      <w:divBdr>
        <w:top w:val="none" w:sz="0" w:space="0" w:color="auto"/>
        <w:left w:val="none" w:sz="0" w:space="0" w:color="auto"/>
        <w:bottom w:val="none" w:sz="0" w:space="0" w:color="auto"/>
        <w:right w:val="none" w:sz="0" w:space="0" w:color="auto"/>
      </w:divBdr>
    </w:div>
    <w:div w:id="867185630">
      <w:bodyDiv w:val="1"/>
      <w:marLeft w:val="0"/>
      <w:marRight w:val="0"/>
      <w:marTop w:val="0"/>
      <w:marBottom w:val="0"/>
      <w:divBdr>
        <w:top w:val="none" w:sz="0" w:space="0" w:color="auto"/>
        <w:left w:val="none" w:sz="0" w:space="0" w:color="auto"/>
        <w:bottom w:val="none" w:sz="0" w:space="0" w:color="auto"/>
        <w:right w:val="none" w:sz="0" w:space="0" w:color="auto"/>
      </w:divBdr>
    </w:div>
    <w:div w:id="867447085">
      <w:bodyDiv w:val="1"/>
      <w:marLeft w:val="0"/>
      <w:marRight w:val="0"/>
      <w:marTop w:val="0"/>
      <w:marBottom w:val="0"/>
      <w:divBdr>
        <w:top w:val="none" w:sz="0" w:space="0" w:color="auto"/>
        <w:left w:val="none" w:sz="0" w:space="0" w:color="auto"/>
        <w:bottom w:val="none" w:sz="0" w:space="0" w:color="auto"/>
        <w:right w:val="none" w:sz="0" w:space="0" w:color="auto"/>
      </w:divBdr>
    </w:div>
    <w:div w:id="870151190">
      <w:bodyDiv w:val="1"/>
      <w:marLeft w:val="0"/>
      <w:marRight w:val="0"/>
      <w:marTop w:val="0"/>
      <w:marBottom w:val="0"/>
      <w:divBdr>
        <w:top w:val="none" w:sz="0" w:space="0" w:color="auto"/>
        <w:left w:val="none" w:sz="0" w:space="0" w:color="auto"/>
        <w:bottom w:val="none" w:sz="0" w:space="0" w:color="auto"/>
        <w:right w:val="none" w:sz="0" w:space="0" w:color="auto"/>
      </w:divBdr>
    </w:div>
    <w:div w:id="872156326">
      <w:bodyDiv w:val="1"/>
      <w:marLeft w:val="0"/>
      <w:marRight w:val="0"/>
      <w:marTop w:val="0"/>
      <w:marBottom w:val="0"/>
      <w:divBdr>
        <w:top w:val="none" w:sz="0" w:space="0" w:color="auto"/>
        <w:left w:val="none" w:sz="0" w:space="0" w:color="auto"/>
        <w:bottom w:val="none" w:sz="0" w:space="0" w:color="auto"/>
        <w:right w:val="none" w:sz="0" w:space="0" w:color="auto"/>
      </w:divBdr>
    </w:div>
    <w:div w:id="873813263">
      <w:bodyDiv w:val="1"/>
      <w:marLeft w:val="0"/>
      <w:marRight w:val="0"/>
      <w:marTop w:val="0"/>
      <w:marBottom w:val="0"/>
      <w:divBdr>
        <w:top w:val="none" w:sz="0" w:space="0" w:color="auto"/>
        <w:left w:val="none" w:sz="0" w:space="0" w:color="auto"/>
        <w:bottom w:val="none" w:sz="0" w:space="0" w:color="auto"/>
        <w:right w:val="none" w:sz="0" w:space="0" w:color="auto"/>
      </w:divBdr>
    </w:div>
    <w:div w:id="875040408">
      <w:bodyDiv w:val="1"/>
      <w:marLeft w:val="0"/>
      <w:marRight w:val="0"/>
      <w:marTop w:val="0"/>
      <w:marBottom w:val="0"/>
      <w:divBdr>
        <w:top w:val="none" w:sz="0" w:space="0" w:color="auto"/>
        <w:left w:val="none" w:sz="0" w:space="0" w:color="auto"/>
        <w:bottom w:val="none" w:sz="0" w:space="0" w:color="auto"/>
        <w:right w:val="none" w:sz="0" w:space="0" w:color="auto"/>
      </w:divBdr>
    </w:div>
    <w:div w:id="876433669">
      <w:bodyDiv w:val="1"/>
      <w:marLeft w:val="0"/>
      <w:marRight w:val="0"/>
      <w:marTop w:val="0"/>
      <w:marBottom w:val="0"/>
      <w:divBdr>
        <w:top w:val="none" w:sz="0" w:space="0" w:color="auto"/>
        <w:left w:val="none" w:sz="0" w:space="0" w:color="auto"/>
        <w:bottom w:val="none" w:sz="0" w:space="0" w:color="auto"/>
        <w:right w:val="none" w:sz="0" w:space="0" w:color="auto"/>
      </w:divBdr>
    </w:div>
    <w:div w:id="876501672">
      <w:bodyDiv w:val="1"/>
      <w:marLeft w:val="0"/>
      <w:marRight w:val="0"/>
      <w:marTop w:val="0"/>
      <w:marBottom w:val="0"/>
      <w:divBdr>
        <w:top w:val="none" w:sz="0" w:space="0" w:color="auto"/>
        <w:left w:val="none" w:sz="0" w:space="0" w:color="auto"/>
        <w:bottom w:val="none" w:sz="0" w:space="0" w:color="auto"/>
        <w:right w:val="none" w:sz="0" w:space="0" w:color="auto"/>
      </w:divBdr>
    </w:div>
    <w:div w:id="877009615">
      <w:bodyDiv w:val="1"/>
      <w:marLeft w:val="0"/>
      <w:marRight w:val="0"/>
      <w:marTop w:val="0"/>
      <w:marBottom w:val="0"/>
      <w:divBdr>
        <w:top w:val="none" w:sz="0" w:space="0" w:color="auto"/>
        <w:left w:val="none" w:sz="0" w:space="0" w:color="auto"/>
        <w:bottom w:val="none" w:sz="0" w:space="0" w:color="auto"/>
        <w:right w:val="none" w:sz="0" w:space="0" w:color="auto"/>
      </w:divBdr>
    </w:div>
    <w:div w:id="878007362">
      <w:bodyDiv w:val="1"/>
      <w:marLeft w:val="0"/>
      <w:marRight w:val="0"/>
      <w:marTop w:val="0"/>
      <w:marBottom w:val="0"/>
      <w:divBdr>
        <w:top w:val="none" w:sz="0" w:space="0" w:color="auto"/>
        <w:left w:val="none" w:sz="0" w:space="0" w:color="auto"/>
        <w:bottom w:val="none" w:sz="0" w:space="0" w:color="auto"/>
        <w:right w:val="none" w:sz="0" w:space="0" w:color="auto"/>
      </w:divBdr>
    </w:div>
    <w:div w:id="878011107">
      <w:bodyDiv w:val="1"/>
      <w:marLeft w:val="0"/>
      <w:marRight w:val="0"/>
      <w:marTop w:val="0"/>
      <w:marBottom w:val="0"/>
      <w:divBdr>
        <w:top w:val="none" w:sz="0" w:space="0" w:color="auto"/>
        <w:left w:val="none" w:sz="0" w:space="0" w:color="auto"/>
        <w:bottom w:val="none" w:sz="0" w:space="0" w:color="auto"/>
        <w:right w:val="none" w:sz="0" w:space="0" w:color="auto"/>
      </w:divBdr>
    </w:div>
    <w:div w:id="879826974">
      <w:bodyDiv w:val="1"/>
      <w:marLeft w:val="0"/>
      <w:marRight w:val="0"/>
      <w:marTop w:val="0"/>
      <w:marBottom w:val="0"/>
      <w:divBdr>
        <w:top w:val="none" w:sz="0" w:space="0" w:color="auto"/>
        <w:left w:val="none" w:sz="0" w:space="0" w:color="auto"/>
        <w:bottom w:val="none" w:sz="0" w:space="0" w:color="auto"/>
        <w:right w:val="none" w:sz="0" w:space="0" w:color="auto"/>
      </w:divBdr>
    </w:div>
    <w:div w:id="885675245">
      <w:bodyDiv w:val="1"/>
      <w:marLeft w:val="0"/>
      <w:marRight w:val="0"/>
      <w:marTop w:val="0"/>
      <w:marBottom w:val="0"/>
      <w:divBdr>
        <w:top w:val="none" w:sz="0" w:space="0" w:color="auto"/>
        <w:left w:val="none" w:sz="0" w:space="0" w:color="auto"/>
        <w:bottom w:val="none" w:sz="0" w:space="0" w:color="auto"/>
        <w:right w:val="none" w:sz="0" w:space="0" w:color="auto"/>
      </w:divBdr>
    </w:div>
    <w:div w:id="885877142">
      <w:bodyDiv w:val="1"/>
      <w:marLeft w:val="0"/>
      <w:marRight w:val="0"/>
      <w:marTop w:val="0"/>
      <w:marBottom w:val="0"/>
      <w:divBdr>
        <w:top w:val="none" w:sz="0" w:space="0" w:color="auto"/>
        <w:left w:val="none" w:sz="0" w:space="0" w:color="auto"/>
        <w:bottom w:val="none" w:sz="0" w:space="0" w:color="auto"/>
        <w:right w:val="none" w:sz="0" w:space="0" w:color="auto"/>
      </w:divBdr>
    </w:div>
    <w:div w:id="886180583">
      <w:bodyDiv w:val="1"/>
      <w:marLeft w:val="0"/>
      <w:marRight w:val="0"/>
      <w:marTop w:val="0"/>
      <w:marBottom w:val="0"/>
      <w:divBdr>
        <w:top w:val="none" w:sz="0" w:space="0" w:color="auto"/>
        <w:left w:val="none" w:sz="0" w:space="0" w:color="auto"/>
        <w:bottom w:val="none" w:sz="0" w:space="0" w:color="auto"/>
        <w:right w:val="none" w:sz="0" w:space="0" w:color="auto"/>
      </w:divBdr>
    </w:div>
    <w:div w:id="886455740">
      <w:bodyDiv w:val="1"/>
      <w:marLeft w:val="0"/>
      <w:marRight w:val="0"/>
      <w:marTop w:val="0"/>
      <w:marBottom w:val="0"/>
      <w:divBdr>
        <w:top w:val="none" w:sz="0" w:space="0" w:color="auto"/>
        <w:left w:val="none" w:sz="0" w:space="0" w:color="auto"/>
        <w:bottom w:val="none" w:sz="0" w:space="0" w:color="auto"/>
        <w:right w:val="none" w:sz="0" w:space="0" w:color="auto"/>
      </w:divBdr>
    </w:div>
    <w:div w:id="886529869">
      <w:bodyDiv w:val="1"/>
      <w:marLeft w:val="0"/>
      <w:marRight w:val="0"/>
      <w:marTop w:val="0"/>
      <w:marBottom w:val="0"/>
      <w:divBdr>
        <w:top w:val="none" w:sz="0" w:space="0" w:color="auto"/>
        <w:left w:val="none" w:sz="0" w:space="0" w:color="auto"/>
        <w:bottom w:val="none" w:sz="0" w:space="0" w:color="auto"/>
        <w:right w:val="none" w:sz="0" w:space="0" w:color="auto"/>
      </w:divBdr>
    </w:div>
    <w:div w:id="886995402">
      <w:bodyDiv w:val="1"/>
      <w:marLeft w:val="0"/>
      <w:marRight w:val="0"/>
      <w:marTop w:val="0"/>
      <w:marBottom w:val="0"/>
      <w:divBdr>
        <w:top w:val="none" w:sz="0" w:space="0" w:color="auto"/>
        <w:left w:val="none" w:sz="0" w:space="0" w:color="auto"/>
        <w:bottom w:val="none" w:sz="0" w:space="0" w:color="auto"/>
        <w:right w:val="none" w:sz="0" w:space="0" w:color="auto"/>
      </w:divBdr>
    </w:div>
    <w:div w:id="887031832">
      <w:bodyDiv w:val="1"/>
      <w:marLeft w:val="0"/>
      <w:marRight w:val="0"/>
      <w:marTop w:val="0"/>
      <w:marBottom w:val="0"/>
      <w:divBdr>
        <w:top w:val="none" w:sz="0" w:space="0" w:color="auto"/>
        <w:left w:val="none" w:sz="0" w:space="0" w:color="auto"/>
        <w:bottom w:val="none" w:sz="0" w:space="0" w:color="auto"/>
        <w:right w:val="none" w:sz="0" w:space="0" w:color="auto"/>
      </w:divBdr>
    </w:div>
    <w:div w:id="889655266">
      <w:bodyDiv w:val="1"/>
      <w:marLeft w:val="0"/>
      <w:marRight w:val="0"/>
      <w:marTop w:val="0"/>
      <w:marBottom w:val="0"/>
      <w:divBdr>
        <w:top w:val="none" w:sz="0" w:space="0" w:color="auto"/>
        <w:left w:val="none" w:sz="0" w:space="0" w:color="auto"/>
        <w:bottom w:val="none" w:sz="0" w:space="0" w:color="auto"/>
        <w:right w:val="none" w:sz="0" w:space="0" w:color="auto"/>
      </w:divBdr>
    </w:div>
    <w:div w:id="889994534">
      <w:bodyDiv w:val="1"/>
      <w:marLeft w:val="0"/>
      <w:marRight w:val="0"/>
      <w:marTop w:val="0"/>
      <w:marBottom w:val="0"/>
      <w:divBdr>
        <w:top w:val="none" w:sz="0" w:space="0" w:color="auto"/>
        <w:left w:val="none" w:sz="0" w:space="0" w:color="auto"/>
        <w:bottom w:val="none" w:sz="0" w:space="0" w:color="auto"/>
        <w:right w:val="none" w:sz="0" w:space="0" w:color="auto"/>
      </w:divBdr>
    </w:div>
    <w:div w:id="891425776">
      <w:bodyDiv w:val="1"/>
      <w:marLeft w:val="0"/>
      <w:marRight w:val="0"/>
      <w:marTop w:val="0"/>
      <w:marBottom w:val="0"/>
      <w:divBdr>
        <w:top w:val="none" w:sz="0" w:space="0" w:color="auto"/>
        <w:left w:val="none" w:sz="0" w:space="0" w:color="auto"/>
        <w:bottom w:val="none" w:sz="0" w:space="0" w:color="auto"/>
        <w:right w:val="none" w:sz="0" w:space="0" w:color="auto"/>
      </w:divBdr>
    </w:div>
    <w:div w:id="892157033">
      <w:bodyDiv w:val="1"/>
      <w:marLeft w:val="0"/>
      <w:marRight w:val="0"/>
      <w:marTop w:val="0"/>
      <w:marBottom w:val="0"/>
      <w:divBdr>
        <w:top w:val="none" w:sz="0" w:space="0" w:color="auto"/>
        <w:left w:val="none" w:sz="0" w:space="0" w:color="auto"/>
        <w:bottom w:val="none" w:sz="0" w:space="0" w:color="auto"/>
        <w:right w:val="none" w:sz="0" w:space="0" w:color="auto"/>
      </w:divBdr>
    </w:div>
    <w:div w:id="894269343">
      <w:bodyDiv w:val="1"/>
      <w:marLeft w:val="0"/>
      <w:marRight w:val="0"/>
      <w:marTop w:val="0"/>
      <w:marBottom w:val="0"/>
      <w:divBdr>
        <w:top w:val="none" w:sz="0" w:space="0" w:color="auto"/>
        <w:left w:val="none" w:sz="0" w:space="0" w:color="auto"/>
        <w:bottom w:val="none" w:sz="0" w:space="0" w:color="auto"/>
        <w:right w:val="none" w:sz="0" w:space="0" w:color="auto"/>
      </w:divBdr>
    </w:div>
    <w:div w:id="895092101">
      <w:bodyDiv w:val="1"/>
      <w:marLeft w:val="0"/>
      <w:marRight w:val="0"/>
      <w:marTop w:val="0"/>
      <w:marBottom w:val="0"/>
      <w:divBdr>
        <w:top w:val="none" w:sz="0" w:space="0" w:color="auto"/>
        <w:left w:val="none" w:sz="0" w:space="0" w:color="auto"/>
        <w:bottom w:val="none" w:sz="0" w:space="0" w:color="auto"/>
        <w:right w:val="none" w:sz="0" w:space="0" w:color="auto"/>
      </w:divBdr>
    </w:div>
    <w:div w:id="897782833">
      <w:bodyDiv w:val="1"/>
      <w:marLeft w:val="0"/>
      <w:marRight w:val="0"/>
      <w:marTop w:val="0"/>
      <w:marBottom w:val="0"/>
      <w:divBdr>
        <w:top w:val="none" w:sz="0" w:space="0" w:color="auto"/>
        <w:left w:val="none" w:sz="0" w:space="0" w:color="auto"/>
        <w:bottom w:val="none" w:sz="0" w:space="0" w:color="auto"/>
        <w:right w:val="none" w:sz="0" w:space="0" w:color="auto"/>
      </w:divBdr>
    </w:div>
    <w:div w:id="898396599">
      <w:bodyDiv w:val="1"/>
      <w:marLeft w:val="0"/>
      <w:marRight w:val="0"/>
      <w:marTop w:val="0"/>
      <w:marBottom w:val="0"/>
      <w:divBdr>
        <w:top w:val="none" w:sz="0" w:space="0" w:color="auto"/>
        <w:left w:val="none" w:sz="0" w:space="0" w:color="auto"/>
        <w:bottom w:val="none" w:sz="0" w:space="0" w:color="auto"/>
        <w:right w:val="none" w:sz="0" w:space="0" w:color="auto"/>
      </w:divBdr>
    </w:div>
    <w:div w:id="899487281">
      <w:bodyDiv w:val="1"/>
      <w:marLeft w:val="0"/>
      <w:marRight w:val="0"/>
      <w:marTop w:val="0"/>
      <w:marBottom w:val="0"/>
      <w:divBdr>
        <w:top w:val="none" w:sz="0" w:space="0" w:color="auto"/>
        <w:left w:val="none" w:sz="0" w:space="0" w:color="auto"/>
        <w:bottom w:val="none" w:sz="0" w:space="0" w:color="auto"/>
        <w:right w:val="none" w:sz="0" w:space="0" w:color="auto"/>
      </w:divBdr>
    </w:div>
    <w:div w:id="902761407">
      <w:bodyDiv w:val="1"/>
      <w:marLeft w:val="0"/>
      <w:marRight w:val="0"/>
      <w:marTop w:val="0"/>
      <w:marBottom w:val="0"/>
      <w:divBdr>
        <w:top w:val="none" w:sz="0" w:space="0" w:color="auto"/>
        <w:left w:val="none" w:sz="0" w:space="0" w:color="auto"/>
        <w:bottom w:val="none" w:sz="0" w:space="0" w:color="auto"/>
        <w:right w:val="none" w:sz="0" w:space="0" w:color="auto"/>
      </w:divBdr>
    </w:div>
    <w:div w:id="902985785">
      <w:bodyDiv w:val="1"/>
      <w:marLeft w:val="0"/>
      <w:marRight w:val="0"/>
      <w:marTop w:val="0"/>
      <w:marBottom w:val="0"/>
      <w:divBdr>
        <w:top w:val="none" w:sz="0" w:space="0" w:color="auto"/>
        <w:left w:val="none" w:sz="0" w:space="0" w:color="auto"/>
        <w:bottom w:val="none" w:sz="0" w:space="0" w:color="auto"/>
        <w:right w:val="none" w:sz="0" w:space="0" w:color="auto"/>
      </w:divBdr>
    </w:div>
    <w:div w:id="904799466">
      <w:bodyDiv w:val="1"/>
      <w:marLeft w:val="0"/>
      <w:marRight w:val="0"/>
      <w:marTop w:val="0"/>
      <w:marBottom w:val="0"/>
      <w:divBdr>
        <w:top w:val="none" w:sz="0" w:space="0" w:color="auto"/>
        <w:left w:val="none" w:sz="0" w:space="0" w:color="auto"/>
        <w:bottom w:val="none" w:sz="0" w:space="0" w:color="auto"/>
        <w:right w:val="none" w:sz="0" w:space="0" w:color="auto"/>
      </w:divBdr>
    </w:div>
    <w:div w:id="904990426">
      <w:bodyDiv w:val="1"/>
      <w:marLeft w:val="0"/>
      <w:marRight w:val="0"/>
      <w:marTop w:val="0"/>
      <w:marBottom w:val="0"/>
      <w:divBdr>
        <w:top w:val="none" w:sz="0" w:space="0" w:color="auto"/>
        <w:left w:val="none" w:sz="0" w:space="0" w:color="auto"/>
        <w:bottom w:val="none" w:sz="0" w:space="0" w:color="auto"/>
        <w:right w:val="none" w:sz="0" w:space="0" w:color="auto"/>
      </w:divBdr>
    </w:div>
    <w:div w:id="905993651">
      <w:bodyDiv w:val="1"/>
      <w:marLeft w:val="0"/>
      <w:marRight w:val="0"/>
      <w:marTop w:val="0"/>
      <w:marBottom w:val="0"/>
      <w:divBdr>
        <w:top w:val="none" w:sz="0" w:space="0" w:color="auto"/>
        <w:left w:val="none" w:sz="0" w:space="0" w:color="auto"/>
        <w:bottom w:val="none" w:sz="0" w:space="0" w:color="auto"/>
        <w:right w:val="none" w:sz="0" w:space="0" w:color="auto"/>
      </w:divBdr>
    </w:div>
    <w:div w:id="907886135">
      <w:bodyDiv w:val="1"/>
      <w:marLeft w:val="0"/>
      <w:marRight w:val="0"/>
      <w:marTop w:val="0"/>
      <w:marBottom w:val="0"/>
      <w:divBdr>
        <w:top w:val="none" w:sz="0" w:space="0" w:color="auto"/>
        <w:left w:val="none" w:sz="0" w:space="0" w:color="auto"/>
        <w:bottom w:val="none" w:sz="0" w:space="0" w:color="auto"/>
        <w:right w:val="none" w:sz="0" w:space="0" w:color="auto"/>
      </w:divBdr>
    </w:div>
    <w:div w:id="908883178">
      <w:bodyDiv w:val="1"/>
      <w:marLeft w:val="0"/>
      <w:marRight w:val="0"/>
      <w:marTop w:val="0"/>
      <w:marBottom w:val="0"/>
      <w:divBdr>
        <w:top w:val="none" w:sz="0" w:space="0" w:color="auto"/>
        <w:left w:val="none" w:sz="0" w:space="0" w:color="auto"/>
        <w:bottom w:val="none" w:sz="0" w:space="0" w:color="auto"/>
        <w:right w:val="none" w:sz="0" w:space="0" w:color="auto"/>
      </w:divBdr>
    </w:div>
    <w:div w:id="909270445">
      <w:bodyDiv w:val="1"/>
      <w:marLeft w:val="0"/>
      <w:marRight w:val="0"/>
      <w:marTop w:val="0"/>
      <w:marBottom w:val="0"/>
      <w:divBdr>
        <w:top w:val="none" w:sz="0" w:space="0" w:color="auto"/>
        <w:left w:val="none" w:sz="0" w:space="0" w:color="auto"/>
        <w:bottom w:val="none" w:sz="0" w:space="0" w:color="auto"/>
        <w:right w:val="none" w:sz="0" w:space="0" w:color="auto"/>
      </w:divBdr>
    </w:div>
    <w:div w:id="912274972">
      <w:bodyDiv w:val="1"/>
      <w:marLeft w:val="0"/>
      <w:marRight w:val="0"/>
      <w:marTop w:val="0"/>
      <w:marBottom w:val="0"/>
      <w:divBdr>
        <w:top w:val="none" w:sz="0" w:space="0" w:color="auto"/>
        <w:left w:val="none" w:sz="0" w:space="0" w:color="auto"/>
        <w:bottom w:val="none" w:sz="0" w:space="0" w:color="auto"/>
        <w:right w:val="none" w:sz="0" w:space="0" w:color="auto"/>
      </w:divBdr>
    </w:div>
    <w:div w:id="913472994">
      <w:bodyDiv w:val="1"/>
      <w:marLeft w:val="0"/>
      <w:marRight w:val="0"/>
      <w:marTop w:val="0"/>
      <w:marBottom w:val="0"/>
      <w:divBdr>
        <w:top w:val="none" w:sz="0" w:space="0" w:color="auto"/>
        <w:left w:val="none" w:sz="0" w:space="0" w:color="auto"/>
        <w:bottom w:val="none" w:sz="0" w:space="0" w:color="auto"/>
        <w:right w:val="none" w:sz="0" w:space="0" w:color="auto"/>
      </w:divBdr>
    </w:div>
    <w:div w:id="913854036">
      <w:bodyDiv w:val="1"/>
      <w:marLeft w:val="0"/>
      <w:marRight w:val="0"/>
      <w:marTop w:val="0"/>
      <w:marBottom w:val="0"/>
      <w:divBdr>
        <w:top w:val="none" w:sz="0" w:space="0" w:color="auto"/>
        <w:left w:val="none" w:sz="0" w:space="0" w:color="auto"/>
        <w:bottom w:val="none" w:sz="0" w:space="0" w:color="auto"/>
        <w:right w:val="none" w:sz="0" w:space="0" w:color="auto"/>
      </w:divBdr>
    </w:div>
    <w:div w:id="914163085">
      <w:bodyDiv w:val="1"/>
      <w:marLeft w:val="0"/>
      <w:marRight w:val="0"/>
      <w:marTop w:val="0"/>
      <w:marBottom w:val="0"/>
      <w:divBdr>
        <w:top w:val="none" w:sz="0" w:space="0" w:color="auto"/>
        <w:left w:val="none" w:sz="0" w:space="0" w:color="auto"/>
        <w:bottom w:val="none" w:sz="0" w:space="0" w:color="auto"/>
        <w:right w:val="none" w:sz="0" w:space="0" w:color="auto"/>
      </w:divBdr>
    </w:div>
    <w:div w:id="915826408">
      <w:bodyDiv w:val="1"/>
      <w:marLeft w:val="0"/>
      <w:marRight w:val="0"/>
      <w:marTop w:val="0"/>
      <w:marBottom w:val="0"/>
      <w:divBdr>
        <w:top w:val="none" w:sz="0" w:space="0" w:color="auto"/>
        <w:left w:val="none" w:sz="0" w:space="0" w:color="auto"/>
        <w:bottom w:val="none" w:sz="0" w:space="0" w:color="auto"/>
        <w:right w:val="none" w:sz="0" w:space="0" w:color="auto"/>
      </w:divBdr>
    </w:div>
    <w:div w:id="917979348">
      <w:bodyDiv w:val="1"/>
      <w:marLeft w:val="0"/>
      <w:marRight w:val="0"/>
      <w:marTop w:val="0"/>
      <w:marBottom w:val="0"/>
      <w:divBdr>
        <w:top w:val="none" w:sz="0" w:space="0" w:color="auto"/>
        <w:left w:val="none" w:sz="0" w:space="0" w:color="auto"/>
        <w:bottom w:val="none" w:sz="0" w:space="0" w:color="auto"/>
        <w:right w:val="none" w:sz="0" w:space="0" w:color="auto"/>
      </w:divBdr>
    </w:div>
    <w:div w:id="919216428">
      <w:bodyDiv w:val="1"/>
      <w:marLeft w:val="0"/>
      <w:marRight w:val="0"/>
      <w:marTop w:val="0"/>
      <w:marBottom w:val="0"/>
      <w:divBdr>
        <w:top w:val="none" w:sz="0" w:space="0" w:color="auto"/>
        <w:left w:val="none" w:sz="0" w:space="0" w:color="auto"/>
        <w:bottom w:val="none" w:sz="0" w:space="0" w:color="auto"/>
        <w:right w:val="none" w:sz="0" w:space="0" w:color="auto"/>
      </w:divBdr>
    </w:div>
    <w:div w:id="919369558">
      <w:bodyDiv w:val="1"/>
      <w:marLeft w:val="0"/>
      <w:marRight w:val="0"/>
      <w:marTop w:val="0"/>
      <w:marBottom w:val="0"/>
      <w:divBdr>
        <w:top w:val="none" w:sz="0" w:space="0" w:color="auto"/>
        <w:left w:val="none" w:sz="0" w:space="0" w:color="auto"/>
        <w:bottom w:val="none" w:sz="0" w:space="0" w:color="auto"/>
        <w:right w:val="none" w:sz="0" w:space="0" w:color="auto"/>
      </w:divBdr>
    </w:div>
    <w:div w:id="919564607">
      <w:bodyDiv w:val="1"/>
      <w:marLeft w:val="0"/>
      <w:marRight w:val="0"/>
      <w:marTop w:val="0"/>
      <w:marBottom w:val="0"/>
      <w:divBdr>
        <w:top w:val="none" w:sz="0" w:space="0" w:color="auto"/>
        <w:left w:val="none" w:sz="0" w:space="0" w:color="auto"/>
        <w:bottom w:val="none" w:sz="0" w:space="0" w:color="auto"/>
        <w:right w:val="none" w:sz="0" w:space="0" w:color="auto"/>
      </w:divBdr>
    </w:div>
    <w:div w:id="923145047">
      <w:bodyDiv w:val="1"/>
      <w:marLeft w:val="0"/>
      <w:marRight w:val="0"/>
      <w:marTop w:val="0"/>
      <w:marBottom w:val="0"/>
      <w:divBdr>
        <w:top w:val="none" w:sz="0" w:space="0" w:color="auto"/>
        <w:left w:val="none" w:sz="0" w:space="0" w:color="auto"/>
        <w:bottom w:val="none" w:sz="0" w:space="0" w:color="auto"/>
        <w:right w:val="none" w:sz="0" w:space="0" w:color="auto"/>
      </w:divBdr>
    </w:div>
    <w:div w:id="924338560">
      <w:bodyDiv w:val="1"/>
      <w:marLeft w:val="0"/>
      <w:marRight w:val="0"/>
      <w:marTop w:val="0"/>
      <w:marBottom w:val="0"/>
      <w:divBdr>
        <w:top w:val="none" w:sz="0" w:space="0" w:color="auto"/>
        <w:left w:val="none" w:sz="0" w:space="0" w:color="auto"/>
        <w:bottom w:val="none" w:sz="0" w:space="0" w:color="auto"/>
        <w:right w:val="none" w:sz="0" w:space="0" w:color="auto"/>
      </w:divBdr>
    </w:div>
    <w:div w:id="925184762">
      <w:bodyDiv w:val="1"/>
      <w:marLeft w:val="0"/>
      <w:marRight w:val="0"/>
      <w:marTop w:val="0"/>
      <w:marBottom w:val="0"/>
      <w:divBdr>
        <w:top w:val="none" w:sz="0" w:space="0" w:color="auto"/>
        <w:left w:val="none" w:sz="0" w:space="0" w:color="auto"/>
        <w:bottom w:val="none" w:sz="0" w:space="0" w:color="auto"/>
        <w:right w:val="none" w:sz="0" w:space="0" w:color="auto"/>
      </w:divBdr>
    </w:div>
    <w:div w:id="926691462">
      <w:bodyDiv w:val="1"/>
      <w:marLeft w:val="0"/>
      <w:marRight w:val="0"/>
      <w:marTop w:val="0"/>
      <w:marBottom w:val="0"/>
      <w:divBdr>
        <w:top w:val="none" w:sz="0" w:space="0" w:color="auto"/>
        <w:left w:val="none" w:sz="0" w:space="0" w:color="auto"/>
        <w:bottom w:val="none" w:sz="0" w:space="0" w:color="auto"/>
        <w:right w:val="none" w:sz="0" w:space="0" w:color="auto"/>
      </w:divBdr>
    </w:div>
    <w:div w:id="927542759">
      <w:bodyDiv w:val="1"/>
      <w:marLeft w:val="0"/>
      <w:marRight w:val="0"/>
      <w:marTop w:val="0"/>
      <w:marBottom w:val="0"/>
      <w:divBdr>
        <w:top w:val="none" w:sz="0" w:space="0" w:color="auto"/>
        <w:left w:val="none" w:sz="0" w:space="0" w:color="auto"/>
        <w:bottom w:val="none" w:sz="0" w:space="0" w:color="auto"/>
        <w:right w:val="none" w:sz="0" w:space="0" w:color="auto"/>
      </w:divBdr>
    </w:div>
    <w:div w:id="929700680">
      <w:bodyDiv w:val="1"/>
      <w:marLeft w:val="0"/>
      <w:marRight w:val="0"/>
      <w:marTop w:val="0"/>
      <w:marBottom w:val="0"/>
      <w:divBdr>
        <w:top w:val="none" w:sz="0" w:space="0" w:color="auto"/>
        <w:left w:val="none" w:sz="0" w:space="0" w:color="auto"/>
        <w:bottom w:val="none" w:sz="0" w:space="0" w:color="auto"/>
        <w:right w:val="none" w:sz="0" w:space="0" w:color="auto"/>
      </w:divBdr>
    </w:div>
    <w:div w:id="931544742">
      <w:bodyDiv w:val="1"/>
      <w:marLeft w:val="0"/>
      <w:marRight w:val="0"/>
      <w:marTop w:val="0"/>
      <w:marBottom w:val="0"/>
      <w:divBdr>
        <w:top w:val="none" w:sz="0" w:space="0" w:color="auto"/>
        <w:left w:val="none" w:sz="0" w:space="0" w:color="auto"/>
        <w:bottom w:val="none" w:sz="0" w:space="0" w:color="auto"/>
        <w:right w:val="none" w:sz="0" w:space="0" w:color="auto"/>
      </w:divBdr>
    </w:div>
    <w:div w:id="935332714">
      <w:bodyDiv w:val="1"/>
      <w:marLeft w:val="0"/>
      <w:marRight w:val="0"/>
      <w:marTop w:val="0"/>
      <w:marBottom w:val="0"/>
      <w:divBdr>
        <w:top w:val="none" w:sz="0" w:space="0" w:color="auto"/>
        <w:left w:val="none" w:sz="0" w:space="0" w:color="auto"/>
        <w:bottom w:val="none" w:sz="0" w:space="0" w:color="auto"/>
        <w:right w:val="none" w:sz="0" w:space="0" w:color="auto"/>
      </w:divBdr>
    </w:div>
    <w:div w:id="938564890">
      <w:bodyDiv w:val="1"/>
      <w:marLeft w:val="0"/>
      <w:marRight w:val="0"/>
      <w:marTop w:val="0"/>
      <w:marBottom w:val="0"/>
      <w:divBdr>
        <w:top w:val="none" w:sz="0" w:space="0" w:color="auto"/>
        <w:left w:val="none" w:sz="0" w:space="0" w:color="auto"/>
        <w:bottom w:val="none" w:sz="0" w:space="0" w:color="auto"/>
        <w:right w:val="none" w:sz="0" w:space="0" w:color="auto"/>
      </w:divBdr>
    </w:div>
    <w:div w:id="939989865">
      <w:bodyDiv w:val="1"/>
      <w:marLeft w:val="0"/>
      <w:marRight w:val="0"/>
      <w:marTop w:val="0"/>
      <w:marBottom w:val="0"/>
      <w:divBdr>
        <w:top w:val="none" w:sz="0" w:space="0" w:color="auto"/>
        <w:left w:val="none" w:sz="0" w:space="0" w:color="auto"/>
        <w:bottom w:val="none" w:sz="0" w:space="0" w:color="auto"/>
        <w:right w:val="none" w:sz="0" w:space="0" w:color="auto"/>
      </w:divBdr>
    </w:div>
    <w:div w:id="943348531">
      <w:bodyDiv w:val="1"/>
      <w:marLeft w:val="0"/>
      <w:marRight w:val="0"/>
      <w:marTop w:val="0"/>
      <w:marBottom w:val="0"/>
      <w:divBdr>
        <w:top w:val="none" w:sz="0" w:space="0" w:color="auto"/>
        <w:left w:val="none" w:sz="0" w:space="0" w:color="auto"/>
        <w:bottom w:val="none" w:sz="0" w:space="0" w:color="auto"/>
        <w:right w:val="none" w:sz="0" w:space="0" w:color="auto"/>
      </w:divBdr>
    </w:div>
    <w:div w:id="943416932">
      <w:bodyDiv w:val="1"/>
      <w:marLeft w:val="0"/>
      <w:marRight w:val="0"/>
      <w:marTop w:val="0"/>
      <w:marBottom w:val="0"/>
      <w:divBdr>
        <w:top w:val="none" w:sz="0" w:space="0" w:color="auto"/>
        <w:left w:val="none" w:sz="0" w:space="0" w:color="auto"/>
        <w:bottom w:val="none" w:sz="0" w:space="0" w:color="auto"/>
        <w:right w:val="none" w:sz="0" w:space="0" w:color="auto"/>
      </w:divBdr>
    </w:div>
    <w:div w:id="945381203">
      <w:bodyDiv w:val="1"/>
      <w:marLeft w:val="0"/>
      <w:marRight w:val="0"/>
      <w:marTop w:val="0"/>
      <w:marBottom w:val="0"/>
      <w:divBdr>
        <w:top w:val="none" w:sz="0" w:space="0" w:color="auto"/>
        <w:left w:val="none" w:sz="0" w:space="0" w:color="auto"/>
        <w:bottom w:val="none" w:sz="0" w:space="0" w:color="auto"/>
        <w:right w:val="none" w:sz="0" w:space="0" w:color="auto"/>
      </w:divBdr>
    </w:div>
    <w:div w:id="945698309">
      <w:bodyDiv w:val="1"/>
      <w:marLeft w:val="0"/>
      <w:marRight w:val="0"/>
      <w:marTop w:val="0"/>
      <w:marBottom w:val="0"/>
      <w:divBdr>
        <w:top w:val="none" w:sz="0" w:space="0" w:color="auto"/>
        <w:left w:val="none" w:sz="0" w:space="0" w:color="auto"/>
        <w:bottom w:val="none" w:sz="0" w:space="0" w:color="auto"/>
        <w:right w:val="none" w:sz="0" w:space="0" w:color="auto"/>
      </w:divBdr>
    </w:div>
    <w:div w:id="946742458">
      <w:bodyDiv w:val="1"/>
      <w:marLeft w:val="0"/>
      <w:marRight w:val="0"/>
      <w:marTop w:val="0"/>
      <w:marBottom w:val="0"/>
      <w:divBdr>
        <w:top w:val="none" w:sz="0" w:space="0" w:color="auto"/>
        <w:left w:val="none" w:sz="0" w:space="0" w:color="auto"/>
        <w:bottom w:val="none" w:sz="0" w:space="0" w:color="auto"/>
        <w:right w:val="none" w:sz="0" w:space="0" w:color="auto"/>
      </w:divBdr>
    </w:div>
    <w:div w:id="948660974">
      <w:bodyDiv w:val="1"/>
      <w:marLeft w:val="0"/>
      <w:marRight w:val="0"/>
      <w:marTop w:val="0"/>
      <w:marBottom w:val="0"/>
      <w:divBdr>
        <w:top w:val="none" w:sz="0" w:space="0" w:color="auto"/>
        <w:left w:val="none" w:sz="0" w:space="0" w:color="auto"/>
        <w:bottom w:val="none" w:sz="0" w:space="0" w:color="auto"/>
        <w:right w:val="none" w:sz="0" w:space="0" w:color="auto"/>
      </w:divBdr>
    </w:div>
    <w:div w:id="951667267">
      <w:bodyDiv w:val="1"/>
      <w:marLeft w:val="0"/>
      <w:marRight w:val="0"/>
      <w:marTop w:val="0"/>
      <w:marBottom w:val="0"/>
      <w:divBdr>
        <w:top w:val="none" w:sz="0" w:space="0" w:color="auto"/>
        <w:left w:val="none" w:sz="0" w:space="0" w:color="auto"/>
        <w:bottom w:val="none" w:sz="0" w:space="0" w:color="auto"/>
        <w:right w:val="none" w:sz="0" w:space="0" w:color="auto"/>
      </w:divBdr>
    </w:div>
    <w:div w:id="954629782">
      <w:bodyDiv w:val="1"/>
      <w:marLeft w:val="0"/>
      <w:marRight w:val="0"/>
      <w:marTop w:val="0"/>
      <w:marBottom w:val="0"/>
      <w:divBdr>
        <w:top w:val="none" w:sz="0" w:space="0" w:color="auto"/>
        <w:left w:val="none" w:sz="0" w:space="0" w:color="auto"/>
        <w:bottom w:val="none" w:sz="0" w:space="0" w:color="auto"/>
        <w:right w:val="none" w:sz="0" w:space="0" w:color="auto"/>
      </w:divBdr>
    </w:div>
    <w:div w:id="954673472">
      <w:bodyDiv w:val="1"/>
      <w:marLeft w:val="0"/>
      <w:marRight w:val="0"/>
      <w:marTop w:val="0"/>
      <w:marBottom w:val="0"/>
      <w:divBdr>
        <w:top w:val="none" w:sz="0" w:space="0" w:color="auto"/>
        <w:left w:val="none" w:sz="0" w:space="0" w:color="auto"/>
        <w:bottom w:val="none" w:sz="0" w:space="0" w:color="auto"/>
        <w:right w:val="none" w:sz="0" w:space="0" w:color="auto"/>
      </w:divBdr>
    </w:div>
    <w:div w:id="956567500">
      <w:bodyDiv w:val="1"/>
      <w:marLeft w:val="0"/>
      <w:marRight w:val="0"/>
      <w:marTop w:val="0"/>
      <w:marBottom w:val="0"/>
      <w:divBdr>
        <w:top w:val="none" w:sz="0" w:space="0" w:color="auto"/>
        <w:left w:val="none" w:sz="0" w:space="0" w:color="auto"/>
        <w:bottom w:val="none" w:sz="0" w:space="0" w:color="auto"/>
        <w:right w:val="none" w:sz="0" w:space="0" w:color="auto"/>
      </w:divBdr>
    </w:div>
    <w:div w:id="959803058">
      <w:bodyDiv w:val="1"/>
      <w:marLeft w:val="0"/>
      <w:marRight w:val="0"/>
      <w:marTop w:val="0"/>
      <w:marBottom w:val="0"/>
      <w:divBdr>
        <w:top w:val="none" w:sz="0" w:space="0" w:color="auto"/>
        <w:left w:val="none" w:sz="0" w:space="0" w:color="auto"/>
        <w:bottom w:val="none" w:sz="0" w:space="0" w:color="auto"/>
        <w:right w:val="none" w:sz="0" w:space="0" w:color="auto"/>
      </w:divBdr>
    </w:div>
    <w:div w:id="963971729">
      <w:bodyDiv w:val="1"/>
      <w:marLeft w:val="0"/>
      <w:marRight w:val="0"/>
      <w:marTop w:val="0"/>
      <w:marBottom w:val="0"/>
      <w:divBdr>
        <w:top w:val="none" w:sz="0" w:space="0" w:color="auto"/>
        <w:left w:val="none" w:sz="0" w:space="0" w:color="auto"/>
        <w:bottom w:val="none" w:sz="0" w:space="0" w:color="auto"/>
        <w:right w:val="none" w:sz="0" w:space="0" w:color="auto"/>
      </w:divBdr>
    </w:div>
    <w:div w:id="963999269">
      <w:bodyDiv w:val="1"/>
      <w:marLeft w:val="0"/>
      <w:marRight w:val="0"/>
      <w:marTop w:val="0"/>
      <w:marBottom w:val="0"/>
      <w:divBdr>
        <w:top w:val="none" w:sz="0" w:space="0" w:color="auto"/>
        <w:left w:val="none" w:sz="0" w:space="0" w:color="auto"/>
        <w:bottom w:val="none" w:sz="0" w:space="0" w:color="auto"/>
        <w:right w:val="none" w:sz="0" w:space="0" w:color="auto"/>
      </w:divBdr>
    </w:div>
    <w:div w:id="964042729">
      <w:bodyDiv w:val="1"/>
      <w:marLeft w:val="0"/>
      <w:marRight w:val="0"/>
      <w:marTop w:val="0"/>
      <w:marBottom w:val="0"/>
      <w:divBdr>
        <w:top w:val="none" w:sz="0" w:space="0" w:color="auto"/>
        <w:left w:val="none" w:sz="0" w:space="0" w:color="auto"/>
        <w:bottom w:val="none" w:sz="0" w:space="0" w:color="auto"/>
        <w:right w:val="none" w:sz="0" w:space="0" w:color="auto"/>
      </w:divBdr>
    </w:div>
    <w:div w:id="964046092">
      <w:bodyDiv w:val="1"/>
      <w:marLeft w:val="0"/>
      <w:marRight w:val="0"/>
      <w:marTop w:val="0"/>
      <w:marBottom w:val="0"/>
      <w:divBdr>
        <w:top w:val="none" w:sz="0" w:space="0" w:color="auto"/>
        <w:left w:val="none" w:sz="0" w:space="0" w:color="auto"/>
        <w:bottom w:val="none" w:sz="0" w:space="0" w:color="auto"/>
        <w:right w:val="none" w:sz="0" w:space="0" w:color="auto"/>
      </w:divBdr>
    </w:div>
    <w:div w:id="964847130">
      <w:bodyDiv w:val="1"/>
      <w:marLeft w:val="0"/>
      <w:marRight w:val="0"/>
      <w:marTop w:val="0"/>
      <w:marBottom w:val="0"/>
      <w:divBdr>
        <w:top w:val="none" w:sz="0" w:space="0" w:color="auto"/>
        <w:left w:val="none" w:sz="0" w:space="0" w:color="auto"/>
        <w:bottom w:val="none" w:sz="0" w:space="0" w:color="auto"/>
        <w:right w:val="none" w:sz="0" w:space="0" w:color="auto"/>
      </w:divBdr>
    </w:div>
    <w:div w:id="966858918">
      <w:bodyDiv w:val="1"/>
      <w:marLeft w:val="0"/>
      <w:marRight w:val="0"/>
      <w:marTop w:val="0"/>
      <w:marBottom w:val="0"/>
      <w:divBdr>
        <w:top w:val="none" w:sz="0" w:space="0" w:color="auto"/>
        <w:left w:val="none" w:sz="0" w:space="0" w:color="auto"/>
        <w:bottom w:val="none" w:sz="0" w:space="0" w:color="auto"/>
        <w:right w:val="none" w:sz="0" w:space="0" w:color="auto"/>
      </w:divBdr>
    </w:div>
    <w:div w:id="967009447">
      <w:bodyDiv w:val="1"/>
      <w:marLeft w:val="0"/>
      <w:marRight w:val="0"/>
      <w:marTop w:val="0"/>
      <w:marBottom w:val="0"/>
      <w:divBdr>
        <w:top w:val="none" w:sz="0" w:space="0" w:color="auto"/>
        <w:left w:val="none" w:sz="0" w:space="0" w:color="auto"/>
        <w:bottom w:val="none" w:sz="0" w:space="0" w:color="auto"/>
        <w:right w:val="none" w:sz="0" w:space="0" w:color="auto"/>
      </w:divBdr>
    </w:div>
    <w:div w:id="968753165">
      <w:bodyDiv w:val="1"/>
      <w:marLeft w:val="0"/>
      <w:marRight w:val="0"/>
      <w:marTop w:val="0"/>
      <w:marBottom w:val="0"/>
      <w:divBdr>
        <w:top w:val="none" w:sz="0" w:space="0" w:color="auto"/>
        <w:left w:val="none" w:sz="0" w:space="0" w:color="auto"/>
        <w:bottom w:val="none" w:sz="0" w:space="0" w:color="auto"/>
        <w:right w:val="none" w:sz="0" w:space="0" w:color="auto"/>
      </w:divBdr>
    </w:div>
    <w:div w:id="969627146">
      <w:bodyDiv w:val="1"/>
      <w:marLeft w:val="0"/>
      <w:marRight w:val="0"/>
      <w:marTop w:val="0"/>
      <w:marBottom w:val="0"/>
      <w:divBdr>
        <w:top w:val="none" w:sz="0" w:space="0" w:color="auto"/>
        <w:left w:val="none" w:sz="0" w:space="0" w:color="auto"/>
        <w:bottom w:val="none" w:sz="0" w:space="0" w:color="auto"/>
        <w:right w:val="none" w:sz="0" w:space="0" w:color="auto"/>
      </w:divBdr>
    </w:div>
    <w:div w:id="971448580">
      <w:bodyDiv w:val="1"/>
      <w:marLeft w:val="0"/>
      <w:marRight w:val="0"/>
      <w:marTop w:val="0"/>
      <w:marBottom w:val="0"/>
      <w:divBdr>
        <w:top w:val="none" w:sz="0" w:space="0" w:color="auto"/>
        <w:left w:val="none" w:sz="0" w:space="0" w:color="auto"/>
        <w:bottom w:val="none" w:sz="0" w:space="0" w:color="auto"/>
        <w:right w:val="none" w:sz="0" w:space="0" w:color="auto"/>
      </w:divBdr>
    </w:div>
    <w:div w:id="973751149">
      <w:bodyDiv w:val="1"/>
      <w:marLeft w:val="0"/>
      <w:marRight w:val="0"/>
      <w:marTop w:val="0"/>
      <w:marBottom w:val="0"/>
      <w:divBdr>
        <w:top w:val="none" w:sz="0" w:space="0" w:color="auto"/>
        <w:left w:val="none" w:sz="0" w:space="0" w:color="auto"/>
        <w:bottom w:val="none" w:sz="0" w:space="0" w:color="auto"/>
        <w:right w:val="none" w:sz="0" w:space="0" w:color="auto"/>
      </w:divBdr>
    </w:div>
    <w:div w:id="977146268">
      <w:bodyDiv w:val="1"/>
      <w:marLeft w:val="0"/>
      <w:marRight w:val="0"/>
      <w:marTop w:val="0"/>
      <w:marBottom w:val="0"/>
      <w:divBdr>
        <w:top w:val="none" w:sz="0" w:space="0" w:color="auto"/>
        <w:left w:val="none" w:sz="0" w:space="0" w:color="auto"/>
        <w:bottom w:val="none" w:sz="0" w:space="0" w:color="auto"/>
        <w:right w:val="none" w:sz="0" w:space="0" w:color="auto"/>
      </w:divBdr>
    </w:div>
    <w:div w:id="977607700">
      <w:bodyDiv w:val="1"/>
      <w:marLeft w:val="0"/>
      <w:marRight w:val="0"/>
      <w:marTop w:val="0"/>
      <w:marBottom w:val="0"/>
      <w:divBdr>
        <w:top w:val="none" w:sz="0" w:space="0" w:color="auto"/>
        <w:left w:val="none" w:sz="0" w:space="0" w:color="auto"/>
        <w:bottom w:val="none" w:sz="0" w:space="0" w:color="auto"/>
        <w:right w:val="none" w:sz="0" w:space="0" w:color="auto"/>
      </w:divBdr>
    </w:div>
    <w:div w:id="977877720">
      <w:bodyDiv w:val="1"/>
      <w:marLeft w:val="0"/>
      <w:marRight w:val="0"/>
      <w:marTop w:val="0"/>
      <w:marBottom w:val="0"/>
      <w:divBdr>
        <w:top w:val="none" w:sz="0" w:space="0" w:color="auto"/>
        <w:left w:val="none" w:sz="0" w:space="0" w:color="auto"/>
        <w:bottom w:val="none" w:sz="0" w:space="0" w:color="auto"/>
        <w:right w:val="none" w:sz="0" w:space="0" w:color="auto"/>
      </w:divBdr>
    </w:div>
    <w:div w:id="979192653">
      <w:bodyDiv w:val="1"/>
      <w:marLeft w:val="0"/>
      <w:marRight w:val="0"/>
      <w:marTop w:val="0"/>
      <w:marBottom w:val="0"/>
      <w:divBdr>
        <w:top w:val="none" w:sz="0" w:space="0" w:color="auto"/>
        <w:left w:val="none" w:sz="0" w:space="0" w:color="auto"/>
        <w:bottom w:val="none" w:sz="0" w:space="0" w:color="auto"/>
        <w:right w:val="none" w:sz="0" w:space="0" w:color="auto"/>
      </w:divBdr>
    </w:div>
    <w:div w:id="979991743">
      <w:bodyDiv w:val="1"/>
      <w:marLeft w:val="0"/>
      <w:marRight w:val="0"/>
      <w:marTop w:val="0"/>
      <w:marBottom w:val="0"/>
      <w:divBdr>
        <w:top w:val="none" w:sz="0" w:space="0" w:color="auto"/>
        <w:left w:val="none" w:sz="0" w:space="0" w:color="auto"/>
        <w:bottom w:val="none" w:sz="0" w:space="0" w:color="auto"/>
        <w:right w:val="none" w:sz="0" w:space="0" w:color="auto"/>
      </w:divBdr>
    </w:div>
    <w:div w:id="982275667">
      <w:bodyDiv w:val="1"/>
      <w:marLeft w:val="0"/>
      <w:marRight w:val="0"/>
      <w:marTop w:val="0"/>
      <w:marBottom w:val="0"/>
      <w:divBdr>
        <w:top w:val="none" w:sz="0" w:space="0" w:color="auto"/>
        <w:left w:val="none" w:sz="0" w:space="0" w:color="auto"/>
        <w:bottom w:val="none" w:sz="0" w:space="0" w:color="auto"/>
        <w:right w:val="none" w:sz="0" w:space="0" w:color="auto"/>
      </w:divBdr>
    </w:div>
    <w:div w:id="984578143">
      <w:bodyDiv w:val="1"/>
      <w:marLeft w:val="0"/>
      <w:marRight w:val="0"/>
      <w:marTop w:val="0"/>
      <w:marBottom w:val="0"/>
      <w:divBdr>
        <w:top w:val="none" w:sz="0" w:space="0" w:color="auto"/>
        <w:left w:val="none" w:sz="0" w:space="0" w:color="auto"/>
        <w:bottom w:val="none" w:sz="0" w:space="0" w:color="auto"/>
        <w:right w:val="none" w:sz="0" w:space="0" w:color="auto"/>
      </w:divBdr>
    </w:div>
    <w:div w:id="985477644">
      <w:bodyDiv w:val="1"/>
      <w:marLeft w:val="0"/>
      <w:marRight w:val="0"/>
      <w:marTop w:val="0"/>
      <w:marBottom w:val="0"/>
      <w:divBdr>
        <w:top w:val="none" w:sz="0" w:space="0" w:color="auto"/>
        <w:left w:val="none" w:sz="0" w:space="0" w:color="auto"/>
        <w:bottom w:val="none" w:sz="0" w:space="0" w:color="auto"/>
        <w:right w:val="none" w:sz="0" w:space="0" w:color="auto"/>
      </w:divBdr>
    </w:div>
    <w:div w:id="986124774">
      <w:bodyDiv w:val="1"/>
      <w:marLeft w:val="0"/>
      <w:marRight w:val="0"/>
      <w:marTop w:val="0"/>
      <w:marBottom w:val="0"/>
      <w:divBdr>
        <w:top w:val="none" w:sz="0" w:space="0" w:color="auto"/>
        <w:left w:val="none" w:sz="0" w:space="0" w:color="auto"/>
        <w:bottom w:val="none" w:sz="0" w:space="0" w:color="auto"/>
        <w:right w:val="none" w:sz="0" w:space="0" w:color="auto"/>
      </w:divBdr>
    </w:div>
    <w:div w:id="986125765">
      <w:bodyDiv w:val="1"/>
      <w:marLeft w:val="0"/>
      <w:marRight w:val="0"/>
      <w:marTop w:val="0"/>
      <w:marBottom w:val="0"/>
      <w:divBdr>
        <w:top w:val="none" w:sz="0" w:space="0" w:color="auto"/>
        <w:left w:val="none" w:sz="0" w:space="0" w:color="auto"/>
        <w:bottom w:val="none" w:sz="0" w:space="0" w:color="auto"/>
        <w:right w:val="none" w:sz="0" w:space="0" w:color="auto"/>
      </w:divBdr>
    </w:div>
    <w:div w:id="986864240">
      <w:bodyDiv w:val="1"/>
      <w:marLeft w:val="0"/>
      <w:marRight w:val="0"/>
      <w:marTop w:val="0"/>
      <w:marBottom w:val="0"/>
      <w:divBdr>
        <w:top w:val="none" w:sz="0" w:space="0" w:color="auto"/>
        <w:left w:val="none" w:sz="0" w:space="0" w:color="auto"/>
        <w:bottom w:val="none" w:sz="0" w:space="0" w:color="auto"/>
        <w:right w:val="none" w:sz="0" w:space="0" w:color="auto"/>
      </w:divBdr>
    </w:div>
    <w:div w:id="988291730">
      <w:bodyDiv w:val="1"/>
      <w:marLeft w:val="0"/>
      <w:marRight w:val="0"/>
      <w:marTop w:val="0"/>
      <w:marBottom w:val="0"/>
      <w:divBdr>
        <w:top w:val="none" w:sz="0" w:space="0" w:color="auto"/>
        <w:left w:val="none" w:sz="0" w:space="0" w:color="auto"/>
        <w:bottom w:val="none" w:sz="0" w:space="0" w:color="auto"/>
        <w:right w:val="none" w:sz="0" w:space="0" w:color="auto"/>
      </w:divBdr>
    </w:div>
    <w:div w:id="988631903">
      <w:bodyDiv w:val="1"/>
      <w:marLeft w:val="0"/>
      <w:marRight w:val="0"/>
      <w:marTop w:val="0"/>
      <w:marBottom w:val="0"/>
      <w:divBdr>
        <w:top w:val="none" w:sz="0" w:space="0" w:color="auto"/>
        <w:left w:val="none" w:sz="0" w:space="0" w:color="auto"/>
        <w:bottom w:val="none" w:sz="0" w:space="0" w:color="auto"/>
        <w:right w:val="none" w:sz="0" w:space="0" w:color="auto"/>
      </w:divBdr>
    </w:div>
    <w:div w:id="988707611">
      <w:bodyDiv w:val="1"/>
      <w:marLeft w:val="0"/>
      <w:marRight w:val="0"/>
      <w:marTop w:val="0"/>
      <w:marBottom w:val="0"/>
      <w:divBdr>
        <w:top w:val="none" w:sz="0" w:space="0" w:color="auto"/>
        <w:left w:val="none" w:sz="0" w:space="0" w:color="auto"/>
        <w:bottom w:val="none" w:sz="0" w:space="0" w:color="auto"/>
        <w:right w:val="none" w:sz="0" w:space="0" w:color="auto"/>
      </w:divBdr>
    </w:div>
    <w:div w:id="990014810">
      <w:bodyDiv w:val="1"/>
      <w:marLeft w:val="0"/>
      <w:marRight w:val="0"/>
      <w:marTop w:val="0"/>
      <w:marBottom w:val="0"/>
      <w:divBdr>
        <w:top w:val="none" w:sz="0" w:space="0" w:color="auto"/>
        <w:left w:val="none" w:sz="0" w:space="0" w:color="auto"/>
        <w:bottom w:val="none" w:sz="0" w:space="0" w:color="auto"/>
        <w:right w:val="none" w:sz="0" w:space="0" w:color="auto"/>
      </w:divBdr>
    </w:div>
    <w:div w:id="991519454">
      <w:bodyDiv w:val="1"/>
      <w:marLeft w:val="0"/>
      <w:marRight w:val="0"/>
      <w:marTop w:val="0"/>
      <w:marBottom w:val="0"/>
      <w:divBdr>
        <w:top w:val="none" w:sz="0" w:space="0" w:color="auto"/>
        <w:left w:val="none" w:sz="0" w:space="0" w:color="auto"/>
        <w:bottom w:val="none" w:sz="0" w:space="0" w:color="auto"/>
        <w:right w:val="none" w:sz="0" w:space="0" w:color="auto"/>
      </w:divBdr>
    </w:div>
    <w:div w:id="993067026">
      <w:bodyDiv w:val="1"/>
      <w:marLeft w:val="0"/>
      <w:marRight w:val="0"/>
      <w:marTop w:val="0"/>
      <w:marBottom w:val="0"/>
      <w:divBdr>
        <w:top w:val="none" w:sz="0" w:space="0" w:color="auto"/>
        <w:left w:val="none" w:sz="0" w:space="0" w:color="auto"/>
        <w:bottom w:val="none" w:sz="0" w:space="0" w:color="auto"/>
        <w:right w:val="none" w:sz="0" w:space="0" w:color="auto"/>
      </w:divBdr>
    </w:div>
    <w:div w:id="994720365">
      <w:bodyDiv w:val="1"/>
      <w:marLeft w:val="0"/>
      <w:marRight w:val="0"/>
      <w:marTop w:val="0"/>
      <w:marBottom w:val="0"/>
      <w:divBdr>
        <w:top w:val="none" w:sz="0" w:space="0" w:color="auto"/>
        <w:left w:val="none" w:sz="0" w:space="0" w:color="auto"/>
        <w:bottom w:val="none" w:sz="0" w:space="0" w:color="auto"/>
        <w:right w:val="none" w:sz="0" w:space="0" w:color="auto"/>
      </w:divBdr>
    </w:div>
    <w:div w:id="996688351">
      <w:bodyDiv w:val="1"/>
      <w:marLeft w:val="0"/>
      <w:marRight w:val="0"/>
      <w:marTop w:val="0"/>
      <w:marBottom w:val="0"/>
      <w:divBdr>
        <w:top w:val="none" w:sz="0" w:space="0" w:color="auto"/>
        <w:left w:val="none" w:sz="0" w:space="0" w:color="auto"/>
        <w:bottom w:val="none" w:sz="0" w:space="0" w:color="auto"/>
        <w:right w:val="none" w:sz="0" w:space="0" w:color="auto"/>
      </w:divBdr>
    </w:div>
    <w:div w:id="997423817">
      <w:bodyDiv w:val="1"/>
      <w:marLeft w:val="0"/>
      <w:marRight w:val="0"/>
      <w:marTop w:val="0"/>
      <w:marBottom w:val="0"/>
      <w:divBdr>
        <w:top w:val="none" w:sz="0" w:space="0" w:color="auto"/>
        <w:left w:val="none" w:sz="0" w:space="0" w:color="auto"/>
        <w:bottom w:val="none" w:sz="0" w:space="0" w:color="auto"/>
        <w:right w:val="none" w:sz="0" w:space="0" w:color="auto"/>
      </w:divBdr>
    </w:div>
    <w:div w:id="1001783386">
      <w:bodyDiv w:val="1"/>
      <w:marLeft w:val="0"/>
      <w:marRight w:val="0"/>
      <w:marTop w:val="0"/>
      <w:marBottom w:val="0"/>
      <w:divBdr>
        <w:top w:val="none" w:sz="0" w:space="0" w:color="auto"/>
        <w:left w:val="none" w:sz="0" w:space="0" w:color="auto"/>
        <w:bottom w:val="none" w:sz="0" w:space="0" w:color="auto"/>
        <w:right w:val="none" w:sz="0" w:space="0" w:color="auto"/>
      </w:divBdr>
    </w:div>
    <w:div w:id="1003317446">
      <w:bodyDiv w:val="1"/>
      <w:marLeft w:val="0"/>
      <w:marRight w:val="0"/>
      <w:marTop w:val="0"/>
      <w:marBottom w:val="0"/>
      <w:divBdr>
        <w:top w:val="none" w:sz="0" w:space="0" w:color="auto"/>
        <w:left w:val="none" w:sz="0" w:space="0" w:color="auto"/>
        <w:bottom w:val="none" w:sz="0" w:space="0" w:color="auto"/>
        <w:right w:val="none" w:sz="0" w:space="0" w:color="auto"/>
      </w:divBdr>
    </w:div>
    <w:div w:id="1006980195">
      <w:bodyDiv w:val="1"/>
      <w:marLeft w:val="0"/>
      <w:marRight w:val="0"/>
      <w:marTop w:val="0"/>
      <w:marBottom w:val="0"/>
      <w:divBdr>
        <w:top w:val="none" w:sz="0" w:space="0" w:color="auto"/>
        <w:left w:val="none" w:sz="0" w:space="0" w:color="auto"/>
        <w:bottom w:val="none" w:sz="0" w:space="0" w:color="auto"/>
        <w:right w:val="none" w:sz="0" w:space="0" w:color="auto"/>
      </w:divBdr>
    </w:div>
    <w:div w:id="1009067848">
      <w:bodyDiv w:val="1"/>
      <w:marLeft w:val="0"/>
      <w:marRight w:val="0"/>
      <w:marTop w:val="0"/>
      <w:marBottom w:val="0"/>
      <w:divBdr>
        <w:top w:val="none" w:sz="0" w:space="0" w:color="auto"/>
        <w:left w:val="none" w:sz="0" w:space="0" w:color="auto"/>
        <w:bottom w:val="none" w:sz="0" w:space="0" w:color="auto"/>
        <w:right w:val="none" w:sz="0" w:space="0" w:color="auto"/>
      </w:divBdr>
    </w:div>
    <w:div w:id="1010067673">
      <w:bodyDiv w:val="1"/>
      <w:marLeft w:val="0"/>
      <w:marRight w:val="0"/>
      <w:marTop w:val="0"/>
      <w:marBottom w:val="0"/>
      <w:divBdr>
        <w:top w:val="none" w:sz="0" w:space="0" w:color="auto"/>
        <w:left w:val="none" w:sz="0" w:space="0" w:color="auto"/>
        <w:bottom w:val="none" w:sz="0" w:space="0" w:color="auto"/>
        <w:right w:val="none" w:sz="0" w:space="0" w:color="auto"/>
      </w:divBdr>
    </w:div>
    <w:div w:id="1010109010">
      <w:bodyDiv w:val="1"/>
      <w:marLeft w:val="0"/>
      <w:marRight w:val="0"/>
      <w:marTop w:val="0"/>
      <w:marBottom w:val="0"/>
      <w:divBdr>
        <w:top w:val="none" w:sz="0" w:space="0" w:color="auto"/>
        <w:left w:val="none" w:sz="0" w:space="0" w:color="auto"/>
        <w:bottom w:val="none" w:sz="0" w:space="0" w:color="auto"/>
        <w:right w:val="none" w:sz="0" w:space="0" w:color="auto"/>
      </w:divBdr>
    </w:div>
    <w:div w:id="1010597138">
      <w:bodyDiv w:val="1"/>
      <w:marLeft w:val="0"/>
      <w:marRight w:val="0"/>
      <w:marTop w:val="0"/>
      <w:marBottom w:val="0"/>
      <w:divBdr>
        <w:top w:val="none" w:sz="0" w:space="0" w:color="auto"/>
        <w:left w:val="none" w:sz="0" w:space="0" w:color="auto"/>
        <w:bottom w:val="none" w:sz="0" w:space="0" w:color="auto"/>
        <w:right w:val="none" w:sz="0" w:space="0" w:color="auto"/>
      </w:divBdr>
    </w:div>
    <w:div w:id="1010837801">
      <w:bodyDiv w:val="1"/>
      <w:marLeft w:val="0"/>
      <w:marRight w:val="0"/>
      <w:marTop w:val="0"/>
      <w:marBottom w:val="0"/>
      <w:divBdr>
        <w:top w:val="none" w:sz="0" w:space="0" w:color="auto"/>
        <w:left w:val="none" w:sz="0" w:space="0" w:color="auto"/>
        <w:bottom w:val="none" w:sz="0" w:space="0" w:color="auto"/>
        <w:right w:val="none" w:sz="0" w:space="0" w:color="auto"/>
      </w:divBdr>
    </w:div>
    <w:div w:id="1011568681">
      <w:bodyDiv w:val="1"/>
      <w:marLeft w:val="0"/>
      <w:marRight w:val="0"/>
      <w:marTop w:val="0"/>
      <w:marBottom w:val="0"/>
      <w:divBdr>
        <w:top w:val="none" w:sz="0" w:space="0" w:color="auto"/>
        <w:left w:val="none" w:sz="0" w:space="0" w:color="auto"/>
        <w:bottom w:val="none" w:sz="0" w:space="0" w:color="auto"/>
        <w:right w:val="none" w:sz="0" w:space="0" w:color="auto"/>
      </w:divBdr>
    </w:div>
    <w:div w:id="1014377209">
      <w:bodyDiv w:val="1"/>
      <w:marLeft w:val="0"/>
      <w:marRight w:val="0"/>
      <w:marTop w:val="0"/>
      <w:marBottom w:val="0"/>
      <w:divBdr>
        <w:top w:val="none" w:sz="0" w:space="0" w:color="auto"/>
        <w:left w:val="none" w:sz="0" w:space="0" w:color="auto"/>
        <w:bottom w:val="none" w:sz="0" w:space="0" w:color="auto"/>
        <w:right w:val="none" w:sz="0" w:space="0" w:color="auto"/>
      </w:divBdr>
    </w:div>
    <w:div w:id="1016620671">
      <w:bodyDiv w:val="1"/>
      <w:marLeft w:val="0"/>
      <w:marRight w:val="0"/>
      <w:marTop w:val="0"/>
      <w:marBottom w:val="0"/>
      <w:divBdr>
        <w:top w:val="none" w:sz="0" w:space="0" w:color="auto"/>
        <w:left w:val="none" w:sz="0" w:space="0" w:color="auto"/>
        <w:bottom w:val="none" w:sz="0" w:space="0" w:color="auto"/>
        <w:right w:val="none" w:sz="0" w:space="0" w:color="auto"/>
      </w:divBdr>
    </w:div>
    <w:div w:id="1018312403">
      <w:bodyDiv w:val="1"/>
      <w:marLeft w:val="0"/>
      <w:marRight w:val="0"/>
      <w:marTop w:val="0"/>
      <w:marBottom w:val="0"/>
      <w:divBdr>
        <w:top w:val="none" w:sz="0" w:space="0" w:color="auto"/>
        <w:left w:val="none" w:sz="0" w:space="0" w:color="auto"/>
        <w:bottom w:val="none" w:sz="0" w:space="0" w:color="auto"/>
        <w:right w:val="none" w:sz="0" w:space="0" w:color="auto"/>
      </w:divBdr>
    </w:div>
    <w:div w:id="1019232834">
      <w:bodyDiv w:val="1"/>
      <w:marLeft w:val="0"/>
      <w:marRight w:val="0"/>
      <w:marTop w:val="0"/>
      <w:marBottom w:val="0"/>
      <w:divBdr>
        <w:top w:val="none" w:sz="0" w:space="0" w:color="auto"/>
        <w:left w:val="none" w:sz="0" w:space="0" w:color="auto"/>
        <w:bottom w:val="none" w:sz="0" w:space="0" w:color="auto"/>
        <w:right w:val="none" w:sz="0" w:space="0" w:color="auto"/>
      </w:divBdr>
    </w:div>
    <w:div w:id="1019356844">
      <w:bodyDiv w:val="1"/>
      <w:marLeft w:val="0"/>
      <w:marRight w:val="0"/>
      <w:marTop w:val="0"/>
      <w:marBottom w:val="0"/>
      <w:divBdr>
        <w:top w:val="none" w:sz="0" w:space="0" w:color="auto"/>
        <w:left w:val="none" w:sz="0" w:space="0" w:color="auto"/>
        <w:bottom w:val="none" w:sz="0" w:space="0" w:color="auto"/>
        <w:right w:val="none" w:sz="0" w:space="0" w:color="auto"/>
      </w:divBdr>
    </w:div>
    <w:div w:id="1019814932">
      <w:bodyDiv w:val="1"/>
      <w:marLeft w:val="0"/>
      <w:marRight w:val="0"/>
      <w:marTop w:val="0"/>
      <w:marBottom w:val="0"/>
      <w:divBdr>
        <w:top w:val="none" w:sz="0" w:space="0" w:color="auto"/>
        <w:left w:val="none" w:sz="0" w:space="0" w:color="auto"/>
        <w:bottom w:val="none" w:sz="0" w:space="0" w:color="auto"/>
        <w:right w:val="none" w:sz="0" w:space="0" w:color="auto"/>
      </w:divBdr>
    </w:div>
    <w:div w:id="1019816061">
      <w:bodyDiv w:val="1"/>
      <w:marLeft w:val="0"/>
      <w:marRight w:val="0"/>
      <w:marTop w:val="0"/>
      <w:marBottom w:val="0"/>
      <w:divBdr>
        <w:top w:val="none" w:sz="0" w:space="0" w:color="auto"/>
        <w:left w:val="none" w:sz="0" w:space="0" w:color="auto"/>
        <w:bottom w:val="none" w:sz="0" w:space="0" w:color="auto"/>
        <w:right w:val="none" w:sz="0" w:space="0" w:color="auto"/>
      </w:divBdr>
    </w:div>
    <w:div w:id="1021588416">
      <w:bodyDiv w:val="1"/>
      <w:marLeft w:val="0"/>
      <w:marRight w:val="0"/>
      <w:marTop w:val="0"/>
      <w:marBottom w:val="0"/>
      <w:divBdr>
        <w:top w:val="none" w:sz="0" w:space="0" w:color="auto"/>
        <w:left w:val="none" w:sz="0" w:space="0" w:color="auto"/>
        <w:bottom w:val="none" w:sz="0" w:space="0" w:color="auto"/>
        <w:right w:val="none" w:sz="0" w:space="0" w:color="auto"/>
      </w:divBdr>
    </w:div>
    <w:div w:id="1022824765">
      <w:bodyDiv w:val="1"/>
      <w:marLeft w:val="0"/>
      <w:marRight w:val="0"/>
      <w:marTop w:val="0"/>
      <w:marBottom w:val="0"/>
      <w:divBdr>
        <w:top w:val="none" w:sz="0" w:space="0" w:color="auto"/>
        <w:left w:val="none" w:sz="0" w:space="0" w:color="auto"/>
        <w:bottom w:val="none" w:sz="0" w:space="0" w:color="auto"/>
        <w:right w:val="none" w:sz="0" w:space="0" w:color="auto"/>
      </w:divBdr>
    </w:div>
    <w:div w:id="1023360710">
      <w:bodyDiv w:val="1"/>
      <w:marLeft w:val="0"/>
      <w:marRight w:val="0"/>
      <w:marTop w:val="0"/>
      <w:marBottom w:val="0"/>
      <w:divBdr>
        <w:top w:val="none" w:sz="0" w:space="0" w:color="auto"/>
        <w:left w:val="none" w:sz="0" w:space="0" w:color="auto"/>
        <w:bottom w:val="none" w:sz="0" w:space="0" w:color="auto"/>
        <w:right w:val="none" w:sz="0" w:space="0" w:color="auto"/>
      </w:divBdr>
    </w:div>
    <w:div w:id="1023631222">
      <w:bodyDiv w:val="1"/>
      <w:marLeft w:val="0"/>
      <w:marRight w:val="0"/>
      <w:marTop w:val="0"/>
      <w:marBottom w:val="0"/>
      <w:divBdr>
        <w:top w:val="none" w:sz="0" w:space="0" w:color="auto"/>
        <w:left w:val="none" w:sz="0" w:space="0" w:color="auto"/>
        <w:bottom w:val="none" w:sz="0" w:space="0" w:color="auto"/>
        <w:right w:val="none" w:sz="0" w:space="0" w:color="auto"/>
      </w:divBdr>
    </w:div>
    <w:div w:id="1024474625">
      <w:bodyDiv w:val="1"/>
      <w:marLeft w:val="0"/>
      <w:marRight w:val="0"/>
      <w:marTop w:val="0"/>
      <w:marBottom w:val="0"/>
      <w:divBdr>
        <w:top w:val="none" w:sz="0" w:space="0" w:color="auto"/>
        <w:left w:val="none" w:sz="0" w:space="0" w:color="auto"/>
        <w:bottom w:val="none" w:sz="0" w:space="0" w:color="auto"/>
        <w:right w:val="none" w:sz="0" w:space="0" w:color="auto"/>
      </w:divBdr>
    </w:div>
    <w:div w:id="1026565491">
      <w:bodyDiv w:val="1"/>
      <w:marLeft w:val="0"/>
      <w:marRight w:val="0"/>
      <w:marTop w:val="0"/>
      <w:marBottom w:val="0"/>
      <w:divBdr>
        <w:top w:val="none" w:sz="0" w:space="0" w:color="auto"/>
        <w:left w:val="none" w:sz="0" w:space="0" w:color="auto"/>
        <w:bottom w:val="none" w:sz="0" w:space="0" w:color="auto"/>
        <w:right w:val="none" w:sz="0" w:space="0" w:color="auto"/>
      </w:divBdr>
    </w:div>
    <w:div w:id="1027801274">
      <w:bodyDiv w:val="1"/>
      <w:marLeft w:val="0"/>
      <w:marRight w:val="0"/>
      <w:marTop w:val="0"/>
      <w:marBottom w:val="0"/>
      <w:divBdr>
        <w:top w:val="none" w:sz="0" w:space="0" w:color="auto"/>
        <w:left w:val="none" w:sz="0" w:space="0" w:color="auto"/>
        <w:bottom w:val="none" w:sz="0" w:space="0" w:color="auto"/>
        <w:right w:val="none" w:sz="0" w:space="0" w:color="auto"/>
      </w:divBdr>
    </w:div>
    <w:div w:id="1029793489">
      <w:bodyDiv w:val="1"/>
      <w:marLeft w:val="0"/>
      <w:marRight w:val="0"/>
      <w:marTop w:val="0"/>
      <w:marBottom w:val="0"/>
      <w:divBdr>
        <w:top w:val="none" w:sz="0" w:space="0" w:color="auto"/>
        <w:left w:val="none" w:sz="0" w:space="0" w:color="auto"/>
        <w:bottom w:val="none" w:sz="0" w:space="0" w:color="auto"/>
        <w:right w:val="none" w:sz="0" w:space="0" w:color="auto"/>
      </w:divBdr>
    </w:div>
    <w:div w:id="1034692266">
      <w:bodyDiv w:val="1"/>
      <w:marLeft w:val="0"/>
      <w:marRight w:val="0"/>
      <w:marTop w:val="0"/>
      <w:marBottom w:val="0"/>
      <w:divBdr>
        <w:top w:val="none" w:sz="0" w:space="0" w:color="auto"/>
        <w:left w:val="none" w:sz="0" w:space="0" w:color="auto"/>
        <w:bottom w:val="none" w:sz="0" w:space="0" w:color="auto"/>
        <w:right w:val="none" w:sz="0" w:space="0" w:color="auto"/>
      </w:divBdr>
    </w:div>
    <w:div w:id="1035035830">
      <w:bodyDiv w:val="1"/>
      <w:marLeft w:val="0"/>
      <w:marRight w:val="0"/>
      <w:marTop w:val="0"/>
      <w:marBottom w:val="0"/>
      <w:divBdr>
        <w:top w:val="none" w:sz="0" w:space="0" w:color="auto"/>
        <w:left w:val="none" w:sz="0" w:space="0" w:color="auto"/>
        <w:bottom w:val="none" w:sz="0" w:space="0" w:color="auto"/>
        <w:right w:val="none" w:sz="0" w:space="0" w:color="auto"/>
      </w:divBdr>
    </w:div>
    <w:div w:id="1038748349">
      <w:bodyDiv w:val="1"/>
      <w:marLeft w:val="0"/>
      <w:marRight w:val="0"/>
      <w:marTop w:val="0"/>
      <w:marBottom w:val="0"/>
      <w:divBdr>
        <w:top w:val="none" w:sz="0" w:space="0" w:color="auto"/>
        <w:left w:val="none" w:sz="0" w:space="0" w:color="auto"/>
        <w:bottom w:val="none" w:sz="0" w:space="0" w:color="auto"/>
        <w:right w:val="none" w:sz="0" w:space="0" w:color="auto"/>
      </w:divBdr>
    </w:div>
    <w:div w:id="1046100226">
      <w:bodyDiv w:val="1"/>
      <w:marLeft w:val="0"/>
      <w:marRight w:val="0"/>
      <w:marTop w:val="0"/>
      <w:marBottom w:val="0"/>
      <w:divBdr>
        <w:top w:val="none" w:sz="0" w:space="0" w:color="auto"/>
        <w:left w:val="none" w:sz="0" w:space="0" w:color="auto"/>
        <w:bottom w:val="none" w:sz="0" w:space="0" w:color="auto"/>
        <w:right w:val="none" w:sz="0" w:space="0" w:color="auto"/>
      </w:divBdr>
    </w:div>
    <w:div w:id="1046174381">
      <w:bodyDiv w:val="1"/>
      <w:marLeft w:val="0"/>
      <w:marRight w:val="0"/>
      <w:marTop w:val="0"/>
      <w:marBottom w:val="0"/>
      <w:divBdr>
        <w:top w:val="none" w:sz="0" w:space="0" w:color="auto"/>
        <w:left w:val="none" w:sz="0" w:space="0" w:color="auto"/>
        <w:bottom w:val="none" w:sz="0" w:space="0" w:color="auto"/>
        <w:right w:val="none" w:sz="0" w:space="0" w:color="auto"/>
      </w:divBdr>
    </w:div>
    <w:div w:id="1047802485">
      <w:bodyDiv w:val="1"/>
      <w:marLeft w:val="0"/>
      <w:marRight w:val="0"/>
      <w:marTop w:val="0"/>
      <w:marBottom w:val="0"/>
      <w:divBdr>
        <w:top w:val="none" w:sz="0" w:space="0" w:color="auto"/>
        <w:left w:val="none" w:sz="0" w:space="0" w:color="auto"/>
        <w:bottom w:val="none" w:sz="0" w:space="0" w:color="auto"/>
        <w:right w:val="none" w:sz="0" w:space="0" w:color="auto"/>
      </w:divBdr>
    </w:div>
    <w:div w:id="1049184223">
      <w:bodyDiv w:val="1"/>
      <w:marLeft w:val="0"/>
      <w:marRight w:val="0"/>
      <w:marTop w:val="0"/>
      <w:marBottom w:val="0"/>
      <w:divBdr>
        <w:top w:val="none" w:sz="0" w:space="0" w:color="auto"/>
        <w:left w:val="none" w:sz="0" w:space="0" w:color="auto"/>
        <w:bottom w:val="none" w:sz="0" w:space="0" w:color="auto"/>
        <w:right w:val="none" w:sz="0" w:space="0" w:color="auto"/>
      </w:divBdr>
    </w:div>
    <w:div w:id="1049887989">
      <w:bodyDiv w:val="1"/>
      <w:marLeft w:val="0"/>
      <w:marRight w:val="0"/>
      <w:marTop w:val="0"/>
      <w:marBottom w:val="0"/>
      <w:divBdr>
        <w:top w:val="none" w:sz="0" w:space="0" w:color="auto"/>
        <w:left w:val="none" w:sz="0" w:space="0" w:color="auto"/>
        <w:bottom w:val="none" w:sz="0" w:space="0" w:color="auto"/>
        <w:right w:val="none" w:sz="0" w:space="0" w:color="auto"/>
      </w:divBdr>
    </w:div>
    <w:div w:id="1052147034">
      <w:bodyDiv w:val="1"/>
      <w:marLeft w:val="0"/>
      <w:marRight w:val="0"/>
      <w:marTop w:val="0"/>
      <w:marBottom w:val="0"/>
      <w:divBdr>
        <w:top w:val="none" w:sz="0" w:space="0" w:color="auto"/>
        <w:left w:val="none" w:sz="0" w:space="0" w:color="auto"/>
        <w:bottom w:val="none" w:sz="0" w:space="0" w:color="auto"/>
        <w:right w:val="none" w:sz="0" w:space="0" w:color="auto"/>
      </w:divBdr>
    </w:div>
    <w:div w:id="1053239293">
      <w:bodyDiv w:val="1"/>
      <w:marLeft w:val="0"/>
      <w:marRight w:val="0"/>
      <w:marTop w:val="0"/>
      <w:marBottom w:val="0"/>
      <w:divBdr>
        <w:top w:val="none" w:sz="0" w:space="0" w:color="auto"/>
        <w:left w:val="none" w:sz="0" w:space="0" w:color="auto"/>
        <w:bottom w:val="none" w:sz="0" w:space="0" w:color="auto"/>
        <w:right w:val="none" w:sz="0" w:space="0" w:color="auto"/>
      </w:divBdr>
    </w:div>
    <w:div w:id="1054617677">
      <w:bodyDiv w:val="1"/>
      <w:marLeft w:val="0"/>
      <w:marRight w:val="0"/>
      <w:marTop w:val="0"/>
      <w:marBottom w:val="0"/>
      <w:divBdr>
        <w:top w:val="none" w:sz="0" w:space="0" w:color="auto"/>
        <w:left w:val="none" w:sz="0" w:space="0" w:color="auto"/>
        <w:bottom w:val="none" w:sz="0" w:space="0" w:color="auto"/>
        <w:right w:val="none" w:sz="0" w:space="0" w:color="auto"/>
      </w:divBdr>
    </w:div>
    <w:div w:id="1055012271">
      <w:bodyDiv w:val="1"/>
      <w:marLeft w:val="0"/>
      <w:marRight w:val="0"/>
      <w:marTop w:val="0"/>
      <w:marBottom w:val="0"/>
      <w:divBdr>
        <w:top w:val="none" w:sz="0" w:space="0" w:color="auto"/>
        <w:left w:val="none" w:sz="0" w:space="0" w:color="auto"/>
        <w:bottom w:val="none" w:sz="0" w:space="0" w:color="auto"/>
        <w:right w:val="none" w:sz="0" w:space="0" w:color="auto"/>
      </w:divBdr>
    </w:div>
    <w:div w:id="1056511345">
      <w:bodyDiv w:val="1"/>
      <w:marLeft w:val="0"/>
      <w:marRight w:val="0"/>
      <w:marTop w:val="0"/>
      <w:marBottom w:val="0"/>
      <w:divBdr>
        <w:top w:val="none" w:sz="0" w:space="0" w:color="auto"/>
        <w:left w:val="none" w:sz="0" w:space="0" w:color="auto"/>
        <w:bottom w:val="none" w:sz="0" w:space="0" w:color="auto"/>
        <w:right w:val="none" w:sz="0" w:space="0" w:color="auto"/>
      </w:divBdr>
    </w:div>
    <w:div w:id="1057705093">
      <w:bodyDiv w:val="1"/>
      <w:marLeft w:val="0"/>
      <w:marRight w:val="0"/>
      <w:marTop w:val="0"/>
      <w:marBottom w:val="0"/>
      <w:divBdr>
        <w:top w:val="none" w:sz="0" w:space="0" w:color="auto"/>
        <w:left w:val="none" w:sz="0" w:space="0" w:color="auto"/>
        <w:bottom w:val="none" w:sz="0" w:space="0" w:color="auto"/>
        <w:right w:val="none" w:sz="0" w:space="0" w:color="auto"/>
      </w:divBdr>
    </w:div>
    <w:div w:id="1059207489">
      <w:bodyDiv w:val="1"/>
      <w:marLeft w:val="0"/>
      <w:marRight w:val="0"/>
      <w:marTop w:val="0"/>
      <w:marBottom w:val="0"/>
      <w:divBdr>
        <w:top w:val="none" w:sz="0" w:space="0" w:color="auto"/>
        <w:left w:val="none" w:sz="0" w:space="0" w:color="auto"/>
        <w:bottom w:val="none" w:sz="0" w:space="0" w:color="auto"/>
        <w:right w:val="none" w:sz="0" w:space="0" w:color="auto"/>
      </w:divBdr>
    </w:div>
    <w:div w:id="1060523204">
      <w:bodyDiv w:val="1"/>
      <w:marLeft w:val="0"/>
      <w:marRight w:val="0"/>
      <w:marTop w:val="0"/>
      <w:marBottom w:val="0"/>
      <w:divBdr>
        <w:top w:val="none" w:sz="0" w:space="0" w:color="auto"/>
        <w:left w:val="none" w:sz="0" w:space="0" w:color="auto"/>
        <w:bottom w:val="none" w:sz="0" w:space="0" w:color="auto"/>
        <w:right w:val="none" w:sz="0" w:space="0" w:color="auto"/>
      </w:divBdr>
    </w:div>
    <w:div w:id="1060906321">
      <w:bodyDiv w:val="1"/>
      <w:marLeft w:val="0"/>
      <w:marRight w:val="0"/>
      <w:marTop w:val="0"/>
      <w:marBottom w:val="0"/>
      <w:divBdr>
        <w:top w:val="none" w:sz="0" w:space="0" w:color="auto"/>
        <w:left w:val="none" w:sz="0" w:space="0" w:color="auto"/>
        <w:bottom w:val="none" w:sz="0" w:space="0" w:color="auto"/>
        <w:right w:val="none" w:sz="0" w:space="0" w:color="auto"/>
      </w:divBdr>
    </w:div>
    <w:div w:id="1061442878">
      <w:bodyDiv w:val="1"/>
      <w:marLeft w:val="0"/>
      <w:marRight w:val="0"/>
      <w:marTop w:val="0"/>
      <w:marBottom w:val="0"/>
      <w:divBdr>
        <w:top w:val="none" w:sz="0" w:space="0" w:color="auto"/>
        <w:left w:val="none" w:sz="0" w:space="0" w:color="auto"/>
        <w:bottom w:val="none" w:sz="0" w:space="0" w:color="auto"/>
        <w:right w:val="none" w:sz="0" w:space="0" w:color="auto"/>
      </w:divBdr>
    </w:div>
    <w:div w:id="1065378813">
      <w:bodyDiv w:val="1"/>
      <w:marLeft w:val="0"/>
      <w:marRight w:val="0"/>
      <w:marTop w:val="0"/>
      <w:marBottom w:val="0"/>
      <w:divBdr>
        <w:top w:val="none" w:sz="0" w:space="0" w:color="auto"/>
        <w:left w:val="none" w:sz="0" w:space="0" w:color="auto"/>
        <w:bottom w:val="none" w:sz="0" w:space="0" w:color="auto"/>
        <w:right w:val="none" w:sz="0" w:space="0" w:color="auto"/>
      </w:divBdr>
    </w:div>
    <w:div w:id="1065955547">
      <w:bodyDiv w:val="1"/>
      <w:marLeft w:val="0"/>
      <w:marRight w:val="0"/>
      <w:marTop w:val="0"/>
      <w:marBottom w:val="0"/>
      <w:divBdr>
        <w:top w:val="none" w:sz="0" w:space="0" w:color="auto"/>
        <w:left w:val="none" w:sz="0" w:space="0" w:color="auto"/>
        <w:bottom w:val="none" w:sz="0" w:space="0" w:color="auto"/>
        <w:right w:val="none" w:sz="0" w:space="0" w:color="auto"/>
      </w:divBdr>
    </w:div>
    <w:div w:id="1066490209">
      <w:bodyDiv w:val="1"/>
      <w:marLeft w:val="0"/>
      <w:marRight w:val="0"/>
      <w:marTop w:val="0"/>
      <w:marBottom w:val="0"/>
      <w:divBdr>
        <w:top w:val="none" w:sz="0" w:space="0" w:color="auto"/>
        <w:left w:val="none" w:sz="0" w:space="0" w:color="auto"/>
        <w:bottom w:val="none" w:sz="0" w:space="0" w:color="auto"/>
        <w:right w:val="none" w:sz="0" w:space="0" w:color="auto"/>
      </w:divBdr>
    </w:div>
    <w:div w:id="1067268304">
      <w:bodyDiv w:val="1"/>
      <w:marLeft w:val="0"/>
      <w:marRight w:val="0"/>
      <w:marTop w:val="0"/>
      <w:marBottom w:val="0"/>
      <w:divBdr>
        <w:top w:val="none" w:sz="0" w:space="0" w:color="auto"/>
        <w:left w:val="none" w:sz="0" w:space="0" w:color="auto"/>
        <w:bottom w:val="none" w:sz="0" w:space="0" w:color="auto"/>
        <w:right w:val="none" w:sz="0" w:space="0" w:color="auto"/>
      </w:divBdr>
    </w:div>
    <w:div w:id="1068381794">
      <w:bodyDiv w:val="1"/>
      <w:marLeft w:val="0"/>
      <w:marRight w:val="0"/>
      <w:marTop w:val="0"/>
      <w:marBottom w:val="0"/>
      <w:divBdr>
        <w:top w:val="none" w:sz="0" w:space="0" w:color="auto"/>
        <w:left w:val="none" w:sz="0" w:space="0" w:color="auto"/>
        <w:bottom w:val="none" w:sz="0" w:space="0" w:color="auto"/>
        <w:right w:val="none" w:sz="0" w:space="0" w:color="auto"/>
      </w:divBdr>
    </w:div>
    <w:div w:id="1069378158">
      <w:bodyDiv w:val="1"/>
      <w:marLeft w:val="0"/>
      <w:marRight w:val="0"/>
      <w:marTop w:val="0"/>
      <w:marBottom w:val="0"/>
      <w:divBdr>
        <w:top w:val="none" w:sz="0" w:space="0" w:color="auto"/>
        <w:left w:val="none" w:sz="0" w:space="0" w:color="auto"/>
        <w:bottom w:val="none" w:sz="0" w:space="0" w:color="auto"/>
        <w:right w:val="none" w:sz="0" w:space="0" w:color="auto"/>
      </w:divBdr>
    </w:div>
    <w:div w:id="1069689873">
      <w:bodyDiv w:val="1"/>
      <w:marLeft w:val="0"/>
      <w:marRight w:val="0"/>
      <w:marTop w:val="0"/>
      <w:marBottom w:val="0"/>
      <w:divBdr>
        <w:top w:val="none" w:sz="0" w:space="0" w:color="auto"/>
        <w:left w:val="none" w:sz="0" w:space="0" w:color="auto"/>
        <w:bottom w:val="none" w:sz="0" w:space="0" w:color="auto"/>
        <w:right w:val="none" w:sz="0" w:space="0" w:color="auto"/>
      </w:divBdr>
    </w:div>
    <w:div w:id="1074355172">
      <w:bodyDiv w:val="1"/>
      <w:marLeft w:val="0"/>
      <w:marRight w:val="0"/>
      <w:marTop w:val="0"/>
      <w:marBottom w:val="0"/>
      <w:divBdr>
        <w:top w:val="none" w:sz="0" w:space="0" w:color="auto"/>
        <w:left w:val="none" w:sz="0" w:space="0" w:color="auto"/>
        <w:bottom w:val="none" w:sz="0" w:space="0" w:color="auto"/>
        <w:right w:val="none" w:sz="0" w:space="0" w:color="auto"/>
      </w:divBdr>
    </w:div>
    <w:div w:id="1075781448">
      <w:bodyDiv w:val="1"/>
      <w:marLeft w:val="0"/>
      <w:marRight w:val="0"/>
      <w:marTop w:val="0"/>
      <w:marBottom w:val="0"/>
      <w:divBdr>
        <w:top w:val="none" w:sz="0" w:space="0" w:color="auto"/>
        <w:left w:val="none" w:sz="0" w:space="0" w:color="auto"/>
        <w:bottom w:val="none" w:sz="0" w:space="0" w:color="auto"/>
        <w:right w:val="none" w:sz="0" w:space="0" w:color="auto"/>
      </w:divBdr>
    </w:div>
    <w:div w:id="1075977548">
      <w:bodyDiv w:val="1"/>
      <w:marLeft w:val="0"/>
      <w:marRight w:val="0"/>
      <w:marTop w:val="0"/>
      <w:marBottom w:val="0"/>
      <w:divBdr>
        <w:top w:val="none" w:sz="0" w:space="0" w:color="auto"/>
        <w:left w:val="none" w:sz="0" w:space="0" w:color="auto"/>
        <w:bottom w:val="none" w:sz="0" w:space="0" w:color="auto"/>
        <w:right w:val="none" w:sz="0" w:space="0" w:color="auto"/>
      </w:divBdr>
    </w:div>
    <w:div w:id="1077215471">
      <w:bodyDiv w:val="1"/>
      <w:marLeft w:val="0"/>
      <w:marRight w:val="0"/>
      <w:marTop w:val="0"/>
      <w:marBottom w:val="0"/>
      <w:divBdr>
        <w:top w:val="none" w:sz="0" w:space="0" w:color="auto"/>
        <w:left w:val="none" w:sz="0" w:space="0" w:color="auto"/>
        <w:bottom w:val="none" w:sz="0" w:space="0" w:color="auto"/>
        <w:right w:val="none" w:sz="0" w:space="0" w:color="auto"/>
      </w:divBdr>
    </w:div>
    <w:div w:id="1083719045">
      <w:bodyDiv w:val="1"/>
      <w:marLeft w:val="0"/>
      <w:marRight w:val="0"/>
      <w:marTop w:val="0"/>
      <w:marBottom w:val="0"/>
      <w:divBdr>
        <w:top w:val="none" w:sz="0" w:space="0" w:color="auto"/>
        <w:left w:val="none" w:sz="0" w:space="0" w:color="auto"/>
        <w:bottom w:val="none" w:sz="0" w:space="0" w:color="auto"/>
        <w:right w:val="none" w:sz="0" w:space="0" w:color="auto"/>
      </w:divBdr>
    </w:div>
    <w:div w:id="1084646991">
      <w:bodyDiv w:val="1"/>
      <w:marLeft w:val="0"/>
      <w:marRight w:val="0"/>
      <w:marTop w:val="0"/>
      <w:marBottom w:val="0"/>
      <w:divBdr>
        <w:top w:val="none" w:sz="0" w:space="0" w:color="auto"/>
        <w:left w:val="none" w:sz="0" w:space="0" w:color="auto"/>
        <w:bottom w:val="none" w:sz="0" w:space="0" w:color="auto"/>
        <w:right w:val="none" w:sz="0" w:space="0" w:color="auto"/>
      </w:divBdr>
    </w:div>
    <w:div w:id="1085301642">
      <w:bodyDiv w:val="1"/>
      <w:marLeft w:val="0"/>
      <w:marRight w:val="0"/>
      <w:marTop w:val="0"/>
      <w:marBottom w:val="0"/>
      <w:divBdr>
        <w:top w:val="none" w:sz="0" w:space="0" w:color="auto"/>
        <w:left w:val="none" w:sz="0" w:space="0" w:color="auto"/>
        <w:bottom w:val="none" w:sz="0" w:space="0" w:color="auto"/>
        <w:right w:val="none" w:sz="0" w:space="0" w:color="auto"/>
      </w:divBdr>
    </w:div>
    <w:div w:id="1086730020">
      <w:bodyDiv w:val="1"/>
      <w:marLeft w:val="0"/>
      <w:marRight w:val="0"/>
      <w:marTop w:val="0"/>
      <w:marBottom w:val="0"/>
      <w:divBdr>
        <w:top w:val="none" w:sz="0" w:space="0" w:color="auto"/>
        <w:left w:val="none" w:sz="0" w:space="0" w:color="auto"/>
        <w:bottom w:val="none" w:sz="0" w:space="0" w:color="auto"/>
        <w:right w:val="none" w:sz="0" w:space="0" w:color="auto"/>
      </w:divBdr>
    </w:div>
    <w:div w:id="1087266071">
      <w:bodyDiv w:val="1"/>
      <w:marLeft w:val="0"/>
      <w:marRight w:val="0"/>
      <w:marTop w:val="0"/>
      <w:marBottom w:val="0"/>
      <w:divBdr>
        <w:top w:val="none" w:sz="0" w:space="0" w:color="auto"/>
        <w:left w:val="none" w:sz="0" w:space="0" w:color="auto"/>
        <w:bottom w:val="none" w:sz="0" w:space="0" w:color="auto"/>
        <w:right w:val="none" w:sz="0" w:space="0" w:color="auto"/>
      </w:divBdr>
    </w:div>
    <w:div w:id="1090201555">
      <w:bodyDiv w:val="1"/>
      <w:marLeft w:val="0"/>
      <w:marRight w:val="0"/>
      <w:marTop w:val="0"/>
      <w:marBottom w:val="0"/>
      <w:divBdr>
        <w:top w:val="none" w:sz="0" w:space="0" w:color="auto"/>
        <w:left w:val="none" w:sz="0" w:space="0" w:color="auto"/>
        <w:bottom w:val="none" w:sz="0" w:space="0" w:color="auto"/>
        <w:right w:val="none" w:sz="0" w:space="0" w:color="auto"/>
      </w:divBdr>
    </w:div>
    <w:div w:id="1091705386">
      <w:bodyDiv w:val="1"/>
      <w:marLeft w:val="0"/>
      <w:marRight w:val="0"/>
      <w:marTop w:val="0"/>
      <w:marBottom w:val="0"/>
      <w:divBdr>
        <w:top w:val="none" w:sz="0" w:space="0" w:color="auto"/>
        <w:left w:val="none" w:sz="0" w:space="0" w:color="auto"/>
        <w:bottom w:val="none" w:sz="0" w:space="0" w:color="auto"/>
        <w:right w:val="none" w:sz="0" w:space="0" w:color="auto"/>
      </w:divBdr>
    </w:div>
    <w:div w:id="1095204245">
      <w:bodyDiv w:val="1"/>
      <w:marLeft w:val="0"/>
      <w:marRight w:val="0"/>
      <w:marTop w:val="0"/>
      <w:marBottom w:val="0"/>
      <w:divBdr>
        <w:top w:val="none" w:sz="0" w:space="0" w:color="auto"/>
        <w:left w:val="none" w:sz="0" w:space="0" w:color="auto"/>
        <w:bottom w:val="none" w:sz="0" w:space="0" w:color="auto"/>
        <w:right w:val="none" w:sz="0" w:space="0" w:color="auto"/>
      </w:divBdr>
    </w:div>
    <w:div w:id="1095247150">
      <w:bodyDiv w:val="1"/>
      <w:marLeft w:val="0"/>
      <w:marRight w:val="0"/>
      <w:marTop w:val="0"/>
      <w:marBottom w:val="0"/>
      <w:divBdr>
        <w:top w:val="none" w:sz="0" w:space="0" w:color="auto"/>
        <w:left w:val="none" w:sz="0" w:space="0" w:color="auto"/>
        <w:bottom w:val="none" w:sz="0" w:space="0" w:color="auto"/>
        <w:right w:val="none" w:sz="0" w:space="0" w:color="auto"/>
      </w:divBdr>
    </w:div>
    <w:div w:id="1095707619">
      <w:bodyDiv w:val="1"/>
      <w:marLeft w:val="0"/>
      <w:marRight w:val="0"/>
      <w:marTop w:val="0"/>
      <w:marBottom w:val="0"/>
      <w:divBdr>
        <w:top w:val="none" w:sz="0" w:space="0" w:color="auto"/>
        <w:left w:val="none" w:sz="0" w:space="0" w:color="auto"/>
        <w:bottom w:val="none" w:sz="0" w:space="0" w:color="auto"/>
        <w:right w:val="none" w:sz="0" w:space="0" w:color="auto"/>
      </w:divBdr>
    </w:div>
    <w:div w:id="1097335818">
      <w:bodyDiv w:val="1"/>
      <w:marLeft w:val="0"/>
      <w:marRight w:val="0"/>
      <w:marTop w:val="0"/>
      <w:marBottom w:val="0"/>
      <w:divBdr>
        <w:top w:val="none" w:sz="0" w:space="0" w:color="auto"/>
        <w:left w:val="none" w:sz="0" w:space="0" w:color="auto"/>
        <w:bottom w:val="none" w:sz="0" w:space="0" w:color="auto"/>
        <w:right w:val="none" w:sz="0" w:space="0" w:color="auto"/>
      </w:divBdr>
    </w:div>
    <w:div w:id="1099719146">
      <w:bodyDiv w:val="1"/>
      <w:marLeft w:val="0"/>
      <w:marRight w:val="0"/>
      <w:marTop w:val="0"/>
      <w:marBottom w:val="0"/>
      <w:divBdr>
        <w:top w:val="none" w:sz="0" w:space="0" w:color="auto"/>
        <w:left w:val="none" w:sz="0" w:space="0" w:color="auto"/>
        <w:bottom w:val="none" w:sz="0" w:space="0" w:color="auto"/>
        <w:right w:val="none" w:sz="0" w:space="0" w:color="auto"/>
      </w:divBdr>
    </w:div>
    <w:div w:id="1099789765">
      <w:bodyDiv w:val="1"/>
      <w:marLeft w:val="0"/>
      <w:marRight w:val="0"/>
      <w:marTop w:val="0"/>
      <w:marBottom w:val="0"/>
      <w:divBdr>
        <w:top w:val="none" w:sz="0" w:space="0" w:color="auto"/>
        <w:left w:val="none" w:sz="0" w:space="0" w:color="auto"/>
        <w:bottom w:val="none" w:sz="0" w:space="0" w:color="auto"/>
        <w:right w:val="none" w:sz="0" w:space="0" w:color="auto"/>
      </w:divBdr>
    </w:div>
    <w:div w:id="1105658770">
      <w:bodyDiv w:val="1"/>
      <w:marLeft w:val="0"/>
      <w:marRight w:val="0"/>
      <w:marTop w:val="0"/>
      <w:marBottom w:val="0"/>
      <w:divBdr>
        <w:top w:val="none" w:sz="0" w:space="0" w:color="auto"/>
        <w:left w:val="none" w:sz="0" w:space="0" w:color="auto"/>
        <w:bottom w:val="none" w:sz="0" w:space="0" w:color="auto"/>
        <w:right w:val="none" w:sz="0" w:space="0" w:color="auto"/>
      </w:divBdr>
    </w:div>
    <w:div w:id="1107968944">
      <w:bodyDiv w:val="1"/>
      <w:marLeft w:val="0"/>
      <w:marRight w:val="0"/>
      <w:marTop w:val="0"/>
      <w:marBottom w:val="0"/>
      <w:divBdr>
        <w:top w:val="none" w:sz="0" w:space="0" w:color="auto"/>
        <w:left w:val="none" w:sz="0" w:space="0" w:color="auto"/>
        <w:bottom w:val="none" w:sz="0" w:space="0" w:color="auto"/>
        <w:right w:val="none" w:sz="0" w:space="0" w:color="auto"/>
      </w:divBdr>
    </w:div>
    <w:div w:id="1108424695">
      <w:bodyDiv w:val="1"/>
      <w:marLeft w:val="0"/>
      <w:marRight w:val="0"/>
      <w:marTop w:val="0"/>
      <w:marBottom w:val="0"/>
      <w:divBdr>
        <w:top w:val="none" w:sz="0" w:space="0" w:color="auto"/>
        <w:left w:val="none" w:sz="0" w:space="0" w:color="auto"/>
        <w:bottom w:val="none" w:sz="0" w:space="0" w:color="auto"/>
        <w:right w:val="none" w:sz="0" w:space="0" w:color="auto"/>
      </w:divBdr>
    </w:div>
    <w:div w:id="1108505694">
      <w:bodyDiv w:val="1"/>
      <w:marLeft w:val="0"/>
      <w:marRight w:val="0"/>
      <w:marTop w:val="0"/>
      <w:marBottom w:val="0"/>
      <w:divBdr>
        <w:top w:val="none" w:sz="0" w:space="0" w:color="auto"/>
        <w:left w:val="none" w:sz="0" w:space="0" w:color="auto"/>
        <w:bottom w:val="none" w:sz="0" w:space="0" w:color="auto"/>
        <w:right w:val="none" w:sz="0" w:space="0" w:color="auto"/>
      </w:divBdr>
    </w:div>
    <w:div w:id="1108695750">
      <w:bodyDiv w:val="1"/>
      <w:marLeft w:val="0"/>
      <w:marRight w:val="0"/>
      <w:marTop w:val="0"/>
      <w:marBottom w:val="0"/>
      <w:divBdr>
        <w:top w:val="none" w:sz="0" w:space="0" w:color="auto"/>
        <w:left w:val="none" w:sz="0" w:space="0" w:color="auto"/>
        <w:bottom w:val="none" w:sz="0" w:space="0" w:color="auto"/>
        <w:right w:val="none" w:sz="0" w:space="0" w:color="auto"/>
      </w:divBdr>
    </w:div>
    <w:div w:id="1110971330">
      <w:bodyDiv w:val="1"/>
      <w:marLeft w:val="0"/>
      <w:marRight w:val="0"/>
      <w:marTop w:val="0"/>
      <w:marBottom w:val="0"/>
      <w:divBdr>
        <w:top w:val="none" w:sz="0" w:space="0" w:color="auto"/>
        <w:left w:val="none" w:sz="0" w:space="0" w:color="auto"/>
        <w:bottom w:val="none" w:sz="0" w:space="0" w:color="auto"/>
        <w:right w:val="none" w:sz="0" w:space="0" w:color="auto"/>
      </w:divBdr>
    </w:div>
    <w:div w:id="1113598876">
      <w:bodyDiv w:val="1"/>
      <w:marLeft w:val="0"/>
      <w:marRight w:val="0"/>
      <w:marTop w:val="0"/>
      <w:marBottom w:val="0"/>
      <w:divBdr>
        <w:top w:val="none" w:sz="0" w:space="0" w:color="auto"/>
        <w:left w:val="none" w:sz="0" w:space="0" w:color="auto"/>
        <w:bottom w:val="none" w:sz="0" w:space="0" w:color="auto"/>
        <w:right w:val="none" w:sz="0" w:space="0" w:color="auto"/>
      </w:divBdr>
    </w:div>
    <w:div w:id="1114204515">
      <w:bodyDiv w:val="1"/>
      <w:marLeft w:val="0"/>
      <w:marRight w:val="0"/>
      <w:marTop w:val="0"/>
      <w:marBottom w:val="0"/>
      <w:divBdr>
        <w:top w:val="none" w:sz="0" w:space="0" w:color="auto"/>
        <w:left w:val="none" w:sz="0" w:space="0" w:color="auto"/>
        <w:bottom w:val="none" w:sz="0" w:space="0" w:color="auto"/>
        <w:right w:val="none" w:sz="0" w:space="0" w:color="auto"/>
      </w:divBdr>
    </w:div>
    <w:div w:id="1115979409">
      <w:bodyDiv w:val="1"/>
      <w:marLeft w:val="0"/>
      <w:marRight w:val="0"/>
      <w:marTop w:val="0"/>
      <w:marBottom w:val="0"/>
      <w:divBdr>
        <w:top w:val="none" w:sz="0" w:space="0" w:color="auto"/>
        <w:left w:val="none" w:sz="0" w:space="0" w:color="auto"/>
        <w:bottom w:val="none" w:sz="0" w:space="0" w:color="auto"/>
        <w:right w:val="none" w:sz="0" w:space="0" w:color="auto"/>
      </w:divBdr>
    </w:div>
    <w:div w:id="1117019657">
      <w:bodyDiv w:val="1"/>
      <w:marLeft w:val="0"/>
      <w:marRight w:val="0"/>
      <w:marTop w:val="0"/>
      <w:marBottom w:val="0"/>
      <w:divBdr>
        <w:top w:val="none" w:sz="0" w:space="0" w:color="auto"/>
        <w:left w:val="none" w:sz="0" w:space="0" w:color="auto"/>
        <w:bottom w:val="none" w:sz="0" w:space="0" w:color="auto"/>
        <w:right w:val="none" w:sz="0" w:space="0" w:color="auto"/>
      </w:divBdr>
    </w:div>
    <w:div w:id="1123229714">
      <w:bodyDiv w:val="1"/>
      <w:marLeft w:val="0"/>
      <w:marRight w:val="0"/>
      <w:marTop w:val="0"/>
      <w:marBottom w:val="0"/>
      <w:divBdr>
        <w:top w:val="none" w:sz="0" w:space="0" w:color="auto"/>
        <w:left w:val="none" w:sz="0" w:space="0" w:color="auto"/>
        <w:bottom w:val="none" w:sz="0" w:space="0" w:color="auto"/>
        <w:right w:val="none" w:sz="0" w:space="0" w:color="auto"/>
      </w:divBdr>
    </w:div>
    <w:div w:id="1125781159">
      <w:bodyDiv w:val="1"/>
      <w:marLeft w:val="0"/>
      <w:marRight w:val="0"/>
      <w:marTop w:val="0"/>
      <w:marBottom w:val="0"/>
      <w:divBdr>
        <w:top w:val="none" w:sz="0" w:space="0" w:color="auto"/>
        <w:left w:val="none" w:sz="0" w:space="0" w:color="auto"/>
        <w:bottom w:val="none" w:sz="0" w:space="0" w:color="auto"/>
        <w:right w:val="none" w:sz="0" w:space="0" w:color="auto"/>
      </w:divBdr>
    </w:div>
    <w:div w:id="1130780253">
      <w:bodyDiv w:val="1"/>
      <w:marLeft w:val="0"/>
      <w:marRight w:val="0"/>
      <w:marTop w:val="0"/>
      <w:marBottom w:val="0"/>
      <w:divBdr>
        <w:top w:val="none" w:sz="0" w:space="0" w:color="auto"/>
        <w:left w:val="none" w:sz="0" w:space="0" w:color="auto"/>
        <w:bottom w:val="none" w:sz="0" w:space="0" w:color="auto"/>
        <w:right w:val="none" w:sz="0" w:space="0" w:color="auto"/>
      </w:divBdr>
    </w:div>
    <w:div w:id="1132989045">
      <w:bodyDiv w:val="1"/>
      <w:marLeft w:val="0"/>
      <w:marRight w:val="0"/>
      <w:marTop w:val="0"/>
      <w:marBottom w:val="0"/>
      <w:divBdr>
        <w:top w:val="none" w:sz="0" w:space="0" w:color="auto"/>
        <w:left w:val="none" w:sz="0" w:space="0" w:color="auto"/>
        <w:bottom w:val="none" w:sz="0" w:space="0" w:color="auto"/>
        <w:right w:val="none" w:sz="0" w:space="0" w:color="auto"/>
      </w:divBdr>
    </w:div>
    <w:div w:id="1134299499">
      <w:bodyDiv w:val="1"/>
      <w:marLeft w:val="0"/>
      <w:marRight w:val="0"/>
      <w:marTop w:val="0"/>
      <w:marBottom w:val="0"/>
      <w:divBdr>
        <w:top w:val="none" w:sz="0" w:space="0" w:color="auto"/>
        <w:left w:val="none" w:sz="0" w:space="0" w:color="auto"/>
        <w:bottom w:val="none" w:sz="0" w:space="0" w:color="auto"/>
        <w:right w:val="none" w:sz="0" w:space="0" w:color="auto"/>
      </w:divBdr>
    </w:div>
    <w:div w:id="1139029594">
      <w:bodyDiv w:val="1"/>
      <w:marLeft w:val="0"/>
      <w:marRight w:val="0"/>
      <w:marTop w:val="0"/>
      <w:marBottom w:val="0"/>
      <w:divBdr>
        <w:top w:val="none" w:sz="0" w:space="0" w:color="auto"/>
        <w:left w:val="none" w:sz="0" w:space="0" w:color="auto"/>
        <w:bottom w:val="none" w:sz="0" w:space="0" w:color="auto"/>
        <w:right w:val="none" w:sz="0" w:space="0" w:color="auto"/>
      </w:divBdr>
    </w:div>
    <w:div w:id="1143933196">
      <w:bodyDiv w:val="1"/>
      <w:marLeft w:val="0"/>
      <w:marRight w:val="0"/>
      <w:marTop w:val="0"/>
      <w:marBottom w:val="0"/>
      <w:divBdr>
        <w:top w:val="none" w:sz="0" w:space="0" w:color="auto"/>
        <w:left w:val="none" w:sz="0" w:space="0" w:color="auto"/>
        <w:bottom w:val="none" w:sz="0" w:space="0" w:color="auto"/>
        <w:right w:val="none" w:sz="0" w:space="0" w:color="auto"/>
      </w:divBdr>
    </w:div>
    <w:div w:id="1145508648">
      <w:bodyDiv w:val="1"/>
      <w:marLeft w:val="0"/>
      <w:marRight w:val="0"/>
      <w:marTop w:val="0"/>
      <w:marBottom w:val="0"/>
      <w:divBdr>
        <w:top w:val="none" w:sz="0" w:space="0" w:color="auto"/>
        <w:left w:val="none" w:sz="0" w:space="0" w:color="auto"/>
        <w:bottom w:val="none" w:sz="0" w:space="0" w:color="auto"/>
        <w:right w:val="none" w:sz="0" w:space="0" w:color="auto"/>
      </w:divBdr>
    </w:div>
    <w:div w:id="1147554612">
      <w:bodyDiv w:val="1"/>
      <w:marLeft w:val="0"/>
      <w:marRight w:val="0"/>
      <w:marTop w:val="0"/>
      <w:marBottom w:val="0"/>
      <w:divBdr>
        <w:top w:val="none" w:sz="0" w:space="0" w:color="auto"/>
        <w:left w:val="none" w:sz="0" w:space="0" w:color="auto"/>
        <w:bottom w:val="none" w:sz="0" w:space="0" w:color="auto"/>
        <w:right w:val="none" w:sz="0" w:space="0" w:color="auto"/>
      </w:divBdr>
    </w:div>
    <w:div w:id="1148549428">
      <w:bodyDiv w:val="1"/>
      <w:marLeft w:val="0"/>
      <w:marRight w:val="0"/>
      <w:marTop w:val="0"/>
      <w:marBottom w:val="0"/>
      <w:divBdr>
        <w:top w:val="none" w:sz="0" w:space="0" w:color="auto"/>
        <w:left w:val="none" w:sz="0" w:space="0" w:color="auto"/>
        <w:bottom w:val="none" w:sz="0" w:space="0" w:color="auto"/>
        <w:right w:val="none" w:sz="0" w:space="0" w:color="auto"/>
      </w:divBdr>
    </w:div>
    <w:div w:id="1149057215">
      <w:bodyDiv w:val="1"/>
      <w:marLeft w:val="0"/>
      <w:marRight w:val="0"/>
      <w:marTop w:val="0"/>
      <w:marBottom w:val="0"/>
      <w:divBdr>
        <w:top w:val="none" w:sz="0" w:space="0" w:color="auto"/>
        <w:left w:val="none" w:sz="0" w:space="0" w:color="auto"/>
        <w:bottom w:val="none" w:sz="0" w:space="0" w:color="auto"/>
        <w:right w:val="none" w:sz="0" w:space="0" w:color="auto"/>
      </w:divBdr>
    </w:div>
    <w:div w:id="1152139873">
      <w:bodyDiv w:val="1"/>
      <w:marLeft w:val="0"/>
      <w:marRight w:val="0"/>
      <w:marTop w:val="0"/>
      <w:marBottom w:val="0"/>
      <w:divBdr>
        <w:top w:val="none" w:sz="0" w:space="0" w:color="auto"/>
        <w:left w:val="none" w:sz="0" w:space="0" w:color="auto"/>
        <w:bottom w:val="none" w:sz="0" w:space="0" w:color="auto"/>
        <w:right w:val="none" w:sz="0" w:space="0" w:color="auto"/>
      </w:divBdr>
    </w:div>
    <w:div w:id="1154875821">
      <w:bodyDiv w:val="1"/>
      <w:marLeft w:val="0"/>
      <w:marRight w:val="0"/>
      <w:marTop w:val="0"/>
      <w:marBottom w:val="0"/>
      <w:divBdr>
        <w:top w:val="none" w:sz="0" w:space="0" w:color="auto"/>
        <w:left w:val="none" w:sz="0" w:space="0" w:color="auto"/>
        <w:bottom w:val="none" w:sz="0" w:space="0" w:color="auto"/>
        <w:right w:val="none" w:sz="0" w:space="0" w:color="auto"/>
      </w:divBdr>
    </w:div>
    <w:div w:id="1155225826">
      <w:bodyDiv w:val="1"/>
      <w:marLeft w:val="0"/>
      <w:marRight w:val="0"/>
      <w:marTop w:val="0"/>
      <w:marBottom w:val="0"/>
      <w:divBdr>
        <w:top w:val="none" w:sz="0" w:space="0" w:color="auto"/>
        <w:left w:val="none" w:sz="0" w:space="0" w:color="auto"/>
        <w:bottom w:val="none" w:sz="0" w:space="0" w:color="auto"/>
        <w:right w:val="none" w:sz="0" w:space="0" w:color="auto"/>
      </w:divBdr>
    </w:div>
    <w:div w:id="1159227797">
      <w:bodyDiv w:val="1"/>
      <w:marLeft w:val="0"/>
      <w:marRight w:val="0"/>
      <w:marTop w:val="0"/>
      <w:marBottom w:val="0"/>
      <w:divBdr>
        <w:top w:val="none" w:sz="0" w:space="0" w:color="auto"/>
        <w:left w:val="none" w:sz="0" w:space="0" w:color="auto"/>
        <w:bottom w:val="none" w:sz="0" w:space="0" w:color="auto"/>
        <w:right w:val="none" w:sz="0" w:space="0" w:color="auto"/>
      </w:divBdr>
    </w:div>
    <w:div w:id="1161041605">
      <w:bodyDiv w:val="1"/>
      <w:marLeft w:val="0"/>
      <w:marRight w:val="0"/>
      <w:marTop w:val="0"/>
      <w:marBottom w:val="0"/>
      <w:divBdr>
        <w:top w:val="none" w:sz="0" w:space="0" w:color="auto"/>
        <w:left w:val="none" w:sz="0" w:space="0" w:color="auto"/>
        <w:bottom w:val="none" w:sz="0" w:space="0" w:color="auto"/>
        <w:right w:val="none" w:sz="0" w:space="0" w:color="auto"/>
      </w:divBdr>
    </w:div>
    <w:div w:id="1161576889">
      <w:bodyDiv w:val="1"/>
      <w:marLeft w:val="0"/>
      <w:marRight w:val="0"/>
      <w:marTop w:val="0"/>
      <w:marBottom w:val="0"/>
      <w:divBdr>
        <w:top w:val="none" w:sz="0" w:space="0" w:color="auto"/>
        <w:left w:val="none" w:sz="0" w:space="0" w:color="auto"/>
        <w:bottom w:val="none" w:sz="0" w:space="0" w:color="auto"/>
        <w:right w:val="none" w:sz="0" w:space="0" w:color="auto"/>
      </w:divBdr>
    </w:div>
    <w:div w:id="1163664232">
      <w:bodyDiv w:val="1"/>
      <w:marLeft w:val="0"/>
      <w:marRight w:val="0"/>
      <w:marTop w:val="0"/>
      <w:marBottom w:val="0"/>
      <w:divBdr>
        <w:top w:val="none" w:sz="0" w:space="0" w:color="auto"/>
        <w:left w:val="none" w:sz="0" w:space="0" w:color="auto"/>
        <w:bottom w:val="none" w:sz="0" w:space="0" w:color="auto"/>
        <w:right w:val="none" w:sz="0" w:space="0" w:color="auto"/>
      </w:divBdr>
    </w:div>
    <w:div w:id="1164934507">
      <w:bodyDiv w:val="1"/>
      <w:marLeft w:val="0"/>
      <w:marRight w:val="0"/>
      <w:marTop w:val="0"/>
      <w:marBottom w:val="0"/>
      <w:divBdr>
        <w:top w:val="none" w:sz="0" w:space="0" w:color="auto"/>
        <w:left w:val="none" w:sz="0" w:space="0" w:color="auto"/>
        <w:bottom w:val="none" w:sz="0" w:space="0" w:color="auto"/>
        <w:right w:val="none" w:sz="0" w:space="0" w:color="auto"/>
      </w:divBdr>
    </w:div>
    <w:div w:id="1170950950">
      <w:bodyDiv w:val="1"/>
      <w:marLeft w:val="0"/>
      <w:marRight w:val="0"/>
      <w:marTop w:val="0"/>
      <w:marBottom w:val="0"/>
      <w:divBdr>
        <w:top w:val="none" w:sz="0" w:space="0" w:color="auto"/>
        <w:left w:val="none" w:sz="0" w:space="0" w:color="auto"/>
        <w:bottom w:val="none" w:sz="0" w:space="0" w:color="auto"/>
        <w:right w:val="none" w:sz="0" w:space="0" w:color="auto"/>
      </w:divBdr>
    </w:div>
    <w:div w:id="1172522764">
      <w:bodyDiv w:val="1"/>
      <w:marLeft w:val="0"/>
      <w:marRight w:val="0"/>
      <w:marTop w:val="0"/>
      <w:marBottom w:val="0"/>
      <w:divBdr>
        <w:top w:val="none" w:sz="0" w:space="0" w:color="auto"/>
        <w:left w:val="none" w:sz="0" w:space="0" w:color="auto"/>
        <w:bottom w:val="none" w:sz="0" w:space="0" w:color="auto"/>
        <w:right w:val="none" w:sz="0" w:space="0" w:color="auto"/>
      </w:divBdr>
    </w:div>
    <w:div w:id="1174151856">
      <w:bodyDiv w:val="1"/>
      <w:marLeft w:val="0"/>
      <w:marRight w:val="0"/>
      <w:marTop w:val="0"/>
      <w:marBottom w:val="0"/>
      <w:divBdr>
        <w:top w:val="none" w:sz="0" w:space="0" w:color="auto"/>
        <w:left w:val="none" w:sz="0" w:space="0" w:color="auto"/>
        <w:bottom w:val="none" w:sz="0" w:space="0" w:color="auto"/>
        <w:right w:val="none" w:sz="0" w:space="0" w:color="auto"/>
      </w:divBdr>
    </w:div>
    <w:div w:id="1175729648">
      <w:bodyDiv w:val="1"/>
      <w:marLeft w:val="0"/>
      <w:marRight w:val="0"/>
      <w:marTop w:val="0"/>
      <w:marBottom w:val="0"/>
      <w:divBdr>
        <w:top w:val="none" w:sz="0" w:space="0" w:color="auto"/>
        <w:left w:val="none" w:sz="0" w:space="0" w:color="auto"/>
        <w:bottom w:val="none" w:sz="0" w:space="0" w:color="auto"/>
        <w:right w:val="none" w:sz="0" w:space="0" w:color="auto"/>
      </w:divBdr>
    </w:div>
    <w:div w:id="1175921029">
      <w:bodyDiv w:val="1"/>
      <w:marLeft w:val="0"/>
      <w:marRight w:val="0"/>
      <w:marTop w:val="0"/>
      <w:marBottom w:val="0"/>
      <w:divBdr>
        <w:top w:val="none" w:sz="0" w:space="0" w:color="auto"/>
        <w:left w:val="none" w:sz="0" w:space="0" w:color="auto"/>
        <w:bottom w:val="none" w:sz="0" w:space="0" w:color="auto"/>
        <w:right w:val="none" w:sz="0" w:space="0" w:color="auto"/>
      </w:divBdr>
    </w:div>
    <w:div w:id="1178274291">
      <w:bodyDiv w:val="1"/>
      <w:marLeft w:val="0"/>
      <w:marRight w:val="0"/>
      <w:marTop w:val="0"/>
      <w:marBottom w:val="0"/>
      <w:divBdr>
        <w:top w:val="none" w:sz="0" w:space="0" w:color="auto"/>
        <w:left w:val="none" w:sz="0" w:space="0" w:color="auto"/>
        <w:bottom w:val="none" w:sz="0" w:space="0" w:color="auto"/>
        <w:right w:val="none" w:sz="0" w:space="0" w:color="auto"/>
      </w:divBdr>
    </w:div>
    <w:div w:id="1181432427">
      <w:bodyDiv w:val="1"/>
      <w:marLeft w:val="0"/>
      <w:marRight w:val="0"/>
      <w:marTop w:val="0"/>
      <w:marBottom w:val="0"/>
      <w:divBdr>
        <w:top w:val="none" w:sz="0" w:space="0" w:color="auto"/>
        <w:left w:val="none" w:sz="0" w:space="0" w:color="auto"/>
        <w:bottom w:val="none" w:sz="0" w:space="0" w:color="auto"/>
        <w:right w:val="none" w:sz="0" w:space="0" w:color="auto"/>
      </w:divBdr>
    </w:div>
    <w:div w:id="1181626382">
      <w:bodyDiv w:val="1"/>
      <w:marLeft w:val="0"/>
      <w:marRight w:val="0"/>
      <w:marTop w:val="0"/>
      <w:marBottom w:val="0"/>
      <w:divBdr>
        <w:top w:val="none" w:sz="0" w:space="0" w:color="auto"/>
        <w:left w:val="none" w:sz="0" w:space="0" w:color="auto"/>
        <w:bottom w:val="none" w:sz="0" w:space="0" w:color="auto"/>
        <w:right w:val="none" w:sz="0" w:space="0" w:color="auto"/>
      </w:divBdr>
    </w:div>
    <w:div w:id="1182933441">
      <w:bodyDiv w:val="1"/>
      <w:marLeft w:val="0"/>
      <w:marRight w:val="0"/>
      <w:marTop w:val="0"/>
      <w:marBottom w:val="0"/>
      <w:divBdr>
        <w:top w:val="none" w:sz="0" w:space="0" w:color="auto"/>
        <w:left w:val="none" w:sz="0" w:space="0" w:color="auto"/>
        <w:bottom w:val="none" w:sz="0" w:space="0" w:color="auto"/>
        <w:right w:val="none" w:sz="0" w:space="0" w:color="auto"/>
      </w:divBdr>
    </w:div>
    <w:div w:id="1183007746">
      <w:bodyDiv w:val="1"/>
      <w:marLeft w:val="0"/>
      <w:marRight w:val="0"/>
      <w:marTop w:val="0"/>
      <w:marBottom w:val="0"/>
      <w:divBdr>
        <w:top w:val="none" w:sz="0" w:space="0" w:color="auto"/>
        <w:left w:val="none" w:sz="0" w:space="0" w:color="auto"/>
        <w:bottom w:val="none" w:sz="0" w:space="0" w:color="auto"/>
        <w:right w:val="none" w:sz="0" w:space="0" w:color="auto"/>
      </w:divBdr>
    </w:div>
    <w:div w:id="1184317435">
      <w:bodyDiv w:val="1"/>
      <w:marLeft w:val="0"/>
      <w:marRight w:val="0"/>
      <w:marTop w:val="0"/>
      <w:marBottom w:val="0"/>
      <w:divBdr>
        <w:top w:val="none" w:sz="0" w:space="0" w:color="auto"/>
        <w:left w:val="none" w:sz="0" w:space="0" w:color="auto"/>
        <w:bottom w:val="none" w:sz="0" w:space="0" w:color="auto"/>
        <w:right w:val="none" w:sz="0" w:space="0" w:color="auto"/>
      </w:divBdr>
    </w:div>
    <w:div w:id="1186091132">
      <w:bodyDiv w:val="1"/>
      <w:marLeft w:val="0"/>
      <w:marRight w:val="0"/>
      <w:marTop w:val="0"/>
      <w:marBottom w:val="0"/>
      <w:divBdr>
        <w:top w:val="none" w:sz="0" w:space="0" w:color="auto"/>
        <w:left w:val="none" w:sz="0" w:space="0" w:color="auto"/>
        <w:bottom w:val="none" w:sz="0" w:space="0" w:color="auto"/>
        <w:right w:val="none" w:sz="0" w:space="0" w:color="auto"/>
      </w:divBdr>
    </w:div>
    <w:div w:id="1186791481">
      <w:bodyDiv w:val="1"/>
      <w:marLeft w:val="0"/>
      <w:marRight w:val="0"/>
      <w:marTop w:val="0"/>
      <w:marBottom w:val="0"/>
      <w:divBdr>
        <w:top w:val="none" w:sz="0" w:space="0" w:color="auto"/>
        <w:left w:val="none" w:sz="0" w:space="0" w:color="auto"/>
        <w:bottom w:val="none" w:sz="0" w:space="0" w:color="auto"/>
        <w:right w:val="none" w:sz="0" w:space="0" w:color="auto"/>
      </w:divBdr>
    </w:div>
    <w:div w:id="1187332432">
      <w:bodyDiv w:val="1"/>
      <w:marLeft w:val="0"/>
      <w:marRight w:val="0"/>
      <w:marTop w:val="0"/>
      <w:marBottom w:val="0"/>
      <w:divBdr>
        <w:top w:val="none" w:sz="0" w:space="0" w:color="auto"/>
        <w:left w:val="none" w:sz="0" w:space="0" w:color="auto"/>
        <w:bottom w:val="none" w:sz="0" w:space="0" w:color="auto"/>
        <w:right w:val="none" w:sz="0" w:space="0" w:color="auto"/>
      </w:divBdr>
    </w:div>
    <w:div w:id="1187866817">
      <w:bodyDiv w:val="1"/>
      <w:marLeft w:val="0"/>
      <w:marRight w:val="0"/>
      <w:marTop w:val="0"/>
      <w:marBottom w:val="0"/>
      <w:divBdr>
        <w:top w:val="none" w:sz="0" w:space="0" w:color="auto"/>
        <w:left w:val="none" w:sz="0" w:space="0" w:color="auto"/>
        <w:bottom w:val="none" w:sz="0" w:space="0" w:color="auto"/>
        <w:right w:val="none" w:sz="0" w:space="0" w:color="auto"/>
      </w:divBdr>
    </w:div>
    <w:div w:id="1189224664">
      <w:bodyDiv w:val="1"/>
      <w:marLeft w:val="0"/>
      <w:marRight w:val="0"/>
      <w:marTop w:val="0"/>
      <w:marBottom w:val="0"/>
      <w:divBdr>
        <w:top w:val="none" w:sz="0" w:space="0" w:color="auto"/>
        <w:left w:val="none" w:sz="0" w:space="0" w:color="auto"/>
        <w:bottom w:val="none" w:sz="0" w:space="0" w:color="auto"/>
        <w:right w:val="none" w:sz="0" w:space="0" w:color="auto"/>
      </w:divBdr>
    </w:div>
    <w:div w:id="1189491488">
      <w:bodyDiv w:val="1"/>
      <w:marLeft w:val="0"/>
      <w:marRight w:val="0"/>
      <w:marTop w:val="0"/>
      <w:marBottom w:val="0"/>
      <w:divBdr>
        <w:top w:val="none" w:sz="0" w:space="0" w:color="auto"/>
        <w:left w:val="none" w:sz="0" w:space="0" w:color="auto"/>
        <w:bottom w:val="none" w:sz="0" w:space="0" w:color="auto"/>
        <w:right w:val="none" w:sz="0" w:space="0" w:color="auto"/>
      </w:divBdr>
    </w:div>
    <w:div w:id="1190920468">
      <w:bodyDiv w:val="1"/>
      <w:marLeft w:val="0"/>
      <w:marRight w:val="0"/>
      <w:marTop w:val="0"/>
      <w:marBottom w:val="0"/>
      <w:divBdr>
        <w:top w:val="none" w:sz="0" w:space="0" w:color="auto"/>
        <w:left w:val="none" w:sz="0" w:space="0" w:color="auto"/>
        <w:bottom w:val="none" w:sz="0" w:space="0" w:color="auto"/>
        <w:right w:val="none" w:sz="0" w:space="0" w:color="auto"/>
      </w:divBdr>
    </w:div>
    <w:div w:id="1191915573">
      <w:bodyDiv w:val="1"/>
      <w:marLeft w:val="0"/>
      <w:marRight w:val="0"/>
      <w:marTop w:val="0"/>
      <w:marBottom w:val="0"/>
      <w:divBdr>
        <w:top w:val="none" w:sz="0" w:space="0" w:color="auto"/>
        <w:left w:val="none" w:sz="0" w:space="0" w:color="auto"/>
        <w:bottom w:val="none" w:sz="0" w:space="0" w:color="auto"/>
        <w:right w:val="none" w:sz="0" w:space="0" w:color="auto"/>
      </w:divBdr>
    </w:div>
    <w:div w:id="1192643849">
      <w:bodyDiv w:val="1"/>
      <w:marLeft w:val="0"/>
      <w:marRight w:val="0"/>
      <w:marTop w:val="0"/>
      <w:marBottom w:val="0"/>
      <w:divBdr>
        <w:top w:val="none" w:sz="0" w:space="0" w:color="auto"/>
        <w:left w:val="none" w:sz="0" w:space="0" w:color="auto"/>
        <w:bottom w:val="none" w:sz="0" w:space="0" w:color="auto"/>
        <w:right w:val="none" w:sz="0" w:space="0" w:color="auto"/>
      </w:divBdr>
    </w:div>
    <w:div w:id="1192646427">
      <w:bodyDiv w:val="1"/>
      <w:marLeft w:val="0"/>
      <w:marRight w:val="0"/>
      <w:marTop w:val="0"/>
      <w:marBottom w:val="0"/>
      <w:divBdr>
        <w:top w:val="none" w:sz="0" w:space="0" w:color="auto"/>
        <w:left w:val="none" w:sz="0" w:space="0" w:color="auto"/>
        <w:bottom w:val="none" w:sz="0" w:space="0" w:color="auto"/>
        <w:right w:val="none" w:sz="0" w:space="0" w:color="auto"/>
      </w:divBdr>
    </w:div>
    <w:div w:id="1195386630">
      <w:bodyDiv w:val="1"/>
      <w:marLeft w:val="0"/>
      <w:marRight w:val="0"/>
      <w:marTop w:val="0"/>
      <w:marBottom w:val="0"/>
      <w:divBdr>
        <w:top w:val="none" w:sz="0" w:space="0" w:color="auto"/>
        <w:left w:val="none" w:sz="0" w:space="0" w:color="auto"/>
        <w:bottom w:val="none" w:sz="0" w:space="0" w:color="auto"/>
        <w:right w:val="none" w:sz="0" w:space="0" w:color="auto"/>
      </w:divBdr>
    </w:div>
    <w:div w:id="1195579738">
      <w:bodyDiv w:val="1"/>
      <w:marLeft w:val="0"/>
      <w:marRight w:val="0"/>
      <w:marTop w:val="0"/>
      <w:marBottom w:val="0"/>
      <w:divBdr>
        <w:top w:val="none" w:sz="0" w:space="0" w:color="auto"/>
        <w:left w:val="none" w:sz="0" w:space="0" w:color="auto"/>
        <w:bottom w:val="none" w:sz="0" w:space="0" w:color="auto"/>
        <w:right w:val="none" w:sz="0" w:space="0" w:color="auto"/>
      </w:divBdr>
    </w:div>
    <w:div w:id="1199471573">
      <w:bodyDiv w:val="1"/>
      <w:marLeft w:val="0"/>
      <w:marRight w:val="0"/>
      <w:marTop w:val="0"/>
      <w:marBottom w:val="0"/>
      <w:divBdr>
        <w:top w:val="none" w:sz="0" w:space="0" w:color="auto"/>
        <w:left w:val="none" w:sz="0" w:space="0" w:color="auto"/>
        <w:bottom w:val="none" w:sz="0" w:space="0" w:color="auto"/>
        <w:right w:val="none" w:sz="0" w:space="0" w:color="auto"/>
      </w:divBdr>
    </w:div>
    <w:div w:id="1199703028">
      <w:bodyDiv w:val="1"/>
      <w:marLeft w:val="0"/>
      <w:marRight w:val="0"/>
      <w:marTop w:val="0"/>
      <w:marBottom w:val="0"/>
      <w:divBdr>
        <w:top w:val="none" w:sz="0" w:space="0" w:color="auto"/>
        <w:left w:val="none" w:sz="0" w:space="0" w:color="auto"/>
        <w:bottom w:val="none" w:sz="0" w:space="0" w:color="auto"/>
        <w:right w:val="none" w:sz="0" w:space="0" w:color="auto"/>
      </w:divBdr>
    </w:div>
    <w:div w:id="1201212892">
      <w:bodyDiv w:val="1"/>
      <w:marLeft w:val="0"/>
      <w:marRight w:val="0"/>
      <w:marTop w:val="0"/>
      <w:marBottom w:val="0"/>
      <w:divBdr>
        <w:top w:val="none" w:sz="0" w:space="0" w:color="auto"/>
        <w:left w:val="none" w:sz="0" w:space="0" w:color="auto"/>
        <w:bottom w:val="none" w:sz="0" w:space="0" w:color="auto"/>
        <w:right w:val="none" w:sz="0" w:space="0" w:color="auto"/>
      </w:divBdr>
    </w:div>
    <w:div w:id="1202090996">
      <w:bodyDiv w:val="1"/>
      <w:marLeft w:val="0"/>
      <w:marRight w:val="0"/>
      <w:marTop w:val="0"/>
      <w:marBottom w:val="0"/>
      <w:divBdr>
        <w:top w:val="none" w:sz="0" w:space="0" w:color="auto"/>
        <w:left w:val="none" w:sz="0" w:space="0" w:color="auto"/>
        <w:bottom w:val="none" w:sz="0" w:space="0" w:color="auto"/>
        <w:right w:val="none" w:sz="0" w:space="0" w:color="auto"/>
      </w:divBdr>
    </w:div>
    <w:div w:id="1205408754">
      <w:bodyDiv w:val="1"/>
      <w:marLeft w:val="0"/>
      <w:marRight w:val="0"/>
      <w:marTop w:val="0"/>
      <w:marBottom w:val="0"/>
      <w:divBdr>
        <w:top w:val="none" w:sz="0" w:space="0" w:color="auto"/>
        <w:left w:val="none" w:sz="0" w:space="0" w:color="auto"/>
        <w:bottom w:val="none" w:sz="0" w:space="0" w:color="auto"/>
        <w:right w:val="none" w:sz="0" w:space="0" w:color="auto"/>
      </w:divBdr>
    </w:div>
    <w:div w:id="1206212668">
      <w:bodyDiv w:val="1"/>
      <w:marLeft w:val="0"/>
      <w:marRight w:val="0"/>
      <w:marTop w:val="0"/>
      <w:marBottom w:val="0"/>
      <w:divBdr>
        <w:top w:val="none" w:sz="0" w:space="0" w:color="auto"/>
        <w:left w:val="none" w:sz="0" w:space="0" w:color="auto"/>
        <w:bottom w:val="none" w:sz="0" w:space="0" w:color="auto"/>
        <w:right w:val="none" w:sz="0" w:space="0" w:color="auto"/>
      </w:divBdr>
    </w:div>
    <w:div w:id="1207180372">
      <w:bodyDiv w:val="1"/>
      <w:marLeft w:val="0"/>
      <w:marRight w:val="0"/>
      <w:marTop w:val="0"/>
      <w:marBottom w:val="0"/>
      <w:divBdr>
        <w:top w:val="none" w:sz="0" w:space="0" w:color="auto"/>
        <w:left w:val="none" w:sz="0" w:space="0" w:color="auto"/>
        <w:bottom w:val="none" w:sz="0" w:space="0" w:color="auto"/>
        <w:right w:val="none" w:sz="0" w:space="0" w:color="auto"/>
      </w:divBdr>
    </w:div>
    <w:div w:id="1207911392">
      <w:bodyDiv w:val="1"/>
      <w:marLeft w:val="0"/>
      <w:marRight w:val="0"/>
      <w:marTop w:val="0"/>
      <w:marBottom w:val="0"/>
      <w:divBdr>
        <w:top w:val="none" w:sz="0" w:space="0" w:color="auto"/>
        <w:left w:val="none" w:sz="0" w:space="0" w:color="auto"/>
        <w:bottom w:val="none" w:sz="0" w:space="0" w:color="auto"/>
        <w:right w:val="none" w:sz="0" w:space="0" w:color="auto"/>
      </w:divBdr>
    </w:div>
    <w:div w:id="1208109796">
      <w:bodyDiv w:val="1"/>
      <w:marLeft w:val="0"/>
      <w:marRight w:val="0"/>
      <w:marTop w:val="0"/>
      <w:marBottom w:val="0"/>
      <w:divBdr>
        <w:top w:val="none" w:sz="0" w:space="0" w:color="auto"/>
        <w:left w:val="none" w:sz="0" w:space="0" w:color="auto"/>
        <w:bottom w:val="none" w:sz="0" w:space="0" w:color="auto"/>
        <w:right w:val="none" w:sz="0" w:space="0" w:color="auto"/>
      </w:divBdr>
    </w:div>
    <w:div w:id="1212352258">
      <w:bodyDiv w:val="1"/>
      <w:marLeft w:val="0"/>
      <w:marRight w:val="0"/>
      <w:marTop w:val="0"/>
      <w:marBottom w:val="0"/>
      <w:divBdr>
        <w:top w:val="none" w:sz="0" w:space="0" w:color="auto"/>
        <w:left w:val="none" w:sz="0" w:space="0" w:color="auto"/>
        <w:bottom w:val="none" w:sz="0" w:space="0" w:color="auto"/>
        <w:right w:val="none" w:sz="0" w:space="0" w:color="auto"/>
      </w:divBdr>
    </w:div>
    <w:div w:id="1212500901">
      <w:bodyDiv w:val="1"/>
      <w:marLeft w:val="0"/>
      <w:marRight w:val="0"/>
      <w:marTop w:val="0"/>
      <w:marBottom w:val="0"/>
      <w:divBdr>
        <w:top w:val="none" w:sz="0" w:space="0" w:color="auto"/>
        <w:left w:val="none" w:sz="0" w:space="0" w:color="auto"/>
        <w:bottom w:val="none" w:sz="0" w:space="0" w:color="auto"/>
        <w:right w:val="none" w:sz="0" w:space="0" w:color="auto"/>
      </w:divBdr>
    </w:div>
    <w:div w:id="1213886367">
      <w:bodyDiv w:val="1"/>
      <w:marLeft w:val="0"/>
      <w:marRight w:val="0"/>
      <w:marTop w:val="0"/>
      <w:marBottom w:val="0"/>
      <w:divBdr>
        <w:top w:val="none" w:sz="0" w:space="0" w:color="auto"/>
        <w:left w:val="none" w:sz="0" w:space="0" w:color="auto"/>
        <w:bottom w:val="none" w:sz="0" w:space="0" w:color="auto"/>
        <w:right w:val="none" w:sz="0" w:space="0" w:color="auto"/>
      </w:divBdr>
    </w:div>
    <w:div w:id="1217278313">
      <w:bodyDiv w:val="1"/>
      <w:marLeft w:val="0"/>
      <w:marRight w:val="0"/>
      <w:marTop w:val="0"/>
      <w:marBottom w:val="0"/>
      <w:divBdr>
        <w:top w:val="none" w:sz="0" w:space="0" w:color="auto"/>
        <w:left w:val="none" w:sz="0" w:space="0" w:color="auto"/>
        <w:bottom w:val="none" w:sz="0" w:space="0" w:color="auto"/>
        <w:right w:val="none" w:sz="0" w:space="0" w:color="auto"/>
      </w:divBdr>
    </w:div>
    <w:div w:id="1217664726">
      <w:bodyDiv w:val="1"/>
      <w:marLeft w:val="0"/>
      <w:marRight w:val="0"/>
      <w:marTop w:val="0"/>
      <w:marBottom w:val="0"/>
      <w:divBdr>
        <w:top w:val="none" w:sz="0" w:space="0" w:color="auto"/>
        <w:left w:val="none" w:sz="0" w:space="0" w:color="auto"/>
        <w:bottom w:val="none" w:sz="0" w:space="0" w:color="auto"/>
        <w:right w:val="none" w:sz="0" w:space="0" w:color="auto"/>
      </w:divBdr>
    </w:div>
    <w:div w:id="1218398566">
      <w:bodyDiv w:val="1"/>
      <w:marLeft w:val="0"/>
      <w:marRight w:val="0"/>
      <w:marTop w:val="0"/>
      <w:marBottom w:val="0"/>
      <w:divBdr>
        <w:top w:val="none" w:sz="0" w:space="0" w:color="auto"/>
        <w:left w:val="none" w:sz="0" w:space="0" w:color="auto"/>
        <w:bottom w:val="none" w:sz="0" w:space="0" w:color="auto"/>
        <w:right w:val="none" w:sz="0" w:space="0" w:color="auto"/>
      </w:divBdr>
    </w:div>
    <w:div w:id="1220359951">
      <w:bodyDiv w:val="1"/>
      <w:marLeft w:val="0"/>
      <w:marRight w:val="0"/>
      <w:marTop w:val="0"/>
      <w:marBottom w:val="0"/>
      <w:divBdr>
        <w:top w:val="none" w:sz="0" w:space="0" w:color="auto"/>
        <w:left w:val="none" w:sz="0" w:space="0" w:color="auto"/>
        <w:bottom w:val="none" w:sz="0" w:space="0" w:color="auto"/>
        <w:right w:val="none" w:sz="0" w:space="0" w:color="auto"/>
      </w:divBdr>
    </w:div>
    <w:div w:id="1220631371">
      <w:bodyDiv w:val="1"/>
      <w:marLeft w:val="0"/>
      <w:marRight w:val="0"/>
      <w:marTop w:val="0"/>
      <w:marBottom w:val="0"/>
      <w:divBdr>
        <w:top w:val="none" w:sz="0" w:space="0" w:color="auto"/>
        <w:left w:val="none" w:sz="0" w:space="0" w:color="auto"/>
        <w:bottom w:val="none" w:sz="0" w:space="0" w:color="auto"/>
        <w:right w:val="none" w:sz="0" w:space="0" w:color="auto"/>
      </w:divBdr>
    </w:div>
    <w:div w:id="1221525801">
      <w:bodyDiv w:val="1"/>
      <w:marLeft w:val="0"/>
      <w:marRight w:val="0"/>
      <w:marTop w:val="0"/>
      <w:marBottom w:val="0"/>
      <w:divBdr>
        <w:top w:val="none" w:sz="0" w:space="0" w:color="auto"/>
        <w:left w:val="none" w:sz="0" w:space="0" w:color="auto"/>
        <w:bottom w:val="none" w:sz="0" w:space="0" w:color="auto"/>
        <w:right w:val="none" w:sz="0" w:space="0" w:color="auto"/>
      </w:divBdr>
    </w:div>
    <w:div w:id="1224104213">
      <w:bodyDiv w:val="1"/>
      <w:marLeft w:val="0"/>
      <w:marRight w:val="0"/>
      <w:marTop w:val="0"/>
      <w:marBottom w:val="0"/>
      <w:divBdr>
        <w:top w:val="none" w:sz="0" w:space="0" w:color="auto"/>
        <w:left w:val="none" w:sz="0" w:space="0" w:color="auto"/>
        <w:bottom w:val="none" w:sz="0" w:space="0" w:color="auto"/>
        <w:right w:val="none" w:sz="0" w:space="0" w:color="auto"/>
      </w:divBdr>
    </w:div>
    <w:div w:id="1225290377">
      <w:bodyDiv w:val="1"/>
      <w:marLeft w:val="0"/>
      <w:marRight w:val="0"/>
      <w:marTop w:val="0"/>
      <w:marBottom w:val="0"/>
      <w:divBdr>
        <w:top w:val="none" w:sz="0" w:space="0" w:color="auto"/>
        <w:left w:val="none" w:sz="0" w:space="0" w:color="auto"/>
        <w:bottom w:val="none" w:sz="0" w:space="0" w:color="auto"/>
        <w:right w:val="none" w:sz="0" w:space="0" w:color="auto"/>
      </w:divBdr>
    </w:div>
    <w:div w:id="1227062807">
      <w:bodyDiv w:val="1"/>
      <w:marLeft w:val="0"/>
      <w:marRight w:val="0"/>
      <w:marTop w:val="0"/>
      <w:marBottom w:val="0"/>
      <w:divBdr>
        <w:top w:val="none" w:sz="0" w:space="0" w:color="auto"/>
        <w:left w:val="none" w:sz="0" w:space="0" w:color="auto"/>
        <w:bottom w:val="none" w:sz="0" w:space="0" w:color="auto"/>
        <w:right w:val="none" w:sz="0" w:space="0" w:color="auto"/>
      </w:divBdr>
    </w:div>
    <w:div w:id="1227952364">
      <w:bodyDiv w:val="1"/>
      <w:marLeft w:val="0"/>
      <w:marRight w:val="0"/>
      <w:marTop w:val="0"/>
      <w:marBottom w:val="0"/>
      <w:divBdr>
        <w:top w:val="none" w:sz="0" w:space="0" w:color="auto"/>
        <w:left w:val="none" w:sz="0" w:space="0" w:color="auto"/>
        <w:bottom w:val="none" w:sz="0" w:space="0" w:color="auto"/>
        <w:right w:val="none" w:sz="0" w:space="0" w:color="auto"/>
      </w:divBdr>
    </w:div>
    <w:div w:id="1228493334">
      <w:bodyDiv w:val="1"/>
      <w:marLeft w:val="0"/>
      <w:marRight w:val="0"/>
      <w:marTop w:val="0"/>
      <w:marBottom w:val="0"/>
      <w:divBdr>
        <w:top w:val="none" w:sz="0" w:space="0" w:color="auto"/>
        <w:left w:val="none" w:sz="0" w:space="0" w:color="auto"/>
        <w:bottom w:val="none" w:sz="0" w:space="0" w:color="auto"/>
        <w:right w:val="none" w:sz="0" w:space="0" w:color="auto"/>
      </w:divBdr>
    </w:div>
    <w:div w:id="1228881676">
      <w:bodyDiv w:val="1"/>
      <w:marLeft w:val="0"/>
      <w:marRight w:val="0"/>
      <w:marTop w:val="0"/>
      <w:marBottom w:val="0"/>
      <w:divBdr>
        <w:top w:val="none" w:sz="0" w:space="0" w:color="auto"/>
        <w:left w:val="none" w:sz="0" w:space="0" w:color="auto"/>
        <w:bottom w:val="none" w:sz="0" w:space="0" w:color="auto"/>
        <w:right w:val="none" w:sz="0" w:space="0" w:color="auto"/>
      </w:divBdr>
    </w:div>
    <w:div w:id="1229028882">
      <w:bodyDiv w:val="1"/>
      <w:marLeft w:val="0"/>
      <w:marRight w:val="0"/>
      <w:marTop w:val="0"/>
      <w:marBottom w:val="0"/>
      <w:divBdr>
        <w:top w:val="none" w:sz="0" w:space="0" w:color="auto"/>
        <w:left w:val="none" w:sz="0" w:space="0" w:color="auto"/>
        <w:bottom w:val="none" w:sz="0" w:space="0" w:color="auto"/>
        <w:right w:val="none" w:sz="0" w:space="0" w:color="auto"/>
      </w:divBdr>
    </w:div>
    <w:div w:id="1229345633">
      <w:bodyDiv w:val="1"/>
      <w:marLeft w:val="0"/>
      <w:marRight w:val="0"/>
      <w:marTop w:val="0"/>
      <w:marBottom w:val="0"/>
      <w:divBdr>
        <w:top w:val="none" w:sz="0" w:space="0" w:color="auto"/>
        <w:left w:val="none" w:sz="0" w:space="0" w:color="auto"/>
        <w:bottom w:val="none" w:sz="0" w:space="0" w:color="auto"/>
        <w:right w:val="none" w:sz="0" w:space="0" w:color="auto"/>
      </w:divBdr>
    </w:div>
    <w:div w:id="1230002441">
      <w:bodyDiv w:val="1"/>
      <w:marLeft w:val="0"/>
      <w:marRight w:val="0"/>
      <w:marTop w:val="0"/>
      <w:marBottom w:val="0"/>
      <w:divBdr>
        <w:top w:val="none" w:sz="0" w:space="0" w:color="auto"/>
        <w:left w:val="none" w:sz="0" w:space="0" w:color="auto"/>
        <w:bottom w:val="none" w:sz="0" w:space="0" w:color="auto"/>
        <w:right w:val="none" w:sz="0" w:space="0" w:color="auto"/>
      </w:divBdr>
    </w:div>
    <w:div w:id="1230075624">
      <w:bodyDiv w:val="1"/>
      <w:marLeft w:val="0"/>
      <w:marRight w:val="0"/>
      <w:marTop w:val="0"/>
      <w:marBottom w:val="0"/>
      <w:divBdr>
        <w:top w:val="none" w:sz="0" w:space="0" w:color="auto"/>
        <w:left w:val="none" w:sz="0" w:space="0" w:color="auto"/>
        <w:bottom w:val="none" w:sz="0" w:space="0" w:color="auto"/>
        <w:right w:val="none" w:sz="0" w:space="0" w:color="auto"/>
      </w:divBdr>
    </w:div>
    <w:div w:id="1231697676">
      <w:bodyDiv w:val="1"/>
      <w:marLeft w:val="0"/>
      <w:marRight w:val="0"/>
      <w:marTop w:val="0"/>
      <w:marBottom w:val="0"/>
      <w:divBdr>
        <w:top w:val="none" w:sz="0" w:space="0" w:color="auto"/>
        <w:left w:val="none" w:sz="0" w:space="0" w:color="auto"/>
        <w:bottom w:val="none" w:sz="0" w:space="0" w:color="auto"/>
        <w:right w:val="none" w:sz="0" w:space="0" w:color="auto"/>
      </w:divBdr>
    </w:div>
    <w:div w:id="1233545365">
      <w:bodyDiv w:val="1"/>
      <w:marLeft w:val="0"/>
      <w:marRight w:val="0"/>
      <w:marTop w:val="0"/>
      <w:marBottom w:val="0"/>
      <w:divBdr>
        <w:top w:val="none" w:sz="0" w:space="0" w:color="auto"/>
        <w:left w:val="none" w:sz="0" w:space="0" w:color="auto"/>
        <w:bottom w:val="none" w:sz="0" w:space="0" w:color="auto"/>
        <w:right w:val="none" w:sz="0" w:space="0" w:color="auto"/>
      </w:divBdr>
    </w:div>
    <w:div w:id="1234511192">
      <w:bodyDiv w:val="1"/>
      <w:marLeft w:val="0"/>
      <w:marRight w:val="0"/>
      <w:marTop w:val="0"/>
      <w:marBottom w:val="0"/>
      <w:divBdr>
        <w:top w:val="none" w:sz="0" w:space="0" w:color="auto"/>
        <w:left w:val="none" w:sz="0" w:space="0" w:color="auto"/>
        <w:bottom w:val="none" w:sz="0" w:space="0" w:color="auto"/>
        <w:right w:val="none" w:sz="0" w:space="0" w:color="auto"/>
      </w:divBdr>
    </w:div>
    <w:div w:id="1235513034">
      <w:bodyDiv w:val="1"/>
      <w:marLeft w:val="0"/>
      <w:marRight w:val="0"/>
      <w:marTop w:val="0"/>
      <w:marBottom w:val="0"/>
      <w:divBdr>
        <w:top w:val="none" w:sz="0" w:space="0" w:color="auto"/>
        <w:left w:val="none" w:sz="0" w:space="0" w:color="auto"/>
        <w:bottom w:val="none" w:sz="0" w:space="0" w:color="auto"/>
        <w:right w:val="none" w:sz="0" w:space="0" w:color="auto"/>
      </w:divBdr>
    </w:div>
    <w:div w:id="1236285052">
      <w:bodyDiv w:val="1"/>
      <w:marLeft w:val="0"/>
      <w:marRight w:val="0"/>
      <w:marTop w:val="0"/>
      <w:marBottom w:val="0"/>
      <w:divBdr>
        <w:top w:val="none" w:sz="0" w:space="0" w:color="auto"/>
        <w:left w:val="none" w:sz="0" w:space="0" w:color="auto"/>
        <w:bottom w:val="none" w:sz="0" w:space="0" w:color="auto"/>
        <w:right w:val="none" w:sz="0" w:space="0" w:color="auto"/>
      </w:divBdr>
    </w:div>
    <w:div w:id="1237280814">
      <w:bodyDiv w:val="1"/>
      <w:marLeft w:val="0"/>
      <w:marRight w:val="0"/>
      <w:marTop w:val="0"/>
      <w:marBottom w:val="0"/>
      <w:divBdr>
        <w:top w:val="none" w:sz="0" w:space="0" w:color="auto"/>
        <w:left w:val="none" w:sz="0" w:space="0" w:color="auto"/>
        <w:bottom w:val="none" w:sz="0" w:space="0" w:color="auto"/>
        <w:right w:val="none" w:sz="0" w:space="0" w:color="auto"/>
      </w:divBdr>
    </w:div>
    <w:div w:id="1238244906">
      <w:bodyDiv w:val="1"/>
      <w:marLeft w:val="0"/>
      <w:marRight w:val="0"/>
      <w:marTop w:val="0"/>
      <w:marBottom w:val="0"/>
      <w:divBdr>
        <w:top w:val="none" w:sz="0" w:space="0" w:color="auto"/>
        <w:left w:val="none" w:sz="0" w:space="0" w:color="auto"/>
        <w:bottom w:val="none" w:sz="0" w:space="0" w:color="auto"/>
        <w:right w:val="none" w:sz="0" w:space="0" w:color="auto"/>
      </w:divBdr>
    </w:div>
    <w:div w:id="1240754826">
      <w:bodyDiv w:val="1"/>
      <w:marLeft w:val="0"/>
      <w:marRight w:val="0"/>
      <w:marTop w:val="0"/>
      <w:marBottom w:val="0"/>
      <w:divBdr>
        <w:top w:val="none" w:sz="0" w:space="0" w:color="auto"/>
        <w:left w:val="none" w:sz="0" w:space="0" w:color="auto"/>
        <w:bottom w:val="none" w:sz="0" w:space="0" w:color="auto"/>
        <w:right w:val="none" w:sz="0" w:space="0" w:color="auto"/>
      </w:divBdr>
    </w:div>
    <w:div w:id="1244680596">
      <w:bodyDiv w:val="1"/>
      <w:marLeft w:val="0"/>
      <w:marRight w:val="0"/>
      <w:marTop w:val="0"/>
      <w:marBottom w:val="0"/>
      <w:divBdr>
        <w:top w:val="none" w:sz="0" w:space="0" w:color="auto"/>
        <w:left w:val="none" w:sz="0" w:space="0" w:color="auto"/>
        <w:bottom w:val="none" w:sz="0" w:space="0" w:color="auto"/>
        <w:right w:val="none" w:sz="0" w:space="0" w:color="auto"/>
      </w:divBdr>
    </w:div>
    <w:div w:id="1245803730">
      <w:bodyDiv w:val="1"/>
      <w:marLeft w:val="0"/>
      <w:marRight w:val="0"/>
      <w:marTop w:val="0"/>
      <w:marBottom w:val="0"/>
      <w:divBdr>
        <w:top w:val="none" w:sz="0" w:space="0" w:color="auto"/>
        <w:left w:val="none" w:sz="0" w:space="0" w:color="auto"/>
        <w:bottom w:val="none" w:sz="0" w:space="0" w:color="auto"/>
        <w:right w:val="none" w:sz="0" w:space="0" w:color="auto"/>
      </w:divBdr>
    </w:div>
    <w:div w:id="1246303403">
      <w:bodyDiv w:val="1"/>
      <w:marLeft w:val="0"/>
      <w:marRight w:val="0"/>
      <w:marTop w:val="0"/>
      <w:marBottom w:val="0"/>
      <w:divBdr>
        <w:top w:val="none" w:sz="0" w:space="0" w:color="auto"/>
        <w:left w:val="none" w:sz="0" w:space="0" w:color="auto"/>
        <w:bottom w:val="none" w:sz="0" w:space="0" w:color="auto"/>
        <w:right w:val="none" w:sz="0" w:space="0" w:color="auto"/>
      </w:divBdr>
    </w:div>
    <w:div w:id="1246376936">
      <w:bodyDiv w:val="1"/>
      <w:marLeft w:val="0"/>
      <w:marRight w:val="0"/>
      <w:marTop w:val="0"/>
      <w:marBottom w:val="0"/>
      <w:divBdr>
        <w:top w:val="none" w:sz="0" w:space="0" w:color="auto"/>
        <w:left w:val="none" w:sz="0" w:space="0" w:color="auto"/>
        <w:bottom w:val="none" w:sz="0" w:space="0" w:color="auto"/>
        <w:right w:val="none" w:sz="0" w:space="0" w:color="auto"/>
      </w:divBdr>
    </w:div>
    <w:div w:id="1246649080">
      <w:bodyDiv w:val="1"/>
      <w:marLeft w:val="0"/>
      <w:marRight w:val="0"/>
      <w:marTop w:val="0"/>
      <w:marBottom w:val="0"/>
      <w:divBdr>
        <w:top w:val="none" w:sz="0" w:space="0" w:color="auto"/>
        <w:left w:val="none" w:sz="0" w:space="0" w:color="auto"/>
        <w:bottom w:val="none" w:sz="0" w:space="0" w:color="auto"/>
        <w:right w:val="none" w:sz="0" w:space="0" w:color="auto"/>
      </w:divBdr>
    </w:div>
    <w:div w:id="1247764343">
      <w:bodyDiv w:val="1"/>
      <w:marLeft w:val="0"/>
      <w:marRight w:val="0"/>
      <w:marTop w:val="0"/>
      <w:marBottom w:val="0"/>
      <w:divBdr>
        <w:top w:val="none" w:sz="0" w:space="0" w:color="auto"/>
        <w:left w:val="none" w:sz="0" w:space="0" w:color="auto"/>
        <w:bottom w:val="none" w:sz="0" w:space="0" w:color="auto"/>
        <w:right w:val="none" w:sz="0" w:space="0" w:color="auto"/>
      </w:divBdr>
    </w:div>
    <w:div w:id="1250651727">
      <w:bodyDiv w:val="1"/>
      <w:marLeft w:val="0"/>
      <w:marRight w:val="0"/>
      <w:marTop w:val="0"/>
      <w:marBottom w:val="0"/>
      <w:divBdr>
        <w:top w:val="none" w:sz="0" w:space="0" w:color="auto"/>
        <w:left w:val="none" w:sz="0" w:space="0" w:color="auto"/>
        <w:bottom w:val="none" w:sz="0" w:space="0" w:color="auto"/>
        <w:right w:val="none" w:sz="0" w:space="0" w:color="auto"/>
      </w:divBdr>
    </w:div>
    <w:div w:id="1253245378">
      <w:bodyDiv w:val="1"/>
      <w:marLeft w:val="0"/>
      <w:marRight w:val="0"/>
      <w:marTop w:val="0"/>
      <w:marBottom w:val="0"/>
      <w:divBdr>
        <w:top w:val="none" w:sz="0" w:space="0" w:color="auto"/>
        <w:left w:val="none" w:sz="0" w:space="0" w:color="auto"/>
        <w:bottom w:val="none" w:sz="0" w:space="0" w:color="auto"/>
        <w:right w:val="none" w:sz="0" w:space="0" w:color="auto"/>
      </w:divBdr>
    </w:div>
    <w:div w:id="1253273877">
      <w:bodyDiv w:val="1"/>
      <w:marLeft w:val="0"/>
      <w:marRight w:val="0"/>
      <w:marTop w:val="0"/>
      <w:marBottom w:val="0"/>
      <w:divBdr>
        <w:top w:val="none" w:sz="0" w:space="0" w:color="auto"/>
        <w:left w:val="none" w:sz="0" w:space="0" w:color="auto"/>
        <w:bottom w:val="none" w:sz="0" w:space="0" w:color="auto"/>
        <w:right w:val="none" w:sz="0" w:space="0" w:color="auto"/>
      </w:divBdr>
    </w:div>
    <w:div w:id="1254164693">
      <w:bodyDiv w:val="1"/>
      <w:marLeft w:val="0"/>
      <w:marRight w:val="0"/>
      <w:marTop w:val="0"/>
      <w:marBottom w:val="0"/>
      <w:divBdr>
        <w:top w:val="none" w:sz="0" w:space="0" w:color="auto"/>
        <w:left w:val="none" w:sz="0" w:space="0" w:color="auto"/>
        <w:bottom w:val="none" w:sz="0" w:space="0" w:color="auto"/>
        <w:right w:val="none" w:sz="0" w:space="0" w:color="auto"/>
      </w:divBdr>
    </w:div>
    <w:div w:id="1254784038">
      <w:bodyDiv w:val="1"/>
      <w:marLeft w:val="0"/>
      <w:marRight w:val="0"/>
      <w:marTop w:val="0"/>
      <w:marBottom w:val="0"/>
      <w:divBdr>
        <w:top w:val="none" w:sz="0" w:space="0" w:color="auto"/>
        <w:left w:val="none" w:sz="0" w:space="0" w:color="auto"/>
        <w:bottom w:val="none" w:sz="0" w:space="0" w:color="auto"/>
        <w:right w:val="none" w:sz="0" w:space="0" w:color="auto"/>
      </w:divBdr>
    </w:div>
    <w:div w:id="1255018036">
      <w:bodyDiv w:val="1"/>
      <w:marLeft w:val="0"/>
      <w:marRight w:val="0"/>
      <w:marTop w:val="0"/>
      <w:marBottom w:val="0"/>
      <w:divBdr>
        <w:top w:val="none" w:sz="0" w:space="0" w:color="auto"/>
        <w:left w:val="none" w:sz="0" w:space="0" w:color="auto"/>
        <w:bottom w:val="none" w:sz="0" w:space="0" w:color="auto"/>
        <w:right w:val="none" w:sz="0" w:space="0" w:color="auto"/>
      </w:divBdr>
    </w:div>
    <w:div w:id="1256211907">
      <w:bodyDiv w:val="1"/>
      <w:marLeft w:val="0"/>
      <w:marRight w:val="0"/>
      <w:marTop w:val="0"/>
      <w:marBottom w:val="0"/>
      <w:divBdr>
        <w:top w:val="none" w:sz="0" w:space="0" w:color="auto"/>
        <w:left w:val="none" w:sz="0" w:space="0" w:color="auto"/>
        <w:bottom w:val="none" w:sz="0" w:space="0" w:color="auto"/>
        <w:right w:val="none" w:sz="0" w:space="0" w:color="auto"/>
      </w:divBdr>
    </w:div>
    <w:div w:id="1257596800">
      <w:bodyDiv w:val="1"/>
      <w:marLeft w:val="0"/>
      <w:marRight w:val="0"/>
      <w:marTop w:val="0"/>
      <w:marBottom w:val="0"/>
      <w:divBdr>
        <w:top w:val="none" w:sz="0" w:space="0" w:color="auto"/>
        <w:left w:val="none" w:sz="0" w:space="0" w:color="auto"/>
        <w:bottom w:val="none" w:sz="0" w:space="0" w:color="auto"/>
        <w:right w:val="none" w:sz="0" w:space="0" w:color="auto"/>
      </w:divBdr>
    </w:div>
    <w:div w:id="1258487817">
      <w:bodyDiv w:val="1"/>
      <w:marLeft w:val="0"/>
      <w:marRight w:val="0"/>
      <w:marTop w:val="0"/>
      <w:marBottom w:val="0"/>
      <w:divBdr>
        <w:top w:val="none" w:sz="0" w:space="0" w:color="auto"/>
        <w:left w:val="none" w:sz="0" w:space="0" w:color="auto"/>
        <w:bottom w:val="none" w:sz="0" w:space="0" w:color="auto"/>
        <w:right w:val="none" w:sz="0" w:space="0" w:color="auto"/>
      </w:divBdr>
    </w:div>
    <w:div w:id="1259559885">
      <w:bodyDiv w:val="1"/>
      <w:marLeft w:val="0"/>
      <w:marRight w:val="0"/>
      <w:marTop w:val="0"/>
      <w:marBottom w:val="0"/>
      <w:divBdr>
        <w:top w:val="none" w:sz="0" w:space="0" w:color="auto"/>
        <w:left w:val="none" w:sz="0" w:space="0" w:color="auto"/>
        <w:bottom w:val="none" w:sz="0" w:space="0" w:color="auto"/>
        <w:right w:val="none" w:sz="0" w:space="0" w:color="auto"/>
      </w:divBdr>
    </w:div>
    <w:div w:id="1261063822">
      <w:bodyDiv w:val="1"/>
      <w:marLeft w:val="0"/>
      <w:marRight w:val="0"/>
      <w:marTop w:val="0"/>
      <w:marBottom w:val="0"/>
      <w:divBdr>
        <w:top w:val="none" w:sz="0" w:space="0" w:color="auto"/>
        <w:left w:val="none" w:sz="0" w:space="0" w:color="auto"/>
        <w:bottom w:val="none" w:sz="0" w:space="0" w:color="auto"/>
        <w:right w:val="none" w:sz="0" w:space="0" w:color="auto"/>
      </w:divBdr>
    </w:div>
    <w:div w:id="1263223168">
      <w:bodyDiv w:val="1"/>
      <w:marLeft w:val="0"/>
      <w:marRight w:val="0"/>
      <w:marTop w:val="0"/>
      <w:marBottom w:val="0"/>
      <w:divBdr>
        <w:top w:val="none" w:sz="0" w:space="0" w:color="auto"/>
        <w:left w:val="none" w:sz="0" w:space="0" w:color="auto"/>
        <w:bottom w:val="none" w:sz="0" w:space="0" w:color="auto"/>
        <w:right w:val="none" w:sz="0" w:space="0" w:color="auto"/>
      </w:divBdr>
    </w:div>
    <w:div w:id="1263301799">
      <w:bodyDiv w:val="1"/>
      <w:marLeft w:val="0"/>
      <w:marRight w:val="0"/>
      <w:marTop w:val="0"/>
      <w:marBottom w:val="0"/>
      <w:divBdr>
        <w:top w:val="none" w:sz="0" w:space="0" w:color="auto"/>
        <w:left w:val="none" w:sz="0" w:space="0" w:color="auto"/>
        <w:bottom w:val="none" w:sz="0" w:space="0" w:color="auto"/>
        <w:right w:val="none" w:sz="0" w:space="0" w:color="auto"/>
      </w:divBdr>
    </w:div>
    <w:div w:id="1264416675">
      <w:bodyDiv w:val="1"/>
      <w:marLeft w:val="0"/>
      <w:marRight w:val="0"/>
      <w:marTop w:val="0"/>
      <w:marBottom w:val="0"/>
      <w:divBdr>
        <w:top w:val="none" w:sz="0" w:space="0" w:color="auto"/>
        <w:left w:val="none" w:sz="0" w:space="0" w:color="auto"/>
        <w:bottom w:val="none" w:sz="0" w:space="0" w:color="auto"/>
        <w:right w:val="none" w:sz="0" w:space="0" w:color="auto"/>
      </w:divBdr>
    </w:div>
    <w:div w:id="1265772061">
      <w:bodyDiv w:val="1"/>
      <w:marLeft w:val="0"/>
      <w:marRight w:val="0"/>
      <w:marTop w:val="0"/>
      <w:marBottom w:val="0"/>
      <w:divBdr>
        <w:top w:val="none" w:sz="0" w:space="0" w:color="auto"/>
        <w:left w:val="none" w:sz="0" w:space="0" w:color="auto"/>
        <w:bottom w:val="none" w:sz="0" w:space="0" w:color="auto"/>
        <w:right w:val="none" w:sz="0" w:space="0" w:color="auto"/>
      </w:divBdr>
    </w:div>
    <w:div w:id="1266111249">
      <w:bodyDiv w:val="1"/>
      <w:marLeft w:val="0"/>
      <w:marRight w:val="0"/>
      <w:marTop w:val="0"/>
      <w:marBottom w:val="0"/>
      <w:divBdr>
        <w:top w:val="none" w:sz="0" w:space="0" w:color="auto"/>
        <w:left w:val="none" w:sz="0" w:space="0" w:color="auto"/>
        <w:bottom w:val="none" w:sz="0" w:space="0" w:color="auto"/>
        <w:right w:val="none" w:sz="0" w:space="0" w:color="auto"/>
      </w:divBdr>
    </w:div>
    <w:div w:id="1266423815">
      <w:bodyDiv w:val="1"/>
      <w:marLeft w:val="0"/>
      <w:marRight w:val="0"/>
      <w:marTop w:val="0"/>
      <w:marBottom w:val="0"/>
      <w:divBdr>
        <w:top w:val="none" w:sz="0" w:space="0" w:color="auto"/>
        <w:left w:val="none" w:sz="0" w:space="0" w:color="auto"/>
        <w:bottom w:val="none" w:sz="0" w:space="0" w:color="auto"/>
        <w:right w:val="none" w:sz="0" w:space="0" w:color="auto"/>
      </w:divBdr>
    </w:div>
    <w:div w:id="1268346795">
      <w:bodyDiv w:val="1"/>
      <w:marLeft w:val="0"/>
      <w:marRight w:val="0"/>
      <w:marTop w:val="0"/>
      <w:marBottom w:val="0"/>
      <w:divBdr>
        <w:top w:val="none" w:sz="0" w:space="0" w:color="auto"/>
        <w:left w:val="none" w:sz="0" w:space="0" w:color="auto"/>
        <w:bottom w:val="none" w:sz="0" w:space="0" w:color="auto"/>
        <w:right w:val="none" w:sz="0" w:space="0" w:color="auto"/>
      </w:divBdr>
    </w:div>
    <w:div w:id="1270354019">
      <w:bodyDiv w:val="1"/>
      <w:marLeft w:val="0"/>
      <w:marRight w:val="0"/>
      <w:marTop w:val="0"/>
      <w:marBottom w:val="0"/>
      <w:divBdr>
        <w:top w:val="none" w:sz="0" w:space="0" w:color="auto"/>
        <w:left w:val="none" w:sz="0" w:space="0" w:color="auto"/>
        <w:bottom w:val="none" w:sz="0" w:space="0" w:color="auto"/>
        <w:right w:val="none" w:sz="0" w:space="0" w:color="auto"/>
      </w:divBdr>
    </w:div>
    <w:div w:id="1273126935">
      <w:bodyDiv w:val="1"/>
      <w:marLeft w:val="0"/>
      <w:marRight w:val="0"/>
      <w:marTop w:val="0"/>
      <w:marBottom w:val="0"/>
      <w:divBdr>
        <w:top w:val="none" w:sz="0" w:space="0" w:color="auto"/>
        <w:left w:val="none" w:sz="0" w:space="0" w:color="auto"/>
        <w:bottom w:val="none" w:sz="0" w:space="0" w:color="auto"/>
        <w:right w:val="none" w:sz="0" w:space="0" w:color="auto"/>
      </w:divBdr>
    </w:div>
    <w:div w:id="1273509651">
      <w:bodyDiv w:val="1"/>
      <w:marLeft w:val="0"/>
      <w:marRight w:val="0"/>
      <w:marTop w:val="0"/>
      <w:marBottom w:val="0"/>
      <w:divBdr>
        <w:top w:val="none" w:sz="0" w:space="0" w:color="auto"/>
        <w:left w:val="none" w:sz="0" w:space="0" w:color="auto"/>
        <w:bottom w:val="none" w:sz="0" w:space="0" w:color="auto"/>
        <w:right w:val="none" w:sz="0" w:space="0" w:color="auto"/>
      </w:divBdr>
    </w:div>
    <w:div w:id="1274484367">
      <w:bodyDiv w:val="1"/>
      <w:marLeft w:val="0"/>
      <w:marRight w:val="0"/>
      <w:marTop w:val="0"/>
      <w:marBottom w:val="0"/>
      <w:divBdr>
        <w:top w:val="none" w:sz="0" w:space="0" w:color="auto"/>
        <w:left w:val="none" w:sz="0" w:space="0" w:color="auto"/>
        <w:bottom w:val="none" w:sz="0" w:space="0" w:color="auto"/>
        <w:right w:val="none" w:sz="0" w:space="0" w:color="auto"/>
      </w:divBdr>
    </w:div>
    <w:div w:id="1277905714">
      <w:bodyDiv w:val="1"/>
      <w:marLeft w:val="0"/>
      <w:marRight w:val="0"/>
      <w:marTop w:val="0"/>
      <w:marBottom w:val="0"/>
      <w:divBdr>
        <w:top w:val="none" w:sz="0" w:space="0" w:color="auto"/>
        <w:left w:val="none" w:sz="0" w:space="0" w:color="auto"/>
        <w:bottom w:val="none" w:sz="0" w:space="0" w:color="auto"/>
        <w:right w:val="none" w:sz="0" w:space="0" w:color="auto"/>
      </w:divBdr>
    </w:div>
    <w:div w:id="1278021086">
      <w:bodyDiv w:val="1"/>
      <w:marLeft w:val="0"/>
      <w:marRight w:val="0"/>
      <w:marTop w:val="0"/>
      <w:marBottom w:val="0"/>
      <w:divBdr>
        <w:top w:val="none" w:sz="0" w:space="0" w:color="auto"/>
        <w:left w:val="none" w:sz="0" w:space="0" w:color="auto"/>
        <w:bottom w:val="none" w:sz="0" w:space="0" w:color="auto"/>
        <w:right w:val="none" w:sz="0" w:space="0" w:color="auto"/>
      </w:divBdr>
    </w:div>
    <w:div w:id="1278682382">
      <w:bodyDiv w:val="1"/>
      <w:marLeft w:val="0"/>
      <w:marRight w:val="0"/>
      <w:marTop w:val="0"/>
      <w:marBottom w:val="0"/>
      <w:divBdr>
        <w:top w:val="none" w:sz="0" w:space="0" w:color="auto"/>
        <w:left w:val="none" w:sz="0" w:space="0" w:color="auto"/>
        <w:bottom w:val="none" w:sz="0" w:space="0" w:color="auto"/>
        <w:right w:val="none" w:sz="0" w:space="0" w:color="auto"/>
      </w:divBdr>
    </w:div>
    <w:div w:id="1279725366">
      <w:bodyDiv w:val="1"/>
      <w:marLeft w:val="0"/>
      <w:marRight w:val="0"/>
      <w:marTop w:val="0"/>
      <w:marBottom w:val="0"/>
      <w:divBdr>
        <w:top w:val="none" w:sz="0" w:space="0" w:color="auto"/>
        <w:left w:val="none" w:sz="0" w:space="0" w:color="auto"/>
        <w:bottom w:val="none" w:sz="0" w:space="0" w:color="auto"/>
        <w:right w:val="none" w:sz="0" w:space="0" w:color="auto"/>
      </w:divBdr>
    </w:div>
    <w:div w:id="1280259462">
      <w:bodyDiv w:val="1"/>
      <w:marLeft w:val="0"/>
      <w:marRight w:val="0"/>
      <w:marTop w:val="0"/>
      <w:marBottom w:val="0"/>
      <w:divBdr>
        <w:top w:val="none" w:sz="0" w:space="0" w:color="auto"/>
        <w:left w:val="none" w:sz="0" w:space="0" w:color="auto"/>
        <w:bottom w:val="none" w:sz="0" w:space="0" w:color="auto"/>
        <w:right w:val="none" w:sz="0" w:space="0" w:color="auto"/>
      </w:divBdr>
    </w:div>
    <w:div w:id="1280919874">
      <w:bodyDiv w:val="1"/>
      <w:marLeft w:val="0"/>
      <w:marRight w:val="0"/>
      <w:marTop w:val="0"/>
      <w:marBottom w:val="0"/>
      <w:divBdr>
        <w:top w:val="none" w:sz="0" w:space="0" w:color="auto"/>
        <w:left w:val="none" w:sz="0" w:space="0" w:color="auto"/>
        <w:bottom w:val="none" w:sz="0" w:space="0" w:color="auto"/>
        <w:right w:val="none" w:sz="0" w:space="0" w:color="auto"/>
      </w:divBdr>
    </w:div>
    <w:div w:id="1281648524">
      <w:bodyDiv w:val="1"/>
      <w:marLeft w:val="0"/>
      <w:marRight w:val="0"/>
      <w:marTop w:val="0"/>
      <w:marBottom w:val="0"/>
      <w:divBdr>
        <w:top w:val="none" w:sz="0" w:space="0" w:color="auto"/>
        <w:left w:val="none" w:sz="0" w:space="0" w:color="auto"/>
        <w:bottom w:val="none" w:sz="0" w:space="0" w:color="auto"/>
        <w:right w:val="none" w:sz="0" w:space="0" w:color="auto"/>
      </w:divBdr>
    </w:div>
    <w:div w:id="1282801787">
      <w:bodyDiv w:val="1"/>
      <w:marLeft w:val="0"/>
      <w:marRight w:val="0"/>
      <w:marTop w:val="0"/>
      <w:marBottom w:val="0"/>
      <w:divBdr>
        <w:top w:val="none" w:sz="0" w:space="0" w:color="auto"/>
        <w:left w:val="none" w:sz="0" w:space="0" w:color="auto"/>
        <w:bottom w:val="none" w:sz="0" w:space="0" w:color="auto"/>
        <w:right w:val="none" w:sz="0" w:space="0" w:color="auto"/>
      </w:divBdr>
    </w:div>
    <w:div w:id="1282802821">
      <w:bodyDiv w:val="1"/>
      <w:marLeft w:val="0"/>
      <w:marRight w:val="0"/>
      <w:marTop w:val="0"/>
      <w:marBottom w:val="0"/>
      <w:divBdr>
        <w:top w:val="none" w:sz="0" w:space="0" w:color="auto"/>
        <w:left w:val="none" w:sz="0" w:space="0" w:color="auto"/>
        <w:bottom w:val="none" w:sz="0" w:space="0" w:color="auto"/>
        <w:right w:val="none" w:sz="0" w:space="0" w:color="auto"/>
      </w:divBdr>
    </w:div>
    <w:div w:id="1282878838">
      <w:bodyDiv w:val="1"/>
      <w:marLeft w:val="0"/>
      <w:marRight w:val="0"/>
      <w:marTop w:val="0"/>
      <w:marBottom w:val="0"/>
      <w:divBdr>
        <w:top w:val="none" w:sz="0" w:space="0" w:color="auto"/>
        <w:left w:val="none" w:sz="0" w:space="0" w:color="auto"/>
        <w:bottom w:val="none" w:sz="0" w:space="0" w:color="auto"/>
        <w:right w:val="none" w:sz="0" w:space="0" w:color="auto"/>
      </w:divBdr>
    </w:div>
    <w:div w:id="1283924695">
      <w:bodyDiv w:val="1"/>
      <w:marLeft w:val="0"/>
      <w:marRight w:val="0"/>
      <w:marTop w:val="0"/>
      <w:marBottom w:val="0"/>
      <w:divBdr>
        <w:top w:val="none" w:sz="0" w:space="0" w:color="auto"/>
        <w:left w:val="none" w:sz="0" w:space="0" w:color="auto"/>
        <w:bottom w:val="none" w:sz="0" w:space="0" w:color="auto"/>
        <w:right w:val="none" w:sz="0" w:space="0" w:color="auto"/>
      </w:divBdr>
    </w:div>
    <w:div w:id="1284270308">
      <w:bodyDiv w:val="1"/>
      <w:marLeft w:val="0"/>
      <w:marRight w:val="0"/>
      <w:marTop w:val="0"/>
      <w:marBottom w:val="0"/>
      <w:divBdr>
        <w:top w:val="none" w:sz="0" w:space="0" w:color="auto"/>
        <w:left w:val="none" w:sz="0" w:space="0" w:color="auto"/>
        <w:bottom w:val="none" w:sz="0" w:space="0" w:color="auto"/>
        <w:right w:val="none" w:sz="0" w:space="0" w:color="auto"/>
      </w:divBdr>
    </w:div>
    <w:div w:id="1284918682">
      <w:bodyDiv w:val="1"/>
      <w:marLeft w:val="0"/>
      <w:marRight w:val="0"/>
      <w:marTop w:val="0"/>
      <w:marBottom w:val="0"/>
      <w:divBdr>
        <w:top w:val="none" w:sz="0" w:space="0" w:color="auto"/>
        <w:left w:val="none" w:sz="0" w:space="0" w:color="auto"/>
        <w:bottom w:val="none" w:sz="0" w:space="0" w:color="auto"/>
        <w:right w:val="none" w:sz="0" w:space="0" w:color="auto"/>
      </w:divBdr>
    </w:div>
    <w:div w:id="1285455281">
      <w:bodyDiv w:val="1"/>
      <w:marLeft w:val="0"/>
      <w:marRight w:val="0"/>
      <w:marTop w:val="0"/>
      <w:marBottom w:val="0"/>
      <w:divBdr>
        <w:top w:val="none" w:sz="0" w:space="0" w:color="auto"/>
        <w:left w:val="none" w:sz="0" w:space="0" w:color="auto"/>
        <w:bottom w:val="none" w:sz="0" w:space="0" w:color="auto"/>
        <w:right w:val="none" w:sz="0" w:space="0" w:color="auto"/>
      </w:divBdr>
    </w:div>
    <w:div w:id="1287855772">
      <w:bodyDiv w:val="1"/>
      <w:marLeft w:val="0"/>
      <w:marRight w:val="0"/>
      <w:marTop w:val="0"/>
      <w:marBottom w:val="0"/>
      <w:divBdr>
        <w:top w:val="none" w:sz="0" w:space="0" w:color="auto"/>
        <w:left w:val="none" w:sz="0" w:space="0" w:color="auto"/>
        <w:bottom w:val="none" w:sz="0" w:space="0" w:color="auto"/>
        <w:right w:val="none" w:sz="0" w:space="0" w:color="auto"/>
      </w:divBdr>
    </w:div>
    <w:div w:id="1288700589">
      <w:bodyDiv w:val="1"/>
      <w:marLeft w:val="0"/>
      <w:marRight w:val="0"/>
      <w:marTop w:val="0"/>
      <w:marBottom w:val="0"/>
      <w:divBdr>
        <w:top w:val="none" w:sz="0" w:space="0" w:color="auto"/>
        <w:left w:val="none" w:sz="0" w:space="0" w:color="auto"/>
        <w:bottom w:val="none" w:sz="0" w:space="0" w:color="auto"/>
        <w:right w:val="none" w:sz="0" w:space="0" w:color="auto"/>
      </w:divBdr>
    </w:div>
    <w:div w:id="1288778522">
      <w:bodyDiv w:val="1"/>
      <w:marLeft w:val="0"/>
      <w:marRight w:val="0"/>
      <w:marTop w:val="0"/>
      <w:marBottom w:val="0"/>
      <w:divBdr>
        <w:top w:val="none" w:sz="0" w:space="0" w:color="auto"/>
        <w:left w:val="none" w:sz="0" w:space="0" w:color="auto"/>
        <w:bottom w:val="none" w:sz="0" w:space="0" w:color="auto"/>
        <w:right w:val="none" w:sz="0" w:space="0" w:color="auto"/>
      </w:divBdr>
    </w:div>
    <w:div w:id="1289505582">
      <w:bodyDiv w:val="1"/>
      <w:marLeft w:val="0"/>
      <w:marRight w:val="0"/>
      <w:marTop w:val="0"/>
      <w:marBottom w:val="0"/>
      <w:divBdr>
        <w:top w:val="none" w:sz="0" w:space="0" w:color="auto"/>
        <w:left w:val="none" w:sz="0" w:space="0" w:color="auto"/>
        <w:bottom w:val="none" w:sz="0" w:space="0" w:color="auto"/>
        <w:right w:val="none" w:sz="0" w:space="0" w:color="auto"/>
      </w:divBdr>
    </w:div>
    <w:div w:id="1291788219">
      <w:bodyDiv w:val="1"/>
      <w:marLeft w:val="0"/>
      <w:marRight w:val="0"/>
      <w:marTop w:val="0"/>
      <w:marBottom w:val="0"/>
      <w:divBdr>
        <w:top w:val="none" w:sz="0" w:space="0" w:color="auto"/>
        <w:left w:val="none" w:sz="0" w:space="0" w:color="auto"/>
        <w:bottom w:val="none" w:sz="0" w:space="0" w:color="auto"/>
        <w:right w:val="none" w:sz="0" w:space="0" w:color="auto"/>
      </w:divBdr>
    </w:div>
    <w:div w:id="1294170755">
      <w:bodyDiv w:val="1"/>
      <w:marLeft w:val="0"/>
      <w:marRight w:val="0"/>
      <w:marTop w:val="0"/>
      <w:marBottom w:val="0"/>
      <w:divBdr>
        <w:top w:val="none" w:sz="0" w:space="0" w:color="auto"/>
        <w:left w:val="none" w:sz="0" w:space="0" w:color="auto"/>
        <w:bottom w:val="none" w:sz="0" w:space="0" w:color="auto"/>
        <w:right w:val="none" w:sz="0" w:space="0" w:color="auto"/>
      </w:divBdr>
    </w:div>
    <w:div w:id="1294869817">
      <w:bodyDiv w:val="1"/>
      <w:marLeft w:val="0"/>
      <w:marRight w:val="0"/>
      <w:marTop w:val="0"/>
      <w:marBottom w:val="0"/>
      <w:divBdr>
        <w:top w:val="none" w:sz="0" w:space="0" w:color="auto"/>
        <w:left w:val="none" w:sz="0" w:space="0" w:color="auto"/>
        <w:bottom w:val="none" w:sz="0" w:space="0" w:color="auto"/>
        <w:right w:val="none" w:sz="0" w:space="0" w:color="auto"/>
      </w:divBdr>
    </w:div>
    <w:div w:id="1296637970">
      <w:bodyDiv w:val="1"/>
      <w:marLeft w:val="0"/>
      <w:marRight w:val="0"/>
      <w:marTop w:val="0"/>
      <w:marBottom w:val="0"/>
      <w:divBdr>
        <w:top w:val="none" w:sz="0" w:space="0" w:color="auto"/>
        <w:left w:val="none" w:sz="0" w:space="0" w:color="auto"/>
        <w:bottom w:val="none" w:sz="0" w:space="0" w:color="auto"/>
        <w:right w:val="none" w:sz="0" w:space="0" w:color="auto"/>
      </w:divBdr>
    </w:div>
    <w:div w:id="1296792436">
      <w:bodyDiv w:val="1"/>
      <w:marLeft w:val="0"/>
      <w:marRight w:val="0"/>
      <w:marTop w:val="0"/>
      <w:marBottom w:val="0"/>
      <w:divBdr>
        <w:top w:val="none" w:sz="0" w:space="0" w:color="auto"/>
        <w:left w:val="none" w:sz="0" w:space="0" w:color="auto"/>
        <w:bottom w:val="none" w:sz="0" w:space="0" w:color="auto"/>
        <w:right w:val="none" w:sz="0" w:space="0" w:color="auto"/>
      </w:divBdr>
    </w:div>
    <w:div w:id="1301376128">
      <w:bodyDiv w:val="1"/>
      <w:marLeft w:val="0"/>
      <w:marRight w:val="0"/>
      <w:marTop w:val="0"/>
      <w:marBottom w:val="0"/>
      <w:divBdr>
        <w:top w:val="none" w:sz="0" w:space="0" w:color="auto"/>
        <w:left w:val="none" w:sz="0" w:space="0" w:color="auto"/>
        <w:bottom w:val="none" w:sz="0" w:space="0" w:color="auto"/>
        <w:right w:val="none" w:sz="0" w:space="0" w:color="auto"/>
      </w:divBdr>
    </w:div>
    <w:div w:id="1301612941">
      <w:bodyDiv w:val="1"/>
      <w:marLeft w:val="0"/>
      <w:marRight w:val="0"/>
      <w:marTop w:val="0"/>
      <w:marBottom w:val="0"/>
      <w:divBdr>
        <w:top w:val="none" w:sz="0" w:space="0" w:color="auto"/>
        <w:left w:val="none" w:sz="0" w:space="0" w:color="auto"/>
        <w:bottom w:val="none" w:sz="0" w:space="0" w:color="auto"/>
        <w:right w:val="none" w:sz="0" w:space="0" w:color="auto"/>
      </w:divBdr>
    </w:div>
    <w:div w:id="1301954374">
      <w:bodyDiv w:val="1"/>
      <w:marLeft w:val="0"/>
      <w:marRight w:val="0"/>
      <w:marTop w:val="0"/>
      <w:marBottom w:val="0"/>
      <w:divBdr>
        <w:top w:val="none" w:sz="0" w:space="0" w:color="auto"/>
        <w:left w:val="none" w:sz="0" w:space="0" w:color="auto"/>
        <w:bottom w:val="none" w:sz="0" w:space="0" w:color="auto"/>
        <w:right w:val="none" w:sz="0" w:space="0" w:color="auto"/>
      </w:divBdr>
    </w:div>
    <w:div w:id="1302274975">
      <w:bodyDiv w:val="1"/>
      <w:marLeft w:val="0"/>
      <w:marRight w:val="0"/>
      <w:marTop w:val="0"/>
      <w:marBottom w:val="0"/>
      <w:divBdr>
        <w:top w:val="none" w:sz="0" w:space="0" w:color="auto"/>
        <w:left w:val="none" w:sz="0" w:space="0" w:color="auto"/>
        <w:bottom w:val="none" w:sz="0" w:space="0" w:color="auto"/>
        <w:right w:val="none" w:sz="0" w:space="0" w:color="auto"/>
      </w:divBdr>
    </w:div>
    <w:div w:id="1303079873">
      <w:bodyDiv w:val="1"/>
      <w:marLeft w:val="0"/>
      <w:marRight w:val="0"/>
      <w:marTop w:val="0"/>
      <w:marBottom w:val="0"/>
      <w:divBdr>
        <w:top w:val="none" w:sz="0" w:space="0" w:color="auto"/>
        <w:left w:val="none" w:sz="0" w:space="0" w:color="auto"/>
        <w:bottom w:val="none" w:sz="0" w:space="0" w:color="auto"/>
        <w:right w:val="none" w:sz="0" w:space="0" w:color="auto"/>
      </w:divBdr>
    </w:div>
    <w:div w:id="1303731950">
      <w:bodyDiv w:val="1"/>
      <w:marLeft w:val="0"/>
      <w:marRight w:val="0"/>
      <w:marTop w:val="0"/>
      <w:marBottom w:val="0"/>
      <w:divBdr>
        <w:top w:val="none" w:sz="0" w:space="0" w:color="auto"/>
        <w:left w:val="none" w:sz="0" w:space="0" w:color="auto"/>
        <w:bottom w:val="none" w:sz="0" w:space="0" w:color="auto"/>
        <w:right w:val="none" w:sz="0" w:space="0" w:color="auto"/>
      </w:divBdr>
    </w:div>
    <w:div w:id="1304040113">
      <w:bodyDiv w:val="1"/>
      <w:marLeft w:val="0"/>
      <w:marRight w:val="0"/>
      <w:marTop w:val="0"/>
      <w:marBottom w:val="0"/>
      <w:divBdr>
        <w:top w:val="none" w:sz="0" w:space="0" w:color="auto"/>
        <w:left w:val="none" w:sz="0" w:space="0" w:color="auto"/>
        <w:bottom w:val="none" w:sz="0" w:space="0" w:color="auto"/>
        <w:right w:val="none" w:sz="0" w:space="0" w:color="auto"/>
      </w:divBdr>
    </w:div>
    <w:div w:id="1304307899">
      <w:bodyDiv w:val="1"/>
      <w:marLeft w:val="0"/>
      <w:marRight w:val="0"/>
      <w:marTop w:val="0"/>
      <w:marBottom w:val="0"/>
      <w:divBdr>
        <w:top w:val="none" w:sz="0" w:space="0" w:color="auto"/>
        <w:left w:val="none" w:sz="0" w:space="0" w:color="auto"/>
        <w:bottom w:val="none" w:sz="0" w:space="0" w:color="auto"/>
        <w:right w:val="none" w:sz="0" w:space="0" w:color="auto"/>
      </w:divBdr>
    </w:div>
    <w:div w:id="1305619485">
      <w:bodyDiv w:val="1"/>
      <w:marLeft w:val="0"/>
      <w:marRight w:val="0"/>
      <w:marTop w:val="0"/>
      <w:marBottom w:val="0"/>
      <w:divBdr>
        <w:top w:val="none" w:sz="0" w:space="0" w:color="auto"/>
        <w:left w:val="none" w:sz="0" w:space="0" w:color="auto"/>
        <w:bottom w:val="none" w:sz="0" w:space="0" w:color="auto"/>
        <w:right w:val="none" w:sz="0" w:space="0" w:color="auto"/>
      </w:divBdr>
    </w:div>
    <w:div w:id="1306162078">
      <w:bodyDiv w:val="1"/>
      <w:marLeft w:val="0"/>
      <w:marRight w:val="0"/>
      <w:marTop w:val="0"/>
      <w:marBottom w:val="0"/>
      <w:divBdr>
        <w:top w:val="none" w:sz="0" w:space="0" w:color="auto"/>
        <w:left w:val="none" w:sz="0" w:space="0" w:color="auto"/>
        <w:bottom w:val="none" w:sz="0" w:space="0" w:color="auto"/>
        <w:right w:val="none" w:sz="0" w:space="0" w:color="auto"/>
      </w:divBdr>
    </w:div>
    <w:div w:id="1308628471">
      <w:bodyDiv w:val="1"/>
      <w:marLeft w:val="0"/>
      <w:marRight w:val="0"/>
      <w:marTop w:val="0"/>
      <w:marBottom w:val="0"/>
      <w:divBdr>
        <w:top w:val="none" w:sz="0" w:space="0" w:color="auto"/>
        <w:left w:val="none" w:sz="0" w:space="0" w:color="auto"/>
        <w:bottom w:val="none" w:sz="0" w:space="0" w:color="auto"/>
        <w:right w:val="none" w:sz="0" w:space="0" w:color="auto"/>
      </w:divBdr>
    </w:div>
    <w:div w:id="1308632965">
      <w:bodyDiv w:val="1"/>
      <w:marLeft w:val="0"/>
      <w:marRight w:val="0"/>
      <w:marTop w:val="0"/>
      <w:marBottom w:val="0"/>
      <w:divBdr>
        <w:top w:val="none" w:sz="0" w:space="0" w:color="auto"/>
        <w:left w:val="none" w:sz="0" w:space="0" w:color="auto"/>
        <w:bottom w:val="none" w:sz="0" w:space="0" w:color="auto"/>
        <w:right w:val="none" w:sz="0" w:space="0" w:color="auto"/>
      </w:divBdr>
    </w:div>
    <w:div w:id="1308782183">
      <w:bodyDiv w:val="1"/>
      <w:marLeft w:val="0"/>
      <w:marRight w:val="0"/>
      <w:marTop w:val="0"/>
      <w:marBottom w:val="0"/>
      <w:divBdr>
        <w:top w:val="none" w:sz="0" w:space="0" w:color="auto"/>
        <w:left w:val="none" w:sz="0" w:space="0" w:color="auto"/>
        <w:bottom w:val="none" w:sz="0" w:space="0" w:color="auto"/>
        <w:right w:val="none" w:sz="0" w:space="0" w:color="auto"/>
      </w:divBdr>
    </w:div>
    <w:div w:id="1309674934">
      <w:bodyDiv w:val="1"/>
      <w:marLeft w:val="0"/>
      <w:marRight w:val="0"/>
      <w:marTop w:val="0"/>
      <w:marBottom w:val="0"/>
      <w:divBdr>
        <w:top w:val="none" w:sz="0" w:space="0" w:color="auto"/>
        <w:left w:val="none" w:sz="0" w:space="0" w:color="auto"/>
        <w:bottom w:val="none" w:sz="0" w:space="0" w:color="auto"/>
        <w:right w:val="none" w:sz="0" w:space="0" w:color="auto"/>
      </w:divBdr>
    </w:div>
    <w:div w:id="1313757768">
      <w:bodyDiv w:val="1"/>
      <w:marLeft w:val="0"/>
      <w:marRight w:val="0"/>
      <w:marTop w:val="0"/>
      <w:marBottom w:val="0"/>
      <w:divBdr>
        <w:top w:val="none" w:sz="0" w:space="0" w:color="auto"/>
        <w:left w:val="none" w:sz="0" w:space="0" w:color="auto"/>
        <w:bottom w:val="none" w:sz="0" w:space="0" w:color="auto"/>
        <w:right w:val="none" w:sz="0" w:space="0" w:color="auto"/>
      </w:divBdr>
    </w:div>
    <w:div w:id="1315838971">
      <w:bodyDiv w:val="1"/>
      <w:marLeft w:val="0"/>
      <w:marRight w:val="0"/>
      <w:marTop w:val="0"/>
      <w:marBottom w:val="0"/>
      <w:divBdr>
        <w:top w:val="none" w:sz="0" w:space="0" w:color="auto"/>
        <w:left w:val="none" w:sz="0" w:space="0" w:color="auto"/>
        <w:bottom w:val="none" w:sz="0" w:space="0" w:color="auto"/>
        <w:right w:val="none" w:sz="0" w:space="0" w:color="auto"/>
      </w:divBdr>
    </w:div>
    <w:div w:id="1316031809">
      <w:bodyDiv w:val="1"/>
      <w:marLeft w:val="0"/>
      <w:marRight w:val="0"/>
      <w:marTop w:val="0"/>
      <w:marBottom w:val="0"/>
      <w:divBdr>
        <w:top w:val="none" w:sz="0" w:space="0" w:color="auto"/>
        <w:left w:val="none" w:sz="0" w:space="0" w:color="auto"/>
        <w:bottom w:val="none" w:sz="0" w:space="0" w:color="auto"/>
        <w:right w:val="none" w:sz="0" w:space="0" w:color="auto"/>
      </w:divBdr>
    </w:div>
    <w:div w:id="1316563672">
      <w:bodyDiv w:val="1"/>
      <w:marLeft w:val="0"/>
      <w:marRight w:val="0"/>
      <w:marTop w:val="0"/>
      <w:marBottom w:val="0"/>
      <w:divBdr>
        <w:top w:val="none" w:sz="0" w:space="0" w:color="auto"/>
        <w:left w:val="none" w:sz="0" w:space="0" w:color="auto"/>
        <w:bottom w:val="none" w:sz="0" w:space="0" w:color="auto"/>
        <w:right w:val="none" w:sz="0" w:space="0" w:color="auto"/>
      </w:divBdr>
    </w:div>
    <w:div w:id="1317879575">
      <w:bodyDiv w:val="1"/>
      <w:marLeft w:val="0"/>
      <w:marRight w:val="0"/>
      <w:marTop w:val="0"/>
      <w:marBottom w:val="0"/>
      <w:divBdr>
        <w:top w:val="none" w:sz="0" w:space="0" w:color="auto"/>
        <w:left w:val="none" w:sz="0" w:space="0" w:color="auto"/>
        <w:bottom w:val="none" w:sz="0" w:space="0" w:color="auto"/>
        <w:right w:val="none" w:sz="0" w:space="0" w:color="auto"/>
      </w:divBdr>
    </w:div>
    <w:div w:id="1319993074">
      <w:bodyDiv w:val="1"/>
      <w:marLeft w:val="0"/>
      <w:marRight w:val="0"/>
      <w:marTop w:val="0"/>
      <w:marBottom w:val="0"/>
      <w:divBdr>
        <w:top w:val="none" w:sz="0" w:space="0" w:color="auto"/>
        <w:left w:val="none" w:sz="0" w:space="0" w:color="auto"/>
        <w:bottom w:val="none" w:sz="0" w:space="0" w:color="auto"/>
        <w:right w:val="none" w:sz="0" w:space="0" w:color="auto"/>
      </w:divBdr>
    </w:div>
    <w:div w:id="1324048633">
      <w:bodyDiv w:val="1"/>
      <w:marLeft w:val="0"/>
      <w:marRight w:val="0"/>
      <w:marTop w:val="0"/>
      <w:marBottom w:val="0"/>
      <w:divBdr>
        <w:top w:val="none" w:sz="0" w:space="0" w:color="auto"/>
        <w:left w:val="none" w:sz="0" w:space="0" w:color="auto"/>
        <w:bottom w:val="none" w:sz="0" w:space="0" w:color="auto"/>
        <w:right w:val="none" w:sz="0" w:space="0" w:color="auto"/>
      </w:divBdr>
    </w:div>
    <w:div w:id="1324628450">
      <w:bodyDiv w:val="1"/>
      <w:marLeft w:val="0"/>
      <w:marRight w:val="0"/>
      <w:marTop w:val="0"/>
      <w:marBottom w:val="0"/>
      <w:divBdr>
        <w:top w:val="none" w:sz="0" w:space="0" w:color="auto"/>
        <w:left w:val="none" w:sz="0" w:space="0" w:color="auto"/>
        <w:bottom w:val="none" w:sz="0" w:space="0" w:color="auto"/>
        <w:right w:val="none" w:sz="0" w:space="0" w:color="auto"/>
      </w:divBdr>
    </w:div>
    <w:div w:id="1325813696">
      <w:bodyDiv w:val="1"/>
      <w:marLeft w:val="0"/>
      <w:marRight w:val="0"/>
      <w:marTop w:val="0"/>
      <w:marBottom w:val="0"/>
      <w:divBdr>
        <w:top w:val="none" w:sz="0" w:space="0" w:color="auto"/>
        <w:left w:val="none" w:sz="0" w:space="0" w:color="auto"/>
        <w:bottom w:val="none" w:sz="0" w:space="0" w:color="auto"/>
        <w:right w:val="none" w:sz="0" w:space="0" w:color="auto"/>
      </w:divBdr>
    </w:div>
    <w:div w:id="1325862699">
      <w:bodyDiv w:val="1"/>
      <w:marLeft w:val="0"/>
      <w:marRight w:val="0"/>
      <w:marTop w:val="0"/>
      <w:marBottom w:val="0"/>
      <w:divBdr>
        <w:top w:val="none" w:sz="0" w:space="0" w:color="auto"/>
        <w:left w:val="none" w:sz="0" w:space="0" w:color="auto"/>
        <w:bottom w:val="none" w:sz="0" w:space="0" w:color="auto"/>
        <w:right w:val="none" w:sz="0" w:space="0" w:color="auto"/>
      </w:divBdr>
    </w:div>
    <w:div w:id="1327200096">
      <w:bodyDiv w:val="1"/>
      <w:marLeft w:val="0"/>
      <w:marRight w:val="0"/>
      <w:marTop w:val="0"/>
      <w:marBottom w:val="0"/>
      <w:divBdr>
        <w:top w:val="none" w:sz="0" w:space="0" w:color="auto"/>
        <w:left w:val="none" w:sz="0" w:space="0" w:color="auto"/>
        <w:bottom w:val="none" w:sz="0" w:space="0" w:color="auto"/>
        <w:right w:val="none" w:sz="0" w:space="0" w:color="auto"/>
      </w:divBdr>
    </w:div>
    <w:div w:id="1327784917">
      <w:bodyDiv w:val="1"/>
      <w:marLeft w:val="0"/>
      <w:marRight w:val="0"/>
      <w:marTop w:val="0"/>
      <w:marBottom w:val="0"/>
      <w:divBdr>
        <w:top w:val="none" w:sz="0" w:space="0" w:color="auto"/>
        <w:left w:val="none" w:sz="0" w:space="0" w:color="auto"/>
        <w:bottom w:val="none" w:sz="0" w:space="0" w:color="auto"/>
        <w:right w:val="none" w:sz="0" w:space="0" w:color="auto"/>
      </w:divBdr>
    </w:div>
    <w:div w:id="1329215810">
      <w:bodyDiv w:val="1"/>
      <w:marLeft w:val="0"/>
      <w:marRight w:val="0"/>
      <w:marTop w:val="0"/>
      <w:marBottom w:val="0"/>
      <w:divBdr>
        <w:top w:val="none" w:sz="0" w:space="0" w:color="auto"/>
        <w:left w:val="none" w:sz="0" w:space="0" w:color="auto"/>
        <w:bottom w:val="none" w:sz="0" w:space="0" w:color="auto"/>
        <w:right w:val="none" w:sz="0" w:space="0" w:color="auto"/>
      </w:divBdr>
    </w:div>
    <w:div w:id="1329285456">
      <w:bodyDiv w:val="1"/>
      <w:marLeft w:val="0"/>
      <w:marRight w:val="0"/>
      <w:marTop w:val="0"/>
      <w:marBottom w:val="0"/>
      <w:divBdr>
        <w:top w:val="none" w:sz="0" w:space="0" w:color="auto"/>
        <w:left w:val="none" w:sz="0" w:space="0" w:color="auto"/>
        <w:bottom w:val="none" w:sz="0" w:space="0" w:color="auto"/>
        <w:right w:val="none" w:sz="0" w:space="0" w:color="auto"/>
      </w:divBdr>
    </w:div>
    <w:div w:id="1330212853">
      <w:bodyDiv w:val="1"/>
      <w:marLeft w:val="0"/>
      <w:marRight w:val="0"/>
      <w:marTop w:val="0"/>
      <w:marBottom w:val="0"/>
      <w:divBdr>
        <w:top w:val="none" w:sz="0" w:space="0" w:color="auto"/>
        <w:left w:val="none" w:sz="0" w:space="0" w:color="auto"/>
        <w:bottom w:val="none" w:sz="0" w:space="0" w:color="auto"/>
        <w:right w:val="none" w:sz="0" w:space="0" w:color="auto"/>
      </w:divBdr>
    </w:div>
    <w:div w:id="1334720036">
      <w:bodyDiv w:val="1"/>
      <w:marLeft w:val="0"/>
      <w:marRight w:val="0"/>
      <w:marTop w:val="0"/>
      <w:marBottom w:val="0"/>
      <w:divBdr>
        <w:top w:val="none" w:sz="0" w:space="0" w:color="auto"/>
        <w:left w:val="none" w:sz="0" w:space="0" w:color="auto"/>
        <w:bottom w:val="none" w:sz="0" w:space="0" w:color="auto"/>
        <w:right w:val="none" w:sz="0" w:space="0" w:color="auto"/>
      </w:divBdr>
    </w:div>
    <w:div w:id="1335110802">
      <w:bodyDiv w:val="1"/>
      <w:marLeft w:val="0"/>
      <w:marRight w:val="0"/>
      <w:marTop w:val="0"/>
      <w:marBottom w:val="0"/>
      <w:divBdr>
        <w:top w:val="none" w:sz="0" w:space="0" w:color="auto"/>
        <w:left w:val="none" w:sz="0" w:space="0" w:color="auto"/>
        <w:bottom w:val="none" w:sz="0" w:space="0" w:color="auto"/>
        <w:right w:val="none" w:sz="0" w:space="0" w:color="auto"/>
      </w:divBdr>
    </w:div>
    <w:div w:id="1335573051">
      <w:bodyDiv w:val="1"/>
      <w:marLeft w:val="0"/>
      <w:marRight w:val="0"/>
      <w:marTop w:val="0"/>
      <w:marBottom w:val="0"/>
      <w:divBdr>
        <w:top w:val="none" w:sz="0" w:space="0" w:color="auto"/>
        <w:left w:val="none" w:sz="0" w:space="0" w:color="auto"/>
        <w:bottom w:val="none" w:sz="0" w:space="0" w:color="auto"/>
        <w:right w:val="none" w:sz="0" w:space="0" w:color="auto"/>
      </w:divBdr>
    </w:div>
    <w:div w:id="1336036405">
      <w:bodyDiv w:val="1"/>
      <w:marLeft w:val="0"/>
      <w:marRight w:val="0"/>
      <w:marTop w:val="0"/>
      <w:marBottom w:val="0"/>
      <w:divBdr>
        <w:top w:val="none" w:sz="0" w:space="0" w:color="auto"/>
        <w:left w:val="none" w:sz="0" w:space="0" w:color="auto"/>
        <w:bottom w:val="none" w:sz="0" w:space="0" w:color="auto"/>
        <w:right w:val="none" w:sz="0" w:space="0" w:color="auto"/>
      </w:divBdr>
    </w:div>
    <w:div w:id="1336761491">
      <w:bodyDiv w:val="1"/>
      <w:marLeft w:val="0"/>
      <w:marRight w:val="0"/>
      <w:marTop w:val="0"/>
      <w:marBottom w:val="0"/>
      <w:divBdr>
        <w:top w:val="none" w:sz="0" w:space="0" w:color="auto"/>
        <w:left w:val="none" w:sz="0" w:space="0" w:color="auto"/>
        <w:bottom w:val="none" w:sz="0" w:space="0" w:color="auto"/>
        <w:right w:val="none" w:sz="0" w:space="0" w:color="auto"/>
      </w:divBdr>
    </w:div>
    <w:div w:id="1336766673">
      <w:bodyDiv w:val="1"/>
      <w:marLeft w:val="0"/>
      <w:marRight w:val="0"/>
      <w:marTop w:val="0"/>
      <w:marBottom w:val="0"/>
      <w:divBdr>
        <w:top w:val="none" w:sz="0" w:space="0" w:color="auto"/>
        <w:left w:val="none" w:sz="0" w:space="0" w:color="auto"/>
        <w:bottom w:val="none" w:sz="0" w:space="0" w:color="auto"/>
        <w:right w:val="none" w:sz="0" w:space="0" w:color="auto"/>
      </w:divBdr>
    </w:div>
    <w:div w:id="1336961827">
      <w:bodyDiv w:val="1"/>
      <w:marLeft w:val="0"/>
      <w:marRight w:val="0"/>
      <w:marTop w:val="0"/>
      <w:marBottom w:val="0"/>
      <w:divBdr>
        <w:top w:val="none" w:sz="0" w:space="0" w:color="auto"/>
        <w:left w:val="none" w:sz="0" w:space="0" w:color="auto"/>
        <w:bottom w:val="none" w:sz="0" w:space="0" w:color="auto"/>
        <w:right w:val="none" w:sz="0" w:space="0" w:color="auto"/>
      </w:divBdr>
    </w:div>
    <w:div w:id="1337727303">
      <w:bodyDiv w:val="1"/>
      <w:marLeft w:val="0"/>
      <w:marRight w:val="0"/>
      <w:marTop w:val="0"/>
      <w:marBottom w:val="0"/>
      <w:divBdr>
        <w:top w:val="none" w:sz="0" w:space="0" w:color="auto"/>
        <w:left w:val="none" w:sz="0" w:space="0" w:color="auto"/>
        <w:bottom w:val="none" w:sz="0" w:space="0" w:color="auto"/>
        <w:right w:val="none" w:sz="0" w:space="0" w:color="auto"/>
      </w:divBdr>
    </w:div>
    <w:div w:id="1338769605">
      <w:bodyDiv w:val="1"/>
      <w:marLeft w:val="0"/>
      <w:marRight w:val="0"/>
      <w:marTop w:val="0"/>
      <w:marBottom w:val="0"/>
      <w:divBdr>
        <w:top w:val="none" w:sz="0" w:space="0" w:color="auto"/>
        <w:left w:val="none" w:sz="0" w:space="0" w:color="auto"/>
        <w:bottom w:val="none" w:sz="0" w:space="0" w:color="auto"/>
        <w:right w:val="none" w:sz="0" w:space="0" w:color="auto"/>
      </w:divBdr>
    </w:div>
    <w:div w:id="1339774023">
      <w:bodyDiv w:val="1"/>
      <w:marLeft w:val="0"/>
      <w:marRight w:val="0"/>
      <w:marTop w:val="0"/>
      <w:marBottom w:val="0"/>
      <w:divBdr>
        <w:top w:val="none" w:sz="0" w:space="0" w:color="auto"/>
        <w:left w:val="none" w:sz="0" w:space="0" w:color="auto"/>
        <w:bottom w:val="none" w:sz="0" w:space="0" w:color="auto"/>
        <w:right w:val="none" w:sz="0" w:space="0" w:color="auto"/>
      </w:divBdr>
    </w:div>
    <w:div w:id="1350448471">
      <w:bodyDiv w:val="1"/>
      <w:marLeft w:val="0"/>
      <w:marRight w:val="0"/>
      <w:marTop w:val="0"/>
      <w:marBottom w:val="0"/>
      <w:divBdr>
        <w:top w:val="none" w:sz="0" w:space="0" w:color="auto"/>
        <w:left w:val="none" w:sz="0" w:space="0" w:color="auto"/>
        <w:bottom w:val="none" w:sz="0" w:space="0" w:color="auto"/>
        <w:right w:val="none" w:sz="0" w:space="0" w:color="auto"/>
      </w:divBdr>
    </w:div>
    <w:div w:id="1350911940">
      <w:bodyDiv w:val="1"/>
      <w:marLeft w:val="0"/>
      <w:marRight w:val="0"/>
      <w:marTop w:val="0"/>
      <w:marBottom w:val="0"/>
      <w:divBdr>
        <w:top w:val="none" w:sz="0" w:space="0" w:color="auto"/>
        <w:left w:val="none" w:sz="0" w:space="0" w:color="auto"/>
        <w:bottom w:val="none" w:sz="0" w:space="0" w:color="auto"/>
        <w:right w:val="none" w:sz="0" w:space="0" w:color="auto"/>
      </w:divBdr>
    </w:div>
    <w:div w:id="1354498684">
      <w:bodyDiv w:val="1"/>
      <w:marLeft w:val="0"/>
      <w:marRight w:val="0"/>
      <w:marTop w:val="0"/>
      <w:marBottom w:val="0"/>
      <w:divBdr>
        <w:top w:val="none" w:sz="0" w:space="0" w:color="auto"/>
        <w:left w:val="none" w:sz="0" w:space="0" w:color="auto"/>
        <w:bottom w:val="none" w:sz="0" w:space="0" w:color="auto"/>
        <w:right w:val="none" w:sz="0" w:space="0" w:color="auto"/>
      </w:divBdr>
    </w:div>
    <w:div w:id="1355183214">
      <w:bodyDiv w:val="1"/>
      <w:marLeft w:val="0"/>
      <w:marRight w:val="0"/>
      <w:marTop w:val="0"/>
      <w:marBottom w:val="0"/>
      <w:divBdr>
        <w:top w:val="none" w:sz="0" w:space="0" w:color="auto"/>
        <w:left w:val="none" w:sz="0" w:space="0" w:color="auto"/>
        <w:bottom w:val="none" w:sz="0" w:space="0" w:color="auto"/>
        <w:right w:val="none" w:sz="0" w:space="0" w:color="auto"/>
      </w:divBdr>
    </w:div>
    <w:div w:id="1355618062">
      <w:bodyDiv w:val="1"/>
      <w:marLeft w:val="0"/>
      <w:marRight w:val="0"/>
      <w:marTop w:val="0"/>
      <w:marBottom w:val="0"/>
      <w:divBdr>
        <w:top w:val="none" w:sz="0" w:space="0" w:color="auto"/>
        <w:left w:val="none" w:sz="0" w:space="0" w:color="auto"/>
        <w:bottom w:val="none" w:sz="0" w:space="0" w:color="auto"/>
        <w:right w:val="none" w:sz="0" w:space="0" w:color="auto"/>
      </w:divBdr>
    </w:div>
    <w:div w:id="1355695354">
      <w:bodyDiv w:val="1"/>
      <w:marLeft w:val="0"/>
      <w:marRight w:val="0"/>
      <w:marTop w:val="0"/>
      <w:marBottom w:val="0"/>
      <w:divBdr>
        <w:top w:val="none" w:sz="0" w:space="0" w:color="auto"/>
        <w:left w:val="none" w:sz="0" w:space="0" w:color="auto"/>
        <w:bottom w:val="none" w:sz="0" w:space="0" w:color="auto"/>
        <w:right w:val="none" w:sz="0" w:space="0" w:color="auto"/>
      </w:divBdr>
    </w:div>
    <w:div w:id="1357269062">
      <w:bodyDiv w:val="1"/>
      <w:marLeft w:val="0"/>
      <w:marRight w:val="0"/>
      <w:marTop w:val="0"/>
      <w:marBottom w:val="0"/>
      <w:divBdr>
        <w:top w:val="none" w:sz="0" w:space="0" w:color="auto"/>
        <w:left w:val="none" w:sz="0" w:space="0" w:color="auto"/>
        <w:bottom w:val="none" w:sz="0" w:space="0" w:color="auto"/>
        <w:right w:val="none" w:sz="0" w:space="0" w:color="auto"/>
      </w:divBdr>
    </w:div>
    <w:div w:id="1357275300">
      <w:bodyDiv w:val="1"/>
      <w:marLeft w:val="0"/>
      <w:marRight w:val="0"/>
      <w:marTop w:val="0"/>
      <w:marBottom w:val="0"/>
      <w:divBdr>
        <w:top w:val="none" w:sz="0" w:space="0" w:color="auto"/>
        <w:left w:val="none" w:sz="0" w:space="0" w:color="auto"/>
        <w:bottom w:val="none" w:sz="0" w:space="0" w:color="auto"/>
        <w:right w:val="none" w:sz="0" w:space="0" w:color="auto"/>
      </w:divBdr>
    </w:div>
    <w:div w:id="1357774888">
      <w:bodyDiv w:val="1"/>
      <w:marLeft w:val="0"/>
      <w:marRight w:val="0"/>
      <w:marTop w:val="0"/>
      <w:marBottom w:val="0"/>
      <w:divBdr>
        <w:top w:val="none" w:sz="0" w:space="0" w:color="auto"/>
        <w:left w:val="none" w:sz="0" w:space="0" w:color="auto"/>
        <w:bottom w:val="none" w:sz="0" w:space="0" w:color="auto"/>
        <w:right w:val="none" w:sz="0" w:space="0" w:color="auto"/>
      </w:divBdr>
    </w:div>
    <w:div w:id="1357776349">
      <w:bodyDiv w:val="1"/>
      <w:marLeft w:val="0"/>
      <w:marRight w:val="0"/>
      <w:marTop w:val="0"/>
      <w:marBottom w:val="0"/>
      <w:divBdr>
        <w:top w:val="none" w:sz="0" w:space="0" w:color="auto"/>
        <w:left w:val="none" w:sz="0" w:space="0" w:color="auto"/>
        <w:bottom w:val="none" w:sz="0" w:space="0" w:color="auto"/>
        <w:right w:val="none" w:sz="0" w:space="0" w:color="auto"/>
      </w:divBdr>
    </w:div>
    <w:div w:id="1362436470">
      <w:bodyDiv w:val="1"/>
      <w:marLeft w:val="0"/>
      <w:marRight w:val="0"/>
      <w:marTop w:val="0"/>
      <w:marBottom w:val="0"/>
      <w:divBdr>
        <w:top w:val="none" w:sz="0" w:space="0" w:color="auto"/>
        <w:left w:val="none" w:sz="0" w:space="0" w:color="auto"/>
        <w:bottom w:val="none" w:sz="0" w:space="0" w:color="auto"/>
        <w:right w:val="none" w:sz="0" w:space="0" w:color="auto"/>
      </w:divBdr>
    </w:div>
    <w:div w:id="1362972350">
      <w:bodyDiv w:val="1"/>
      <w:marLeft w:val="0"/>
      <w:marRight w:val="0"/>
      <w:marTop w:val="0"/>
      <w:marBottom w:val="0"/>
      <w:divBdr>
        <w:top w:val="none" w:sz="0" w:space="0" w:color="auto"/>
        <w:left w:val="none" w:sz="0" w:space="0" w:color="auto"/>
        <w:bottom w:val="none" w:sz="0" w:space="0" w:color="auto"/>
        <w:right w:val="none" w:sz="0" w:space="0" w:color="auto"/>
      </w:divBdr>
    </w:div>
    <w:div w:id="1364746373">
      <w:bodyDiv w:val="1"/>
      <w:marLeft w:val="0"/>
      <w:marRight w:val="0"/>
      <w:marTop w:val="0"/>
      <w:marBottom w:val="0"/>
      <w:divBdr>
        <w:top w:val="none" w:sz="0" w:space="0" w:color="auto"/>
        <w:left w:val="none" w:sz="0" w:space="0" w:color="auto"/>
        <w:bottom w:val="none" w:sz="0" w:space="0" w:color="auto"/>
        <w:right w:val="none" w:sz="0" w:space="0" w:color="auto"/>
      </w:divBdr>
    </w:div>
    <w:div w:id="1365249954">
      <w:bodyDiv w:val="1"/>
      <w:marLeft w:val="0"/>
      <w:marRight w:val="0"/>
      <w:marTop w:val="0"/>
      <w:marBottom w:val="0"/>
      <w:divBdr>
        <w:top w:val="none" w:sz="0" w:space="0" w:color="auto"/>
        <w:left w:val="none" w:sz="0" w:space="0" w:color="auto"/>
        <w:bottom w:val="none" w:sz="0" w:space="0" w:color="auto"/>
        <w:right w:val="none" w:sz="0" w:space="0" w:color="auto"/>
      </w:divBdr>
    </w:div>
    <w:div w:id="1368532137">
      <w:bodyDiv w:val="1"/>
      <w:marLeft w:val="0"/>
      <w:marRight w:val="0"/>
      <w:marTop w:val="0"/>
      <w:marBottom w:val="0"/>
      <w:divBdr>
        <w:top w:val="none" w:sz="0" w:space="0" w:color="auto"/>
        <w:left w:val="none" w:sz="0" w:space="0" w:color="auto"/>
        <w:bottom w:val="none" w:sz="0" w:space="0" w:color="auto"/>
        <w:right w:val="none" w:sz="0" w:space="0" w:color="auto"/>
      </w:divBdr>
    </w:div>
    <w:div w:id="1369182137">
      <w:bodyDiv w:val="1"/>
      <w:marLeft w:val="0"/>
      <w:marRight w:val="0"/>
      <w:marTop w:val="0"/>
      <w:marBottom w:val="0"/>
      <w:divBdr>
        <w:top w:val="none" w:sz="0" w:space="0" w:color="auto"/>
        <w:left w:val="none" w:sz="0" w:space="0" w:color="auto"/>
        <w:bottom w:val="none" w:sz="0" w:space="0" w:color="auto"/>
        <w:right w:val="none" w:sz="0" w:space="0" w:color="auto"/>
      </w:divBdr>
    </w:div>
    <w:div w:id="1369526906">
      <w:bodyDiv w:val="1"/>
      <w:marLeft w:val="0"/>
      <w:marRight w:val="0"/>
      <w:marTop w:val="0"/>
      <w:marBottom w:val="0"/>
      <w:divBdr>
        <w:top w:val="none" w:sz="0" w:space="0" w:color="auto"/>
        <w:left w:val="none" w:sz="0" w:space="0" w:color="auto"/>
        <w:bottom w:val="none" w:sz="0" w:space="0" w:color="auto"/>
        <w:right w:val="none" w:sz="0" w:space="0" w:color="auto"/>
      </w:divBdr>
    </w:div>
    <w:div w:id="1371220746">
      <w:bodyDiv w:val="1"/>
      <w:marLeft w:val="0"/>
      <w:marRight w:val="0"/>
      <w:marTop w:val="0"/>
      <w:marBottom w:val="0"/>
      <w:divBdr>
        <w:top w:val="none" w:sz="0" w:space="0" w:color="auto"/>
        <w:left w:val="none" w:sz="0" w:space="0" w:color="auto"/>
        <w:bottom w:val="none" w:sz="0" w:space="0" w:color="auto"/>
        <w:right w:val="none" w:sz="0" w:space="0" w:color="auto"/>
      </w:divBdr>
    </w:div>
    <w:div w:id="1371298357">
      <w:bodyDiv w:val="1"/>
      <w:marLeft w:val="0"/>
      <w:marRight w:val="0"/>
      <w:marTop w:val="0"/>
      <w:marBottom w:val="0"/>
      <w:divBdr>
        <w:top w:val="none" w:sz="0" w:space="0" w:color="auto"/>
        <w:left w:val="none" w:sz="0" w:space="0" w:color="auto"/>
        <w:bottom w:val="none" w:sz="0" w:space="0" w:color="auto"/>
        <w:right w:val="none" w:sz="0" w:space="0" w:color="auto"/>
      </w:divBdr>
    </w:div>
    <w:div w:id="1371413399">
      <w:bodyDiv w:val="1"/>
      <w:marLeft w:val="0"/>
      <w:marRight w:val="0"/>
      <w:marTop w:val="0"/>
      <w:marBottom w:val="0"/>
      <w:divBdr>
        <w:top w:val="none" w:sz="0" w:space="0" w:color="auto"/>
        <w:left w:val="none" w:sz="0" w:space="0" w:color="auto"/>
        <w:bottom w:val="none" w:sz="0" w:space="0" w:color="auto"/>
        <w:right w:val="none" w:sz="0" w:space="0" w:color="auto"/>
      </w:divBdr>
    </w:div>
    <w:div w:id="1374234879">
      <w:bodyDiv w:val="1"/>
      <w:marLeft w:val="0"/>
      <w:marRight w:val="0"/>
      <w:marTop w:val="0"/>
      <w:marBottom w:val="0"/>
      <w:divBdr>
        <w:top w:val="none" w:sz="0" w:space="0" w:color="auto"/>
        <w:left w:val="none" w:sz="0" w:space="0" w:color="auto"/>
        <w:bottom w:val="none" w:sz="0" w:space="0" w:color="auto"/>
        <w:right w:val="none" w:sz="0" w:space="0" w:color="auto"/>
      </w:divBdr>
    </w:div>
    <w:div w:id="1374387547">
      <w:bodyDiv w:val="1"/>
      <w:marLeft w:val="0"/>
      <w:marRight w:val="0"/>
      <w:marTop w:val="0"/>
      <w:marBottom w:val="0"/>
      <w:divBdr>
        <w:top w:val="none" w:sz="0" w:space="0" w:color="auto"/>
        <w:left w:val="none" w:sz="0" w:space="0" w:color="auto"/>
        <w:bottom w:val="none" w:sz="0" w:space="0" w:color="auto"/>
        <w:right w:val="none" w:sz="0" w:space="0" w:color="auto"/>
      </w:divBdr>
    </w:div>
    <w:div w:id="1374883294">
      <w:bodyDiv w:val="1"/>
      <w:marLeft w:val="0"/>
      <w:marRight w:val="0"/>
      <w:marTop w:val="0"/>
      <w:marBottom w:val="0"/>
      <w:divBdr>
        <w:top w:val="none" w:sz="0" w:space="0" w:color="auto"/>
        <w:left w:val="none" w:sz="0" w:space="0" w:color="auto"/>
        <w:bottom w:val="none" w:sz="0" w:space="0" w:color="auto"/>
        <w:right w:val="none" w:sz="0" w:space="0" w:color="auto"/>
      </w:divBdr>
    </w:div>
    <w:div w:id="1376345902">
      <w:bodyDiv w:val="1"/>
      <w:marLeft w:val="0"/>
      <w:marRight w:val="0"/>
      <w:marTop w:val="0"/>
      <w:marBottom w:val="0"/>
      <w:divBdr>
        <w:top w:val="none" w:sz="0" w:space="0" w:color="auto"/>
        <w:left w:val="none" w:sz="0" w:space="0" w:color="auto"/>
        <w:bottom w:val="none" w:sz="0" w:space="0" w:color="auto"/>
        <w:right w:val="none" w:sz="0" w:space="0" w:color="auto"/>
      </w:divBdr>
    </w:div>
    <w:div w:id="1377700481">
      <w:bodyDiv w:val="1"/>
      <w:marLeft w:val="0"/>
      <w:marRight w:val="0"/>
      <w:marTop w:val="0"/>
      <w:marBottom w:val="0"/>
      <w:divBdr>
        <w:top w:val="none" w:sz="0" w:space="0" w:color="auto"/>
        <w:left w:val="none" w:sz="0" w:space="0" w:color="auto"/>
        <w:bottom w:val="none" w:sz="0" w:space="0" w:color="auto"/>
        <w:right w:val="none" w:sz="0" w:space="0" w:color="auto"/>
      </w:divBdr>
    </w:div>
    <w:div w:id="1377899317">
      <w:bodyDiv w:val="1"/>
      <w:marLeft w:val="0"/>
      <w:marRight w:val="0"/>
      <w:marTop w:val="0"/>
      <w:marBottom w:val="0"/>
      <w:divBdr>
        <w:top w:val="none" w:sz="0" w:space="0" w:color="auto"/>
        <w:left w:val="none" w:sz="0" w:space="0" w:color="auto"/>
        <w:bottom w:val="none" w:sz="0" w:space="0" w:color="auto"/>
        <w:right w:val="none" w:sz="0" w:space="0" w:color="auto"/>
      </w:divBdr>
    </w:div>
    <w:div w:id="1382362515">
      <w:bodyDiv w:val="1"/>
      <w:marLeft w:val="0"/>
      <w:marRight w:val="0"/>
      <w:marTop w:val="0"/>
      <w:marBottom w:val="0"/>
      <w:divBdr>
        <w:top w:val="none" w:sz="0" w:space="0" w:color="auto"/>
        <w:left w:val="none" w:sz="0" w:space="0" w:color="auto"/>
        <w:bottom w:val="none" w:sz="0" w:space="0" w:color="auto"/>
        <w:right w:val="none" w:sz="0" w:space="0" w:color="auto"/>
      </w:divBdr>
    </w:div>
    <w:div w:id="1382636677">
      <w:bodyDiv w:val="1"/>
      <w:marLeft w:val="0"/>
      <w:marRight w:val="0"/>
      <w:marTop w:val="0"/>
      <w:marBottom w:val="0"/>
      <w:divBdr>
        <w:top w:val="none" w:sz="0" w:space="0" w:color="auto"/>
        <w:left w:val="none" w:sz="0" w:space="0" w:color="auto"/>
        <w:bottom w:val="none" w:sz="0" w:space="0" w:color="auto"/>
        <w:right w:val="none" w:sz="0" w:space="0" w:color="auto"/>
      </w:divBdr>
    </w:div>
    <w:div w:id="1383748538">
      <w:bodyDiv w:val="1"/>
      <w:marLeft w:val="0"/>
      <w:marRight w:val="0"/>
      <w:marTop w:val="0"/>
      <w:marBottom w:val="0"/>
      <w:divBdr>
        <w:top w:val="none" w:sz="0" w:space="0" w:color="auto"/>
        <w:left w:val="none" w:sz="0" w:space="0" w:color="auto"/>
        <w:bottom w:val="none" w:sz="0" w:space="0" w:color="auto"/>
        <w:right w:val="none" w:sz="0" w:space="0" w:color="auto"/>
      </w:divBdr>
    </w:div>
    <w:div w:id="1384595563">
      <w:bodyDiv w:val="1"/>
      <w:marLeft w:val="0"/>
      <w:marRight w:val="0"/>
      <w:marTop w:val="0"/>
      <w:marBottom w:val="0"/>
      <w:divBdr>
        <w:top w:val="none" w:sz="0" w:space="0" w:color="auto"/>
        <w:left w:val="none" w:sz="0" w:space="0" w:color="auto"/>
        <w:bottom w:val="none" w:sz="0" w:space="0" w:color="auto"/>
        <w:right w:val="none" w:sz="0" w:space="0" w:color="auto"/>
      </w:divBdr>
    </w:div>
    <w:div w:id="1384712693">
      <w:bodyDiv w:val="1"/>
      <w:marLeft w:val="0"/>
      <w:marRight w:val="0"/>
      <w:marTop w:val="0"/>
      <w:marBottom w:val="0"/>
      <w:divBdr>
        <w:top w:val="none" w:sz="0" w:space="0" w:color="auto"/>
        <w:left w:val="none" w:sz="0" w:space="0" w:color="auto"/>
        <w:bottom w:val="none" w:sz="0" w:space="0" w:color="auto"/>
        <w:right w:val="none" w:sz="0" w:space="0" w:color="auto"/>
      </w:divBdr>
    </w:div>
    <w:div w:id="1385523006">
      <w:bodyDiv w:val="1"/>
      <w:marLeft w:val="0"/>
      <w:marRight w:val="0"/>
      <w:marTop w:val="0"/>
      <w:marBottom w:val="0"/>
      <w:divBdr>
        <w:top w:val="none" w:sz="0" w:space="0" w:color="auto"/>
        <w:left w:val="none" w:sz="0" w:space="0" w:color="auto"/>
        <w:bottom w:val="none" w:sz="0" w:space="0" w:color="auto"/>
        <w:right w:val="none" w:sz="0" w:space="0" w:color="auto"/>
      </w:divBdr>
    </w:div>
    <w:div w:id="1386759422">
      <w:bodyDiv w:val="1"/>
      <w:marLeft w:val="0"/>
      <w:marRight w:val="0"/>
      <w:marTop w:val="0"/>
      <w:marBottom w:val="0"/>
      <w:divBdr>
        <w:top w:val="none" w:sz="0" w:space="0" w:color="auto"/>
        <w:left w:val="none" w:sz="0" w:space="0" w:color="auto"/>
        <w:bottom w:val="none" w:sz="0" w:space="0" w:color="auto"/>
        <w:right w:val="none" w:sz="0" w:space="0" w:color="auto"/>
      </w:divBdr>
    </w:div>
    <w:div w:id="1386760197">
      <w:bodyDiv w:val="1"/>
      <w:marLeft w:val="0"/>
      <w:marRight w:val="0"/>
      <w:marTop w:val="0"/>
      <w:marBottom w:val="0"/>
      <w:divBdr>
        <w:top w:val="none" w:sz="0" w:space="0" w:color="auto"/>
        <w:left w:val="none" w:sz="0" w:space="0" w:color="auto"/>
        <w:bottom w:val="none" w:sz="0" w:space="0" w:color="auto"/>
        <w:right w:val="none" w:sz="0" w:space="0" w:color="auto"/>
      </w:divBdr>
    </w:div>
    <w:div w:id="1386879860">
      <w:bodyDiv w:val="1"/>
      <w:marLeft w:val="0"/>
      <w:marRight w:val="0"/>
      <w:marTop w:val="0"/>
      <w:marBottom w:val="0"/>
      <w:divBdr>
        <w:top w:val="none" w:sz="0" w:space="0" w:color="auto"/>
        <w:left w:val="none" w:sz="0" w:space="0" w:color="auto"/>
        <w:bottom w:val="none" w:sz="0" w:space="0" w:color="auto"/>
        <w:right w:val="none" w:sz="0" w:space="0" w:color="auto"/>
      </w:divBdr>
    </w:div>
    <w:div w:id="1387097999">
      <w:bodyDiv w:val="1"/>
      <w:marLeft w:val="0"/>
      <w:marRight w:val="0"/>
      <w:marTop w:val="0"/>
      <w:marBottom w:val="0"/>
      <w:divBdr>
        <w:top w:val="none" w:sz="0" w:space="0" w:color="auto"/>
        <w:left w:val="none" w:sz="0" w:space="0" w:color="auto"/>
        <w:bottom w:val="none" w:sz="0" w:space="0" w:color="auto"/>
        <w:right w:val="none" w:sz="0" w:space="0" w:color="auto"/>
      </w:divBdr>
    </w:div>
    <w:div w:id="1387291783">
      <w:bodyDiv w:val="1"/>
      <w:marLeft w:val="0"/>
      <w:marRight w:val="0"/>
      <w:marTop w:val="0"/>
      <w:marBottom w:val="0"/>
      <w:divBdr>
        <w:top w:val="none" w:sz="0" w:space="0" w:color="auto"/>
        <w:left w:val="none" w:sz="0" w:space="0" w:color="auto"/>
        <w:bottom w:val="none" w:sz="0" w:space="0" w:color="auto"/>
        <w:right w:val="none" w:sz="0" w:space="0" w:color="auto"/>
      </w:divBdr>
    </w:div>
    <w:div w:id="1391613428">
      <w:bodyDiv w:val="1"/>
      <w:marLeft w:val="0"/>
      <w:marRight w:val="0"/>
      <w:marTop w:val="0"/>
      <w:marBottom w:val="0"/>
      <w:divBdr>
        <w:top w:val="none" w:sz="0" w:space="0" w:color="auto"/>
        <w:left w:val="none" w:sz="0" w:space="0" w:color="auto"/>
        <w:bottom w:val="none" w:sz="0" w:space="0" w:color="auto"/>
        <w:right w:val="none" w:sz="0" w:space="0" w:color="auto"/>
      </w:divBdr>
    </w:div>
    <w:div w:id="1391804594">
      <w:bodyDiv w:val="1"/>
      <w:marLeft w:val="0"/>
      <w:marRight w:val="0"/>
      <w:marTop w:val="0"/>
      <w:marBottom w:val="0"/>
      <w:divBdr>
        <w:top w:val="none" w:sz="0" w:space="0" w:color="auto"/>
        <w:left w:val="none" w:sz="0" w:space="0" w:color="auto"/>
        <w:bottom w:val="none" w:sz="0" w:space="0" w:color="auto"/>
        <w:right w:val="none" w:sz="0" w:space="0" w:color="auto"/>
      </w:divBdr>
    </w:div>
    <w:div w:id="1396128691">
      <w:bodyDiv w:val="1"/>
      <w:marLeft w:val="0"/>
      <w:marRight w:val="0"/>
      <w:marTop w:val="0"/>
      <w:marBottom w:val="0"/>
      <w:divBdr>
        <w:top w:val="none" w:sz="0" w:space="0" w:color="auto"/>
        <w:left w:val="none" w:sz="0" w:space="0" w:color="auto"/>
        <w:bottom w:val="none" w:sz="0" w:space="0" w:color="auto"/>
        <w:right w:val="none" w:sz="0" w:space="0" w:color="auto"/>
      </w:divBdr>
    </w:div>
    <w:div w:id="1397321397">
      <w:bodyDiv w:val="1"/>
      <w:marLeft w:val="0"/>
      <w:marRight w:val="0"/>
      <w:marTop w:val="0"/>
      <w:marBottom w:val="0"/>
      <w:divBdr>
        <w:top w:val="none" w:sz="0" w:space="0" w:color="auto"/>
        <w:left w:val="none" w:sz="0" w:space="0" w:color="auto"/>
        <w:bottom w:val="none" w:sz="0" w:space="0" w:color="auto"/>
        <w:right w:val="none" w:sz="0" w:space="0" w:color="auto"/>
      </w:divBdr>
    </w:div>
    <w:div w:id="1399743893">
      <w:bodyDiv w:val="1"/>
      <w:marLeft w:val="0"/>
      <w:marRight w:val="0"/>
      <w:marTop w:val="0"/>
      <w:marBottom w:val="0"/>
      <w:divBdr>
        <w:top w:val="none" w:sz="0" w:space="0" w:color="auto"/>
        <w:left w:val="none" w:sz="0" w:space="0" w:color="auto"/>
        <w:bottom w:val="none" w:sz="0" w:space="0" w:color="auto"/>
        <w:right w:val="none" w:sz="0" w:space="0" w:color="auto"/>
      </w:divBdr>
    </w:div>
    <w:div w:id="1399860899">
      <w:bodyDiv w:val="1"/>
      <w:marLeft w:val="0"/>
      <w:marRight w:val="0"/>
      <w:marTop w:val="0"/>
      <w:marBottom w:val="0"/>
      <w:divBdr>
        <w:top w:val="none" w:sz="0" w:space="0" w:color="auto"/>
        <w:left w:val="none" w:sz="0" w:space="0" w:color="auto"/>
        <w:bottom w:val="none" w:sz="0" w:space="0" w:color="auto"/>
        <w:right w:val="none" w:sz="0" w:space="0" w:color="auto"/>
      </w:divBdr>
    </w:div>
    <w:div w:id="1400247683">
      <w:bodyDiv w:val="1"/>
      <w:marLeft w:val="0"/>
      <w:marRight w:val="0"/>
      <w:marTop w:val="0"/>
      <w:marBottom w:val="0"/>
      <w:divBdr>
        <w:top w:val="none" w:sz="0" w:space="0" w:color="auto"/>
        <w:left w:val="none" w:sz="0" w:space="0" w:color="auto"/>
        <w:bottom w:val="none" w:sz="0" w:space="0" w:color="auto"/>
        <w:right w:val="none" w:sz="0" w:space="0" w:color="auto"/>
      </w:divBdr>
    </w:div>
    <w:div w:id="1403723043">
      <w:bodyDiv w:val="1"/>
      <w:marLeft w:val="0"/>
      <w:marRight w:val="0"/>
      <w:marTop w:val="0"/>
      <w:marBottom w:val="0"/>
      <w:divBdr>
        <w:top w:val="none" w:sz="0" w:space="0" w:color="auto"/>
        <w:left w:val="none" w:sz="0" w:space="0" w:color="auto"/>
        <w:bottom w:val="none" w:sz="0" w:space="0" w:color="auto"/>
        <w:right w:val="none" w:sz="0" w:space="0" w:color="auto"/>
      </w:divBdr>
    </w:div>
    <w:div w:id="1403798953">
      <w:bodyDiv w:val="1"/>
      <w:marLeft w:val="0"/>
      <w:marRight w:val="0"/>
      <w:marTop w:val="0"/>
      <w:marBottom w:val="0"/>
      <w:divBdr>
        <w:top w:val="none" w:sz="0" w:space="0" w:color="auto"/>
        <w:left w:val="none" w:sz="0" w:space="0" w:color="auto"/>
        <w:bottom w:val="none" w:sz="0" w:space="0" w:color="auto"/>
        <w:right w:val="none" w:sz="0" w:space="0" w:color="auto"/>
      </w:divBdr>
    </w:div>
    <w:div w:id="1404647266">
      <w:bodyDiv w:val="1"/>
      <w:marLeft w:val="0"/>
      <w:marRight w:val="0"/>
      <w:marTop w:val="0"/>
      <w:marBottom w:val="0"/>
      <w:divBdr>
        <w:top w:val="none" w:sz="0" w:space="0" w:color="auto"/>
        <w:left w:val="none" w:sz="0" w:space="0" w:color="auto"/>
        <w:bottom w:val="none" w:sz="0" w:space="0" w:color="auto"/>
        <w:right w:val="none" w:sz="0" w:space="0" w:color="auto"/>
      </w:divBdr>
    </w:div>
    <w:div w:id="1406296643">
      <w:bodyDiv w:val="1"/>
      <w:marLeft w:val="0"/>
      <w:marRight w:val="0"/>
      <w:marTop w:val="0"/>
      <w:marBottom w:val="0"/>
      <w:divBdr>
        <w:top w:val="none" w:sz="0" w:space="0" w:color="auto"/>
        <w:left w:val="none" w:sz="0" w:space="0" w:color="auto"/>
        <w:bottom w:val="none" w:sz="0" w:space="0" w:color="auto"/>
        <w:right w:val="none" w:sz="0" w:space="0" w:color="auto"/>
      </w:divBdr>
    </w:div>
    <w:div w:id="1408453386">
      <w:bodyDiv w:val="1"/>
      <w:marLeft w:val="0"/>
      <w:marRight w:val="0"/>
      <w:marTop w:val="0"/>
      <w:marBottom w:val="0"/>
      <w:divBdr>
        <w:top w:val="none" w:sz="0" w:space="0" w:color="auto"/>
        <w:left w:val="none" w:sz="0" w:space="0" w:color="auto"/>
        <w:bottom w:val="none" w:sz="0" w:space="0" w:color="auto"/>
        <w:right w:val="none" w:sz="0" w:space="0" w:color="auto"/>
      </w:divBdr>
    </w:div>
    <w:div w:id="1408502504">
      <w:bodyDiv w:val="1"/>
      <w:marLeft w:val="0"/>
      <w:marRight w:val="0"/>
      <w:marTop w:val="0"/>
      <w:marBottom w:val="0"/>
      <w:divBdr>
        <w:top w:val="none" w:sz="0" w:space="0" w:color="auto"/>
        <w:left w:val="none" w:sz="0" w:space="0" w:color="auto"/>
        <w:bottom w:val="none" w:sz="0" w:space="0" w:color="auto"/>
        <w:right w:val="none" w:sz="0" w:space="0" w:color="auto"/>
      </w:divBdr>
    </w:div>
    <w:div w:id="1412124172">
      <w:bodyDiv w:val="1"/>
      <w:marLeft w:val="0"/>
      <w:marRight w:val="0"/>
      <w:marTop w:val="0"/>
      <w:marBottom w:val="0"/>
      <w:divBdr>
        <w:top w:val="none" w:sz="0" w:space="0" w:color="auto"/>
        <w:left w:val="none" w:sz="0" w:space="0" w:color="auto"/>
        <w:bottom w:val="none" w:sz="0" w:space="0" w:color="auto"/>
        <w:right w:val="none" w:sz="0" w:space="0" w:color="auto"/>
      </w:divBdr>
    </w:div>
    <w:div w:id="1412972453">
      <w:bodyDiv w:val="1"/>
      <w:marLeft w:val="0"/>
      <w:marRight w:val="0"/>
      <w:marTop w:val="0"/>
      <w:marBottom w:val="0"/>
      <w:divBdr>
        <w:top w:val="none" w:sz="0" w:space="0" w:color="auto"/>
        <w:left w:val="none" w:sz="0" w:space="0" w:color="auto"/>
        <w:bottom w:val="none" w:sz="0" w:space="0" w:color="auto"/>
        <w:right w:val="none" w:sz="0" w:space="0" w:color="auto"/>
      </w:divBdr>
    </w:div>
    <w:div w:id="1414349708">
      <w:bodyDiv w:val="1"/>
      <w:marLeft w:val="0"/>
      <w:marRight w:val="0"/>
      <w:marTop w:val="0"/>
      <w:marBottom w:val="0"/>
      <w:divBdr>
        <w:top w:val="none" w:sz="0" w:space="0" w:color="auto"/>
        <w:left w:val="none" w:sz="0" w:space="0" w:color="auto"/>
        <w:bottom w:val="none" w:sz="0" w:space="0" w:color="auto"/>
        <w:right w:val="none" w:sz="0" w:space="0" w:color="auto"/>
      </w:divBdr>
    </w:div>
    <w:div w:id="1417248629">
      <w:bodyDiv w:val="1"/>
      <w:marLeft w:val="0"/>
      <w:marRight w:val="0"/>
      <w:marTop w:val="0"/>
      <w:marBottom w:val="0"/>
      <w:divBdr>
        <w:top w:val="none" w:sz="0" w:space="0" w:color="auto"/>
        <w:left w:val="none" w:sz="0" w:space="0" w:color="auto"/>
        <w:bottom w:val="none" w:sz="0" w:space="0" w:color="auto"/>
        <w:right w:val="none" w:sz="0" w:space="0" w:color="auto"/>
      </w:divBdr>
    </w:div>
    <w:div w:id="1419013599">
      <w:bodyDiv w:val="1"/>
      <w:marLeft w:val="0"/>
      <w:marRight w:val="0"/>
      <w:marTop w:val="0"/>
      <w:marBottom w:val="0"/>
      <w:divBdr>
        <w:top w:val="none" w:sz="0" w:space="0" w:color="auto"/>
        <w:left w:val="none" w:sz="0" w:space="0" w:color="auto"/>
        <w:bottom w:val="none" w:sz="0" w:space="0" w:color="auto"/>
        <w:right w:val="none" w:sz="0" w:space="0" w:color="auto"/>
      </w:divBdr>
    </w:div>
    <w:div w:id="1419980682">
      <w:bodyDiv w:val="1"/>
      <w:marLeft w:val="0"/>
      <w:marRight w:val="0"/>
      <w:marTop w:val="0"/>
      <w:marBottom w:val="0"/>
      <w:divBdr>
        <w:top w:val="none" w:sz="0" w:space="0" w:color="auto"/>
        <w:left w:val="none" w:sz="0" w:space="0" w:color="auto"/>
        <w:bottom w:val="none" w:sz="0" w:space="0" w:color="auto"/>
        <w:right w:val="none" w:sz="0" w:space="0" w:color="auto"/>
      </w:divBdr>
    </w:div>
    <w:div w:id="1420758618">
      <w:bodyDiv w:val="1"/>
      <w:marLeft w:val="0"/>
      <w:marRight w:val="0"/>
      <w:marTop w:val="0"/>
      <w:marBottom w:val="0"/>
      <w:divBdr>
        <w:top w:val="none" w:sz="0" w:space="0" w:color="auto"/>
        <w:left w:val="none" w:sz="0" w:space="0" w:color="auto"/>
        <w:bottom w:val="none" w:sz="0" w:space="0" w:color="auto"/>
        <w:right w:val="none" w:sz="0" w:space="0" w:color="auto"/>
      </w:divBdr>
    </w:div>
    <w:div w:id="1424230333">
      <w:bodyDiv w:val="1"/>
      <w:marLeft w:val="0"/>
      <w:marRight w:val="0"/>
      <w:marTop w:val="0"/>
      <w:marBottom w:val="0"/>
      <w:divBdr>
        <w:top w:val="none" w:sz="0" w:space="0" w:color="auto"/>
        <w:left w:val="none" w:sz="0" w:space="0" w:color="auto"/>
        <w:bottom w:val="none" w:sz="0" w:space="0" w:color="auto"/>
        <w:right w:val="none" w:sz="0" w:space="0" w:color="auto"/>
      </w:divBdr>
    </w:div>
    <w:div w:id="1425884167">
      <w:bodyDiv w:val="1"/>
      <w:marLeft w:val="0"/>
      <w:marRight w:val="0"/>
      <w:marTop w:val="0"/>
      <w:marBottom w:val="0"/>
      <w:divBdr>
        <w:top w:val="none" w:sz="0" w:space="0" w:color="auto"/>
        <w:left w:val="none" w:sz="0" w:space="0" w:color="auto"/>
        <w:bottom w:val="none" w:sz="0" w:space="0" w:color="auto"/>
        <w:right w:val="none" w:sz="0" w:space="0" w:color="auto"/>
      </w:divBdr>
    </w:div>
    <w:div w:id="1426458745">
      <w:bodyDiv w:val="1"/>
      <w:marLeft w:val="0"/>
      <w:marRight w:val="0"/>
      <w:marTop w:val="0"/>
      <w:marBottom w:val="0"/>
      <w:divBdr>
        <w:top w:val="none" w:sz="0" w:space="0" w:color="auto"/>
        <w:left w:val="none" w:sz="0" w:space="0" w:color="auto"/>
        <w:bottom w:val="none" w:sz="0" w:space="0" w:color="auto"/>
        <w:right w:val="none" w:sz="0" w:space="0" w:color="auto"/>
      </w:divBdr>
    </w:div>
    <w:div w:id="1427270837">
      <w:bodyDiv w:val="1"/>
      <w:marLeft w:val="0"/>
      <w:marRight w:val="0"/>
      <w:marTop w:val="0"/>
      <w:marBottom w:val="0"/>
      <w:divBdr>
        <w:top w:val="none" w:sz="0" w:space="0" w:color="auto"/>
        <w:left w:val="none" w:sz="0" w:space="0" w:color="auto"/>
        <w:bottom w:val="none" w:sz="0" w:space="0" w:color="auto"/>
        <w:right w:val="none" w:sz="0" w:space="0" w:color="auto"/>
      </w:divBdr>
    </w:div>
    <w:div w:id="1427388848">
      <w:bodyDiv w:val="1"/>
      <w:marLeft w:val="0"/>
      <w:marRight w:val="0"/>
      <w:marTop w:val="0"/>
      <w:marBottom w:val="0"/>
      <w:divBdr>
        <w:top w:val="none" w:sz="0" w:space="0" w:color="auto"/>
        <w:left w:val="none" w:sz="0" w:space="0" w:color="auto"/>
        <w:bottom w:val="none" w:sz="0" w:space="0" w:color="auto"/>
        <w:right w:val="none" w:sz="0" w:space="0" w:color="auto"/>
      </w:divBdr>
    </w:div>
    <w:div w:id="1431311319">
      <w:bodyDiv w:val="1"/>
      <w:marLeft w:val="0"/>
      <w:marRight w:val="0"/>
      <w:marTop w:val="0"/>
      <w:marBottom w:val="0"/>
      <w:divBdr>
        <w:top w:val="none" w:sz="0" w:space="0" w:color="auto"/>
        <w:left w:val="none" w:sz="0" w:space="0" w:color="auto"/>
        <w:bottom w:val="none" w:sz="0" w:space="0" w:color="auto"/>
        <w:right w:val="none" w:sz="0" w:space="0" w:color="auto"/>
      </w:divBdr>
    </w:div>
    <w:div w:id="1432893682">
      <w:bodyDiv w:val="1"/>
      <w:marLeft w:val="0"/>
      <w:marRight w:val="0"/>
      <w:marTop w:val="0"/>
      <w:marBottom w:val="0"/>
      <w:divBdr>
        <w:top w:val="none" w:sz="0" w:space="0" w:color="auto"/>
        <w:left w:val="none" w:sz="0" w:space="0" w:color="auto"/>
        <w:bottom w:val="none" w:sz="0" w:space="0" w:color="auto"/>
        <w:right w:val="none" w:sz="0" w:space="0" w:color="auto"/>
      </w:divBdr>
    </w:div>
    <w:div w:id="1434013160">
      <w:bodyDiv w:val="1"/>
      <w:marLeft w:val="0"/>
      <w:marRight w:val="0"/>
      <w:marTop w:val="0"/>
      <w:marBottom w:val="0"/>
      <w:divBdr>
        <w:top w:val="none" w:sz="0" w:space="0" w:color="auto"/>
        <w:left w:val="none" w:sz="0" w:space="0" w:color="auto"/>
        <w:bottom w:val="none" w:sz="0" w:space="0" w:color="auto"/>
        <w:right w:val="none" w:sz="0" w:space="0" w:color="auto"/>
      </w:divBdr>
    </w:div>
    <w:div w:id="1434517677">
      <w:bodyDiv w:val="1"/>
      <w:marLeft w:val="0"/>
      <w:marRight w:val="0"/>
      <w:marTop w:val="0"/>
      <w:marBottom w:val="0"/>
      <w:divBdr>
        <w:top w:val="none" w:sz="0" w:space="0" w:color="auto"/>
        <w:left w:val="none" w:sz="0" w:space="0" w:color="auto"/>
        <w:bottom w:val="none" w:sz="0" w:space="0" w:color="auto"/>
        <w:right w:val="none" w:sz="0" w:space="0" w:color="auto"/>
      </w:divBdr>
    </w:div>
    <w:div w:id="1437215910">
      <w:bodyDiv w:val="1"/>
      <w:marLeft w:val="0"/>
      <w:marRight w:val="0"/>
      <w:marTop w:val="0"/>
      <w:marBottom w:val="0"/>
      <w:divBdr>
        <w:top w:val="none" w:sz="0" w:space="0" w:color="auto"/>
        <w:left w:val="none" w:sz="0" w:space="0" w:color="auto"/>
        <w:bottom w:val="none" w:sz="0" w:space="0" w:color="auto"/>
        <w:right w:val="none" w:sz="0" w:space="0" w:color="auto"/>
      </w:divBdr>
    </w:div>
    <w:div w:id="1438867800">
      <w:bodyDiv w:val="1"/>
      <w:marLeft w:val="0"/>
      <w:marRight w:val="0"/>
      <w:marTop w:val="0"/>
      <w:marBottom w:val="0"/>
      <w:divBdr>
        <w:top w:val="none" w:sz="0" w:space="0" w:color="auto"/>
        <w:left w:val="none" w:sz="0" w:space="0" w:color="auto"/>
        <w:bottom w:val="none" w:sz="0" w:space="0" w:color="auto"/>
        <w:right w:val="none" w:sz="0" w:space="0" w:color="auto"/>
      </w:divBdr>
    </w:div>
    <w:div w:id="1439713816">
      <w:bodyDiv w:val="1"/>
      <w:marLeft w:val="0"/>
      <w:marRight w:val="0"/>
      <w:marTop w:val="0"/>
      <w:marBottom w:val="0"/>
      <w:divBdr>
        <w:top w:val="none" w:sz="0" w:space="0" w:color="auto"/>
        <w:left w:val="none" w:sz="0" w:space="0" w:color="auto"/>
        <w:bottom w:val="none" w:sz="0" w:space="0" w:color="auto"/>
        <w:right w:val="none" w:sz="0" w:space="0" w:color="auto"/>
      </w:divBdr>
    </w:div>
    <w:div w:id="1440678717">
      <w:bodyDiv w:val="1"/>
      <w:marLeft w:val="0"/>
      <w:marRight w:val="0"/>
      <w:marTop w:val="0"/>
      <w:marBottom w:val="0"/>
      <w:divBdr>
        <w:top w:val="none" w:sz="0" w:space="0" w:color="auto"/>
        <w:left w:val="none" w:sz="0" w:space="0" w:color="auto"/>
        <w:bottom w:val="none" w:sz="0" w:space="0" w:color="auto"/>
        <w:right w:val="none" w:sz="0" w:space="0" w:color="auto"/>
      </w:divBdr>
    </w:div>
    <w:div w:id="1442144325">
      <w:bodyDiv w:val="1"/>
      <w:marLeft w:val="0"/>
      <w:marRight w:val="0"/>
      <w:marTop w:val="0"/>
      <w:marBottom w:val="0"/>
      <w:divBdr>
        <w:top w:val="none" w:sz="0" w:space="0" w:color="auto"/>
        <w:left w:val="none" w:sz="0" w:space="0" w:color="auto"/>
        <w:bottom w:val="none" w:sz="0" w:space="0" w:color="auto"/>
        <w:right w:val="none" w:sz="0" w:space="0" w:color="auto"/>
      </w:divBdr>
    </w:div>
    <w:div w:id="1444038333">
      <w:bodyDiv w:val="1"/>
      <w:marLeft w:val="0"/>
      <w:marRight w:val="0"/>
      <w:marTop w:val="0"/>
      <w:marBottom w:val="0"/>
      <w:divBdr>
        <w:top w:val="none" w:sz="0" w:space="0" w:color="auto"/>
        <w:left w:val="none" w:sz="0" w:space="0" w:color="auto"/>
        <w:bottom w:val="none" w:sz="0" w:space="0" w:color="auto"/>
        <w:right w:val="none" w:sz="0" w:space="0" w:color="auto"/>
      </w:divBdr>
    </w:div>
    <w:div w:id="1444231304">
      <w:bodyDiv w:val="1"/>
      <w:marLeft w:val="0"/>
      <w:marRight w:val="0"/>
      <w:marTop w:val="0"/>
      <w:marBottom w:val="0"/>
      <w:divBdr>
        <w:top w:val="none" w:sz="0" w:space="0" w:color="auto"/>
        <w:left w:val="none" w:sz="0" w:space="0" w:color="auto"/>
        <w:bottom w:val="none" w:sz="0" w:space="0" w:color="auto"/>
        <w:right w:val="none" w:sz="0" w:space="0" w:color="auto"/>
      </w:divBdr>
    </w:div>
    <w:div w:id="1445004249">
      <w:bodyDiv w:val="1"/>
      <w:marLeft w:val="0"/>
      <w:marRight w:val="0"/>
      <w:marTop w:val="0"/>
      <w:marBottom w:val="0"/>
      <w:divBdr>
        <w:top w:val="none" w:sz="0" w:space="0" w:color="auto"/>
        <w:left w:val="none" w:sz="0" w:space="0" w:color="auto"/>
        <w:bottom w:val="none" w:sz="0" w:space="0" w:color="auto"/>
        <w:right w:val="none" w:sz="0" w:space="0" w:color="auto"/>
      </w:divBdr>
    </w:div>
    <w:div w:id="1445809831">
      <w:bodyDiv w:val="1"/>
      <w:marLeft w:val="0"/>
      <w:marRight w:val="0"/>
      <w:marTop w:val="0"/>
      <w:marBottom w:val="0"/>
      <w:divBdr>
        <w:top w:val="none" w:sz="0" w:space="0" w:color="auto"/>
        <w:left w:val="none" w:sz="0" w:space="0" w:color="auto"/>
        <w:bottom w:val="none" w:sz="0" w:space="0" w:color="auto"/>
        <w:right w:val="none" w:sz="0" w:space="0" w:color="auto"/>
      </w:divBdr>
    </w:div>
    <w:div w:id="1447120679">
      <w:bodyDiv w:val="1"/>
      <w:marLeft w:val="0"/>
      <w:marRight w:val="0"/>
      <w:marTop w:val="0"/>
      <w:marBottom w:val="0"/>
      <w:divBdr>
        <w:top w:val="none" w:sz="0" w:space="0" w:color="auto"/>
        <w:left w:val="none" w:sz="0" w:space="0" w:color="auto"/>
        <w:bottom w:val="none" w:sz="0" w:space="0" w:color="auto"/>
        <w:right w:val="none" w:sz="0" w:space="0" w:color="auto"/>
      </w:divBdr>
    </w:div>
    <w:div w:id="1447583194">
      <w:bodyDiv w:val="1"/>
      <w:marLeft w:val="0"/>
      <w:marRight w:val="0"/>
      <w:marTop w:val="0"/>
      <w:marBottom w:val="0"/>
      <w:divBdr>
        <w:top w:val="none" w:sz="0" w:space="0" w:color="auto"/>
        <w:left w:val="none" w:sz="0" w:space="0" w:color="auto"/>
        <w:bottom w:val="none" w:sz="0" w:space="0" w:color="auto"/>
        <w:right w:val="none" w:sz="0" w:space="0" w:color="auto"/>
      </w:divBdr>
    </w:div>
    <w:div w:id="1447775557">
      <w:bodyDiv w:val="1"/>
      <w:marLeft w:val="0"/>
      <w:marRight w:val="0"/>
      <w:marTop w:val="0"/>
      <w:marBottom w:val="0"/>
      <w:divBdr>
        <w:top w:val="none" w:sz="0" w:space="0" w:color="auto"/>
        <w:left w:val="none" w:sz="0" w:space="0" w:color="auto"/>
        <w:bottom w:val="none" w:sz="0" w:space="0" w:color="auto"/>
        <w:right w:val="none" w:sz="0" w:space="0" w:color="auto"/>
      </w:divBdr>
    </w:div>
    <w:div w:id="1448696073">
      <w:bodyDiv w:val="1"/>
      <w:marLeft w:val="0"/>
      <w:marRight w:val="0"/>
      <w:marTop w:val="0"/>
      <w:marBottom w:val="0"/>
      <w:divBdr>
        <w:top w:val="none" w:sz="0" w:space="0" w:color="auto"/>
        <w:left w:val="none" w:sz="0" w:space="0" w:color="auto"/>
        <w:bottom w:val="none" w:sz="0" w:space="0" w:color="auto"/>
        <w:right w:val="none" w:sz="0" w:space="0" w:color="auto"/>
      </w:divBdr>
    </w:div>
    <w:div w:id="1450278814">
      <w:bodyDiv w:val="1"/>
      <w:marLeft w:val="0"/>
      <w:marRight w:val="0"/>
      <w:marTop w:val="0"/>
      <w:marBottom w:val="0"/>
      <w:divBdr>
        <w:top w:val="none" w:sz="0" w:space="0" w:color="auto"/>
        <w:left w:val="none" w:sz="0" w:space="0" w:color="auto"/>
        <w:bottom w:val="none" w:sz="0" w:space="0" w:color="auto"/>
        <w:right w:val="none" w:sz="0" w:space="0" w:color="auto"/>
      </w:divBdr>
    </w:div>
    <w:div w:id="1451054231">
      <w:bodyDiv w:val="1"/>
      <w:marLeft w:val="0"/>
      <w:marRight w:val="0"/>
      <w:marTop w:val="0"/>
      <w:marBottom w:val="0"/>
      <w:divBdr>
        <w:top w:val="none" w:sz="0" w:space="0" w:color="auto"/>
        <w:left w:val="none" w:sz="0" w:space="0" w:color="auto"/>
        <w:bottom w:val="none" w:sz="0" w:space="0" w:color="auto"/>
        <w:right w:val="none" w:sz="0" w:space="0" w:color="auto"/>
      </w:divBdr>
    </w:div>
    <w:div w:id="1455633631">
      <w:bodyDiv w:val="1"/>
      <w:marLeft w:val="0"/>
      <w:marRight w:val="0"/>
      <w:marTop w:val="0"/>
      <w:marBottom w:val="0"/>
      <w:divBdr>
        <w:top w:val="none" w:sz="0" w:space="0" w:color="auto"/>
        <w:left w:val="none" w:sz="0" w:space="0" w:color="auto"/>
        <w:bottom w:val="none" w:sz="0" w:space="0" w:color="auto"/>
        <w:right w:val="none" w:sz="0" w:space="0" w:color="auto"/>
      </w:divBdr>
    </w:div>
    <w:div w:id="1456368173">
      <w:bodyDiv w:val="1"/>
      <w:marLeft w:val="0"/>
      <w:marRight w:val="0"/>
      <w:marTop w:val="0"/>
      <w:marBottom w:val="0"/>
      <w:divBdr>
        <w:top w:val="none" w:sz="0" w:space="0" w:color="auto"/>
        <w:left w:val="none" w:sz="0" w:space="0" w:color="auto"/>
        <w:bottom w:val="none" w:sz="0" w:space="0" w:color="auto"/>
        <w:right w:val="none" w:sz="0" w:space="0" w:color="auto"/>
      </w:divBdr>
    </w:div>
    <w:div w:id="1457790817">
      <w:bodyDiv w:val="1"/>
      <w:marLeft w:val="0"/>
      <w:marRight w:val="0"/>
      <w:marTop w:val="0"/>
      <w:marBottom w:val="0"/>
      <w:divBdr>
        <w:top w:val="none" w:sz="0" w:space="0" w:color="auto"/>
        <w:left w:val="none" w:sz="0" w:space="0" w:color="auto"/>
        <w:bottom w:val="none" w:sz="0" w:space="0" w:color="auto"/>
        <w:right w:val="none" w:sz="0" w:space="0" w:color="auto"/>
      </w:divBdr>
    </w:div>
    <w:div w:id="1458060466">
      <w:bodyDiv w:val="1"/>
      <w:marLeft w:val="0"/>
      <w:marRight w:val="0"/>
      <w:marTop w:val="0"/>
      <w:marBottom w:val="0"/>
      <w:divBdr>
        <w:top w:val="none" w:sz="0" w:space="0" w:color="auto"/>
        <w:left w:val="none" w:sz="0" w:space="0" w:color="auto"/>
        <w:bottom w:val="none" w:sz="0" w:space="0" w:color="auto"/>
        <w:right w:val="none" w:sz="0" w:space="0" w:color="auto"/>
      </w:divBdr>
    </w:div>
    <w:div w:id="1458252500">
      <w:bodyDiv w:val="1"/>
      <w:marLeft w:val="0"/>
      <w:marRight w:val="0"/>
      <w:marTop w:val="0"/>
      <w:marBottom w:val="0"/>
      <w:divBdr>
        <w:top w:val="none" w:sz="0" w:space="0" w:color="auto"/>
        <w:left w:val="none" w:sz="0" w:space="0" w:color="auto"/>
        <w:bottom w:val="none" w:sz="0" w:space="0" w:color="auto"/>
        <w:right w:val="none" w:sz="0" w:space="0" w:color="auto"/>
      </w:divBdr>
    </w:div>
    <w:div w:id="1458378200">
      <w:bodyDiv w:val="1"/>
      <w:marLeft w:val="0"/>
      <w:marRight w:val="0"/>
      <w:marTop w:val="0"/>
      <w:marBottom w:val="0"/>
      <w:divBdr>
        <w:top w:val="none" w:sz="0" w:space="0" w:color="auto"/>
        <w:left w:val="none" w:sz="0" w:space="0" w:color="auto"/>
        <w:bottom w:val="none" w:sz="0" w:space="0" w:color="auto"/>
        <w:right w:val="none" w:sz="0" w:space="0" w:color="auto"/>
      </w:divBdr>
    </w:div>
    <w:div w:id="1458909546">
      <w:bodyDiv w:val="1"/>
      <w:marLeft w:val="0"/>
      <w:marRight w:val="0"/>
      <w:marTop w:val="0"/>
      <w:marBottom w:val="0"/>
      <w:divBdr>
        <w:top w:val="none" w:sz="0" w:space="0" w:color="auto"/>
        <w:left w:val="none" w:sz="0" w:space="0" w:color="auto"/>
        <w:bottom w:val="none" w:sz="0" w:space="0" w:color="auto"/>
        <w:right w:val="none" w:sz="0" w:space="0" w:color="auto"/>
      </w:divBdr>
    </w:div>
    <w:div w:id="1460955222">
      <w:bodyDiv w:val="1"/>
      <w:marLeft w:val="0"/>
      <w:marRight w:val="0"/>
      <w:marTop w:val="0"/>
      <w:marBottom w:val="0"/>
      <w:divBdr>
        <w:top w:val="none" w:sz="0" w:space="0" w:color="auto"/>
        <w:left w:val="none" w:sz="0" w:space="0" w:color="auto"/>
        <w:bottom w:val="none" w:sz="0" w:space="0" w:color="auto"/>
        <w:right w:val="none" w:sz="0" w:space="0" w:color="auto"/>
      </w:divBdr>
    </w:div>
    <w:div w:id="1461343236">
      <w:bodyDiv w:val="1"/>
      <w:marLeft w:val="0"/>
      <w:marRight w:val="0"/>
      <w:marTop w:val="0"/>
      <w:marBottom w:val="0"/>
      <w:divBdr>
        <w:top w:val="none" w:sz="0" w:space="0" w:color="auto"/>
        <w:left w:val="none" w:sz="0" w:space="0" w:color="auto"/>
        <w:bottom w:val="none" w:sz="0" w:space="0" w:color="auto"/>
        <w:right w:val="none" w:sz="0" w:space="0" w:color="auto"/>
      </w:divBdr>
    </w:div>
    <w:div w:id="1463183779">
      <w:bodyDiv w:val="1"/>
      <w:marLeft w:val="0"/>
      <w:marRight w:val="0"/>
      <w:marTop w:val="0"/>
      <w:marBottom w:val="0"/>
      <w:divBdr>
        <w:top w:val="none" w:sz="0" w:space="0" w:color="auto"/>
        <w:left w:val="none" w:sz="0" w:space="0" w:color="auto"/>
        <w:bottom w:val="none" w:sz="0" w:space="0" w:color="auto"/>
        <w:right w:val="none" w:sz="0" w:space="0" w:color="auto"/>
      </w:divBdr>
    </w:div>
    <w:div w:id="1464039952">
      <w:bodyDiv w:val="1"/>
      <w:marLeft w:val="0"/>
      <w:marRight w:val="0"/>
      <w:marTop w:val="0"/>
      <w:marBottom w:val="0"/>
      <w:divBdr>
        <w:top w:val="none" w:sz="0" w:space="0" w:color="auto"/>
        <w:left w:val="none" w:sz="0" w:space="0" w:color="auto"/>
        <w:bottom w:val="none" w:sz="0" w:space="0" w:color="auto"/>
        <w:right w:val="none" w:sz="0" w:space="0" w:color="auto"/>
      </w:divBdr>
    </w:div>
    <w:div w:id="1464423268">
      <w:bodyDiv w:val="1"/>
      <w:marLeft w:val="0"/>
      <w:marRight w:val="0"/>
      <w:marTop w:val="0"/>
      <w:marBottom w:val="0"/>
      <w:divBdr>
        <w:top w:val="none" w:sz="0" w:space="0" w:color="auto"/>
        <w:left w:val="none" w:sz="0" w:space="0" w:color="auto"/>
        <w:bottom w:val="none" w:sz="0" w:space="0" w:color="auto"/>
        <w:right w:val="none" w:sz="0" w:space="0" w:color="auto"/>
      </w:divBdr>
    </w:div>
    <w:div w:id="1466701046">
      <w:bodyDiv w:val="1"/>
      <w:marLeft w:val="0"/>
      <w:marRight w:val="0"/>
      <w:marTop w:val="0"/>
      <w:marBottom w:val="0"/>
      <w:divBdr>
        <w:top w:val="none" w:sz="0" w:space="0" w:color="auto"/>
        <w:left w:val="none" w:sz="0" w:space="0" w:color="auto"/>
        <w:bottom w:val="none" w:sz="0" w:space="0" w:color="auto"/>
        <w:right w:val="none" w:sz="0" w:space="0" w:color="auto"/>
      </w:divBdr>
    </w:div>
    <w:div w:id="1468545469">
      <w:bodyDiv w:val="1"/>
      <w:marLeft w:val="0"/>
      <w:marRight w:val="0"/>
      <w:marTop w:val="0"/>
      <w:marBottom w:val="0"/>
      <w:divBdr>
        <w:top w:val="none" w:sz="0" w:space="0" w:color="auto"/>
        <w:left w:val="none" w:sz="0" w:space="0" w:color="auto"/>
        <w:bottom w:val="none" w:sz="0" w:space="0" w:color="auto"/>
        <w:right w:val="none" w:sz="0" w:space="0" w:color="auto"/>
      </w:divBdr>
    </w:div>
    <w:div w:id="1468622548">
      <w:bodyDiv w:val="1"/>
      <w:marLeft w:val="0"/>
      <w:marRight w:val="0"/>
      <w:marTop w:val="0"/>
      <w:marBottom w:val="0"/>
      <w:divBdr>
        <w:top w:val="none" w:sz="0" w:space="0" w:color="auto"/>
        <w:left w:val="none" w:sz="0" w:space="0" w:color="auto"/>
        <w:bottom w:val="none" w:sz="0" w:space="0" w:color="auto"/>
        <w:right w:val="none" w:sz="0" w:space="0" w:color="auto"/>
      </w:divBdr>
    </w:div>
    <w:div w:id="1470174321">
      <w:bodyDiv w:val="1"/>
      <w:marLeft w:val="0"/>
      <w:marRight w:val="0"/>
      <w:marTop w:val="0"/>
      <w:marBottom w:val="0"/>
      <w:divBdr>
        <w:top w:val="none" w:sz="0" w:space="0" w:color="auto"/>
        <w:left w:val="none" w:sz="0" w:space="0" w:color="auto"/>
        <w:bottom w:val="none" w:sz="0" w:space="0" w:color="auto"/>
        <w:right w:val="none" w:sz="0" w:space="0" w:color="auto"/>
      </w:divBdr>
    </w:div>
    <w:div w:id="1470367671">
      <w:bodyDiv w:val="1"/>
      <w:marLeft w:val="0"/>
      <w:marRight w:val="0"/>
      <w:marTop w:val="0"/>
      <w:marBottom w:val="0"/>
      <w:divBdr>
        <w:top w:val="none" w:sz="0" w:space="0" w:color="auto"/>
        <w:left w:val="none" w:sz="0" w:space="0" w:color="auto"/>
        <w:bottom w:val="none" w:sz="0" w:space="0" w:color="auto"/>
        <w:right w:val="none" w:sz="0" w:space="0" w:color="auto"/>
      </w:divBdr>
    </w:div>
    <w:div w:id="1470436615">
      <w:bodyDiv w:val="1"/>
      <w:marLeft w:val="0"/>
      <w:marRight w:val="0"/>
      <w:marTop w:val="0"/>
      <w:marBottom w:val="0"/>
      <w:divBdr>
        <w:top w:val="none" w:sz="0" w:space="0" w:color="auto"/>
        <w:left w:val="none" w:sz="0" w:space="0" w:color="auto"/>
        <w:bottom w:val="none" w:sz="0" w:space="0" w:color="auto"/>
        <w:right w:val="none" w:sz="0" w:space="0" w:color="auto"/>
      </w:divBdr>
    </w:div>
    <w:div w:id="1470977211">
      <w:bodyDiv w:val="1"/>
      <w:marLeft w:val="0"/>
      <w:marRight w:val="0"/>
      <w:marTop w:val="0"/>
      <w:marBottom w:val="0"/>
      <w:divBdr>
        <w:top w:val="none" w:sz="0" w:space="0" w:color="auto"/>
        <w:left w:val="none" w:sz="0" w:space="0" w:color="auto"/>
        <w:bottom w:val="none" w:sz="0" w:space="0" w:color="auto"/>
        <w:right w:val="none" w:sz="0" w:space="0" w:color="auto"/>
      </w:divBdr>
    </w:div>
    <w:div w:id="1473400908">
      <w:bodyDiv w:val="1"/>
      <w:marLeft w:val="0"/>
      <w:marRight w:val="0"/>
      <w:marTop w:val="0"/>
      <w:marBottom w:val="0"/>
      <w:divBdr>
        <w:top w:val="none" w:sz="0" w:space="0" w:color="auto"/>
        <w:left w:val="none" w:sz="0" w:space="0" w:color="auto"/>
        <w:bottom w:val="none" w:sz="0" w:space="0" w:color="auto"/>
        <w:right w:val="none" w:sz="0" w:space="0" w:color="auto"/>
      </w:divBdr>
    </w:div>
    <w:div w:id="1473670973">
      <w:bodyDiv w:val="1"/>
      <w:marLeft w:val="0"/>
      <w:marRight w:val="0"/>
      <w:marTop w:val="0"/>
      <w:marBottom w:val="0"/>
      <w:divBdr>
        <w:top w:val="none" w:sz="0" w:space="0" w:color="auto"/>
        <w:left w:val="none" w:sz="0" w:space="0" w:color="auto"/>
        <w:bottom w:val="none" w:sz="0" w:space="0" w:color="auto"/>
        <w:right w:val="none" w:sz="0" w:space="0" w:color="auto"/>
      </w:divBdr>
    </w:div>
    <w:div w:id="1474257277">
      <w:bodyDiv w:val="1"/>
      <w:marLeft w:val="0"/>
      <w:marRight w:val="0"/>
      <w:marTop w:val="0"/>
      <w:marBottom w:val="0"/>
      <w:divBdr>
        <w:top w:val="none" w:sz="0" w:space="0" w:color="auto"/>
        <w:left w:val="none" w:sz="0" w:space="0" w:color="auto"/>
        <w:bottom w:val="none" w:sz="0" w:space="0" w:color="auto"/>
        <w:right w:val="none" w:sz="0" w:space="0" w:color="auto"/>
      </w:divBdr>
    </w:div>
    <w:div w:id="1474371825">
      <w:bodyDiv w:val="1"/>
      <w:marLeft w:val="0"/>
      <w:marRight w:val="0"/>
      <w:marTop w:val="0"/>
      <w:marBottom w:val="0"/>
      <w:divBdr>
        <w:top w:val="none" w:sz="0" w:space="0" w:color="auto"/>
        <w:left w:val="none" w:sz="0" w:space="0" w:color="auto"/>
        <w:bottom w:val="none" w:sz="0" w:space="0" w:color="auto"/>
        <w:right w:val="none" w:sz="0" w:space="0" w:color="auto"/>
      </w:divBdr>
    </w:div>
    <w:div w:id="1474638738">
      <w:bodyDiv w:val="1"/>
      <w:marLeft w:val="0"/>
      <w:marRight w:val="0"/>
      <w:marTop w:val="0"/>
      <w:marBottom w:val="0"/>
      <w:divBdr>
        <w:top w:val="none" w:sz="0" w:space="0" w:color="auto"/>
        <w:left w:val="none" w:sz="0" w:space="0" w:color="auto"/>
        <w:bottom w:val="none" w:sz="0" w:space="0" w:color="auto"/>
        <w:right w:val="none" w:sz="0" w:space="0" w:color="auto"/>
      </w:divBdr>
    </w:div>
    <w:div w:id="1482506328">
      <w:bodyDiv w:val="1"/>
      <w:marLeft w:val="0"/>
      <w:marRight w:val="0"/>
      <w:marTop w:val="0"/>
      <w:marBottom w:val="0"/>
      <w:divBdr>
        <w:top w:val="none" w:sz="0" w:space="0" w:color="auto"/>
        <w:left w:val="none" w:sz="0" w:space="0" w:color="auto"/>
        <w:bottom w:val="none" w:sz="0" w:space="0" w:color="auto"/>
        <w:right w:val="none" w:sz="0" w:space="0" w:color="auto"/>
      </w:divBdr>
    </w:div>
    <w:div w:id="1483305455">
      <w:bodyDiv w:val="1"/>
      <w:marLeft w:val="0"/>
      <w:marRight w:val="0"/>
      <w:marTop w:val="0"/>
      <w:marBottom w:val="0"/>
      <w:divBdr>
        <w:top w:val="none" w:sz="0" w:space="0" w:color="auto"/>
        <w:left w:val="none" w:sz="0" w:space="0" w:color="auto"/>
        <w:bottom w:val="none" w:sz="0" w:space="0" w:color="auto"/>
        <w:right w:val="none" w:sz="0" w:space="0" w:color="auto"/>
      </w:divBdr>
    </w:div>
    <w:div w:id="1484271798">
      <w:bodyDiv w:val="1"/>
      <w:marLeft w:val="0"/>
      <w:marRight w:val="0"/>
      <w:marTop w:val="0"/>
      <w:marBottom w:val="0"/>
      <w:divBdr>
        <w:top w:val="none" w:sz="0" w:space="0" w:color="auto"/>
        <w:left w:val="none" w:sz="0" w:space="0" w:color="auto"/>
        <w:bottom w:val="none" w:sz="0" w:space="0" w:color="auto"/>
        <w:right w:val="none" w:sz="0" w:space="0" w:color="auto"/>
      </w:divBdr>
    </w:div>
    <w:div w:id="1486967880">
      <w:bodyDiv w:val="1"/>
      <w:marLeft w:val="0"/>
      <w:marRight w:val="0"/>
      <w:marTop w:val="0"/>
      <w:marBottom w:val="0"/>
      <w:divBdr>
        <w:top w:val="none" w:sz="0" w:space="0" w:color="auto"/>
        <w:left w:val="none" w:sz="0" w:space="0" w:color="auto"/>
        <w:bottom w:val="none" w:sz="0" w:space="0" w:color="auto"/>
        <w:right w:val="none" w:sz="0" w:space="0" w:color="auto"/>
      </w:divBdr>
    </w:div>
    <w:div w:id="1488129393">
      <w:bodyDiv w:val="1"/>
      <w:marLeft w:val="0"/>
      <w:marRight w:val="0"/>
      <w:marTop w:val="0"/>
      <w:marBottom w:val="0"/>
      <w:divBdr>
        <w:top w:val="none" w:sz="0" w:space="0" w:color="auto"/>
        <w:left w:val="none" w:sz="0" w:space="0" w:color="auto"/>
        <w:bottom w:val="none" w:sz="0" w:space="0" w:color="auto"/>
        <w:right w:val="none" w:sz="0" w:space="0" w:color="auto"/>
      </w:divBdr>
    </w:div>
    <w:div w:id="1488286539">
      <w:bodyDiv w:val="1"/>
      <w:marLeft w:val="0"/>
      <w:marRight w:val="0"/>
      <w:marTop w:val="0"/>
      <w:marBottom w:val="0"/>
      <w:divBdr>
        <w:top w:val="none" w:sz="0" w:space="0" w:color="auto"/>
        <w:left w:val="none" w:sz="0" w:space="0" w:color="auto"/>
        <w:bottom w:val="none" w:sz="0" w:space="0" w:color="auto"/>
        <w:right w:val="none" w:sz="0" w:space="0" w:color="auto"/>
      </w:divBdr>
    </w:div>
    <w:div w:id="1488858518">
      <w:bodyDiv w:val="1"/>
      <w:marLeft w:val="0"/>
      <w:marRight w:val="0"/>
      <w:marTop w:val="0"/>
      <w:marBottom w:val="0"/>
      <w:divBdr>
        <w:top w:val="none" w:sz="0" w:space="0" w:color="auto"/>
        <w:left w:val="none" w:sz="0" w:space="0" w:color="auto"/>
        <w:bottom w:val="none" w:sz="0" w:space="0" w:color="auto"/>
        <w:right w:val="none" w:sz="0" w:space="0" w:color="auto"/>
      </w:divBdr>
    </w:div>
    <w:div w:id="1489831820">
      <w:bodyDiv w:val="1"/>
      <w:marLeft w:val="0"/>
      <w:marRight w:val="0"/>
      <w:marTop w:val="0"/>
      <w:marBottom w:val="0"/>
      <w:divBdr>
        <w:top w:val="none" w:sz="0" w:space="0" w:color="auto"/>
        <w:left w:val="none" w:sz="0" w:space="0" w:color="auto"/>
        <w:bottom w:val="none" w:sz="0" w:space="0" w:color="auto"/>
        <w:right w:val="none" w:sz="0" w:space="0" w:color="auto"/>
      </w:divBdr>
    </w:div>
    <w:div w:id="1489900734">
      <w:bodyDiv w:val="1"/>
      <w:marLeft w:val="0"/>
      <w:marRight w:val="0"/>
      <w:marTop w:val="0"/>
      <w:marBottom w:val="0"/>
      <w:divBdr>
        <w:top w:val="none" w:sz="0" w:space="0" w:color="auto"/>
        <w:left w:val="none" w:sz="0" w:space="0" w:color="auto"/>
        <w:bottom w:val="none" w:sz="0" w:space="0" w:color="auto"/>
        <w:right w:val="none" w:sz="0" w:space="0" w:color="auto"/>
      </w:divBdr>
    </w:div>
    <w:div w:id="1492403941">
      <w:bodyDiv w:val="1"/>
      <w:marLeft w:val="0"/>
      <w:marRight w:val="0"/>
      <w:marTop w:val="0"/>
      <w:marBottom w:val="0"/>
      <w:divBdr>
        <w:top w:val="none" w:sz="0" w:space="0" w:color="auto"/>
        <w:left w:val="none" w:sz="0" w:space="0" w:color="auto"/>
        <w:bottom w:val="none" w:sz="0" w:space="0" w:color="auto"/>
        <w:right w:val="none" w:sz="0" w:space="0" w:color="auto"/>
      </w:divBdr>
    </w:div>
    <w:div w:id="1492451395">
      <w:bodyDiv w:val="1"/>
      <w:marLeft w:val="0"/>
      <w:marRight w:val="0"/>
      <w:marTop w:val="0"/>
      <w:marBottom w:val="0"/>
      <w:divBdr>
        <w:top w:val="none" w:sz="0" w:space="0" w:color="auto"/>
        <w:left w:val="none" w:sz="0" w:space="0" w:color="auto"/>
        <w:bottom w:val="none" w:sz="0" w:space="0" w:color="auto"/>
        <w:right w:val="none" w:sz="0" w:space="0" w:color="auto"/>
      </w:divBdr>
    </w:div>
    <w:div w:id="1497766609">
      <w:bodyDiv w:val="1"/>
      <w:marLeft w:val="0"/>
      <w:marRight w:val="0"/>
      <w:marTop w:val="0"/>
      <w:marBottom w:val="0"/>
      <w:divBdr>
        <w:top w:val="none" w:sz="0" w:space="0" w:color="auto"/>
        <w:left w:val="none" w:sz="0" w:space="0" w:color="auto"/>
        <w:bottom w:val="none" w:sz="0" w:space="0" w:color="auto"/>
        <w:right w:val="none" w:sz="0" w:space="0" w:color="auto"/>
      </w:divBdr>
    </w:div>
    <w:div w:id="1497846525">
      <w:bodyDiv w:val="1"/>
      <w:marLeft w:val="0"/>
      <w:marRight w:val="0"/>
      <w:marTop w:val="0"/>
      <w:marBottom w:val="0"/>
      <w:divBdr>
        <w:top w:val="none" w:sz="0" w:space="0" w:color="auto"/>
        <w:left w:val="none" w:sz="0" w:space="0" w:color="auto"/>
        <w:bottom w:val="none" w:sz="0" w:space="0" w:color="auto"/>
        <w:right w:val="none" w:sz="0" w:space="0" w:color="auto"/>
      </w:divBdr>
    </w:div>
    <w:div w:id="1498419884">
      <w:bodyDiv w:val="1"/>
      <w:marLeft w:val="0"/>
      <w:marRight w:val="0"/>
      <w:marTop w:val="0"/>
      <w:marBottom w:val="0"/>
      <w:divBdr>
        <w:top w:val="none" w:sz="0" w:space="0" w:color="auto"/>
        <w:left w:val="none" w:sz="0" w:space="0" w:color="auto"/>
        <w:bottom w:val="none" w:sz="0" w:space="0" w:color="auto"/>
        <w:right w:val="none" w:sz="0" w:space="0" w:color="auto"/>
      </w:divBdr>
    </w:div>
    <w:div w:id="1499883259">
      <w:bodyDiv w:val="1"/>
      <w:marLeft w:val="0"/>
      <w:marRight w:val="0"/>
      <w:marTop w:val="0"/>
      <w:marBottom w:val="0"/>
      <w:divBdr>
        <w:top w:val="none" w:sz="0" w:space="0" w:color="auto"/>
        <w:left w:val="none" w:sz="0" w:space="0" w:color="auto"/>
        <w:bottom w:val="none" w:sz="0" w:space="0" w:color="auto"/>
        <w:right w:val="none" w:sz="0" w:space="0" w:color="auto"/>
      </w:divBdr>
    </w:div>
    <w:div w:id="1504853271">
      <w:bodyDiv w:val="1"/>
      <w:marLeft w:val="0"/>
      <w:marRight w:val="0"/>
      <w:marTop w:val="0"/>
      <w:marBottom w:val="0"/>
      <w:divBdr>
        <w:top w:val="none" w:sz="0" w:space="0" w:color="auto"/>
        <w:left w:val="none" w:sz="0" w:space="0" w:color="auto"/>
        <w:bottom w:val="none" w:sz="0" w:space="0" w:color="auto"/>
        <w:right w:val="none" w:sz="0" w:space="0" w:color="auto"/>
      </w:divBdr>
    </w:div>
    <w:div w:id="1504978754">
      <w:bodyDiv w:val="1"/>
      <w:marLeft w:val="0"/>
      <w:marRight w:val="0"/>
      <w:marTop w:val="0"/>
      <w:marBottom w:val="0"/>
      <w:divBdr>
        <w:top w:val="none" w:sz="0" w:space="0" w:color="auto"/>
        <w:left w:val="none" w:sz="0" w:space="0" w:color="auto"/>
        <w:bottom w:val="none" w:sz="0" w:space="0" w:color="auto"/>
        <w:right w:val="none" w:sz="0" w:space="0" w:color="auto"/>
      </w:divBdr>
    </w:div>
    <w:div w:id="1505391543">
      <w:bodyDiv w:val="1"/>
      <w:marLeft w:val="0"/>
      <w:marRight w:val="0"/>
      <w:marTop w:val="0"/>
      <w:marBottom w:val="0"/>
      <w:divBdr>
        <w:top w:val="none" w:sz="0" w:space="0" w:color="auto"/>
        <w:left w:val="none" w:sz="0" w:space="0" w:color="auto"/>
        <w:bottom w:val="none" w:sz="0" w:space="0" w:color="auto"/>
        <w:right w:val="none" w:sz="0" w:space="0" w:color="auto"/>
      </w:divBdr>
    </w:div>
    <w:div w:id="1507749884">
      <w:bodyDiv w:val="1"/>
      <w:marLeft w:val="0"/>
      <w:marRight w:val="0"/>
      <w:marTop w:val="0"/>
      <w:marBottom w:val="0"/>
      <w:divBdr>
        <w:top w:val="none" w:sz="0" w:space="0" w:color="auto"/>
        <w:left w:val="none" w:sz="0" w:space="0" w:color="auto"/>
        <w:bottom w:val="none" w:sz="0" w:space="0" w:color="auto"/>
        <w:right w:val="none" w:sz="0" w:space="0" w:color="auto"/>
      </w:divBdr>
    </w:div>
    <w:div w:id="1509636939">
      <w:bodyDiv w:val="1"/>
      <w:marLeft w:val="0"/>
      <w:marRight w:val="0"/>
      <w:marTop w:val="0"/>
      <w:marBottom w:val="0"/>
      <w:divBdr>
        <w:top w:val="none" w:sz="0" w:space="0" w:color="auto"/>
        <w:left w:val="none" w:sz="0" w:space="0" w:color="auto"/>
        <w:bottom w:val="none" w:sz="0" w:space="0" w:color="auto"/>
        <w:right w:val="none" w:sz="0" w:space="0" w:color="auto"/>
      </w:divBdr>
    </w:div>
    <w:div w:id="1511333786">
      <w:bodyDiv w:val="1"/>
      <w:marLeft w:val="0"/>
      <w:marRight w:val="0"/>
      <w:marTop w:val="0"/>
      <w:marBottom w:val="0"/>
      <w:divBdr>
        <w:top w:val="none" w:sz="0" w:space="0" w:color="auto"/>
        <w:left w:val="none" w:sz="0" w:space="0" w:color="auto"/>
        <w:bottom w:val="none" w:sz="0" w:space="0" w:color="auto"/>
        <w:right w:val="none" w:sz="0" w:space="0" w:color="auto"/>
      </w:divBdr>
    </w:div>
    <w:div w:id="1513304494">
      <w:bodyDiv w:val="1"/>
      <w:marLeft w:val="0"/>
      <w:marRight w:val="0"/>
      <w:marTop w:val="0"/>
      <w:marBottom w:val="0"/>
      <w:divBdr>
        <w:top w:val="none" w:sz="0" w:space="0" w:color="auto"/>
        <w:left w:val="none" w:sz="0" w:space="0" w:color="auto"/>
        <w:bottom w:val="none" w:sz="0" w:space="0" w:color="auto"/>
        <w:right w:val="none" w:sz="0" w:space="0" w:color="auto"/>
      </w:divBdr>
    </w:div>
    <w:div w:id="1514103107">
      <w:bodyDiv w:val="1"/>
      <w:marLeft w:val="0"/>
      <w:marRight w:val="0"/>
      <w:marTop w:val="0"/>
      <w:marBottom w:val="0"/>
      <w:divBdr>
        <w:top w:val="none" w:sz="0" w:space="0" w:color="auto"/>
        <w:left w:val="none" w:sz="0" w:space="0" w:color="auto"/>
        <w:bottom w:val="none" w:sz="0" w:space="0" w:color="auto"/>
        <w:right w:val="none" w:sz="0" w:space="0" w:color="auto"/>
      </w:divBdr>
    </w:div>
    <w:div w:id="1514688638">
      <w:bodyDiv w:val="1"/>
      <w:marLeft w:val="0"/>
      <w:marRight w:val="0"/>
      <w:marTop w:val="0"/>
      <w:marBottom w:val="0"/>
      <w:divBdr>
        <w:top w:val="none" w:sz="0" w:space="0" w:color="auto"/>
        <w:left w:val="none" w:sz="0" w:space="0" w:color="auto"/>
        <w:bottom w:val="none" w:sz="0" w:space="0" w:color="auto"/>
        <w:right w:val="none" w:sz="0" w:space="0" w:color="auto"/>
      </w:divBdr>
    </w:div>
    <w:div w:id="1514874897">
      <w:bodyDiv w:val="1"/>
      <w:marLeft w:val="0"/>
      <w:marRight w:val="0"/>
      <w:marTop w:val="0"/>
      <w:marBottom w:val="0"/>
      <w:divBdr>
        <w:top w:val="none" w:sz="0" w:space="0" w:color="auto"/>
        <w:left w:val="none" w:sz="0" w:space="0" w:color="auto"/>
        <w:bottom w:val="none" w:sz="0" w:space="0" w:color="auto"/>
        <w:right w:val="none" w:sz="0" w:space="0" w:color="auto"/>
      </w:divBdr>
    </w:div>
    <w:div w:id="1515803526">
      <w:bodyDiv w:val="1"/>
      <w:marLeft w:val="0"/>
      <w:marRight w:val="0"/>
      <w:marTop w:val="0"/>
      <w:marBottom w:val="0"/>
      <w:divBdr>
        <w:top w:val="none" w:sz="0" w:space="0" w:color="auto"/>
        <w:left w:val="none" w:sz="0" w:space="0" w:color="auto"/>
        <w:bottom w:val="none" w:sz="0" w:space="0" w:color="auto"/>
        <w:right w:val="none" w:sz="0" w:space="0" w:color="auto"/>
      </w:divBdr>
    </w:div>
    <w:div w:id="1519350683">
      <w:bodyDiv w:val="1"/>
      <w:marLeft w:val="0"/>
      <w:marRight w:val="0"/>
      <w:marTop w:val="0"/>
      <w:marBottom w:val="0"/>
      <w:divBdr>
        <w:top w:val="none" w:sz="0" w:space="0" w:color="auto"/>
        <w:left w:val="none" w:sz="0" w:space="0" w:color="auto"/>
        <w:bottom w:val="none" w:sz="0" w:space="0" w:color="auto"/>
        <w:right w:val="none" w:sz="0" w:space="0" w:color="auto"/>
      </w:divBdr>
    </w:div>
    <w:div w:id="1520386882">
      <w:bodyDiv w:val="1"/>
      <w:marLeft w:val="0"/>
      <w:marRight w:val="0"/>
      <w:marTop w:val="0"/>
      <w:marBottom w:val="0"/>
      <w:divBdr>
        <w:top w:val="none" w:sz="0" w:space="0" w:color="auto"/>
        <w:left w:val="none" w:sz="0" w:space="0" w:color="auto"/>
        <w:bottom w:val="none" w:sz="0" w:space="0" w:color="auto"/>
        <w:right w:val="none" w:sz="0" w:space="0" w:color="auto"/>
      </w:divBdr>
    </w:div>
    <w:div w:id="1520462284">
      <w:bodyDiv w:val="1"/>
      <w:marLeft w:val="0"/>
      <w:marRight w:val="0"/>
      <w:marTop w:val="0"/>
      <w:marBottom w:val="0"/>
      <w:divBdr>
        <w:top w:val="none" w:sz="0" w:space="0" w:color="auto"/>
        <w:left w:val="none" w:sz="0" w:space="0" w:color="auto"/>
        <w:bottom w:val="none" w:sz="0" w:space="0" w:color="auto"/>
        <w:right w:val="none" w:sz="0" w:space="0" w:color="auto"/>
      </w:divBdr>
    </w:div>
    <w:div w:id="1521505438">
      <w:bodyDiv w:val="1"/>
      <w:marLeft w:val="0"/>
      <w:marRight w:val="0"/>
      <w:marTop w:val="0"/>
      <w:marBottom w:val="0"/>
      <w:divBdr>
        <w:top w:val="none" w:sz="0" w:space="0" w:color="auto"/>
        <w:left w:val="none" w:sz="0" w:space="0" w:color="auto"/>
        <w:bottom w:val="none" w:sz="0" w:space="0" w:color="auto"/>
        <w:right w:val="none" w:sz="0" w:space="0" w:color="auto"/>
      </w:divBdr>
    </w:div>
    <w:div w:id="1524395841">
      <w:bodyDiv w:val="1"/>
      <w:marLeft w:val="0"/>
      <w:marRight w:val="0"/>
      <w:marTop w:val="0"/>
      <w:marBottom w:val="0"/>
      <w:divBdr>
        <w:top w:val="none" w:sz="0" w:space="0" w:color="auto"/>
        <w:left w:val="none" w:sz="0" w:space="0" w:color="auto"/>
        <w:bottom w:val="none" w:sz="0" w:space="0" w:color="auto"/>
        <w:right w:val="none" w:sz="0" w:space="0" w:color="auto"/>
      </w:divBdr>
    </w:div>
    <w:div w:id="1525165624">
      <w:bodyDiv w:val="1"/>
      <w:marLeft w:val="0"/>
      <w:marRight w:val="0"/>
      <w:marTop w:val="0"/>
      <w:marBottom w:val="0"/>
      <w:divBdr>
        <w:top w:val="none" w:sz="0" w:space="0" w:color="auto"/>
        <w:left w:val="none" w:sz="0" w:space="0" w:color="auto"/>
        <w:bottom w:val="none" w:sz="0" w:space="0" w:color="auto"/>
        <w:right w:val="none" w:sz="0" w:space="0" w:color="auto"/>
      </w:divBdr>
    </w:div>
    <w:div w:id="1525703981">
      <w:bodyDiv w:val="1"/>
      <w:marLeft w:val="0"/>
      <w:marRight w:val="0"/>
      <w:marTop w:val="0"/>
      <w:marBottom w:val="0"/>
      <w:divBdr>
        <w:top w:val="none" w:sz="0" w:space="0" w:color="auto"/>
        <w:left w:val="none" w:sz="0" w:space="0" w:color="auto"/>
        <w:bottom w:val="none" w:sz="0" w:space="0" w:color="auto"/>
        <w:right w:val="none" w:sz="0" w:space="0" w:color="auto"/>
      </w:divBdr>
    </w:div>
    <w:div w:id="1525706471">
      <w:bodyDiv w:val="1"/>
      <w:marLeft w:val="0"/>
      <w:marRight w:val="0"/>
      <w:marTop w:val="0"/>
      <w:marBottom w:val="0"/>
      <w:divBdr>
        <w:top w:val="none" w:sz="0" w:space="0" w:color="auto"/>
        <w:left w:val="none" w:sz="0" w:space="0" w:color="auto"/>
        <w:bottom w:val="none" w:sz="0" w:space="0" w:color="auto"/>
        <w:right w:val="none" w:sz="0" w:space="0" w:color="auto"/>
      </w:divBdr>
    </w:div>
    <w:div w:id="1526555313">
      <w:bodyDiv w:val="1"/>
      <w:marLeft w:val="0"/>
      <w:marRight w:val="0"/>
      <w:marTop w:val="0"/>
      <w:marBottom w:val="0"/>
      <w:divBdr>
        <w:top w:val="none" w:sz="0" w:space="0" w:color="auto"/>
        <w:left w:val="none" w:sz="0" w:space="0" w:color="auto"/>
        <w:bottom w:val="none" w:sz="0" w:space="0" w:color="auto"/>
        <w:right w:val="none" w:sz="0" w:space="0" w:color="auto"/>
      </w:divBdr>
    </w:div>
    <w:div w:id="1529106193">
      <w:bodyDiv w:val="1"/>
      <w:marLeft w:val="0"/>
      <w:marRight w:val="0"/>
      <w:marTop w:val="0"/>
      <w:marBottom w:val="0"/>
      <w:divBdr>
        <w:top w:val="none" w:sz="0" w:space="0" w:color="auto"/>
        <w:left w:val="none" w:sz="0" w:space="0" w:color="auto"/>
        <w:bottom w:val="none" w:sz="0" w:space="0" w:color="auto"/>
        <w:right w:val="none" w:sz="0" w:space="0" w:color="auto"/>
      </w:divBdr>
    </w:div>
    <w:div w:id="1529372600">
      <w:bodyDiv w:val="1"/>
      <w:marLeft w:val="0"/>
      <w:marRight w:val="0"/>
      <w:marTop w:val="0"/>
      <w:marBottom w:val="0"/>
      <w:divBdr>
        <w:top w:val="none" w:sz="0" w:space="0" w:color="auto"/>
        <w:left w:val="none" w:sz="0" w:space="0" w:color="auto"/>
        <w:bottom w:val="none" w:sz="0" w:space="0" w:color="auto"/>
        <w:right w:val="none" w:sz="0" w:space="0" w:color="auto"/>
      </w:divBdr>
    </w:div>
    <w:div w:id="1529758221">
      <w:bodyDiv w:val="1"/>
      <w:marLeft w:val="0"/>
      <w:marRight w:val="0"/>
      <w:marTop w:val="0"/>
      <w:marBottom w:val="0"/>
      <w:divBdr>
        <w:top w:val="none" w:sz="0" w:space="0" w:color="auto"/>
        <w:left w:val="none" w:sz="0" w:space="0" w:color="auto"/>
        <w:bottom w:val="none" w:sz="0" w:space="0" w:color="auto"/>
        <w:right w:val="none" w:sz="0" w:space="0" w:color="auto"/>
      </w:divBdr>
    </w:div>
    <w:div w:id="1530413967">
      <w:bodyDiv w:val="1"/>
      <w:marLeft w:val="0"/>
      <w:marRight w:val="0"/>
      <w:marTop w:val="0"/>
      <w:marBottom w:val="0"/>
      <w:divBdr>
        <w:top w:val="none" w:sz="0" w:space="0" w:color="auto"/>
        <w:left w:val="none" w:sz="0" w:space="0" w:color="auto"/>
        <w:bottom w:val="none" w:sz="0" w:space="0" w:color="auto"/>
        <w:right w:val="none" w:sz="0" w:space="0" w:color="auto"/>
      </w:divBdr>
    </w:div>
    <w:div w:id="1531651041">
      <w:bodyDiv w:val="1"/>
      <w:marLeft w:val="0"/>
      <w:marRight w:val="0"/>
      <w:marTop w:val="0"/>
      <w:marBottom w:val="0"/>
      <w:divBdr>
        <w:top w:val="none" w:sz="0" w:space="0" w:color="auto"/>
        <w:left w:val="none" w:sz="0" w:space="0" w:color="auto"/>
        <w:bottom w:val="none" w:sz="0" w:space="0" w:color="auto"/>
        <w:right w:val="none" w:sz="0" w:space="0" w:color="auto"/>
      </w:divBdr>
    </w:div>
    <w:div w:id="1533496728">
      <w:bodyDiv w:val="1"/>
      <w:marLeft w:val="0"/>
      <w:marRight w:val="0"/>
      <w:marTop w:val="0"/>
      <w:marBottom w:val="0"/>
      <w:divBdr>
        <w:top w:val="none" w:sz="0" w:space="0" w:color="auto"/>
        <w:left w:val="none" w:sz="0" w:space="0" w:color="auto"/>
        <w:bottom w:val="none" w:sz="0" w:space="0" w:color="auto"/>
        <w:right w:val="none" w:sz="0" w:space="0" w:color="auto"/>
      </w:divBdr>
    </w:div>
    <w:div w:id="1533608657">
      <w:bodyDiv w:val="1"/>
      <w:marLeft w:val="0"/>
      <w:marRight w:val="0"/>
      <w:marTop w:val="0"/>
      <w:marBottom w:val="0"/>
      <w:divBdr>
        <w:top w:val="none" w:sz="0" w:space="0" w:color="auto"/>
        <w:left w:val="none" w:sz="0" w:space="0" w:color="auto"/>
        <w:bottom w:val="none" w:sz="0" w:space="0" w:color="auto"/>
        <w:right w:val="none" w:sz="0" w:space="0" w:color="auto"/>
      </w:divBdr>
    </w:div>
    <w:div w:id="1534028332">
      <w:bodyDiv w:val="1"/>
      <w:marLeft w:val="0"/>
      <w:marRight w:val="0"/>
      <w:marTop w:val="0"/>
      <w:marBottom w:val="0"/>
      <w:divBdr>
        <w:top w:val="none" w:sz="0" w:space="0" w:color="auto"/>
        <w:left w:val="none" w:sz="0" w:space="0" w:color="auto"/>
        <w:bottom w:val="none" w:sz="0" w:space="0" w:color="auto"/>
        <w:right w:val="none" w:sz="0" w:space="0" w:color="auto"/>
      </w:divBdr>
    </w:div>
    <w:div w:id="1535386428">
      <w:bodyDiv w:val="1"/>
      <w:marLeft w:val="0"/>
      <w:marRight w:val="0"/>
      <w:marTop w:val="0"/>
      <w:marBottom w:val="0"/>
      <w:divBdr>
        <w:top w:val="none" w:sz="0" w:space="0" w:color="auto"/>
        <w:left w:val="none" w:sz="0" w:space="0" w:color="auto"/>
        <w:bottom w:val="none" w:sz="0" w:space="0" w:color="auto"/>
        <w:right w:val="none" w:sz="0" w:space="0" w:color="auto"/>
      </w:divBdr>
    </w:div>
    <w:div w:id="1536194868">
      <w:bodyDiv w:val="1"/>
      <w:marLeft w:val="0"/>
      <w:marRight w:val="0"/>
      <w:marTop w:val="0"/>
      <w:marBottom w:val="0"/>
      <w:divBdr>
        <w:top w:val="none" w:sz="0" w:space="0" w:color="auto"/>
        <w:left w:val="none" w:sz="0" w:space="0" w:color="auto"/>
        <w:bottom w:val="none" w:sz="0" w:space="0" w:color="auto"/>
        <w:right w:val="none" w:sz="0" w:space="0" w:color="auto"/>
      </w:divBdr>
    </w:div>
    <w:div w:id="1537505366">
      <w:bodyDiv w:val="1"/>
      <w:marLeft w:val="0"/>
      <w:marRight w:val="0"/>
      <w:marTop w:val="0"/>
      <w:marBottom w:val="0"/>
      <w:divBdr>
        <w:top w:val="none" w:sz="0" w:space="0" w:color="auto"/>
        <w:left w:val="none" w:sz="0" w:space="0" w:color="auto"/>
        <w:bottom w:val="none" w:sz="0" w:space="0" w:color="auto"/>
        <w:right w:val="none" w:sz="0" w:space="0" w:color="auto"/>
      </w:divBdr>
    </w:div>
    <w:div w:id="1537964905">
      <w:bodyDiv w:val="1"/>
      <w:marLeft w:val="0"/>
      <w:marRight w:val="0"/>
      <w:marTop w:val="0"/>
      <w:marBottom w:val="0"/>
      <w:divBdr>
        <w:top w:val="none" w:sz="0" w:space="0" w:color="auto"/>
        <w:left w:val="none" w:sz="0" w:space="0" w:color="auto"/>
        <w:bottom w:val="none" w:sz="0" w:space="0" w:color="auto"/>
        <w:right w:val="none" w:sz="0" w:space="0" w:color="auto"/>
      </w:divBdr>
    </w:div>
    <w:div w:id="1539122768">
      <w:bodyDiv w:val="1"/>
      <w:marLeft w:val="0"/>
      <w:marRight w:val="0"/>
      <w:marTop w:val="0"/>
      <w:marBottom w:val="0"/>
      <w:divBdr>
        <w:top w:val="none" w:sz="0" w:space="0" w:color="auto"/>
        <w:left w:val="none" w:sz="0" w:space="0" w:color="auto"/>
        <w:bottom w:val="none" w:sz="0" w:space="0" w:color="auto"/>
        <w:right w:val="none" w:sz="0" w:space="0" w:color="auto"/>
      </w:divBdr>
    </w:div>
    <w:div w:id="1540241578">
      <w:bodyDiv w:val="1"/>
      <w:marLeft w:val="0"/>
      <w:marRight w:val="0"/>
      <w:marTop w:val="0"/>
      <w:marBottom w:val="0"/>
      <w:divBdr>
        <w:top w:val="none" w:sz="0" w:space="0" w:color="auto"/>
        <w:left w:val="none" w:sz="0" w:space="0" w:color="auto"/>
        <w:bottom w:val="none" w:sz="0" w:space="0" w:color="auto"/>
        <w:right w:val="none" w:sz="0" w:space="0" w:color="auto"/>
      </w:divBdr>
    </w:div>
    <w:div w:id="1540818692">
      <w:bodyDiv w:val="1"/>
      <w:marLeft w:val="0"/>
      <w:marRight w:val="0"/>
      <w:marTop w:val="0"/>
      <w:marBottom w:val="0"/>
      <w:divBdr>
        <w:top w:val="none" w:sz="0" w:space="0" w:color="auto"/>
        <w:left w:val="none" w:sz="0" w:space="0" w:color="auto"/>
        <w:bottom w:val="none" w:sz="0" w:space="0" w:color="auto"/>
        <w:right w:val="none" w:sz="0" w:space="0" w:color="auto"/>
      </w:divBdr>
    </w:div>
    <w:div w:id="1540970154">
      <w:bodyDiv w:val="1"/>
      <w:marLeft w:val="0"/>
      <w:marRight w:val="0"/>
      <w:marTop w:val="0"/>
      <w:marBottom w:val="0"/>
      <w:divBdr>
        <w:top w:val="none" w:sz="0" w:space="0" w:color="auto"/>
        <w:left w:val="none" w:sz="0" w:space="0" w:color="auto"/>
        <w:bottom w:val="none" w:sz="0" w:space="0" w:color="auto"/>
        <w:right w:val="none" w:sz="0" w:space="0" w:color="auto"/>
      </w:divBdr>
    </w:div>
    <w:div w:id="1541555601">
      <w:bodyDiv w:val="1"/>
      <w:marLeft w:val="0"/>
      <w:marRight w:val="0"/>
      <w:marTop w:val="0"/>
      <w:marBottom w:val="0"/>
      <w:divBdr>
        <w:top w:val="none" w:sz="0" w:space="0" w:color="auto"/>
        <w:left w:val="none" w:sz="0" w:space="0" w:color="auto"/>
        <w:bottom w:val="none" w:sz="0" w:space="0" w:color="auto"/>
        <w:right w:val="none" w:sz="0" w:space="0" w:color="auto"/>
      </w:divBdr>
    </w:div>
    <w:div w:id="1544173065">
      <w:bodyDiv w:val="1"/>
      <w:marLeft w:val="0"/>
      <w:marRight w:val="0"/>
      <w:marTop w:val="0"/>
      <w:marBottom w:val="0"/>
      <w:divBdr>
        <w:top w:val="none" w:sz="0" w:space="0" w:color="auto"/>
        <w:left w:val="none" w:sz="0" w:space="0" w:color="auto"/>
        <w:bottom w:val="none" w:sz="0" w:space="0" w:color="auto"/>
        <w:right w:val="none" w:sz="0" w:space="0" w:color="auto"/>
      </w:divBdr>
    </w:div>
    <w:div w:id="1544705333">
      <w:bodyDiv w:val="1"/>
      <w:marLeft w:val="0"/>
      <w:marRight w:val="0"/>
      <w:marTop w:val="0"/>
      <w:marBottom w:val="0"/>
      <w:divBdr>
        <w:top w:val="none" w:sz="0" w:space="0" w:color="auto"/>
        <w:left w:val="none" w:sz="0" w:space="0" w:color="auto"/>
        <w:bottom w:val="none" w:sz="0" w:space="0" w:color="auto"/>
        <w:right w:val="none" w:sz="0" w:space="0" w:color="auto"/>
      </w:divBdr>
    </w:div>
    <w:div w:id="1546139881">
      <w:bodyDiv w:val="1"/>
      <w:marLeft w:val="0"/>
      <w:marRight w:val="0"/>
      <w:marTop w:val="0"/>
      <w:marBottom w:val="0"/>
      <w:divBdr>
        <w:top w:val="none" w:sz="0" w:space="0" w:color="auto"/>
        <w:left w:val="none" w:sz="0" w:space="0" w:color="auto"/>
        <w:bottom w:val="none" w:sz="0" w:space="0" w:color="auto"/>
        <w:right w:val="none" w:sz="0" w:space="0" w:color="auto"/>
      </w:divBdr>
    </w:div>
    <w:div w:id="1546528805">
      <w:bodyDiv w:val="1"/>
      <w:marLeft w:val="0"/>
      <w:marRight w:val="0"/>
      <w:marTop w:val="0"/>
      <w:marBottom w:val="0"/>
      <w:divBdr>
        <w:top w:val="none" w:sz="0" w:space="0" w:color="auto"/>
        <w:left w:val="none" w:sz="0" w:space="0" w:color="auto"/>
        <w:bottom w:val="none" w:sz="0" w:space="0" w:color="auto"/>
        <w:right w:val="none" w:sz="0" w:space="0" w:color="auto"/>
      </w:divBdr>
    </w:div>
    <w:div w:id="1546916409">
      <w:bodyDiv w:val="1"/>
      <w:marLeft w:val="0"/>
      <w:marRight w:val="0"/>
      <w:marTop w:val="0"/>
      <w:marBottom w:val="0"/>
      <w:divBdr>
        <w:top w:val="none" w:sz="0" w:space="0" w:color="auto"/>
        <w:left w:val="none" w:sz="0" w:space="0" w:color="auto"/>
        <w:bottom w:val="none" w:sz="0" w:space="0" w:color="auto"/>
        <w:right w:val="none" w:sz="0" w:space="0" w:color="auto"/>
      </w:divBdr>
    </w:div>
    <w:div w:id="1547377202">
      <w:bodyDiv w:val="1"/>
      <w:marLeft w:val="0"/>
      <w:marRight w:val="0"/>
      <w:marTop w:val="0"/>
      <w:marBottom w:val="0"/>
      <w:divBdr>
        <w:top w:val="none" w:sz="0" w:space="0" w:color="auto"/>
        <w:left w:val="none" w:sz="0" w:space="0" w:color="auto"/>
        <w:bottom w:val="none" w:sz="0" w:space="0" w:color="auto"/>
        <w:right w:val="none" w:sz="0" w:space="0" w:color="auto"/>
      </w:divBdr>
    </w:div>
    <w:div w:id="1547986156">
      <w:bodyDiv w:val="1"/>
      <w:marLeft w:val="0"/>
      <w:marRight w:val="0"/>
      <w:marTop w:val="0"/>
      <w:marBottom w:val="0"/>
      <w:divBdr>
        <w:top w:val="none" w:sz="0" w:space="0" w:color="auto"/>
        <w:left w:val="none" w:sz="0" w:space="0" w:color="auto"/>
        <w:bottom w:val="none" w:sz="0" w:space="0" w:color="auto"/>
        <w:right w:val="none" w:sz="0" w:space="0" w:color="auto"/>
      </w:divBdr>
    </w:div>
    <w:div w:id="1548949604">
      <w:bodyDiv w:val="1"/>
      <w:marLeft w:val="0"/>
      <w:marRight w:val="0"/>
      <w:marTop w:val="0"/>
      <w:marBottom w:val="0"/>
      <w:divBdr>
        <w:top w:val="none" w:sz="0" w:space="0" w:color="auto"/>
        <w:left w:val="none" w:sz="0" w:space="0" w:color="auto"/>
        <w:bottom w:val="none" w:sz="0" w:space="0" w:color="auto"/>
        <w:right w:val="none" w:sz="0" w:space="0" w:color="auto"/>
      </w:divBdr>
    </w:div>
    <w:div w:id="1549074779">
      <w:bodyDiv w:val="1"/>
      <w:marLeft w:val="0"/>
      <w:marRight w:val="0"/>
      <w:marTop w:val="0"/>
      <w:marBottom w:val="0"/>
      <w:divBdr>
        <w:top w:val="none" w:sz="0" w:space="0" w:color="auto"/>
        <w:left w:val="none" w:sz="0" w:space="0" w:color="auto"/>
        <w:bottom w:val="none" w:sz="0" w:space="0" w:color="auto"/>
        <w:right w:val="none" w:sz="0" w:space="0" w:color="auto"/>
      </w:divBdr>
    </w:div>
    <w:div w:id="1549607549">
      <w:bodyDiv w:val="1"/>
      <w:marLeft w:val="0"/>
      <w:marRight w:val="0"/>
      <w:marTop w:val="0"/>
      <w:marBottom w:val="0"/>
      <w:divBdr>
        <w:top w:val="none" w:sz="0" w:space="0" w:color="auto"/>
        <w:left w:val="none" w:sz="0" w:space="0" w:color="auto"/>
        <w:bottom w:val="none" w:sz="0" w:space="0" w:color="auto"/>
        <w:right w:val="none" w:sz="0" w:space="0" w:color="auto"/>
      </w:divBdr>
    </w:div>
    <w:div w:id="1550149404">
      <w:bodyDiv w:val="1"/>
      <w:marLeft w:val="0"/>
      <w:marRight w:val="0"/>
      <w:marTop w:val="0"/>
      <w:marBottom w:val="0"/>
      <w:divBdr>
        <w:top w:val="none" w:sz="0" w:space="0" w:color="auto"/>
        <w:left w:val="none" w:sz="0" w:space="0" w:color="auto"/>
        <w:bottom w:val="none" w:sz="0" w:space="0" w:color="auto"/>
        <w:right w:val="none" w:sz="0" w:space="0" w:color="auto"/>
      </w:divBdr>
    </w:div>
    <w:div w:id="1551264795">
      <w:bodyDiv w:val="1"/>
      <w:marLeft w:val="0"/>
      <w:marRight w:val="0"/>
      <w:marTop w:val="0"/>
      <w:marBottom w:val="0"/>
      <w:divBdr>
        <w:top w:val="none" w:sz="0" w:space="0" w:color="auto"/>
        <w:left w:val="none" w:sz="0" w:space="0" w:color="auto"/>
        <w:bottom w:val="none" w:sz="0" w:space="0" w:color="auto"/>
        <w:right w:val="none" w:sz="0" w:space="0" w:color="auto"/>
      </w:divBdr>
    </w:div>
    <w:div w:id="1551764908">
      <w:bodyDiv w:val="1"/>
      <w:marLeft w:val="0"/>
      <w:marRight w:val="0"/>
      <w:marTop w:val="0"/>
      <w:marBottom w:val="0"/>
      <w:divBdr>
        <w:top w:val="none" w:sz="0" w:space="0" w:color="auto"/>
        <w:left w:val="none" w:sz="0" w:space="0" w:color="auto"/>
        <w:bottom w:val="none" w:sz="0" w:space="0" w:color="auto"/>
        <w:right w:val="none" w:sz="0" w:space="0" w:color="auto"/>
      </w:divBdr>
    </w:div>
    <w:div w:id="1553035810">
      <w:bodyDiv w:val="1"/>
      <w:marLeft w:val="0"/>
      <w:marRight w:val="0"/>
      <w:marTop w:val="0"/>
      <w:marBottom w:val="0"/>
      <w:divBdr>
        <w:top w:val="none" w:sz="0" w:space="0" w:color="auto"/>
        <w:left w:val="none" w:sz="0" w:space="0" w:color="auto"/>
        <w:bottom w:val="none" w:sz="0" w:space="0" w:color="auto"/>
        <w:right w:val="none" w:sz="0" w:space="0" w:color="auto"/>
      </w:divBdr>
    </w:div>
    <w:div w:id="1554734331">
      <w:bodyDiv w:val="1"/>
      <w:marLeft w:val="0"/>
      <w:marRight w:val="0"/>
      <w:marTop w:val="0"/>
      <w:marBottom w:val="0"/>
      <w:divBdr>
        <w:top w:val="none" w:sz="0" w:space="0" w:color="auto"/>
        <w:left w:val="none" w:sz="0" w:space="0" w:color="auto"/>
        <w:bottom w:val="none" w:sz="0" w:space="0" w:color="auto"/>
        <w:right w:val="none" w:sz="0" w:space="0" w:color="auto"/>
      </w:divBdr>
    </w:div>
    <w:div w:id="1554925776">
      <w:bodyDiv w:val="1"/>
      <w:marLeft w:val="0"/>
      <w:marRight w:val="0"/>
      <w:marTop w:val="0"/>
      <w:marBottom w:val="0"/>
      <w:divBdr>
        <w:top w:val="none" w:sz="0" w:space="0" w:color="auto"/>
        <w:left w:val="none" w:sz="0" w:space="0" w:color="auto"/>
        <w:bottom w:val="none" w:sz="0" w:space="0" w:color="auto"/>
        <w:right w:val="none" w:sz="0" w:space="0" w:color="auto"/>
      </w:divBdr>
    </w:div>
    <w:div w:id="1555653875">
      <w:bodyDiv w:val="1"/>
      <w:marLeft w:val="0"/>
      <w:marRight w:val="0"/>
      <w:marTop w:val="0"/>
      <w:marBottom w:val="0"/>
      <w:divBdr>
        <w:top w:val="none" w:sz="0" w:space="0" w:color="auto"/>
        <w:left w:val="none" w:sz="0" w:space="0" w:color="auto"/>
        <w:bottom w:val="none" w:sz="0" w:space="0" w:color="auto"/>
        <w:right w:val="none" w:sz="0" w:space="0" w:color="auto"/>
      </w:divBdr>
    </w:div>
    <w:div w:id="1558012866">
      <w:bodyDiv w:val="1"/>
      <w:marLeft w:val="0"/>
      <w:marRight w:val="0"/>
      <w:marTop w:val="0"/>
      <w:marBottom w:val="0"/>
      <w:divBdr>
        <w:top w:val="none" w:sz="0" w:space="0" w:color="auto"/>
        <w:left w:val="none" w:sz="0" w:space="0" w:color="auto"/>
        <w:bottom w:val="none" w:sz="0" w:space="0" w:color="auto"/>
        <w:right w:val="none" w:sz="0" w:space="0" w:color="auto"/>
      </w:divBdr>
    </w:div>
    <w:div w:id="1559708838">
      <w:bodyDiv w:val="1"/>
      <w:marLeft w:val="0"/>
      <w:marRight w:val="0"/>
      <w:marTop w:val="0"/>
      <w:marBottom w:val="0"/>
      <w:divBdr>
        <w:top w:val="none" w:sz="0" w:space="0" w:color="auto"/>
        <w:left w:val="none" w:sz="0" w:space="0" w:color="auto"/>
        <w:bottom w:val="none" w:sz="0" w:space="0" w:color="auto"/>
        <w:right w:val="none" w:sz="0" w:space="0" w:color="auto"/>
      </w:divBdr>
    </w:div>
    <w:div w:id="1562328434">
      <w:bodyDiv w:val="1"/>
      <w:marLeft w:val="0"/>
      <w:marRight w:val="0"/>
      <w:marTop w:val="0"/>
      <w:marBottom w:val="0"/>
      <w:divBdr>
        <w:top w:val="none" w:sz="0" w:space="0" w:color="auto"/>
        <w:left w:val="none" w:sz="0" w:space="0" w:color="auto"/>
        <w:bottom w:val="none" w:sz="0" w:space="0" w:color="auto"/>
        <w:right w:val="none" w:sz="0" w:space="0" w:color="auto"/>
      </w:divBdr>
    </w:div>
    <w:div w:id="1565412957">
      <w:bodyDiv w:val="1"/>
      <w:marLeft w:val="0"/>
      <w:marRight w:val="0"/>
      <w:marTop w:val="0"/>
      <w:marBottom w:val="0"/>
      <w:divBdr>
        <w:top w:val="none" w:sz="0" w:space="0" w:color="auto"/>
        <w:left w:val="none" w:sz="0" w:space="0" w:color="auto"/>
        <w:bottom w:val="none" w:sz="0" w:space="0" w:color="auto"/>
        <w:right w:val="none" w:sz="0" w:space="0" w:color="auto"/>
      </w:divBdr>
    </w:div>
    <w:div w:id="1566182924">
      <w:bodyDiv w:val="1"/>
      <w:marLeft w:val="0"/>
      <w:marRight w:val="0"/>
      <w:marTop w:val="0"/>
      <w:marBottom w:val="0"/>
      <w:divBdr>
        <w:top w:val="none" w:sz="0" w:space="0" w:color="auto"/>
        <w:left w:val="none" w:sz="0" w:space="0" w:color="auto"/>
        <w:bottom w:val="none" w:sz="0" w:space="0" w:color="auto"/>
        <w:right w:val="none" w:sz="0" w:space="0" w:color="auto"/>
      </w:divBdr>
    </w:div>
    <w:div w:id="1568303340">
      <w:bodyDiv w:val="1"/>
      <w:marLeft w:val="0"/>
      <w:marRight w:val="0"/>
      <w:marTop w:val="0"/>
      <w:marBottom w:val="0"/>
      <w:divBdr>
        <w:top w:val="none" w:sz="0" w:space="0" w:color="auto"/>
        <w:left w:val="none" w:sz="0" w:space="0" w:color="auto"/>
        <w:bottom w:val="none" w:sz="0" w:space="0" w:color="auto"/>
        <w:right w:val="none" w:sz="0" w:space="0" w:color="auto"/>
      </w:divBdr>
    </w:div>
    <w:div w:id="1568303482">
      <w:bodyDiv w:val="1"/>
      <w:marLeft w:val="0"/>
      <w:marRight w:val="0"/>
      <w:marTop w:val="0"/>
      <w:marBottom w:val="0"/>
      <w:divBdr>
        <w:top w:val="none" w:sz="0" w:space="0" w:color="auto"/>
        <w:left w:val="none" w:sz="0" w:space="0" w:color="auto"/>
        <w:bottom w:val="none" w:sz="0" w:space="0" w:color="auto"/>
        <w:right w:val="none" w:sz="0" w:space="0" w:color="auto"/>
      </w:divBdr>
    </w:div>
    <w:div w:id="1569994767">
      <w:bodyDiv w:val="1"/>
      <w:marLeft w:val="0"/>
      <w:marRight w:val="0"/>
      <w:marTop w:val="0"/>
      <w:marBottom w:val="0"/>
      <w:divBdr>
        <w:top w:val="none" w:sz="0" w:space="0" w:color="auto"/>
        <w:left w:val="none" w:sz="0" w:space="0" w:color="auto"/>
        <w:bottom w:val="none" w:sz="0" w:space="0" w:color="auto"/>
        <w:right w:val="none" w:sz="0" w:space="0" w:color="auto"/>
      </w:divBdr>
    </w:div>
    <w:div w:id="1570382192">
      <w:bodyDiv w:val="1"/>
      <w:marLeft w:val="0"/>
      <w:marRight w:val="0"/>
      <w:marTop w:val="0"/>
      <w:marBottom w:val="0"/>
      <w:divBdr>
        <w:top w:val="none" w:sz="0" w:space="0" w:color="auto"/>
        <w:left w:val="none" w:sz="0" w:space="0" w:color="auto"/>
        <w:bottom w:val="none" w:sz="0" w:space="0" w:color="auto"/>
        <w:right w:val="none" w:sz="0" w:space="0" w:color="auto"/>
      </w:divBdr>
    </w:div>
    <w:div w:id="1570731152">
      <w:bodyDiv w:val="1"/>
      <w:marLeft w:val="0"/>
      <w:marRight w:val="0"/>
      <w:marTop w:val="0"/>
      <w:marBottom w:val="0"/>
      <w:divBdr>
        <w:top w:val="none" w:sz="0" w:space="0" w:color="auto"/>
        <w:left w:val="none" w:sz="0" w:space="0" w:color="auto"/>
        <w:bottom w:val="none" w:sz="0" w:space="0" w:color="auto"/>
        <w:right w:val="none" w:sz="0" w:space="0" w:color="auto"/>
      </w:divBdr>
    </w:div>
    <w:div w:id="1572426185">
      <w:bodyDiv w:val="1"/>
      <w:marLeft w:val="0"/>
      <w:marRight w:val="0"/>
      <w:marTop w:val="0"/>
      <w:marBottom w:val="0"/>
      <w:divBdr>
        <w:top w:val="none" w:sz="0" w:space="0" w:color="auto"/>
        <w:left w:val="none" w:sz="0" w:space="0" w:color="auto"/>
        <w:bottom w:val="none" w:sz="0" w:space="0" w:color="auto"/>
        <w:right w:val="none" w:sz="0" w:space="0" w:color="auto"/>
      </w:divBdr>
    </w:div>
    <w:div w:id="1574005710">
      <w:bodyDiv w:val="1"/>
      <w:marLeft w:val="0"/>
      <w:marRight w:val="0"/>
      <w:marTop w:val="0"/>
      <w:marBottom w:val="0"/>
      <w:divBdr>
        <w:top w:val="none" w:sz="0" w:space="0" w:color="auto"/>
        <w:left w:val="none" w:sz="0" w:space="0" w:color="auto"/>
        <w:bottom w:val="none" w:sz="0" w:space="0" w:color="auto"/>
        <w:right w:val="none" w:sz="0" w:space="0" w:color="auto"/>
      </w:divBdr>
    </w:div>
    <w:div w:id="1574583350">
      <w:bodyDiv w:val="1"/>
      <w:marLeft w:val="0"/>
      <w:marRight w:val="0"/>
      <w:marTop w:val="0"/>
      <w:marBottom w:val="0"/>
      <w:divBdr>
        <w:top w:val="none" w:sz="0" w:space="0" w:color="auto"/>
        <w:left w:val="none" w:sz="0" w:space="0" w:color="auto"/>
        <w:bottom w:val="none" w:sz="0" w:space="0" w:color="auto"/>
        <w:right w:val="none" w:sz="0" w:space="0" w:color="auto"/>
      </w:divBdr>
    </w:div>
    <w:div w:id="1577396417">
      <w:bodyDiv w:val="1"/>
      <w:marLeft w:val="0"/>
      <w:marRight w:val="0"/>
      <w:marTop w:val="0"/>
      <w:marBottom w:val="0"/>
      <w:divBdr>
        <w:top w:val="none" w:sz="0" w:space="0" w:color="auto"/>
        <w:left w:val="none" w:sz="0" w:space="0" w:color="auto"/>
        <w:bottom w:val="none" w:sz="0" w:space="0" w:color="auto"/>
        <w:right w:val="none" w:sz="0" w:space="0" w:color="auto"/>
      </w:divBdr>
    </w:div>
    <w:div w:id="1582182847">
      <w:bodyDiv w:val="1"/>
      <w:marLeft w:val="0"/>
      <w:marRight w:val="0"/>
      <w:marTop w:val="0"/>
      <w:marBottom w:val="0"/>
      <w:divBdr>
        <w:top w:val="none" w:sz="0" w:space="0" w:color="auto"/>
        <w:left w:val="none" w:sz="0" w:space="0" w:color="auto"/>
        <w:bottom w:val="none" w:sz="0" w:space="0" w:color="auto"/>
        <w:right w:val="none" w:sz="0" w:space="0" w:color="auto"/>
      </w:divBdr>
    </w:div>
    <w:div w:id="1582641358">
      <w:bodyDiv w:val="1"/>
      <w:marLeft w:val="0"/>
      <w:marRight w:val="0"/>
      <w:marTop w:val="0"/>
      <w:marBottom w:val="0"/>
      <w:divBdr>
        <w:top w:val="none" w:sz="0" w:space="0" w:color="auto"/>
        <w:left w:val="none" w:sz="0" w:space="0" w:color="auto"/>
        <w:bottom w:val="none" w:sz="0" w:space="0" w:color="auto"/>
        <w:right w:val="none" w:sz="0" w:space="0" w:color="auto"/>
      </w:divBdr>
    </w:div>
    <w:div w:id="1583754171">
      <w:bodyDiv w:val="1"/>
      <w:marLeft w:val="0"/>
      <w:marRight w:val="0"/>
      <w:marTop w:val="0"/>
      <w:marBottom w:val="0"/>
      <w:divBdr>
        <w:top w:val="none" w:sz="0" w:space="0" w:color="auto"/>
        <w:left w:val="none" w:sz="0" w:space="0" w:color="auto"/>
        <w:bottom w:val="none" w:sz="0" w:space="0" w:color="auto"/>
        <w:right w:val="none" w:sz="0" w:space="0" w:color="auto"/>
      </w:divBdr>
    </w:div>
    <w:div w:id="1584335972">
      <w:bodyDiv w:val="1"/>
      <w:marLeft w:val="0"/>
      <w:marRight w:val="0"/>
      <w:marTop w:val="0"/>
      <w:marBottom w:val="0"/>
      <w:divBdr>
        <w:top w:val="none" w:sz="0" w:space="0" w:color="auto"/>
        <w:left w:val="none" w:sz="0" w:space="0" w:color="auto"/>
        <w:bottom w:val="none" w:sz="0" w:space="0" w:color="auto"/>
        <w:right w:val="none" w:sz="0" w:space="0" w:color="auto"/>
      </w:divBdr>
    </w:div>
    <w:div w:id="1586379855">
      <w:bodyDiv w:val="1"/>
      <w:marLeft w:val="0"/>
      <w:marRight w:val="0"/>
      <w:marTop w:val="0"/>
      <w:marBottom w:val="0"/>
      <w:divBdr>
        <w:top w:val="none" w:sz="0" w:space="0" w:color="auto"/>
        <w:left w:val="none" w:sz="0" w:space="0" w:color="auto"/>
        <w:bottom w:val="none" w:sz="0" w:space="0" w:color="auto"/>
        <w:right w:val="none" w:sz="0" w:space="0" w:color="auto"/>
      </w:divBdr>
    </w:div>
    <w:div w:id="1588490903">
      <w:bodyDiv w:val="1"/>
      <w:marLeft w:val="0"/>
      <w:marRight w:val="0"/>
      <w:marTop w:val="0"/>
      <w:marBottom w:val="0"/>
      <w:divBdr>
        <w:top w:val="none" w:sz="0" w:space="0" w:color="auto"/>
        <w:left w:val="none" w:sz="0" w:space="0" w:color="auto"/>
        <w:bottom w:val="none" w:sz="0" w:space="0" w:color="auto"/>
        <w:right w:val="none" w:sz="0" w:space="0" w:color="auto"/>
      </w:divBdr>
    </w:div>
    <w:div w:id="1589584624">
      <w:bodyDiv w:val="1"/>
      <w:marLeft w:val="0"/>
      <w:marRight w:val="0"/>
      <w:marTop w:val="0"/>
      <w:marBottom w:val="0"/>
      <w:divBdr>
        <w:top w:val="none" w:sz="0" w:space="0" w:color="auto"/>
        <w:left w:val="none" w:sz="0" w:space="0" w:color="auto"/>
        <w:bottom w:val="none" w:sz="0" w:space="0" w:color="auto"/>
        <w:right w:val="none" w:sz="0" w:space="0" w:color="auto"/>
      </w:divBdr>
    </w:div>
    <w:div w:id="1589850230">
      <w:bodyDiv w:val="1"/>
      <w:marLeft w:val="0"/>
      <w:marRight w:val="0"/>
      <w:marTop w:val="0"/>
      <w:marBottom w:val="0"/>
      <w:divBdr>
        <w:top w:val="none" w:sz="0" w:space="0" w:color="auto"/>
        <w:left w:val="none" w:sz="0" w:space="0" w:color="auto"/>
        <w:bottom w:val="none" w:sz="0" w:space="0" w:color="auto"/>
        <w:right w:val="none" w:sz="0" w:space="0" w:color="auto"/>
      </w:divBdr>
    </w:div>
    <w:div w:id="1590961026">
      <w:bodyDiv w:val="1"/>
      <w:marLeft w:val="0"/>
      <w:marRight w:val="0"/>
      <w:marTop w:val="0"/>
      <w:marBottom w:val="0"/>
      <w:divBdr>
        <w:top w:val="none" w:sz="0" w:space="0" w:color="auto"/>
        <w:left w:val="none" w:sz="0" w:space="0" w:color="auto"/>
        <w:bottom w:val="none" w:sz="0" w:space="0" w:color="auto"/>
        <w:right w:val="none" w:sz="0" w:space="0" w:color="auto"/>
      </w:divBdr>
    </w:div>
    <w:div w:id="1592078978">
      <w:bodyDiv w:val="1"/>
      <w:marLeft w:val="0"/>
      <w:marRight w:val="0"/>
      <w:marTop w:val="0"/>
      <w:marBottom w:val="0"/>
      <w:divBdr>
        <w:top w:val="none" w:sz="0" w:space="0" w:color="auto"/>
        <w:left w:val="none" w:sz="0" w:space="0" w:color="auto"/>
        <w:bottom w:val="none" w:sz="0" w:space="0" w:color="auto"/>
        <w:right w:val="none" w:sz="0" w:space="0" w:color="auto"/>
      </w:divBdr>
    </w:div>
    <w:div w:id="1594778649">
      <w:bodyDiv w:val="1"/>
      <w:marLeft w:val="0"/>
      <w:marRight w:val="0"/>
      <w:marTop w:val="0"/>
      <w:marBottom w:val="0"/>
      <w:divBdr>
        <w:top w:val="none" w:sz="0" w:space="0" w:color="auto"/>
        <w:left w:val="none" w:sz="0" w:space="0" w:color="auto"/>
        <w:bottom w:val="none" w:sz="0" w:space="0" w:color="auto"/>
        <w:right w:val="none" w:sz="0" w:space="0" w:color="auto"/>
      </w:divBdr>
    </w:div>
    <w:div w:id="1595744282">
      <w:bodyDiv w:val="1"/>
      <w:marLeft w:val="0"/>
      <w:marRight w:val="0"/>
      <w:marTop w:val="0"/>
      <w:marBottom w:val="0"/>
      <w:divBdr>
        <w:top w:val="none" w:sz="0" w:space="0" w:color="auto"/>
        <w:left w:val="none" w:sz="0" w:space="0" w:color="auto"/>
        <w:bottom w:val="none" w:sz="0" w:space="0" w:color="auto"/>
        <w:right w:val="none" w:sz="0" w:space="0" w:color="auto"/>
      </w:divBdr>
    </w:div>
    <w:div w:id="1595824823">
      <w:bodyDiv w:val="1"/>
      <w:marLeft w:val="0"/>
      <w:marRight w:val="0"/>
      <w:marTop w:val="0"/>
      <w:marBottom w:val="0"/>
      <w:divBdr>
        <w:top w:val="none" w:sz="0" w:space="0" w:color="auto"/>
        <w:left w:val="none" w:sz="0" w:space="0" w:color="auto"/>
        <w:bottom w:val="none" w:sz="0" w:space="0" w:color="auto"/>
        <w:right w:val="none" w:sz="0" w:space="0" w:color="auto"/>
      </w:divBdr>
    </w:div>
    <w:div w:id="1598294299">
      <w:bodyDiv w:val="1"/>
      <w:marLeft w:val="0"/>
      <w:marRight w:val="0"/>
      <w:marTop w:val="0"/>
      <w:marBottom w:val="0"/>
      <w:divBdr>
        <w:top w:val="none" w:sz="0" w:space="0" w:color="auto"/>
        <w:left w:val="none" w:sz="0" w:space="0" w:color="auto"/>
        <w:bottom w:val="none" w:sz="0" w:space="0" w:color="auto"/>
        <w:right w:val="none" w:sz="0" w:space="0" w:color="auto"/>
      </w:divBdr>
    </w:div>
    <w:div w:id="1598831540">
      <w:bodyDiv w:val="1"/>
      <w:marLeft w:val="0"/>
      <w:marRight w:val="0"/>
      <w:marTop w:val="0"/>
      <w:marBottom w:val="0"/>
      <w:divBdr>
        <w:top w:val="none" w:sz="0" w:space="0" w:color="auto"/>
        <w:left w:val="none" w:sz="0" w:space="0" w:color="auto"/>
        <w:bottom w:val="none" w:sz="0" w:space="0" w:color="auto"/>
        <w:right w:val="none" w:sz="0" w:space="0" w:color="auto"/>
      </w:divBdr>
    </w:div>
    <w:div w:id="1601251778">
      <w:bodyDiv w:val="1"/>
      <w:marLeft w:val="0"/>
      <w:marRight w:val="0"/>
      <w:marTop w:val="0"/>
      <w:marBottom w:val="0"/>
      <w:divBdr>
        <w:top w:val="none" w:sz="0" w:space="0" w:color="auto"/>
        <w:left w:val="none" w:sz="0" w:space="0" w:color="auto"/>
        <w:bottom w:val="none" w:sz="0" w:space="0" w:color="auto"/>
        <w:right w:val="none" w:sz="0" w:space="0" w:color="auto"/>
      </w:divBdr>
    </w:div>
    <w:div w:id="1601717015">
      <w:bodyDiv w:val="1"/>
      <w:marLeft w:val="0"/>
      <w:marRight w:val="0"/>
      <w:marTop w:val="0"/>
      <w:marBottom w:val="0"/>
      <w:divBdr>
        <w:top w:val="none" w:sz="0" w:space="0" w:color="auto"/>
        <w:left w:val="none" w:sz="0" w:space="0" w:color="auto"/>
        <w:bottom w:val="none" w:sz="0" w:space="0" w:color="auto"/>
        <w:right w:val="none" w:sz="0" w:space="0" w:color="auto"/>
      </w:divBdr>
    </w:div>
    <w:div w:id="1602030684">
      <w:bodyDiv w:val="1"/>
      <w:marLeft w:val="0"/>
      <w:marRight w:val="0"/>
      <w:marTop w:val="0"/>
      <w:marBottom w:val="0"/>
      <w:divBdr>
        <w:top w:val="none" w:sz="0" w:space="0" w:color="auto"/>
        <w:left w:val="none" w:sz="0" w:space="0" w:color="auto"/>
        <w:bottom w:val="none" w:sz="0" w:space="0" w:color="auto"/>
        <w:right w:val="none" w:sz="0" w:space="0" w:color="auto"/>
      </w:divBdr>
    </w:div>
    <w:div w:id="1602032470">
      <w:bodyDiv w:val="1"/>
      <w:marLeft w:val="0"/>
      <w:marRight w:val="0"/>
      <w:marTop w:val="0"/>
      <w:marBottom w:val="0"/>
      <w:divBdr>
        <w:top w:val="none" w:sz="0" w:space="0" w:color="auto"/>
        <w:left w:val="none" w:sz="0" w:space="0" w:color="auto"/>
        <w:bottom w:val="none" w:sz="0" w:space="0" w:color="auto"/>
        <w:right w:val="none" w:sz="0" w:space="0" w:color="auto"/>
      </w:divBdr>
    </w:div>
    <w:div w:id="1602255896">
      <w:bodyDiv w:val="1"/>
      <w:marLeft w:val="0"/>
      <w:marRight w:val="0"/>
      <w:marTop w:val="0"/>
      <w:marBottom w:val="0"/>
      <w:divBdr>
        <w:top w:val="none" w:sz="0" w:space="0" w:color="auto"/>
        <w:left w:val="none" w:sz="0" w:space="0" w:color="auto"/>
        <w:bottom w:val="none" w:sz="0" w:space="0" w:color="auto"/>
        <w:right w:val="none" w:sz="0" w:space="0" w:color="auto"/>
      </w:divBdr>
    </w:div>
    <w:div w:id="1603688010">
      <w:bodyDiv w:val="1"/>
      <w:marLeft w:val="0"/>
      <w:marRight w:val="0"/>
      <w:marTop w:val="0"/>
      <w:marBottom w:val="0"/>
      <w:divBdr>
        <w:top w:val="none" w:sz="0" w:space="0" w:color="auto"/>
        <w:left w:val="none" w:sz="0" w:space="0" w:color="auto"/>
        <w:bottom w:val="none" w:sz="0" w:space="0" w:color="auto"/>
        <w:right w:val="none" w:sz="0" w:space="0" w:color="auto"/>
      </w:divBdr>
    </w:div>
    <w:div w:id="1604261664">
      <w:bodyDiv w:val="1"/>
      <w:marLeft w:val="0"/>
      <w:marRight w:val="0"/>
      <w:marTop w:val="0"/>
      <w:marBottom w:val="0"/>
      <w:divBdr>
        <w:top w:val="none" w:sz="0" w:space="0" w:color="auto"/>
        <w:left w:val="none" w:sz="0" w:space="0" w:color="auto"/>
        <w:bottom w:val="none" w:sz="0" w:space="0" w:color="auto"/>
        <w:right w:val="none" w:sz="0" w:space="0" w:color="auto"/>
      </w:divBdr>
    </w:div>
    <w:div w:id="1605766904">
      <w:bodyDiv w:val="1"/>
      <w:marLeft w:val="0"/>
      <w:marRight w:val="0"/>
      <w:marTop w:val="0"/>
      <w:marBottom w:val="0"/>
      <w:divBdr>
        <w:top w:val="none" w:sz="0" w:space="0" w:color="auto"/>
        <w:left w:val="none" w:sz="0" w:space="0" w:color="auto"/>
        <w:bottom w:val="none" w:sz="0" w:space="0" w:color="auto"/>
        <w:right w:val="none" w:sz="0" w:space="0" w:color="auto"/>
      </w:divBdr>
    </w:div>
    <w:div w:id="1607421862">
      <w:bodyDiv w:val="1"/>
      <w:marLeft w:val="0"/>
      <w:marRight w:val="0"/>
      <w:marTop w:val="0"/>
      <w:marBottom w:val="0"/>
      <w:divBdr>
        <w:top w:val="none" w:sz="0" w:space="0" w:color="auto"/>
        <w:left w:val="none" w:sz="0" w:space="0" w:color="auto"/>
        <w:bottom w:val="none" w:sz="0" w:space="0" w:color="auto"/>
        <w:right w:val="none" w:sz="0" w:space="0" w:color="auto"/>
      </w:divBdr>
    </w:div>
    <w:div w:id="1608351348">
      <w:bodyDiv w:val="1"/>
      <w:marLeft w:val="0"/>
      <w:marRight w:val="0"/>
      <w:marTop w:val="0"/>
      <w:marBottom w:val="0"/>
      <w:divBdr>
        <w:top w:val="none" w:sz="0" w:space="0" w:color="auto"/>
        <w:left w:val="none" w:sz="0" w:space="0" w:color="auto"/>
        <w:bottom w:val="none" w:sz="0" w:space="0" w:color="auto"/>
        <w:right w:val="none" w:sz="0" w:space="0" w:color="auto"/>
      </w:divBdr>
    </w:div>
    <w:div w:id="1608738081">
      <w:bodyDiv w:val="1"/>
      <w:marLeft w:val="0"/>
      <w:marRight w:val="0"/>
      <w:marTop w:val="0"/>
      <w:marBottom w:val="0"/>
      <w:divBdr>
        <w:top w:val="none" w:sz="0" w:space="0" w:color="auto"/>
        <w:left w:val="none" w:sz="0" w:space="0" w:color="auto"/>
        <w:bottom w:val="none" w:sz="0" w:space="0" w:color="auto"/>
        <w:right w:val="none" w:sz="0" w:space="0" w:color="auto"/>
      </w:divBdr>
    </w:div>
    <w:div w:id="1608853957">
      <w:bodyDiv w:val="1"/>
      <w:marLeft w:val="0"/>
      <w:marRight w:val="0"/>
      <w:marTop w:val="0"/>
      <w:marBottom w:val="0"/>
      <w:divBdr>
        <w:top w:val="none" w:sz="0" w:space="0" w:color="auto"/>
        <w:left w:val="none" w:sz="0" w:space="0" w:color="auto"/>
        <w:bottom w:val="none" w:sz="0" w:space="0" w:color="auto"/>
        <w:right w:val="none" w:sz="0" w:space="0" w:color="auto"/>
      </w:divBdr>
    </w:div>
    <w:div w:id="1610163859">
      <w:bodyDiv w:val="1"/>
      <w:marLeft w:val="0"/>
      <w:marRight w:val="0"/>
      <w:marTop w:val="0"/>
      <w:marBottom w:val="0"/>
      <w:divBdr>
        <w:top w:val="none" w:sz="0" w:space="0" w:color="auto"/>
        <w:left w:val="none" w:sz="0" w:space="0" w:color="auto"/>
        <w:bottom w:val="none" w:sz="0" w:space="0" w:color="auto"/>
        <w:right w:val="none" w:sz="0" w:space="0" w:color="auto"/>
      </w:divBdr>
    </w:div>
    <w:div w:id="1610887722">
      <w:bodyDiv w:val="1"/>
      <w:marLeft w:val="0"/>
      <w:marRight w:val="0"/>
      <w:marTop w:val="0"/>
      <w:marBottom w:val="0"/>
      <w:divBdr>
        <w:top w:val="none" w:sz="0" w:space="0" w:color="auto"/>
        <w:left w:val="none" w:sz="0" w:space="0" w:color="auto"/>
        <w:bottom w:val="none" w:sz="0" w:space="0" w:color="auto"/>
        <w:right w:val="none" w:sz="0" w:space="0" w:color="auto"/>
      </w:divBdr>
    </w:div>
    <w:div w:id="1611621507">
      <w:bodyDiv w:val="1"/>
      <w:marLeft w:val="0"/>
      <w:marRight w:val="0"/>
      <w:marTop w:val="0"/>
      <w:marBottom w:val="0"/>
      <w:divBdr>
        <w:top w:val="none" w:sz="0" w:space="0" w:color="auto"/>
        <w:left w:val="none" w:sz="0" w:space="0" w:color="auto"/>
        <w:bottom w:val="none" w:sz="0" w:space="0" w:color="auto"/>
        <w:right w:val="none" w:sz="0" w:space="0" w:color="auto"/>
      </w:divBdr>
    </w:div>
    <w:div w:id="1614096607">
      <w:bodyDiv w:val="1"/>
      <w:marLeft w:val="0"/>
      <w:marRight w:val="0"/>
      <w:marTop w:val="0"/>
      <w:marBottom w:val="0"/>
      <w:divBdr>
        <w:top w:val="none" w:sz="0" w:space="0" w:color="auto"/>
        <w:left w:val="none" w:sz="0" w:space="0" w:color="auto"/>
        <w:bottom w:val="none" w:sz="0" w:space="0" w:color="auto"/>
        <w:right w:val="none" w:sz="0" w:space="0" w:color="auto"/>
      </w:divBdr>
    </w:div>
    <w:div w:id="1614704945">
      <w:bodyDiv w:val="1"/>
      <w:marLeft w:val="0"/>
      <w:marRight w:val="0"/>
      <w:marTop w:val="0"/>
      <w:marBottom w:val="0"/>
      <w:divBdr>
        <w:top w:val="none" w:sz="0" w:space="0" w:color="auto"/>
        <w:left w:val="none" w:sz="0" w:space="0" w:color="auto"/>
        <w:bottom w:val="none" w:sz="0" w:space="0" w:color="auto"/>
        <w:right w:val="none" w:sz="0" w:space="0" w:color="auto"/>
      </w:divBdr>
    </w:div>
    <w:div w:id="1616601048">
      <w:bodyDiv w:val="1"/>
      <w:marLeft w:val="0"/>
      <w:marRight w:val="0"/>
      <w:marTop w:val="0"/>
      <w:marBottom w:val="0"/>
      <w:divBdr>
        <w:top w:val="none" w:sz="0" w:space="0" w:color="auto"/>
        <w:left w:val="none" w:sz="0" w:space="0" w:color="auto"/>
        <w:bottom w:val="none" w:sz="0" w:space="0" w:color="auto"/>
        <w:right w:val="none" w:sz="0" w:space="0" w:color="auto"/>
      </w:divBdr>
    </w:div>
    <w:div w:id="1616936658">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19137875">
      <w:bodyDiv w:val="1"/>
      <w:marLeft w:val="0"/>
      <w:marRight w:val="0"/>
      <w:marTop w:val="0"/>
      <w:marBottom w:val="0"/>
      <w:divBdr>
        <w:top w:val="none" w:sz="0" w:space="0" w:color="auto"/>
        <w:left w:val="none" w:sz="0" w:space="0" w:color="auto"/>
        <w:bottom w:val="none" w:sz="0" w:space="0" w:color="auto"/>
        <w:right w:val="none" w:sz="0" w:space="0" w:color="auto"/>
      </w:divBdr>
    </w:div>
    <w:div w:id="1619529889">
      <w:bodyDiv w:val="1"/>
      <w:marLeft w:val="0"/>
      <w:marRight w:val="0"/>
      <w:marTop w:val="0"/>
      <w:marBottom w:val="0"/>
      <w:divBdr>
        <w:top w:val="none" w:sz="0" w:space="0" w:color="auto"/>
        <w:left w:val="none" w:sz="0" w:space="0" w:color="auto"/>
        <w:bottom w:val="none" w:sz="0" w:space="0" w:color="auto"/>
        <w:right w:val="none" w:sz="0" w:space="0" w:color="auto"/>
      </w:divBdr>
    </w:div>
    <w:div w:id="1621523718">
      <w:bodyDiv w:val="1"/>
      <w:marLeft w:val="0"/>
      <w:marRight w:val="0"/>
      <w:marTop w:val="0"/>
      <w:marBottom w:val="0"/>
      <w:divBdr>
        <w:top w:val="none" w:sz="0" w:space="0" w:color="auto"/>
        <w:left w:val="none" w:sz="0" w:space="0" w:color="auto"/>
        <w:bottom w:val="none" w:sz="0" w:space="0" w:color="auto"/>
        <w:right w:val="none" w:sz="0" w:space="0" w:color="auto"/>
      </w:divBdr>
    </w:div>
    <w:div w:id="1621570064">
      <w:bodyDiv w:val="1"/>
      <w:marLeft w:val="0"/>
      <w:marRight w:val="0"/>
      <w:marTop w:val="0"/>
      <w:marBottom w:val="0"/>
      <w:divBdr>
        <w:top w:val="none" w:sz="0" w:space="0" w:color="auto"/>
        <w:left w:val="none" w:sz="0" w:space="0" w:color="auto"/>
        <w:bottom w:val="none" w:sz="0" w:space="0" w:color="auto"/>
        <w:right w:val="none" w:sz="0" w:space="0" w:color="auto"/>
      </w:divBdr>
    </w:div>
    <w:div w:id="1623337921">
      <w:bodyDiv w:val="1"/>
      <w:marLeft w:val="0"/>
      <w:marRight w:val="0"/>
      <w:marTop w:val="0"/>
      <w:marBottom w:val="0"/>
      <w:divBdr>
        <w:top w:val="none" w:sz="0" w:space="0" w:color="auto"/>
        <w:left w:val="none" w:sz="0" w:space="0" w:color="auto"/>
        <w:bottom w:val="none" w:sz="0" w:space="0" w:color="auto"/>
        <w:right w:val="none" w:sz="0" w:space="0" w:color="auto"/>
      </w:divBdr>
    </w:div>
    <w:div w:id="1623611356">
      <w:bodyDiv w:val="1"/>
      <w:marLeft w:val="0"/>
      <w:marRight w:val="0"/>
      <w:marTop w:val="0"/>
      <w:marBottom w:val="0"/>
      <w:divBdr>
        <w:top w:val="none" w:sz="0" w:space="0" w:color="auto"/>
        <w:left w:val="none" w:sz="0" w:space="0" w:color="auto"/>
        <w:bottom w:val="none" w:sz="0" w:space="0" w:color="auto"/>
        <w:right w:val="none" w:sz="0" w:space="0" w:color="auto"/>
      </w:divBdr>
    </w:div>
    <w:div w:id="1625580342">
      <w:bodyDiv w:val="1"/>
      <w:marLeft w:val="0"/>
      <w:marRight w:val="0"/>
      <w:marTop w:val="0"/>
      <w:marBottom w:val="0"/>
      <w:divBdr>
        <w:top w:val="none" w:sz="0" w:space="0" w:color="auto"/>
        <w:left w:val="none" w:sz="0" w:space="0" w:color="auto"/>
        <w:bottom w:val="none" w:sz="0" w:space="0" w:color="auto"/>
        <w:right w:val="none" w:sz="0" w:space="0" w:color="auto"/>
      </w:divBdr>
    </w:div>
    <w:div w:id="1627420183">
      <w:bodyDiv w:val="1"/>
      <w:marLeft w:val="0"/>
      <w:marRight w:val="0"/>
      <w:marTop w:val="0"/>
      <w:marBottom w:val="0"/>
      <w:divBdr>
        <w:top w:val="none" w:sz="0" w:space="0" w:color="auto"/>
        <w:left w:val="none" w:sz="0" w:space="0" w:color="auto"/>
        <w:bottom w:val="none" w:sz="0" w:space="0" w:color="auto"/>
        <w:right w:val="none" w:sz="0" w:space="0" w:color="auto"/>
      </w:divBdr>
    </w:div>
    <w:div w:id="1628126789">
      <w:bodyDiv w:val="1"/>
      <w:marLeft w:val="0"/>
      <w:marRight w:val="0"/>
      <w:marTop w:val="0"/>
      <w:marBottom w:val="0"/>
      <w:divBdr>
        <w:top w:val="none" w:sz="0" w:space="0" w:color="auto"/>
        <w:left w:val="none" w:sz="0" w:space="0" w:color="auto"/>
        <w:bottom w:val="none" w:sz="0" w:space="0" w:color="auto"/>
        <w:right w:val="none" w:sz="0" w:space="0" w:color="auto"/>
      </w:divBdr>
    </w:div>
    <w:div w:id="1629817774">
      <w:bodyDiv w:val="1"/>
      <w:marLeft w:val="0"/>
      <w:marRight w:val="0"/>
      <w:marTop w:val="0"/>
      <w:marBottom w:val="0"/>
      <w:divBdr>
        <w:top w:val="none" w:sz="0" w:space="0" w:color="auto"/>
        <w:left w:val="none" w:sz="0" w:space="0" w:color="auto"/>
        <w:bottom w:val="none" w:sz="0" w:space="0" w:color="auto"/>
        <w:right w:val="none" w:sz="0" w:space="0" w:color="auto"/>
      </w:divBdr>
    </w:div>
    <w:div w:id="1630087899">
      <w:bodyDiv w:val="1"/>
      <w:marLeft w:val="0"/>
      <w:marRight w:val="0"/>
      <w:marTop w:val="0"/>
      <w:marBottom w:val="0"/>
      <w:divBdr>
        <w:top w:val="none" w:sz="0" w:space="0" w:color="auto"/>
        <w:left w:val="none" w:sz="0" w:space="0" w:color="auto"/>
        <w:bottom w:val="none" w:sz="0" w:space="0" w:color="auto"/>
        <w:right w:val="none" w:sz="0" w:space="0" w:color="auto"/>
      </w:divBdr>
    </w:div>
    <w:div w:id="1631282203">
      <w:bodyDiv w:val="1"/>
      <w:marLeft w:val="0"/>
      <w:marRight w:val="0"/>
      <w:marTop w:val="0"/>
      <w:marBottom w:val="0"/>
      <w:divBdr>
        <w:top w:val="none" w:sz="0" w:space="0" w:color="auto"/>
        <w:left w:val="none" w:sz="0" w:space="0" w:color="auto"/>
        <w:bottom w:val="none" w:sz="0" w:space="0" w:color="auto"/>
        <w:right w:val="none" w:sz="0" w:space="0" w:color="auto"/>
      </w:divBdr>
    </w:div>
    <w:div w:id="1632713472">
      <w:bodyDiv w:val="1"/>
      <w:marLeft w:val="0"/>
      <w:marRight w:val="0"/>
      <w:marTop w:val="0"/>
      <w:marBottom w:val="0"/>
      <w:divBdr>
        <w:top w:val="none" w:sz="0" w:space="0" w:color="auto"/>
        <w:left w:val="none" w:sz="0" w:space="0" w:color="auto"/>
        <w:bottom w:val="none" w:sz="0" w:space="0" w:color="auto"/>
        <w:right w:val="none" w:sz="0" w:space="0" w:color="auto"/>
      </w:divBdr>
    </w:div>
    <w:div w:id="1635482138">
      <w:bodyDiv w:val="1"/>
      <w:marLeft w:val="0"/>
      <w:marRight w:val="0"/>
      <w:marTop w:val="0"/>
      <w:marBottom w:val="0"/>
      <w:divBdr>
        <w:top w:val="none" w:sz="0" w:space="0" w:color="auto"/>
        <w:left w:val="none" w:sz="0" w:space="0" w:color="auto"/>
        <w:bottom w:val="none" w:sz="0" w:space="0" w:color="auto"/>
        <w:right w:val="none" w:sz="0" w:space="0" w:color="auto"/>
      </w:divBdr>
    </w:div>
    <w:div w:id="1635670715">
      <w:bodyDiv w:val="1"/>
      <w:marLeft w:val="0"/>
      <w:marRight w:val="0"/>
      <w:marTop w:val="0"/>
      <w:marBottom w:val="0"/>
      <w:divBdr>
        <w:top w:val="none" w:sz="0" w:space="0" w:color="auto"/>
        <w:left w:val="none" w:sz="0" w:space="0" w:color="auto"/>
        <w:bottom w:val="none" w:sz="0" w:space="0" w:color="auto"/>
        <w:right w:val="none" w:sz="0" w:space="0" w:color="auto"/>
      </w:divBdr>
    </w:div>
    <w:div w:id="1635788644">
      <w:bodyDiv w:val="1"/>
      <w:marLeft w:val="0"/>
      <w:marRight w:val="0"/>
      <w:marTop w:val="0"/>
      <w:marBottom w:val="0"/>
      <w:divBdr>
        <w:top w:val="none" w:sz="0" w:space="0" w:color="auto"/>
        <w:left w:val="none" w:sz="0" w:space="0" w:color="auto"/>
        <w:bottom w:val="none" w:sz="0" w:space="0" w:color="auto"/>
        <w:right w:val="none" w:sz="0" w:space="0" w:color="auto"/>
      </w:divBdr>
    </w:div>
    <w:div w:id="1636056835">
      <w:bodyDiv w:val="1"/>
      <w:marLeft w:val="0"/>
      <w:marRight w:val="0"/>
      <w:marTop w:val="0"/>
      <w:marBottom w:val="0"/>
      <w:divBdr>
        <w:top w:val="none" w:sz="0" w:space="0" w:color="auto"/>
        <w:left w:val="none" w:sz="0" w:space="0" w:color="auto"/>
        <w:bottom w:val="none" w:sz="0" w:space="0" w:color="auto"/>
        <w:right w:val="none" w:sz="0" w:space="0" w:color="auto"/>
      </w:divBdr>
    </w:div>
    <w:div w:id="1636987220">
      <w:bodyDiv w:val="1"/>
      <w:marLeft w:val="0"/>
      <w:marRight w:val="0"/>
      <w:marTop w:val="0"/>
      <w:marBottom w:val="0"/>
      <w:divBdr>
        <w:top w:val="none" w:sz="0" w:space="0" w:color="auto"/>
        <w:left w:val="none" w:sz="0" w:space="0" w:color="auto"/>
        <w:bottom w:val="none" w:sz="0" w:space="0" w:color="auto"/>
        <w:right w:val="none" w:sz="0" w:space="0" w:color="auto"/>
      </w:divBdr>
    </w:div>
    <w:div w:id="1637492045">
      <w:bodyDiv w:val="1"/>
      <w:marLeft w:val="0"/>
      <w:marRight w:val="0"/>
      <w:marTop w:val="0"/>
      <w:marBottom w:val="0"/>
      <w:divBdr>
        <w:top w:val="none" w:sz="0" w:space="0" w:color="auto"/>
        <w:left w:val="none" w:sz="0" w:space="0" w:color="auto"/>
        <w:bottom w:val="none" w:sz="0" w:space="0" w:color="auto"/>
        <w:right w:val="none" w:sz="0" w:space="0" w:color="auto"/>
      </w:divBdr>
    </w:div>
    <w:div w:id="1638991258">
      <w:bodyDiv w:val="1"/>
      <w:marLeft w:val="0"/>
      <w:marRight w:val="0"/>
      <w:marTop w:val="0"/>
      <w:marBottom w:val="0"/>
      <w:divBdr>
        <w:top w:val="none" w:sz="0" w:space="0" w:color="auto"/>
        <w:left w:val="none" w:sz="0" w:space="0" w:color="auto"/>
        <w:bottom w:val="none" w:sz="0" w:space="0" w:color="auto"/>
        <w:right w:val="none" w:sz="0" w:space="0" w:color="auto"/>
      </w:divBdr>
    </w:div>
    <w:div w:id="1640844524">
      <w:bodyDiv w:val="1"/>
      <w:marLeft w:val="0"/>
      <w:marRight w:val="0"/>
      <w:marTop w:val="0"/>
      <w:marBottom w:val="0"/>
      <w:divBdr>
        <w:top w:val="none" w:sz="0" w:space="0" w:color="auto"/>
        <w:left w:val="none" w:sz="0" w:space="0" w:color="auto"/>
        <w:bottom w:val="none" w:sz="0" w:space="0" w:color="auto"/>
        <w:right w:val="none" w:sz="0" w:space="0" w:color="auto"/>
      </w:divBdr>
    </w:div>
    <w:div w:id="1641152544">
      <w:bodyDiv w:val="1"/>
      <w:marLeft w:val="0"/>
      <w:marRight w:val="0"/>
      <w:marTop w:val="0"/>
      <w:marBottom w:val="0"/>
      <w:divBdr>
        <w:top w:val="none" w:sz="0" w:space="0" w:color="auto"/>
        <w:left w:val="none" w:sz="0" w:space="0" w:color="auto"/>
        <w:bottom w:val="none" w:sz="0" w:space="0" w:color="auto"/>
        <w:right w:val="none" w:sz="0" w:space="0" w:color="auto"/>
      </w:divBdr>
    </w:div>
    <w:div w:id="1642224758">
      <w:bodyDiv w:val="1"/>
      <w:marLeft w:val="0"/>
      <w:marRight w:val="0"/>
      <w:marTop w:val="0"/>
      <w:marBottom w:val="0"/>
      <w:divBdr>
        <w:top w:val="none" w:sz="0" w:space="0" w:color="auto"/>
        <w:left w:val="none" w:sz="0" w:space="0" w:color="auto"/>
        <w:bottom w:val="none" w:sz="0" w:space="0" w:color="auto"/>
        <w:right w:val="none" w:sz="0" w:space="0" w:color="auto"/>
      </w:divBdr>
    </w:div>
    <w:div w:id="1644119921">
      <w:bodyDiv w:val="1"/>
      <w:marLeft w:val="0"/>
      <w:marRight w:val="0"/>
      <w:marTop w:val="0"/>
      <w:marBottom w:val="0"/>
      <w:divBdr>
        <w:top w:val="none" w:sz="0" w:space="0" w:color="auto"/>
        <w:left w:val="none" w:sz="0" w:space="0" w:color="auto"/>
        <w:bottom w:val="none" w:sz="0" w:space="0" w:color="auto"/>
        <w:right w:val="none" w:sz="0" w:space="0" w:color="auto"/>
      </w:divBdr>
    </w:div>
    <w:div w:id="1644234932">
      <w:bodyDiv w:val="1"/>
      <w:marLeft w:val="0"/>
      <w:marRight w:val="0"/>
      <w:marTop w:val="0"/>
      <w:marBottom w:val="0"/>
      <w:divBdr>
        <w:top w:val="none" w:sz="0" w:space="0" w:color="auto"/>
        <w:left w:val="none" w:sz="0" w:space="0" w:color="auto"/>
        <w:bottom w:val="none" w:sz="0" w:space="0" w:color="auto"/>
        <w:right w:val="none" w:sz="0" w:space="0" w:color="auto"/>
      </w:divBdr>
    </w:div>
    <w:div w:id="1644890041">
      <w:bodyDiv w:val="1"/>
      <w:marLeft w:val="0"/>
      <w:marRight w:val="0"/>
      <w:marTop w:val="0"/>
      <w:marBottom w:val="0"/>
      <w:divBdr>
        <w:top w:val="none" w:sz="0" w:space="0" w:color="auto"/>
        <w:left w:val="none" w:sz="0" w:space="0" w:color="auto"/>
        <w:bottom w:val="none" w:sz="0" w:space="0" w:color="auto"/>
        <w:right w:val="none" w:sz="0" w:space="0" w:color="auto"/>
      </w:divBdr>
    </w:div>
    <w:div w:id="1648321209">
      <w:bodyDiv w:val="1"/>
      <w:marLeft w:val="0"/>
      <w:marRight w:val="0"/>
      <w:marTop w:val="0"/>
      <w:marBottom w:val="0"/>
      <w:divBdr>
        <w:top w:val="none" w:sz="0" w:space="0" w:color="auto"/>
        <w:left w:val="none" w:sz="0" w:space="0" w:color="auto"/>
        <w:bottom w:val="none" w:sz="0" w:space="0" w:color="auto"/>
        <w:right w:val="none" w:sz="0" w:space="0" w:color="auto"/>
      </w:divBdr>
    </w:div>
    <w:div w:id="1648583107">
      <w:bodyDiv w:val="1"/>
      <w:marLeft w:val="0"/>
      <w:marRight w:val="0"/>
      <w:marTop w:val="0"/>
      <w:marBottom w:val="0"/>
      <w:divBdr>
        <w:top w:val="none" w:sz="0" w:space="0" w:color="auto"/>
        <w:left w:val="none" w:sz="0" w:space="0" w:color="auto"/>
        <w:bottom w:val="none" w:sz="0" w:space="0" w:color="auto"/>
        <w:right w:val="none" w:sz="0" w:space="0" w:color="auto"/>
      </w:divBdr>
    </w:div>
    <w:div w:id="1649632864">
      <w:bodyDiv w:val="1"/>
      <w:marLeft w:val="0"/>
      <w:marRight w:val="0"/>
      <w:marTop w:val="0"/>
      <w:marBottom w:val="0"/>
      <w:divBdr>
        <w:top w:val="none" w:sz="0" w:space="0" w:color="auto"/>
        <w:left w:val="none" w:sz="0" w:space="0" w:color="auto"/>
        <w:bottom w:val="none" w:sz="0" w:space="0" w:color="auto"/>
        <w:right w:val="none" w:sz="0" w:space="0" w:color="auto"/>
      </w:divBdr>
    </w:div>
    <w:div w:id="1656689346">
      <w:bodyDiv w:val="1"/>
      <w:marLeft w:val="0"/>
      <w:marRight w:val="0"/>
      <w:marTop w:val="0"/>
      <w:marBottom w:val="0"/>
      <w:divBdr>
        <w:top w:val="none" w:sz="0" w:space="0" w:color="auto"/>
        <w:left w:val="none" w:sz="0" w:space="0" w:color="auto"/>
        <w:bottom w:val="none" w:sz="0" w:space="0" w:color="auto"/>
        <w:right w:val="none" w:sz="0" w:space="0" w:color="auto"/>
      </w:divBdr>
    </w:div>
    <w:div w:id="1658997946">
      <w:bodyDiv w:val="1"/>
      <w:marLeft w:val="0"/>
      <w:marRight w:val="0"/>
      <w:marTop w:val="0"/>
      <w:marBottom w:val="0"/>
      <w:divBdr>
        <w:top w:val="none" w:sz="0" w:space="0" w:color="auto"/>
        <w:left w:val="none" w:sz="0" w:space="0" w:color="auto"/>
        <w:bottom w:val="none" w:sz="0" w:space="0" w:color="auto"/>
        <w:right w:val="none" w:sz="0" w:space="0" w:color="auto"/>
      </w:divBdr>
    </w:div>
    <w:div w:id="1661689651">
      <w:bodyDiv w:val="1"/>
      <w:marLeft w:val="0"/>
      <w:marRight w:val="0"/>
      <w:marTop w:val="0"/>
      <w:marBottom w:val="0"/>
      <w:divBdr>
        <w:top w:val="none" w:sz="0" w:space="0" w:color="auto"/>
        <w:left w:val="none" w:sz="0" w:space="0" w:color="auto"/>
        <w:bottom w:val="none" w:sz="0" w:space="0" w:color="auto"/>
        <w:right w:val="none" w:sz="0" w:space="0" w:color="auto"/>
      </w:divBdr>
    </w:div>
    <w:div w:id="1664238471">
      <w:bodyDiv w:val="1"/>
      <w:marLeft w:val="0"/>
      <w:marRight w:val="0"/>
      <w:marTop w:val="0"/>
      <w:marBottom w:val="0"/>
      <w:divBdr>
        <w:top w:val="none" w:sz="0" w:space="0" w:color="auto"/>
        <w:left w:val="none" w:sz="0" w:space="0" w:color="auto"/>
        <w:bottom w:val="none" w:sz="0" w:space="0" w:color="auto"/>
        <w:right w:val="none" w:sz="0" w:space="0" w:color="auto"/>
      </w:divBdr>
    </w:div>
    <w:div w:id="1664553170">
      <w:bodyDiv w:val="1"/>
      <w:marLeft w:val="0"/>
      <w:marRight w:val="0"/>
      <w:marTop w:val="0"/>
      <w:marBottom w:val="0"/>
      <w:divBdr>
        <w:top w:val="none" w:sz="0" w:space="0" w:color="auto"/>
        <w:left w:val="none" w:sz="0" w:space="0" w:color="auto"/>
        <w:bottom w:val="none" w:sz="0" w:space="0" w:color="auto"/>
        <w:right w:val="none" w:sz="0" w:space="0" w:color="auto"/>
      </w:divBdr>
    </w:div>
    <w:div w:id="1665628659">
      <w:bodyDiv w:val="1"/>
      <w:marLeft w:val="0"/>
      <w:marRight w:val="0"/>
      <w:marTop w:val="0"/>
      <w:marBottom w:val="0"/>
      <w:divBdr>
        <w:top w:val="none" w:sz="0" w:space="0" w:color="auto"/>
        <w:left w:val="none" w:sz="0" w:space="0" w:color="auto"/>
        <w:bottom w:val="none" w:sz="0" w:space="0" w:color="auto"/>
        <w:right w:val="none" w:sz="0" w:space="0" w:color="auto"/>
      </w:divBdr>
    </w:div>
    <w:div w:id="1666935866">
      <w:bodyDiv w:val="1"/>
      <w:marLeft w:val="0"/>
      <w:marRight w:val="0"/>
      <w:marTop w:val="0"/>
      <w:marBottom w:val="0"/>
      <w:divBdr>
        <w:top w:val="none" w:sz="0" w:space="0" w:color="auto"/>
        <w:left w:val="none" w:sz="0" w:space="0" w:color="auto"/>
        <w:bottom w:val="none" w:sz="0" w:space="0" w:color="auto"/>
        <w:right w:val="none" w:sz="0" w:space="0" w:color="auto"/>
      </w:divBdr>
    </w:div>
    <w:div w:id="1667979047">
      <w:bodyDiv w:val="1"/>
      <w:marLeft w:val="0"/>
      <w:marRight w:val="0"/>
      <w:marTop w:val="0"/>
      <w:marBottom w:val="0"/>
      <w:divBdr>
        <w:top w:val="none" w:sz="0" w:space="0" w:color="auto"/>
        <w:left w:val="none" w:sz="0" w:space="0" w:color="auto"/>
        <w:bottom w:val="none" w:sz="0" w:space="0" w:color="auto"/>
        <w:right w:val="none" w:sz="0" w:space="0" w:color="auto"/>
      </w:divBdr>
    </w:div>
    <w:div w:id="1668291920">
      <w:bodyDiv w:val="1"/>
      <w:marLeft w:val="0"/>
      <w:marRight w:val="0"/>
      <w:marTop w:val="0"/>
      <w:marBottom w:val="0"/>
      <w:divBdr>
        <w:top w:val="none" w:sz="0" w:space="0" w:color="auto"/>
        <w:left w:val="none" w:sz="0" w:space="0" w:color="auto"/>
        <w:bottom w:val="none" w:sz="0" w:space="0" w:color="auto"/>
        <w:right w:val="none" w:sz="0" w:space="0" w:color="auto"/>
      </w:divBdr>
    </w:div>
    <w:div w:id="1670330858">
      <w:bodyDiv w:val="1"/>
      <w:marLeft w:val="0"/>
      <w:marRight w:val="0"/>
      <w:marTop w:val="0"/>
      <w:marBottom w:val="0"/>
      <w:divBdr>
        <w:top w:val="none" w:sz="0" w:space="0" w:color="auto"/>
        <w:left w:val="none" w:sz="0" w:space="0" w:color="auto"/>
        <w:bottom w:val="none" w:sz="0" w:space="0" w:color="auto"/>
        <w:right w:val="none" w:sz="0" w:space="0" w:color="auto"/>
      </w:divBdr>
    </w:div>
    <w:div w:id="1672562863">
      <w:bodyDiv w:val="1"/>
      <w:marLeft w:val="0"/>
      <w:marRight w:val="0"/>
      <w:marTop w:val="0"/>
      <w:marBottom w:val="0"/>
      <w:divBdr>
        <w:top w:val="none" w:sz="0" w:space="0" w:color="auto"/>
        <w:left w:val="none" w:sz="0" w:space="0" w:color="auto"/>
        <w:bottom w:val="none" w:sz="0" w:space="0" w:color="auto"/>
        <w:right w:val="none" w:sz="0" w:space="0" w:color="auto"/>
      </w:divBdr>
    </w:div>
    <w:div w:id="1673293794">
      <w:bodyDiv w:val="1"/>
      <w:marLeft w:val="0"/>
      <w:marRight w:val="0"/>
      <w:marTop w:val="0"/>
      <w:marBottom w:val="0"/>
      <w:divBdr>
        <w:top w:val="none" w:sz="0" w:space="0" w:color="auto"/>
        <w:left w:val="none" w:sz="0" w:space="0" w:color="auto"/>
        <w:bottom w:val="none" w:sz="0" w:space="0" w:color="auto"/>
        <w:right w:val="none" w:sz="0" w:space="0" w:color="auto"/>
      </w:divBdr>
    </w:div>
    <w:div w:id="1673676704">
      <w:bodyDiv w:val="1"/>
      <w:marLeft w:val="0"/>
      <w:marRight w:val="0"/>
      <w:marTop w:val="0"/>
      <w:marBottom w:val="0"/>
      <w:divBdr>
        <w:top w:val="none" w:sz="0" w:space="0" w:color="auto"/>
        <w:left w:val="none" w:sz="0" w:space="0" w:color="auto"/>
        <w:bottom w:val="none" w:sz="0" w:space="0" w:color="auto"/>
        <w:right w:val="none" w:sz="0" w:space="0" w:color="auto"/>
      </w:divBdr>
    </w:div>
    <w:div w:id="1674067303">
      <w:bodyDiv w:val="1"/>
      <w:marLeft w:val="0"/>
      <w:marRight w:val="0"/>
      <w:marTop w:val="0"/>
      <w:marBottom w:val="0"/>
      <w:divBdr>
        <w:top w:val="none" w:sz="0" w:space="0" w:color="auto"/>
        <w:left w:val="none" w:sz="0" w:space="0" w:color="auto"/>
        <w:bottom w:val="none" w:sz="0" w:space="0" w:color="auto"/>
        <w:right w:val="none" w:sz="0" w:space="0" w:color="auto"/>
      </w:divBdr>
    </w:div>
    <w:div w:id="1674604470">
      <w:bodyDiv w:val="1"/>
      <w:marLeft w:val="0"/>
      <w:marRight w:val="0"/>
      <w:marTop w:val="0"/>
      <w:marBottom w:val="0"/>
      <w:divBdr>
        <w:top w:val="none" w:sz="0" w:space="0" w:color="auto"/>
        <w:left w:val="none" w:sz="0" w:space="0" w:color="auto"/>
        <w:bottom w:val="none" w:sz="0" w:space="0" w:color="auto"/>
        <w:right w:val="none" w:sz="0" w:space="0" w:color="auto"/>
      </w:divBdr>
    </w:div>
    <w:div w:id="1674723257">
      <w:bodyDiv w:val="1"/>
      <w:marLeft w:val="0"/>
      <w:marRight w:val="0"/>
      <w:marTop w:val="0"/>
      <w:marBottom w:val="0"/>
      <w:divBdr>
        <w:top w:val="none" w:sz="0" w:space="0" w:color="auto"/>
        <w:left w:val="none" w:sz="0" w:space="0" w:color="auto"/>
        <w:bottom w:val="none" w:sz="0" w:space="0" w:color="auto"/>
        <w:right w:val="none" w:sz="0" w:space="0" w:color="auto"/>
      </w:divBdr>
    </w:div>
    <w:div w:id="1674920251">
      <w:bodyDiv w:val="1"/>
      <w:marLeft w:val="0"/>
      <w:marRight w:val="0"/>
      <w:marTop w:val="0"/>
      <w:marBottom w:val="0"/>
      <w:divBdr>
        <w:top w:val="none" w:sz="0" w:space="0" w:color="auto"/>
        <w:left w:val="none" w:sz="0" w:space="0" w:color="auto"/>
        <w:bottom w:val="none" w:sz="0" w:space="0" w:color="auto"/>
        <w:right w:val="none" w:sz="0" w:space="0" w:color="auto"/>
      </w:divBdr>
    </w:div>
    <w:div w:id="1677227974">
      <w:bodyDiv w:val="1"/>
      <w:marLeft w:val="0"/>
      <w:marRight w:val="0"/>
      <w:marTop w:val="0"/>
      <w:marBottom w:val="0"/>
      <w:divBdr>
        <w:top w:val="none" w:sz="0" w:space="0" w:color="auto"/>
        <w:left w:val="none" w:sz="0" w:space="0" w:color="auto"/>
        <w:bottom w:val="none" w:sz="0" w:space="0" w:color="auto"/>
        <w:right w:val="none" w:sz="0" w:space="0" w:color="auto"/>
      </w:divBdr>
    </w:div>
    <w:div w:id="1677421099">
      <w:bodyDiv w:val="1"/>
      <w:marLeft w:val="0"/>
      <w:marRight w:val="0"/>
      <w:marTop w:val="0"/>
      <w:marBottom w:val="0"/>
      <w:divBdr>
        <w:top w:val="none" w:sz="0" w:space="0" w:color="auto"/>
        <w:left w:val="none" w:sz="0" w:space="0" w:color="auto"/>
        <w:bottom w:val="none" w:sz="0" w:space="0" w:color="auto"/>
        <w:right w:val="none" w:sz="0" w:space="0" w:color="auto"/>
      </w:divBdr>
    </w:div>
    <w:div w:id="1677999976">
      <w:bodyDiv w:val="1"/>
      <w:marLeft w:val="0"/>
      <w:marRight w:val="0"/>
      <w:marTop w:val="0"/>
      <w:marBottom w:val="0"/>
      <w:divBdr>
        <w:top w:val="none" w:sz="0" w:space="0" w:color="auto"/>
        <w:left w:val="none" w:sz="0" w:space="0" w:color="auto"/>
        <w:bottom w:val="none" w:sz="0" w:space="0" w:color="auto"/>
        <w:right w:val="none" w:sz="0" w:space="0" w:color="auto"/>
      </w:divBdr>
    </w:div>
    <w:div w:id="1681348757">
      <w:bodyDiv w:val="1"/>
      <w:marLeft w:val="0"/>
      <w:marRight w:val="0"/>
      <w:marTop w:val="0"/>
      <w:marBottom w:val="0"/>
      <w:divBdr>
        <w:top w:val="none" w:sz="0" w:space="0" w:color="auto"/>
        <w:left w:val="none" w:sz="0" w:space="0" w:color="auto"/>
        <w:bottom w:val="none" w:sz="0" w:space="0" w:color="auto"/>
        <w:right w:val="none" w:sz="0" w:space="0" w:color="auto"/>
      </w:divBdr>
    </w:div>
    <w:div w:id="1683120046">
      <w:bodyDiv w:val="1"/>
      <w:marLeft w:val="0"/>
      <w:marRight w:val="0"/>
      <w:marTop w:val="0"/>
      <w:marBottom w:val="0"/>
      <w:divBdr>
        <w:top w:val="none" w:sz="0" w:space="0" w:color="auto"/>
        <w:left w:val="none" w:sz="0" w:space="0" w:color="auto"/>
        <w:bottom w:val="none" w:sz="0" w:space="0" w:color="auto"/>
        <w:right w:val="none" w:sz="0" w:space="0" w:color="auto"/>
      </w:divBdr>
    </w:div>
    <w:div w:id="1685327796">
      <w:bodyDiv w:val="1"/>
      <w:marLeft w:val="0"/>
      <w:marRight w:val="0"/>
      <w:marTop w:val="0"/>
      <w:marBottom w:val="0"/>
      <w:divBdr>
        <w:top w:val="none" w:sz="0" w:space="0" w:color="auto"/>
        <w:left w:val="none" w:sz="0" w:space="0" w:color="auto"/>
        <w:bottom w:val="none" w:sz="0" w:space="0" w:color="auto"/>
        <w:right w:val="none" w:sz="0" w:space="0" w:color="auto"/>
      </w:divBdr>
    </w:div>
    <w:div w:id="1685398479">
      <w:bodyDiv w:val="1"/>
      <w:marLeft w:val="0"/>
      <w:marRight w:val="0"/>
      <w:marTop w:val="0"/>
      <w:marBottom w:val="0"/>
      <w:divBdr>
        <w:top w:val="none" w:sz="0" w:space="0" w:color="auto"/>
        <w:left w:val="none" w:sz="0" w:space="0" w:color="auto"/>
        <w:bottom w:val="none" w:sz="0" w:space="0" w:color="auto"/>
        <w:right w:val="none" w:sz="0" w:space="0" w:color="auto"/>
      </w:divBdr>
    </w:div>
    <w:div w:id="1686782479">
      <w:bodyDiv w:val="1"/>
      <w:marLeft w:val="0"/>
      <w:marRight w:val="0"/>
      <w:marTop w:val="0"/>
      <w:marBottom w:val="0"/>
      <w:divBdr>
        <w:top w:val="none" w:sz="0" w:space="0" w:color="auto"/>
        <w:left w:val="none" w:sz="0" w:space="0" w:color="auto"/>
        <w:bottom w:val="none" w:sz="0" w:space="0" w:color="auto"/>
        <w:right w:val="none" w:sz="0" w:space="0" w:color="auto"/>
      </w:divBdr>
    </w:div>
    <w:div w:id="1689405918">
      <w:bodyDiv w:val="1"/>
      <w:marLeft w:val="0"/>
      <w:marRight w:val="0"/>
      <w:marTop w:val="0"/>
      <w:marBottom w:val="0"/>
      <w:divBdr>
        <w:top w:val="none" w:sz="0" w:space="0" w:color="auto"/>
        <w:left w:val="none" w:sz="0" w:space="0" w:color="auto"/>
        <w:bottom w:val="none" w:sz="0" w:space="0" w:color="auto"/>
        <w:right w:val="none" w:sz="0" w:space="0" w:color="auto"/>
      </w:divBdr>
    </w:div>
    <w:div w:id="1690834327">
      <w:bodyDiv w:val="1"/>
      <w:marLeft w:val="0"/>
      <w:marRight w:val="0"/>
      <w:marTop w:val="0"/>
      <w:marBottom w:val="0"/>
      <w:divBdr>
        <w:top w:val="none" w:sz="0" w:space="0" w:color="auto"/>
        <w:left w:val="none" w:sz="0" w:space="0" w:color="auto"/>
        <w:bottom w:val="none" w:sz="0" w:space="0" w:color="auto"/>
        <w:right w:val="none" w:sz="0" w:space="0" w:color="auto"/>
      </w:divBdr>
    </w:div>
    <w:div w:id="1690982821">
      <w:bodyDiv w:val="1"/>
      <w:marLeft w:val="0"/>
      <w:marRight w:val="0"/>
      <w:marTop w:val="0"/>
      <w:marBottom w:val="0"/>
      <w:divBdr>
        <w:top w:val="none" w:sz="0" w:space="0" w:color="auto"/>
        <w:left w:val="none" w:sz="0" w:space="0" w:color="auto"/>
        <w:bottom w:val="none" w:sz="0" w:space="0" w:color="auto"/>
        <w:right w:val="none" w:sz="0" w:space="0" w:color="auto"/>
      </w:divBdr>
    </w:div>
    <w:div w:id="1692099707">
      <w:bodyDiv w:val="1"/>
      <w:marLeft w:val="0"/>
      <w:marRight w:val="0"/>
      <w:marTop w:val="0"/>
      <w:marBottom w:val="0"/>
      <w:divBdr>
        <w:top w:val="none" w:sz="0" w:space="0" w:color="auto"/>
        <w:left w:val="none" w:sz="0" w:space="0" w:color="auto"/>
        <w:bottom w:val="none" w:sz="0" w:space="0" w:color="auto"/>
        <w:right w:val="none" w:sz="0" w:space="0" w:color="auto"/>
      </w:divBdr>
    </w:div>
    <w:div w:id="1692409860">
      <w:bodyDiv w:val="1"/>
      <w:marLeft w:val="0"/>
      <w:marRight w:val="0"/>
      <w:marTop w:val="0"/>
      <w:marBottom w:val="0"/>
      <w:divBdr>
        <w:top w:val="none" w:sz="0" w:space="0" w:color="auto"/>
        <w:left w:val="none" w:sz="0" w:space="0" w:color="auto"/>
        <w:bottom w:val="none" w:sz="0" w:space="0" w:color="auto"/>
        <w:right w:val="none" w:sz="0" w:space="0" w:color="auto"/>
      </w:divBdr>
    </w:div>
    <w:div w:id="1693649209">
      <w:bodyDiv w:val="1"/>
      <w:marLeft w:val="0"/>
      <w:marRight w:val="0"/>
      <w:marTop w:val="0"/>
      <w:marBottom w:val="0"/>
      <w:divBdr>
        <w:top w:val="none" w:sz="0" w:space="0" w:color="auto"/>
        <w:left w:val="none" w:sz="0" w:space="0" w:color="auto"/>
        <w:bottom w:val="none" w:sz="0" w:space="0" w:color="auto"/>
        <w:right w:val="none" w:sz="0" w:space="0" w:color="auto"/>
      </w:divBdr>
    </w:div>
    <w:div w:id="1693873465">
      <w:bodyDiv w:val="1"/>
      <w:marLeft w:val="0"/>
      <w:marRight w:val="0"/>
      <w:marTop w:val="0"/>
      <w:marBottom w:val="0"/>
      <w:divBdr>
        <w:top w:val="none" w:sz="0" w:space="0" w:color="auto"/>
        <w:left w:val="none" w:sz="0" w:space="0" w:color="auto"/>
        <w:bottom w:val="none" w:sz="0" w:space="0" w:color="auto"/>
        <w:right w:val="none" w:sz="0" w:space="0" w:color="auto"/>
      </w:divBdr>
    </w:div>
    <w:div w:id="1697080488">
      <w:bodyDiv w:val="1"/>
      <w:marLeft w:val="0"/>
      <w:marRight w:val="0"/>
      <w:marTop w:val="0"/>
      <w:marBottom w:val="0"/>
      <w:divBdr>
        <w:top w:val="none" w:sz="0" w:space="0" w:color="auto"/>
        <w:left w:val="none" w:sz="0" w:space="0" w:color="auto"/>
        <w:bottom w:val="none" w:sz="0" w:space="0" w:color="auto"/>
        <w:right w:val="none" w:sz="0" w:space="0" w:color="auto"/>
      </w:divBdr>
    </w:div>
    <w:div w:id="1698693915">
      <w:bodyDiv w:val="1"/>
      <w:marLeft w:val="0"/>
      <w:marRight w:val="0"/>
      <w:marTop w:val="0"/>
      <w:marBottom w:val="0"/>
      <w:divBdr>
        <w:top w:val="none" w:sz="0" w:space="0" w:color="auto"/>
        <w:left w:val="none" w:sz="0" w:space="0" w:color="auto"/>
        <w:bottom w:val="none" w:sz="0" w:space="0" w:color="auto"/>
        <w:right w:val="none" w:sz="0" w:space="0" w:color="auto"/>
      </w:divBdr>
    </w:div>
    <w:div w:id="1698846670">
      <w:bodyDiv w:val="1"/>
      <w:marLeft w:val="0"/>
      <w:marRight w:val="0"/>
      <w:marTop w:val="0"/>
      <w:marBottom w:val="0"/>
      <w:divBdr>
        <w:top w:val="none" w:sz="0" w:space="0" w:color="auto"/>
        <w:left w:val="none" w:sz="0" w:space="0" w:color="auto"/>
        <w:bottom w:val="none" w:sz="0" w:space="0" w:color="auto"/>
        <w:right w:val="none" w:sz="0" w:space="0" w:color="auto"/>
      </w:divBdr>
    </w:div>
    <w:div w:id="1704478968">
      <w:bodyDiv w:val="1"/>
      <w:marLeft w:val="0"/>
      <w:marRight w:val="0"/>
      <w:marTop w:val="0"/>
      <w:marBottom w:val="0"/>
      <w:divBdr>
        <w:top w:val="none" w:sz="0" w:space="0" w:color="auto"/>
        <w:left w:val="none" w:sz="0" w:space="0" w:color="auto"/>
        <w:bottom w:val="none" w:sz="0" w:space="0" w:color="auto"/>
        <w:right w:val="none" w:sz="0" w:space="0" w:color="auto"/>
      </w:divBdr>
    </w:div>
    <w:div w:id="1707366263">
      <w:bodyDiv w:val="1"/>
      <w:marLeft w:val="0"/>
      <w:marRight w:val="0"/>
      <w:marTop w:val="0"/>
      <w:marBottom w:val="0"/>
      <w:divBdr>
        <w:top w:val="none" w:sz="0" w:space="0" w:color="auto"/>
        <w:left w:val="none" w:sz="0" w:space="0" w:color="auto"/>
        <w:bottom w:val="none" w:sz="0" w:space="0" w:color="auto"/>
        <w:right w:val="none" w:sz="0" w:space="0" w:color="auto"/>
      </w:divBdr>
    </w:div>
    <w:div w:id="1709791933">
      <w:bodyDiv w:val="1"/>
      <w:marLeft w:val="0"/>
      <w:marRight w:val="0"/>
      <w:marTop w:val="0"/>
      <w:marBottom w:val="0"/>
      <w:divBdr>
        <w:top w:val="none" w:sz="0" w:space="0" w:color="auto"/>
        <w:left w:val="none" w:sz="0" w:space="0" w:color="auto"/>
        <w:bottom w:val="none" w:sz="0" w:space="0" w:color="auto"/>
        <w:right w:val="none" w:sz="0" w:space="0" w:color="auto"/>
      </w:divBdr>
    </w:div>
    <w:div w:id="1710227887">
      <w:bodyDiv w:val="1"/>
      <w:marLeft w:val="0"/>
      <w:marRight w:val="0"/>
      <w:marTop w:val="0"/>
      <w:marBottom w:val="0"/>
      <w:divBdr>
        <w:top w:val="none" w:sz="0" w:space="0" w:color="auto"/>
        <w:left w:val="none" w:sz="0" w:space="0" w:color="auto"/>
        <w:bottom w:val="none" w:sz="0" w:space="0" w:color="auto"/>
        <w:right w:val="none" w:sz="0" w:space="0" w:color="auto"/>
      </w:divBdr>
    </w:div>
    <w:div w:id="1714891311">
      <w:bodyDiv w:val="1"/>
      <w:marLeft w:val="0"/>
      <w:marRight w:val="0"/>
      <w:marTop w:val="0"/>
      <w:marBottom w:val="0"/>
      <w:divBdr>
        <w:top w:val="none" w:sz="0" w:space="0" w:color="auto"/>
        <w:left w:val="none" w:sz="0" w:space="0" w:color="auto"/>
        <w:bottom w:val="none" w:sz="0" w:space="0" w:color="auto"/>
        <w:right w:val="none" w:sz="0" w:space="0" w:color="auto"/>
      </w:divBdr>
    </w:div>
    <w:div w:id="1716197581">
      <w:bodyDiv w:val="1"/>
      <w:marLeft w:val="0"/>
      <w:marRight w:val="0"/>
      <w:marTop w:val="0"/>
      <w:marBottom w:val="0"/>
      <w:divBdr>
        <w:top w:val="none" w:sz="0" w:space="0" w:color="auto"/>
        <w:left w:val="none" w:sz="0" w:space="0" w:color="auto"/>
        <w:bottom w:val="none" w:sz="0" w:space="0" w:color="auto"/>
        <w:right w:val="none" w:sz="0" w:space="0" w:color="auto"/>
      </w:divBdr>
    </w:div>
    <w:div w:id="1716656457">
      <w:bodyDiv w:val="1"/>
      <w:marLeft w:val="0"/>
      <w:marRight w:val="0"/>
      <w:marTop w:val="0"/>
      <w:marBottom w:val="0"/>
      <w:divBdr>
        <w:top w:val="none" w:sz="0" w:space="0" w:color="auto"/>
        <w:left w:val="none" w:sz="0" w:space="0" w:color="auto"/>
        <w:bottom w:val="none" w:sz="0" w:space="0" w:color="auto"/>
        <w:right w:val="none" w:sz="0" w:space="0" w:color="auto"/>
      </w:divBdr>
    </w:div>
    <w:div w:id="1720394404">
      <w:bodyDiv w:val="1"/>
      <w:marLeft w:val="0"/>
      <w:marRight w:val="0"/>
      <w:marTop w:val="0"/>
      <w:marBottom w:val="0"/>
      <w:divBdr>
        <w:top w:val="none" w:sz="0" w:space="0" w:color="auto"/>
        <w:left w:val="none" w:sz="0" w:space="0" w:color="auto"/>
        <w:bottom w:val="none" w:sz="0" w:space="0" w:color="auto"/>
        <w:right w:val="none" w:sz="0" w:space="0" w:color="auto"/>
      </w:divBdr>
    </w:div>
    <w:div w:id="1726753584">
      <w:bodyDiv w:val="1"/>
      <w:marLeft w:val="0"/>
      <w:marRight w:val="0"/>
      <w:marTop w:val="0"/>
      <w:marBottom w:val="0"/>
      <w:divBdr>
        <w:top w:val="none" w:sz="0" w:space="0" w:color="auto"/>
        <w:left w:val="none" w:sz="0" w:space="0" w:color="auto"/>
        <w:bottom w:val="none" w:sz="0" w:space="0" w:color="auto"/>
        <w:right w:val="none" w:sz="0" w:space="0" w:color="auto"/>
      </w:divBdr>
    </w:div>
    <w:div w:id="1729110977">
      <w:bodyDiv w:val="1"/>
      <w:marLeft w:val="0"/>
      <w:marRight w:val="0"/>
      <w:marTop w:val="0"/>
      <w:marBottom w:val="0"/>
      <w:divBdr>
        <w:top w:val="none" w:sz="0" w:space="0" w:color="auto"/>
        <w:left w:val="none" w:sz="0" w:space="0" w:color="auto"/>
        <w:bottom w:val="none" w:sz="0" w:space="0" w:color="auto"/>
        <w:right w:val="none" w:sz="0" w:space="0" w:color="auto"/>
      </w:divBdr>
    </w:div>
    <w:div w:id="1729183949">
      <w:bodyDiv w:val="1"/>
      <w:marLeft w:val="0"/>
      <w:marRight w:val="0"/>
      <w:marTop w:val="0"/>
      <w:marBottom w:val="0"/>
      <w:divBdr>
        <w:top w:val="none" w:sz="0" w:space="0" w:color="auto"/>
        <w:left w:val="none" w:sz="0" w:space="0" w:color="auto"/>
        <w:bottom w:val="none" w:sz="0" w:space="0" w:color="auto"/>
        <w:right w:val="none" w:sz="0" w:space="0" w:color="auto"/>
      </w:divBdr>
    </w:div>
    <w:div w:id="1729693290">
      <w:bodyDiv w:val="1"/>
      <w:marLeft w:val="0"/>
      <w:marRight w:val="0"/>
      <w:marTop w:val="0"/>
      <w:marBottom w:val="0"/>
      <w:divBdr>
        <w:top w:val="none" w:sz="0" w:space="0" w:color="auto"/>
        <w:left w:val="none" w:sz="0" w:space="0" w:color="auto"/>
        <w:bottom w:val="none" w:sz="0" w:space="0" w:color="auto"/>
        <w:right w:val="none" w:sz="0" w:space="0" w:color="auto"/>
      </w:divBdr>
    </w:div>
    <w:div w:id="1730300474">
      <w:bodyDiv w:val="1"/>
      <w:marLeft w:val="0"/>
      <w:marRight w:val="0"/>
      <w:marTop w:val="0"/>
      <w:marBottom w:val="0"/>
      <w:divBdr>
        <w:top w:val="none" w:sz="0" w:space="0" w:color="auto"/>
        <w:left w:val="none" w:sz="0" w:space="0" w:color="auto"/>
        <w:bottom w:val="none" w:sz="0" w:space="0" w:color="auto"/>
        <w:right w:val="none" w:sz="0" w:space="0" w:color="auto"/>
      </w:divBdr>
    </w:div>
    <w:div w:id="1730424056">
      <w:bodyDiv w:val="1"/>
      <w:marLeft w:val="0"/>
      <w:marRight w:val="0"/>
      <w:marTop w:val="0"/>
      <w:marBottom w:val="0"/>
      <w:divBdr>
        <w:top w:val="none" w:sz="0" w:space="0" w:color="auto"/>
        <w:left w:val="none" w:sz="0" w:space="0" w:color="auto"/>
        <w:bottom w:val="none" w:sz="0" w:space="0" w:color="auto"/>
        <w:right w:val="none" w:sz="0" w:space="0" w:color="auto"/>
      </w:divBdr>
    </w:div>
    <w:div w:id="1731272798">
      <w:bodyDiv w:val="1"/>
      <w:marLeft w:val="0"/>
      <w:marRight w:val="0"/>
      <w:marTop w:val="0"/>
      <w:marBottom w:val="0"/>
      <w:divBdr>
        <w:top w:val="none" w:sz="0" w:space="0" w:color="auto"/>
        <w:left w:val="none" w:sz="0" w:space="0" w:color="auto"/>
        <w:bottom w:val="none" w:sz="0" w:space="0" w:color="auto"/>
        <w:right w:val="none" w:sz="0" w:space="0" w:color="auto"/>
      </w:divBdr>
    </w:div>
    <w:div w:id="1733385300">
      <w:bodyDiv w:val="1"/>
      <w:marLeft w:val="0"/>
      <w:marRight w:val="0"/>
      <w:marTop w:val="0"/>
      <w:marBottom w:val="0"/>
      <w:divBdr>
        <w:top w:val="none" w:sz="0" w:space="0" w:color="auto"/>
        <w:left w:val="none" w:sz="0" w:space="0" w:color="auto"/>
        <w:bottom w:val="none" w:sz="0" w:space="0" w:color="auto"/>
        <w:right w:val="none" w:sz="0" w:space="0" w:color="auto"/>
      </w:divBdr>
    </w:div>
    <w:div w:id="1734739219">
      <w:bodyDiv w:val="1"/>
      <w:marLeft w:val="0"/>
      <w:marRight w:val="0"/>
      <w:marTop w:val="0"/>
      <w:marBottom w:val="0"/>
      <w:divBdr>
        <w:top w:val="none" w:sz="0" w:space="0" w:color="auto"/>
        <w:left w:val="none" w:sz="0" w:space="0" w:color="auto"/>
        <w:bottom w:val="none" w:sz="0" w:space="0" w:color="auto"/>
        <w:right w:val="none" w:sz="0" w:space="0" w:color="auto"/>
      </w:divBdr>
    </w:div>
    <w:div w:id="1735157791">
      <w:bodyDiv w:val="1"/>
      <w:marLeft w:val="0"/>
      <w:marRight w:val="0"/>
      <w:marTop w:val="0"/>
      <w:marBottom w:val="0"/>
      <w:divBdr>
        <w:top w:val="none" w:sz="0" w:space="0" w:color="auto"/>
        <w:left w:val="none" w:sz="0" w:space="0" w:color="auto"/>
        <w:bottom w:val="none" w:sz="0" w:space="0" w:color="auto"/>
        <w:right w:val="none" w:sz="0" w:space="0" w:color="auto"/>
      </w:divBdr>
    </w:div>
    <w:div w:id="1735397192">
      <w:bodyDiv w:val="1"/>
      <w:marLeft w:val="0"/>
      <w:marRight w:val="0"/>
      <w:marTop w:val="0"/>
      <w:marBottom w:val="0"/>
      <w:divBdr>
        <w:top w:val="none" w:sz="0" w:space="0" w:color="auto"/>
        <w:left w:val="none" w:sz="0" w:space="0" w:color="auto"/>
        <w:bottom w:val="none" w:sz="0" w:space="0" w:color="auto"/>
        <w:right w:val="none" w:sz="0" w:space="0" w:color="auto"/>
      </w:divBdr>
    </w:div>
    <w:div w:id="1737701148">
      <w:bodyDiv w:val="1"/>
      <w:marLeft w:val="0"/>
      <w:marRight w:val="0"/>
      <w:marTop w:val="0"/>
      <w:marBottom w:val="0"/>
      <w:divBdr>
        <w:top w:val="none" w:sz="0" w:space="0" w:color="auto"/>
        <w:left w:val="none" w:sz="0" w:space="0" w:color="auto"/>
        <w:bottom w:val="none" w:sz="0" w:space="0" w:color="auto"/>
        <w:right w:val="none" w:sz="0" w:space="0" w:color="auto"/>
      </w:divBdr>
    </w:div>
    <w:div w:id="1740127039">
      <w:bodyDiv w:val="1"/>
      <w:marLeft w:val="0"/>
      <w:marRight w:val="0"/>
      <w:marTop w:val="0"/>
      <w:marBottom w:val="0"/>
      <w:divBdr>
        <w:top w:val="none" w:sz="0" w:space="0" w:color="auto"/>
        <w:left w:val="none" w:sz="0" w:space="0" w:color="auto"/>
        <w:bottom w:val="none" w:sz="0" w:space="0" w:color="auto"/>
        <w:right w:val="none" w:sz="0" w:space="0" w:color="auto"/>
      </w:divBdr>
    </w:div>
    <w:div w:id="1740976502">
      <w:bodyDiv w:val="1"/>
      <w:marLeft w:val="0"/>
      <w:marRight w:val="0"/>
      <w:marTop w:val="0"/>
      <w:marBottom w:val="0"/>
      <w:divBdr>
        <w:top w:val="none" w:sz="0" w:space="0" w:color="auto"/>
        <w:left w:val="none" w:sz="0" w:space="0" w:color="auto"/>
        <w:bottom w:val="none" w:sz="0" w:space="0" w:color="auto"/>
        <w:right w:val="none" w:sz="0" w:space="0" w:color="auto"/>
      </w:divBdr>
    </w:div>
    <w:div w:id="1741051423">
      <w:bodyDiv w:val="1"/>
      <w:marLeft w:val="0"/>
      <w:marRight w:val="0"/>
      <w:marTop w:val="0"/>
      <w:marBottom w:val="0"/>
      <w:divBdr>
        <w:top w:val="none" w:sz="0" w:space="0" w:color="auto"/>
        <w:left w:val="none" w:sz="0" w:space="0" w:color="auto"/>
        <w:bottom w:val="none" w:sz="0" w:space="0" w:color="auto"/>
        <w:right w:val="none" w:sz="0" w:space="0" w:color="auto"/>
      </w:divBdr>
    </w:div>
    <w:div w:id="1743793005">
      <w:bodyDiv w:val="1"/>
      <w:marLeft w:val="0"/>
      <w:marRight w:val="0"/>
      <w:marTop w:val="0"/>
      <w:marBottom w:val="0"/>
      <w:divBdr>
        <w:top w:val="none" w:sz="0" w:space="0" w:color="auto"/>
        <w:left w:val="none" w:sz="0" w:space="0" w:color="auto"/>
        <w:bottom w:val="none" w:sz="0" w:space="0" w:color="auto"/>
        <w:right w:val="none" w:sz="0" w:space="0" w:color="auto"/>
      </w:divBdr>
    </w:div>
    <w:div w:id="1744139851">
      <w:bodyDiv w:val="1"/>
      <w:marLeft w:val="0"/>
      <w:marRight w:val="0"/>
      <w:marTop w:val="0"/>
      <w:marBottom w:val="0"/>
      <w:divBdr>
        <w:top w:val="none" w:sz="0" w:space="0" w:color="auto"/>
        <w:left w:val="none" w:sz="0" w:space="0" w:color="auto"/>
        <w:bottom w:val="none" w:sz="0" w:space="0" w:color="auto"/>
        <w:right w:val="none" w:sz="0" w:space="0" w:color="auto"/>
      </w:divBdr>
    </w:div>
    <w:div w:id="1745445372">
      <w:bodyDiv w:val="1"/>
      <w:marLeft w:val="0"/>
      <w:marRight w:val="0"/>
      <w:marTop w:val="0"/>
      <w:marBottom w:val="0"/>
      <w:divBdr>
        <w:top w:val="none" w:sz="0" w:space="0" w:color="auto"/>
        <w:left w:val="none" w:sz="0" w:space="0" w:color="auto"/>
        <w:bottom w:val="none" w:sz="0" w:space="0" w:color="auto"/>
        <w:right w:val="none" w:sz="0" w:space="0" w:color="auto"/>
      </w:divBdr>
    </w:div>
    <w:div w:id="1746537552">
      <w:bodyDiv w:val="1"/>
      <w:marLeft w:val="0"/>
      <w:marRight w:val="0"/>
      <w:marTop w:val="0"/>
      <w:marBottom w:val="0"/>
      <w:divBdr>
        <w:top w:val="none" w:sz="0" w:space="0" w:color="auto"/>
        <w:left w:val="none" w:sz="0" w:space="0" w:color="auto"/>
        <w:bottom w:val="none" w:sz="0" w:space="0" w:color="auto"/>
        <w:right w:val="none" w:sz="0" w:space="0" w:color="auto"/>
      </w:divBdr>
    </w:div>
    <w:div w:id="1747337590">
      <w:bodyDiv w:val="1"/>
      <w:marLeft w:val="0"/>
      <w:marRight w:val="0"/>
      <w:marTop w:val="0"/>
      <w:marBottom w:val="0"/>
      <w:divBdr>
        <w:top w:val="none" w:sz="0" w:space="0" w:color="auto"/>
        <w:left w:val="none" w:sz="0" w:space="0" w:color="auto"/>
        <w:bottom w:val="none" w:sz="0" w:space="0" w:color="auto"/>
        <w:right w:val="none" w:sz="0" w:space="0" w:color="auto"/>
      </w:divBdr>
    </w:div>
    <w:div w:id="1749421000">
      <w:bodyDiv w:val="1"/>
      <w:marLeft w:val="0"/>
      <w:marRight w:val="0"/>
      <w:marTop w:val="0"/>
      <w:marBottom w:val="0"/>
      <w:divBdr>
        <w:top w:val="none" w:sz="0" w:space="0" w:color="auto"/>
        <w:left w:val="none" w:sz="0" w:space="0" w:color="auto"/>
        <w:bottom w:val="none" w:sz="0" w:space="0" w:color="auto"/>
        <w:right w:val="none" w:sz="0" w:space="0" w:color="auto"/>
      </w:divBdr>
    </w:div>
    <w:div w:id="1751654356">
      <w:bodyDiv w:val="1"/>
      <w:marLeft w:val="0"/>
      <w:marRight w:val="0"/>
      <w:marTop w:val="0"/>
      <w:marBottom w:val="0"/>
      <w:divBdr>
        <w:top w:val="none" w:sz="0" w:space="0" w:color="auto"/>
        <w:left w:val="none" w:sz="0" w:space="0" w:color="auto"/>
        <w:bottom w:val="none" w:sz="0" w:space="0" w:color="auto"/>
        <w:right w:val="none" w:sz="0" w:space="0" w:color="auto"/>
      </w:divBdr>
    </w:div>
    <w:div w:id="1752653131">
      <w:bodyDiv w:val="1"/>
      <w:marLeft w:val="0"/>
      <w:marRight w:val="0"/>
      <w:marTop w:val="0"/>
      <w:marBottom w:val="0"/>
      <w:divBdr>
        <w:top w:val="none" w:sz="0" w:space="0" w:color="auto"/>
        <w:left w:val="none" w:sz="0" w:space="0" w:color="auto"/>
        <w:bottom w:val="none" w:sz="0" w:space="0" w:color="auto"/>
        <w:right w:val="none" w:sz="0" w:space="0" w:color="auto"/>
      </w:divBdr>
    </w:div>
    <w:div w:id="1753772135">
      <w:bodyDiv w:val="1"/>
      <w:marLeft w:val="0"/>
      <w:marRight w:val="0"/>
      <w:marTop w:val="0"/>
      <w:marBottom w:val="0"/>
      <w:divBdr>
        <w:top w:val="none" w:sz="0" w:space="0" w:color="auto"/>
        <w:left w:val="none" w:sz="0" w:space="0" w:color="auto"/>
        <w:bottom w:val="none" w:sz="0" w:space="0" w:color="auto"/>
        <w:right w:val="none" w:sz="0" w:space="0" w:color="auto"/>
      </w:divBdr>
    </w:div>
    <w:div w:id="1757625969">
      <w:bodyDiv w:val="1"/>
      <w:marLeft w:val="0"/>
      <w:marRight w:val="0"/>
      <w:marTop w:val="0"/>
      <w:marBottom w:val="0"/>
      <w:divBdr>
        <w:top w:val="none" w:sz="0" w:space="0" w:color="auto"/>
        <w:left w:val="none" w:sz="0" w:space="0" w:color="auto"/>
        <w:bottom w:val="none" w:sz="0" w:space="0" w:color="auto"/>
        <w:right w:val="none" w:sz="0" w:space="0" w:color="auto"/>
      </w:divBdr>
    </w:div>
    <w:div w:id="1757626478">
      <w:bodyDiv w:val="1"/>
      <w:marLeft w:val="0"/>
      <w:marRight w:val="0"/>
      <w:marTop w:val="0"/>
      <w:marBottom w:val="0"/>
      <w:divBdr>
        <w:top w:val="none" w:sz="0" w:space="0" w:color="auto"/>
        <w:left w:val="none" w:sz="0" w:space="0" w:color="auto"/>
        <w:bottom w:val="none" w:sz="0" w:space="0" w:color="auto"/>
        <w:right w:val="none" w:sz="0" w:space="0" w:color="auto"/>
      </w:divBdr>
    </w:div>
    <w:div w:id="1760056392">
      <w:bodyDiv w:val="1"/>
      <w:marLeft w:val="0"/>
      <w:marRight w:val="0"/>
      <w:marTop w:val="0"/>
      <w:marBottom w:val="0"/>
      <w:divBdr>
        <w:top w:val="none" w:sz="0" w:space="0" w:color="auto"/>
        <w:left w:val="none" w:sz="0" w:space="0" w:color="auto"/>
        <w:bottom w:val="none" w:sz="0" w:space="0" w:color="auto"/>
        <w:right w:val="none" w:sz="0" w:space="0" w:color="auto"/>
      </w:divBdr>
    </w:div>
    <w:div w:id="1760104031">
      <w:bodyDiv w:val="1"/>
      <w:marLeft w:val="0"/>
      <w:marRight w:val="0"/>
      <w:marTop w:val="0"/>
      <w:marBottom w:val="0"/>
      <w:divBdr>
        <w:top w:val="none" w:sz="0" w:space="0" w:color="auto"/>
        <w:left w:val="none" w:sz="0" w:space="0" w:color="auto"/>
        <w:bottom w:val="none" w:sz="0" w:space="0" w:color="auto"/>
        <w:right w:val="none" w:sz="0" w:space="0" w:color="auto"/>
      </w:divBdr>
    </w:div>
    <w:div w:id="1762215832">
      <w:bodyDiv w:val="1"/>
      <w:marLeft w:val="0"/>
      <w:marRight w:val="0"/>
      <w:marTop w:val="0"/>
      <w:marBottom w:val="0"/>
      <w:divBdr>
        <w:top w:val="none" w:sz="0" w:space="0" w:color="auto"/>
        <w:left w:val="none" w:sz="0" w:space="0" w:color="auto"/>
        <w:bottom w:val="none" w:sz="0" w:space="0" w:color="auto"/>
        <w:right w:val="none" w:sz="0" w:space="0" w:color="auto"/>
      </w:divBdr>
    </w:div>
    <w:div w:id="1765878244">
      <w:bodyDiv w:val="1"/>
      <w:marLeft w:val="0"/>
      <w:marRight w:val="0"/>
      <w:marTop w:val="0"/>
      <w:marBottom w:val="0"/>
      <w:divBdr>
        <w:top w:val="none" w:sz="0" w:space="0" w:color="auto"/>
        <w:left w:val="none" w:sz="0" w:space="0" w:color="auto"/>
        <w:bottom w:val="none" w:sz="0" w:space="0" w:color="auto"/>
        <w:right w:val="none" w:sz="0" w:space="0" w:color="auto"/>
      </w:divBdr>
    </w:div>
    <w:div w:id="1766686618">
      <w:bodyDiv w:val="1"/>
      <w:marLeft w:val="0"/>
      <w:marRight w:val="0"/>
      <w:marTop w:val="0"/>
      <w:marBottom w:val="0"/>
      <w:divBdr>
        <w:top w:val="none" w:sz="0" w:space="0" w:color="auto"/>
        <w:left w:val="none" w:sz="0" w:space="0" w:color="auto"/>
        <w:bottom w:val="none" w:sz="0" w:space="0" w:color="auto"/>
        <w:right w:val="none" w:sz="0" w:space="0" w:color="auto"/>
      </w:divBdr>
    </w:div>
    <w:div w:id="1766917647">
      <w:bodyDiv w:val="1"/>
      <w:marLeft w:val="0"/>
      <w:marRight w:val="0"/>
      <w:marTop w:val="0"/>
      <w:marBottom w:val="0"/>
      <w:divBdr>
        <w:top w:val="none" w:sz="0" w:space="0" w:color="auto"/>
        <w:left w:val="none" w:sz="0" w:space="0" w:color="auto"/>
        <w:bottom w:val="none" w:sz="0" w:space="0" w:color="auto"/>
        <w:right w:val="none" w:sz="0" w:space="0" w:color="auto"/>
      </w:divBdr>
    </w:div>
    <w:div w:id="1767190417">
      <w:bodyDiv w:val="1"/>
      <w:marLeft w:val="0"/>
      <w:marRight w:val="0"/>
      <w:marTop w:val="0"/>
      <w:marBottom w:val="0"/>
      <w:divBdr>
        <w:top w:val="none" w:sz="0" w:space="0" w:color="auto"/>
        <w:left w:val="none" w:sz="0" w:space="0" w:color="auto"/>
        <w:bottom w:val="none" w:sz="0" w:space="0" w:color="auto"/>
        <w:right w:val="none" w:sz="0" w:space="0" w:color="auto"/>
      </w:divBdr>
    </w:div>
    <w:div w:id="1769692205">
      <w:bodyDiv w:val="1"/>
      <w:marLeft w:val="0"/>
      <w:marRight w:val="0"/>
      <w:marTop w:val="0"/>
      <w:marBottom w:val="0"/>
      <w:divBdr>
        <w:top w:val="none" w:sz="0" w:space="0" w:color="auto"/>
        <w:left w:val="none" w:sz="0" w:space="0" w:color="auto"/>
        <w:bottom w:val="none" w:sz="0" w:space="0" w:color="auto"/>
        <w:right w:val="none" w:sz="0" w:space="0" w:color="auto"/>
      </w:divBdr>
    </w:div>
    <w:div w:id="1769934303">
      <w:bodyDiv w:val="1"/>
      <w:marLeft w:val="0"/>
      <w:marRight w:val="0"/>
      <w:marTop w:val="0"/>
      <w:marBottom w:val="0"/>
      <w:divBdr>
        <w:top w:val="none" w:sz="0" w:space="0" w:color="auto"/>
        <w:left w:val="none" w:sz="0" w:space="0" w:color="auto"/>
        <w:bottom w:val="none" w:sz="0" w:space="0" w:color="auto"/>
        <w:right w:val="none" w:sz="0" w:space="0" w:color="auto"/>
      </w:divBdr>
    </w:div>
    <w:div w:id="1770193678">
      <w:bodyDiv w:val="1"/>
      <w:marLeft w:val="0"/>
      <w:marRight w:val="0"/>
      <w:marTop w:val="0"/>
      <w:marBottom w:val="0"/>
      <w:divBdr>
        <w:top w:val="none" w:sz="0" w:space="0" w:color="auto"/>
        <w:left w:val="none" w:sz="0" w:space="0" w:color="auto"/>
        <w:bottom w:val="none" w:sz="0" w:space="0" w:color="auto"/>
        <w:right w:val="none" w:sz="0" w:space="0" w:color="auto"/>
      </w:divBdr>
    </w:div>
    <w:div w:id="1770734329">
      <w:bodyDiv w:val="1"/>
      <w:marLeft w:val="0"/>
      <w:marRight w:val="0"/>
      <w:marTop w:val="0"/>
      <w:marBottom w:val="0"/>
      <w:divBdr>
        <w:top w:val="none" w:sz="0" w:space="0" w:color="auto"/>
        <w:left w:val="none" w:sz="0" w:space="0" w:color="auto"/>
        <w:bottom w:val="none" w:sz="0" w:space="0" w:color="auto"/>
        <w:right w:val="none" w:sz="0" w:space="0" w:color="auto"/>
      </w:divBdr>
    </w:div>
    <w:div w:id="1772705164">
      <w:bodyDiv w:val="1"/>
      <w:marLeft w:val="0"/>
      <w:marRight w:val="0"/>
      <w:marTop w:val="0"/>
      <w:marBottom w:val="0"/>
      <w:divBdr>
        <w:top w:val="none" w:sz="0" w:space="0" w:color="auto"/>
        <w:left w:val="none" w:sz="0" w:space="0" w:color="auto"/>
        <w:bottom w:val="none" w:sz="0" w:space="0" w:color="auto"/>
        <w:right w:val="none" w:sz="0" w:space="0" w:color="auto"/>
      </w:divBdr>
    </w:div>
    <w:div w:id="1774476322">
      <w:bodyDiv w:val="1"/>
      <w:marLeft w:val="0"/>
      <w:marRight w:val="0"/>
      <w:marTop w:val="0"/>
      <w:marBottom w:val="0"/>
      <w:divBdr>
        <w:top w:val="none" w:sz="0" w:space="0" w:color="auto"/>
        <w:left w:val="none" w:sz="0" w:space="0" w:color="auto"/>
        <w:bottom w:val="none" w:sz="0" w:space="0" w:color="auto"/>
        <w:right w:val="none" w:sz="0" w:space="0" w:color="auto"/>
      </w:divBdr>
    </w:div>
    <w:div w:id="1775056333">
      <w:bodyDiv w:val="1"/>
      <w:marLeft w:val="0"/>
      <w:marRight w:val="0"/>
      <w:marTop w:val="0"/>
      <w:marBottom w:val="0"/>
      <w:divBdr>
        <w:top w:val="none" w:sz="0" w:space="0" w:color="auto"/>
        <w:left w:val="none" w:sz="0" w:space="0" w:color="auto"/>
        <w:bottom w:val="none" w:sz="0" w:space="0" w:color="auto"/>
        <w:right w:val="none" w:sz="0" w:space="0" w:color="auto"/>
      </w:divBdr>
    </w:div>
    <w:div w:id="1777555292">
      <w:bodyDiv w:val="1"/>
      <w:marLeft w:val="0"/>
      <w:marRight w:val="0"/>
      <w:marTop w:val="0"/>
      <w:marBottom w:val="0"/>
      <w:divBdr>
        <w:top w:val="none" w:sz="0" w:space="0" w:color="auto"/>
        <w:left w:val="none" w:sz="0" w:space="0" w:color="auto"/>
        <w:bottom w:val="none" w:sz="0" w:space="0" w:color="auto"/>
        <w:right w:val="none" w:sz="0" w:space="0" w:color="auto"/>
      </w:divBdr>
    </w:div>
    <w:div w:id="1786848393">
      <w:bodyDiv w:val="1"/>
      <w:marLeft w:val="0"/>
      <w:marRight w:val="0"/>
      <w:marTop w:val="0"/>
      <w:marBottom w:val="0"/>
      <w:divBdr>
        <w:top w:val="none" w:sz="0" w:space="0" w:color="auto"/>
        <w:left w:val="none" w:sz="0" w:space="0" w:color="auto"/>
        <w:bottom w:val="none" w:sz="0" w:space="0" w:color="auto"/>
        <w:right w:val="none" w:sz="0" w:space="0" w:color="auto"/>
      </w:divBdr>
    </w:div>
    <w:div w:id="1788229545">
      <w:bodyDiv w:val="1"/>
      <w:marLeft w:val="0"/>
      <w:marRight w:val="0"/>
      <w:marTop w:val="0"/>
      <w:marBottom w:val="0"/>
      <w:divBdr>
        <w:top w:val="none" w:sz="0" w:space="0" w:color="auto"/>
        <w:left w:val="none" w:sz="0" w:space="0" w:color="auto"/>
        <w:bottom w:val="none" w:sz="0" w:space="0" w:color="auto"/>
        <w:right w:val="none" w:sz="0" w:space="0" w:color="auto"/>
      </w:divBdr>
    </w:div>
    <w:div w:id="1789158923">
      <w:bodyDiv w:val="1"/>
      <w:marLeft w:val="0"/>
      <w:marRight w:val="0"/>
      <w:marTop w:val="0"/>
      <w:marBottom w:val="0"/>
      <w:divBdr>
        <w:top w:val="none" w:sz="0" w:space="0" w:color="auto"/>
        <w:left w:val="none" w:sz="0" w:space="0" w:color="auto"/>
        <w:bottom w:val="none" w:sz="0" w:space="0" w:color="auto"/>
        <w:right w:val="none" w:sz="0" w:space="0" w:color="auto"/>
      </w:divBdr>
    </w:div>
    <w:div w:id="1789425974">
      <w:bodyDiv w:val="1"/>
      <w:marLeft w:val="0"/>
      <w:marRight w:val="0"/>
      <w:marTop w:val="0"/>
      <w:marBottom w:val="0"/>
      <w:divBdr>
        <w:top w:val="none" w:sz="0" w:space="0" w:color="auto"/>
        <w:left w:val="none" w:sz="0" w:space="0" w:color="auto"/>
        <w:bottom w:val="none" w:sz="0" w:space="0" w:color="auto"/>
        <w:right w:val="none" w:sz="0" w:space="0" w:color="auto"/>
      </w:divBdr>
    </w:div>
    <w:div w:id="1790658836">
      <w:bodyDiv w:val="1"/>
      <w:marLeft w:val="0"/>
      <w:marRight w:val="0"/>
      <w:marTop w:val="0"/>
      <w:marBottom w:val="0"/>
      <w:divBdr>
        <w:top w:val="none" w:sz="0" w:space="0" w:color="auto"/>
        <w:left w:val="none" w:sz="0" w:space="0" w:color="auto"/>
        <w:bottom w:val="none" w:sz="0" w:space="0" w:color="auto"/>
        <w:right w:val="none" w:sz="0" w:space="0" w:color="auto"/>
      </w:divBdr>
    </w:div>
    <w:div w:id="1791169263">
      <w:bodyDiv w:val="1"/>
      <w:marLeft w:val="0"/>
      <w:marRight w:val="0"/>
      <w:marTop w:val="0"/>
      <w:marBottom w:val="0"/>
      <w:divBdr>
        <w:top w:val="none" w:sz="0" w:space="0" w:color="auto"/>
        <w:left w:val="none" w:sz="0" w:space="0" w:color="auto"/>
        <w:bottom w:val="none" w:sz="0" w:space="0" w:color="auto"/>
        <w:right w:val="none" w:sz="0" w:space="0" w:color="auto"/>
      </w:divBdr>
    </w:div>
    <w:div w:id="1793590671">
      <w:bodyDiv w:val="1"/>
      <w:marLeft w:val="0"/>
      <w:marRight w:val="0"/>
      <w:marTop w:val="0"/>
      <w:marBottom w:val="0"/>
      <w:divBdr>
        <w:top w:val="none" w:sz="0" w:space="0" w:color="auto"/>
        <w:left w:val="none" w:sz="0" w:space="0" w:color="auto"/>
        <w:bottom w:val="none" w:sz="0" w:space="0" w:color="auto"/>
        <w:right w:val="none" w:sz="0" w:space="0" w:color="auto"/>
      </w:divBdr>
    </w:div>
    <w:div w:id="1794056682">
      <w:bodyDiv w:val="1"/>
      <w:marLeft w:val="0"/>
      <w:marRight w:val="0"/>
      <w:marTop w:val="0"/>
      <w:marBottom w:val="0"/>
      <w:divBdr>
        <w:top w:val="none" w:sz="0" w:space="0" w:color="auto"/>
        <w:left w:val="none" w:sz="0" w:space="0" w:color="auto"/>
        <w:bottom w:val="none" w:sz="0" w:space="0" w:color="auto"/>
        <w:right w:val="none" w:sz="0" w:space="0" w:color="auto"/>
      </w:divBdr>
    </w:div>
    <w:div w:id="1795169924">
      <w:bodyDiv w:val="1"/>
      <w:marLeft w:val="0"/>
      <w:marRight w:val="0"/>
      <w:marTop w:val="0"/>
      <w:marBottom w:val="0"/>
      <w:divBdr>
        <w:top w:val="none" w:sz="0" w:space="0" w:color="auto"/>
        <w:left w:val="none" w:sz="0" w:space="0" w:color="auto"/>
        <w:bottom w:val="none" w:sz="0" w:space="0" w:color="auto"/>
        <w:right w:val="none" w:sz="0" w:space="0" w:color="auto"/>
      </w:divBdr>
    </w:div>
    <w:div w:id="1797404279">
      <w:bodyDiv w:val="1"/>
      <w:marLeft w:val="0"/>
      <w:marRight w:val="0"/>
      <w:marTop w:val="0"/>
      <w:marBottom w:val="0"/>
      <w:divBdr>
        <w:top w:val="none" w:sz="0" w:space="0" w:color="auto"/>
        <w:left w:val="none" w:sz="0" w:space="0" w:color="auto"/>
        <w:bottom w:val="none" w:sz="0" w:space="0" w:color="auto"/>
        <w:right w:val="none" w:sz="0" w:space="0" w:color="auto"/>
      </w:divBdr>
    </w:div>
    <w:div w:id="1797602138">
      <w:bodyDiv w:val="1"/>
      <w:marLeft w:val="0"/>
      <w:marRight w:val="0"/>
      <w:marTop w:val="0"/>
      <w:marBottom w:val="0"/>
      <w:divBdr>
        <w:top w:val="none" w:sz="0" w:space="0" w:color="auto"/>
        <w:left w:val="none" w:sz="0" w:space="0" w:color="auto"/>
        <w:bottom w:val="none" w:sz="0" w:space="0" w:color="auto"/>
        <w:right w:val="none" w:sz="0" w:space="0" w:color="auto"/>
      </w:divBdr>
    </w:div>
    <w:div w:id="1799831537">
      <w:bodyDiv w:val="1"/>
      <w:marLeft w:val="0"/>
      <w:marRight w:val="0"/>
      <w:marTop w:val="0"/>
      <w:marBottom w:val="0"/>
      <w:divBdr>
        <w:top w:val="none" w:sz="0" w:space="0" w:color="auto"/>
        <w:left w:val="none" w:sz="0" w:space="0" w:color="auto"/>
        <w:bottom w:val="none" w:sz="0" w:space="0" w:color="auto"/>
        <w:right w:val="none" w:sz="0" w:space="0" w:color="auto"/>
      </w:divBdr>
    </w:div>
    <w:div w:id="1803304206">
      <w:bodyDiv w:val="1"/>
      <w:marLeft w:val="0"/>
      <w:marRight w:val="0"/>
      <w:marTop w:val="0"/>
      <w:marBottom w:val="0"/>
      <w:divBdr>
        <w:top w:val="none" w:sz="0" w:space="0" w:color="auto"/>
        <w:left w:val="none" w:sz="0" w:space="0" w:color="auto"/>
        <w:bottom w:val="none" w:sz="0" w:space="0" w:color="auto"/>
        <w:right w:val="none" w:sz="0" w:space="0" w:color="auto"/>
      </w:divBdr>
    </w:div>
    <w:div w:id="1803425266">
      <w:bodyDiv w:val="1"/>
      <w:marLeft w:val="0"/>
      <w:marRight w:val="0"/>
      <w:marTop w:val="0"/>
      <w:marBottom w:val="0"/>
      <w:divBdr>
        <w:top w:val="none" w:sz="0" w:space="0" w:color="auto"/>
        <w:left w:val="none" w:sz="0" w:space="0" w:color="auto"/>
        <w:bottom w:val="none" w:sz="0" w:space="0" w:color="auto"/>
        <w:right w:val="none" w:sz="0" w:space="0" w:color="auto"/>
      </w:divBdr>
    </w:div>
    <w:div w:id="1803768252">
      <w:bodyDiv w:val="1"/>
      <w:marLeft w:val="0"/>
      <w:marRight w:val="0"/>
      <w:marTop w:val="0"/>
      <w:marBottom w:val="0"/>
      <w:divBdr>
        <w:top w:val="none" w:sz="0" w:space="0" w:color="auto"/>
        <w:left w:val="none" w:sz="0" w:space="0" w:color="auto"/>
        <w:bottom w:val="none" w:sz="0" w:space="0" w:color="auto"/>
        <w:right w:val="none" w:sz="0" w:space="0" w:color="auto"/>
      </w:divBdr>
    </w:div>
    <w:div w:id="1804303516">
      <w:bodyDiv w:val="1"/>
      <w:marLeft w:val="0"/>
      <w:marRight w:val="0"/>
      <w:marTop w:val="0"/>
      <w:marBottom w:val="0"/>
      <w:divBdr>
        <w:top w:val="none" w:sz="0" w:space="0" w:color="auto"/>
        <w:left w:val="none" w:sz="0" w:space="0" w:color="auto"/>
        <w:bottom w:val="none" w:sz="0" w:space="0" w:color="auto"/>
        <w:right w:val="none" w:sz="0" w:space="0" w:color="auto"/>
      </w:divBdr>
    </w:div>
    <w:div w:id="1804738438">
      <w:bodyDiv w:val="1"/>
      <w:marLeft w:val="0"/>
      <w:marRight w:val="0"/>
      <w:marTop w:val="0"/>
      <w:marBottom w:val="0"/>
      <w:divBdr>
        <w:top w:val="none" w:sz="0" w:space="0" w:color="auto"/>
        <w:left w:val="none" w:sz="0" w:space="0" w:color="auto"/>
        <w:bottom w:val="none" w:sz="0" w:space="0" w:color="auto"/>
        <w:right w:val="none" w:sz="0" w:space="0" w:color="auto"/>
      </w:divBdr>
    </w:div>
    <w:div w:id="1806200070">
      <w:bodyDiv w:val="1"/>
      <w:marLeft w:val="0"/>
      <w:marRight w:val="0"/>
      <w:marTop w:val="0"/>
      <w:marBottom w:val="0"/>
      <w:divBdr>
        <w:top w:val="none" w:sz="0" w:space="0" w:color="auto"/>
        <w:left w:val="none" w:sz="0" w:space="0" w:color="auto"/>
        <w:bottom w:val="none" w:sz="0" w:space="0" w:color="auto"/>
        <w:right w:val="none" w:sz="0" w:space="0" w:color="auto"/>
      </w:divBdr>
    </w:div>
    <w:div w:id="1806434860">
      <w:bodyDiv w:val="1"/>
      <w:marLeft w:val="0"/>
      <w:marRight w:val="0"/>
      <w:marTop w:val="0"/>
      <w:marBottom w:val="0"/>
      <w:divBdr>
        <w:top w:val="none" w:sz="0" w:space="0" w:color="auto"/>
        <w:left w:val="none" w:sz="0" w:space="0" w:color="auto"/>
        <w:bottom w:val="none" w:sz="0" w:space="0" w:color="auto"/>
        <w:right w:val="none" w:sz="0" w:space="0" w:color="auto"/>
      </w:divBdr>
    </w:div>
    <w:div w:id="1807039204">
      <w:bodyDiv w:val="1"/>
      <w:marLeft w:val="0"/>
      <w:marRight w:val="0"/>
      <w:marTop w:val="0"/>
      <w:marBottom w:val="0"/>
      <w:divBdr>
        <w:top w:val="none" w:sz="0" w:space="0" w:color="auto"/>
        <w:left w:val="none" w:sz="0" w:space="0" w:color="auto"/>
        <w:bottom w:val="none" w:sz="0" w:space="0" w:color="auto"/>
        <w:right w:val="none" w:sz="0" w:space="0" w:color="auto"/>
      </w:divBdr>
    </w:div>
    <w:div w:id="1808549217">
      <w:bodyDiv w:val="1"/>
      <w:marLeft w:val="0"/>
      <w:marRight w:val="0"/>
      <w:marTop w:val="0"/>
      <w:marBottom w:val="0"/>
      <w:divBdr>
        <w:top w:val="none" w:sz="0" w:space="0" w:color="auto"/>
        <w:left w:val="none" w:sz="0" w:space="0" w:color="auto"/>
        <w:bottom w:val="none" w:sz="0" w:space="0" w:color="auto"/>
        <w:right w:val="none" w:sz="0" w:space="0" w:color="auto"/>
      </w:divBdr>
    </w:div>
    <w:div w:id="1809395151">
      <w:bodyDiv w:val="1"/>
      <w:marLeft w:val="0"/>
      <w:marRight w:val="0"/>
      <w:marTop w:val="0"/>
      <w:marBottom w:val="0"/>
      <w:divBdr>
        <w:top w:val="none" w:sz="0" w:space="0" w:color="auto"/>
        <w:left w:val="none" w:sz="0" w:space="0" w:color="auto"/>
        <w:bottom w:val="none" w:sz="0" w:space="0" w:color="auto"/>
        <w:right w:val="none" w:sz="0" w:space="0" w:color="auto"/>
      </w:divBdr>
    </w:div>
    <w:div w:id="1809399162">
      <w:bodyDiv w:val="1"/>
      <w:marLeft w:val="0"/>
      <w:marRight w:val="0"/>
      <w:marTop w:val="0"/>
      <w:marBottom w:val="0"/>
      <w:divBdr>
        <w:top w:val="none" w:sz="0" w:space="0" w:color="auto"/>
        <w:left w:val="none" w:sz="0" w:space="0" w:color="auto"/>
        <w:bottom w:val="none" w:sz="0" w:space="0" w:color="auto"/>
        <w:right w:val="none" w:sz="0" w:space="0" w:color="auto"/>
      </w:divBdr>
    </w:div>
    <w:div w:id="1815171236">
      <w:bodyDiv w:val="1"/>
      <w:marLeft w:val="0"/>
      <w:marRight w:val="0"/>
      <w:marTop w:val="0"/>
      <w:marBottom w:val="0"/>
      <w:divBdr>
        <w:top w:val="none" w:sz="0" w:space="0" w:color="auto"/>
        <w:left w:val="none" w:sz="0" w:space="0" w:color="auto"/>
        <w:bottom w:val="none" w:sz="0" w:space="0" w:color="auto"/>
        <w:right w:val="none" w:sz="0" w:space="0" w:color="auto"/>
      </w:divBdr>
    </w:div>
    <w:div w:id="1815565906">
      <w:bodyDiv w:val="1"/>
      <w:marLeft w:val="0"/>
      <w:marRight w:val="0"/>
      <w:marTop w:val="0"/>
      <w:marBottom w:val="0"/>
      <w:divBdr>
        <w:top w:val="none" w:sz="0" w:space="0" w:color="auto"/>
        <w:left w:val="none" w:sz="0" w:space="0" w:color="auto"/>
        <w:bottom w:val="none" w:sz="0" w:space="0" w:color="auto"/>
        <w:right w:val="none" w:sz="0" w:space="0" w:color="auto"/>
      </w:divBdr>
    </w:div>
    <w:div w:id="1816143021">
      <w:bodyDiv w:val="1"/>
      <w:marLeft w:val="0"/>
      <w:marRight w:val="0"/>
      <w:marTop w:val="0"/>
      <w:marBottom w:val="0"/>
      <w:divBdr>
        <w:top w:val="none" w:sz="0" w:space="0" w:color="auto"/>
        <w:left w:val="none" w:sz="0" w:space="0" w:color="auto"/>
        <w:bottom w:val="none" w:sz="0" w:space="0" w:color="auto"/>
        <w:right w:val="none" w:sz="0" w:space="0" w:color="auto"/>
      </w:divBdr>
    </w:div>
    <w:div w:id="1817642946">
      <w:bodyDiv w:val="1"/>
      <w:marLeft w:val="0"/>
      <w:marRight w:val="0"/>
      <w:marTop w:val="0"/>
      <w:marBottom w:val="0"/>
      <w:divBdr>
        <w:top w:val="none" w:sz="0" w:space="0" w:color="auto"/>
        <w:left w:val="none" w:sz="0" w:space="0" w:color="auto"/>
        <w:bottom w:val="none" w:sz="0" w:space="0" w:color="auto"/>
        <w:right w:val="none" w:sz="0" w:space="0" w:color="auto"/>
      </w:divBdr>
    </w:div>
    <w:div w:id="1818840529">
      <w:bodyDiv w:val="1"/>
      <w:marLeft w:val="0"/>
      <w:marRight w:val="0"/>
      <w:marTop w:val="0"/>
      <w:marBottom w:val="0"/>
      <w:divBdr>
        <w:top w:val="none" w:sz="0" w:space="0" w:color="auto"/>
        <w:left w:val="none" w:sz="0" w:space="0" w:color="auto"/>
        <w:bottom w:val="none" w:sz="0" w:space="0" w:color="auto"/>
        <w:right w:val="none" w:sz="0" w:space="0" w:color="auto"/>
      </w:divBdr>
    </w:div>
    <w:div w:id="1819766723">
      <w:bodyDiv w:val="1"/>
      <w:marLeft w:val="0"/>
      <w:marRight w:val="0"/>
      <w:marTop w:val="0"/>
      <w:marBottom w:val="0"/>
      <w:divBdr>
        <w:top w:val="none" w:sz="0" w:space="0" w:color="auto"/>
        <w:left w:val="none" w:sz="0" w:space="0" w:color="auto"/>
        <w:bottom w:val="none" w:sz="0" w:space="0" w:color="auto"/>
        <w:right w:val="none" w:sz="0" w:space="0" w:color="auto"/>
      </w:divBdr>
    </w:div>
    <w:div w:id="1821724796">
      <w:bodyDiv w:val="1"/>
      <w:marLeft w:val="0"/>
      <w:marRight w:val="0"/>
      <w:marTop w:val="0"/>
      <w:marBottom w:val="0"/>
      <w:divBdr>
        <w:top w:val="none" w:sz="0" w:space="0" w:color="auto"/>
        <w:left w:val="none" w:sz="0" w:space="0" w:color="auto"/>
        <w:bottom w:val="none" w:sz="0" w:space="0" w:color="auto"/>
        <w:right w:val="none" w:sz="0" w:space="0" w:color="auto"/>
      </w:divBdr>
    </w:div>
    <w:div w:id="1822383334">
      <w:bodyDiv w:val="1"/>
      <w:marLeft w:val="0"/>
      <w:marRight w:val="0"/>
      <w:marTop w:val="0"/>
      <w:marBottom w:val="0"/>
      <w:divBdr>
        <w:top w:val="none" w:sz="0" w:space="0" w:color="auto"/>
        <w:left w:val="none" w:sz="0" w:space="0" w:color="auto"/>
        <w:bottom w:val="none" w:sz="0" w:space="0" w:color="auto"/>
        <w:right w:val="none" w:sz="0" w:space="0" w:color="auto"/>
      </w:divBdr>
    </w:div>
    <w:div w:id="1822694584">
      <w:bodyDiv w:val="1"/>
      <w:marLeft w:val="0"/>
      <w:marRight w:val="0"/>
      <w:marTop w:val="0"/>
      <w:marBottom w:val="0"/>
      <w:divBdr>
        <w:top w:val="none" w:sz="0" w:space="0" w:color="auto"/>
        <w:left w:val="none" w:sz="0" w:space="0" w:color="auto"/>
        <w:bottom w:val="none" w:sz="0" w:space="0" w:color="auto"/>
        <w:right w:val="none" w:sz="0" w:space="0" w:color="auto"/>
      </w:divBdr>
    </w:div>
    <w:div w:id="1823305414">
      <w:bodyDiv w:val="1"/>
      <w:marLeft w:val="0"/>
      <w:marRight w:val="0"/>
      <w:marTop w:val="0"/>
      <w:marBottom w:val="0"/>
      <w:divBdr>
        <w:top w:val="none" w:sz="0" w:space="0" w:color="auto"/>
        <w:left w:val="none" w:sz="0" w:space="0" w:color="auto"/>
        <w:bottom w:val="none" w:sz="0" w:space="0" w:color="auto"/>
        <w:right w:val="none" w:sz="0" w:space="0" w:color="auto"/>
      </w:divBdr>
    </w:div>
    <w:div w:id="1824200444">
      <w:bodyDiv w:val="1"/>
      <w:marLeft w:val="0"/>
      <w:marRight w:val="0"/>
      <w:marTop w:val="0"/>
      <w:marBottom w:val="0"/>
      <w:divBdr>
        <w:top w:val="none" w:sz="0" w:space="0" w:color="auto"/>
        <w:left w:val="none" w:sz="0" w:space="0" w:color="auto"/>
        <w:bottom w:val="none" w:sz="0" w:space="0" w:color="auto"/>
        <w:right w:val="none" w:sz="0" w:space="0" w:color="auto"/>
      </w:divBdr>
    </w:div>
    <w:div w:id="1825854329">
      <w:bodyDiv w:val="1"/>
      <w:marLeft w:val="0"/>
      <w:marRight w:val="0"/>
      <w:marTop w:val="0"/>
      <w:marBottom w:val="0"/>
      <w:divBdr>
        <w:top w:val="none" w:sz="0" w:space="0" w:color="auto"/>
        <w:left w:val="none" w:sz="0" w:space="0" w:color="auto"/>
        <w:bottom w:val="none" w:sz="0" w:space="0" w:color="auto"/>
        <w:right w:val="none" w:sz="0" w:space="0" w:color="auto"/>
      </w:divBdr>
    </w:div>
    <w:div w:id="1826236688">
      <w:bodyDiv w:val="1"/>
      <w:marLeft w:val="0"/>
      <w:marRight w:val="0"/>
      <w:marTop w:val="0"/>
      <w:marBottom w:val="0"/>
      <w:divBdr>
        <w:top w:val="none" w:sz="0" w:space="0" w:color="auto"/>
        <w:left w:val="none" w:sz="0" w:space="0" w:color="auto"/>
        <w:bottom w:val="none" w:sz="0" w:space="0" w:color="auto"/>
        <w:right w:val="none" w:sz="0" w:space="0" w:color="auto"/>
      </w:divBdr>
    </w:div>
    <w:div w:id="1827091195">
      <w:bodyDiv w:val="1"/>
      <w:marLeft w:val="0"/>
      <w:marRight w:val="0"/>
      <w:marTop w:val="0"/>
      <w:marBottom w:val="0"/>
      <w:divBdr>
        <w:top w:val="none" w:sz="0" w:space="0" w:color="auto"/>
        <w:left w:val="none" w:sz="0" w:space="0" w:color="auto"/>
        <w:bottom w:val="none" w:sz="0" w:space="0" w:color="auto"/>
        <w:right w:val="none" w:sz="0" w:space="0" w:color="auto"/>
      </w:divBdr>
    </w:div>
    <w:div w:id="1829201928">
      <w:bodyDiv w:val="1"/>
      <w:marLeft w:val="0"/>
      <w:marRight w:val="0"/>
      <w:marTop w:val="0"/>
      <w:marBottom w:val="0"/>
      <w:divBdr>
        <w:top w:val="none" w:sz="0" w:space="0" w:color="auto"/>
        <w:left w:val="none" w:sz="0" w:space="0" w:color="auto"/>
        <w:bottom w:val="none" w:sz="0" w:space="0" w:color="auto"/>
        <w:right w:val="none" w:sz="0" w:space="0" w:color="auto"/>
      </w:divBdr>
    </w:div>
    <w:div w:id="1830124353">
      <w:bodyDiv w:val="1"/>
      <w:marLeft w:val="0"/>
      <w:marRight w:val="0"/>
      <w:marTop w:val="0"/>
      <w:marBottom w:val="0"/>
      <w:divBdr>
        <w:top w:val="none" w:sz="0" w:space="0" w:color="auto"/>
        <w:left w:val="none" w:sz="0" w:space="0" w:color="auto"/>
        <w:bottom w:val="none" w:sz="0" w:space="0" w:color="auto"/>
        <w:right w:val="none" w:sz="0" w:space="0" w:color="auto"/>
      </w:divBdr>
    </w:div>
    <w:div w:id="1830705991">
      <w:bodyDiv w:val="1"/>
      <w:marLeft w:val="0"/>
      <w:marRight w:val="0"/>
      <w:marTop w:val="0"/>
      <w:marBottom w:val="0"/>
      <w:divBdr>
        <w:top w:val="none" w:sz="0" w:space="0" w:color="auto"/>
        <w:left w:val="none" w:sz="0" w:space="0" w:color="auto"/>
        <w:bottom w:val="none" w:sz="0" w:space="0" w:color="auto"/>
        <w:right w:val="none" w:sz="0" w:space="0" w:color="auto"/>
      </w:divBdr>
    </w:div>
    <w:div w:id="1831940591">
      <w:bodyDiv w:val="1"/>
      <w:marLeft w:val="0"/>
      <w:marRight w:val="0"/>
      <w:marTop w:val="0"/>
      <w:marBottom w:val="0"/>
      <w:divBdr>
        <w:top w:val="none" w:sz="0" w:space="0" w:color="auto"/>
        <w:left w:val="none" w:sz="0" w:space="0" w:color="auto"/>
        <w:bottom w:val="none" w:sz="0" w:space="0" w:color="auto"/>
        <w:right w:val="none" w:sz="0" w:space="0" w:color="auto"/>
      </w:divBdr>
    </w:div>
    <w:div w:id="1837845721">
      <w:bodyDiv w:val="1"/>
      <w:marLeft w:val="0"/>
      <w:marRight w:val="0"/>
      <w:marTop w:val="0"/>
      <w:marBottom w:val="0"/>
      <w:divBdr>
        <w:top w:val="none" w:sz="0" w:space="0" w:color="auto"/>
        <w:left w:val="none" w:sz="0" w:space="0" w:color="auto"/>
        <w:bottom w:val="none" w:sz="0" w:space="0" w:color="auto"/>
        <w:right w:val="none" w:sz="0" w:space="0" w:color="auto"/>
      </w:divBdr>
    </w:div>
    <w:div w:id="1839076744">
      <w:bodyDiv w:val="1"/>
      <w:marLeft w:val="0"/>
      <w:marRight w:val="0"/>
      <w:marTop w:val="0"/>
      <w:marBottom w:val="0"/>
      <w:divBdr>
        <w:top w:val="none" w:sz="0" w:space="0" w:color="auto"/>
        <w:left w:val="none" w:sz="0" w:space="0" w:color="auto"/>
        <w:bottom w:val="none" w:sz="0" w:space="0" w:color="auto"/>
        <w:right w:val="none" w:sz="0" w:space="0" w:color="auto"/>
      </w:divBdr>
    </w:div>
    <w:div w:id="1843935455">
      <w:bodyDiv w:val="1"/>
      <w:marLeft w:val="0"/>
      <w:marRight w:val="0"/>
      <w:marTop w:val="0"/>
      <w:marBottom w:val="0"/>
      <w:divBdr>
        <w:top w:val="none" w:sz="0" w:space="0" w:color="auto"/>
        <w:left w:val="none" w:sz="0" w:space="0" w:color="auto"/>
        <w:bottom w:val="none" w:sz="0" w:space="0" w:color="auto"/>
        <w:right w:val="none" w:sz="0" w:space="0" w:color="auto"/>
      </w:divBdr>
    </w:div>
    <w:div w:id="1848708610">
      <w:bodyDiv w:val="1"/>
      <w:marLeft w:val="0"/>
      <w:marRight w:val="0"/>
      <w:marTop w:val="0"/>
      <w:marBottom w:val="0"/>
      <w:divBdr>
        <w:top w:val="none" w:sz="0" w:space="0" w:color="auto"/>
        <w:left w:val="none" w:sz="0" w:space="0" w:color="auto"/>
        <w:bottom w:val="none" w:sz="0" w:space="0" w:color="auto"/>
        <w:right w:val="none" w:sz="0" w:space="0" w:color="auto"/>
      </w:divBdr>
    </w:div>
    <w:div w:id="1849559384">
      <w:bodyDiv w:val="1"/>
      <w:marLeft w:val="0"/>
      <w:marRight w:val="0"/>
      <w:marTop w:val="0"/>
      <w:marBottom w:val="0"/>
      <w:divBdr>
        <w:top w:val="none" w:sz="0" w:space="0" w:color="auto"/>
        <w:left w:val="none" w:sz="0" w:space="0" w:color="auto"/>
        <w:bottom w:val="none" w:sz="0" w:space="0" w:color="auto"/>
        <w:right w:val="none" w:sz="0" w:space="0" w:color="auto"/>
      </w:divBdr>
    </w:div>
    <w:div w:id="1853453049">
      <w:bodyDiv w:val="1"/>
      <w:marLeft w:val="0"/>
      <w:marRight w:val="0"/>
      <w:marTop w:val="0"/>
      <w:marBottom w:val="0"/>
      <w:divBdr>
        <w:top w:val="none" w:sz="0" w:space="0" w:color="auto"/>
        <w:left w:val="none" w:sz="0" w:space="0" w:color="auto"/>
        <w:bottom w:val="none" w:sz="0" w:space="0" w:color="auto"/>
        <w:right w:val="none" w:sz="0" w:space="0" w:color="auto"/>
      </w:divBdr>
    </w:div>
    <w:div w:id="1854107761">
      <w:bodyDiv w:val="1"/>
      <w:marLeft w:val="0"/>
      <w:marRight w:val="0"/>
      <w:marTop w:val="0"/>
      <w:marBottom w:val="0"/>
      <w:divBdr>
        <w:top w:val="none" w:sz="0" w:space="0" w:color="auto"/>
        <w:left w:val="none" w:sz="0" w:space="0" w:color="auto"/>
        <w:bottom w:val="none" w:sz="0" w:space="0" w:color="auto"/>
        <w:right w:val="none" w:sz="0" w:space="0" w:color="auto"/>
      </w:divBdr>
    </w:div>
    <w:div w:id="1854108280">
      <w:bodyDiv w:val="1"/>
      <w:marLeft w:val="0"/>
      <w:marRight w:val="0"/>
      <w:marTop w:val="0"/>
      <w:marBottom w:val="0"/>
      <w:divBdr>
        <w:top w:val="none" w:sz="0" w:space="0" w:color="auto"/>
        <w:left w:val="none" w:sz="0" w:space="0" w:color="auto"/>
        <w:bottom w:val="none" w:sz="0" w:space="0" w:color="auto"/>
        <w:right w:val="none" w:sz="0" w:space="0" w:color="auto"/>
      </w:divBdr>
    </w:div>
    <w:div w:id="1859077031">
      <w:bodyDiv w:val="1"/>
      <w:marLeft w:val="0"/>
      <w:marRight w:val="0"/>
      <w:marTop w:val="0"/>
      <w:marBottom w:val="0"/>
      <w:divBdr>
        <w:top w:val="none" w:sz="0" w:space="0" w:color="auto"/>
        <w:left w:val="none" w:sz="0" w:space="0" w:color="auto"/>
        <w:bottom w:val="none" w:sz="0" w:space="0" w:color="auto"/>
        <w:right w:val="none" w:sz="0" w:space="0" w:color="auto"/>
      </w:divBdr>
    </w:div>
    <w:div w:id="1860117456">
      <w:bodyDiv w:val="1"/>
      <w:marLeft w:val="0"/>
      <w:marRight w:val="0"/>
      <w:marTop w:val="0"/>
      <w:marBottom w:val="0"/>
      <w:divBdr>
        <w:top w:val="none" w:sz="0" w:space="0" w:color="auto"/>
        <w:left w:val="none" w:sz="0" w:space="0" w:color="auto"/>
        <w:bottom w:val="none" w:sz="0" w:space="0" w:color="auto"/>
        <w:right w:val="none" w:sz="0" w:space="0" w:color="auto"/>
      </w:divBdr>
    </w:div>
    <w:div w:id="1860778280">
      <w:bodyDiv w:val="1"/>
      <w:marLeft w:val="0"/>
      <w:marRight w:val="0"/>
      <w:marTop w:val="0"/>
      <w:marBottom w:val="0"/>
      <w:divBdr>
        <w:top w:val="none" w:sz="0" w:space="0" w:color="auto"/>
        <w:left w:val="none" w:sz="0" w:space="0" w:color="auto"/>
        <w:bottom w:val="none" w:sz="0" w:space="0" w:color="auto"/>
        <w:right w:val="none" w:sz="0" w:space="0" w:color="auto"/>
      </w:divBdr>
    </w:div>
    <w:div w:id="1860853201">
      <w:bodyDiv w:val="1"/>
      <w:marLeft w:val="0"/>
      <w:marRight w:val="0"/>
      <w:marTop w:val="0"/>
      <w:marBottom w:val="0"/>
      <w:divBdr>
        <w:top w:val="none" w:sz="0" w:space="0" w:color="auto"/>
        <w:left w:val="none" w:sz="0" w:space="0" w:color="auto"/>
        <w:bottom w:val="none" w:sz="0" w:space="0" w:color="auto"/>
        <w:right w:val="none" w:sz="0" w:space="0" w:color="auto"/>
      </w:divBdr>
    </w:div>
    <w:div w:id="1860897013">
      <w:bodyDiv w:val="1"/>
      <w:marLeft w:val="0"/>
      <w:marRight w:val="0"/>
      <w:marTop w:val="0"/>
      <w:marBottom w:val="0"/>
      <w:divBdr>
        <w:top w:val="none" w:sz="0" w:space="0" w:color="auto"/>
        <w:left w:val="none" w:sz="0" w:space="0" w:color="auto"/>
        <w:bottom w:val="none" w:sz="0" w:space="0" w:color="auto"/>
        <w:right w:val="none" w:sz="0" w:space="0" w:color="auto"/>
      </w:divBdr>
    </w:div>
    <w:div w:id="1862161527">
      <w:bodyDiv w:val="1"/>
      <w:marLeft w:val="0"/>
      <w:marRight w:val="0"/>
      <w:marTop w:val="0"/>
      <w:marBottom w:val="0"/>
      <w:divBdr>
        <w:top w:val="none" w:sz="0" w:space="0" w:color="auto"/>
        <w:left w:val="none" w:sz="0" w:space="0" w:color="auto"/>
        <w:bottom w:val="none" w:sz="0" w:space="0" w:color="auto"/>
        <w:right w:val="none" w:sz="0" w:space="0" w:color="auto"/>
      </w:divBdr>
    </w:div>
    <w:div w:id="1862275405">
      <w:bodyDiv w:val="1"/>
      <w:marLeft w:val="0"/>
      <w:marRight w:val="0"/>
      <w:marTop w:val="0"/>
      <w:marBottom w:val="0"/>
      <w:divBdr>
        <w:top w:val="none" w:sz="0" w:space="0" w:color="auto"/>
        <w:left w:val="none" w:sz="0" w:space="0" w:color="auto"/>
        <w:bottom w:val="none" w:sz="0" w:space="0" w:color="auto"/>
        <w:right w:val="none" w:sz="0" w:space="0" w:color="auto"/>
      </w:divBdr>
    </w:div>
    <w:div w:id="1863740575">
      <w:bodyDiv w:val="1"/>
      <w:marLeft w:val="0"/>
      <w:marRight w:val="0"/>
      <w:marTop w:val="0"/>
      <w:marBottom w:val="0"/>
      <w:divBdr>
        <w:top w:val="none" w:sz="0" w:space="0" w:color="auto"/>
        <w:left w:val="none" w:sz="0" w:space="0" w:color="auto"/>
        <w:bottom w:val="none" w:sz="0" w:space="0" w:color="auto"/>
        <w:right w:val="none" w:sz="0" w:space="0" w:color="auto"/>
      </w:divBdr>
    </w:div>
    <w:div w:id="1867254551">
      <w:bodyDiv w:val="1"/>
      <w:marLeft w:val="0"/>
      <w:marRight w:val="0"/>
      <w:marTop w:val="0"/>
      <w:marBottom w:val="0"/>
      <w:divBdr>
        <w:top w:val="none" w:sz="0" w:space="0" w:color="auto"/>
        <w:left w:val="none" w:sz="0" w:space="0" w:color="auto"/>
        <w:bottom w:val="none" w:sz="0" w:space="0" w:color="auto"/>
        <w:right w:val="none" w:sz="0" w:space="0" w:color="auto"/>
      </w:divBdr>
    </w:div>
    <w:div w:id="1867870300">
      <w:bodyDiv w:val="1"/>
      <w:marLeft w:val="0"/>
      <w:marRight w:val="0"/>
      <w:marTop w:val="0"/>
      <w:marBottom w:val="0"/>
      <w:divBdr>
        <w:top w:val="none" w:sz="0" w:space="0" w:color="auto"/>
        <w:left w:val="none" w:sz="0" w:space="0" w:color="auto"/>
        <w:bottom w:val="none" w:sz="0" w:space="0" w:color="auto"/>
        <w:right w:val="none" w:sz="0" w:space="0" w:color="auto"/>
      </w:divBdr>
    </w:div>
    <w:div w:id="1872256946">
      <w:bodyDiv w:val="1"/>
      <w:marLeft w:val="0"/>
      <w:marRight w:val="0"/>
      <w:marTop w:val="0"/>
      <w:marBottom w:val="0"/>
      <w:divBdr>
        <w:top w:val="none" w:sz="0" w:space="0" w:color="auto"/>
        <w:left w:val="none" w:sz="0" w:space="0" w:color="auto"/>
        <w:bottom w:val="none" w:sz="0" w:space="0" w:color="auto"/>
        <w:right w:val="none" w:sz="0" w:space="0" w:color="auto"/>
      </w:divBdr>
    </w:div>
    <w:div w:id="1873112415">
      <w:bodyDiv w:val="1"/>
      <w:marLeft w:val="0"/>
      <w:marRight w:val="0"/>
      <w:marTop w:val="0"/>
      <w:marBottom w:val="0"/>
      <w:divBdr>
        <w:top w:val="none" w:sz="0" w:space="0" w:color="auto"/>
        <w:left w:val="none" w:sz="0" w:space="0" w:color="auto"/>
        <w:bottom w:val="none" w:sz="0" w:space="0" w:color="auto"/>
        <w:right w:val="none" w:sz="0" w:space="0" w:color="auto"/>
      </w:divBdr>
    </w:div>
    <w:div w:id="1873685222">
      <w:bodyDiv w:val="1"/>
      <w:marLeft w:val="0"/>
      <w:marRight w:val="0"/>
      <w:marTop w:val="0"/>
      <w:marBottom w:val="0"/>
      <w:divBdr>
        <w:top w:val="none" w:sz="0" w:space="0" w:color="auto"/>
        <w:left w:val="none" w:sz="0" w:space="0" w:color="auto"/>
        <w:bottom w:val="none" w:sz="0" w:space="0" w:color="auto"/>
        <w:right w:val="none" w:sz="0" w:space="0" w:color="auto"/>
      </w:divBdr>
    </w:div>
    <w:div w:id="1875266758">
      <w:bodyDiv w:val="1"/>
      <w:marLeft w:val="0"/>
      <w:marRight w:val="0"/>
      <w:marTop w:val="0"/>
      <w:marBottom w:val="0"/>
      <w:divBdr>
        <w:top w:val="none" w:sz="0" w:space="0" w:color="auto"/>
        <w:left w:val="none" w:sz="0" w:space="0" w:color="auto"/>
        <w:bottom w:val="none" w:sz="0" w:space="0" w:color="auto"/>
        <w:right w:val="none" w:sz="0" w:space="0" w:color="auto"/>
      </w:divBdr>
    </w:div>
    <w:div w:id="1876189210">
      <w:bodyDiv w:val="1"/>
      <w:marLeft w:val="0"/>
      <w:marRight w:val="0"/>
      <w:marTop w:val="0"/>
      <w:marBottom w:val="0"/>
      <w:divBdr>
        <w:top w:val="none" w:sz="0" w:space="0" w:color="auto"/>
        <w:left w:val="none" w:sz="0" w:space="0" w:color="auto"/>
        <w:bottom w:val="none" w:sz="0" w:space="0" w:color="auto"/>
        <w:right w:val="none" w:sz="0" w:space="0" w:color="auto"/>
      </w:divBdr>
    </w:div>
    <w:div w:id="1877964901">
      <w:bodyDiv w:val="1"/>
      <w:marLeft w:val="0"/>
      <w:marRight w:val="0"/>
      <w:marTop w:val="0"/>
      <w:marBottom w:val="0"/>
      <w:divBdr>
        <w:top w:val="none" w:sz="0" w:space="0" w:color="auto"/>
        <w:left w:val="none" w:sz="0" w:space="0" w:color="auto"/>
        <w:bottom w:val="none" w:sz="0" w:space="0" w:color="auto"/>
        <w:right w:val="none" w:sz="0" w:space="0" w:color="auto"/>
      </w:divBdr>
    </w:div>
    <w:div w:id="1878202197">
      <w:bodyDiv w:val="1"/>
      <w:marLeft w:val="0"/>
      <w:marRight w:val="0"/>
      <w:marTop w:val="0"/>
      <w:marBottom w:val="0"/>
      <w:divBdr>
        <w:top w:val="none" w:sz="0" w:space="0" w:color="auto"/>
        <w:left w:val="none" w:sz="0" w:space="0" w:color="auto"/>
        <w:bottom w:val="none" w:sz="0" w:space="0" w:color="auto"/>
        <w:right w:val="none" w:sz="0" w:space="0" w:color="auto"/>
      </w:divBdr>
    </w:div>
    <w:div w:id="1878468094">
      <w:bodyDiv w:val="1"/>
      <w:marLeft w:val="0"/>
      <w:marRight w:val="0"/>
      <w:marTop w:val="0"/>
      <w:marBottom w:val="0"/>
      <w:divBdr>
        <w:top w:val="none" w:sz="0" w:space="0" w:color="auto"/>
        <w:left w:val="none" w:sz="0" w:space="0" w:color="auto"/>
        <w:bottom w:val="none" w:sz="0" w:space="0" w:color="auto"/>
        <w:right w:val="none" w:sz="0" w:space="0" w:color="auto"/>
      </w:divBdr>
    </w:div>
    <w:div w:id="1879463061">
      <w:bodyDiv w:val="1"/>
      <w:marLeft w:val="0"/>
      <w:marRight w:val="0"/>
      <w:marTop w:val="0"/>
      <w:marBottom w:val="0"/>
      <w:divBdr>
        <w:top w:val="none" w:sz="0" w:space="0" w:color="auto"/>
        <w:left w:val="none" w:sz="0" w:space="0" w:color="auto"/>
        <w:bottom w:val="none" w:sz="0" w:space="0" w:color="auto"/>
        <w:right w:val="none" w:sz="0" w:space="0" w:color="auto"/>
      </w:divBdr>
    </w:div>
    <w:div w:id="1880245062">
      <w:bodyDiv w:val="1"/>
      <w:marLeft w:val="0"/>
      <w:marRight w:val="0"/>
      <w:marTop w:val="0"/>
      <w:marBottom w:val="0"/>
      <w:divBdr>
        <w:top w:val="none" w:sz="0" w:space="0" w:color="auto"/>
        <w:left w:val="none" w:sz="0" w:space="0" w:color="auto"/>
        <w:bottom w:val="none" w:sz="0" w:space="0" w:color="auto"/>
        <w:right w:val="none" w:sz="0" w:space="0" w:color="auto"/>
      </w:divBdr>
    </w:div>
    <w:div w:id="1880702381">
      <w:bodyDiv w:val="1"/>
      <w:marLeft w:val="0"/>
      <w:marRight w:val="0"/>
      <w:marTop w:val="0"/>
      <w:marBottom w:val="0"/>
      <w:divBdr>
        <w:top w:val="none" w:sz="0" w:space="0" w:color="auto"/>
        <w:left w:val="none" w:sz="0" w:space="0" w:color="auto"/>
        <w:bottom w:val="none" w:sz="0" w:space="0" w:color="auto"/>
        <w:right w:val="none" w:sz="0" w:space="0" w:color="auto"/>
      </w:divBdr>
    </w:div>
    <w:div w:id="1881892567">
      <w:bodyDiv w:val="1"/>
      <w:marLeft w:val="0"/>
      <w:marRight w:val="0"/>
      <w:marTop w:val="0"/>
      <w:marBottom w:val="0"/>
      <w:divBdr>
        <w:top w:val="none" w:sz="0" w:space="0" w:color="auto"/>
        <w:left w:val="none" w:sz="0" w:space="0" w:color="auto"/>
        <w:bottom w:val="none" w:sz="0" w:space="0" w:color="auto"/>
        <w:right w:val="none" w:sz="0" w:space="0" w:color="auto"/>
      </w:divBdr>
    </w:div>
    <w:div w:id="1882355480">
      <w:bodyDiv w:val="1"/>
      <w:marLeft w:val="0"/>
      <w:marRight w:val="0"/>
      <w:marTop w:val="0"/>
      <w:marBottom w:val="0"/>
      <w:divBdr>
        <w:top w:val="none" w:sz="0" w:space="0" w:color="auto"/>
        <w:left w:val="none" w:sz="0" w:space="0" w:color="auto"/>
        <w:bottom w:val="none" w:sz="0" w:space="0" w:color="auto"/>
        <w:right w:val="none" w:sz="0" w:space="0" w:color="auto"/>
      </w:divBdr>
    </w:div>
    <w:div w:id="1883440644">
      <w:bodyDiv w:val="1"/>
      <w:marLeft w:val="0"/>
      <w:marRight w:val="0"/>
      <w:marTop w:val="0"/>
      <w:marBottom w:val="0"/>
      <w:divBdr>
        <w:top w:val="none" w:sz="0" w:space="0" w:color="auto"/>
        <w:left w:val="none" w:sz="0" w:space="0" w:color="auto"/>
        <w:bottom w:val="none" w:sz="0" w:space="0" w:color="auto"/>
        <w:right w:val="none" w:sz="0" w:space="0" w:color="auto"/>
      </w:divBdr>
    </w:div>
    <w:div w:id="1883902935">
      <w:bodyDiv w:val="1"/>
      <w:marLeft w:val="0"/>
      <w:marRight w:val="0"/>
      <w:marTop w:val="0"/>
      <w:marBottom w:val="0"/>
      <w:divBdr>
        <w:top w:val="none" w:sz="0" w:space="0" w:color="auto"/>
        <w:left w:val="none" w:sz="0" w:space="0" w:color="auto"/>
        <w:bottom w:val="none" w:sz="0" w:space="0" w:color="auto"/>
        <w:right w:val="none" w:sz="0" w:space="0" w:color="auto"/>
      </w:divBdr>
    </w:div>
    <w:div w:id="1884713950">
      <w:bodyDiv w:val="1"/>
      <w:marLeft w:val="0"/>
      <w:marRight w:val="0"/>
      <w:marTop w:val="0"/>
      <w:marBottom w:val="0"/>
      <w:divBdr>
        <w:top w:val="none" w:sz="0" w:space="0" w:color="auto"/>
        <w:left w:val="none" w:sz="0" w:space="0" w:color="auto"/>
        <w:bottom w:val="none" w:sz="0" w:space="0" w:color="auto"/>
        <w:right w:val="none" w:sz="0" w:space="0" w:color="auto"/>
      </w:divBdr>
    </w:div>
    <w:div w:id="1885022120">
      <w:bodyDiv w:val="1"/>
      <w:marLeft w:val="0"/>
      <w:marRight w:val="0"/>
      <w:marTop w:val="0"/>
      <w:marBottom w:val="0"/>
      <w:divBdr>
        <w:top w:val="none" w:sz="0" w:space="0" w:color="auto"/>
        <w:left w:val="none" w:sz="0" w:space="0" w:color="auto"/>
        <w:bottom w:val="none" w:sz="0" w:space="0" w:color="auto"/>
        <w:right w:val="none" w:sz="0" w:space="0" w:color="auto"/>
      </w:divBdr>
    </w:div>
    <w:div w:id="1886410167">
      <w:bodyDiv w:val="1"/>
      <w:marLeft w:val="0"/>
      <w:marRight w:val="0"/>
      <w:marTop w:val="0"/>
      <w:marBottom w:val="0"/>
      <w:divBdr>
        <w:top w:val="none" w:sz="0" w:space="0" w:color="auto"/>
        <w:left w:val="none" w:sz="0" w:space="0" w:color="auto"/>
        <w:bottom w:val="none" w:sz="0" w:space="0" w:color="auto"/>
        <w:right w:val="none" w:sz="0" w:space="0" w:color="auto"/>
      </w:divBdr>
    </w:div>
    <w:div w:id="1887251416">
      <w:bodyDiv w:val="1"/>
      <w:marLeft w:val="0"/>
      <w:marRight w:val="0"/>
      <w:marTop w:val="0"/>
      <w:marBottom w:val="0"/>
      <w:divBdr>
        <w:top w:val="none" w:sz="0" w:space="0" w:color="auto"/>
        <w:left w:val="none" w:sz="0" w:space="0" w:color="auto"/>
        <w:bottom w:val="none" w:sz="0" w:space="0" w:color="auto"/>
        <w:right w:val="none" w:sz="0" w:space="0" w:color="auto"/>
      </w:divBdr>
    </w:div>
    <w:div w:id="1887914401">
      <w:bodyDiv w:val="1"/>
      <w:marLeft w:val="0"/>
      <w:marRight w:val="0"/>
      <w:marTop w:val="0"/>
      <w:marBottom w:val="0"/>
      <w:divBdr>
        <w:top w:val="none" w:sz="0" w:space="0" w:color="auto"/>
        <w:left w:val="none" w:sz="0" w:space="0" w:color="auto"/>
        <w:bottom w:val="none" w:sz="0" w:space="0" w:color="auto"/>
        <w:right w:val="none" w:sz="0" w:space="0" w:color="auto"/>
      </w:divBdr>
    </w:div>
    <w:div w:id="1889102891">
      <w:bodyDiv w:val="1"/>
      <w:marLeft w:val="0"/>
      <w:marRight w:val="0"/>
      <w:marTop w:val="0"/>
      <w:marBottom w:val="0"/>
      <w:divBdr>
        <w:top w:val="none" w:sz="0" w:space="0" w:color="auto"/>
        <w:left w:val="none" w:sz="0" w:space="0" w:color="auto"/>
        <w:bottom w:val="none" w:sz="0" w:space="0" w:color="auto"/>
        <w:right w:val="none" w:sz="0" w:space="0" w:color="auto"/>
      </w:divBdr>
    </w:div>
    <w:div w:id="1890994225">
      <w:bodyDiv w:val="1"/>
      <w:marLeft w:val="0"/>
      <w:marRight w:val="0"/>
      <w:marTop w:val="0"/>
      <w:marBottom w:val="0"/>
      <w:divBdr>
        <w:top w:val="none" w:sz="0" w:space="0" w:color="auto"/>
        <w:left w:val="none" w:sz="0" w:space="0" w:color="auto"/>
        <w:bottom w:val="none" w:sz="0" w:space="0" w:color="auto"/>
        <w:right w:val="none" w:sz="0" w:space="0" w:color="auto"/>
      </w:divBdr>
    </w:div>
    <w:div w:id="1891532029">
      <w:bodyDiv w:val="1"/>
      <w:marLeft w:val="0"/>
      <w:marRight w:val="0"/>
      <w:marTop w:val="0"/>
      <w:marBottom w:val="0"/>
      <w:divBdr>
        <w:top w:val="none" w:sz="0" w:space="0" w:color="auto"/>
        <w:left w:val="none" w:sz="0" w:space="0" w:color="auto"/>
        <w:bottom w:val="none" w:sz="0" w:space="0" w:color="auto"/>
        <w:right w:val="none" w:sz="0" w:space="0" w:color="auto"/>
      </w:divBdr>
    </w:div>
    <w:div w:id="1891920147">
      <w:bodyDiv w:val="1"/>
      <w:marLeft w:val="0"/>
      <w:marRight w:val="0"/>
      <w:marTop w:val="0"/>
      <w:marBottom w:val="0"/>
      <w:divBdr>
        <w:top w:val="none" w:sz="0" w:space="0" w:color="auto"/>
        <w:left w:val="none" w:sz="0" w:space="0" w:color="auto"/>
        <w:bottom w:val="none" w:sz="0" w:space="0" w:color="auto"/>
        <w:right w:val="none" w:sz="0" w:space="0" w:color="auto"/>
      </w:divBdr>
    </w:div>
    <w:div w:id="1897620982">
      <w:bodyDiv w:val="1"/>
      <w:marLeft w:val="0"/>
      <w:marRight w:val="0"/>
      <w:marTop w:val="0"/>
      <w:marBottom w:val="0"/>
      <w:divBdr>
        <w:top w:val="none" w:sz="0" w:space="0" w:color="auto"/>
        <w:left w:val="none" w:sz="0" w:space="0" w:color="auto"/>
        <w:bottom w:val="none" w:sz="0" w:space="0" w:color="auto"/>
        <w:right w:val="none" w:sz="0" w:space="0" w:color="auto"/>
      </w:divBdr>
    </w:div>
    <w:div w:id="1897934646">
      <w:bodyDiv w:val="1"/>
      <w:marLeft w:val="0"/>
      <w:marRight w:val="0"/>
      <w:marTop w:val="0"/>
      <w:marBottom w:val="0"/>
      <w:divBdr>
        <w:top w:val="none" w:sz="0" w:space="0" w:color="auto"/>
        <w:left w:val="none" w:sz="0" w:space="0" w:color="auto"/>
        <w:bottom w:val="none" w:sz="0" w:space="0" w:color="auto"/>
        <w:right w:val="none" w:sz="0" w:space="0" w:color="auto"/>
      </w:divBdr>
    </w:div>
    <w:div w:id="1898543086">
      <w:bodyDiv w:val="1"/>
      <w:marLeft w:val="0"/>
      <w:marRight w:val="0"/>
      <w:marTop w:val="0"/>
      <w:marBottom w:val="0"/>
      <w:divBdr>
        <w:top w:val="none" w:sz="0" w:space="0" w:color="auto"/>
        <w:left w:val="none" w:sz="0" w:space="0" w:color="auto"/>
        <w:bottom w:val="none" w:sz="0" w:space="0" w:color="auto"/>
        <w:right w:val="none" w:sz="0" w:space="0" w:color="auto"/>
      </w:divBdr>
    </w:div>
    <w:div w:id="1900163592">
      <w:bodyDiv w:val="1"/>
      <w:marLeft w:val="0"/>
      <w:marRight w:val="0"/>
      <w:marTop w:val="0"/>
      <w:marBottom w:val="0"/>
      <w:divBdr>
        <w:top w:val="none" w:sz="0" w:space="0" w:color="auto"/>
        <w:left w:val="none" w:sz="0" w:space="0" w:color="auto"/>
        <w:bottom w:val="none" w:sz="0" w:space="0" w:color="auto"/>
        <w:right w:val="none" w:sz="0" w:space="0" w:color="auto"/>
      </w:divBdr>
    </w:div>
    <w:div w:id="1900244312">
      <w:bodyDiv w:val="1"/>
      <w:marLeft w:val="0"/>
      <w:marRight w:val="0"/>
      <w:marTop w:val="0"/>
      <w:marBottom w:val="0"/>
      <w:divBdr>
        <w:top w:val="none" w:sz="0" w:space="0" w:color="auto"/>
        <w:left w:val="none" w:sz="0" w:space="0" w:color="auto"/>
        <w:bottom w:val="none" w:sz="0" w:space="0" w:color="auto"/>
        <w:right w:val="none" w:sz="0" w:space="0" w:color="auto"/>
      </w:divBdr>
    </w:div>
    <w:div w:id="1905262780">
      <w:bodyDiv w:val="1"/>
      <w:marLeft w:val="0"/>
      <w:marRight w:val="0"/>
      <w:marTop w:val="0"/>
      <w:marBottom w:val="0"/>
      <w:divBdr>
        <w:top w:val="none" w:sz="0" w:space="0" w:color="auto"/>
        <w:left w:val="none" w:sz="0" w:space="0" w:color="auto"/>
        <w:bottom w:val="none" w:sz="0" w:space="0" w:color="auto"/>
        <w:right w:val="none" w:sz="0" w:space="0" w:color="auto"/>
      </w:divBdr>
    </w:div>
    <w:div w:id="1907108111">
      <w:bodyDiv w:val="1"/>
      <w:marLeft w:val="0"/>
      <w:marRight w:val="0"/>
      <w:marTop w:val="0"/>
      <w:marBottom w:val="0"/>
      <w:divBdr>
        <w:top w:val="none" w:sz="0" w:space="0" w:color="auto"/>
        <w:left w:val="none" w:sz="0" w:space="0" w:color="auto"/>
        <w:bottom w:val="none" w:sz="0" w:space="0" w:color="auto"/>
        <w:right w:val="none" w:sz="0" w:space="0" w:color="auto"/>
      </w:divBdr>
    </w:div>
    <w:div w:id="1908104786">
      <w:bodyDiv w:val="1"/>
      <w:marLeft w:val="0"/>
      <w:marRight w:val="0"/>
      <w:marTop w:val="0"/>
      <w:marBottom w:val="0"/>
      <w:divBdr>
        <w:top w:val="none" w:sz="0" w:space="0" w:color="auto"/>
        <w:left w:val="none" w:sz="0" w:space="0" w:color="auto"/>
        <w:bottom w:val="none" w:sz="0" w:space="0" w:color="auto"/>
        <w:right w:val="none" w:sz="0" w:space="0" w:color="auto"/>
      </w:divBdr>
    </w:div>
    <w:div w:id="1909998026">
      <w:bodyDiv w:val="1"/>
      <w:marLeft w:val="0"/>
      <w:marRight w:val="0"/>
      <w:marTop w:val="0"/>
      <w:marBottom w:val="0"/>
      <w:divBdr>
        <w:top w:val="none" w:sz="0" w:space="0" w:color="auto"/>
        <w:left w:val="none" w:sz="0" w:space="0" w:color="auto"/>
        <w:bottom w:val="none" w:sz="0" w:space="0" w:color="auto"/>
        <w:right w:val="none" w:sz="0" w:space="0" w:color="auto"/>
      </w:divBdr>
    </w:div>
    <w:div w:id="1910075565">
      <w:bodyDiv w:val="1"/>
      <w:marLeft w:val="0"/>
      <w:marRight w:val="0"/>
      <w:marTop w:val="0"/>
      <w:marBottom w:val="0"/>
      <w:divBdr>
        <w:top w:val="none" w:sz="0" w:space="0" w:color="auto"/>
        <w:left w:val="none" w:sz="0" w:space="0" w:color="auto"/>
        <w:bottom w:val="none" w:sz="0" w:space="0" w:color="auto"/>
        <w:right w:val="none" w:sz="0" w:space="0" w:color="auto"/>
      </w:divBdr>
    </w:div>
    <w:div w:id="1910115678">
      <w:bodyDiv w:val="1"/>
      <w:marLeft w:val="0"/>
      <w:marRight w:val="0"/>
      <w:marTop w:val="0"/>
      <w:marBottom w:val="0"/>
      <w:divBdr>
        <w:top w:val="none" w:sz="0" w:space="0" w:color="auto"/>
        <w:left w:val="none" w:sz="0" w:space="0" w:color="auto"/>
        <w:bottom w:val="none" w:sz="0" w:space="0" w:color="auto"/>
        <w:right w:val="none" w:sz="0" w:space="0" w:color="auto"/>
      </w:divBdr>
    </w:div>
    <w:div w:id="1912346796">
      <w:bodyDiv w:val="1"/>
      <w:marLeft w:val="0"/>
      <w:marRight w:val="0"/>
      <w:marTop w:val="0"/>
      <w:marBottom w:val="0"/>
      <w:divBdr>
        <w:top w:val="none" w:sz="0" w:space="0" w:color="auto"/>
        <w:left w:val="none" w:sz="0" w:space="0" w:color="auto"/>
        <w:bottom w:val="none" w:sz="0" w:space="0" w:color="auto"/>
        <w:right w:val="none" w:sz="0" w:space="0" w:color="auto"/>
      </w:divBdr>
    </w:div>
    <w:div w:id="1912691305">
      <w:bodyDiv w:val="1"/>
      <w:marLeft w:val="0"/>
      <w:marRight w:val="0"/>
      <w:marTop w:val="0"/>
      <w:marBottom w:val="0"/>
      <w:divBdr>
        <w:top w:val="none" w:sz="0" w:space="0" w:color="auto"/>
        <w:left w:val="none" w:sz="0" w:space="0" w:color="auto"/>
        <w:bottom w:val="none" w:sz="0" w:space="0" w:color="auto"/>
        <w:right w:val="none" w:sz="0" w:space="0" w:color="auto"/>
      </w:divBdr>
    </w:div>
    <w:div w:id="1917471010">
      <w:bodyDiv w:val="1"/>
      <w:marLeft w:val="0"/>
      <w:marRight w:val="0"/>
      <w:marTop w:val="0"/>
      <w:marBottom w:val="0"/>
      <w:divBdr>
        <w:top w:val="none" w:sz="0" w:space="0" w:color="auto"/>
        <w:left w:val="none" w:sz="0" w:space="0" w:color="auto"/>
        <w:bottom w:val="none" w:sz="0" w:space="0" w:color="auto"/>
        <w:right w:val="none" w:sz="0" w:space="0" w:color="auto"/>
      </w:divBdr>
    </w:div>
    <w:div w:id="1917593854">
      <w:bodyDiv w:val="1"/>
      <w:marLeft w:val="0"/>
      <w:marRight w:val="0"/>
      <w:marTop w:val="0"/>
      <w:marBottom w:val="0"/>
      <w:divBdr>
        <w:top w:val="none" w:sz="0" w:space="0" w:color="auto"/>
        <w:left w:val="none" w:sz="0" w:space="0" w:color="auto"/>
        <w:bottom w:val="none" w:sz="0" w:space="0" w:color="auto"/>
        <w:right w:val="none" w:sz="0" w:space="0" w:color="auto"/>
      </w:divBdr>
    </w:div>
    <w:div w:id="1918513810">
      <w:bodyDiv w:val="1"/>
      <w:marLeft w:val="0"/>
      <w:marRight w:val="0"/>
      <w:marTop w:val="0"/>
      <w:marBottom w:val="0"/>
      <w:divBdr>
        <w:top w:val="none" w:sz="0" w:space="0" w:color="auto"/>
        <w:left w:val="none" w:sz="0" w:space="0" w:color="auto"/>
        <w:bottom w:val="none" w:sz="0" w:space="0" w:color="auto"/>
        <w:right w:val="none" w:sz="0" w:space="0" w:color="auto"/>
      </w:divBdr>
    </w:div>
    <w:div w:id="1922786202">
      <w:bodyDiv w:val="1"/>
      <w:marLeft w:val="0"/>
      <w:marRight w:val="0"/>
      <w:marTop w:val="0"/>
      <w:marBottom w:val="0"/>
      <w:divBdr>
        <w:top w:val="none" w:sz="0" w:space="0" w:color="auto"/>
        <w:left w:val="none" w:sz="0" w:space="0" w:color="auto"/>
        <w:bottom w:val="none" w:sz="0" w:space="0" w:color="auto"/>
        <w:right w:val="none" w:sz="0" w:space="0" w:color="auto"/>
      </w:divBdr>
    </w:div>
    <w:div w:id="1924340938">
      <w:bodyDiv w:val="1"/>
      <w:marLeft w:val="0"/>
      <w:marRight w:val="0"/>
      <w:marTop w:val="0"/>
      <w:marBottom w:val="0"/>
      <w:divBdr>
        <w:top w:val="none" w:sz="0" w:space="0" w:color="auto"/>
        <w:left w:val="none" w:sz="0" w:space="0" w:color="auto"/>
        <w:bottom w:val="none" w:sz="0" w:space="0" w:color="auto"/>
        <w:right w:val="none" w:sz="0" w:space="0" w:color="auto"/>
      </w:divBdr>
    </w:div>
    <w:div w:id="1924486712">
      <w:bodyDiv w:val="1"/>
      <w:marLeft w:val="0"/>
      <w:marRight w:val="0"/>
      <w:marTop w:val="0"/>
      <w:marBottom w:val="0"/>
      <w:divBdr>
        <w:top w:val="none" w:sz="0" w:space="0" w:color="auto"/>
        <w:left w:val="none" w:sz="0" w:space="0" w:color="auto"/>
        <w:bottom w:val="none" w:sz="0" w:space="0" w:color="auto"/>
        <w:right w:val="none" w:sz="0" w:space="0" w:color="auto"/>
      </w:divBdr>
    </w:div>
    <w:div w:id="1926109092">
      <w:bodyDiv w:val="1"/>
      <w:marLeft w:val="0"/>
      <w:marRight w:val="0"/>
      <w:marTop w:val="0"/>
      <w:marBottom w:val="0"/>
      <w:divBdr>
        <w:top w:val="none" w:sz="0" w:space="0" w:color="auto"/>
        <w:left w:val="none" w:sz="0" w:space="0" w:color="auto"/>
        <w:bottom w:val="none" w:sz="0" w:space="0" w:color="auto"/>
        <w:right w:val="none" w:sz="0" w:space="0" w:color="auto"/>
      </w:divBdr>
    </w:div>
    <w:div w:id="1929802363">
      <w:bodyDiv w:val="1"/>
      <w:marLeft w:val="0"/>
      <w:marRight w:val="0"/>
      <w:marTop w:val="0"/>
      <w:marBottom w:val="0"/>
      <w:divBdr>
        <w:top w:val="none" w:sz="0" w:space="0" w:color="auto"/>
        <w:left w:val="none" w:sz="0" w:space="0" w:color="auto"/>
        <w:bottom w:val="none" w:sz="0" w:space="0" w:color="auto"/>
        <w:right w:val="none" w:sz="0" w:space="0" w:color="auto"/>
      </w:divBdr>
    </w:div>
    <w:div w:id="1929846569">
      <w:bodyDiv w:val="1"/>
      <w:marLeft w:val="0"/>
      <w:marRight w:val="0"/>
      <w:marTop w:val="0"/>
      <w:marBottom w:val="0"/>
      <w:divBdr>
        <w:top w:val="none" w:sz="0" w:space="0" w:color="auto"/>
        <w:left w:val="none" w:sz="0" w:space="0" w:color="auto"/>
        <w:bottom w:val="none" w:sz="0" w:space="0" w:color="auto"/>
        <w:right w:val="none" w:sz="0" w:space="0" w:color="auto"/>
      </w:divBdr>
    </w:div>
    <w:div w:id="1930850656">
      <w:bodyDiv w:val="1"/>
      <w:marLeft w:val="0"/>
      <w:marRight w:val="0"/>
      <w:marTop w:val="0"/>
      <w:marBottom w:val="0"/>
      <w:divBdr>
        <w:top w:val="none" w:sz="0" w:space="0" w:color="auto"/>
        <w:left w:val="none" w:sz="0" w:space="0" w:color="auto"/>
        <w:bottom w:val="none" w:sz="0" w:space="0" w:color="auto"/>
        <w:right w:val="none" w:sz="0" w:space="0" w:color="auto"/>
      </w:divBdr>
    </w:div>
    <w:div w:id="1931767957">
      <w:bodyDiv w:val="1"/>
      <w:marLeft w:val="0"/>
      <w:marRight w:val="0"/>
      <w:marTop w:val="0"/>
      <w:marBottom w:val="0"/>
      <w:divBdr>
        <w:top w:val="none" w:sz="0" w:space="0" w:color="auto"/>
        <w:left w:val="none" w:sz="0" w:space="0" w:color="auto"/>
        <w:bottom w:val="none" w:sz="0" w:space="0" w:color="auto"/>
        <w:right w:val="none" w:sz="0" w:space="0" w:color="auto"/>
      </w:divBdr>
    </w:div>
    <w:div w:id="1933273072">
      <w:bodyDiv w:val="1"/>
      <w:marLeft w:val="0"/>
      <w:marRight w:val="0"/>
      <w:marTop w:val="0"/>
      <w:marBottom w:val="0"/>
      <w:divBdr>
        <w:top w:val="none" w:sz="0" w:space="0" w:color="auto"/>
        <w:left w:val="none" w:sz="0" w:space="0" w:color="auto"/>
        <w:bottom w:val="none" w:sz="0" w:space="0" w:color="auto"/>
        <w:right w:val="none" w:sz="0" w:space="0" w:color="auto"/>
      </w:divBdr>
    </w:div>
    <w:div w:id="1934120521">
      <w:bodyDiv w:val="1"/>
      <w:marLeft w:val="0"/>
      <w:marRight w:val="0"/>
      <w:marTop w:val="0"/>
      <w:marBottom w:val="0"/>
      <w:divBdr>
        <w:top w:val="none" w:sz="0" w:space="0" w:color="auto"/>
        <w:left w:val="none" w:sz="0" w:space="0" w:color="auto"/>
        <w:bottom w:val="none" w:sz="0" w:space="0" w:color="auto"/>
        <w:right w:val="none" w:sz="0" w:space="0" w:color="auto"/>
      </w:divBdr>
    </w:div>
    <w:div w:id="1935363040">
      <w:bodyDiv w:val="1"/>
      <w:marLeft w:val="0"/>
      <w:marRight w:val="0"/>
      <w:marTop w:val="0"/>
      <w:marBottom w:val="0"/>
      <w:divBdr>
        <w:top w:val="none" w:sz="0" w:space="0" w:color="auto"/>
        <w:left w:val="none" w:sz="0" w:space="0" w:color="auto"/>
        <w:bottom w:val="none" w:sz="0" w:space="0" w:color="auto"/>
        <w:right w:val="none" w:sz="0" w:space="0" w:color="auto"/>
      </w:divBdr>
    </w:div>
    <w:div w:id="1936278850">
      <w:bodyDiv w:val="1"/>
      <w:marLeft w:val="0"/>
      <w:marRight w:val="0"/>
      <w:marTop w:val="0"/>
      <w:marBottom w:val="0"/>
      <w:divBdr>
        <w:top w:val="none" w:sz="0" w:space="0" w:color="auto"/>
        <w:left w:val="none" w:sz="0" w:space="0" w:color="auto"/>
        <w:bottom w:val="none" w:sz="0" w:space="0" w:color="auto"/>
        <w:right w:val="none" w:sz="0" w:space="0" w:color="auto"/>
      </w:divBdr>
    </w:div>
    <w:div w:id="1936546859">
      <w:bodyDiv w:val="1"/>
      <w:marLeft w:val="0"/>
      <w:marRight w:val="0"/>
      <w:marTop w:val="0"/>
      <w:marBottom w:val="0"/>
      <w:divBdr>
        <w:top w:val="none" w:sz="0" w:space="0" w:color="auto"/>
        <w:left w:val="none" w:sz="0" w:space="0" w:color="auto"/>
        <w:bottom w:val="none" w:sz="0" w:space="0" w:color="auto"/>
        <w:right w:val="none" w:sz="0" w:space="0" w:color="auto"/>
      </w:divBdr>
    </w:div>
    <w:div w:id="1936747399">
      <w:bodyDiv w:val="1"/>
      <w:marLeft w:val="0"/>
      <w:marRight w:val="0"/>
      <w:marTop w:val="0"/>
      <w:marBottom w:val="0"/>
      <w:divBdr>
        <w:top w:val="none" w:sz="0" w:space="0" w:color="auto"/>
        <w:left w:val="none" w:sz="0" w:space="0" w:color="auto"/>
        <w:bottom w:val="none" w:sz="0" w:space="0" w:color="auto"/>
        <w:right w:val="none" w:sz="0" w:space="0" w:color="auto"/>
      </w:divBdr>
    </w:div>
    <w:div w:id="1937207316">
      <w:bodyDiv w:val="1"/>
      <w:marLeft w:val="0"/>
      <w:marRight w:val="0"/>
      <w:marTop w:val="0"/>
      <w:marBottom w:val="0"/>
      <w:divBdr>
        <w:top w:val="none" w:sz="0" w:space="0" w:color="auto"/>
        <w:left w:val="none" w:sz="0" w:space="0" w:color="auto"/>
        <w:bottom w:val="none" w:sz="0" w:space="0" w:color="auto"/>
        <w:right w:val="none" w:sz="0" w:space="0" w:color="auto"/>
      </w:divBdr>
    </w:div>
    <w:div w:id="1939898253">
      <w:bodyDiv w:val="1"/>
      <w:marLeft w:val="0"/>
      <w:marRight w:val="0"/>
      <w:marTop w:val="0"/>
      <w:marBottom w:val="0"/>
      <w:divBdr>
        <w:top w:val="none" w:sz="0" w:space="0" w:color="auto"/>
        <w:left w:val="none" w:sz="0" w:space="0" w:color="auto"/>
        <w:bottom w:val="none" w:sz="0" w:space="0" w:color="auto"/>
        <w:right w:val="none" w:sz="0" w:space="0" w:color="auto"/>
      </w:divBdr>
    </w:div>
    <w:div w:id="1940478049">
      <w:bodyDiv w:val="1"/>
      <w:marLeft w:val="0"/>
      <w:marRight w:val="0"/>
      <w:marTop w:val="0"/>
      <w:marBottom w:val="0"/>
      <w:divBdr>
        <w:top w:val="none" w:sz="0" w:space="0" w:color="auto"/>
        <w:left w:val="none" w:sz="0" w:space="0" w:color="auto"/>
        <w:bottom w:val="none" w:sz="0" w:space="0" w:color="auto"/>
        <w:right w:val="none" w:sz="0" w:space="0" w:color="auto"/>
      </w:divBdr>
    </w:div>
    <w:div w:id="1940597047">
      <w:bodyDiv w:val="1"/>
      <w:marLeft w:val="0"/>
      <w:marRight w:val="0"/>
      <w:marTop w:val="0"/>
      <w:marBottom w:val="0"/>
      <w:divBdr>
        <w:top w:val="none" w:sz="0" w:space="0" w:color="auto"/>
        <w:left w:val="none" w:sz="0" w:space="0" w:color="auto"/>
        <w:bottom w:val="none" w:sz="0" w:space="0" w:color="auto"/>
        <w:right w:val="none" w:sz="0" w:space="0" w:color="auto"/>
      </w:divBdr>
    </w:div>
    <w:div w:id="1942297968">
      <w:bodyDiv w:val="1"/>
      <w:marLeft w:val="0"/>
      <w:marRight w:val="0"/>
      <w:marTop w:val="0"/>
      <w:marBottom w:val="0"/>
      <w:divBdr>
        <w:top w:val="none" w:sz="0" w:space="0" w:color="auto"/>
        <w:left w:val="none" w:sz="0" w:space="0" w:color="auto"/>
        <w:bottom w:val="none" w:sz="0" w:space="0" w:color="auto"/>
        <w:right w:val="none" w:sz="0" w:space="0" w:color="auto"/>
      </w:divBdr>
    </w:div>
    <w:div w:id="1943802592">
      <w:bodyDiv w:val="1"/>
      <w:marLeft w:val="0"/>
      <w:marRight w:val="0"/>
      <w:marTop w:val="0"/>
      <w:marBottom w:val="0"/>
      <w:divBdr>
        <w:top w:val="none" w:sz="0" w:space="0" w:color="auto"/>
        <w:left w:val="none" w:sz="0" w:space="0" w:color="auto"/>
        <w:bottom w:val="none" w:sz="0" w:space="0" w:color="auto"/>
        <w:right w:val="none" w:sz="0" w:space="0" w:color="auto"/>
      </w:divBdr>
    </w:div>
    <w:div w:id="1945069137">
      <w:bodyDiv w:val="1"/>
      <w:marLeft w:val="0"/>
      <w:marRight w:val="0"/>
      <w:marTop w:val="0"/>
      <w:marBottom w:val="0"/>
      <w:divBdr>
        <w:top w:val="none" w:sz="0" w:space="0" w:color="auto"/>
        <w:left w:val="none" w:sz="0" w:space="0" w:color="auto"/>
        <w:bottom w:val="none" w:sz="0" w:space="0" w:color="auto"/>
        <w:right w:val="none" w:sz="0" w:space="0" w:color="auto"/>
      </w:divBdr>
    </w:div>
    <w:div w:id="1947300081">
      <w:bodyDiv w:val="1"/>
      <w:marLeft w:val="0"/>
      <w:marRight w:val="0"/>
      <w:marTop w:val="0"/>
      <w:marBottom w:val="0"/>
      <w:divBdr>
        <w:top w:val="none" w:sz="0" w:space="0" w:color="auto"/>
        <w:left w:val="none" w:sz="0" w:space="0" w:color="auto"/>
        <w:bottom w:val="none" w:sz="0" w:space="0" w:color="auto"/>
        <w:right w:val="none" w:sz="0" w:space="0" w:color="auto"/>
      </w:divBdr>
    </w:div>
    <w:div w:id="1947426891">
      <w:bodyDiv w:val="1"/>
      <w:marLeft w:val="0"/>
      <w:marRight w:val="0"/>
      <w:marTop w:val="0"/>
      <w:marBottom w:val="0"/>
      <w:divBdr>
        <w:top w:val="none" w:sz="0" w:space="0" w:color="auto"/>
        <w:left w:val="none" w:sz="0" w:space="0" w:color="auto"/>
        <w:bottom w:val="none" w:sz="0" w:space="0" w:color="auto"/>
        <w:right w:val="none" w:sz="0" w:space="0" w:color="auto"/>
      </w:divBdr>
    </w:div>
    <w:div w:id="1947492851">
      <w:bodyDiv w:val="1"/>
      <w:marLeft w:val="0"/>
      <w:marRight w:val="0"/>
      <w:marTop w:val="0"/>
      <w:marBottom w:val="0"/>
      <w:divBdr>
        <w:top w:val="none" w:sz="0" w:space="0" w:color="auto"/>
        <w:left w:val="none" w:sz="0" w:space="0" w:color="auto"/>
        <w:bottom w:val="none" w:sz="0" w:space="0" w:color="auto"/>
        <w:right w:val="none" w:sz="0" w:space="0" w:color="auto"/>
      </w:divBdr>
    </w:div>
    <w:div w:id="1947541915">
      <w:bodyDiv w:val="1"/>
      <w:marLeft w:val="0"/>
      <w:marRight w:val="0"/>
      <w:marTop w:val="0"/>
      <w:marBottom w:val="0"/>
      <w:divBdr>
        <w:top w:val="none" w:sz="0" w:space="0" w:color="auto"/>
        <w:left w:val="none" w:sz="0" w:space="0" w:color="auto"/>
        <w:bottom w:val="none" w:sz="0" w:space="0" w:color="auto"/>
        <w:right w:val="none" w:sz="0" w:space="0" w:color="auto"/>
      </w:divBdr>
    </w:div>
    <w:div w:id="1948152829">
      <w:bodyDiv w:val="1"/>
      <w:marLeft w:val="0"/>
      <w:marRight w:val="0"/>
      <w:marTop w:val="0"/>
      <w:marBottom w:val="0"/>
      <w:divBdr>
        <w:top w:val="none" w:sz="0" w:space="0" w:color="auto"/>
        <w:left w:val="none" w:sz="0" w:space="0" w:color="auto"/>
        <w:bottom w:val="none" w:sz="0" w:space="0" w:color="auto"/>
        <w:right w:val="none" w:sz="0" w:space="0" w:color="auto"/>
      </w:divBdr>
    </w:div>
    <w:div w:id="1949118766">
      <w:bodyDiv w:val="1"/>
      <w:marLeft w:val="0"/>
      <w:marRight w:val="0"/>
      <w:marTop w:val="0"/>
      <w:marBottom w:val="0"/>
      <w:divBdr>
        <w:top w:val="none" w:sz="0" w:space="0" w:color="auto"/>
        <w:left w:val="none" w:sz="0" w:space="0" w:color="auto"/>
        <w:bottom w:val="none" w:sz="0" w:space="0" w:color="auto"/>
        <w:right w:val="none" w:sz="0" w:space="0" w:color="auto"/>
      </w:divBdr>
    </w:div>
    <w:div w:id="1949653175">
      <w:bodyDiv w:val="1"/>
      <w:marLeft w:val="0"/>
      <w:marRight w:val="0"/>
      <w:marTop w:val="0"/>
      <w:marBottom w:val="0"/>
      <w:divBdr>
        <w:top w:val="none" w:sz="0" w:space="0" w:color="auto"/>
        <w:left w:val="none" w:sz="0" w:space="0" w:color="auto"/>
        <w:bottom w:val="none" w:sz="0" w:space="0" w:color="auto"/>
        <w:right w:val="none" w:sz="0" w:space="0" w:color="auto"/>
      </w:divBdr>
    </w:div>
    <w:div w:id="1949847830">
      <w:bodyDiv w:val="1"/>
      <w:marLeft w:val="0"/>
      <w:marRight w:val="0"/>
      <w:marTop w:val="0"/>
      <w:marBottom w:val="0"/>
      <w:divBdr>
        <w:top w:val="none" w:sz="0" w:space="0" w:color="auto"/>
        <w:left w:val="none" w:sz="0" w:space="0" w:color="auto"/>
        <w:bottom w:val="none" w:sz="0" w:space="0" w:color="auto"/>
        <w:right w:val="none" w:sz="0" w:space="0" w:color="auto"/>
      </w:divBdr>
    </w:div>
    <w:div w:id="1949848713">
      <w:bodyDiv w:val="1"/>
      <w:marLeft w:val="0"/>
      <w:marRight w:val="0"/>
      <w:marTop w:val="0"/>
      <w:marBottom w:val="0"/>
      <w:divBdr>
        <w:top w:val="none" w:sz="0" w:space="0" w:color="auto"/>
        <w:left w:val="none" w:sz="0" w:space="0" w:color="auto"/>
        <w:bottom w:val="none" w:sz="0" w:space="0" w:color="auto"/>
        <w:right w:val="none" w:sz="0" w:space="0" w:color="auto"/>
      </w:divBdr>
    </w:div>
    <w:div w:id="1950576989">
      <w:bodyDiv w:val="1"/>
      <w:marLeft w:val="0"/>
      <w:marRight w:val="0"/>
      <w:marTop w:val="0"/>
      <w:marBottom w:val="0"/>
      <w:divBdr>
        <w:top w:val="none" w:sz="0" w:space="0" w:color="auto"/>
        <w:left w:val="none" w:sz="0" w:space="0" w:color="auto"/>
        <w:bottom w:val="none" w:sz="0" w:space="0" w:color="auto"/>
        <w:right w:val="none" w:sz="0" w:space="0" w:color="auto"/>
      </w:divBdr>
    </w:div>
    <w:div w:id="1951741496">
      <w:bodyDiv w:val="1"/>
      <w:marLeft w:val="0"/>
      <w:marRight w:val="0"/>
      <w:marTop w:val="0"/>
      <w:marBottom w:val="0"/>
      <w:divBdr>
        <w:top w:val="none" w:sz="0" w:space="0" w:color="auto"/>
        <w:left w:val="none" w:sz="0" w:space="0" w:color="auto"/>
        <w:bottom w:val="none" w:sz="0" w:space="0" w:color="auto"/>
        <w:right w:val="none" w:sz="0" w:space="0" w:color="auto"/>
      </w:divBdr>
    </w:div>
    <w:div w:id="1952936078">
      <w:bodyDiv w:val="1"/>
      <w:marLeft w:val="0"/>
      <w:marRight w:val="0"/>
      <w:marTop w:val="0"/>
      <w:marBottom w:val="0"/>
      <w:divBdr>
        <w:top w:val="none" w:sz="0" w:space="0" w:color="auto"/>
        <w:left w:val="none" w:sz="0" w:space="0" w:color="auto"/>
        <w:bottom w:val="none" w:sz="0" w:space="0" w:color="auto"/>
        <w:right w:val="none" w:sz="0" w:space="0" w:color="auto"/>
      </w:divBdr>
    </w:div>
    <w:div w:id="1953970041">
      <w:bodyDiv w:val="1"/>
      <w:marLeft w:val="0"/>
      <w:marRight w:val="0"/>
      <w:marTop w:val="0"/>
      <w:marBottom w:val="0"/>
      <w:divBdr>
        <w:top w:val="none" w:sz="0" w:space="0" w:color="auto"/>
        <w:left w:val="none" w:sz="0" w:space="0" w:color="auto"/>
        <w:bottom w:val="none" w:sz="0" w:space="0" w:color="auto"/>
        <w:right w:val="none" w:sz="0" w:space="0" w:color="auto"/>
      </w:divBdr>
    </w:div>
    <w:div w:id="1955868587">
      <w:bodyDiv w:val="1"/>
      <w:marLeft w:val="0"/>
      <w:marRight w:val="0"/>
      <w:marTop w:val="0"/>
      <w:marBottom w:val="0"/>
      <w:divBdr>
        <w:top w:val="none" w:sz="0" w:space="0" w:color="auto"/>
        <w:left w:val="none" w:sz="0" w:space="0" w:color="auto"/>
        <w:bottom w:val="none" w:sz="0" w:space="0" w:color="auto"/>
        <w:right w:val="none" w:sz="0" w:space="0" w:color="auto"/>
      </w:divBdr>
    </w:div>
    <w:div w:id="1956985345">
      <w:bodyDiv w:val="1"/>
      <w:marLeft w:val="0"/>
      <w:marRight w:val="0"/>
      <w:marTop w:val="0"/>
      <w:marBottom w:val="0"/>
      <w:divBdr>
        <w:top w:val="none" w:sz="0" w:space="0" w:color="auto"/>
        <w:left w:val="none" w:sz="0" w:space="0" w:color="auto"/>
        <w:bottom w:val="none" w:sz="0" w:space="0" w:color="auto"/>
        <w:right w:val="none" w:sz="0" w:space="0" w:color="auto"/>
      </w:divBdr>
    </w:div>
    <w:div w:id="1959292787">
      <w:bodyDiv w:val="1"/>
      <w:marLeft w:val="0"/>
      <w:marRight w:val="0"/>
      <w:marTop w:val="0"/>
      <w:marBottom w:val="0"/>
      <w:divBdr>
        <w:top w:val="none" w:sz="0" w:space="0" w:color="auto"/>
        <w:left w:val="none" w:sz="0" w:space="0" w:color="auto"/>
        <w:bottom w:val="none" w:sz="0" w:space="0" w:color="auto"/>
        <w:right w:val="none" w:sz="0" w:space="0" w:color="auto"/>
      </w:divBdr>
    </w:div>
    <w:div w:id="1960144027">
      <w:bodyDiv w:val="1"/>
      <w:marLeft w:val="0"/>
      <w:marRight w:val="0"/>
      <w:marTop w:val="0"/>
      <w:marBottom w:val="0"/>
      <w:divBdr>
        <w:top w:val="none" w:sz="0" w:space="0" w:color="auto"/>
        <w:left w:val="none" w:sz="0" w:space="0" w:color="auto"/>
        <w:bottom w:val="none" w:sz="0" w:space="0" w:color="auto"/>
        <w:right w:val="none" w:sz="0" w:space="0" w:color="auto"/>
      </w:divBdr>
    </w:div>
    <w:div w:id="1961912755">
      <w:bodyDiv w:val="1"/>
      <w:marLeft w:val="0"/>
      <w:marRight w:val="0"/>
      <w:marTop w:val="0"/>
      <w:marBottom w:val="0"/>
      <w:divBdr>
        <w:top w:val="none" w:sz="0" w:space="0" w:color="auto"/>
        <w:left w:val="none" w:sz="0" w:space="0" w:color="auto"/>
        <w:bottom w:val="none" w:sz="0" w:space="0" w:color="auto"/>
        <w:right w:val="none" w:sz="0" w:space="0" w:color="auto"/>
      </w:divBdr>
    </w:div>
    <w:div w:id="1963684724">
      <w:bodyDiv w:val="1"/>
      <w:marLeft w:val="0"/>
      <w:marRight w:val="0"/>
      <w:marTop w:val="0"/>
      <w:marBottom w:val="0"/>
      <w:divBdr>
        <w:top w:val="none" w:sz="0" w:space="0" w:color="auto"/>
        <w:left w:val="none" w:sz="0" w:space="0" w:color="auto"/>
        <w:bottom w:val="none" w:sz="0" w:space="0" w:color="auto"/>
        <w:right w:val="none" w:sz="0" w:space="0" w:color="auto"/>
      </w:divBdr>
    </w:div>
    <w:div w:id="1964114357">
      <w:bodyDiv w:val="1"/>
      <w:marLeft w:val="0"/>
      <w:marRight w:val="0"/>
      <w:marTop w:val="0"/>
      <w:marBottom w:val="0"/>
      <w:divBdr>
        <w:top w:val="none" w:sz="0" w:space="0" w:color="auto"/>
        <w:left w:val="none" w:sz="0" w:space="0" w:color="auto"/>
        <w:bottom w:val="none" w:sz="0" w:space="0" w:color="auto"/>
        <w:right w:val="none" w:sz="0" w:space="0" w:color="auto"/>
      </w:divBdr>
    </w:div>
    <w:div w:id="1964849090">
      <w:bodyDiv w:val="1"/>
      <w:marLeft w:val="0"/>
      <w:marRight w:val="0"/>
      <w:marTop w:val="0"/>
      <w:marBottom w:val="0"/>
      <w:divBdr>
        <w:top w:val="none" w:sz="0" w:space="0" w:color="auto"/>
        <w:left w:val="none" w:sz="0" w:space="0" w:color="auto"/>
        <w:bottom w:val="none" w:sz="0" w:space="0" w:color="auto"/>
        <w:right w:val="none" w:sz="0" w:space="0" w:color="auto"/>
      </w:divBdr>
    </w:div>
    <w:div w:id="1965118509">
      <w:bodyDiv w:val="1"/>
      <w:marLeft w:val="0"/>
      <w:marRight w:val="0"/>
      <w:marTop w:val="0"/>
      <w:marBottom w:val="0"/>
      <w:divBdr>
        <w:top w:val="none" w:sz="0" w:space="0" w:color="auto"/>
        <w:left w:val="none" w:sz="0" w:space="0" w:color="auto"/>
        <w:bottom w:val="none" w:sz="0" w:space="0" w:color="auto"/>
        <w:right w:val="none" w:sz="0" w:space="0" w:color="auto"/>
      </w:divBdr>
    </w:div>
    <w:div w:id="1966932492">
      <w:bodyDiv w:val="1"/>
      <w:marLeft w:val="0"/>
      <w:marRight w:val="0"/>
      <w:marTop w:val="0"/>
      <w:marBottom w:val="0"/>
      <w:divBdr>
        <w:top w:val="none" w:sz="0" w:space="0" w:color="auto"/>
        <w:left w:val="none" w:sz="0" w:space="0" w:color="auto"/>
        <w:bottom w:val="none" w:sz="0" w:space="0" w:color="auto"/>
        <w:right w:val="none" w:sz="0" w:space="0" w:color="auto"/>
      </w:divBdr>
    </w:div>
    <w:div w:id="1968507034">
      <w:bodyDiv w:val="1"/>
      <w:marLeft w:val="0"/>
      <w:marRight w:val="0"/>
      <w:marTop w:val="0"/>
      <w:marBottom w:val="0"/>
      <w:divBdr>
        <w:top w:val="none" w:sz="0" w:space="0" w:color="auto"/>
        <w:left w:val="none" w:sz="0" w:space="0" w:color="auto"/>
        <w:bottom w:val="none" w:sz="0" w:space="0" w:color="auto"/>
        <w:right w:val="none" w:sz="0" w:space="0" w:color="auto"/>
      </w:divBdr>
    </w:div>
    <w:div w:id="1969706191">
      <w:bodyDiv w:val="1"/>
      <w:marLeft w:val="0"/>
      <w:marRight w:val="0"/>
      <w:marTop w:val="0"/>
      <w:marBottom w:val="0"/>
      <w:divBdr>
        <w:top w:val="none" w:sz="0" w:space="0" w:color="auto"/>
        <w:left w:val="none" w:sz="0" w:space="0" w:color="auto"/>
        <w:bottom w:val="none" w:sz="0" w:space="0" w:color="auto"/>
        <w:right w:val="none" w:sz="0" w:space="0" w:color="auto"/>
      </w:divBdr>
    </w:div>
    <w:div w:id="1971863287">
      <w:bodyDiv w:val="1"/>
      <w:marLeft w:val="0"/>
      <w:marRight w:val="0"/>
      <w:marTop w:val="0"/>
      <w:marBottom w:val="0"/>
      <w:divBdr>
        <w:top w:val="none" w:sz="0" w:space="0" w:color="auto"/>
        <w:left w:val="none" w:sz="0" w:space="0" w:color="auto"/>
        <w:bottom w:val="none" w:sz="0" w:space="0" w:color="auto"/>
        <w:right w:val="none" w:sz="0" w:space="0" w:color="auto"/>
      </w:divBdr>
    </w:div>
    <w:div w:id="1972974445">
      <w:bodyDiv w:val="1"/>
      <w:marLeft w:val="0"/>
      <w:marRight w:val="0"/>
      <w:marTop w:val="0"/>
      <w:marBottom w:val="0"/>
      <w:divBdr>
        <w:top w:val="none" w:sz="0" w:space="0" w:color="auto"/>
        <w:left w:val="none" w:sz="0" w:space="0" w:color="auto"/>
        <w:bottom w:val="none" w:sz="0" w:space="0" w:color="auto"/>
        <w:right w:val="none" w:sz="0" w:space="0" w:color="auto"/>
      </w:divBdr>
    </w:div>
    <w:div w:id="1974090679">
      <w:bodyDiv w:val="1"/>
      <w:marLeft w:val="0"/>
      <w:marRight w:val="0"/>
      <w:marTop w:val="0"/>
      <w:marBottom w:val="0"/>
      <w:divBdr>
        <w:top w:val="none" w:sz="0" w:space="0" w:color="auto"/>
        <w:left w:val="none" w:sz="0" w:space="0" w:color="auto"/>
        <w:bottom w:val="none" w:sz="0" w:space="0" w:color="auto"/>
        <w:right w:val="none" w:sz="0" w:space="0" w:color="auto"/>
      </w:divBdr>
    </w:div>
    <w:div w:id="1976174897">
      <w:bodyDiv w:val="1"/>
      <w:marLeft w:val="0"/>
      <w:marRight w:val="0"/>
      <w:marTop w:val="0"/>
      <w:marBottom w:val="0"/>
      <w:divBdr>
        <w:top w:val="none" w:sz="0" w:space="0" w:color="auto"/>
        <w:left w:val="none" w:sz="0" w:space="0" w:color="auto"/>
        <w:bottom w:val="none" w:sz="0" w:space="0" w:color="auto"/>
        <w:right w:val="none" w:sz="0" w:space="0" w:color="auto"/>
      </w:divBdr>
    </w:div>
    <w:div w:id="1980262421">
      <w:bodyDiv w:val="1"/>
      <w:marLeft w:val="0"/>
      <w:marRight w:val="0"/>
      <w:marTop w:val="0"/>
      <w:marBottom w:val="0"/>
      <w:divBdr>
        <w:top w:val="none" w:sz="0" w:space="0" w:color="auto"/>
        <w:left w:val="none" w:sz="0" w:space="0" w:color="auto"/>
        <w:bottom w:val="none" w:sz="0" w:space="0" w:color="auto"/>
        <w:right w:val="none" w:sz="0" w:space="0" w:color="auto"/>
      </w:divBdr>
    </w:div>
    <w:div w:id="1980575628">
      <w:bodyDiv w:val="1"/>
      <w:marLeft w:val="0"/>
      <w:marRight w:val="0"/>
      <w:marTop w:val="0"/>
      <w:marBottom w:val="0"/>
      <w:divBdr>
        <w:top w:val="none" w:sz="0" w:space="0" w:color="auto"/>
        <w:left w:val="none" w:sz="0" w:space="0" w:color="auto"/>
        <w:bottom w:val="none" w:sz="0" w:space="0" w:color="auto"/>
        <w:right w:val="none" w:sz="0" w:space="0" w:color="auto"/>
      </w:divBdr>
    </w:div>
    <w:div w:id="1980648532">
      <w:bodyDiv w:val="1"/>
      <w:marLeft w:val="0"/>
      <w:marRight w:val="0"/>
      <w:marTop w:val="0"/>
      <w:marBottom w:val="0"/>
      <w:divBdr>
        <w:top w:val="none" w:sz="0" w:space="0" w:color="auto"/>
        <w:left w:val="none" w:sz="0" w:space="0" w:color="auto"/>
        <w:bottom w:val="none" w:sz="0" w:space="0" w:color="auto"/>
        <w:right w:val="none" w:sz="0" w:space="0" w:color="auto"/>
      </w:divBdr>
    </w:div>
    <w:div w:id="1981306867">
      <w:bodyDiv w:val="1"/>
      <w:marLeft w:val="0"/>
      <w:marRight w:val="0"/>
      <w:marTop w:val="0"/>
      <w:marBottom w:val="0"/>
      <w:divBdr>
        <w:top w:val="none" w:sz="0" w:space="0" w:color="auto"/>
        <w:left w:val="none" w:sz="0" w:space="0" w:color="auto"/>
        <w:bottom w:val="none" w:sz="0" w:space="0" w:color="auto"/>
        <w:right w:val="none" w:sz="0" w:space="0" w:color="auto"/>
      </w:divBdr>
    </w:div>
    <w:div w:id="1982349204">
      <w:bodyDiv w:val="1"/>
      <w:marLeft w:val="0"/>
      <w:marRight w:val="0"/>
      <w:marTop w:val="0"/>
      <w:marBottom w:val="0"/>
      <w:divBdr>
        <w:top w:val="none" w:sz="0" w:space="0" w:color="auto"/>
        <w:left w:val="none" w:sz="0" w:space="0" w:color="auto"/>
        <w:bottom w:val="none" w:sz="0" w:space="0" w:color="auto"/>
        <w:right w:val="none" w:sz="0" w:space="0" w:color="auto"/>
      </w:divBdr>
    </w:div>
    <w:div w:id="1982999556">
      <w:bodyDiv w:val="1"/>
      <w:marLeft w:val="0"/>
      <w:marRight w:val="0"/>
      <w:marTop w:val="0"/>
      <w:marBottom w:val="0"/>
      <w:divBdr>
        <w:top w:val="none" w:sz="0" w:space="0" w:color="auto"/>
        <w:left w:val="none" w:sz="0" w:space="0" w:color="auto"/>
        <w:bottom w:val="none" w:sz="0" w:space="0" w:color="auto"/>
        <w:right w:val="none" w:sz="0" w:space="0" w:color="auto"/>
      </w:divBdr>
    </w:div>
    <w:div w:id="1983843747">
      <w:bodyDiv w:val="1"/>
      <w:marLeft w:val="0"/>
      <w:marRight w:val="0"/>
      <w:marTop w:val="0"/>
      <w:marBottom w:val="0"/>
      <w:divBdr>
        <w:top w:val="none" w:sz="0" w:space="0" w:color="auto"/>
        <w:left w:val="none" w:sz="0" w:space="0" w:color="auto"/>
        <w:bottom w:val="none" w:sz="0" w:space="0" w:color="auto"/>
        <w:right w:val="none" w:sz="0" w:space="0" w:color="auto"/>
      </w:divBdr>
    </w:div>
    <w:div w:id="1984265588">
      <w:bodyDiv w:val="1"/>
      <w:marLeft w:val="0"/>
      <w:marRight w:val="0"/>
      <w:marTop w:val="0"/>
      <w:marBottom w:val="0"/>
      <w:divBdr>
        <w:top w:val="none" w:sz="0" w:space="0" w:color="auto"/>
        <w:left w:val="none" w:sz="0" w:space="0" w:color="auto"/>
        <w:bottom w:val="none" w:sz="0" w:space="0" w:color="auto"/>
        <w:right w:val="none" w:sz="0" w:space="0" w:color="auto"/>
      </w:divBdr>
    </w:div>
    <w:div w:id="1984970609">
      <w:bodyDiv w:val="1"/>
      <w:marLeft w:val="0"/>
      <w:marRight w:val="0"/>
      <w:marTop w:val="0"/>
      <w:marBottom w:val="0"/>
      <w:divBdr>
        <w:top w:val="none" w:sz="0" w:space="0" w:color="auto"/>
        <w:left w:val="none" w:sz="0" w:space="0" w:color="auto"/>
        <w:bottom w:val="none" w:sz="0" w:space="0" w:color="auto"/>
        <w:right w:val="none" w:sz="0" w:space="0" w:color="auto"/>
      </w:divBdr>
    </w:div>
    <w:div w:id="1985112610">
      <w:bodyDiv w:val="1"/>
      <w:marLeft w:val="0"/>
      <w:marRight w:val="0"/>
      <w:marTop w:val="0"/>
      <w:marBottom w:val="0"/>
      <w:divBdr>
        <w:top w:val="none" w:sz="0" w:space="0" w:color="auto"/>
        <w:left w:val="none" w:sz="0" w:space="0" w:color="auto"/>
        <w:bottom w:val="none" w:sz="0" w:space="0" w:color="auto"/>
        <w:right w:val="none" w:sz="0" w:space="0" w:color="auto"/>
      </w:divBdr>
    </w:div>
    <w:div w:id="1985743476">
      <w:bodyDiv w:val="1"/>
      <w:marLeft w:val="0"/>
      <w:marRight w:val="0"/>
      <w:marTop w:val="0"/>
      <w:marBottom w:val="0"/>
      <w:divBdr>
        <w:top w:val="none" w:sz="0" w:space="0" w:color="auto"/>
        <w:left w:val="none" w:sz="0" w:space="0" w:color="auto"/>
        <w:bottom w:val="none" w:sz="0" w:space="0" w:color="auto"/>
        <w:right w:val="none" w:sz="0" w:space="0" w:color="auto"/>
      </w:divBdr>
    </w:div>
    <w:div w:id="1986665187">
      <w:bodyDiv w:val="1"/>
      <w:marLeft w:val="0"/>
      <w:marRight w:val="0"/>
      <w:marTop w:val="0"/>
      <w:marBottom w:val="0"/>
      <w:divBdr>
        <w:top w:val="none" w:sz="0" w:space="0" w:color="auto"/>
        <w:left w:val="none" w:sz="0" w:space="0" w:color="auto"/>
        <w:bottom w:val="none" w:sz="0" w:space="0" w:color="auto"/>
        <w:right w:val="none" w:sz="0" w:space="0" w:color="auto"/>
      </w:divBdr>
    </w:div>
    <w:div w:id="1988245234">
      <w:bodyDiv w:val="1"/>
      <w:marLeft w:val="0"/>
      <w:marRight w:val="0"/>
      <w:marTop w:val="0"/>
      <w:marBottom w:val="0"/>
      <w:divBdr>
        <w:top w:val="none" w:sz="0" w:space="0" w:color="auto"/>
        <w:left w:val="none" w:sz="0" w:space="0" w:color="auto"/>
        <w:bottom w:val="none" w:sz="0" w:space="0" w:color="auto"/>
        <w:right w:val="none" w:sz="0" w:space="0" w:color="auto"/>
      </w:divBdr>
    </w:div>
    <w:div w:id="1992516402">
      <w:bodyDiv w:val="1"/>
      <w:marLeft w:val="0"/>
      <w:marRight w:val="0"/>
      <w:marTop w:val="0"/>
      <w:marBottom w:val="0"/>
      <w:divBdr>
        <w:top w:val="none" w:sz="0" w:space="0" w:color="auto"/>
        <w:left w:val="none" w:sz="0" w:space="0" w:color="auto"/>
        <w:bottom w:val="none" w:sz="0" w:space="0" w:color="auto"/>
        <w:right w:val="none" w:sz="0" w:space="0" w:color="auto"/>
      </w:divBdr>
    </w:div>
    <w:div w:id="1993488147">
      <w:bodyDiv w:val="1"/>
      <w:marLeft w:val="0"/>
      <w:marRight w:val="0"/>
      <w:marTop w:val="0"/>
      <w:marBottom w:val="0"/>
      <w:divBdr>
        <w:top w:val="none" w:sz="0" w:space="0" w:color="auto"/>
        <w:left w:val="none" w:sz="0" w:space="0" w:color="auto"/>
        <w:bottom w:val="none" w:sz="0" w:space="0" w:color="auto"/>
        <w:right w:val="none" w:sz="0" w:space="0" w:color="auto"/>
      </w:divBdr>
    </w:div>
    <w:div w:id="1993870943">
      <w:bodyDiv w:val="1"/>
      <w:marLeft w:val="0"/>
      <w:marRight w:val="0"/>
      <w:marTop w:val="0"/>
      <w:marBottom w:val="0"/>
      <w:divBdr>
        <w:top w:val="none" w:sz="0" w:space="0" w:color="auto"/>
        <w:left w:val="none" w:sz="0" w:space="0" w:color="auto"/>
        <w:bottom w:val="none" w:sz="0" w:space="0" w:color="auto"/>
        <w:right w:val="none" w:sz="0" w:space="0" w:color="auto"/>
      </w:divBdr>
    </w:div>
    <w:div w:id="1994328625">
      <w:bodyDiv w:val="1"/>
      <w:marLeft w:val="0"/>
      <w:marRight w:val="0"/>
      <w:marTop w:val="0"/>
      <w:marBottom w:val="0"/>
      <w:divBdr>
        <w:top w:val="none" w:sz="0" w:space="0" w:color="auto"/>
        <w:left w:val="none" w:sz="0" w:space="0" w:color="auto"/>
        <w:bottom w:val="none" w:sz="0" w:space="0" w:color="auto"/>
        <w:right w:val="none" w:sz="0" w:space="0" w:color="auto"/>
      </w:divBdr>
    </w:div>
    <w:div w:id="1994488037">
      <w:bodyDiv w:val="1"/>
      <w:marLeft w:val="0"/>
      <w:marRight w:val="0"/>
      <w:marTop w:val="0"/>
      <w:marBottom w:val="0"/>
      <w:divBdr>
        <w:top w:val="none" w:sz="0" w:space="0" w:color="auto"/>
        <w:left w:val="none" w:sz="0" w:space="0" w:color="auto"/>
        <w:bottom w:val="none" w:sz="0" w:space="0" w:color="auto"/>
        <w:right w:val="none" w:sz="0" w:space="0" w:color="auto"/>
      </w:divBdr>
    </w:div>
    <w:div w:id="1996949155">
      <w:bodyDiv w:val="1"/>
      <w:marLeft w:val="0"/>
      <w:marRight w:val="0"/>
      <w:marTop w:val="0"/>
      <w:marBottom w:val="0"/>
      <w:divBdr>
        <w:top w:val="none" w:sz="0" w:space="0" w:color="auto"/>
        <w:left w:val="none" w:sz="0" w:space="0" w:color="auto"/>
        <w:bottom w:val="none" w:sz="0" w:space="0" w:color="auto"/>
        <w:right w:val="none" w:sz="0" w:space="0" w:color="auto"/>
      </w:divBdr>
    </w:div>
    <w:div w:id="1998340169">
      <w:bodyDiv w:val="1"/>
      <w:marLeft w:val="0"/>
      <w:marRight w:val="0"/>
      <w:marTop w:val="0"/>
      <w:marBottom w:val="0"/>
      <w:divBdr>
        <w:top w:val="none" w:sz="0" w:space="0" w:color="auto"/>
        <w:left w:val="none" w:sz="0" w:space="0" w:color="auto"/>
        <w:bottom w:val="none" w:sz="0" w:space="0" w:color="auto"/>
        <w:right w:val="none" w:sz="0" w:space="0" w:color="auto"/>
      </w:divBdr>
    </w:div>
    <w:div w:id="1998875134">
      <w:bodyDiv w:val="1"/>
      <w:marLeft w:val="0"/>
      <w:marRight w:val="0"/>
      <w:marTop w:val="0"/>
      <w:marBottom w:val="0"/>
      <w:divBdr>
        <w:top w:val="none" w:sz="0" w:space="0" w:color="auto"/>
        <w:left w:val="none" w:sz="0" w:space="0" w:color="auto"/>
        <w:bottom w:val="none" w:sz="0" w:space="0" w:color="auto"/>
        <w:right w:val="none" w:sz="0" w:space="0" w:color="auto"/>
      </w:divBdr>
    </w:div>
    <w:div w:id="2004507543">
      <w:bodyDiv w:val="1"/>
      <w:marLeft w:val="0"/>
      <w:marRight w:val="0"/>
      <w:marTop w:val="0"/>
      <w:marBottom w:val="0"/>
      <w:divBdr>
        <w:top w:val="none" w:sz="0" w:space="0" w:color="auto"/>
        <w:left w:val="none" w:sz="0" w:space="0" w:color="auto"/>
        <w:bottom w:val="none" w:sz="0" w:space="0" w:color="auto"/>
        <w:right w:val="none" w:sz="0" w:space="0" w:color="auto"/>
      </w:divBdr>
    </w:div>
    <w:div w:id="2014409428">
      <w:bodyDiv w:val="1"/>
      <w:marLeft w:val="0"/>
      <w:marRight w:val="0"/>
      <w:marTop w:val="0"/>
      <w:marBottom w:val="0"/>
      <w:divBdr>
        <w:top w:val="none" w:sz="0" w:space="0" w:color="auto"/>
        <w:left w:val="none" w:sz="0" w:space="0" w:color="auto"/>
        <w:bottom w:val="none" w:sz="0" w:space="0" w:color="auto"/>
        <w:right w:val="none" w:sz="0" w:space="0" w:color="auto"/>
      </w:divBdr>
    </w:div>
    <w:div w:id="2015063157">
      <w:bodyDiv w:val="1"/>
      <w:marLeft w:val="0"/>
      <w:marRight w:val="0"/>
      <w:marTop w:val="0"/>
      <w:marBottom w:val="0"/>
      <w:divBdr>
        <w:top w:val="none" w:sz="0" w:space="0" w:color="auto"/>
        <w:left w:val="none" w:sz="0" w:space="0" w:color="auto"/>
        <w:bottom w:val="none" w:sz="0" w:space="0" w:color="auto"/>
        <w:right w:val="none" w:sz="0" w:space="0" w:color="auto"/>
      </w:divBdr>
    </w:div>
    <w:div w:id="2017028280">
      <w:bodyDiv w:val="1"/>
      <w:marLeft w:val="0"/>
      <w:marRight w:val="0"/>
      <w:marTop w:val="0"/>
      <w:marBottom w:val="0"/>
      <w:divBdr>
        <w:top w:val="none" w:sz="0" w:space="0" w:color="auto"/>
        <w:left w:val="none" w:sz="0" w:space="0" w:color="auto"/>
        <w:bottom w:val="none" w:sz="0" w:space="0" w:color="auto"/>
        <w:right w:val="none" w:sz="0" w:space="0" w:color="auto"/>
      </w:divBdr>
    </w:div>
    <w:div w:id="2017534462">
      <w:bodyDiv w:val="1"/>
      <w:marLeft w:val="0"/>
      <w:marRight w:val="0"/>
      <w:marTop w:val="0"/>
      <w:marBottom w:val="0"/>
      <w:divBdr>
        <w:top w:val="none" w:sz="0" w:space="0" w:color="auto"/>
        <w:left w:val="none" w:sz="0" w:space="0" w:color="auto"/>
        <w:bottom w:val="none" w:sz="0" w:space="0" w:color="auto"/>
        <w:right w:val="none" w:sz="0" w:space="0" w:color="auto"/>
      </w:divBdr>
    </w:div>
    <w:div w:id="2017731965">
      <w:bodyDiv w:val="1"/>
      <w:marLeft w:val="0"/>
      <w:marRight w:val="0"/>
      <w:marTop w:val="0"/>
      <w:marBottom w:val="0"/>
      <w:divBdr>
        <w:top w:val="none" w:sz="0" w:space="0" w:color="auto"/>
        <w:left w:val="none" w:sz="0" w:space="0" w:color="auto"/>
        <w:bottom w:val="none" w:sz="0" w:space="0" w:color="auto"/>
        <w:right w:val="none" w:sz="0" w:space="0" w:color="auto"/>
      </w:divBdr>
    </w:div>
    <w:div w:id="2018771084">
      <w:bodyDiv w:val="1"/>
      <w:marLeft w:val="0"/>
      <w:marRight w:val="0"/>
      <w:marTop w:val="0"/>
      <w:marBottom w:val="0"/>
      <w:divBdr>
        <w:top w:val="none" w:sz="0" w:space="0" w:color="auto"/>
        <w:left w:val="none" w:sz="0" w:space="0" w:color="auto"/>
        <w:bottom w:val="none" w:sz="0" w:space="0" w:color="auto"/>
        <w:right w:val="none" w:sz="0" w:space="0" w:color="auto"/>
      </w:divBdr>
    </w:div>
    <w:div w:id="2023166230">
      <w:bodyDiv w:val="1"/>
      <w:marLeft w:val="0"/>
      <w:marRight w:val="0"/>
      <w:marTop w:val="0"/>
      <w:marBottom w:val="0"/>
      <w:divBdr>
        <w:top w:val="none" w:sz="0" w:space="0" w:color="auto"/>
        <w:left w:val="none" w:sz="0" w:space="0" w:color="auto"/>
        <w:bottom w:val="none" w:sz="0" w:space="0" w:color="auto"/>
        <w:right w:val="none" w:sz="0" w:space="0" w:color="auto"/>
      </w:divBdr>
    </w:div>
    <w:div w:id="2024742855">
      <w:bodyDiv w:val="1"/>
      <w:marLeft w:val="0"/>
      <w:marRight w:val="0"/>
      <w:marTop w:val="0"/>
      <w:marBottom w:val="0"/>
      <w:divBdr>
        <w:top w:val="none" w:sz="0" w:space="0" w:color="auto"/>
        <w:left w:val="none" w:sz="0" w:space="0" w:color="auto"/>
        <w:bottom w:val="none" w:sz="0" w:space="0" w:color="auto"/>
        <w:right w:val="none" w:sz="0" w:space="0" w:color="auto"/>
      </w:divBdr>
    </w:div>
    <w:div w:id="2025397829">
      <w:bodyDiv w:val="1"/>
      <w:marLeft w:val="0"/>
      <w:marRight w:val="0"/>
      <w:marTop w:val="0"/>
      <w:marBottom w:val="0"/>
      <w:divBdr>
        <w:top w:val="none" w:sz="0" w:space="0" w:color="auto"/>
        <w:left w:val="none" w:sz="0" w:space="0" w:color="auto"/>
        <w:bottom w:val="none" w:sz="0" w:space="0" w:color="auto"/>
        <w:right w:val="none" w:sz="0" w:space="0" w:color="auto"/>
      </w:divBdr>
    </w:div>
    <w:div w:id="2025940485">
      <w:bodyDiv w:val="1"/>
      <w:marLeft w:val="0"/>
      <w:marRight w:val="0"/>
      <w:marTop w:val="0"/>
      <w:marBottom w:val="0"/>
      <w:divBdr>
        <w:top w:val="none" w:sz="0" w:space="0" w:color="auto"/>
        <w:left w:val="none" w:sz="0" w:space="0" w:color="auto"/>
        <w:bottom w:val="none" w:sz="0" w:space="0" w:color="auto"/>
        <w:right w:val="none" w:sz="0" w:space="0" w:color="auto"/>
      </w:divBdr>
    </w:div>
    <w:div w:id="2026007074">
      <w:bodyDiv w:val="1"/>
      <w:marLeft w:val="0"/>
      <w:marRight w:val="0"/>
      <w:marTop w:val="0"/>
      <w:marBottom w:val="0"/>
      <w:divBdr>
        <w:top w:val="none" w:sz="0" w:space="0" w:color="auto"/>
        <w:left w:val="none" w:sz="0" w:space="0" w:color="auto"/>
        <w:bottom w:val="none" w:sz="0" w:space="0" w:color="auto"/>
        <w:right w:val="none" w:sz="0" w:space="0" w:color="auto"/>
      </w:divBdr>
    </w:div>
    <w:div w:id="2026133748">
      <w:bodyDiv w:val="1"/>
      <w:marLeft w:val="0"/>
      <w:marRight w:val="0"/>
      <w:marTop w:val="0"/>
      <w:marBottom w:val="0"/>
      <w:divBdr>
        <w:top w:val="none" w:sz="0" w:space="0" w:color="auto"/>
        <w:left w:val="none" w:sz="0" w:space="0" w:color="auto"/>
        <w:bottom w:val="none" w:sz="0" w:space="0" w:color="auto"/>
        <w:right w:val="none" w:sz="0" w:space="0" w:color="auto"/>
      </w:divBdr>
    </w:div>
    <w:div w:id="2029746997">
      <w:bodyDiv w:val="1"/>
      <w:marLeft w:val="0"/>
      <w:marRight w:val="0"/>
      <w:marTop w:val="0"/>
      <w:marBottom w:val="0"/>
      <w:divBdr>
        <w:top w:val="none" w:sz="0" w:space="0" w:color="auto"/>
        <w:left w:val="none" w:sz="0" w:space="0" w:color="auto"/>
        <w:bottom w:val="none" w:sz="0" w:space="0" w:color="auto"/>
        <w:right w:val="none" w:sz="0" w:space="0" w:color="auto"/>
      </w:divBdr>
    </w:div>
    <w:div w:id="2030599823">
      <w:bodyDiv w:val="1"/>
      <w:marLeft w:val="0"/>
      <w:marRight w:val="0"/>
      <w:marTop w:val="0"/>
      <w:marBottom w:val="0"/>
      <w:divBdr>
        <w:top w:val="none" w:sz="0" w:space="0" w:color="auto"/>
        <w:left w:val="none" w:sz="0" w:space="0" w:color="auto"/>
        <w:bottom w:val="none" w:sz="0" w:space="0" w:color="auto"/>
        <w:right w:val="none" w:sz="0" w:space="0" w:color="auto"/>
      </w:divBdr>
    </w:div>
    <w:div w:id="2034071549">
      <w:bodyDiv w:val="1"/>
      <w:marLeft w:val="0"/>
      <w:marRight w:val="0"/>
      <w:marTop w:val="0"/>
      <w:marBottom w:val="0"/>
      <w:divBdr>
        <w:top w:val="none" w:sz="0" w:space="0" w:color="auto"/>
        <w:left w:val="none" w:sz="0" w:space="0" w:color="auto"/>
        <w:bottom w:val="none" w:sz="0" w:space="0" w:color="auto"/>
        <w:right w:val="none" w:sz="0" w:space="0" w:color="auto"/>
      </w:divBdr>
    </w:div>
    <w:div w:id="2034187053">
      <w:bodyDiv w:val="1"/>
      <w:marLeft w:val="0"/>
      <w:marRight w:val="0"/>
      <w:marTop w:val="0"/>
      <w:marBottom w:val="0"/>
      <w:divBdr>
        <w:top w:val="none" w:sz="0" w:space="0" w:color="auto"/>
        <w:left w:val="none" w:sz="0" w:space="0" w:color="auto"/>
        <w:bottom w:val="none" w:sz="0" w:space="0" w:color="auto"/>
        <w:right w:val="none" w:sz="0" w:space="0" w:color="auto"/>
      </w:divBdr>
    </w:div>
    <w:div w:id="2036926781">
      <w:bodyDiv w:val="1"/>
      <w:marLeft w:val="0"/>
      <w:marRight w:val="0"/>
      <w:marTop w:val="0"/>
      <w:marBottom w:val="0"/>
      <w:divBdr>
        <w:top w:val="none" w:sz="0" w:space="0" w:color="auto"/>
        <w:left w:val="none" w:sz="0" w:space="0" w:color="auto"/>
        <w:bottom w:val="none" w:sz="0" w:space="0" w:color="auto"/>
        <w:right w:val="none" w:sz="0" w:space="0" w:color="auto"/>
      </w:divBdr>
    </w:div>
    <w:div w:id="2038962856">
      <w:bodyDiv w:val="1"/>
      <w:marLeft w:val="0"/>
      <w:marRight w:val="0"/>
      <w:marTop w:val="0"/>
      <w:marBottom w:val="0"/>
      <w:divBdr>
        <w:top w:val="none" w:sz="0" w:space="0" w:color="auto"/>
        <w:left w:val="none" w:sz="0" w:space="0" w:color="auto"/>
        <w:bottom w:val="none" w:sz="0" w:space="0" w:color="auto"/>
        <w:right w:val="none" w:sz="0" w:space="0" w:color="auto"/>
      </w:divBdr>
    </w:div>
    <w:div w:id="2039506663">
      <w:bodyDiv w:val="1"/>
      <w:marLeft w:val="0"/>
      <w:marRight w:val="0"/>
      <w:marTop w:val="0"/>
      <w:marBottom w:val="0"/>
      <w:divBdr>
        <w:top w:val="none" w:sz="0" w:space="0" w:color="auto"/>
        <w:left w:val="none" w:sz="0" w:space="0" w:color="auto"/>
        <w:bottom w:val="none" w:sz="0" w:space="0" w:color="auto"/>
        <w:right w:val="none" w:sz="0" w:space="0" w:color="auto"/>
      </w:divBdr>
    </w:div>
    <w:div w:id="2039697034">
      <w:bodyDiv w:val="1"/>
      <w:marLeft w:val="0"/>
      <w:marRight w:val="0"/>
      <w:marTop w:val="0"/>
      <w:marBottom w:val="0"/>
      <w:divBdr>
        <w:top w:val="none" w:sz="0" w:space="0" w:color="auto"/>
        <w:left w:val="none" w:sz="0" w:space="0" w:color="auto"/>
        <w:bottom w:val="none" w:sz="0" w:space="0" w:color="auto"/>
        <w:right w:val="none" w:sz="0" w:space="0" w:color="auto"/>
      </w:divBdr>
    </w:div>
    <w:div w:id="2040012096">
      <w:bodyDiv w:val="1"/>
      <w:marLeft w:val="0"/>
      <w:marRight w:val="0"/>
      <w:marTop w:val="0"/>
      <w:marBottom w:val="0"/>
      <w:divBdr>
        <w:top w:val="none" w:sz="0" w:space="0" w:color="auto"/>
        <w:left w:val="none" w:sz="0" w:space="0" w:color="auto"/>
        <w:bottom w:val="none" w:sz="0" w:space="0" w:color="auto"/>
        <w:right w:val="none" w:sz="0" w:space="0" w:color="auto"/>
      </w:divBdr>
    </w:div>
    <w:div w:id="2042781205">
      <w:bodyDiv w:val="1"/>
      <w:marLeft w:val="0"/>
      <w:marRight w:val="0"/>
      <w:marTop w:val="0"/>
      <w:marBottom w:val="0"/>
      <w:divBdr>
        <w:top w:val="none" w:sz="0" w:space="0" w:color="auto"/>
        <w:left w:val="none" w:sz="0" w:space="0" w:color="auto"/>
        <w:bottom w:val="none" w:sz="0" w:space="0" w:color="auto"/>
        <w:right w:val="none" w:sz="0" w:space="0" w:color="auto"/>
      </w:divBdr>
    </w:div>
    <w:div w:id="2043624837">
      <w:bodyDiv w:val="1"/>
      <w:marLeft w:val="0"/>
      <w:marRight w:val="0"/>
      <w:marTop w:val="0"/>
      <w:marBottom w:val="0"/>
      <w:divBdr>
        <w:top w:val="none" w:sz="0" w:space="0" w:color="auto"/>
        <w:left w:val="none" w:sz="0" w:space="0" w:color="auto"/>
        <w:bottom w:val="none" w:sz="0" w:space="0" w:color="auto"/>
        <w:right w:val="none" w:sz="0" w:space="0" w:color="auto"/>
      </w:divBdr>
    </w:div>
    <w:div w:id="2044209013">
      <w:bodyDiv w:val="1"/>
      <w:marLeft w:val="0"/>
      <w:marRight w:val="0"/>
      <w:marTop w:val="0"/>
      <w:marBottom w:val="0"/>
      <w:divBdr>
        <w:top w:val="none" w:sz="0" w:space="0" w:color="auto"/>
        <w:left w:val="none" w:sz="0" w:space="0" w:color="auto"/>
        <w:bottom w:val="none" w:sz="0" w:space="0" w:color="auto"/>
        <w:right w:val="none" w:sz="0" w:space="0" w:color="auto"/>
      </w:divBdr>
    </w:div>
    <w:div w:id="2044330321">
      <w:bodyDiv w:val="1"/>
      <w:marLeft w:val="0"/>
      <w:marRight w:val="0"/>
      <w:marTop w:val="0"/>
      <w:marBottom w:val="0"/>
      <w:divBdr>
        <w:top w:val="none" w:sz="0" w:space="0" w:color="auto"/>
        <w:left w:val="none" w:sz="0" w:space="0" w:color="auto"/>
        <w:bottom w:val="none" w:sz="0" w:space="0" w:color="auto"/>
        <w:right w:val="none" w:sz="0" w:space="0" w:color="auto"/>
      </w:divBdr>
    </w:div>
    <w:div w:id="2044860488">
      <w:bodyDiv w:val="1"/>
      <w:marLeft w:val="0"/>
      <w:marRight w:val="0"/>
      <w:marTop w:val="0"/>
      <w:marBottom w:val="0"/>
      <w:divBdr>
        <w:top w:val="none" w:sz="0" w:space="0" w:color="auto"/>
        <w:left w:val="none" w:sz="0" w:space="0" w:color="auto"/>
        <w:bottom w:val="none" w:sz="0" w:space="0" w:color="auto"/>
        <w:right w:val="none" w:sz="0" w:space="0" w:color="auto"/>
      </w:divBdr>
    </w:div>
    <w:div w:id="2045321180">
      <w:bodyDiv w:val="1"/>
      <w:marLeft w:val="0"/>
      <w:marRight w:val="0"/>
      <w:marTop w:val="0"/>
      <w:marBottom w:val="0"/>
      <w:divBdr>
        <w:top w:val="none" w:sz="0" w:space="0" w:color="auto"/>
        <w:left w:val="none" w:sz="0" w:space="0" w:color="auto"/>
        <w:bottom w:val="none" w:sz="0" w:space="0" w:color="auto"/>
        <w:right w:val="none" w:sz="0" w:space="0" w:color="auto"/>
      </w:divBdr>
    </w:div>
    <w:div w:id="2048093302">
      <w:bodyDiv w:val="1"/>
      <w:marLeft w:val="0"/>
      <w:marRight w:val="0"/>
      <w:marTop w:val="0"/>
      <w:marBottom w:val="0"/>
      <w:divBdr>
        <w:top w:val="none" w:sz="0" w:space="0" w:color="auto"/>
        <w:left w:val="none" w:sz="0" w:space="0" w:color="auto"/>
        <w:bottom w:val="none" w:sz="0" w:space="0" w:color="auto"/>
        <w:right w:val="none" w:sz="0" w:space="0" w:color="auto"/>
      </w:divBdr>
    </w:div>
    <w:div w:id="2049254914">
      <w:bodyDiv w:val="1"/>
      <w:marLeft w:val="0"/>
      <w:marRight w:val="0"/>
      <w:marTop w:val="0"/>
      <w:marBottom w:val="0"/>
      <w:divBdr>
        <w:top w:val="none" w:sz="0" w:space="0" w:color="auto"/>
        <w:left w:val="none" w:sz="0" w:space="0" w:color="auto"/>
        <w:bottom w:val="none" w:sz="0" w:space="0" w:color="auto"/>
        <w:right w:val="none" w:sz="0" w:space="0" w:color="auto"/>
      </w:divBdr>
    </w:div>
    <w:div w:id="2049328281">
      <w:bodyDiv w:val="1"/>
      <w:marLeft w:val="0"/>
      <w:marRight w:val="0"/>
      <w:marTop w:val="0"/>
      <w:marBottom w:val="0"/>
      <w:divBdr>
        <w:top w:val="none" w:sz="0" w:space="0" w:color="auto"/>
        <w:left w:val="none" w:sz="0" w:space="0" w:color="auto"/>
        <w:bottom w:val="none" w:sz="0" w:space="0" w:color="auto"/>
        <w:right w:val="none" w:sz="0" w:space="0" w:color="auto"/>
      </w:divBdr>
    </w:div>
    <w:div w:id="2049598758">
      <w:bodyDiv w:val="1"/>
      <w:marLeft w:val="0"/>
      <w:marRight w:val="0"/>
      <w:marTop w:val="0"/>
      <w:marBottom w:val="0"/>
      <w:divBdr>
        <w:top w:val="none" w:sz="0" w:space="0" w:color="auto"/>
        <w:left w:val="none" w:sz="0" w:space="0" w:color="auto"/>
        <w:bottom w:val="none" w:sz="0" w:space="0" w:color="auto"/>
        <w:right w:val="none" w:sz="0" w:space="0" w:color="auto"/>
      </w:divBdr>
    </w:div>
    <w:div w:id="2050061998">
      <w:bodyDiv w:val="1"/>
      <w:marLeft w:val="0"/>
      <w:marRight w:val="0"/>
      <w:marTop w:val="0"/>
      <w:marBottom w:val="0"/>
      <w:divBdr>
        <w:top w:val="none" w:sz="0" w:space="0" w:color="auto"/>
        <w:left w:val="none" w:sz="0" w:space="0" w:color="auto"/>
        <w:bottom w:val="none" w:sz="0" w:space="0" w:color="auto"/>
        <w:right w:val="none" w:sz="0" w:space="0" w:color="auto"/>
      </w:divBdr>
    </w:div>
    <w:div w:id="2051807456">
      <w:bodyDiv w:val="1"/>
      <w:marLeft w:val="0"/>
      <w:marRight w:val="0"/>
      <w:marTop w:val="0"/>
      <w:marBottom w:val="0"/>
      <w:divBdr>
        <w:top w:val="none" w:sz="0" w:space="0" w:color="auto"/>
        <w:left w:val="none" w:sz="0" w:space="0" w:color="auto"/>
        <w:bottom w:val="none" w:sz="0" w:space="0" w:color="auto"/>
        <w:right w:val="none" w:sz="0" w:space="0" w:color="auto"/>
      </w:divBdr>
    </w:div>
    <w:div w:id="2055696256">
      <w:bodyDiv w:val="1"/>
      <w:marLeft w:val="0"/>
      <w:marRight w:val="0"/>
      <w:marTop w:val="0"/>
      <w:marBottom w:val="0"/>
      <w:divBdr>
        <w:top w:val="none" w:sz="0" w:space="0" w:color="auto"/>
        <w:left w:val="none" w:sz="0" w:space="0" w:color="auto"/>
        <w:bottom w:val="none" w:sz="0" w:space="0" w:color="auto"/>
        <w:right w:val="none" w:sz="0" w:space="0" w:color="auto"/>
      </w:divBdr>
    </w:div>
    <w:div w:id="2055881874">
      <w:bodyDiv w:val="1"/>
      <w:marLeft w:val="0"/>
      <w:marRight w:val="0"/>
      <w:marTop w:val="0"/>
      <w:marBottom w:val="0"/>
      <w:divBdr>
        <w:top w:val="none" w:sz="0" w:space="0" w:color="auto"/>
        <w:left w:val="none" w:sz="0" w:space="0" w:color="auto"/>
        <w:bottom w:val="none" w:sz="0" w:space="0" w:color="auto"/>
        <w:right w:val="none" w:sz="0" w:space="0" w:color="auto"/>
      </w:divBdr>
    </w:div>
    <w:div w:id="2057729068">
      <w:bodyDiv w:val="1"/>
      <w:marLeft w:val="0"/>
      <w:marRight w:val="0"/>
      <w:marTop w:val="0"/>
      <w:marBottom w:val="0"/>
      <w:divBdr>
        <w:top w:val="none" w:sz="0" w:space="0" w:color="auto"/>
        <w:left w:val="none" w:sz="0" w:space="0" w:color="auto"/>
        <w:bottom w:val="none" w:sz="0" w:space="0" w:color="auto"/>
        <w:right w:val="none" w:sz="0" w:space="0" w:color="auto"/>
      </w:divBdr>
    </w:div>
    <w:div w:id="2059549024">
      <w:bodyDiv w:val="1"/>
      <w:marLeft w:val="0"/>
      <w:marRight w:val="0"/>
      <w:marTop w:val="0"/>
      <w:marBottom w:val="0"/>
      <w:divBdr>
        <w:top w:val="none" w:sz="0" w:space="0" w:color="auto"/>
        <w:left w:val="none" w:sz="0" w:space="0" w:color="auto"/>
        <w:bottom w:val="none" w:sz="0" w:space="0" w:color="auto"/>
        <w:right w:val="none" w:sz="0" w:space="0" w:color="auto"/>
      </w:divBdr>
    </w:div>
    <w:div w:id="2060208180">
      <w:bodyDiv w:val="1"/>
      <w:marLeft w:val="0"/>
      <w:marRight w:val="0"/>
      <w:marTop w:val="0"/>
      <w:marBottom w:val="0"/>
      <w:divBdr>
        <w:top w:val="none" w:sz="0" w:space="0" w:color="auto"/>
        <w:left w:val="none" w:sz="0" w:space="0" w:color="auto"/>
        <w:bottom w:val="none" w:sz="0" w:space="0" w:color="auto"/>
        <w:right w:val="none" w:sz="0" w:space="0" w:color="auto"/>
      </w:divBdr>
    </w:div>
    <w:div w:id="2061785553">
      <w:bodyDiv w:val="1"/>
      <w:marLeft w:val="0"/>
      <w:marRight w:val="0"/>
      <w:marTop w:val="0"/>
      <w:marBottom w:val="0"/>
      <w:divBdr>
        <w:top w:val="none" w:sz="0" w:space="0" w:color="auto"/>
        <w:left w:val="none" w:sz="0" w:space="0" w:color="auto"/>
        <w:bottom w:val="none" w:sz="0" w:space="0" w:color="auto"/>
        <w:right w:val="none" w:sz="0" w:space="0" w:color="auto"/>
      </w:divBdr>
    </w:div>
    <w:div w:id="2061853820">
      <w:bodyDiv w:val="1"/>
      <w:marLeft w:val="0"/>
      <w:marRight w:val="0"/>
      <w:marTop w:val="0"/>
      <w:marBottom w:val="0"/>
      <w:divBdr>
        <w:top w:val="none" w:sz="0" w:space="0" w:color="auto"/>
        <w:left w:val="none" w:sz="0" w:space="0" w:color="auto"/>
        <w:bottom w:val="none" w:sz="0" w:space="0" w:color="auto"/>
        <w:right w:val="none" w:sz="0" w:space="0" w:color="auto"/>
      </w:divBdr>
    </w:div>
    <w:div w:id="2062098699">
      <w:bodyDiv w:val="1"/>
      <w:marLeft w:val="0"/>
      <w:marRight w:val="0"/>
      <w:marTop w:val="0"/>
      <w:marBottom w:val="0"/>
      <w:divBdr>
        <w:top w:val="none" w:sz="0" w:space="0" w:color="auto"/>
        <w:left w:val="none" w:sz="0" w:space="0" w:color="auto"/>
        <w:bottom w:val="none" w:sz="0" w:space="0" w:color="auto"/>
        <w:right w:val="none" w:sz="0" w:space="0" w:color="auto"/>
      </w:divBdr>
    </w:div>
    <w:div w:id="2063016425">
      <w:bodyDiv w:val="1"/>
      <w:marLeft w:val="0"/>
      <w:marRight w:val="0"/>
      <w:marTop w:val="0"/>
      <w:marBottom w:val="0"/>
      <w:divBdr>
        <w:top w:val="none" w:sz="0" w:space="0" w:color="auto"/>
        <w:left w:val="none" w:sz="0" w:space="0" w:color="auto"/>
        <w:bottom w:val="none" w:sz="0" w:space="0" w:color="auto"/>
        <w:right w:val="none" w:sz="0" w:space="0" w:color="auto"/>
      </w:divBdr>
    </w:div>
    <w:div w:id="2068720811">
      <w:bodyDiv w:val="1"/>
      <w:marLeft w:val="0"/>
      <w:marRight w:val="0"/>
      <w:marTop w:val="0"/>
      <w:marBottom w:val="0"/>
      <w:divBdr>
        <w:top w:val="none" w:sz="0" w:space="0" w:color="auto"/>
        <w:left w:val="none" w:sz="0" w:space="0" w:color="auto"/>
        <w:bottom w:val="none" w:sz="0" w:space="0" w:color="auto"/>
        <w:right w:val="none" w:sz="0" w:space="0" w:color="auto"/>
      </w:divBdr>
    </w:div>
    <w:div w:id="2069567258">
      <w:bodyDiv w:val="1"/>
      <w:marLeft w:val="0"/>
      <w:marRight w:val="0"/>
      <w:marTop w:val="0"/>
      <w:marBottom w:val="0"/>
      <w:divBdr>
        <w:top w:val="none" w:sz="0" w:space="0" w:color="auto"/>
        <w:left w:val="none" w:sz="0" w:space="0" w:color="auto"/>
        <w:bottom w:val="none" w:sz="0" w:space="0" w:color="auto"/>
        <w:right w:val="none" w:sz="0" w:space="0" w:color="auto"/>
      </w:divBdr>
    </w:div>
    <w:div w:id="2071687200">
      <w:bodyDiv w:val="1"/>
      <w:marLeft w:val="0"/>
      <w:marRight w:val="0"/>
      <w:marTop w:val="0"/>
      <w:marBottom w:val="0"/>
      <w:divBdr>
        <w:top w:val="none" w:sz="0" w:space="0" w:color="auto"/>
        <w:left w:val="none" w:sz="0" w:space="0" w:color="auto"/>
        <w:bottom w:val="none" w:sz="0" w:space="0" w:color="auto"/>
        <w:right w:val="none" w:sz="0" w:space="0" w:color="auto"/>
      </w:divBdr>
    </w:div>
    <w:div w:id="2072462231">
      <w:bodyDiv w:val="1"/>
      <w:marLeft w:val="0"/>
      <w:marRight w:val="0"/>
      <w:marTop w:val="0"/>
      <w:marBottom w:val="0"/>
      <w:divBdr>
        <w:top w:val="none" w:sz="0" w:space="0" w:color="auto"/>
        <w:left w:val="none" w:sz="0" w:space="0" w:color="auto"/>
        <w:bottom w:val="none" w:sz="0" w:space="0" w:color="auto"/>
        <w:right w:val="none" w:sz="0" w:space="0" w:color="auto"/>
      </w:divBdr>
    </w:div>
    <w:div w:id="2073768293">
      <w:bodyDiv w:val="1"/>
      <w:marLeft w:val="0"/>
      <w:marRight w:val="0"/>
      <w:marTop w:val="0"/>
      <w:marBottom w:val="0"/>
      <w:divBdr>
        <w:top w:val="none" w:sz="0" w:space="0" w:color="auto"/>
        <w:left w:val="none" w:sz="0" w:space="0" w:color="auto"/>
        <w:bottom w:val="none" w:sz="0" w:space="0" w:color="auto"/>
        <w:right w:val="none" w:sz="0" w:space="0" w:color="auto"/>
      </w:divBdr>
    </w:div>
    <w:div w:id="2076850515">
      <w:bodyDiv w:val="1"/>
      <w:marLeft w:val="0"/>
      <w:marRight w:val="0"/>
      <w:marTop w:val="0"/>
      <w:marBottom w:val="0"/>
      <w:divBdr>
        <w:top w:val="none" w:sz="0" w:space="0" w:color="auto"/>
        <w:left w:val="none" w:sz="0" w:space="0" w:color="auto"/>
        <w:bottom w:val="none" w:sz="0" w:space="0" w:color="auto"/>
        <w:right w:val="none" w:sz="0" w:space="0" w:color="auto"/>
      </w:divBdr>
    </w:div>
    <w:div w:id="2079208429">
      <w:bodyDiv w:val="1"/>
      <w:marLeft w:val="0"/>
      <w:marRight w:val="0"/>
      <w:marTop w:val="0"/>
      <w:marBottom w:val="0"/>
      <w:divBdr>
        <w:top w:val="none" w:sz="0" w:space="0" w:color="auto"/>
        <w:left w:val="none" w:sz="0" w:space="0" w:color="auto"/>
        <w:bottom w:val="none" w:sz="0" w:space="0" w:color="auto"/>
        <w:right w:val="none" w:sz="0" w:space="0" w:color="auto"/>
      </w:divBdr>
    </w:div>
    <w:div w:id="2082022209">
      <w:bodyDiv w:val="1"/>
      <w:marLeft w:val="0"/>
      <w:marRight w:val="0"/>
      <w:marTop w:val="0"/>
      <w:marBottom w:val="0"/>
      <w:divBdr>
        <w:top w:val="none" w:sz="0" w:space="0" w:color="auto"/>
        <w:left w:val="none" w:sz="0" w:space="0" w:color="auto"/>
        <w:bottom w:val="none" w:sz="0" w:space="0" w:color="auto"/>
        <w:right w:val="none" w:sz="0" w:space="0" w:color="auto"/>
      </w:divBdr>
    </w:div>
    <w:div w:id="2083327434">
      <w:bodyDiv w:val="1"/>
      <w:marLeft w:val="0"/>
      <w:marRight w:val="0"/>
      <w:marTop w:val="0"/>
      <w:marBottom w:val="0"/>
      <w:divBdr>
        <w:top w:val="none" w:sz="0" w:space="0" w:color="auto"/>
        <w:left w:val="none" w:sz="0" w:space="0" w:color="auto"/>
        <w:bottom w:val="none" w:sz="0" w:space="0" w:color="auto"/>
        <w:right w:val="none" w:sz="0" w:space="0" w:color="auto"/>
      </w:divBdr>
    </w:div>
    <w:div w:id="2093772911">
      <w:bodyDiv w:val="1"/>
      <w:marLeft w:val="0"/>
      <w:marRight w:val="0"/>
      <w:marTop w:val="0"/>
      <w:marBottom w:val="0"/>
      <w:divBdr>
        <w:top w:val="none" w:sz="0" w:space="0" w:color="auto"/>
        <w:left w:val="none" w:sz="0" w:space="0" w:color="auto"/>
        <w:bottom w:val="none" w:sz="0" w:space="0" w:color="auto"/>
        <w:right w:val="none" w:sz="0" w:space="0" w:color="auto"/>
      </w:divBdr>
    </w:div>
    <w:div w:id="2097703682">
      <w:bodyDiv w:val="1"/>
      <w:marLeft w:val="0"/>
      <w:marRight w:val="0"/>
      <w:marTop w:val="0"/>
      <w:marBottom w:val="0"/>
      <w:divBdr>
        <w:top w:val="none" w:sz="0" w:space="0" w:color="auto"/>
        <w:left w:val="none" w:sz="0" w:space="0" w:color="auto"/>
        <w:bottom w:val="none" w:sz="0" w:space="0" w:color="auto"/>
        <w:right w:val="none" w:sz="0" w:space="0" w:color="auto"/>
      </w:divBdr>
    </w:div>
    <w:div w:id="2099674623">
      <w:bodyDiv w:val="1"/>
      <w:marLeft w:val="0"/>
      <w:marRight w:val="0"/>
      <w:marTop w:val="0"/>
      <w:marBottom w:val="0"/>
      <w:divBdr>
        <w:top w:val="none" w:sz="0" w:space="0" w:color="auto"/>
        <w:left w:val="none" w:sz="0" w:space="0" w:color="auto"/>
        <w:bottom w:val="none" w:sz="0" w:space="0" w:color="auto"/>
        <w:right w:val="none" w:sz="0" w:space="0" w:color="auto"/>
      </w:divBdr>
    </w:div>
    <w:div w:id="2099985843">
      <w:bodyDiv w:val="1"/>
      <w:marLeft w:val="0"/>
      <w:marRight w:val="0"/>
      <w:marTop w:val="0"/>
      <w:marBottom w:val="0"/>
      <w:divBdr>
        <w:top w:val="none" w:sz="0" w:space="0" w:color="auto"/>
        <w:left w:val="none" w:sz="0" w:space="0" w:color="auto"/>
        <w:bottom w:val="none" w:sz="0" w:space="0" w:color="auto"/>
        <w:right w:val="none" w:sz="0" w:space="0" w:color="auto"/>
      </w:divBdr>
    </w:div>
    <w:div w:id="2100368530">
      <w:bodyDiv w:val="1"/>
      <w:marLeft w:val="0"/>
      <w:marRight w:val="0"/>
      <w:marTop w:val="0"/>
      <w:marBottom w:val="0"/>
      <w:divBdr>
        <w:top w:val="none" w:sz="0" w:space="0" w:color="auto"/>
        <w:left w:val="none" w:sz="0" w:space="0" w:color="auto"/>
        <w:bottom w:val="none" w:sz="0" w:space="0" w:color="auto"/>
        <w:right w:val="none" w:sz="0" w:space="0" w:color="auto"/>
      </w:divBdr>
    </w:div>
    <w:div w:id="2100372871">
      <w:bodyDiv w:val="1"/>
      <w:marLeft w:val="0"/>
      <w:marRight w:val="0"/>
      <w:marTop w:val="0"/>
      <w:marBottom w:val="0"/>
      <w:divBdr>
        <w:top w:val="none" w:sz="0" w:space="0" w:color="auto"/>
        <w:left w:val="none" w:sz="0" w:space="0" w:color="auto"/>
        <w:bottom w:val="none" w:sz="0" w:space="0" w:color="auto"/>
        <w:right w:val="none" w:sz="0" w:space="0" w:color="auto"/>
      </w:divBdr>
    </w:div>
    <w:div w:id="2103448821">
      <w:bodyDiv w:val="1"/>
      <w:marLeft w:val="0"/>
      <w:marRight w:val="0"/>
      <w:marTop w:val="0"/>
      <w:marBottom w:val="0"/>
      <w:divBdr>
        <w:top w:val="none" w:sz="0" w:space="0" w:color="auto"/>
        <w:left w:val="none" w:sz="0" w:space="0" w:color="auto"/>
        <w:bottom w:val="none" w:sz="0" w:space="0" w:color="auto"/>
        <w:right w:val="none" w:sz="0" w:space="0" w:color="auto"/>
      </w:divBdr>
    </w:div>
    <w:div w:id="2104062816">
      <w:bodyDiv w:val="1"/>
      <w:marLeft w:val="0"/>
      <w:marRight w:val="0"/>
      <w:marTop w:val="0"/>
      <w:marBottom w:val="0"/>
      <w:divBdr>
        <w:top w:val="none" w:sz="0" w:space="0" w:color="auto"/>
        <w:left w:val="none" w:sz="0" w:space="0" w:color="auto"/>
        <w:bottom w:val="none" w:sz="0" w:space="0" w:color="auto"/>
        <w:right w:val="none" w:sz="0" w:space="0" w:color="auto"/>
      </w:divBdr>
    </w:div>
    <w:div w:id="2104714892">
      <w:bodyDiv w:val="1"/>
      <w:marLeft w:val="0"/>
      <w:marRight w:val="0"/>
      <w:marTop w:val="0"/>
      <w:marBottom w:val="0"/>
      <w:divBdr>
        <w:top w:val="none" w:sz="0" w:space="0" w:color="auto"/>
        <w:left w:val="none" w:sz="0" w:space="0" w:color="auto"/>
        <w:bottom w:val="none" w:sz="0" w:space="0" w:color="auto"/>
        <w:right w:val="none" w:sz="0" w:space="0" w:color="auto"/>
      </w:divBdr>
    </w:div>
    <w:div w:id="2104910250">
      <w:bodyDiv w:val="1"/>
      <w:marLeft w:val="0"/>
      <w:marRight w:val="0"/>
      <w:marTop w:val="0"/>
      <w:marBottom w:val="0"/>
      <w:divBdr>
        <w:top w:val="none" w:sz="0" w:space="0" w:color="auto"/>
        <w:left w:val="none" w:sz="0" w:space="0" w:color="auto"/>
        <w:bottom w:val="none" w:sz="0" w:space="0" w:color="auto"/>
        <w:right w:val="none" w:sz="0" w:space="0" w:color="auto"/>
      </w:divBdr>
    </w:div>
    <w:div w:id="2106344389">
      <w:bodyDiv w:val="1"/>
      <w:marLeft w:val="0"/>
      <w:marRight w:val="0"/>
      <w:marTop w:val="0"/>
      <w:marBottom w:val="0"/>
      <w:divBdr>
        <w:top w:val="none" w:sz="0" w:space="0" w:color="auto"/>
        <w:left w:val="none" w:sz="0" w:space="0" w:color="auto"/>
        <w:bottom w:val="none" w:sz="0" w:space="0" w:color="auto"/>
        <w:right w:val="none" w:sz="0" w:space="0" w:color="auto"/>
      </w:divBdr>
    </w:div>
    <w:div w:id="2108453283">
      <w:bodyDiv w:val="1"/>
      <w:marLeft w:val="0"/>
      <w:marRight w:val="0"/>
      <w:marTop w:val="0"/>
      <w:marBottom w:val="0"/>
      <w:divBdr>
        <w:top w:val="none" w:sz="0" w:space="0" w:color="auto"/>
        <w:left w:val="none" w:sz="0" w:space="0" w:color="auto"/>
        <w:bottom w:val="none" w:sz="0" w:space="0" w:color="auto"/>
        <w:right w:val="none" w:sz="0" w:space="0" w:color="auto"/>
      </w:divBdr>
    </w:div>
    <w:div w:id="2109036832">
      <w:bodyDiv w:val="1"/>
      <w:marLeft w:val="0"/>
      <w:marRight w:val="0"/>
      <w:marTop w:val="0"/>
      <w:marBottom w:val="0"/>
      <w:divBdr>
        <w:top w:val="none" w:sz="0" w:space="0" w:color="auto"/>
        <w:left w:val="none" w:sz="0" w:space="0" w:color="auto"/>
        <w:bottom w:val="none" w:sz="0" w:space="0" w:color="auto"/>
        <w:right w:val="none" w:sz="0" w:space="0" w:color="auto"/>
      </w:divBdr>
    </w:div>
    <w:div w:id="2110158433">
      <w:bodyDiv w:val="1"/>
      <w:marLeft w:val="0"/>
      <w:marRight w:val="0"/>
      <w:marTop w:val="0"/>
      <w:marBottom w:val="0"/>
      <w:divBdr>
        <w:top w:val="none" w:sz="0" w:space="0" w:color="auto"/>
        <w:left w:val="none" w:sz="0" w:space="0" w:color="auto"/>
        <w:bottom w:val="none" w:sz="0" w:space="0" w:color="auto"/>
        <w:right w:val="none" w:sz="0" w:space="0" w:color="auto"/>
      </w:divBdr>
    </w:div>
    <w:div w:id="2111006435">
      <w:bodyDiv w:val="1"/>
      <w:marLeft w:val="0"/>
      <w:marRight w:val="0"/>
      <w:marTop w:val="0"/>
      <w:marBottom w:val="0"/>
      <w:divBdr>
        <w:top w:val="none" w:sz="0" w:space="0" w:color="auto"/>
        <w:left w:val="none" w:sz="0" w:space="0" w:color="auto"/>
        <w:bottom w:val="none" w:sz="0" w:space="0" w:color="auto"/>
        <w:right w:val="none" w:sz="0" w:space="0" w:color="auto"/>
      </w:divBdr>
    </w:div>
    <w:div w:id="2112237259">
      <w:bodyDiv w:val="1"/>
      <w:marLeft w:val="0"/>
      <w:marRight w:val="0"/>
      <w:marTop w:val="0"/>
      <w:marBottom w:val="0"/>
      <w:divBdr>
        <w:top w:val="none" w:sz="0" w:space="0" w:color="auto"/>
        <w:left w:val="none" w:sz="0" w:space="0" w:color="auto"/>
        <w:bottom w:val="none" w:sz="0" w:space="0" w:color="auto"/>
        <w:right w:val="none" w:sz="0" w:space="0" w:color="auto"/>
      </w:divBdr>
    </w:div>
    <w:div w:id="2114742716">
      <w:bodyDiv w:val="1"/>
      <w:marLeft w:val="0"/>
      <w:marRight w:val="0"/>
      <w:marTop w:val="0"/>
      <w:marBottom w:val="0"/>
      <w:divBdr>
        <w:top w:val="none" w:sz="0" w:space="0" w:color="auto"/>
        <w:left w:val="none" w:sz="0" w:space="0" w:color="auto"/>
        <w:bottom w:val="none" w:sz="0" w:space="0" w:color="auto"/>
        <w:right w:val="none" w:sz="0" w:space="0" w:color="auto"/>
      </w:divBdr>
    </w:div>
    <w:div w:id="2115441898">
      <w:bodyDiv w:val="1"/>
      <w:marLeft w:val="0"/>
      <w:marRight w:val="0"/>
      <w:marTop w:val="0"/>
      <w:marBottom w:val="0"/>
      <w:divBdr>
        <w:top w:val="none" w:sz="0" w:space="0" w:color="auto"/>
        <w:left w:val="none" w:sz="0" w:space="0" w:color="auto"/>
        <w:bottom w:val="none" w:sz="0" w:space="0" w:color="auto"/>
        <w:right w:val="none" w:sz="0" w:space="0" w:color="auto"/>
      </w:divBdr>
    </w:div>
    <w:div w:id="2116367693">
      <w:bodyDiv w:val="1"/>
      <w:marLeft w:val="0"/>
      <w:marRight w:val="0"/>
      <w:marTop w:val="0"/>
      <w:marBottom w:val="0"/>
      <w:divBdr>
        <w:top w:val="none" w:sz="0" w:space="0" w:color="auto"/>
        <w:left w:val="none" w:sz="0" w:space="0" w:color="auto"/>
        <w:bottom w:val="none" w:sz="0" w:space="0" w:color="auto"/>
        <w:right w:val="none" w:sz="0" w:space="0" w:color="auto"/>
      </w:divBdr>
    </w:div>
    <w:div w:id="2117359356">
      <w:bodyDiv w:val="1"/>
      <w:marLeft w:val="0"/>
      <w:marRight w:val="0"/>
      <w:marTop w:val="0"/>
      <w:marBottom w:val="0"/>
      <w:divBdr>
        <w:top w:val="none" w:sz="0" w:space="0" w:color="auto"/>
        <w:left w:val="none" w:sz="0" w:space="0" w:color="auto"/>
        <w:bottom w:val="none" w:sz="0" w:space="0" w:color="auto"/>
        <w:right w:val="none" w:sz="0" w:space="0" w:color="auto"/>
      </w:divBdr>
    </w:div>
    <w:div w:id="2118593299">
      <w:bodyDiv w:val="1"/>
      <w:marLeft w:val="0"/>
      <w:marRight w:val="0"/>
      <w:marTop w:val="0"/>
      <w:marBottom w:val="0"/>
      <w:divBdr>
        <w:top w:val="none" w:sz="0" w:space="0" w:color="auto"/>
        <w:left w:val="none" w:sz="0" w:space="0" w:color="auto"/>
        <w:bottom w:val="none" w:sz="0" w:space="0" w:color="auto"/>
        <w:right w:val="none" w:sz="0" w:space="0" w:color="auto"/>
      </w:divBdr>
    </w:div>
    <w:div w:id="2119131261">
      <w:bodyDiv w:val="1"/>
      <w:marLeft w:val="0"/>
      <w:marRight w:val="0"/>
      <w:marTop w:val="0"/>
      <w:marBottom w:val="0"/>
      <w:divBdr>
        <w:top w:val="none" w:sz="0" w:space="0" w:color="auto"/>
        <w:left w:val="none" w:sz="0" w:space="0" w:color="auto"/>
        <w:bottom w:val="none" w:sz="0" w:space="0" w:color="auto"/>
        <w:right w:val="none" w:sz="0" w:space="0" w:color="auto"/>
      </w:divBdr>
    </w:div>
    <w:div w:id="2119592739">
      <w:bodyDiv w:val="1"/>
      <w:marLeft w:val="0"/>
      <w:marRight w:val="0"/>
      <w:marTop w:val="0"/>
      <w:marBottom w:val="0"/>
      <w:divBdr>
        <w:top w:val="none" w:sz="0" w:space="0" w:color="auto"/>
        <w:left w:val="none" w:sz="0" w:space="0" w:color="auto"/>
        <w:bottom w:val="none" w:sz="0" w:space="0" w:color="auto"/>
        <w:right w:val="none" w:sz="0" w:space="0" w:color="auto"/>
      </w:divBdr>
    </w:div>
    <w:div w:id="2120948666">
      <w:bodyDiv w:val="1"/>
      <w:marLeft w:val="0"/>
      <w:marRight w:val="0"/>
      <w:marTop w:val="0"/>
      <w:marBottom w:val="0"/>
      <w:divBdr>
        <w:top w:val="none" w:sz="0" w:space="0" w:color="auto"/>
        <w:left w:val="none" w:sz="0" w:space="0" w:color="auto"/>
        <w:bottom w:val="none" w:sz="0" w:space="0" w:color="auto"/>
        <w:right w:val="none" w:sz="0" w:space="0" w:color="auto"/>
      </w:divBdr>
    </w:div>
    <w:div w:id="2121603599">
      <w:bodyDiv w:val="1"/>
      <w:marLeft w:val="0"/>
      <w:marRight w:val="0"/>
      <w:marTop w:val="0"/>
      <w:marBottom w:val="0"/>
      <w:divBdr>
        <w:top w:val="none" w:sz="0" w:space="0" w:color="auto"/>
        <w:left w:val="none" w:sz="0" w:space="0" w:color="auto"/>
        <w:bottom w:val="none" w:sz="0" w:space="0" w:color="auto"/>
        <w:right w:val="none" w:sz="0" w:space="0" w:color="auto"/>
      </w:divBdr>
    </w:div>
    <w:div w:id="2122142640">
      <w:bodyDiv w:val="1"/>
      <w:marLeft w:val="0"/>
      <w:marRight w:val="0"/>
      <w:marTop w:val="0"/>
      <w:marBottom w:val="0"/>
      <w:divBdr>
        <w:top w:val="none" w:sz="0" w:space="0" w:color="auto"/>
        <w:left w:val="none" w:sz="0" w:space="0" w:color="auto"/>
        <w:bottom w:val="none" w:sz="0" w:space="0" w:color="auto"/>
        <w:right w:val="none" w:sz="0" w:space="0" w:color="auto"/>
      </w:divBdr>
    </w:div>
    <w:div w:id="2122336035">
      <w:bodyDiv w:val="1"/>
      <w:marLeft w:val="0"/>
      <w:marRight w:val="0"/>
      <w:marTop w:val="0"/>
      <w:marBottom w:val="0"/>
      <w:divBdr>
        <w:top w:val="none" w:sz="0" w:space="0" w:color="auto"/>
        <w:left w:val="none" w:sz="0" w:space="0" w:color="auto"/>
        <w:bottom w:val="none" w:sz="0" w:space="0" w:color="auto"/>
        <w:right w:val="none" w:sz="0" w:space="0" w:color="auto"/>
      </w:divBdr>
    </w:div>
    <w:div w:id="2122799419">
      <w:bodyDiv w:val="1"/>
      <w:marLeft w:val="0"/>
      <w:marRight w:val="0"/>
      <w:marTop w:val="0"/>
      <w:marBottom w:val="0"/>
      <w:divBdr>
        <w:top w:val="none" w:sz="0" w:space="0" w:color="auto"/>
        <w:left w:val="none" w:sz="0" w:space="0" w:color="auto"/>
        <w:bottom w:val="none" w:sz="0" w:space="0" w:color="auto"/>
        <w:right w:val="none" w:sz="0" w:space="0" w:color="auto"/>
      </w:divBdr>
    </w:div>
    <w:div w:id="2124106032">
      <w:bodyDiv w:val="1"/>
      <w:marLeft w:val="0"/>
      <w:marRight w:val="0"/>
      <w:marTop w:val="0"/>
      <w:marBottom w:val="0"/>
      <w:divBdr>
        <w:top w:val="none" w:sz="0" w:space="0" w:color="auto"/>
        <w:left w:val="none" w:sz="0" w:space="0" w:color="auto"/>
        <w:bottom w:val="none" w:sz="0" w:space="0" w:color="auto"/>
        <w:right w:val="none" w:sz="0" w:space="0" w:color="auto"/>
      </w:divBdr>
    </w:div>
    <w:div w:id="2124692539">
      <w:bodyDiv w:val="1"/>
      <w:marLeft w:val="0"/>
      <w:marRight w:val="0"/>
      <w:marTop w:val="0"/>
      <w:marBottom w:val="0"/>
      <w:divBdr>
        <w:top w:val="none" w:sz="0" w:space="0" w:color="auto"/>
        <w:left w:val="none" w:sz="0" w:space="0" w:color="auto"/>
        <w:bottom w:val="none" w:sz="0" w:space="0" w:color="auto"/>
        <w:right w:val="none" w:sz="0" w:space="0" w:color="auto"/>
      </w:divBdr>
    </w:div>
    <w:div w:id="2125029552">
      <w:bodyDiv w:val="1"/>
      <w:marLeft w:val="0"/>
      <w:marRight w:val="0"/>
      <w:marTop w:val="0"/>
      <w:marBottom w:val="0"/>
      <w:divBdr>
        <w:top w:val="none" w:sz="0" w:space="0" w:color="auto"/>
        <w:left w:val="none" w:sz="0" w:space="0" w:color="auto"/>
        <w:bottom w:val="none" w:sz="0" w:space="0" w:color="auto"/>
        <w:right w:val="none" w:sz="0" w:space="0" w:color="auto"/>
      </w:divBdr>
    </w:div>
    <w:div w:id="2130274629">
      <w:bodyDiv w:val="1"/>
      <w:marLeft w:val="0"/>
      <w:marRight w:val="0"/>
      <w:marTop w:val="0"/>
      <w:marBottom w:val="0"/>
      <w:divBdr>
        <w:top w:val="none" w:sz="0" w:space="0" w:color="auto"/>
        <w:left w:val="none" w:sz="0" w:space="0" w:color="auto"/>
        <w:bottom w:val="none" w:sz="0" w:space="0" w:color="auto"/>
        <w:right w:val="none" w:sz="0" w:space="0" w:color="auto"/>
      </w:divBdr>
    </w:div>
    <w:div w:id="2131049119">
      <w:bodyDiv w:val="1"/>
      <w:marLeft w:val="0"/>
      <w:marRight w:val="0"/>
      <w:marTop w:val="0"/>
      <w:marBottom w:val="0"/>
      <w:divBdr>
        <w:top w:val="none" w:sz="0" w:space="0" w:color="auto"/>
        <w:left w:val="none" w:sz="0" w:space="0" w:color="auto"/>
        <w:bottom w:val="none" w:sz="0" w:space="0" w:color="auto"/>
        <w:right w:val="none" w:sz="0" w:space="0" w:color="auto"/>
      </w:divBdr>
    </w:div>
    <w:div w:id="2133935838">
      <w:bodyDiv w:val="1"/>
      <w:marLeft w:val="0"/>
      <w:marRight w:val="0"/>
      <w:marTop w:val="0"/>
      <w:marBottom w:val="0"/>
      <w:divBdr>
        <w:top w:val="none" w:sz="0" w:space="0" w:color="auto"/>
        <w:left w:val="none" w:sz="0" w:space="0" w:color="auto"/>
        <w:bottom w:val="none" w:sz="0" w:space="0" w:color="auto"/>
        <w:right w:val="none" w:sz="0" w:space="0" w:color="auto"/>
      </w:divBdr>
    </w:div>
    <w:div w:id="2135051413">
      <w:bodyDiv w:val="1"/>
      <w:marLeft w:val="0"/>
      <w:marRight w:val="0"/>
      <w:marTop w:val="0"/>
      <w:marBottom w:val="0"/>
      <w:divBdr>
        <w:top w:val="none" w:sz="0" w:space="0" w:color="auto"/>
        <w:left w:val="none" w:sz="0" w:space="0" w:color="auto"/>
        <w:bottom w:val="none" w:sz="0" w:space="0" w:color="auto"/>
        <w:right w:val="none" w:sz="0" w:space="0" w:color="auto"/>
      </w:divBdr>
    </w:div>
    <w:div w:id="2135783262">
      <w:bodyDiv w:val="1"/>
      <w:marLeft w:val="0"/>
      <w:marRight w:val="0"/>
      <w:marTop w:val="0"/>
      <w:marBottom w:val="0"/>
      <w:divBdr>
        <w:top w:val="none" w:sz="0" w:space="0" w:color="auto"/>
        <w:left w:val="none" w:sz="0" w:space="0" w:color="auto"/>
        <w:bottom w:val="none" w:sz="0" w:space="0" w:color="auto"/>
        <w:right w:val="none" w:sz="0" w:space="0" w:color="auto"/>
      </w:divBdr>
    </w:div>
    <w:div w:id="2136832149">
      <w:bodyDiv w:val="1"/>
      <w:marLeft w:val="0"/>
      <w:marRight w:val="0"/>
      <w:marTop w:val="0"/>
      <w:marBottom w:val="0"/>
      <w:divBdr>
        <w:top w:val="none" w:sz="0" w:space="0" w:color="auto"/>
        <w:left w:val="none" w:sz="0" w:space="0" w:color="auto"/>
        <w:bottom w:val="none" w:sz="0" w:space="0" w:color="auto"/>
        <w:right w:val="none" w:sz="0" w:space="0" w:color="auto"/>
      </w:divBdr>
    </w:div>
    <w:div w:id="2139179200">
      <w:bodyDiv w:val="1"/>
      <w:marLeft w:val="0"/>
      <w:marRight w:val="0"/>
      <w:marTop w:val="0"/>
      <w:marBottom w:val="0"/>
      <w:divBdr>
        <w:top w:val="none" w:sz="0" w:space="0" w:color="auto"/>
        <w:left w:val="none" w:sz="0" w:space="0" w:color="auto"/>
        <w:bottom w:val="none" w:sz="0" w:space="0" w:color="auto"/>
        <w:right w:val="none" w:sz="0" w:space="0" w:color="auto"/>
      </w:divBdr>
    </w:div>
    <w:div w:id="2139837326">
      <w:bodyDiv w:val="1"/>
      <w:marLeft w:val="0"/>
      <w:marRight w:val="0"/>
      <w:marTop w:val="0"/>
      <w:marBottom w:val="0"/>
      <w:divBdr>
        <w:top w:val="none" w:sz="0" w:space="0" w:color="auto"/>
        <w:left w:val="none" w:sz="0" w:space="0" w:color="auto"/>
        <w:bottom w:val="none" w:sz="0" w:space="0" w:color="auto"/>
        <w:right w:val="none" w:sz="0" w:space="0" w:color="auto"/>
      </w:divBdr>
    </w:div>
    <w:div w:id="2140108803">
      <w:bodyDiv w:val="1"/>
      <w:marLeft w:val="0"/>
      <w:marRight w:val="0"/>
      <w:marTop w:val="0"/>
      <w:marBottom w:val="0"/>
      <w:divBdr>
        <w:top w:val="none" w:sz="0" w:space="0" w:color="auto"/>
        <w:left w:val="none" w:sz="0" w:space="0" w:color="auto"/>
        <w:bottom w:val="none" w:sz="0" w:space="0" w:color="auto"/>
        <w:right w:val="none" w:sz="0" w:space="0" w:color="auto"/>
      </w:divBdr>
    </w:div>
    <w:div w:id="2140536958">
      <w:bodyDiv w:val="1"/>
      <w:marLeft w:val="0"/>
      <w:marRight w:val="0"/>
      <w:marTop w:val="0"/>
      <w:marBottom w:val="0"/>
      <w:divBdr>
        <w:top w:val="none" w:sz="0" w:space="0" w:color="auto"/>
        <w:left w:val="none" w:sz="0" w:space="0" w:color="auto"/>
        <w:bottom w:val="none" w:sz="0" w:space="0" w:color="auto"/>
        <w:right w:val="none" w:sz="0" w:space="0" w:color="auto"/>
      </w:divBdr>
    </w:div>
    <w:div w:id="2141800489">
      <w:bodyDiv w:val="1"/>
      <w:marLeft w:val="0"/>
      <w:marRight w:val="0"/>
      <w:marTop w:val="0"/>
      <w:marBottom w:val="0"/>
      <w:divBdr>
        <w:top w:val="none" w:sz="0" w:space="0" w:color="auto"/>
        <w:left w:val="none" w:sz="0" w:space="0" w:color="auto"/>
        <w:bottom w:val="none" w:sz="0" w:space="0" w:color="auto"/>
        <w:right w:val="none" w:sz="0" w:space="0" w:color="auto"/>
      </w:divBdr>
    </w:div>
    <w:div w:id="2142335326">
      <w:bodyDiv w:val="1"/>
      <w:marLeft w:val="0"/>
      <w:marRight w:val="0"/>
      <w:marTop w:val="0"/>
      <w:marBottom w:val="0"/>
      <w:divBdr>
        <w:top w:val="none" w:sz="0" w:space="0" w:color="auto"/>
        <w:left w:val="none" w:sz="0" w:space="0" w:color="auto"/>
        <w:bottom w:val="none" w:sz="0" w:space="0" w:color="auto"/>
        <w:right w:val="none" w:sz="0" w:space="0" w:color="auto"/>
      </w:divBdr>
    </w:div>
    <w:div w:id="214427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footer" Target="footer34.xml"/><Relationship Id="rId21" Type="http://schemas.openxmlformats.org/officeDocument/2006/relationships/image" Target="media/image5.jpg"/><Relationship Id="rId42" Type="http://schemas.openxmlformats.org/officeDocument/2006/relationships/header" Target="header10.xml"/><Relationship Id="rId63" Type="http://schemas.openxmlformats.org/officeDocument/2006/relationships/image" Target="media/image19.emf"/><Relationship Id="rId84" Type="http://schemas.openxmlformats.org/officeDocument/2006/relationships/image" Target="media/image33.png"/><Relationship Id="rId138" Type="http://schemas.openxmlformats.org/officeDocument/2006/relationships/footer" Target="footer37.xml"/><Relationship Id="rId107" Type="http://schemas.openxmlformats.org/officeDocument/2006/relationships/image" Target="media/image48.emf"/><Relationship Id="rId11" Type="http://schemas.openxmlformats.org/officeDocument/2006/relationships/footer" Target="footer3.xml"/><Relationship Id="rId32" Type="http://schemas.openxmlformats.org/officeDocument/2006/relationships/footer" Target="footer11.xml"/><Relationship Id="rId53" Type="http://schemas.openxmlformats.org/officeDocument/2006/relationships/header" Target="header13.xml"/><Relationship Id="rId74" Type="http://schemas.openxmlformats.org/officeDocument/2006/relationships/image" Target="media/image30.emf"/><Relationship Id="rId128" Type="http://schemas.openxmlformats.org/officeDocument/2006/relationships/image" Target="media/image62.emf"/><Relationship Id="rId149" Type="http://schemas.openxmlformats.org/officeDocument/2006/relationships/theme" Target="theme/theme1.xml"/><Relationship Id="rId5" Type="http://schemas.openxmlformats.org/officeDocument/2006/relationships/webSettings" Target="webSettings.xml"/><Relationship Id="rId95" Type="http://schemas.openxmlformats.org/officeDocument/2006/relationships/footer" Target="footer28.xml"/><Relationship Id="rId22" Type="http://schemas.openxmlformats.org/officeDocument/2006/relationships/header" Target="header1.xml"/><Relationship Id="rId27" Type="http://schemas.openxmlformats.org/officeDocument/2006/relationships/header" Target="header3.xml"/><Relationship Id="rId43" Type="http://schemas.openxmlformats.org/officeDocument/2006/relationships/footer" Target="footer17.xml"/><Relationship Id="rId48" Type="http://schemas.openxmlformats.org/officeDocument/2006/relationships/image" Target="media/image11.emf"/><Relationship Id="rId64" Type="http://schemas.openxmlformats.org/officeDocument/2006/relationships/image" Target="media/image20.emf"/><Relationship Id="rId69" Type="http://schemas.openxmlformats.org/officeDocument/2006/relationships/image" Target="media/image25.emf"/><Relationship Id="rId113" Type="http://schemas.openxmlformats.org/officeDocument/2006/relationships/footer" Target="footer32.xml"/><Relationship Id="rId118" Type="http://schemas.openxmlformats.org/officeDocument/2006/relationships/image" Target="media/image52.emf"/><Relationship Id="rId134" Type="http://schemas.openxmlformats.org/officeDocument/2006/relationships/header" Target="header29.xml"/><Relationship Id="rId139" Type="http://schemas.openxmlformats.org/officeDocument/2006/relationships/image" Target="media/image67.png"/><Relationship Id="rId80" Type="http://schemas.openxmlformats.org/officeDocument/2006/relationships/header" Target="header19.xml"/><Relationship Id="rId85" Type="http://schemas.openxmlformats.org/officeDocument/2006/relationships/image" Target="media/image34.emf"/><Relationship Id="rId12" Type="http://schemas.openxmlformats.org/officeDocument/2006/relationships/image" Target="media/image2.png"/><Relationship Id="rId17" Type="http://schemas.openxmlformats.org/officeDocument/2006/relationships/image" Target="media/image4.png"/><Relationship Id="rId33" Type="http://schemas.openxmlformats.org/officeDocument/2006/relationships/header" Target="header6.xml"/><Relationship Id="rId38" Type="http://schemas.openxmlformats.org/officeDocument/2006/relationships/header" Target="header8.xml"/><Relationship Id="rId59" Type="http://schemas.openxmlformats.org/officeDocument/2006/relationships/header" Target="header16.xml"/><Relationship Id="rId103" Type="http://schemas.openxmlformats.org/officeDocument/2006/relationships/chart" Target="charts/chart2.xml"/><Relationship Id="rId108" Type="http://schemas.openxmlformats.org/officeDocument/2006/relationships/image" Target="media/image49.emf"/><Relationship Id="rId124" Type="http://schemas.openxmlformats.org/officeDocument/2006/relationships/image" Target="media/image58.emf"/><Relationship Id="rId129" Type="http://schemas.openxmlformats.org/officeDocument/2006/relationships/image" Target="media/image63.png"/><Relationship Id="rId54" Type="http://schemas.openxmlformats.org/officeDocument/2006/relationships/header" Target="header14.xml"/><Relationship Id="rId70" Type="http://schemas.openxmlformats.org/officeDocument/2006/relationships/image" Target="media/image26.emf"/><Relationship Id="rId75" Type="http://schemas.openxmlformats.org/officeDocument/2006/relationships/image" Target="media/image31.emf"/><Relationship Id="rId91" Type="http://schemas.openxmlformats.org/officeDocument/2006/relationships/image" Target="media/image40.emf"/><Relationship Id="rId96" Type="http://schemas.openxmlformats.org/officeDocument/2006/relationships/footer" Target="footer29.xml"/><Relationship Id="rId140" Type="http://schemas.openxmlformats.org/officeDocument/2006/relationships/image" Target="media/image68.png"/><Relationship Id="rId145" Type="http://schemas.openxmlformats.org/officeDocument/2006/relationships/footer" Target="footer38.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7.xml"/><Relationship Id="rId28" Type="http://schemas.openxmlformats.org/officeDocument/2006/relationships/footer" Target="footer9.xml"/><Relationship Id="rId49" Type="http://schemas.openxmlformats.org/officeDocument/2006/relationships/image" Target="media/image12.emf"/><Relationship Id="rId114" Type="http://schemas.openxmlformats.org/officeDocument/2006/relationships/header" Target="header26.xml"/><Relationship Id="rId119" Type="http://schemas.openxmlformats.org/officeDocument/2006/relationships/image" Target="media/image53.emf"/><Relationship Id="rId44" Type="http://schemas.openxmlformats.org/officeDocument/2006/relationships/header" Target="header11.xml"/><Relationship Id="rId60" Type="http://schemas.openxmlformats.org/officeDocument/2006/relationships/footer" Target="footer23.xml"/><Relationship Id="rId65" Type="http://schemas.openxmlformats.org/officeDocument/2006/relationships/image" Target="media/image21.emf"/><Relationship Id="rId81" Type="http://schemas.openxmlformats.org/officeDocument/2006/relationships/footer" Target="footer26.xml"/><Relationship Id="rId86" Type="http://schemas.openxmlformats.org/officeDocument/2006/relationships/image" Target="media/image35.emf"/><Relationship Id="rId130" Type="http://schemas.openxmlformats.org/officeDocument/2006/relationships/image" Target="media/image64.png"/><Relationship Id="rId135" Type="http://schemas.openxmlformats.org/officeDocument/2006/relationships/footer" Target="footer35.xml"/><Relationship Id="rId13" Type="http://schemas.openxmlformats.org/officeDocument/2006/relationships/image" Target="media/image3.png"/><Relationship Id="rId18" Type="http://schemas.openxmlformats.org/officeDocument/2006/relationships/footer" Target="footer4.xml"/><Relationship Id="rId39" Type="http://schemas.openxmlformats.org/officeDocument/2006/relationships/header" Target="header9.xml"/><Relationship Id="rId109" Type="http://schemas.openxmlformats.org/officeDocument/2006/relationships/image" Target="media/image50.emf"/><Relationship Id="rId34" Type="http://schemas.openxmlformats.org/officeDocument/2006/relationships/header" Target="header7.xml"/><Relationship Id="rId50" Type="http://schemas.openxmlformats.org/officeDocument/2006/relationships/image" Target="media/image13.emf"/><Relationship Id="rId55" Type="http://schemas.openxmlformats.org/officeDocument/2006/relationships/footer" Target="footer20.xml"/><Relationship Id="rId76" Type="http://schemas.openxmlformats.org/officeDocument/2006/relationships/header" Target="header17.xml"/><Relationship Id="rId97" Type="http://schemas.openxmlformats.org/officeDocument/2006/relationships/header" Target="header23.xml"/><Relationship Id="rId104" Type="http://schemas.openxmlformats.org/officeDocument/2006/relationships/image" Target="media/image45.emf"/><Relationship Id="rId120" Type="http://schemas.openxmlformats.org/officeDocument/2006/relationships/image" Target="media/image54.emf"/><Relationship Id="rId125" Type="http://schemas.openxmlformats.org/officeDocument/2006/relationships/image" Target="media/image59.emf"/><Relationship Id="rId141" Type="http://schemas.openxmlformats.org/officeDocument/2006/relationships/image" Target="media/image69.png"/><Relationship Id="rId146" Type="http://schemas.openxmlformats.org/officeDocument/2006/relationships/footer" Target="footer39.xml"/><Relationship Id="rId7" Type="http://schemas.openxmlformats.org/officeDocument/2006/relationships/endnotes" Target="endnotes.xml"/><Relationship Id="rId71" Type="http://schemas.openxmlformats.org/officeDocument/2006/relationships/image" Target="media/image27.emf"/><Relationship Id="rId92" Type="http://schemas.openxmlformats.org/officeDocument/2006/relationships/image" Target="media/image41.emf"/><Relationship Id="rId2" Type="http://schemas.openxmlformats.org/officeDocument/2006/relationships/numbering" Target="numbering.xml"/><Relationship Id="rId29" Type="http://schemas.openxmlformats.org/officeDocument/2006/relationships/header" Target="header4.xml"/><Relationship Id="rId24" Type="http://schemas.openxmlformats.org/officeDocument/2006/relationships/header" Target="header2.xml"/><Relationship Id="rId40" Type="http://schemas.openxmlformats.org/officeDocument/2006/relationships/footer" Target="footer15.xml"/><Relationship Id="rId45" Type="http://schemas.openxmlformats.org/officeDocument/2006/relationships/header" Target="header12.xml"/><Relationship Id="rId66" Type="http://schemas.openxmlformats.org/officeDocument/2006/relationships/image" Target="media/image22.emf"/><Relationship Id="rId87" Type="http://schemas.openxmlformats.org/officeDocument/2006/relationships/image" Target="media/image36.emf"/><Relationship Id="rId110" Type="http://schemas.openxmlformats.org/officeDocument/2006/relationships/header" Target="header24.xml"/><Relationship Id="rId115" Type="http://schemas.openxmlformats.org/officeDocument/2006/relationships/footer" Target="footer33.xml"/><Relationship Id="rId131" Type="http://schemas.openxmlformats.org/officeDocument/2006/relationships/image" Target="media/image65.png"/><Relationship Id="rId136" Type="http://schemas.openxmlformats.org/officeDocument/2006/relationships/footer" Target="footer36.xml"/><Relationship Id="rId61" Type="http://schemas.openxmlformats.org/officeDocument/2006/relationships/image" Target="media/image17.emf"/><Relationship Id="rId82" Type="http://schemas.openxmlformats.org/officeDocument/2006/relationships/header" Target="header20.xml"/><Relationship Id="rId19" Type="http://schemas.openxmlformats.org/officeDocument/2006/relationships/footer" Target="footer5.xml"/><Relationship Id="rId14" Type="http://schemas.openxmlformats.org/officeDocument/2006/relationships/hyperlink" Target="https://creativecommons.org/" TargetMode="External"/><Relationship Id="rId30" Type="http://schemas.openxmlformats.org/officeDocument/2006/relationships/footer" Target="footer10.xml"/><Relationship Id="rId35" Type="http://schemas.openxmlformats.org/officeDocument/2006/relationships/footer" Target="footer12.xml"/><Relationship Id="rId56" Type="http://schemas.openxmlformats.org/officeDocument/2006/relationships/footer" Target="footer21.xml"/><Relationship Id="rId77" Type="http://schemas.openxmlformats.org/officeDocument/2006/relationships/header" Target="header18.xml"/><Relationship Id="rId100" Type="http://schemas.openxmlformats.org/officeDocument/2006/relationships/image" Target="media/image43.emf"/><Relationship Id="rId105" Type="http://schemas.openxmlformats.org/officeDocument/2006/relationships/image" Target="media/image46.emf"/><Relationship Id="rId126" Type="http://schemas.openxmlformats.org/officeDocument/2006/relationships/image" Target="media/image60.emf"/><Relationship Id="rId147" Type="http://schemas.openxmlformats.org/officeDocument/2006/relationships/footer" Target="footer40.xml"/><Relationship Id="rId8" Type="http://schemas.openxmlformats.org/officeDocument/2006/relationships/image" Target="media/image1.png"/><Relationship Id="rId51" Type="http://schemas.openxmlformats.org/officeDocument/2006/relationships/image" Target="media/image14.emf"/><Relationship Id="rId72" Type="http://schemas.openxmlformats.org/officeDocument/2006/relationships/image" Target="media/image28.emf"/><Relationship Id="rId93" Type="http://schemas.openxmlformats.org/officeDocument/2006/relationships/header" Target="header21.xml"/><Relationship Id="rId98" Type="http://schemas.openxmlformats.org/officeDocument/2006/relationships/footer" Target="footer30.xml"/><Relationship Id="rId121" Type="http://schemas.openxmlformats.org/officeDocument/2006/relationships/image" Target="media/image55.emf"/><Relationship Id="rId142" Type="http://schemas.openxmlformats.org/officeDocument/2006/relationships/image" Target="media/image70.png"/><Relationship Id="rId3" Type="http://schemas.openxmlformats.org/officeDocument/2006/relationships/styles" Target="styles.xml"/><Relationship Id="rId25" Type="http://schemas.openxmlformats.org/officeDocument/2006/relationships/footer" Target="footer8.xml"/><Relationship Id="rId46" Type="http://schemas.openxmlformats.org/officeDocument/2006/relationships/footer" Target="footer18.xml"/><Relationship Id="rId67" Type="http://schemas.openxmlformats.org/officeDocument/2006/relationships/image" Target="media/image23.emf"/><Relationship Id="rId116" Type="http://schemas.openxmlformats.org/officeDocument/2006/relationships/header" Target="header27.xml"/><Relationship Id="rId137" Type="http://schemas.openxmlformats.org/officeDocument/2006/relationships/header" Target="header30.xml"/><Relationship Id="rId20" Type="http://schemas.openxmlformats.org/officeDocument/2006/relationships/footer" Target="footer6.xml"/><Relationship Id="rId41" Type="http://schemas.openxmlformats.org/officeDocument/2006/relationships/footer" Target="footer16.xml"/><Relationship Id="rId62" Type="http://schemas.openxmlformats.org/officeDocument/2006/relationships/image" Target="media/image18.emf"/><Relationship Id="rId83" Type="http://schemas.openxmlformats.org/officeDocument/2006/relationships/footer" Target="footer27.xml"/><Relationship Id="rId88" Type="http://schemas.openxmlformats.org/officeDocument/2006/relationships/image" Target="media/image37.emf"/><Relationship Id="rId111" Type="http://schemas.openxmlformats.org/officeDocument/2006/relationships/header" Target="header25.xml"/><Relationship Id="rId132" Type="http://schemas.openxmlformats.org/officeDocument/2006/relationships/image" Target="media/image66.png"/><Relationship Id="rId15" Type="http://schemas.openxmlformats.org/officeDocument/2006/relationships/hyperlink" Target="https://www.pmc.gov.au/" TargetMode="External"/><Relationship Id="rId36" Type="http://schemas.openxmlformats.org/officeDocument/2006/relationships/footer" Target="footer13.xml"/><Relationship Id="rId57" Type="http://schemas.openxmlformats.org/officeDocument/2006/relationships/header" Target="header15.xml"/><Relationship Id="rId106" Type="http://schemas.openxmlformats.org/officeDocument/2006/relationships/image" Target="media/image47.emf"/><Relationship Id="rId127" Type="http://schemas.openxmlformats.org/officeDocument/2006/relationships/image" Target="media/image61.emf"/><Relationship Id="rId10" Type="http://schemas.openxmlformats.org/officeDocument/2006/relationships/footer" Target="footer2.xml"/><Relationship Id="rId31" Type="http://schemas.openxmlformats.org/officeDocument/2006/relationships/header" Target="header5.xml"/><Relationship Id="rId52" Type="http://schemas.openxmlformats.org/officeDocument/2006/relationships/image" Target="media/image15.png"/><Relationship Id="rId73" Type="http://schemas.openxmlformats.org/officeDocument/2006/relationships/image" Target="media/image29.emf"/><Relationship Id="rId78" Type="http://schemas.openxmlformats.org/officeDocument/2006/relationships/footer" Target="footer24.xml"/><Relationship Id="rId94" Type="http://schemas.openxmlformats.org/officeDocument/2006/relationships/header" Target="header22.xml"/><Relationship Id="rId99" Type="http://schemas.openxmlformats.org/officeDocument/2006/relationships/image" Target="media/image42.emf"/><Relationship Id="rId101" Type="http://schemas.openxmlformats.org/officeDocument/2006/relationships/image" Target="media/image44.emf"/><Relationship Id="rId122" Type="http://schemas.openxmlformats.org/officeDocument/2006/relationships/image" Target="media/image56.emf"/><Relationship Id="rId143" Type="http://schemas.openxmlformats.org/officeDocument/2006/relationships/header" Target="header31.xml"/><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image" Target="media/image7.png"/><Relationship Id="rId47" Type="http://schemas.openxmlformats.org/officeDocument/2006/relationships/footer" Target="footer19.xml"/><Relationship Id="rId68" Type="http://schemas.openxmlformats.org/officeDocument/2006/relationships/image" Target="media/image24.emf"/><Relationship Id="rId89" Type="http://schemas.openxmlformats.org/officeDocument/2006/relationships/image" Target="media/image38.emf"/><Relationship Id="rId112" Type="http://schemas.openxmlformats.org/officeDocument/2006/relationships/footer" Target="footer31.xml"/><Relationship Id="rId133" Type="http://schemas.openxmlformats.org/officeDocument/2006/relationships/header" Target="header28.xml"/><Relationship Id="rId16" Type="http://schemas.openxmlformats.org/officeDocument/2006/relationships/hyperlink" Target="mailto:copyright@dewr.gov.au" TargetMode="External"/><Relationship Id="rId37" Type="http://schemas.openxmlformats.org/officeDocument/2006/relationships/footer" Target="footer14.xml"/><Relationship Id="rId58" Type="http://schemas.openxmlformats.org/officeDocument/2006/relationships/footer" Target="footer22.xml"/><Relationship Id="rId79" Type="http://schemas.openxmlformats.org/officeDocument/2006/relationships/footer" Target="footer25.xml"/><Relationship Id="rId102" Type="http://schemas.openxmlformats.org/officeDocument/2006/relationships/chart" Target="charts/chart1.xml"/><Relationship Id="rId123" Type="http://schemas.openxmlformats.org/officeDocument/2006/relationships/image" Target="media/image57.emf"/><Relationship Id="rId144" Type="http://schemas.openxmlformats.org/officeDocument/2006/relationships/header" Target="header32.xml"/><Relationship Id="rId90" Type="http://schemas.openxmlformats.org/officeDocument/2006/relationships/image" Target="media/image39.png"/></Relationships>
</file>

<file path=word/_rels/header10.xml.rels><?xml version="1.0" encoding="UTF-8" standalone="yes"?>
<Relationships xmlns="http://schemas.openxmlformats.org/package/2006/relationships"><Relationship Id="rId1" Type="http://schemas.openxmlformats.org/officeDocument/2006/relationships/image" Target="media/image10.jpg"/></Relationships>
</file>

<file path=word/_rels/header12.xml.rels><?xml version="1.0" encoding="UTF-8" standalone="yes"?>
<Relationships xmlns="http://schemas.openxmlformats.org/package/2006/relationships"><Relationship Id="rId1" Type="http://schemas.openxmlformats.org/officeDocument/2006/relationships/image" Target="media/image6.png"/></Relationships>
</file>

<file path=word/_rels/header15.xml.rels><?xml version="1.0" encoding="UTF-8" standalone="yes"?>
<Relationships xmlns="http://schemas.openxmlformats.org/package/2006/relationships"><Relationship Id="rId1" Type="http://schemas.openxmlformats.org/officeDocument/2006/relationships/image" Target="media/image16.jpg"/></Relationships>
</file>

<file path=word/_rels/header16.xml.rels><?xml version="1.0" encoding="UTF-8" standalone="yes"?>
<Relationships xmlns="http://schemas.openxmlformats.org/package/2006/relationships"><Relationship Id="rId1" Type="http://schemas.openxmlformats.org/officeDocument/2006/relationships/image" Target="media/image6.png"/></Relationships>
</file>

<file path=word/_rels/header19.xml.rels><?xml version="1.0" encoding="UTF-8" standalone="yes"?>
<Relationships xmlns="http://schemas.openxmlformats.org/package/2006/relationships"><Relationship Id="rId1" Type="http://schemas.openxmlformats.org/officeDocument/2006/relationships/image" Target="media/image32.jp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20.xml.rels><?xml version="1.0" encoding="UTF-8" standalone="yes"?>
<Relationships xmlns="http://schemas.openxmlformats.org/package/2006/relationships"><Relationship Id="rId1" Type="http://schemas.openxmlformats.org/officeDocument/2006/relationships/image" Target="media/image6.png"/></Relationships>
</file>

<file path=word/_rels/header23.xml.rels><?xml version="1.0" encoding="UTF-8" standalone="yes"?>
<Relationships xmlns="http://schemas.openxmlformats.org/package/2006/relationships"><Relationship Id="rId1" Type="http://schemas.openxmlformats.org/officeDocument/2006/relationships/image" Target="media/image6.png"/></Relationships>
</file>

<file path=word/_rels/header26.xml.rels><?xml version="1.0" encoding="UTF-8" standalone="yes"?>
<Relationships xmlns="http://schemas.openxmlformats.org/package/2006/relationships"><Relationship Id="rId1" Type="http://schemas.openxmlformats.org/officeDocument/2006/relationships/image" Target="media/image51.jpg"/></Relationships>
</file>

<file path=word/_rels/header27.xml.rels><?xml version="1.0" encoding="UTF-8" standalone="yes"?>
<Relationships xmlns="http://schemas.openxmlformats.org/package/2006/relationships"><Relationship Id="rId1" Type="http://schemas.openxmlformats.org/officeDocument/2006/relationships/image" Target="media/image6.png"/></Relationships>
</file>

<file path=word/_rels/header30.xml.rels><?xml version="1.0" encoding="UTF-8" standalone="yes"?>
<Relationships xmlns="http://schemas.openxmlformats.org/package/2006/relationships"><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1" Type="http://schemas.openxmlformats.org/officeDocument/2006/relationships/image" Target="media/image8.png"/></Relationships>
</file>

<file path=word/_rels/header8.xml.rels><?xml version="1.0" encoding="UTF-8" standalone="yes"?>
<Relationships xmlns="http://schemas.openxmlformats.org/package/2006/relationships"><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oleObject" Target="https://sharedservicescentre.sharepoint.com/sites/JSA-StrategicAdvice-TEAM/Shared%20Documents/1.%20Jobs%20and%20Skills%20Reports/2025%20-%20Jobs%20and%20Skills%20Report/5.%20Data%20tables%20&amp;%20graph%20contributions/JSR25%20Charts%20and%20Figures/NEW%202025J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sharedservicescentre.sharepoint.com/sites/JSA-StrategicAdvice-TEAM/Shared%20Documents/1.%20Jobs%20and%20Skills%20Reports/2025%20-%20Jobs%20and%20Skills%20Report/5.%20Data%20tables%20&amp;%20graph%20contributions/JSR25%20Charts%20and%20Figures/NEW%202025JS"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'[NEW 2025JSR Charts and Figures.xlsx]Figure 33'!$G$20</c:f>
              <c:strCache>
                <c:ptCount val="1"/>
                <c:pt idx="0">
                  <c:v>10 year change to May 2025 ('000)</c:v>
                </c:pt>
              </c:strCache>
            </c:strRef>
          </c:tx>
          <c:spPr>
            <a:solidFill>
              <a:schemeClr val="accent1"/>
            </a:solidFill>
            <a:ln>
              <a:noFill/>
            </a:ln>
            <a:effectLst/>
          </c:spPr>
          <c:invertIfNegative val="0"/>
          <c:cat>
            <c:strRef>
              <c:f>'[NEW 2025JSR Charts and Figures.xlsx]Figure 33'!$F$21:$F$28</c:f>
              <c:strCache>
                <c:ptCount val="8"/>
                <c:pt idx="0">
                  <c:v>Managers</c:v>
                </c:pt>
                <c:pt idx="1">
                  <c:v>Professionals</c:v>
                </c:pt>
                <c:pt idx="2">
                  <c:v>Technicians and Trades Workers</c:v>
                </c:pt>
                <c:pt idx="3">
                  <c:v>Community and Personal Service Workers</c:v>
                </c:pt>
                <c:pt idx="4">
                  <c:v>Clerical and Administrative Workers</c:v>
                </c:pt>
                <c:pt idx="5">
                  <c:v>Sales Workers</c:v>
                </c:pt>
                <c:pt idx="6">
                  <c:v>Machinery Operators and Drivers</c:v>
                </c:pt>
                <c:pt idx="7">
                  <c:v>Labourers</c:v>
                </c:pt>
              </c:strCache>
            </c:strRef>
          </c:cat>
          <c:val>
            <c:numRef>
              <c:f>'[NEW 2025JSR Charts and Figures.xlsx]Figure 33'!$G$21:$G$28</c:f>
              <c:numCache>
                <c:formatCode>0.0</c:formatCode>
                <c:ptCount val="8"/>
                <c:pt idx="0">
                  <c:v>344.43097169999999</c:v>
                </c:pt>
                <c:pt idx="1">
                  <c:v>1253.6716670000001</c:v>
                </c:pt>
                <c:pt idx="2">
                  <c:v>271.38662970000001</c:v>
                </c:pt>
                <c:pt idx="3">
                  <c:v>525.4747102</c:v>
                </c:pt>
                <c:pt idx="4">
                  <c:v>209.56513559999999</c:v>
                </c:pt>
                <c:pt idx="5">
                  <c:v>42.805308289999999</c:v>
                </c:pt>
                <c:pt idx="6">
                  <c:v>158.8569474</c:v>
                </c:pt>
                <c:pt idx="7">
                  <c:v>103.3931302</c:v>
                </c:pt>
              </c:numCache>
            </c:numRef>
          </c:val>
          <c:extLst>
            <c:ext xmlns:c16="http://schemas.microsoft.com/office/drawing/2014/chart" uri="{C3380CC4-5D6E-409C-BE32-E72D297353CC}">
              <c16:uniqueId val="{00000000-8FD2-4588-A3A1-AB2E247F2CDA}"/>
            </c:ext>
          </c:extLst>
        </c:ser>
        <c:dLbls>
          <c:showLegendKey val="0"/>
          <c:showVal val="0"/>
          <c:showCatName val="0"/>
          <c:showSerName val="0"/>
          <c:showPercent val="0"/>
          <c:showBubbleSize val="0"/>
        </c:dLbls>
        <c:gapWidth val="182"/>
        <c:axId val="378563376"/>
        <c:axId val="378580176"/>
      </c:barChart>
      <c:catAx>
        <c:axId val="37856337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78580176"/>
        <c:crosses val="autoZero"/>
        <c:auto val="1"/>
        <c:lblAlgn val="ctr"/>
        <c:lblOffset val="100"/>
        <c:noMultiLvlLbl val="0"/>
      </c:catAx>
      <c:valAx>
        <c:axId val="37858017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785633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baseline="0">
          <a:solidFill>
            <a:sysClr val="windowText" lastClr="000000"/>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'[NEW 2025JSR Charts and Figures.xlsx]Figure 34'!$G$20</c:f>
              <c:strCache>
                <c:ptCount val="1"/>
                <c:pt idx="0">
                  <c:v>10 year change to May 2025 ('000)</c:v>
                </c:pt>
              </c:strCache>
            </c:strRef>
          </c:tx>
          <c:spPr>
            <a:solidFill>
              <a:schemeClr val="accent1"/>
            </a:solidFill>
            <a:ln>
              <a:noFill/>
            </a:ln>
            <a:effectLst/>
          </c:spPr>
          <c:invertIfNegative val="0"/>
          <c:cat>
            <c:strRef>
              <c:f>'[NEW 2025JSR Charts and Figures.xlsx]Figure 34'!$F$21:$F$30</c:f>
              <c:strCache>
                <c:ptCount val="10"/>
                <c:pt idx="0">
                  <c:v>Aged and Disabled Carers</c:v>
                </c:pt>
                <c:pt idx="1">
                  <c:v>Registered Nurses</c:v>
                </c:pt>
                <c:pt idx="2">
                  <c:v>Software and Applications Programmers</c:v>
                </c:pt>
                <c:pt idx="3">
                  <c:v>General Clerks</c:v>
                </c:pt>
                <c:pt idx="4">
                  <c:v>Storepersons</c:v>
                </c:pt>
                <c:pt idx="5">
                  <c:v>Management and Organisation Analysts</c:v>
                </c:pt>
                <c:pt idx="6">
                  <c:v>Education Aides</c:v>
                </c:pt>
                <c:pt idx="7">
                  <c:v>Human Resource Managers</c:v>
                </c:pt>
                <c:pt idx="8">
                  <c:v>Electricians</c:v>
                </c:pt>
                <c:pt idx="9">
                  <c:v>Early Childhood (Pre-primary School) Teachers</c:v>
                </c:pt>
              </c:strCache>
            </c:strRef>
          </c:cat>
          <c:val>
            <c:numRef>
              <c:f>'[NEW 2025JSR Charts and Figures.xlsx]Figure 34'!$G$21:$G$30</c:f>
              <c:numCache>
                <c:formatCode>0.0</c:formatCode>
                <c:ptCount val="10"/>
                <c:pt idx="0">
                  <c:v>225.90756440000001</c:v>
                </c:pt>
                <c:pt idx="1">
                  <c:v>107.6249226</c:v>
                </c:pt>
                <c:pt idx="2">
                  <c:v>91.033254720000002</c:v>
                </c:pt>
                <c:pt idx="3">
                  <c:v>58.594046800000001</c:v>
                </c:pt>
                <c:pt idx="4">
                  <c:v>50.307141829999999</c:v>
                </c:pt>
                <c:pt idx="5">
                  <c:v>48.15388162</c:v>
                </c:pt>
                <c:pt idx="6">
                  <c:v>47.09880244</c:v>
                </c:pt>
                <c:pt idx="7">
                  <c:v>46.480336690000001</c:v>
                </c:pt>
                <c:pt idx="8">
                  <c:v>46.423853319999999</c:v>
                </c:pt>
                <c:pt idx="9">
                  <c:v>46.358166830000002</c:v>
                </c:pt>
              </c:numCache>
            </c:numRef>
          </c:val>
          <c:extLst>
            <c:ext xmlns:c16="http://schemas.microsoft.com/office/drawing/2014/chart" uri="{C3380CC4-5D6E-409C-BE32-E72D297353CC}">
              <c16:uniqueId val="{00000000-84A0-4F70-8144-B7EF9F3EF740}"/>
            </c:ext>
          </c:extLst>
        </c:ser>
        <c:dLbls>
          <c:showLegendKey val="0"/>
          <c:showVal val="0"/>
          <c:showCatName val="0"/>
          <c:showSerName val="0"/>
          <c:showPercent val="0"/>
          <c:showBubbleSize val="0"/>
        </c:dLbls>
        <c:gapWidth val="182"/>
        <c:axId val="378554736"/>
        <c:axId val="378578736"/>
      </c:barChart>
      <c:catAx>
        <c:axId val="37855473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78578736"/>
        <c:crosses val="autoZero"/>
        <c:auto val="1"/>
        <c:lblAlgn val="ctr"/>
        <c:lblOffset val="100"/>
        <c:noMultiLvlLbl val="0"/>
      </c:catAx>
      <c:valAx>
        <c:axId val="37857873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785547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baseline="0">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JSA">
      <a:dk1>
        <a:sysClr val="windowText" lastClr="000000"/>
      </a:dk1>
      <a:lt1>
        <a:sysClr val="window" lastClr="FFFFFF"/>
      </a:lt1>
      <a:dk2>
        <a:srgbClr val="4B0985"/>
      </a:dk2>
      <a:lt2>
        <a:srgbClr val="D5A3F9"/>
      </a:lt2>
      <a:accent1>
        <a:srgbClr val="6929C4"/>
      </a:accent1>
      <a:accent2>
        <a:srgbClr val="009D9A"/>
      </a:accent2>
      <a:accent3>
        <a:srgbClr val="012749"/>
      </a:accent3>
      <a:accent4>
        <a:srgbClr val="EE538B"/>
      </a:accent4>
      <a:accent5>
        <a:srgbClr val="1192E8"/>
      </a:accent5>
      <a:accent6>
        <a:srgbClr val="9F1853"/>
      </a:accent6>
      <a:hlink>
        <a:srgbClr val="215E9E"/>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OEC172</b:Tag>
    <b:SourceType>Report</b:SourceType>
    <b:Guid>{4D189FDE-1081-4957-B875-5525BE5BF643}</b:Guid>
    <b:Author>
      <b:Author>
        <b:Corporate>OECD</b:Corporate>
      </b:Author>
    </b:Author>
    <b:Title>Connecting People with Jobs: Key Issues for Raising Labour Market Participation in Australia</b:Title>
    <b:Year>2017</b:Year>
    <b:City>Paris</b:City>
    <b:Publisher>OECD Publishing</b:Publisher>
    <b:DOI>https://doi.org/10.1787/9789264269637-en</b:DOI>
    <b:RefOrder>1</b:RefOrder>
  </b:Source>
  <b:Source>
    <b:Tag>Pro252</b:Tag>
    <b:SourceType>Report</b:SourceType>
    <b:Guid>{1DF839F5-AAC8-4236-9797-373414B29E25}</b:Guid>
    <b:Author>
      <b:Author>
        <b:Corporate>Productivity Commission</b:Corporate>
      </b:Author>
    </b:Author>
    <b:Title>Growth mindset: how to boost Australia's productivity, 5 productivity inquiries</b:Title>
    <b:Year>2025</b:Year>
    <b:City>Canberra</b:City>
    <b:RefOrder>2</b:RefOrder>
  </b:Source>
  <b:Source>
    <b:Tag>Pro253</b:Tag>
    <b:SourceType>Report</b:SourceType>
    <b:Guid>{6FA041E1-1A5A-4906-8288-95F18D22EA6B}</b:Guid>
    <b:Author>
      <b:Author>
        <b:Corporate>Productivity Commission</b:Corporate>
      </b:Author>
    </b:Author>
    <b:Title>Productivity before and after COVID-19</b:Title>
    <b:Year>2025</b:Year>
    <b:Publisher>Research paper</b:Publisher>
    <b:City>Canberra</b:City>
    <b:RefOrder>3</b:RefOrder>
  </b:Source>
  <b:Source>
    <b:Tag>Aus23</b:Tag>
    <b:SourceType>Report</b:SourceType>
    <b:Guid>{86F92D45-E3A6-43BD-AC0B-DF553966BD1B}</b:Guid>
    <b:Author>
      <b:Author>
        <b:NameList>
          <b:Person>
            <b:Last>Commonwealth of Australia</b:Last>
          </b:Person>
        </b:NameList>
      </b:Author>
    </b:Author>
    <b:Title>Working Future: the Australian Government's White Paper on Jobs and Opportunities</b:Title>
    <b:Year>2023</b:Year>
    <b:Publisher>Commonwealth of Australia</b:Publisher>
    <b:City>Canberra</b:City>
    <b:URL>https://treasury.gov.au/sites/default/files/2023-10/p2023-447996-working-future.pdf</b:URL>
    <b:RefOrder>6</b:RefOrder>
  </b:Source>
  <b:Source>
    <b:Tag>DeW99</b:Tag>
    <b:SourceType>JournalArticle</b:SourceType>
    <b:Guid>{917F5ACE-5AC6-483D-B076-A01AE346F006}</b:Guid>
    <b:Author>
      <b:Author>
        <b:NameList>
          <b:Person>
            <b:Last>De Witte</b:Last>
            <b:First>H</b:First>
          </b:Person>
        </b:NameList>
      </b:Author>
    </b:Author>
    <b:Title>Job insecurity and psychological well-being: review of the literature and exploration of some unresolved issues</b:Title>
    <b:Year>1999</b:Year>
    <b:JournalName>European Journal of Work and Organizational Psychology</b:JournalName>
    <b:Pages>155-177</b:Pages>
    <b:RefOrder>7</b:RefOrder>
  </b:Source>
  <b:Source>
    <b:Tag>But11</b:Tag>
    <b:SourceType>JournalArticle</b:SourceType>
    <b:Guid>{CF0DFD71-4772-41FB-B6CC-532AD15E72E9}</b:Guid>
    <b:Author>
      <b:Author>
        <b:NameList>
          <b:Person>
            <b:Last>Butterworth</b:Last>
            <b:First>P</b:First>
          </b:Person>
          <b:Person>
            <b:Last>Leach</b:Last>
            <b:First>LS</b:First>
          </b:Person>
          <b:Person>
            <b:Last>Strazdins</b:Last>
            <b:First>L</b:First>
          </b:Person>
          <b:Person>
            <b:Last>Oleson</b:Last>
            <b:First>SC</b:First>
          </b:Person>
          <b:Person>
            <b:Last>Rodgers</b:Last>
            <b:First>B</b:First>
          </b:Person>
          <b:Person>
            <b:Last>Broom</b:Last>
            <b:First>DH</b:First>
          </b:Person>
        </b:NameList>
      </b:Author>
    </b:Author>
    <b:Title>The psychosocial quality of work determines whether employment has benefits for mental health: results from a longitudinal national household panel survey</b:Title>
    <b:JournalName>Occupational and environmental medicine</b:JournalName>
    <b:Year>2011</b:Year>
    <b:Pages>806-812</b:Pages>
    <b:RefOrder>8</b:RefOrder>
  </b:Source>
  <b:Source>
    <b:Tag>Com22</b:Tag>
    <b:SourceType>Report</b:SourceType>
    <b:Guid>{15308E8D-5F63-4838-A203-2F2674969AC3}</b:Guid>
    <b:Author>
      <b:Author>
        <b:Corporate>Commonwealth of Australia</b:Corporate>
      </b:Author>
    </b:Author>
    <b:Title>The Senate Select Committee on Job Security - The job insecurity report</b:Title>
    <b:Year>2022</b:Year>
    <b:Publisher>Senate Printing Unit</b:Publisher>
    <b:City>Canberra</b:City>
    <b:URL>https://parlinfo.aph.gov.au/parlInfo/download/committees/reportsen/024780/toc_pdf/Thejobinsecurityreport.pdf;fileType=application%2Fpdf</b:URL>
    <b:RefOrder>9</b:RefOrder>
  </b:Source>
  <b:Source>
    <b:Tag>ACT12</b:Tag>
    <b:SourceType>Report</b:SourceType>
    <b:Guid>{4F5C656D-02A1-464F-89EC-507C87A58EF4}</b:Guid>
    <b:Title>Lives on hold: unlocking the potential of Australia's workforce. The report of the independent inquiry into insecure work in Australia.</b:Title>
    <b:Year>2012</b:Year>
    <b:URL>https://www.actu.org.au/wp-content/uploads/2023/06/media609158lives-on-hold-final.pdf</b:URL>
    <b:Author>
      <b:Author>
        <b:Corporate>ACTU</b:Corporate>
      </b:Author>
    </b:Author>
    <b:Publisher>ACTU</b:Publisher>
    <b:RefOrder>10</b:RefOrder>
  </b:Source>
  <b:Source>
    <b:Tag>Job25</b:Tag>
    <b:SourceType>Report</b:SourceType>
    <b:Guid>{B66B73B0-6720-4614-ADD1-A091085116BA}</b:Guid>
    <b:Author>
      <b:Author>
        <b:Corporate>Jobs and Skills Australia</b:Corporate>
      </b:Author>
    </b:Author>
    <b:Title>Jobs and Skills Roadmap for Regional Australia: Phase 1</b:Title>
    <b:Year>2025</b:Year>
    <b:Month>July</b:Month>
    <b:Day>3</b:Day>
    <b:City>Canberra</b:City>
    <b:RefOrder>11</b:RefOrder>
  </b:Source>
  <b:Source>
    <b:Tag>Lak24</b:Tag>
    <b:SourceType>JournalArticle</b:SourceType>
    <b:Guid>{10AC9896-0A44-4B03-9EF6-745D42D1D5F0}</b:Guid>
    <b:Title>How efficient is the Australian labour market? Analysing job matching efficiency for regions, occupations and industries</b:Title>
    <b:Year>2024</b:Year>
    <b:Author>
      <b:Author>
        <b:NameList>
          <b:Person>
            <b:Last>Lake</b:Last>
            <b:First>P</b:First>
          </b:Person>
          <b:Person>
            <b:Last>Shamiri</b:Last>
            <b:First>S</b:First>
          </b:Person>
          <b:Person>
            <b:Last>Sharma</b:Last>
            <b:First>K</b:First>
          </b:Person>
          <b:Person>
            <b:Last>Bialowas</b:Last>
            <b:First>A</b:First>
          </b:Person>
        </b:NameList>
      </b:Author>
    </b:Author>
    <b:JournalName>The Australian Journal of Labour Economics</b:JournalName>
    <b:Pages>101-117</b:Pages>
    <b:Volume>27</b:Volume>
    <b:Issue>1</b:Issue>
    <b:YearAccessed>2025</b:YearAccessed>
    <b:MonthAccessed>August</b:MonthAccessed>
    <b:URL>https://ajle.org/index.php/ajle_home/article/view/217</b:URL>
    <b:RefOrder>12</b:RefOrder>
  </b:Source>
  <b:Source>
    <b:Tag>Job253</b:Tag>
    <b:SourceType>Report</b:SourceType>
    <b:Guid>{059217D9-F80D-4B6B-A854-8E076B16C4DA}</b:Guid>
    <b:Title>Education and training divides - Gendered skills, pathways and outcomes</b:Title>
    <b:Year>2025</b:Year>
    <b:Author>
      <b:Author>
        <b:Corporate>Jobs and Skills Australia</b:Corporate>
      </b:Author>
    </b:Author>
    <b:City>Canberra</b:City>
    <b:RefOrder>13</b:RefOrder>
  </b:Source>
  <b:Source>
    <b:Tag>AIH24</b:Tag>
    <b:SourceType>Report</b:SourceType>
    <b:Guid>{C8C31A0A-D791-46F4-827D-551952DDBC21}</b:Guid>
    <b:Author>
      <b:Author>
        <b:Corporate>AIHW</b:Corporate>
      </b:Author>
    </b:Author>
    <b:Title>People with disability in Australia 2024</b:Title>
    <b:Year>2024</b:Year>
    <b:Publisher>Australian Institute of Health and Welfare, Australian Government</b:Publisher>
    <b:Department>catalogue number DIS 72</b:Department>
    <b:RefOrder>14</b:RefOrder>
  </b:Source>
  <b:Source>
    <b:Tag>Aus</b:Tag>
    <b:SourceType>Report</b:SourceType>
    <b:Guid>{7844B6D9-A478-4D83-9916-84A8A7B5F4C3}</b:Guid>
    <b:Title>A new way of working together: Closing the Gap</b:Title>
    <b:Author>
      <b:Author>
        <b:Corporate>Commonwealth of Australia</b:Corporate>
      </b:Author>
    </b:Author>
    <b:URL>https://www.closingthegap.gov.au/</b:URL>
    <b:Year>2024</b:Year>
    <b:Publisher>Department of the Prime Minister and Cabinet</b:Publisher>
    <b:City>Canberra</b:City>
    <b:RefOrder>15</b:RefOrder>
  </b:Source>
  <b:Source>
    <b:Tag>Pro254</b:Tag>
    <b:SourceType>Report</b:SourceType>
    <b:Guid>{E7215C87-D0BA-412B-B2D0-4366C2CFC49C}</b:Guid>
    <b:Author>
      <b:Author>
        <b:Corporate>Productivity Commission</b:Corporate>
      </b:Author>
    </b:Author>
    <b:Title>Closing the Gap Annual Data Compilation Report July 2025</b:Title>
    <b:Year>2025</b:Year>
    <b:City>Canberra</b:City>
    <b:RefOrder>16</b:RefOrder>
  </b:Source>
  <b:Source>
    <b:Tag>Bri22</b:Tag>
    <b:SourceType>JournalArticle</b:SourceType>
    <b:Guid>{1F1B0639-F3BE-4596-8980-EF7670B21B89}</b:Guid>
    <b:Author>
      <b:Author>
        <b:NameList>
          <b:Person>
            <b:Last>Brinckley</b:Last>
            <b:First>M</b:First>
          </b:Person>
          <b:Person>
            <b:Last>Jones</b:Last>
            <b:First>R</b:First>
          </b:Person>
          <b:Person>
            <b:Last>Batterham</b:Last>
            <b:First>P</b:First>
          </b:Person>
          <b:Person>
            <b:Last>Calear</b:Last>
            <b:First>A</b:First>
          </b:Person>
          <b:Person>
            <b:Last>Lovett</b:Last>
            <b:First>R</b:First>
          </b:Person>
        </b:NameList>
      </b:Author>
    </b:Author>
    <b:Title>The development and validation of a family functioning measure for Aboriginal and Torres Strait Islander adults</b:Title>
    <b:Year>2022</b:Year>
    <b:JournalName>BMC Public Health</b:JournalName>
    <b:Volume>22</b:Volume>
    <b:Issue>1976</b:Issue>
    <b:RefOrder>17</b:RefOrder>
  </b:Source>
  <b:Source>
    <b:Tag>SNA08</b:Tag>
    <b:SourceType>Report</b:SourceType>
    <b:Guid>{533A50E3-7103-4C6C-9AF9-3850295807F4}</b:Guid>
    <b:Author>
      <b:Author>
        <b:Corporate>SNAICC</b:Corporate>
      </b:Author>
    </b:Author>
    <b:Title>Foster their culture: Caring for Aboriginal and Torres Strait Islander children in out-of-home care</b:Title>
    <b:Year>2008</b:Year>
    <b:RefOrder>18</b:RefOrder>
  </b:Source>
  <b:Source>
    <b:Tag>Job232</b:Tag>
    <b:SourceType>Report</b:SourceType>
    <b:Guid>{4F6F8E76-CF15-45C1-BC6B-8B39E12ED48A}</b:Guid>
    <b:Author>
      <b:Author>
        <b:Corporate>Jobs and Skills Australia</b:Corporate>
      </b:Author>
    </b:Author>
    <b:Title>First Nations People Workforce Analysis</b:Title>
    <b:Year>2023</b:Year>
    <b:Publisher>Australian Government</b:Publisher>
    <b:City>Canberra</b:City>
    <b:RefOrder>19</b:RefOrder>
  </b:Source>
  <b:Source>
    <b:Tag>Ant04</b:Tag>
    <b:SourceType>JournalArticle</b:SourceType>
    <b:Guid>{0AE25DD7-5DEE-4896-B571-8DEBD91966F7}</b:Guid>
    <b:Author>
      <b:Author>
        <b:NameList>
          <b:Person>
            <b:Last>Anthony</b:Last>
            <b:First>T</b:First>
          </b:Person>
        </b:NameList>
      </b:Author>
    </b:Author>
    <b:Title>Labour relations on northern cattle stations: feudal exploitation and accommodation</b:Title>
    <b:Year>2004</b:Year>
    <b:JournalName>Australian Review of Public Affairs</b:JournalName>
    <b:Pages>117-136</b:Pages>
    <b:Volume>4</b:Volume>
    <b:Issue>3</b:Issue>
    <b:RefOrder>20</b:RefOrder>
  </b:Source>
  <b:Source>
    <b:Tag>You24</b:Tag>
    <b:SourceType>Report</b:SourceType>
    <b:Guid>{7F65BEE0-20EA-49DC-B4A3-0F6B1DD36797}</b:Guid>
    <b:Author>
      <b:Author>
        <b:NameList>
          <b:Person>
            <b:Last>Young</b:Last>
            <b:First>N</b:First>
          </b:Person>
          <b:Person>
            <b:Last>Sherwood</b:Last>
            <b:First>S</b:First>
          </b:Person>
          <b:Person>
            <b:Last>Anthony</b:Last>
            <b:First>C</b:First>
          </b:Person>
          <b:Person>
            <b:Last>Gilbert</b:Last>
            <b:First>J</b:First>
          </b:Person>
          <b:Person>
            <b:Last>Gray</b:Last>
            <b:First>K</b:First>
          </b:Person>
          <b:Person>
            <b:Last>McEwen</b:Last>
            <b:First>C</b:First>
          </b:Person>
        </b:NameList>
      </b:Author>
    </b:Author>
    <b:Title>A hidden history of Aboriginal women's work in the community controlled health sector [literature review]</b:Title>
    <b:Year>2024</b:Year>
    <b:Publisher>Jumbunna Institute for Indigenous Education and Research, UTS Business School</b:Publisher>
    <b:RefOrder>21</b:RefOrder>
  </b:Source>
  <b:Source>
    <b:Tag>Gue17</b:Tag>
    <b:SourceType>Report</b:SourceType>
    <b:Guid>{9A1124B1-8A82-4C8C-B78E-91B4A1510433}</b:Guid>
    <b:Author>
      <b:Author>
        <b:NameList>
          <b:Person>
            <b:Last>Guenther</b:Last>
            <b:First>J</b:First>
          </b:Person>
          <b:Person>
            <b:Last>Bat</b:Last>
            <b:First>M</b:First>
          </b:Person>
          <b:Person>
            <b:Last>Stephens</b:Last>
            <b:First>A</b:First>
          </b:Person>
          <b:Person>
            <b:Last>Skewes</b:Last>
            <b:First>J</b:First>
          </b:Person>
          <b:Person>
            <b:Last>Boughton</b:Last>
            <b:First>B</b:First>
          </b:Person>
          <b:Person>
            <b:Last>Williamson</b:Last>
            <b:First>F</b:First>
          </b:Person>
          <b:Person>
            <b:Last>Wooltorton</b:Last>
            <b:First>S</b:First>
          </b:Person>
        </b:NameList>
      </b:Author>
    </b:Author>
    <b:Title>Enhancing training advantage for remote Aboriginal and Torres Strait Islander learners</b:Title>
    <b:Year>2017</b:Year>
    <b:Publisher>NCVER</b:Publisher>
    <b:RefOrder>22</b:RefOrder>
  </b:Source>
  <b:Source>
    <b:Tag>AHR20</b:Tag>
    <b:SourceType>Report</b:SourceType>
    <b:Guid>{A247C0AA-B717-4F4D-B19F-508D4B5032AD}</b:Guid>
    <b:Author>
      <b:Author>
        <b:Corporate>AHRC</b:Corporate>
      </b:Author>
    </b:Author>
    <b:Title>Wiyi Yani U Thangani (women's voices): securing our rights, securing our futures</b:Title>
    <b:Year>2020</b:Year>
    <b:Publisher>Australian Human Rights Commission</b:Publisher>
    <b:RefOrder>23</b:RefOrder>
  </b:Source>
  <b:Source>
    <b:Tag>UTS25</b:Tag>
    <b:SourceType>InternetSite</b:SourceType>
    <b:Guid>{483FAC43-D6BB-4443-B449-CFEE69CA0FC2}</b:Guid>
    <b:Title>Reclaiming the narrative of the First Nations workforce</b:Title>
    <b:Author>
      <b:Author>
        <b:Corporate>UTS CIPW</b:Corporate>
      </b:Author>
    </b:Author>
    <b:InternetSiteTitle>Centre for Indigenous People and Work</b:InternetSiteTitle>
    <b:URL>https://www.uts.edu.au/about/faculties/business/research/centre-for-indigenous-people-and-work-cipw</b:URL>
    <b:YearAccessed>2025</b:YearAccessed>
    <b:MonthAccessed>September</b:MonthAccessed>
    <b:RefOrder>24</b:RefOrder>
  </b:Source>
  <b:Source>
    <b:Tag>Job251</b:Tag>
    <b:SourceType>Report</b:SourceType>
    <b:Guid>{6A90A092-DA7E-44FA-8EB1-D10717919292}</b:Guid>
    <b:Author>
      <b:Author>
        <b:Corporate>Jobs and Skills Australia</b:Corporate>
      </b:Author>
    </b:Author>
    <b:Title>New perspectives on old problems: Gendered Jobs Work and Pay</b:Title>
    <b:Year>2025</b:Year>
    <b:City>Canberra</b:City>
    <b:RefOrder>25</b:RefOrder>
  </b:Source>
  <b:Source>
    <b:Tag>Del24</b:Tag>
    <b:SourceType>Report</b:SourceType>
    <b:Guid>{63C67882-EE39-4DDD-ADEF-8DB648AA6310}</b:Guid>
    <b:Author>
      <b:Author>
        <b:Corporate>Deloitte</b:Corporate>
      </b:Author>
    </b:Author>
    <b:Title>Remaking the norm</b:Title>
    <b:Year>2024</b:Year>
    <b:URL>https://www.deloitte.com/au/en/services/economics/perspectives/remaking-the-norm.html</b:URL>
    <b:RefOrder>26</b:RefOrder>
  </b:Source>
  <b:Source>
    <b:Tag>Nic23</b:Tag>
    <b:SourceType>JournalArticle</b:SourceType>
    <b:Guid>{310F6678-ED19-4C6F-8ACC-D53C6A43FFEE}</b:Guid>
    <b:Title>Gender budgeting and intersectionality</b:Title>
    <b:Year>2023</b:Year>
    <b:Publisher>OECD Publishing</b:Publisher>
    <b:Author>
      <b:Author>
        <b:NameList>
          <b:Person>
            <b:Last>Nicol</b:Last>
            <b:First>Scherie</b:First>
          </b:Person>
          <b:Person>
            <b:Last>Kim</b:Last>
            <b:First>Jihyun</b:First>
          </b:Person>
        </b:NameList>
      </b:Author>
    </b:Author>
    <b:JournalName>OECD Journal on Budgeting</b:JournalName>
    <b:Volume>23</b:Volume>
    <b:Issue>2</b:Issue>
    <b:DOI>10.1787/ffdf0ba7-en</b:DOI>
    <b:RefOrder>27</b:RefOrder>
  </b:Source>
  <b:Source>
    <b:Tag>DIS24</b:Tag>
    <b:SourceType>Report</b:SourceType>
    <b:Guid>{9034AF54-BBE8-4971-8527-47DB87CB1239}</b:Guid>
    <b:Author>
      <b:Author>
        <b:Corporate>DISR</b:Corporate>
      </b:Author>
    </b:Author>
    <b:Title>Vocational education and training enrolment and completion in STEM and other fields</b:Title>
    <b:Year>2024</b:Year>
    <b:Publisher>Department of Industry, Science and Resources</b:Publisher>
    <b:RefOrder>28</b:RefOrder>
  </b:Source>
  <b:Source>
    <b:Tag>Mar221</b:Tag>
    <b:SourceType>BookSection</b:SourceType>
    <b:Guid>{3BDAE844-A798-4CB3-85EC-8D84AB2597D8}</b:Guid>
    <b:Title>Youth transitions after high school</b:Title>
    <b:Year>2022</b:Year>
    <b:URL>https://melbourneinstitute.unimelb.edu.au/__data/assets/pdf_file/0006/4367733/Melbourne-Institute-Compendium-2022-Chapter-7.pdf</b:URL>
    <b:Author>
      <b:Author>
        <b:NameList>
          <b:Person>
            <b:Last>Marchand</b:Last>
            <b:First>S</b:First>
          </b:Person>
          <b:Person>
            <b:Last>Payne</b:Last>
            <b:First>A</b:First>
          </b:Person>
        </b:NameList>
      </b:Author>
      <b:Editor>
        <b:NameList>
          <b:Person>
            <b:Last>Dawkins</b:Last>
            <b:First>P:</b:First>
            <b:Middle>Payne, A</b:Middle>
          </b:Person>
        </b:NameList>
      </b:Editor>
    </b:Author>
    <b:Publisher>Melbourne Institute Applied Economic and Social Research</b:Publisher>
    <b:City>Melbourne</b:City>
    <b:BookTitle>Melbourne Institute compendium 2022: economic and social policy: towards evidence-based policy solutions</b:BookTitle>
    <b:YearAccessed>2025</b:YearAccessed>
    <b:MonthAccessed>August</b:MonthAccessed>
    <b:RefOrder>29</b:RefOrder>
  </b:Source>
  <b:Source>
    <b:Tag>Com243</b:Tag>
    <b:SourceType>Report</b:SourceType>
    <b:Guid>{64CCCA0A-2F15-43AC-B0CD-BD5F8980DE89}</b:Guid>
    <b:Author>
      <b:Author>
        <b:Corporate>Commonwealth of Australia</b:Corporate>
      </b:Author>
    </b:Author>
    <b:Title>National Foundation Skills Strategy 2025-2035: A Strong and Sustainable Australian Adult Foundation Skills Sector</b:Title>
    <b:Year>2024</b:Year>
    <b:Publisher>Australian Government</b:Publisher>
    <b:RefOrder>30</b:RefOrder>
  </b:Source>
  <b:Source>
    <b:Tag>Sho14</b:Tag>
    <b:SourceType>Report</b:SourceType>
    <b:Guid>{8BCDAC33-D20B-49F2-A906-5EDA095C2F8E}</b:Guid>
    <b:Author>
      <b:Author>
        <b:NameList>
          <b:Person>
            <b:Last>Shomos</b:Last>
            <b:First>A</b:First>
          </b:Person>
          <b:Person>
            <b:Last>Forbes</b:Last>
            <b:First>M</b:First>
          </b:Person>
        </b:NameList>
      </b:Author>
    </b:Author>
    <b:Title>Literacy and Numeracy Skills and Labour Market </b:Title>
    <b:Year>2014</b:Year>
    <b:Publisher>Productivity Commission Staff Working Paper</b:Publisher>
    <b:City>Canberra</b:City>
    <b:RefOrder>31</b:RefOrder>
  </b:Source>
  <b:Source>
    <b:Tag>Ban12</b:Tag>
    <b:SourceType>Misc</b:SourceType>
    <b:Guid>{96A1FB5E-D600-4BF8-B34B-2499D711725D}</b:Guid>
    <b:Author>
      <b:Author>
        <b:NameList>
          <b:Person>
            <b:Last>Banks</b:Last>
            <b:First>G</b:First>
          </b:Person>
        </b:NameList>
      </b:Author>
    </b:Author>
    <b:Title>Productivity policies: the ‘to do’ list</b:Title>
    <b:Year>2012</b:Year>
    <b:Publisher>presented at the Economic and Social Outlook Conference, ‘Securing the Future’, 1 November 2012</b:Publisher>
    <b:City>Melbourne</b:City>
    <b:RefOrder>32</b:RefOrder>
  </b:Source>
  <b:Source>
    <b:Tag>And25</b:Tag>
    <b:SourceType>InternetSite</b:SourceType>
    <b:Guid>{A3E44EDC-DFA8-4C2F-A999-98EE8D13F886}</b:Guid>
    <b:Title>Adult skills and productivity: New evidence from PIAAC 2023</b:Title>
    <b:Year>2025</b:Year>
    <b:Month>July</b:Month>
    <b:Day>15</b:Day>
    <b:Author>
      <b:Author>
        <b:NameList>
          <b:Person>
            <b:Last>Andrews</b:Last>
            <b:First>D</b:First>
          </b:Person>
          <b:Person>
            <b:Last>Egert</b:Last>
            <b:First>B</b:First>
          </b:Person>
          <b:Person>
            <b:Last>de la Maisonneuve</b:Last>
            <b:First>C</b:First>
          </b:Person>
        </b:NameList>
      </b:Author>
    </b:Author>
    <b:InternetSiteTitle>CEPR VoxEU</b:InternetSiteTitle>
    <b:URL>https://cepr.org/voxeu/columns/adult-skills-and-productivity-new-evidence-piaac-2023</b:URL>
    <b:YearAccessed>2025</b:YearAccessed>
    <b:MonthAccessed>August</b:MonthAccessed>
    <b:RefOrder>33</b:RefOrder>
  </b:Source>
  <b:Source>
    <b:Tag>Ric07</b:Tag>
    <b:SourceType>Report</b:SourceType>
    <b:Guid>{207930E8-4483-456C-89B1-B065A702A55C}</b:Guid>
    <b:Author>
      <b:Author>
        <b:NameList>
          <b:Person>
            <b:Last>Richardson</b:Last>
            <b:First>S</b:First>
          </b:Person>
        </b:NameList>
      </b:Author>
    </b:Author>
    <b:Title>What is a skill shortage?</b:Title>
    <b:Year>2007</b:Year>
    <b:Publisher>National Institute of Labour Studies - Flinders University - NCVER</b:Publisher>
    <b:URL>https://www.ncver.edu.au/__data/assets/file/0019/7282/what-is-skill-shortage-4022.pdf</b:URL>
    <b:RefOrder>34</b:RefOrder>
  </b:Source>
  <b:Source>
    <b:Tag>Ani22</b:Tag>
    <b:SourceType>Report</b:SourceType>
    <b:Guid>{B00CDB3C-2296-4ED3-8BD3-4407BA5B0C64}</b:Guid>
    <b:Author>
      <b:Author>
        <b:Corporate>Animal Medicines Australia</b:Corporate>
      </b:Author>
    </b:Author>
    <b:Title>Pets in Australia: A national survey of pets and people</b:Title>
    <b:Year>2022</b:Year>
    <b:Publisher>Animal Medicines Australia</b:Publisher>
    <b:URL>https://animalmedicinesaustralia.org.au/resources/pets-in-australia-a-national-survey-of-pets-and-people/</b:URL>
    <b:RefOrder>36</b:RefOrder>
  </b:Source>
  <b:Source>
    <b:Tag>Sec23</b:Tag>
    <b:SourceType>JournalArticle</b:SourceType>
    <b:Guid>{3F66C336-6C1C-4688-AB71-FE9772895670}</b:Guid>
    <b:Author>
      <b:Author>
        <b:NameList>
          <b:Person>
            <b:Last>Secombe</b:Last>
            <b:First>C</b:First>
          </b:Person>
        </b:NameList>
      </b:Author>
    </b:Author>
    <b:Title>Declining engagement of veterinary services in Australian animal production systems: why has this occurred and what are the risks?</b:Title>
    <b:Year>2023</b:Year>
    <b:JournalName>Australian Veterinary Journal</b:JournalName>
    <b:Pages>30-34</b:Pages>
    <b:Volume>102</b:Volume>
    <b:Issue>1-2</b:Issue>
    <b:URL>https://onlinelibrary.wiley.com/doi/full/10.1111/avj.13302</b:URL>
    <b:DOI>10.1111/avj.13302.</b:DOI>
    <b:RefOrder>37</b:RefOrder>
  </b:Source>
  <b:Source>
    <b:Tag>LiK24</b:Tag>
    <b:SourceType>JournalArticle</b:SourceType>
    <b:Guid>{FDE4AD2F-4855-4F98-B92B-966DE5F4504A}</b:Guid>
    <b:Author>
      <b:Author>
        <b:NameList>
          <b:Person>
            <b:Last>Li</b:Last>
            <b:First>K</b:First>
          </b:Person>
          <b:Person>
            <b:Last>Mooney</b:Last>
            <b:First>E</b:First>
          </b:Person>
          <b:Person>
            <b:Last>McArthur</b:Last>
            <b:First>M</b:First>
          </b:Person>
          <b:Person>
            <b:Last>Hall</b:Last>
            <b:First>E</b:First>
          </b:Person>
          <b:Person>
            <b:Last>Quain</b:Last>
            <b:First>A</b:First>
          </b:Person>
        </b:NameList>
      </b:Author>
    </b:Author>
    <b:Title>A comparison between veterinary small animal general practitioners and emergency practitioners in Australia. Part 2: client-related, work-related, and personal burnout</b:Title>
    <b:JournalName>Frontiers in Veterinary Science</b:JournalName>
    <b:Year>2024</b:Year>
    <b:Volume>104</b:Volume>
    <b:URL>https://www.frontiersin.org/journals/veterinary-science/articles/10.3389/fvets.2024.1355511/full</b:URL>
    <b:DOI>https://doi.org/10.3389/fvets.2024.1355511</b:DOI>
    <b:RefOrder>38</b:RefOrder>
  </b:Source>
  <b:Source>
    <b:Tag>The</b:Tag>
    <b:SourceType>Misc</b:SourceType>
    <b:Guid>{3864BDE7-7A88-4FA1-850F-BCB8F1A5846A}</b:Guid>
    <b:Title>Long hours and overworked: regional Australia is facing a vet shortage</b:Title>
    <b:Author>
      <b:Author>
        <b:NameList>
          <b:Person>
            <b:Last>Middleton</b:Last>
            <b:First>E</b:First>
          </b:Person>
        </b:NameList>
      </b:Author>
    </b:Author>
    <b:URL>https://www.theguardian.com/australia-news/2023/jul/22/regional-australia-veterinary-vet-shortage-australian-veterinary-association-why-hours-overworked</b:URL>
    <b:Year>2023</b:Year>
    <b:Month>July</b:Month>
    <b:Day>22</b:Day>
    <b:Publisher>The Guardian</b:Publisher>
    <b:RefOrder>39</b:RefOrder>
  </b:Source>
  <b:Source>
    <b:Tag>Mor23</b:Tag>
    <b:SourceType>Misc</b:SourceType>
    <b:Guid>{D04D9F3D-1E58-4F63-B497-A8B396CBD88F}</b:Guid>
    <b:Author>
      <b:Author>
        <b:NameList>
          <b:Person>
            <b:Last>Morgan</b:Last>
            <b:First>K</b:First>
          </b:Person>
        </b:NameList>
      </b:Author>
    </b:Author>
    <b:Title>The acute suicide crisis among veterinarians: 'You're always going to be failing somebody'</b:Title>
    <b:Year>2023</b:Year>
    <b:Month>October</b:Month>
    <b:Day>11</b:Day>
    <b:Publisher>BBC News</b:Publisher>
    <b:URL>https://www.bbc.com/worklife/article/20231010-the-acute-suicide-crisis-among-veterinarians-youre-always-going-to-be-failing-somebody</b:URL>
    <b:RefOrder>40</b:RefOrder>
  </b:Source>
  <b:Source>
    <b:Tag>Placeholder1</b:Tag>
    <b:SourceType>Report</b:SourceType>
    <b:Guid>{3A9D71C3-6C14-4FEA-9C83-5D72084A7166}</b:Guid>
    <b:Title>Generative AI: Australia Update</b:Title>
    <b:Year>2024</b:Year>
    <b:Publisher>Deloitte AI Institute</b:Publisher>
    <b:Author>
      <b:Author>
        <b:Corporate>Deloitte Access Economics</b:Corporate>
      </b:Author>
    </b:Author>
    <b:URL>https://www.deloitte.com/content/dam/assets-zone1/au/en/docs/services/economics/deloitte-au-generative-ai-australia-update-160524.pdf</b:URL>
    <b:RefOrder>41</b:RefOrder>
  </b:Source>
  <b:Source>
    <b:Tag>Wau24</b:Tag>
    <b:SourceType>Report</b:SourceType>
    <b:Guid>{A4B17455-F0B5-4261-946C-43E2DCEE85F1}</b:Guid>
    <b:Author>
      <b:Author>
        <b:NameList>
          <b:Person>
            <b:Last>Waugh</b:Last>
            <b:First>J</b:First>
          </b:Person>
          <b:Person>
            <b:Last>Forrest</b:Last>
            <b:First>C</b:First>
          </b:Person>
          <b:Person>
            <b:Last>Dowling</b:Last>
            <b:First>K</b:First>
          </b:Person>
        </b:NameList>
      </b:Author>
    </b:Author>
    <b:Title>The impact of increasing university participation on the characteristics of apprentices</b:Title>
    <b:Year>2024</b:Year>
    <b:Publisher>NCVER</b:Publisher>
    <b:RefOrder>44</b:RefOrder>
  </b:Source>
  <b:Source>
    <b:Tag>Ind25</b:Tag>
    <b:SourceType>Report</b:SourceType>
    <b:Guid>{E89A4DD7-2C38-4509-A376-ED713C0039A2}</b:Guid>
    <b:Author>
      <b:Author>
        <b:Corporate>Industry Skills Australia Limited</b:Corporate>
      </b:Author>
    </b:Author>
    <b:Title>Transport and Logistics Industry, 2025 Workforce Plan</b:Title>
    <b:Year>2025</b:Year>
    <b:RefOrder>46</b:RefOrder>
  </b:Source>
  <b:Source>
    <b:Tag>Job231</b:Tag>
    <b:SourceType>Report</b:SourceType>
    <b:Guid>{0C014E5B-9DA2-4A91-B7BC-A1778888A017}</b:Guid>
    <b:Author>
      <b:Author>
        <b:Corporate>Jobs and Skills Australia</b:Corporate>
      </b:Author>
    </b:Author>
    <b:Title>The Clean Energy Generation: Workforce needs for a net zero economy</b:Title>
    <b:Year>2023</b:Year>
    <b:Publisher>Australian Government</b:Publisher>
    <b:City>Canberra</b:City>
    <b:RefOrder>47</b:RefOrder>
  </b:Source>
  <b:Source>
    <b:Tag>QIL25</b:Tag>
    <b:SourceType>InternetSite</b:SourceType>
    <b:Guid>{2B4A6B8A-DE49-46C6-8269-8A796B93597F}</b:Guid>
    <b:Author>
      <b:Author>
        <b:Corporate>QILT</b:Corporate>
      </b:Author>
    </b:Author>
    <b:Title>Graduate Outcomes Survey</b:Title>
    <b:URL>https://www.qilt.edu.au/surveys/graduate-outcomes-survey-(gos)</b:URL>
    <b:YearAccessed>2025</b:YearAccessed>
    <b:MonthAccessed>August</b:MonthAccessed>
    <b:RefOrder>48</b:RefOrder>
  </b:Source>
  <b:Source>
    <b:Tag>QIL251</b:Tag>
    <b:SourceType>InternetSite</b:SourceType>
    <b:Guid>{386AB9A0-1E88-4F99-9338-DECB08BF5B8A}</b:Guid>
    <b:Author>
      <b:Author>
        <b:Corporate>QILT</b:Corporate>
      </b:Author>
    </b:Author>
    <b:Title>Graduate Outcomes Survey – Longitudinal</b:Title>
    <b:URL>https://www.qilt.edu.au/surveys/graduate-outcomes-survey---longitudinal-(gos-l)</b:URL>
    <b:YearAccessed>2025</b:YearAccessed>
    <b:MonthAccessed>August</b:MonthAccessed>
    <b:RefOrder>49</b:RefOrder>
  </b:Source>
  <b:Source>
    <b:Tag>Soc24</b:Tag>
    <b:SourceType>Report</b:SourceType>
    <b:Guid>{14D5EA32-BBCE-41B2-9A29-0FFF6A704B85}</b:Guid>
    <b:Author>
      <b:Author>
        <b:Corporate>Social Research Centre</b:Corporate>
      </b:Author>
    </b:Author>
    <b:Title>2023 GOS National Key Findings</b:Title>
    <b:Year>2024</b:Year>
    <b:URL>https://www.qilt.edu.au/surveys/graduate-outcomes-survey-(gos)</b:URL>
    <b:Publisher>Social Research Centre</b:Publisher>
    <b:YearAccessed>2025</b:YearAccessed>
    <b:MonthAccessed>August</b:MonthAccessed>
    <b:RefOrder>50</b:RefOrder>
  </b:Source>
  <b:Source>
    <b:Tag>Soc241</b:Tag>
    <b:SourceType>Report</b:SourceType>
    <b:Guid>{153A1333-1B2E-486C-96D5-708557768404}</b:Guid>
    <b:Author>
      <b:Author>
        <b:Corporate>Social Research Centre</b:Corporate>
      </b:Author>
    </b:Author>
    <b:Title>2023 Graduate Outcomes Survey - Longitudinal: National Report</b:Title>
    <b:Year>2024</b:Year>
    <b:Publisher>Social Research Centre</b:Publisher>
    <b:YearAccessed>2025</b:YearAccessed>
    <b:MonthAccessed>August</b:MonthAccessed>
    <b:URL>https://www.qilt.edu.au/surveys/graduate-outcomes-survey---longitudinal-(gos-l)</b:URL>
    <b:RefOrder>51</b:RefOrder>
  </b:Source>
  <b:Source>
    <b:Tag>Dep231</b:Tag>
    <b:SourceType>Report</b:SourceType>
    <b:Guid>{968C92C9-10C0-43A6-A6B7-9B4F4B1E8FF1}</b:Guid>
    <b:Author>
      <b:Author>
        <b:Corporate>Department of Education</b:Corporate>
      </b:Author>
    </b:Author>
    <b:Title>Australian Universities Accord Panel Discussion Paper</b:Title>
    <b:Year>2023</b:Year>
    <b:City>Canberra</b:City>
    <b:Publisher>Australian Government</b:Publisher>
    <b:URL>https://www.education.gov.au/australian-universities-accord/resources/australian-universities-accord-panel-discussion-paper</b:URL>
    <b:RefOrder>52</b:RefOrder>
  </b:Source>
  <b:Source>
    <b:Tag>OEC23</b:Tag>
    <b:SourceType>JournalArticle</b:SourceType>
    <b:Guid>{292904BA-D338-439D-9EEF-FCF64D25A0B2}</b:Guid>
    <b:Author>
      <b:Author>
        <b:Corporate>OECD</b:Corporate>
      </b:Author>
    </b:Author>
    <b:Title>Regional productivity, local labour markets, and migration in Australia</b:Title>
    <b:Year>2023</b:Year>
    <b:Publisher>OECD Publishing</b:Publisher>
    <b:City>Paris</b:City>
    <b:JournalName>OECD Regional Development Papers</b:JournalName>
    <b:Volume>39</b:Volume>
    <b:DOI>https://doi.org/10.1787/3cc8f669-en</b:DOI>
    <b:RefOrder>53</b:RefOrder>
  </b:Source>
  <b:Source>
    <b:Tag>ASQ25</b:Tag>
    <b:SourceType>InternetSite</b:SourceType>
    <b:Guid>{60165866-CA7E-4AF6-87CE-5391B1CB158A}</b:Guid>
    <b:Title>Total VET activity</b:Title>
    <b:Author>
      <b:Author>
        <b:Corporate>ASQA</b:Corporate>
      </b:Author>
    </b:Author>
    <b:URL>https://www.asqa.gov.au/rtos/requirements-and-responsibilities/data-collection-and-provision/total-vet-activity</b:URL>
    <b:YearAccessed>2025</b:YearAccessed>
    <b:MonthAccessed>August</b:MonthAccessed>
    <b:RefOrder>54</b:RefOrder>
  </b:Source>
  <b:Source>
    <b:Tag>Pow25</b:Tag>
    <b:SourceType>Report</b:SourceType>
    <b:Guid>{909B141B-72E1-4B10-B11B-66E37057747B}</b:Guid>
    <b:Author>
      <b:Author>
        <b:Corporate>Powering Skills Organisation Ltd</b:Corporate>
      </b:Author>
    </b:Author>
    <b:Title>High Load, Short Supply: Bridging the Gap to 2030 (2025 Workforce Plan)</b:Title>
    <b:Year>2025</b:Year>
    <b:RefOrder>45</b:RefOrder>
  </b:Source>
  <b:Source>
    <b:Tag>Fus24</b:Tag>
    <b:SourceType>Report</b:SourceType>
    <b:Guid>{DEAF2574-5EC2-4CBD-B772-3FE16750FC20}</b:Guid>
    <b:Title>The Impact of AI on the Australian White Collar Workforce</b:Title>
    <b:Year>2024</b:Year>
    <b:Author>
      <b:Author>
        <b:Corporate>Fusion Digital Agency</b:Corporate>
      </b:Author>
    </b:Author>
    <b:URL>https://www.google.com/url?sa=t&amp;rct=j&amp;q=&amp;esrc=s&amp;source=web&amp;cd=&amp;ved=2ahUKEwjUl_OpiLSLAxVJcPUHHdGsK6oQFnoECBIQAQ&amp;url=https%3A%2F%2Ffusiondigital.agency%2Fblog-digital-pr%2Fai-australian-white-collar-workforce%2F&amp;usg=AOvVaw2MZZ89PC7i8Oz7Jiuf35ov&amp;opi=89978449</b:URL>
    <b:RefOrder>42</b:RefOrder>
  </b:Source>
  <b:Source>
    <b:Tag>Org25</b:Tag>
    <b:SourceType>Report</b:SourceType>
    <b:Guid>{AFC79FC2-D625-4F83-936B-2FC40CBB89B0}</b:Guid>
    <b:Title>Building an AI-enabled workforce:</b:Title>
    <b:Year>2025</b:Year>
    <b:Author>
      <b:Author>
        <b:Corporate>Future Skills Organisation</b:Corporate>
      </b:Author>
    </b:Author>
    <b:RefOrder>43</b:RefOrder>
  </b:Source>
  <b:Source>
    <b:Tag>Bru231</b:Tag>
    <b:SourceType>JournalArticle</b:SourceType>
    <b:Guid>{FCB2D934-6A4A-4FC2-A3D0-E49C1A1E7485}</b:Guid>
    <b:Author>
      <b:Author>
        <b:NameList>
          <b:Person>
            <b:Last>Bruno</b:Last>
            <b:First>A</b:First>
          </b:Person>
          <b:Person>
            <b:Last>Dunphy</b:Last>
            <b:First>J</b:First>
          </b:Person>
          <b:Person>
            <b:Last>Georgiakakis</b:Last>
            <b:First>F</b:First>
          </b:Person>
        </b:NameList>
      </b:Author>
    </b:Author>
    <b:Title>Recent Trends in Australian Productivity</b:Title>
    <b:Year>2023</b:Year>
    <b:Month>September</b:Month>
    <b:URL>https://www.rba.gov.au/publications/bulletin/2023/sep/recent-trends-in-australian-productivity.html</b:URL>
    <b:JournalName>Bulletin</b:JournalName>
    <b:Publisher>Reserve Bank of Australia</b:Publisher>
    <b:RefOrder>4</b:RefOrder>
  </b:Source>
  <b:Source>
    <b:Tag>Cha25</b:Tag>
    <b:SourceType>ArticleInAPeriodical</b:SourceType>
    <b:Guid>{3034AF71-DF71-4167-B92B-953E6368736D}</b:Guid>
    <b:Author>
      <b:Author>
        <b:NameList>
          <b:Person>
            <b:Last>Chalmers</b:Last>
            <b:First>J</b:First>
          </b:Person>
        </b:NameList>
      </b:Author>
    </b:Author>
    <b:Title>Address to the National Press Club, Canberra: Economic reform in our second term</b:Title>
    <b:Year>2025</b:Year>
    <b:Month>June</b:Month>
    <b:Day>18</b:Day>
    <b:URL>https://ministers.treasury.gov.au/ministers/jim-chalmers-2022/speeches/address-national-press-club-canberra-5</b:URL>
    <b:RefOrder>5</b:RefOrder>
  </b:Source>
  <b:Source>
    <b:Tag>Tre23</b:Tag>
    <b:SourceType>Report</b:SourceType>
    <b:Guid>{4794461A-5ADE-4E41-AB39-73CD3D2A5F3B}</b:Guid>
    <b:Author>
      <b:Author>
        <b:Corporate>Treasury</b:Corporate>
      </b:Author>
    </b:Author>
    <b:Title>2023 Intergenerational Report</b:Title>
    <b:Year>2023</b:Year>
    <b:RefOrder>35</b:RefOrder>
  </b:Source>
</b:Sources>
</file>

<file path=customXml/itemProps1.xml><?xml version="1.0" encoding="utf-8"?>
<ds:datastoreItem xmlns:ds="http://schemas.openxmlformats.org/officeDocument/2006/customXml" ds:itemID="{D9406315-F634-49AA-99E5-A6986528E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45891</Words>
  <Characters>271676</Characters>
  <Application>Microsoft Office Word</Application>
  <DocSecurity>0</DocSecurity>
  <Lines>5780</Lines>
  <Paragraphs>2369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315198</CharactersWithSpaces>
  <SharedDoc>false</SharedDoc>
  <HLinks>
    <vt:vector size="492" baseType="variant">
      <vt:variant>
        <vt:i4>1835058</vt:i4>
      </vt:variant>
      <vt:variant>
        <vt:i4>479</vt:i4>
      </vt:variant>
      <vt:variant>
        <vt:i4>0</vt:i4>
      </vt:variant>
      <vt:variant>
        <vt:i4>5</vt:i4>
      </vt:variant>
      <vt:variant>
        <vt:lpwstr/>
      </vt:variant>
      <vt:variant>
        <vt:lpwstr>_Toc211002185</vt:lpwstr>
      </vt:variant>
      <vt:variant>
        <vt:i4>1835058</vt:i4>
      </vt:variant>
      <vt:variant>
        <vt:i4>473</vt:i4>
      </vt:variant>
      <vt:variant>
        <vt:i4>0</vt:i4>
      </vt:variant>
      <vt:variant>
        <vt:i4>5</vt:i4>
      </vt:variant>
      <vt:variant>
        <vt:lpwstr/>
      </vt:variant>
      <vt:variant>
        <vt:lpwstr>_Toc211002184</vt:lpwstr>
      </vt:variant>
      <vt:variant>
        <vt:i4>1835058</vt:i4>
      </vt:variant>
      <vt:variant>
        <vt:i4>467</vt:i4>
      </vt:variant>
      <vt:variant>
        <vt:i4>0</vt:i4>
      </vt:variant>
      <vt:variant>
        <vt:i4>5</vt:i4>
      </vt:variant>
      <vt:variant>
        <vt:lpwstr/>
      </vt:variant>
      <vt:variant>
        <vt:lpwstr>_Toc211002183</vt:lpwstr>
      </vt:variant>
      <vt:variant>
        <vt:i4>1835058</vt:i4>
      </vt:variant>
      <vt:variant>
        <vt:i4>461</vt:i4>
      </vt:variant>
      <vt:variant>
        <vt:i4>0</vt:i4>
      </vt:variant>
      <vt:variant>
        <vt:i4>5</vt:i4>
      </vt:variant>
      <vt:variant>
        <vt:lpwstr/>
      </vt:variant>
      <vt:variant>
        <vt:lpwstr>_Toc211002182</vt:lpwstr>
      </vt:variant>
      <vt:variant>
        <vt:i4>1835058</vt:i4>
      </vt:variant>
      <vt:variant>
        <vt:i4>455</vt:i4>
      </vt:variant>
      <vt:variant>
        <vt:i4>0</vt:i4>
      </vt:variant>
      <vt:variant>
        <vt:i4>5</vt:i4>
      </vt:variant>
      <vt:variant>
        <vt:lpwstr/>
      </vt:variant>
      <vt:variant>
        <vt:lpwstr>_Toc211002181</vt:lpwstr>
      </vt:variant>
      <vt:variant>
        <vt:i4>1835058</vt:i4>
      </vt:variant>
      <vt:variant>
        <vt:i4>449</vt:i4>
      </vt:variant>
      <vt:variant>
        <vt:i4>0</vt:i4>
      </vt:variant>
      <vt:variant>
        <vt:i4>5</vt:i4>
      </vt:variant>
      <vt:variant>
        <vt:lpwstr/>
      </vt:variant>
      <vt:variant>
        <vt:lpwstr>_Toc211002180</vt:lpwstr>
      </vt:variant>
      <vt:variant>
        <vt:i4>1245234</vt:i4>
      </vt:variant>
      <vt:variant>
        <vt:i4>443</vt:i4>
      </vt:variant>
      <vt:variant>
        <vt:i4>0</vt:i4>
      </vt:variant>
      <vt:variant>
        <vt:i4>5</vt:i4>
      </vt:variant>
      <vt:variant>
        <vt:lpwstr/>
      </vt:variant>
      <vt:variant>
        <vt:lpwstr>_Toc211002179</vt:lpwstr>
      </vt:variant>
      <vt:variant>
        <vt:i4>1245234</vt:i4>
      </vt:variant>
      <vt:variant>
        <vt:i4>437</vt:i4>
      </vt:variant>
      <vt:variant>
        <vt:i4>0</vt:i4>
      </vt:variant>
      <vt:variant>
        <vt:i4>5</vt:i4>
      </vt:variant>
      <vt:variant>
        <vt:lpwstr/>
      </vt:variant>
      <vt:variant>
        <vt:lpwstr>_Toc211002178</vt:lpwstr>
      </vt:variant>
      <vt:variant>
        <vt:i4>1245234</vt:i4>
      </vt:variant>
      <vt:variant>
        <vt:i4>431</vt:i4>
      </vt:variant>
      <vt:variant>
        <vt:i4>0</vt:i4>
      </vt:variant>
      <vt:variant>
        <vt:i4>5</vt:i4>
      </vt:variant>
      <vt:variant>
        <vt:lpwstr/>
      </vt:variant>
      <vt:variant>
        <vt:lpwstr>_Toc211002177</vt:lpwstr>
      </vt:variant>
      <vt:variant>
        <vt:i4>1245234</vt:i4>
      </vt:variant>
      <vt:variant>
        <vt:i4>425</vt:i4>
      </vt:variant>
      <vt:variant>
        <vt:i4>0</vt:i4>
      </vt:variant>
      <vt:variant>
        <vt:i4>5</vt:i4>
      </vt:variant>
      <vt:variant>
        <vt:lpwstr/>
      </vt:variant>
      <vt:variant>
        <vt:lpwstr>_Toc211002176</vt:lpwstr>
      </vt:variant>
      <vt:variant>
        <vt:i4>1245234</vt:i4>
      </vt:variant>
      <vt:variant>
        <vt:i4>419</vt:i4>
      </vt:variant>
      <vt:variant>
        <vt:i4>0</vt:i4>
      </vt:variant>
      <vt:variant>
        <vt:i4>5</vt:i4>
      </vt:variant>
      <vt:variant>
        <vt:lpwstr/>
      </vt:variant>
      <vt:variant>
        <vt:lpwstr>_Toc211002175</vt:lpwstr>
      </vt:variant>
      <vt:variant>
        <vt:i4>1245234</vt:i4>
      </vt:variant>
      <vt:variant>
        <vt:i4>413</vt:i4>
      </vt:variant>
      <vt:variant>
        <vt:i4>0</vt:i4>
      </vt:variant>
      <vt:variant>
        <vt:i4>5</vt:i4>
      </vt:variant>
      <vt:variant>
        <vt:lpwstr/>
      </vt:variant>
      <vt:variant>
        <vt:lpwstr>_Toc211002174</vt:lpwstr>
      </vt:variant>
      <vt:variant>
        <vt:i4>1245234</vt:i4>
      </vt:variant>
      <vt:variant>
        <vt:i4>407</vt:i4>
      </vt:variant>
      <vt:variant>
        <vt:i4>0</vt:i4>
      </vt:variant>
      <vt:variant>
        <vt:i4>5</vt:i4>
      </vt:variant>
      <vt:variant>
        <vt:lpwstr/>
      </vt:variant>
      <vt:variant>
        <vt:lpwstr>_Toc211002173</vt:lpwstr>
      </vt:variant>
      <vt:variant>
        <vt:i4>1245234</vt:i4>
      </vt:variant>
      <vt:variant>
        <vt:i4>401</vt:i4>
      </vt:variant>
      <vt:variant>
        <vt:i4>0</vt:i4>
      </vt:variant>
      <vt:variant>
        <vt:i4>5</vt:i4>
      </vt:variant>
      <vt:variant>
        <vt:lpwstr/>
      </vt:variant>
      <vt:variant>
        <vt:lpwstr>_Toc211002172</vt:lpwstr>
      </vt:variant>
      <vt:variant>
        <vt:i4>1245234</vt:i4>
      </vt:variant>
      <vt:variant>
        <vt:i4>395</vt:i4>
      </vt:variant>
      <vt:variant>
        <vt:i4>0</vt:i4>
      </vt:variant>
      <vt:variant>
        <vt:i4>5</vt:i4>
      </vt:variant>
      <vt:variant>
        <vt:lpwstr/>
      </vt:variant>
      <vt:variant>
        <vt:lpwstr>_Toc211002171</vt:lpwstr>
      </vt:variant>
      <vt:variant>
        <vt:i4>1245234</vt:i4>
      </vt:variant>
      <vt:variant>
        <vt:i4>389</vt:i4>
      </vt:variant>
      <vt:variant>
        <vt:i4>0</vt:i4>
      </vt:variant>
      <vt:variant>
        <vt:i4>5</vt:i4>
      </vt:variant>
      <vt:variant>
        <vt:lpwstr/>
      </vt:variant>
      <vt:variant>
        <vt:lpwstr>_Toc211002170</vt:lpwstr>
      </vt:variant>
      <vt:variant>
        <vt:i4>1179698</vt:i4>
      </vt:variant>
      <vt:variant>
        <vt:i4>383</vt:i4>
      </vt:variant>
      <vt:variant>
        <vt:i4>0</vt:i4>
      </vt:variant>
      <vt:variant>
        <vt:i4>5</vt:i4>
      </vt:variant>
      <vt:variant>
        <vt:lpwstr/>
      </vt:variant>
      <vt:variant>
        <vt:lpwstr>_Toc211002169</vt:lpwstr>
      </vt:variant>
      <vt:variant>
        <vt:i4>1179698</vt:i4>
      </vt:variant>
      <vt:variant>
        <vt:i4>377</vt:i4>
      </vt:variant>
      <vt:variant>
        <vt:i4>0</vt:i4>
      </vt:variant>
      <vt:variant>
        <vt:i4>5</vt:i4>
      </vt:variant>
      <vt:variant>
        <vt:lpwstr/>
      </vt:variant>
      <vt:variant>
        <vt:lpwstr>_Toc211002168</vt:lpwstr>
      </vt:variant>
      <vt:variant>
        <vt:i4>1179698</vt:i4>
      </vt:variant>
      <vt:variant>
        <vt:i4>371</vt:i4>
      </vt:variant>
      <vt:variant>
        <vt:i4>0</vt:i4>
      </vt:variant>
      <vt:variant>
        <vt:i4>5</vt:i4>
      </vt:variant>
      <vt:variant>
        <vt:lpwstr/>
      </vt:variant>
      <vt:variant>
        <vt:lpwstr>_Toc211002167</vt:lpwstr>
      </vt:variant>
      <vt:variant>
        <vt:i4>1179698</vt:i4>
      </vt:variant>
      <vt:variant>
        <vt:i4>365</vt:i4>
      </vt:variant>
      <vt:variant>
        <vt:i4>0</vt:i4>
      </vt:variant>
      <vt:variant>
        <vt:i4>5</vt:i4>
      </vt:variant>
      <vt:variant>
        <vt:lpwstr/>
      </vt:variant>
      <vt:variant>
        <vt:lpwstr>_Toc211002166</vt:lpwstr>
      </vt:variant>
      <vt:variant>
        <vt:i4>1179698</vt:i4>
      </vt:variant>
      <vt:variant>
        <vt:i4>359</vt:i4>
      </vt:variant>
      <vt:variant>
        <vt:i4>0</vt:i4>
      </vt:variant>
      <vt:variant>
        <vt:i4>5</vt:i4>
      </vt:variant>
      <vt:variant>
        <vt:lpwstr/>
      </vt:variant>
      <vt:variant>
        <vt:lpwstr>_Toc211002165</vt:lpwstr>
      </vt:variant>
      <vt:variant>
        <vt:i4>1179698</vt:i4>
      </vt:variant>
      <vt:variant>
        <vt:i4>353</vt:i4>
      </vt:variant>
      <vt:variant>
        <vt:i4>0</vt:i4>
      </vt:variant>
      <vt:variant>
        <vt:i4>5</vt:i4>
      </vt:variant>
      <vt:variant>
        <vt:lpwstr/>
      </vt:variant>
      <vt:variant>
        <vt:lpwstr>_Toc211002164</vt:lpwstr>
      </vt:variant>
      <vt:variant>
        <vt:i4>1179698</vt:i4>
      </vt:variant>
      <vt:variant>
        <vt:i4>347</vt:i4>
      </vt:variant>
      <vt:variant>
        <vt:i4>0</vt:i4>
      </vt:variant>
      <vt:variant>
        <vt:i4>5</vt:i4>
      </vt:variant>
      <vt:variant>
        <vt:lpwstr/>
      </vt:variant>
      <vt:variant>
        <vt:lpwstr>_Toc211002163</vt:lpwstr>
      </vt:variant>
      <vt:variant>
        <vt:i4>1179698</vt:i4>
      </vt:variant>
      <vt:variant>
        <vt:i4>341</vt:i4>
      </vt:variant>
      <vt:variant>
        <vt:i4>0</vt:i4>
      </vt:variant>
      <vt:variant>
        <vt:i4>5</vt:i4>
      </vt:variant>
      <vt:variant>
        <vt:lpwstr/>
      </vt:variant>
      <vt:variant>
        <vt:lpwstr>_Toc211002162</vt:lpwstr>
      </vt:variant>
      <vt:variant>
        <vt:i4>1179698</vt:i4>
      </vt:variant>
      <vt:variant>
        <vt:i4>335</vt:i4>
      </vt:variant>
      <vt:variant>
        <vt:i4>0</vt:i4>
      </vt:variant>
      <vt:variant>
        <vt:i4>5</vt:i4>
      </vt:variant>
      <vt:variant>
        <vt:lpwstr/>
      </vt:variant>
      <vt:variant>
        <vt:lpwstr>_Toc211002161</vt:lpwstr>
      </vt:variant>
      <vt:variant>
        <vt:i4>1179698</vt:i4>
      </vt:variant>
      <vt:variant>
        <vt:i4>329</vt:i4>
      </vt:variant>
      <vt:variant>
        <vt:i4>0</vt:i4>
      </vt:variant>
      <vt:variant>
        <vt:i4>5</vt:i4>
      </vt:variant>
      <vt:variant>
        <vt:lpwstr/>
      </vt:variant>
      <vt:variant>
        <vt:lpwstr>_Toc211002160</vt:lpwstr>
      </vt:variant>
      <vt:variant>
        <vt:i4>1114162</vt:i4>
      </vt:variant>
      <vt:variant>
        <vt:i4>323</vt:i4>
      </vt:variant>
      <vt:variant>
        <vt:i4>0</vt:i4>
      </vt:variant>
      <vt:variant>
        <vt:i4>5</vt:i4>
      </vt:variant>
      <vt:variant>
        <vt:lpwstr/>
      </vt:variant>
      <vt:variant>
        <vt:lpwstr>_Toc211002159</vt:lpwstr>
      </vt:variant>
      <vt:variant>
        <vt:i4>1114162</vt:i4>
      </vt:variant>
      <vt:variant>
        <vt:i4>317</vt:i4>
      </vt:variant>
      <vt:variant>
        <vt:i4>0</vt:i4>
      </vt:variant>
      <vt:variant>
        <vt:i4>5</vt:i4>
      </vt:variant>
      <vt:variant>
        <vt:lpwstr/>
      </vt:variant>
      <vt:variant>
        <vt:lpwstr>_Toc211002158</vt:lpwstr>
      </vt:variant>
      <vt:variant>
        <vt:i4>1114162</vt:i4>
      </vt:variant>
      <vt:variant>
        <vt:i4>311</vt:i4>
      </vt:variant>
      <vt:variant>
        <vt:i4>0</vt:i4>
      </vt:variant>
      <vt:variant>
        <vt:i4>5</vt:i4>
      </vt:variant>
      <vt:variant>
        <vt:lpwstr/>
      </vt:variant>
      <vt:variant>
        <vt:lpwstr>_Toc211002157</vt:lpwstr>
      </vt:variant>
      <vt:variant>
        <vt:i4>1114162</vt:i4>
      </vt:variant>
      <vt:variant>
        <vt:i4>305</vt:i4>
      </vt:variant>
      <vt:variant>
        <vt:i4>0</vt:i4>
      </vt:variant>
      <vt:variant>
        <vt:i4>5</vt:i4>
      </vt:variant>
      <vt:variant>
        <vt:lpwstr/>
      </vt:variant>
      <vt:variant>
        <vt:lpwstr>_Toc211002156</vt:lpwstr>
      </vt:variant>
      <vt:variant>
        <vt:i4>1114162</vt:i4>
      </vt:variant>
      <vt:variant>
        <vt:i4>299</vt:i4>
      </vt:variant>
      <vt:variant>
        <vt:i4>0</vt:i4>
      </vt:variant>
      <vt:variant>
        <vt:i4>5</vt:i4>
      </vt:variant>
      <vt:variant>
        <vt:lpwstr/>
      </vt:variant>
      <vt:variant>
        <vt:lpwstr>_Toc211002155</vt:lpwstr>
      </vt:variant>
      <vt:variant>
        <vt:i4>1114162</vt:i4>
      </vt:variant>
      <vt:variant>
        <vt:i4>293</vt:i4>
      </vt:variant>
      <vt:variant>
        <vt:i4>0</vt:i4>
      </vt:variant>
      <vt:variant>
        <vt:i4>5</vt:i4>
      </vt:variant>
      <vt:variant>
        <vt:lpwstr/>
      </vt:variant>
      <vt:variant>
        <vt:lpwstr>_Toc211002154</vt:lpwstr>
      </vt:variant>
      <vt:variant>
        <vt:i4>1114162</vt:i4>
      </vt:variant>
      <vt:variant>
        <vt:i4>287</vt:i4>
      </vt:variant>
      <vt:variant>
        <vt:i4>0</vt:i4>
      </vt:variant>
      <vt:variant>
        <vt:i4>5</vt:i4>
      </vt:variant>
      <vt:variant>
        <vt:lpwstr/>
      </vt:variant>
      <vt:variant>
        <vt:lpwstr>_Toc211002153</vt:lpwstr>
      </vt:variant>
      <vt:variant>
        <vt:i4>1114162</vt:i4>
      </vt:variant>
      <vt:variant>
        <vt:i4>281</vt:i4>
      </vt:variant>
      <vt:variant>
        <vt:i4>0</vt:i4>
      </vt:variant>
      <vt:variant>
        <vt:i4>5</vt:i4>
      </vt:variant>
      <vt:variant>
        <vt:lpwstr/>
      </vt:variant>
      <vt:variant>
        <vt:lpwstr>_Toc211002152</vt:lpwstr>
      </vt:variant>
      <vt:variant>
        <vt:i4>1114162</vt:i4>
      </vt:variant>
      <vt:variant>
        <vt:i4>275</vt:i4>
      </vt:variant>
      <vt:variant>
        <vt:i4>0</vt:i4>
      </vt:variant>
      <vt:variant>
        <vt:i4>5</vt:i4>
      </vt:variant>
      <vt:variant>
        <vt:lpwstr/>
      </vt:variant>
      <vt:variant>
        <vt:lpwstr>_Toc211002151</vt:lpwstr>
      </vt:variant>
      <vt:variant>
        <vt:i4>1114162</vt:i4>
      </vt:variant>
      <vt:variant>
        <vt:i4>269</vt:i4>
      </vt:variant>
      <vt:variant>
        <vt:i4>0</vt:i4>
      </vt:variant>
      <vt:variant>
        <vt:i4>5</vt:i4>
      </vt:variant>
      <vt:variant>
        <vt:lpwstr/>
      </vt:variant>
      <vt:variant>
        <vt:lpwstr>_Toc211002150</vt:lpwstr>
      </vt:variant>
      <vt:variant>
        <vt:i4>1048626</vt:i4>
      </vt:variant>
      <vt:variant>
        <vt:i4>263</vt:i4>
      </vt:variant>
      <vt:variant>
        <vt:i4>0</vt:i4>
      </vt:variant>
      <vt:variant>
        <vt:i4>5</vt:i4>
      </vt:variant>
      <vt:variant>
        <vt:lpwstr/>
      </vt:variant>
      <vt:variant>
        <vt:lpwstr>_Toc211002149</vt:lpwstr>
      </vt:variant>
      <vt:variant>
        <vt:i4>1048626</vt:i4>
      </vt:variant>
      <vt:variant>
        <vt:i4>257</vt:i4>
      </vt:variant>
      <vt:variant>
        <vt:i4>0</vt:i4>
      </vt:variant>
      <vt:variant>
        <vt:i4>5</vt:i4>
      </vt:variant>
      <vt:variant>
        <vt:lpwstr/>
      </vt:variant>
      <vt:variant>
        <vt:lpwstr>_Toc211002148</vt:lpwstr>
      </vt:variant>
      <vt:variant>
        <vt:i4>1048626</vt:i4>
      </vt:variant>
      <vt:variant>
        <vt:i4>251</vt:i4>
      </vt:variant>
      <vt:variant>
        <vt:i4>0</vt:i4>
      </vt:variant>
      <vt:variant>
        <vt:i4>5</vt:i4>
      </vt:variant>
      <vt:variant>
        <vt:lpwstr/>
      </vt:variant>
      <vt:variant>
        <vt:lpwstr>_Toc211002147</vt:lpwstr>
      </vt:variant>
      <vt:variant>
        <vt:i4>1048626</vt:i4>
      </vt:variant>
      <vt:variant>
        <vt:i4>245</vt:i4>
      </vt:variant>
      <vt:variant>
        <vt:i4>0</vt:i4>
      </vt:variant>
      <vt:variant>
        <vt:i4>5</vt:i4>
      </vt:variant>
      <vt:variant>
        <vt:lpwstr/>
      </vt:variant>
      <vt:variant>
        <vt:lpwstr>_Toc211002146</vt:lpwstr>
      </vt:variant>
      <vt:variant>
        <vt:i4>1048626</vt:i4>
      </vt:variant>
      <vt:variant>
        <vt:i4>239</vt:i4>
      </vt:variant>
      <vt:variant>
        <vt:i4>0</vt:i4>
      </vt:variant>
      <vt:variant>
        <vt:i4>5</vt:i4>
      </vt:variant>
      <vt:variant>
        <vt:lpwstr/>
      </vt:variant>
      <vt:variant>
        <vt:lpwstr>_Toc211002145</vt:lpwstr>
      </vt:variant>
      <vt:variant>
        <vt:i4>1048626</vt:i4>
      </vt:variant>
      <vt:variant>
        <vt:i4>233</vt:i4>
      </vt:variant>
      <vt:variant>
        <vt:i4>0</vt:i4>
      </vt:variant>
      <vt:variant>
        <vt:i4>5</vt:i4>
      </vt:variant>
      <vt:variant>
        <vt:lpwstr/>
      </vt:variant>
      <vt:variant>
        <vt:lpwstr>_Toc211002144</vt:lpwstr>
      </vt:variant>
      <vt:variant>
        <vt:i4>1048626</vt:i4>
      </vt:variant>
      <vt:variant>
        <vt:i4>227</vt:i4>
      </vt:variant>
      <vt:variant>
        <vt:i4>0</vt:i4>
      </vt:variant>
      <vt:variant>
        <vt:i4>5</vt:i4>
      </vt:variant>
      <vt:variant>
        <vt:lpwstr/>
      </vt:variant>
      <vt:variant>
        <vt:lpwstr>_Toc211002143</vt:lpwstr>
      </vt:variant>
      <vt:variant>
        <vt:i4>1048626</vt:i4>
      </vt:variant>
      <vt:variant>
        <vt:i4>221</vt:i4>
      </vt:variant>
      <vt:variant>
        <vt:i4>0</vt:i4>
      </vt:variant>
      <vt:variant>
        <vt:i4>5</vt:i4>
      </vt:variant>
      <vt:variant>
        <vt:lpwstr/>
      </vt:variant>
      <vt:variant>
        <vt:lpwstr>_Toc211002142</vt:lpwstr>
      </vt:variant>
      <vt:variant>
        <vt:i4>1048626</vt:i4>
      </vt:variant>
      <vt:variant>
        <vt:i4>215</vt:i4>
      </vt:variant>
      <vt:variant>
        <vt:i4>0</vt:i4>
      </vt:variant>
      <vt:variant>
        <vt:i4>5</vt:i4>
      </vt:variant>
      <vt:variant>
        <vt:lpwstr/>
      </vt:variant>
      <vt:variant>
        <vt:lpwstr>_Toc211002141</vt:lpwstr>
      </vt:variant>
      <vt:variant>
        <vt:i4>1048626</vt:i4>
      </vt:variant>
      <vt:variant>
        <vt:i4>209</vt:i4>
      </vt:variant>
      <vt:variant>
        <vt:i4>0</vt:i4>
      </vt:variant>
      <vt:variant>
        <vt:i4>5</vt:i4>
      </vt:variant>
      <vt:variant>
        <vt:lpwstr/>
      </vt:variant>
      <vt:variant>
        <vt:lpwstr>_Toc211002140</vt:lpwstr>
      </vt:variant>
      <vt:variant>
        <vt:i4>1507378</vt:i4>
      </vt:variant>
      <vt:variant>
        <vt:i4>203</vt:i4>
      </vt:variant>
      <vt:variant>
        <vt:i4>0</vt:i4>
      </vt:variant>
      <vt:variant>
        <vt:i4>5</vt:i4>
      </vt:variant>
      <vt:variant>
        <vt:lpwstr/>
      </vt:variant>
      <vt:variant>
        <vt:lpwstr>_Toc211002139</vt:lpwstr>
      </vt:variant>
      <vt:variant>
        <vt:i4>1507378</vt:i4>
      </vt:variant>
      <vt:variant>
        <vt:i4>197</vt:i4>
      </vt:variant>
      <vt:variant>
        <vt:i4>0</vt:i4>
      </vt:variant>
      <vt:variant>
        <vt:i4>5</vt:i4>
      </vt:variant>
      <vt:variant>
        <vt:lpwstr/>
      </vt:variant>
      <vt:variant>
        <vt:lpwstr>_Toc211002138</vt:lpwstr>
      </vt:variant>
      <vt:variant>
        <vt:i4>1507378</vt:i4>
      </vt:variant>
      <vt:variant>
        <vt:i4>191</vt:i4>
      </vt:variant>
      <vt:variant>
        <vt:i4>0</vt:i4>
      </vt:variant>
      <vt:variant>
        <vt:i4>5</vt:i4>
      </vt:variant>
      <vt:variant>
        <vt:lpwstr/>
      </vt:variant>
      <vt:variant>
        <vt:lpwstr>_Toc211002137</vt:lpwstr>
      </vt:variant>
      <vt:variant>
        <vt:i4>1507378</vt:i4>
      </vt:variant>
      <vt:variant>
        <vt:i4>185</vt:i4>
      </vt:variant>
      <vt:variant>
        <vt:i4>0</vt:i4>
      </vt:variant>
      <vt:variant>
        <vt:i4>5</vt:i4>
      </vt:variant>
      <vt:variant>
        <vt:lpwstr/>
      </vt:variant>
      <vt:variant>
        <vt:lpwstr>_Toc211002136</vt:lpwstr>
      </vt:variant>
      <vt:variant>
        <vt:i4>1507378</vt:i4>
      </vt:variant>
      <vt:variant>
        <vt:i4>179</vt:i4>
      </vt:variant>
      <vt:variant>
        <vt:i4>0</vt:i4>
      </vt:variant>
      <vt:variant>
        <vt:i4>5</vt:i4>
      </vt:variant>
      <vt:variant>
        <vt:lpwstr/>
      </vt:variant>
      <vt:variant>
        <vt:lpwstr>_Toc211002135</vt:lpwstr>
      </vt:variant>
      <vt:variant>
        <vt:i4>1507378</vt:i4>
      </vt:variant>
      <vt:variant>
        <vt:i4>173</vt:i4>
      </vt:variant>
      <vt:variant>
        <vt:i4>0</vt:i4>
      </vt:variant>
      <vt:variant>
        <vt:i4>5</vt:i4>
      </vt:variant>
      <vt:variant>
        <vt:lpwstr/>
      </vt:variant>
      <vt:variant>
        <vt:lpwstr>_Toc211002134</vt:lpwstr>
      </vt:variant>
      <vt:variant>
        <vt:i4>1507378</vt:i4>
      </vt:variant>
      <vt:variant>
        <vt:i4>167</vt:i4>
      </vt:variant>
      <vt:variant>
        <vt:i4>0</vt:i4>
      </vt:variant>
      <vt:variant>
        <vt:i4>5</vt:i4>
      </vt:variant>
      <vt:variant>
        <vt:lpwstr/>
      </vt:variant>
      <vt:variant>
        <vt:lpwstr>_Toc211002133</vt:lpwstr>
      </vt:variant>
      <vt:variant>
        <vt:i4>1507378</vt:i4>
      </vt:variant>
      <vt:variant>
        <vt:i4>161</vt:i4>
      </vt:variant>
      <vt:variant>
        <vt:i4>0</vt:i4>
      </vt:variant>
      <vt:variant>
        <vt:i4>5</vt:i4>
      </vt:variant>
      <vt:variant>
        <vt:lpwstr/>
      </vt:variant>
      <vt:variant>
        <vt:lpwstr>_Toc211002132</vt:lpwstr>
      </vt:variant>
      <vt:variant>
        <vt:i4>1507378</vt:i4>
      </vt:variant>
      <vt:variant>
        <vt:i4>155</vt:i4>
      </vt:variant>
      <vt:variant>
        <vt:i4>0</vt:i4>
      </vt:variant>
      <vt:variant>
        <vt:i4>5</vt:i4>
      </vt:variant>
      <vt:variant>
        <vt:lpwstr/>
      </vt:variant>
      <vt:variant>
        <vt:lpwstr>_Toc211002131</vt:lpwstr>
      </vt:variant>
      <vt:variant>
        <vt:i4>1507378</vt:i4>
      </vt:variant>
      <vt:variant>
        <vt:i4>149</vt:i4>
      </vt:variant>
      <vt:variant>
        <vt:i4>0</vt:i4>
      </vt:variant>
      <vt:variant>
        <vt:i4>5</vt:i4>
      </vt:variant>
      <vt:variant>
        <vt:lpwstr/>
      </vt:variant>
      <vt:variant>
        <vt:lpwstr>_Toc211002130</vt:lpwstr>
      </vt:variant>
      <vt:variant>
        <vt:i4>1441842</vt:i4>
      </vt:variant>
      <vt:variant>
        <vt:i4>143</vt:i4>
      </vt:variant>
      <vt:variant>
        <vt:i4>0</vt:i4>
      </vt:variant>
      <vt:variant>
        <vt:i4>5</vt:i4>
      </vt:variant>
      <vt:variant>
        <vt:lpwstr/>
      </vt:variant>
      <vt:variant>
        <vt:lpwstr>_Toc211002129</vt:lpwstr>
      </vt:variant>
      <vt:variant>
        <vt:i4>1441842</vt:i4>
      </vt:variant>
      <vt:variant>
        <vt:i4>137</vt:i4>
      </vt:variant>
      <vt:variant>
        <vt:i4>0</vt:i4>
      </vt:variant>
      <vt:variant>
        <vt:i4>5</vt:i4>
      </vt:variant>
      <vt:variant>
        <vt:lpwstr/>
      </vt:variant>
      <vt:variant>
        <vt:lpwstr>_Toc211002128</vt:lpwstr>
      </vt:variant>
      <vt:variant>
        <vt:i4>1441842</vt:i4>
      </vt:variant>
      <vt:variant>
        <vt:i4>131</vt:i4>
      </vt:variant>
      <vt:variant>
        <vt:i4>0</vt:i4>
      </vt:variant>
      <vt:variant>
        <vt:i4>5</vt:i4>
      </vt:variant>
      <vt:variant>
        <vt:lpwstr/>
      </vt:variant>
      <vt:variant>
        <vt:lpwstr>_Toc211002127</vt:lpwstr>
      </vt:variant>
      <vt:variant>
        <vt:i4>1441842</vt:i4>
      </vt:variant>
      <vt:variant>
        <vt:i4>125</vt:i4>
      </vt:variant>
      <vt:variant>
        <vt:i4>0</vt:i4>
      </vt:variant>
      <vt:variant>
        <vt:i4>5</vt:i4>
      </vt:variant>
      <vt:variant>
        <vt:lpwstr/>
      </vt:variant>
      <vt:variant>
        <vt:lpwstr>_Toc211002126</vt:lpwstr>
      </vt:variant>
      <vt:variant>
        <vt:i4>1441842</vt:i4>
      </vt:variant>
      <vt:variant>
        <vt:i4>119</vt:i4>
      </vt:variant>
      <vt:variant>
        <vt:i4>0</vt:i4>
      </vt:variant>
      <vt:variant>
        <vt:i4>5</vt:i4>
      </vt:variant>
      <vt:variant>
        <vt:lpwstr/>
      </vt:variant>
      <vt:variant>
        <vt:lpwstr>_Toc211002125</vt:lpwstr>
      </vt:variant>
      <vt:variant>
        <vt:i4>1441842</vt:i4>
      </vt:variant>
      <vt:variant>
        <vt:i4>113</vt:i4>
      </vt:variant>
      <vt:variant>
        <vt:i4>0</vt:i4>
      </vt:variant>
      <vt:variant>
        <vt:i4>5</vt:i4>
      </vt:variant>
      <vt:variant>
        <vt:lpwstr/>
      </vt:variant>
      <vt:variant>
        <vt:lpwstr>_Toc211002124</vt:lpwstr>
      </vt:variant>
      <vt:variant>
        <vt:i4>1441842</vt:i4>
      </vt:variant>
      <vt:variant>
        <vt:i4>107</vt:i4>
      </vt:variant>
      <vt:variant>
        <vt:i4>0</vt:i4>
      </vt:variant>
      <vt:variant>
        <vt:i4>5</vt:i4>
      </vt:variant>
      <vt:variant>
        <vt:lpwstr/>
      </vt:variant>
      <vt:variant>
        <vt:lpwstr>_Toc211002123</vt:lpwstr>
      </vt:variant>
      <vt:variant>
        <vt:i4>1441842</vt:i4>
      </vt:variant>
      <vt:variant>
        <vt:i4>101</vt:i4>
      </vt:variant>
      <vt:variant>
        <vt:i4>0</vt:i4>
      </vt:variant>
      <vt:variant>
        <vt:i4>5</vt:i4>
      </vt:variant>
      <vt:variant>
        <vt:lpwstr/>
      </vt:variant>
      <vt:variant>
        <vt:lpwstr>_Toc211002122</vt:lpwstr>
      </vt:variant>
      <vt:variant>
        <vt:i4>1441842</vt:i4>
      </vt:variant>
      <vt:variant>
        <vt:i4>95</vt:i4>
      </vt:variant>
      <vt:variant>
        <vt:i4>0</vt:i4>
      </vt:variant>
      <vt:variant>
        <vt:i4>5</vt:i4>
      </vt:variant>
      <vt:variant>
        <vt:lpwstr/>
      </vt:variant>
      <vt:variant>
        <vt:lpwstr>_Toc211002121</vt:lpwstr>
      </vt:variant>
      <vt:variant>
        <vt:i4>1441842</vt:i4>
      </vt:variant>
      <vt:variant>
        <vt:i4>89</vt:i4>
      </vt:variant>
      <vt:variant>
        <vt:i4>0</vt:i4>
      </vt:variant>
      <vt:variant>
        <vt:i4>5</vt:i4>
      </vt:variant>
      <vt:variant>
        <vt:lpwstr/>
      </vt:variant>
      <vt:variant>
        <vt:lpwstr>_Toc211002120</vt:lpwstr>
      </vt:variant>
      <vt:variant>
        <vt:i4>1376306</vt:i4>
      </vt:variant>
      <vt:variant>
        <vt:i4>83</vt:i4>
      </vt:variant>
      <vt:variant>
        <vt:i4>0</vt:i4>
      </vt:variant>
      <vt:variant>
        <vt:i4>5</vt:i4>
      </vt:variant>
      <vt:variant>
        <vt:lpwstr/>
      </vt:variant>
      <vt:variant>
        <vt:lpwstr>_Toc211002119</vt:lpwstr>
      </vt:variant>
      <vt:variant>
        <vt:i4>1376306</vt:i4>
      </vt:variant>
      <vt:variant>
        <vt:i4>77</vt:i4>
      </vt:variant>
      <vt:variant>
        <vt:i4>0</vt:i4>
      </vt:variant>
      <vt:variant>
        <vt:i4>5</vt:i4>
      </vt:variant>
      <vt:variant>
        <vt:lpwstr/>
      </vt:variant>
      <vt:variant>
        <vt:lpwstr>_Toc211002118</vt:lpwstr>
      </vt:variant>
      <vt:variant>
        <vt:i4>1376306</vt:i4>
      </vt:variant>
      <vt:variant>
        <vt:i4>71</vt:i4>
      </vt:variant>
      <vt:variant>
        <vt:i4>0</vt:i4>
      </vt:variant>
      <vt:variant>
        <vt:i4>5</vt:i4>
      </vt:variant>
      <vt:variant>
        <vt:lpwstr/>
      </vt:variant>
      <vt:variant>
        <vt:lpwstr>_Toc211002117</vt:lpwstr>
      </vt:variant>
      <vt:variant>
        <vt:i4>1376306</vt:i4>
      </vt:variant>
      <vt:variant>
        <vt:i4>65</vt:i4>
      </vt:variant>
      <vt:variant>
        <vt:i4>0</vt:i4>
      </vt:variant>
      <vt:variant>
        <vt:i4>5</vt:i4>
      </vt:variant>
      <vt:variant>
        <vt:lpwstr/>
      </vt:variant>
      <vt:variant>
        <vt:lpwstr>_Toc211002116</vt:lpwstr>
      </vt:variant>
      <vt:variant>
        <vt:i4>1376306</vt:i4>
      </vt:variant>
      <vt:variant>
        <vt:i4>59</vt:i4>
      </vt:variant>
      <vt:variant>
        <vt:i4>0</vt:i4>
      </vt:variant>
      <vt:variant>
        <vt:i4>5</vt:i4>
      </vt:variant>
      <vt:variant>
        <vt:lpwstr/>
      </vt:variant>
      <vt:variant>
        <vt:lpwstr>_Toc211002115</vt:lpwstr>
      </vt:variant>
      <vt:variant>
        <vt:i4>1376306</vt:i4>
      </vt:variant>
      <vt:variant>
        <vt:i4>53</vt:i4>
      </vt:variant>
      <vt:variant>
        <vt:i4>0</vt:i4>
      </vt:variant>
      <vt:variant>
        <vt:i4>5</vt:i4>
      </vt:variant>
      <vt:variant>
        <vt:lpwstr/>
      </vt:variant>
      <vt:variant>
        <vt:lpwstr>_Toc211002114</vt:lpwstr>
      </vt:variant>
      <vt:variant>
        <vt:i4>1376306</vt:i4>
      </vt:variant>
      <vt:variant>
        <vt:i4>47</vt:i4>
      </vt:variant>
      <vt:variant>
        <vt:i4>0</vt:i4>
      </vt:variant>
      <vt:variant>
        <vt:i4>5</vt:i4>
      </vt:variant>
      <vt:variant>
        <vt:lpwstr/>
      </vt:variant>
      <vt:variant>
        <vt:lpwstr>_Toc211002113</vt:lpwstr>
      </vt:variant>
      <vt:variant>
        <vt:i4>1376306</vt:i4>
      </vt:variant>
      <vt:variant>
        <vt:i4>41</vt:i4>
      </vt:variant>
      <vt:variant>
        <vt:i4>0</vt:i4>
      </vt:variant>
      <vt:variant>
        <vt:i4>5</vt:i4>
      </vt:variant>
      <vt:variant>
        <vt:lpwstr/>
      </vt:variant>
      <vt:variant>
        <vt:lpwstr>_Toc211002112</vt:lpwstr>
      </vt:variant>
      <vt:variant>
        <vt:i4>1376306</vt:i4>
      </vt:variant>
      <vt:variant>
        <vt:i4>35</vt:i4>
      </vt:variant>
      <vt:variant>
        <vt:i4>0</vt:i4>
      </vt:variant>
      <vt:variant>
        <vt:i4>5</vt:i4>
      </vt:variant>
      <vt:variant>
        <vt:lpwstr/>
      </vt:variant>
      <vt:variant>
        <vt:lpwstr>_Toc211002111</vt:lpwstr>
      </vt:variant>
      <vt:variant>
        <vt:i4>1376306</vt:i4>
      </vt:variant>
      <vt:variant>
        <vt:i4>29</vt:i4>
      </vt:variant>
      <vt:variant>
        <vt:i4>0</vt:i4>
      </vt:variant>
      <vt:variant>
        <vt:i4>5</vt:i4>
      </vt:variant>
      <vt:variant>
        <vt:lpwstr/>
      </vt:variant>
      <vt:variant>
        <vt:lpwstr>_Toc211002110</vt:lpwstr>
      </vt:variant>
      <vt:variant>
        <vt:i4>1310770</vt:i4>
      </vt:variant>
      <vt:variant>
        <vt:i4>23</vt:i4>
      </vt:variant>
      <vt:variant>
        <vt:i4>0</vt:i4>
      </vt:variant>
      <vt:variant>
        <vt:i4>5</vt:i4>
      </vt:variant>
      <vt:variant>
        <vt:lpwstr/>
      </vt:variant>
      <vt:variant>
        <vt:lpwstr>_Toc211002109</vt:lpwstr>
      </vt:variant>
      <vt:variant>
        <vt:i4>1310770</vt:i4>
      </vt:variant>
      <vt:variant>
        <vt:i4>17</vt:i4>
      </vt:variant>
      <vt:variant>
        <vt:i4>0</vt:i4>
      </vt:variant>
      <vt:variant>
        <vt:i4>5</vt:i4>
      </vt:variant>
      <vt:variant>
        <vt:lpwstr/>
      </vt:variant>
      <vt:variant>
        <vt:lpwstr>_Toc211002108</vt:lpwstr>
      </vt:variant>
      <vt:variant>
        <vt:i4>1310770</vt:i4>
      </vt:variant>
      <vt:variant>
        <vt:i4>11</vt:i4>
      </vt:variant>
      <vt:variant>
        <vt:i4>0</vt:i4>
      </vt:variant>
      <vt:variant>
        <vt:i4>5</vt:i4>
      </vt:variant>
      <vt:variant>
        <vt:lpwstr/>
      </vt:variant>
      <vt:variant>
        <vt:lpwstr>_Toc211002107</vt:lpwstr>
      </vt:variant>
      <vt:variant>
        <vt:i4>1638522</vt:i4>
      </vt:variant>
      <vt:variant>
        <vt:i4>6</vt:i4>
      </vt:variant>
      <vt:variant>
        <vt:i4>0</vt:i4>
      </vt:variant>
      <vt:variant>
        <vt:i4>5</vt:i4>
      </vt:variant>
      <vt:variant>
        <vt:lpwstr>mailto:copyright@dewr.gov.au</vt:lpwstr>
      </vt:variant>
      <vt:variant>
        <vt:lpwstr/>
      </vt:variant>
      <vt:variant>
        <vt:i4>4128803</vt:i4>
      </vt:variant>
      <vt:variant>
        <vt:i4>3</vt:i4>
      </vt:variant>
      <vt:variant>
        <vt:i4>0</vt:i4>
      </vt:variant>
      <vt:variant>
        <vt:i4>5</vt:i4>
      </vt:variant>
      <vt:variant>
        <vt:lpwstr>https://www.pmc.gov.au/</vt:lpwstr>
      </vt:variant>
      <vt:variant>
        <vt:lpwstr/>
      </vt:variant>
      <vt:variant>
        <vt:i4>1114206</vt:i4>
      </vt:variant>
      <vt:variant>
        <vt:i4>0</vt:i4>
      </vt:variant>
      <vt:variant>
        <vt:i4>0</vt:i4>
      </vt:variant>
      <vt:variant>
        <vt:i4>5</vt:i4>
      </vt:variant>
      <vt:variant>
        <vt:lpwstr>https://creativecommons.org/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2025-11-03T02:31:00Z</dcterms:created>
  <dcterms:modified xsi:type="dcterms:W3CDTF">2025-11-03T03:43:00Z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2025-11-03T02:35:15Z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0d7b0750-594b-4ddc-baf0-6bccdaa85a1b</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