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DA44"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6535031B" wp14:editId="3DC51B98">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4DC06890" wp14:editId="69784E0D">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592F4263" w14:textId="77777777" w:rsidR="00AA5442" w:rsidRDefault="00AA5442" w:rsidP="00AA5442">
      <w:pPr>
        <w:pStyle w:val="BodyText"/>
      </w:pPr>
    </w:p>
    <w:sdt>
      <w:sdtPr>
        <w:alias w:val="&lt; Title &gt;"/>
        <w:tag w:val=""/>
        <w:id w:val="162979263"/>
        <w:placeholder>
          <w:docPart w:val="8B0DD1021E2F49879DB26B1892866004"/>
        </w:placeholder>
        <w:dataBinding w:prefixMappings="xmlns:ns0='http://purl.org/dc/elements/1.1/' xmlns:ns1='http://schemas.openxmlformats.org/package/2006/metadata/core-properties' " w:xpath="/ns1:coreProperties[1]/ns0:title[1]" w:storeItemID="{6C3C8BC8-F283-45AE-878A-BAB7291924A1}"/>
        <w:text/>
      </w:sdtPr>
      <w:sdtContent>
        <w:p w14:paraId="0512A816" w14:textId="52BCBD22" w:rsidR="00AA5442" w:rsidRPr="00E60832" w:rsidRDefault="00EC73DF" w:rsidP="00AA5442">
          <w:pPr>
            <w:pStyle w:val="Title"/>
          </w:pPr>
          <w:r w:rsidRPr="00EC73DF">
            <w:t>Occupation Shortage Report</w:t>
          </w:r>
        </w:p>
      </w:sdtContent>
    </w:sdt>
    <w:p w14:paraId="37C6F87C" w14:textId="1C384AD2" w:rsidR="00AA5442" w:rsidRDefault="00EC73DF" w:rsidP="00AA5442">
      <w:pPr>
        <w:pStyle w:val="Subtitle"/>
      </w:pPr>
      <w:r w:rsidRPr="00EC73DF">
        <w:t>June quarter 2025</w:t>
      </w:r>
    </w:p>
    <w:p w14:paraId="67377221" w14:textId="57112242" w:rsidR="00AA5442" w:rsidRPr="00934D95" w:rsidRDefault="00F96253" w:rsidP="00AA5442">
      <w:pPr>
        <w:pStyle w:val="DocumentDetails"/>
      </w:pPr>
      <w:r>
        <w:t xml:space="preserve">15 </w:t>
      </w:r>
      <w:r w:rsidR="00EC73DF" w:rsidRPr="00EC73DF">
        <w:t>September 2025</w:t>
      </w:r>
    </w:p>
    <w:p w14:paraId="552247F5"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1F2F7865" w14:textId="77777777" w:rsidR="00452A9D" w:rsidRDefault="00452A9D" w:rsidP="00104750">
      <w:pPr>
        <w:pStyle w:val="TOCHeading"/>
      </w:pPr>
      <w:r>
        <w:lastRenderedPageBreak/>
        <w:t>Contents</w:t>
      </w:r>
    </w:p>
    <w:p w14:paraId="06BFAD28" w14:textId="51792184" w:rsidR="00F96253"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07977950" w:history="1">
        <w:r w:rsidR="00F96253" w:rsidRPr="00C276EF">
          <w:rPr>
            <w:rStyle w:val="Hyperlink"/>
            <w:noProof/>
          </w:rPr>
          <w:t>Introduction</w:t>
        </w:r>
        <w:r w:rsidR="00F96253">
          <w:rPr>
            <w:noProof/>
            <w:webHidden/>
          </w:rPr>
          <w:tab/>
        </w:r>
        <w:r w:rsidR="00F96253">
          <w:rPr>
            <w:noProof/>
            <w:webHidden/>
          </w:rPr>
          <w:fldChar w:fldCharType="begin"/>
        </w:r>
        <w:r w:rsidR="00F96253">
          <w:rPr>
            <w:noProof/>
            <w:webHidden/>
          </w:rPr>
          <w:instrText xml:space="preserve"> PAGEREF _Toc207977950 \h </w:instrText>
        </w:r>
        <w:r w:rsidR="00F96253">
          <w:rPr>
            <w:noProof/>
            <w:webHidden/>
          </w:rPr>
        </w:r>
        <w:r w:rsidR="00F96253">
          <w:rPr>
            <w:noProof/>
            <w:webHidden/>
          </w:rPr>
          <w:fldChar w:fldCharType="separate"/>
        </w:r>
        <w:r w:rsidR="00F96253">
          <w:rPr>
            <w:noProof/>
            <w:webHidden/>
          </w:rPr>
          <w:t>2</w:t>
        </w:r>
        <w:r w:rsidR="00F96253">
          <w:rPr>
            <w:noProof/>
            <w:webHidden/>
          </w:rPr>
          <w:fldChar w:fldCharType="end"/>
        </w:r>
      </w:hyperlink>
    </w:p>
    <w:p w14:paraId="02628A43" w14:textId="08AD8136"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1" w:history="1">
        <w:r w:rsidRPr="00C276EF">
          <w:rPr>
            <w:rStyle w:val="Hyperlink"/>
            <w:noProof/>
          </w:rPr>
          <w:t>National results</w:t>
        </w:r>
        <w:r>
          <w:rPr>
            <w:noProof/>
            <w:webHidden/>
          </w:rPr>
          <w:tab/>
        </w:r>
        <w:r>
          <w:rPr>
            <w:noProof/>
            <w:webHidden/>
          </w:rPr>
          <w:fldChar w:fldCharType="begin"/>
        </w:r>
        <w:r>
          <w:rPr>
            <w:noProof/>
            <w:webHidden/>
          </w:rPr>
          <w:instrText xml:space="preserve"> PAGEREF _Toc207977951 \h </w:instrText>
        </w:r>
        <w:r>
          <w:rPr>
            <w:noProof/>
            <w:webHidden/>
          </w:rPr>
        </w:r>
        <w:r>
          <w:rPr>
            <w:noProof/>
            <w:webHidden/>
          </w:rPr>
          <w:fldChar w:fldCharType="separate"/>
        </w:r>
        <w:r>
          <w:rPr>
            <w:noProof/>
            <w:webHidden/>
          </w:rPr>
          <w:t>2</w:t>
        </w:r>
        <w:r>
          <w:rPr>
            <w:noProof/>
            <w:webHidden/>
          </w:rPr>
          <w:fldChar w:fldCharType="end"/>
        </w:r>
      </w:hyperlink>
    </w:p>
    <w:p w14:paraId="195EDEB2" w14:textId="2F2BF2E9"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2" w:history="1">
        <w:r w:rsidRPr="00C276EF">
          <w:rPr>
            <w:rStyle w:val="Hyperlink"/>
            <w:noProof/>
          </w:rPr>
          <w:t>Metropolitan area results</w:t>
        </w:r>
        <w:r>
          <w:rPr>
            <w:noProof/>
            <w:webHidden/>
          </w:rPr>
          <w:tab/>
        </w:r>
        <w:r>
          <w:rPr>
            <w:noProof/>
            <w:webHidden/>
          </w:rPr>
          <w:fldChar w:fldCharType="begin"/>
        </w:r>
        <w:r>
          <w:rPr>
            <w:noProof/>
            <w:webHidden/>
          </w:rPr>
          <w:instrText xml:space="preserve"> PAGEREF _Toc207977952 \h </w:instrText>
        </w:r>
        <w:r>
          <w:rPr>
            <w:noProof/>
            <w:webHidden/>
          </w:rPr>
        </w:r>
        <w:r>
          <w:rPr>
            <w:noProof/>
            <w:webHidden/>
          </w:rPr>
          <w:fldChar w:fldCharType="separate"/>
        </w:r>
        <w:r>
          <w:rPr>
            <w:noProof/>
            <w:webHidden/>
          </w:rPr>
          <w:t>3</w:t>
        </w:r>
        <w:r>
          <w:rPr>
            <w:noProof/>
            <w:webHidden/>
          </w:rPr>
          <w:fldChar w:fldCharType="end"/>
        </w:r>
      </w:hyperlink>
    </w:p>
    <w:p w14:paraId="6792088A" w14:textId="18641A43"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3" w:history="1">
        <w:r w:rsidRPr="00C276EF">
          <w:rPr>
            <w:rStyle w:val="Hyperlink"/>
            <w:noProof/>
          </w:rPr>
          <w:t>Regional area results</w:t>
        </w:r>
        <w:r>
          <w:rPr>
            <w:noProof/>
            <w:webHidden/>
          </w:rPr>
          <w:tab/>
        </w:r>
        <w:r>
          <w:rPr>
            <w:noProof/>
            <w:webHidden/>
          </w:rPr>
          <w:fldChar w:fldCharType="begin"/>
        </w:r>
        <w:r>
          <w:rPr>
            <w:noProof/>
            <w:webHidden/>
          </w:rPr>
          <w:instrText xml:space="preserve"> PAGEREF _Toc207977953 \h </w:instrText>
        </w:r>
        <w:r>
          <w:rPr>
            <w:noProof/>
            <w:webHidden/>
          </w:rPr>
        </w:r>
        <w:r>
          <w:rPr>
            <w:noProof/>
            <w:webHidden/>
          </w:rPr>
          <w:fldChar w:fldCharType="separate"/>
        </w:r>
        <w:r>
          <w:rPr>
            <w:noProof/>
            <w:webHidden/>
          </w:rPr>
          <w:t>4</w:t>
        </w:r>
        <w:r>
          <w:rPr>
            <w:noProof/>
            <w:webHidden/>
          </w:rPr>
          <w:fldChar w:fldCharType="end"/>
        </w:r>
      </w:hyperlink>
    </w:p>
    <w:p w14:paraId="685E779D" w14:textId="4AAB2408"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4" w:history="1">
        <w:r w:rsidRPr="00C276EF">
          <w:rPr>
            <w:rStyle w:val="Hyperlink"/>
            <w:noProof/>
          </w:rPr>
          <w:t>Results by Skill Level</w:t>
        </w:r>
        <w:r>
          <w:rPr>
            <w:noProof/>
            <w:webHidden/>
          </w:rPr>
          <w:tab/>
        </w:r>
        <w:r>
          <w:rPr>
            <w:noProof/>
            <w:webHidden/>
          </w:rPr>
          <w:fldChar w:fldCharType="begin"/>
        </w:r>
        <w:r>
          <w:rPr>
            <w:noProof/>
            <w:webHidden/>
          </w:rPr>
          <w:instrText xml:space="preserve"> PAGEREF _Toc207977954 \h </w:instrText>
        </w:r>
        <w:r>
          <w:rPr>
            <w:noProof/>
            <w:webHidden/>
          </w:rPr>
        </w:r>
        <w:r>
          <w:rPr>
            <w:noProof/>
            <w:webHidden/>
          </w:rPr>
          <w:fldChar w:fldCharType="separate"/>
        </w:r>
        <w:r>
          <w:rPr>
            <w:noProof/>
            <w:webHidden/>
          </w:rPr>
          <w:t>5</w:t>
        </w:r>
        <w:r>
          <w:rPr>
            <w:noProof/>
            <w:webHidden/>
          </w:rPr>
          <w:fldChar w:fldCharType="end"/>
        </w:r>
      </w:hyperlink>
    </w:p>
    <w:p w14:paraId="0B1FA7F1" w14:textId="5AEAF1F6"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5" w:history="1">
        <w:r w:rsidRPr="00C276EF">
          <w:rPr>
            <w:rStyle w:val="Hyperlink"/>
            <w:noProof/>
          </w:rPr>
          <w:t>Results by major group</w:t>
        </w:r>
        <w:r>
          <w:rPr>
            <w:noProof/>
            <w:webHidden/>
          </w:rPr>
          <w:tab/>
        </w:r>
        <w:r>
          <w:rPr>
            <w:noProof/>
            <w:webHidden/>
          </w:rPr>
          <w:fldChar w:fldCharType="begin"/>
        </w:r>
        <w:r>
          <w:rPr>
            <w:noProof/>
            <w:webHidden/>
          </w:rPr>
          <w:instrText xml:space="preserve"> PAGEREF _Toc207977955 \h </w:instrText>
        </w:r>
        <w:r>
          <w:rPr>
            <w:noProof/>
            <w:webHidden/>
          </w:rPr>
        </w:r>
        <w:r>
          <w:rPr>
            <w:noProof/>
            <w:webHidden/>
          </w:rPr>
          <w:fldChar w:fldCharType="separate"/>
        </w:r>
        <w:r>
          <w:rPr>
            <w:noProof/>
            <w:webHidden/>
          </w:rPr>
          <w:t>6</w:t>
        </w:r>
        <w:r>
          <w:rPr>
            <w:noProof/>
            <w:webHidden/>
          </w:rPr>
          <w:fldChar w:fldCharType="end"/>
        </w:r>
      </w:hyperlink>
    </w:p>
    <w:p w14:paraId="587A7D39" w14:textId="06F3E5EA"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6" w:history="1">
        <w:r w:rsidRPr="00C276EF">
          <w:rPr>
            <w:rStyle w:val="Hyperlink"/>
            <w:rFonts w:eastAsia="MS PGothic"/>
            <w:noProof/>
          </w:rPr>
          <w:t>Spotlight piece: the Mismatch Index</w:t>
        </w:r>
        <w:r>
          <w:rPr>
            <w:noProof/>
            <w:webHidden/>
          </w:rPr>
          <w:tab/>
        </w:r>
        <w:r>
          <w:rPr>
            <w:noProof/>
            <w:webHidden/>
          </w:rPr>
          <w:fldChar w:fldCharType="begin"/>
        </w:r>
        <w:r>
          <w:rPr>
            <w:noProof/>
            <w:webHidden/>
          </w:rPr>
          <w:instrText xml:space="preserve"> PAGEREF _Toc207977956 \h </w:instrText>
        </w:r>
        <w:r>
          <w:rPr>
            <w:noProof/>
            <w:webHidden/>
          </w:rPr>
        </w:r>
        <w:r>
          <w:rPr>
            <w:noProof/>
            <w:webHidden/>
          </w:rPr>
          <w:fldChar w:fldCharType="separate"/>
        </w:r>
        <w:r>
          <w:rPr>
            <w:noProof/>
            <w:webHidden/>
          </w:rPr>
          <w:t>8</w:t>
        </w:r>
        <w:r>
          <w:rPr>
            <w:noProof/>
            <w:webHidden/>
          </w:rPr>
          <w:fldChar w:fldCharType="end"/>
        </w:r>
      </w:hyperlink>
    </w:p>
    <w:p w14:paraId="6E22E825" w14:textId="74B6CC79" w:rsidR="00F96253" w:rsidRDefault="00F96253">
      <w:pPr>
        <w:pStyle w:val="TOC1"/>
        <w:rPr>
          <w:rFonts w:asciiTheme="minorHAnsi" w:eastAsiaTheme="minorEastAsia" w:hAnsiTheme="minorHAnsi"/>
          <w:b w:val="0"/>
          <w:noProof/>
          <w:color w:val="auto"/>
          <w:kern w:val="2"/>
          <w:sz w:val="24"/>
          <w:szCs w:val="24"/>
          <w:lang w:eastAsia="en-AU"/>
          <w14:ligatures w14:val="standardContextual"/>
        </w:rPr>
      </w:pPr>
      <w:hyperlink w:anchor="_Toc207977957" w:history="1">
        <w:r w:rsidRPr="00C276EF">
          <w:rPr>
            <w:rStyle w:val="Hyperlink"/>
            <w:noProof/>
          </w:rPr>
          <w:t>Explanatory Notes</w:t>
        </w:r>
        <w:r>
          <w:rPr>
            <w:noProof/>
            <w:webHidden/>
          </w:rPr>
          <w:tab/>
        </w:r>
        <w:r>
          <w:rPr>
            <w:noProof/>
            <w:webHidden/>
          </w:rPr>
          <w:fldChar w:fldCharType="begin"/>
        </w:r>
        <w:r>
          <w:rPr>
            <w:noProof/>
            <w:webHidden/>
          </w:rPr>
          <w:instrText xml:space="preserve"> PAGEREF _Toc207977957 \h </w:instrText>
        </w:r>
        <w:r>
          <w:rPr>
            <w:noProof/>
            <w:webHidden/>
          </w:rPr>
        </w:r>
        <w:r>
          <w:rPr>
            <w:noProof/>
            <w:webHidden/>
          </w:rPr>
          <w:fldChar w:fldCharType="separate"/>
        </w:r>
        <w:r>
          <w:rPr>
            <w:noProof/>
            <w:webHidden/>
          </w:rPr>
          <w:t>12</w:t>
        </w:r>
        <w:r>
          <w:rPr>
            <w:noProof/>
            <w:webHidden/>
          </w:rPr>
          <w:fldChar w:fldCharType="end"/>
        </w:r>
      </w:hyperlink>
    </w:p>
    <w:p w14:paraId="4C30B79F" w14:textId="61C12EEE" w:rsidR="00F96253" w:rsidRDefault="00F96253">
      <w:pPr>
        <w:pStyle w:val="TOC2"/>
        <w:rPr>
          <w:rFonts w:asciiTheme="minorHAnsi" w:eastAsiaTheme="minorEastAsia" w:hAnsiTheme="minorHAnsi"/>
          <w:b w:val="0"/>
          <w:noProof/>
          <w:kern w:val="2"/>
          <w:sz w:val="24"/>
          <w:szCs w:val="24"/>
          <w:lang w:eastAsia="en-AU"/>
          <w14:ligatures w14:val="standardContextual"/>
        </w:rPr>
      </w:pPr>
      <w:hyperlink w:anchor="_Toc207977958" w:history="1">
        <w:r w:rsidRPr="00C276EF">
          <w:rPr>
            <w:rStyle w:val="Hyperlink"/>
            <w:noProof/>
          </w:rPr>
          <w:t>Definitions of metrics</w:t>
        </w:r>
        <w:r>
          <w:rPr>
            <w:noProof/>
            <w:webHidden/>
          </w:rPr>
          <w:tab/>
        </w:r>
        <w:r>
          <w:rPr>
            <w:noProof/>
            <w:webHidden/>
          </w:rPr>
          <w:fldChar w:fldCharType="begin"/>
        </w:r>
        <w:r>
          <w:rPr>
            <w:noProof/>
            <w:webHidden/>
          </w:rPr>
          <w:instrText xml:space="preserve"> PAGEREF _Toc207977958 \h </w:instrText>
        </w:r>
        <w:r>
          <w:rPr>
            <w:noProof/>
            <w:webHidden/>
          </w:rPr>
        </w:r>
        <w:r>
          <w:rPr>
            <w:noProof/>
            <w:webHidden/>
          </w:rPr>
          <w:fldChar w:fldCharType="separate"/>
        </w:r>
        <w:r>
          <w:rPr>
            <w:noProof/>
            <w:webHidden/>
          </w:rPr>
          <w:t>12</w:t>
        </w:r>
        <w:r>
          <w:rPr>
            <w:noProof/>
            <w:webHidden/>
          </w:rPr>
          <w:fldChar w:fldCharType="end"/>
        </w:r>
      </w:hyperlink>
    </w:p>
    <w:p w14:paraId="25C5B9D0" w14:textId="0401230F" w:rsidR="00AE0185" w:rsidRDefault="00452A9D" w:rsidP="00E03B0F">
      <w:pPr>
        <w:sectPr w:rsidR="00AE0185"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1FFAC9AB" w14:textId="77777777" w:rsidR="00EC73DF" w:rsidRDefault="00EC73DF" w:rsidP="00EC73DF">
      <w:pPr>
        <w:pStyle w:val="Heading1"/>
      </w:pPr>
      <w:bookmarkStart w:id="0" w:name="_Toc199509247"/>
      <w:bookmarkStart w:id="1" w:name="_Toc207977950"/>
      <w:r>
        <w:lastRenderedPageBreak/>
        <w:t>Introduction</w:t>
      </w:r>
      <w:bookmarkEnd w:id="0"/>
      <w:bookmarkEnd w:id="1"/>
      <w:r>
        <w:t xml:space="preserve"> </w:t>
      </w:r>
    </w:p>
    <w:p w14:paraId="4F0480BD" w14:textId="499D162E" w:rsidR="00EC73DF" w:rsidRDefault="00EC73DF" w:rsidP="001257EF">
      <w:pPr>
        <w:pStyle w:val="BodyText"/>
      </w:pPr>
      <w:r w:rsidRPr="001D4065">
        <w:t xml:space="preserve">The </w:t>
      </w:r>
      <w:r>
        <w:t>Occupation</w:t>
      </w:r>
      <w:r w:rsidRPr="001D4065">
        <w:t xml:space="preserve"> Shortage </w:t>
      </w:r>
      <w:r>
        <w:t>R</w:t>
      </w:r>
      <w:r w:rsidRPr="001D4065">
        <w:t xml:space="preserve">eport offers </w:t>
      </w:r>
      <w:r>
        <w:t xml:space="preserve">quarterly </w:t>
      </w:r>
      <w:r w:rsidRPr="001D4065">
        <w:t xml:space="preserve">analysis on </w:t>
      </w:r>
      <w:r w:rsidR="00CF5FD3">
        <w:t xml:space="preserve">metrics derived from </w:t>
      </w:r>
      <w:r w:rsidR="001D7DF6">
        <w:t xml:space="preserve">the </w:t>
      </w:r>
      <w:r w:rsidR="00CF5FD3">
        <w:t>Jobs and Skills Australia</w:t>
      </w:r>
      <w:r w:rsidR="004D6E7A">
        <w:t xml:space="preserve"> </w:t>
      </w:r>
      <w:r w:rsidRPr="001D4065">
        <w:t>Survey of Employers who have Recently Advertised (SERA)</w:t>
      </w:r>
      <w:r>
        <w:t xml:space="preserve">. </w:t>
      </w:r>
      <w:r w:rsidR="003C7DB9">
        <w:t xml:space="preserve">The </w:t>
      </w:r>
      <w:hyperlink w:anchor="_Explanatory_Notes">
        <w:r w:rsidRPr="350DAEBA">
          <w:rPr>
            <w:rStyle w:val="Hyperlink"/>
          </w:rPr>
          <w:t xml:space="preserve">Explanatory </w:t>
        </w:r>
        <w:r w:rsidR="003C7DB9">
          <w:rPr>
            <w:rStyle w:val="Hyperlink"/>
          </w:rPr>
          <w:t>n</w:t>
        </w:r>
        <w:r w:rsidRPr="350DAEBA">
          <w:rPr>
            <w:rStyle w:val="Hyperlink"/>
          </w:rPr>
          <w:t>otes</w:t>
        </w:r>
      </w:hyperlink>
      <w:r>
        <w:t xml:space="preserve"> </w:t>
      </w:r>
      <w:r w:rsidR="003C7DB9">
        <w:t xml:space="preserve">section </w:t>
      </w:r>
      <w:r w:rsidR="009F37D9">
        <w:t xml:space="preserve">defines the </w:t>
      </w:r>
      <w:r w:rsidRPr="001D4065">
        <w:t xml:space="preserve">metrics </w:t>
      </w:r>
      <w:r>
        <w:t xml:space="preserve">covered </w:t>
      </w:r>
      <w:r w:rsidRPr="001D4065">
        <w:t>in th</w:t>
      </w:r>
      <w:r w:rsidR="002F2A42">
        <w:t>is</w:t>
      </w:r>
      <w:r w:rsidRPr="001D4065">
        <w:t xml:space="preserve"> report</w:t>
      </w:r>
      <w:r>
        <w:t>.</w:t>
      </w:r>
    </w:p>
    <w:p w14:paraId="13B1CF9A" w14:textId="77777777" w:rsidR="00F96253" w:rsidRDefault="00F96253" w:rsidP="001257EF">
      <w:pPr>
        <w:pStyle w:val="BodyText"/>
      </w:pPr>
    </w:p>
    <w:p w14:paraId="795EA403" w14:textId="655C0656" w:rsidR="00EC73DF" w:rsidRDefault="00EC73DF" w:rsidP="00EC73DF">
      <w:pPr>
        <w:pStyle w:val="Heading1"/>
      </w:pPr>
      <w:bookmarkStart w:id="2" w:name="_Toc173238400"/>
      <w:bookmarkStart w:id="3" w:name="_Toc199509248"/>
      <w:bookmarkStart w:id="4" w:name="_Toc207977951"/>
      <w:r w:rsidRPr="00031B05">
        <w:t>National results</w:t>
      </w:r>
      <w:bookmarkEnd w:id="2"/>
      <w:bookmarkEnd w:id="3"/>
      <w:bookmarkEnd w:id="4"/>
    </w:p>
    <w:p w14:paraId="5038E37F" w14:textId="30487672" w:rsidR="00EC73DF" w:rsidRDefault="00EC73DF" w:rsidP="00EC73DF">
      <w:pPr>
        <w:pStyle w:val="Caption"/>
      </w:pPr>
      <w:bookmarkStart w:id="5" w:name="_Ref181718787"/>
      <w:bookmarkStart w:id="6" w:name="_Ref173248539"/>
      <w:r>
        <w:t xml:space="preserve">Table </w:t>
      </w:r>
      <w:r w:rsidRPr="00EC73DF">
        <w:fldChar w:fldCharType="begin"/>
      </w:r>
      <w:r>
        <w:instrText xml:space="preserve"> SEQ Table \* ARABIC </w:instrText>
      </w:r>
      <w:r w:rsidRPr="00EC73DF">
        <w:fldChar w:fldCharType="separate"/>
      </w:r>
      <w:r w:rsidR="00F96253">
        <w:rPr>
          <w:noProof/>
        </w:rPr>
        <w:t>1</w:t>
      </w:r>
      <w:r w:rsidRPr="00EC73DF">
        <w:fldChar w:fldCharType="end"/>
      </w:r>
      <w:bookmarkEnd w:id="5"/>
      <w:bookmarkEnd w:id="6"/>
      <w:r w:rsidRPr="0033635A">
        <w:t>: National snapshot</w:t>
      </w:r>
    </w:p>
    <w:tbl>
      <w:tblPr>
        <w:tblStyle w:val="CustomTablebasic"/>
        <w:tblW w:w="5000" w:type="pct"/>
        <w:tblLook w:val="04A0" w:firstRow="1" w:lastRow="0" w:firstColumn="1" w:lastColumn="0" w:noHBand="0" w:noVBand="1"/>
      </w:tblPr>
      <w:tblGrid>
        <w:gridCol w:w="3923"/>
        <w:gridCol w:w="1701"/>
        <w:gridCol w:w="1701"/>
        <w:gridCol w:w="1702"/>
      </w:tblGrid>
      <w:tr w:rsidR="009F0F0E" w:rsidRPr="00965FCB" w14:paraId="34E3800B" w14:textId="77777777" w:rsidTr="00EC73DF">
        <w:trPr>
          <w:cnfStyle w:val="100000000000" w:firstRow="1" w:lastRow="0" w:firstColumn="0" w:lastColumn="0" w:oddVBand="0" w:evenVBand="0" w:oddHBand="0" w:evenHBand="0" w:firstRowFirstColumn="0" w:firstRowLastColumn="0" w:lastRowFirstColumn="0" w:lastRowLastColumn="0"/>
          <w:trHeight w:val="660"/>
        </w:trPr>
        <w:tc>
          <w:tcPr>
            <w:tcW w:w="2173" w:type="pct"/>
          </w:tcPr>
          <w:p w14:paraId="42253CDD" w14:textId="77777777" w:rsidR="00EC73DF" w:rsidRPr="00EC73DF" w:rsidRDefault="00EC73DF" w:rsidP="00EC73DF">
            <w:pPr>
              <w:pStyle w:val="TableHeading1"/>
            </w:pPr>
          </w:p>
        </w:tc>
        <w:tc>
          <w:tcPr>
            <w:tcW w:w="942" w:type="pct"/>
          </w:tcPr>
          <w:p w14:paraId="299CB24B" w14:textId="77777777" w:rsidR="00EC73DF" w:rsidRPr="00EC73DF" w:rsidRDefault="00EC73DF" w:rsidP="00EC73DF">
            <w:pPr>
              <w:pStyle w:val="TableHeading1"/>
            </w:pPr>
            <w:r w:rsidRPr="00E65AF5">
              <w:t>June quarter 2025</w:t>
            </w:r>
          </w:p>
        </w:tc>
        <w:tc>
          <w:tcPr>
            <w:tcW w:w="942" w:type="pct"/>
          </w:tcPr>
          <w:p w14:paraId="7B70B013" w14:textId="77777777" w:rsidR="00EC73DF" w:rsidRPr="00EC73DF" w:rsidRDefault="00EC73DF" w:rsidP="00EC73DF">
            <w:pPr>
              <w:pStyle w:val="TableHeading1"/>
            </w:pPr>
            <w:r w:rsidRPr="00E65AF5">
              <w:t>Change over the quarter</w:t>
            </w:r>
          </w:p>
        </w:tc>
        <w:tc>
          <w:tcPr>
            <w:tcW w:w="943" w:type="pct"/>
          </w:tcPr>
          <w:p w14:paraId="2D1FB806" w14:textId="77777777" w:rsidR="00EC73DF" w:rsidRPr="00EC73DF" w:rsidRDefault="00EC73DF" w:rsidP="00EC73DF">
            <w:pPr>
              <w:pStyle w:val="TableHeading1"/>
            </w:pPr>
            <w:r w:rsidRPr="00E65AF5">
              <w:t>Change over 12 months</w:t>
            </w:r>
          </w:p>
        </w:tc>
      </w:tr>
      <w:tr w:rsidR="00EC73DF" w:rsidRPr="00965FCB" w14:paraId="1045BB93" w14:textId="77777777" w:rsidTr="00EC73DF">
        <w:trPr>
          <w:trHeight w:val="333"/>
        </w:trPr>
        <w:tc>
          <w:tcPr>
            <w:tcW w:w="2173" w:type="pct"/>
          </w:tcPr>
          <w:p w14:paraId="16B3F2E0" w14:textId="66959575" w:rsidR="00EC73DF" w:rsidRPr="00EC73DF" w:rsidRDefault="00EC73DF" w:rsidP="00EC73DF">
            <w:pPr>
              <w:pStyle w:val="TableBodyText"/>
            </w:pPr>
            <w:r w:rsidRPr="00E65AF5">
              <w:t>Vacancy fill rate (%)</w:t>
            </w:r>
            <w:r w:rsidR="00B527A9">
              <w:rPr>
                <w:rStyle w:val="FootnoteReference"/>
              </w:rPr>
              <w:footnoteReference w:id="1"/>
            </w:r>
          </w:p>
        </w:tc>
        <w:tc>
          <w:tcPr>
            <w:tcW w:w="942" w:type="pct"/>
          </w:tcPr>
          <w:p w14:paraId="10793CCA" w14:textId="77777777" w:rsidR="00EC73DF" w:rsidRPr="00EC73DF" w:rsidRDefault="00EC73DF" w:rsidP="00EC73DF">
            <w:pPr>
              <w:pStyle w:val="TableBodyTextright"/>
            </w:pPr>
            <w:r w:rsidRPr="00E65AF5">
              <w:t>70.6%</w:t>
            </w:r>
          </w:p>
        </w:tc>
        <w:tc>
          <w:tcPr>
            <w:tcW w:w="942" w:type="pct"/>
          </w:tcPr>
          <w:p w14:paraId="161DDAD1" w14:textId="5E62C592" w:rsidR="00EC73DF" w:rsidRPr="00EC73DF" w:rsidRDefault="004F000C" w:rsidP="00EC73DF">
            <w:pPr>
              <w:pStyle w:val="TableBodyTextright"/>
            </w:pPr>
            <w:r>
              <w:t>▲</w:t>
            </w:r>
            <w:r w:rsidR="00EC73DF" w:rsidRPr="00E65AF5">
              <w:t>0.9% pts</w:t>
            </w:r>
          </w:p>
        </w:tc>
        <w:tc>
          <w:tcPr>
            <w:tcW w:w="943" w:type="pct"/>
          </w:tcPr>
          <w:p w14:paraId="126037B4" w14:textId="230C29E4" w:rsidR="00EC73DF" w:rsidRPr="00EC73DF" w:rsidRDefault="004F000C" w:rsidP="00EC73DF">
            <w:pPr>
              <w:pStyle w:val="TableBodyTextright"/>
            </w:pPr>
            <w:r>
              <w:t>▲</w:t>
            </w:r>
            <w:r w:rsidR="00EC73DF" w:rsidRPr="00E65AF5">
              <w:t>4.5% pts</w:t>
            </w:r>
          </w:p>
        </w:tc>
      </w:tr>
      <w:tr w:rsidR="009F0F0E" w:rsidRPr="00965FCB" w14:paraId="6D1221EB" w14:textId="77777777" w:rsidTr="00EC73DF">
        <w:trPr>
          <w:cnfStyle w:val="000000010000" w:firstRow="0" w:lastRow="0" w:firstColumn="0" w:lastColumn="0" w:oddVBand="0" w:evenVBand="0" w:oddHBand="0" w:evenHBand="1" w:firstRowFirstColumn="0" w:firstRowLastColumn="0" w:lastRowFirstColumn="0" w:lastRowLastColumn="0"/>
          <w:trHeight w:val="425"/>
        </w:trPr>
        <w:tc>
          <w:tcPr>
            <w:tcW w:w="2173" w:type="pct"/>
          </w:tcPr>
          <w:p w14:paraId="5E39BF4E" w14:textId="77777777" w:rsidR="00EC73DF" w:rsidRPr="00EC73DF" w:rsidRDefault="00EC73DF" w:rsidP="00EC73DF">
            <w:pPr>
              <w:pStyle w:val="TableBodyText"/>
            </w:pPr>
            <w:r w:rsidRPr="00E65AF5">
              <w:t>Applicants per vacancy (no.)</w:t>
            </w:r>
          </w:p>
        </w:tc>
        <w:tc>
          <w:tcPr>
            <w:tcW w:w="942" w:type="pct"/>
          </w:tcPr>
          <w:p w14:paraId="686D096C" w14:textId="77777777" w:rsidR="00EC73DF" w:rsidRPr="00EC73DF" w:rsidRDefault="00EC73DF" w:rsidP="00EC73DF">
            <w:pPr>
              <w:pStyle w:val="TableBodyTextright"/>
            </w:pPr>
            <w:r w:rsidRPr="00E65AF5">
              <w:t>27.4</w:t>
            </w:r>
          </w:p>
        </w:tc>
        <w:tc>
          <w:tcPr>
            <w:tcW w:w="942" w:type="pct"/>
          </w:tcPr>
          <w:p w14:paraId="3A0F5844" w14:textId="098D6EDA" w:rsidR="00EC73DF" w:rsidRPr="00EC73DF" w:rsidRDefault="004F000C" w:rsidP="00EC73DF">
            <w:pPr>
              <w:pStyle w:val="TableBodyTextright"/>
            </w:pPr>
            <w:r>
              <w:t>▼</w:t>
            </w:r>
            <w:r w:rsidR="00EC73DF" w:rsidRPr="00E65AF5">
              <w:t>2.0</w:t>
            </w:r>
          </w:p>
        </w:tc>
        <w:tc>
          <w:tcPr>
            <w:tcW w:w="943" w:type="pct"/>
          </w:tcPr>
          <w:p w14:paraId="79B9EEFC" w14:textId="32A91E3A" w:rsidR="00EC73DF" w:rsidRPr="00EC73DF" w:rsidRDefault="004F000C" w:rsidP="00EC73DF">
            <w:pPr>
              <w:pStyle w:val="TableBodyTextright"/>
            </w:pPr>
            <w:r>
              <w:t>▲</w:t>
            </w:r>
            <w:r w:rsidR="00EC73DF" w:rsidRPr="00E65AF5">
              <w:t>3.2</w:t>
            </w:r>
          </w:p>
        </w:tc>
      </w:tr>
      <w:tr w:rsidR="00EC73DF" w:rsidRPr="00965FCB" w14:paraId="4350E0F8" w14:textId="77777777" w:rsidTr="00EC73DF">
        <w:trPr>
          <w:trHeight w:val="417"/>
        </w:trPr>
        <w:tc>
          <w:tcPr>
            <w:tcW w:w="2173" w:type="pct"/>
          </w:tcPr>
          <w:p w14:paraId="6BAC359F" w14:textId="77777777" w:rsidR="00EC73DF" w:rsidRPr="00EC73DF" w:rsidRDefault="00EC73DF" w:rsidP="00EC73DF">
            <w:pPr>
              <w:pStyle w:val="TableBodyText"/>
            </w:pPr>
            <w:r w:rsidRPr="00E65AF5">
              <w:t>Qualified applicants per vacancy (no.)</w:t>
            </w:r>
          </w:p>
        </w:tc>
        <w:tc>
          <w:tcPr>
            <w:tcW w:w="942" w:type="pct"/>
          </w:tcPr>
          <w:p w14:paraId="4891FB57" w14:textId="77777777" w:rsidR="00EC73DF" w:rsidRPr="00EC73DF" w:rsidRDefault="00EC73DF" w:rsidP="00EC73DF">
            <w:pPr>
              <w:pStyle w:val="TableBodyTextright"/>
            </w:pPr>
            <w:r w:rsidRPr="00E65AF5">
              <w:t>9.3</w:t>
            </w:r>
          </w:p>
        </w:tc>
        <w:tc>
          <w:tcPr>
            <w:tcW w:w="942" w:type="pct"/>
          </w:tcPr>
          <w:p w14:paraId="236405B5" w14:textId="26BE3FB8" w:rsidR="00EC73DF" w:rsidRPr="00EC73DF" w:rsidRDefault="004F000C" w:rsidP="00EC73DF">
            <w:pPr>
              <w:pStyle w:val="TableBodyTextright"/>
            </w:pPr>
            <w:r>
              <w:t>▼</w:t>
            </w:r>
            <w:r w:rsidR="00EC73DF" w:rsidRPr="00E65AF5">
              <w:t>0.1</w:t>
            </w:r>
          </w:p>
        </w:tc>
        <w:tc>
          <w:tcPr>
            <w:tcW w:w="943" w:type="pct"/>
          </w:tcPr>
          <w:p w14:paraId="4F3BC712" w14:textId="549679BC" w:rsidR="00EC73DF" w:rsidRPr="00EC73DF" w:rsidRDefault="004F000C" w:rsidP="00EC73DF">
            <w:pPr>
              <w:pStyle w:val="TableBodyTextright"/>
            </w:pPr>
            <w:r>
              <w:t>▲</w:t>
            </w:r>
            <w:r w:rsidR="00EC73DF" w:rsidRPr="00E65AF5">
              <w:t>1.7</w:t>
            </w:r>
          </w:p>
        </w:tc>
      </w:tr>
      <w:tr w:rsidR="009F0F0E" w:rsidRPr="00965FCB" w14:paraId="456E09D4" w14:textId="77777777" w:rsidTr="00EC73DF">
        <w:trPr>
          <w:cnfStyle w:val="000000010000" w:firstRow="0" w:lastRow="0" w:firstColumn="0" w:lastColumn="0" w:oddVBand="0" w:evenVBand="0" w:oddHBand="0" w:evenHBand="1" w:firstRowFirstColumn="0" w:firstRowLastColumn="0" w:lastRowFirstColumn="0" w:lastRowLastColumn="0"/>
          <w:trHeight w:val="424"/>
        </w:trPr>
        <w:tc>
          <w:tcPr>
            <w:tcW w:w="2173" w:type="pct"/>
          </w:tcPr>
          <w:p w14:paraId="10D3655C" w14:textId="77777777" w:rsidR="00EC73DF" w:rsidRPr="00EC73DF" w:rsidRDefault="00EC73DF" w:rsidP="00EC73DF">
            <w:pPr>
              <w:pStyle w:val="TableBodyText"/>
            </w:pPr>
            <w:r w:rsidRPr="00E65AF5">
              <w:t>Suitable applicants per vacancy (no.)</w:t>
            </w:r>
          </w:p>
        </w:tc>
        <w:tc>
          <w:tcPr>
            <w:tcW w:w="942" w:type="pct"/>
          </w:tcPr>
          <w:p w14:paraId="18E4370B" w14:textId="77777777" w:rsidR="00EC73DF" w:rsidRPr="00EC73DF" w:rsidRDefault="00EC73DF" w:rsidP="00EC73DF">
            <w:pPr>
              <w:pStyle w:val="TableBodyTextright"/>
            </w:pPr>
            <w:r w:rsidRPr="00E65AF5">
              <w:t>4.3</w:t>
            </w:r>
          </w:p>
        </w:tc>
        <w:tc>
          <w:tcPr>
            <w:tcW w:w="942" w:type="pct"/>
          </w:tcPr>
          <w:p w14:paraId="06205274" w14:textId="5AAD247C" w:rsidR="00EC73DF" w:rsidRPr="00EC73DF" w:rsidRDefault="004F000C" w:rsidP="00EC73DF">
            <w:pPr>
              <w:pStyle w:val="TableBodyTextright"/>
            </w:pPr>
            <w:r>
              <w:t>▲</w:t>
            </w:r>
            <w:r w:rsidR="00EC73DF" w:rsidRPr="00E65AF5">
              <w:t>0.3</w:t>
            </w:r>
          </w:p>
        </w:tc>
        <w:tc>
          <w:tcPr>
            <w:tcW w:w="943" w:type="pct"/>
          </w:tcPr>
          <w:p w14:paraId="2107DB1F" w14:textId="0527A577" w:rsidR="00EC73DF" w:rsidRPr="00EC73DF" w:rsidRDefault="004F000C" w:rsidP="00EC73DF">
            <w:pPr>
              <w:pStyle w:val="TableBodyTextright"/>
            </w:pPr>
            <w:r>
              <w:t>▲</w:t>
            </w:r>
            <w:r w:rsidR="00EC73DF" w:rsidRPr="00E65AF5">
              <w:t>1.3</w:t>
            </w:r>
          </w:p>
        </w:tc>
      </w:tr>
    </w:tbl>
    <w:p w14:paraId="0278A162" w14:textId="1C8B1ECB" w:rsidR="00EC73DF" w:rsidRDefault="00EC73DF" w:rsidP="00EC73DF">
      <w:pPr>
        <w:pStyle w:val="Source"/>
      </w:pPr>
      <w:r w:rsidRPr="00EC73DF">
        <w:t>Source: Jobs and Skills Australia, SERA.</w:t>
      </w:r>
      <w:r w:rsidR="00D57410">
        <w:br/>
      </w:r>
      <w:r w:rsidRPr="00EC73DF">
        <w:t>Note: The change from previous quarter refers to the change from March quarter 2025 to June quarter 2025. The change from the previous year refers to the change from June quarter 2024 to June quarter 2025.</w:t>
      </w:r>
    </w:p>
    <w:p w14:paraId="5D3D3F70" w14:textId="747BF7D5" w:rsidR="00EC73DF" w:rsidRPr="00EC73DF" w:rsidRDefault="00EC73DF" w:rsidP="00EC73DF">
      <w:pPr>
        <w:pStyle w:val="BodyText"/>
      </w:pPr>
      <w:r>
        <w:t xml:space="preserve">The </w:t>
      </w:r>
      <w:r w:rsidR="00B865CB">
        <w:t xml:space="preserve">vacancy </w:t>
      </w:r>
      <w:r>
        <w:t xml:space="preserve">fill rate </w:t>
      </w:r>
      <w:r w:rsidR="00B865CB">
        <w:t>(fill rate)</w:t>
      </w:r>
      <w:r>
        <w:t xml:space="preserve"> </w:t>
      </w:r>
      <w:r w:rsidRPr="00EC73DF">
        <w:t xml:space="preserve">increased </w:t>
      </w:r>
      <w:r w:rsidR="007D594D">
        <w:t xml:space="preserve">over the </w:t>
      </w:r>
      <w:r w:rsidR="00950522">
        <w:t>quarter and</w:t>
      </w:r>
      <w:r w:rsidR="007D594D">
        <w:t xml:space="preserve"> </w:t>
      </w:r>
      <w:r w:rsidR="00652A77">
        <w:t xml:space="preserve">the </w:t>
      </w:r>
      <w:r w:rsidR="00AC5A08">
        <w:t>last 12</w:t>
      </w:r>
      <w:r w:rsidR="00F30470">
        <w:t xml:space="preserve"> months to Ju</w:t>
      </w:r>
      <w:r w:rsidR="00773BF2">
        <w:t xml:space="preserve">ne </w:t>
      </w:r>
      <w:r w:rsidR="00AF3F92">
        <w:t xml:space="preserve">quarter 2025 to </w:t>
      </w:r>
      <w:r w:rsidRPr="00EC73DF">
        <w:t>70.6% (</w:t>
      </w:r>
      <w:r w:rsidRPr="00EC73DF">
        <w:fldChar w:fldCharType="begin"/>
      </w:r>
      <w:r w:rsidRPr="00EC73DF">
        <w:instrText xml:space="preserve"> REF _Ref181718787 \h  \* MERGEFORMAT </w:instrText>
      </w:r>
      <w:r w:rsidRPr="00EC73DF">
        <w:fldChar w:fldCharType="separate"/>
      </w:r>
      <w:r w:rsidR="00F96253">
        <w:t>Table 1</w:t>
      </w:r>
      <w:r w:rsidRPr="00EC73DF">
        <w:fldChar w:fldCharType="end"/>
      </w:r>
      <w:r w:rsidRPr="00EC73DF">
        <w:t xml:space="preserve"> and </w:t>
      </w:r>
      <w:r w:rsidRPr="00EC73DF">
        <w:fldChar w:fldCharType="begin"/>
      </w:r>
      <w:r w:rsidRPr="00EC73DF">
        <w:instrText xml:space="preserve"> REF _Ref181718753 \h  \* MERGEFORMAT </w:instrText>
      </w:r>
      <w:r w:rsidRPr="00EC73DF">
        <w:fldChar w:fldCharType="separate"/>
      </w:r>
      <w:r w:rsidR="00F96253" w:rsidRPr="00EC73DF">
        <w:t xml:space="preserve">Figure </w:t>
      </w:r>
      <w:r w:rsidR="00F96253">
        <w:t>1</w:t>
      </w:r>
      <w:r w:rsidRPr="00EC73DF">
        <w:fldChar w:fldCharType="end"/>
      </w:r>
      <w:r w:rsidRPr="00EC73DF">
        <w:t>).</w:t>
      </w:r>
      <w:r w:rsidR="00D23A10">
        <w:rPr>
          <w:rStyle w:val="FootnoteReference"/>
        </w:rPr>
        <w:footnoteReference w:id="2"/>
      </w:r>
      <w:r w:rsidRPr="00EC73DF">
        <w:t xml:space="preserve"> </w:t>
      </w:r>
      <w:r w:rsidR="00AD77FD">
        <w:t xml:space="preserve">Increasing </w:t>
      </w:r>
      <w:r w:rsidRPr="00EC73DF">
        <w:t>fill rates</w:t>
      </w:r>
      <w:r w:rsidR="00BB6F04">
        <w:t>,</w:t>
      </w:r>
      <w:r w:rsidRPr="00EC73DF">
        <w:t xml:space="preserve"> likely</w:t>
      </w:r>
      <w:r w:rsidR="00BB6F04">
        <w:t>,</w:t>
      </w:r>
      <w:r w:rsidRPr="00EC73DF">
        <w:t xml:space="preserve"> indicate </w:t>
      </w:r>
      <w:r w:rsidR="00855C86">
        <w:t>employers are filling vacancies more easily.</w:t>
      </w:r>
      <w:r w:rsidRPr="00EC73DF">
        <w:t xml:space="preserve"> </w:t>
      </w:r>
    </w:p>
    <w:p w14:paraId="3DD2E175" w14:textId="2B8D470A" w:rsidR="00CC78C7" w:rsidRDefault="00EC73DF" w:rsidP="001257EF">
      <w:pPr>
        <w:pStyle w:val="Caption"/>
      </w:pPr>
      <w:bookmarkStart w:id="7" w:name="_Ref181718753"/>
      <w:r w:rsidRPr="00EC73DF">
        <w:t xml:space="preserve">Figure </w:t>
      </w:r>
      <w:r w:rsidRPr="00EC73DF">
        <w:fldChar w:fldCharType="begin"/>
      </w:r>
      <w:r w:rsidRPr="00EC73DF">
        <w:instrText xml:space="preserve"> SEQ Figure \* ARABIC </w:instrText>
      </w:r>
      <w:r w:rsidRPr="00EC73DF">
        <w:fldChar w:fldCharType="separate"/>
      </w:r>
      <w:r w:rsidR="00F96253">
        <w:rPr>
          <w:noProof/>
        </w:rPr>
        <w:t>1</w:t>
      </w:r>
      <w:r w:rsidRPr="00EC73DF">
        <w:fldChar w:fldCharType="end"/>
      </w:r>
      <w:bookmarkEnd w:id="7"/>
      <w:r w:rsidRPr="00EC73DF">
        <w:t>: Fill rate (%) and total, qualified, and suitable applicants per vacancy (no.), national level</w:t>
      </w:r>
    </w:p>
    <w:p w14:paraId="49FAE3DC" w14:textId="0923CF43" w:rsidR="00EC73DF" w:rsidRDefault="00EC73DF" w:rsidP="001C514A">
      <w:pPr>
        <w:pStyle w:val="Source"/>
      </w:pPr>
      <w:r w:rsidRPr="001257EF">
        <w:rPr>
          <w:noProof/>
          <w:sz w:val="15"/>
          <w:szCs w:val="22"/>
        </w:rPr>
        <w:drawing>
          <wp:inline distT="0" distB="0" distL="0" distR="0" wp14:anchorId="4843ED80" wp14:editId="3FFE95A7">
            <wp:extent cx="5731200" cy="2808000"/>
            <wp:effectExtent l="0" t="0" r="3175" b="0"/>
            <wp:docPr id="795432562" name="Chart 1" descr="Figure 1 shows the quarterly national fill rate and total, qualified and suitable applicants per vacancy from June 2023 to June 2025. The fill rate across all occupations increased by 0.9 percentage points to 70.6% over the June quarter 2025. Despite a decrease in both applicants and qualified applicants per vacancy, the increased fill rate seems to be underpinned by an increase in suitable applicants. ">
              <a:extLst xmlns:a="http://schemas.openxmlformats.org/drawingml/2006/main">
                <a:ext uri="{FF2B5EF4-FFF2-40B4-BE49-F238E27FC236}">
                  <a16:creationId xmlns:a16="http://schemas.microsoft.com/office/drawing/2014/main" id="{8CD7EB98-66A8-4891-A28B-59BAF3345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EC73DF">
        <w:br/>
      </w:r>
      <w:r w:rsidRPr="00583DC1">
        <w:t>Source: Jobs and Skills Australia, S</w:t>
      </w:r>
      <w:r>
        <w:t>ERA</w:t>
      </w:r>
      <w:r w:rsidRPr="00583DC1">
        <w:t>.</w:t>
      </w:r>
    </w:p>
    <w:p w14:paraId="59C58284" w14:textId="759D685A" w:rsidR="00AF601A" w:rsidRDefault="00AF601A" w:rsidP="001257EF">
      <w:pPr>
        <w:pStyle w:val="BodyText"/>
      </w:pPr>
      <w:r w:rsidRPr="00AF601A">
        <w:lastRenderedPageBreak/>
        <w:t>During June quarter 2025, total and qualified applicants per vacancy decreased, but were higher than 12 months ago. Suitable applicants per vacancy increased slightly over the quarter and last 12 months. The improvements in the metrics, particularly over the last 12</w:t>
      </w:r>
      <w:r w:rsidR="005A3A93">
        <w:t> </w:t>
      </w:r>
      <w:r w:rsidRPr="00AF601A">
        <w:t>months, are consistent with trends in other labour market indicators.</w:t>
      </w:r>
      <w:r w:rsidRPr="00EC73DF">
        <w:rPr>
          <w:rStyle w:val="FootnoteReference"/>
        </w:rPr>
        <w:footnoteReference w:id="3"/>
      </w:r>
      <w:r w:rsidRPr="00EC73DF">
        <w:rPr>
          <w:rStyle w:val="CommentReference"/>
        </w:rPr>
        <w:t xml:space="preserve"> </w:t>
      </w:r>
      <w:r w:rsidRPr="00EC73DF">
        <w:t xml:space="preserve"> </w:t>
      </w:r>
    </w:p>
    <w:p w14:paraId="4FC3B6B6" w14:textId="77777777" w:rsidR="00F96253" w:rsidRPr="00D63E2D" w:rsidRDefault="00F96253" w:rsidP="001257EF">
      <w:pPr>
        <w:pStyle w:val="BodyText"/>
      </w:pPr>
    </w:p>
    <w:p w14:paraId="5F8880AF" w14:textId="77777777" w:rsidR="00EC73DF" w:rsidRDefault="00EC73DF" w:rsidP="00EC73DF">
      <w:pPr>
        <w:pStyle w:val="Heading1"/>
      </w:pPr>
      <w:bookmarkStart w:id="8" w:name="_Toc199509249"/>
      <w:bookmarkStart w:id="9" w:name="_Toc173238402"/>
      <w:bookmarkStart w:id="10" w:name="_Toc207977952"/>
      <w:r>
        <w:t>Metropolitan area results</w:t>
      </w:r>
      <w:bookmarkEnd w:id="8"/>
      <w:bookmarkEnd w:id="9"/>
      <w:bookmarkEnd w:id="10"/>
    </w:p>
    <w:p w14:paraId="12BDA027" w14:textId="7745D3A0" w:rsidR="00EC73DF" w:rsidRDefault="00EC73DF" w:rsidP="00EC73DF">
      <w:pPr>
        <w:pStyle w:val="Caption"/>
      </w:pPr>
      <w:bookmarkStart w:id="11" w:name="_Ref181718900"/>
      <w:r w:rsidRPr="00583DC1">
        <w:t xml:space="preserve">Table </w:t>
      </w:r>
      <w:r w:rsidRPr="00447953">
        <w:fldChar w:fldCharType="begin"/>
      </w:r>
      <w:r w:rsidRPr="00583DC1">
        <w:instrText xml:space="preserve"> SEQ Table \* ARABIC </w:instrText>
      </w:r>
      <w:r w:rsidRPr="00447953">
        <w:fldChar w:fldCharType="separate"/>
      </w:r>
      <w:r w:rsidR="00F96253">
        <w:rPr>
          <w:noProof/>
        </w:rPr>
        <w:t>2</w:t>
      </w:r>
      <w:r w:rsidRPr="00447953">
        <w:fldChar w:fldCharType="end"/>
      </w:r>
      <w:bookmarkEnd w:id="11"/>
      <w:r w:rsidRPr="00583DC1">
        <w:t>: Metropolitan snapshot</w:t>
      </w:r>
    </w:p>
    <w:tbl>
      <w:tblPr>
        <w:tblStyle w:val="CustomTablebasic"/>
        <w:tblW w:w="5000" w:type="pct"/>
        <w:tblLook w:val="04A0" w:firstRow="1" w:lastRow="0" w:firstColumn="1" w:lastColumn="0" w:noHBand="0" w:noVBand="1"/>
      </w:tblPr>
      <w:tblGrid>
        <w:gridCol w:w="3970"/>
        <w:gridCol w:w="1811"/>
        <w:gridCol w:w="1657"/>
        <w:gridCol w:w="1589"/>
      </w:tblGrid>
      <w:tr w:rsidR="009F0F0E" w:rsidRPr="00965FCB" w14:paraId="1F13B44F" w14:textId="77777777" w:rsidTr="00EC73DF">
        <w:trPr>
          <w:cnfStyle w:val="100000000000" w:firstRow="1" w:lastRow="0" w:firstColumn="0" w:lastColumn="0" w:oddVBand="0" w:evenVBand="0" w:oddHBand="0" w:evenHBand="0" w:firstRowFirstColumn="0" w:firstRowLastColumn="0" w:lastRowFirstColumn="0" w:lastRowLastColumn="0"/>
          <w:trHeight w:val="706"/>
        </w:trPr>
        <w:tc>
          <w:tcPr>
            <w:tcW w:w="2199" w:type="pct"/>
            <w:hideMark/>
          </w:tcPr>
          <w:p w14:paraId="0FB5C533" w14:textId="77777777" w:rsidR="00EC73DF" w:rsidRPr="00EC73DF" w:rsidRDefault="00EC73DF" w:rsidP="00EC73DF">
            <w:pPr>
              <w:pStyle w:val="TableHeading1"/>
            </w:pPr>
          </w:p>
        </w:tc>
        <w:tc>
          <w:tcPr>
            <w:tcW w:w="1003" w:type="pct"/>
            <w:hideMark/>
          </w:tcPr>
          <w:p w14:paraId="4B5ADE83" w14:textId="77777777" w:rsidR="00EC73DF" w:rsidRPr="00EC73DF" w:rsidRDefault="00EC73DF" w:rsidP="00EC73DF">
            <w:pPr>
              <w:pStyle w:val="TableHeading1"/>
            </w:pPr>
            <w:r w:rsidRPr="001545B0">
              <w:t>June quarter 2025</w:t>
            </w:r>
          </w:p>
        </w:tc>
        <w:tc>
          <w:tcPr>
            <w:tcW w:w="918" w:type="pct"/>
            <w:hideMark/>
          </w:tcPr>
          <w:p w14:paraId="78172F23" w14:textId="77777777" w:rsidR="00EC73DF" w:rsidRPr="00EC73DF" w:rsidRDefault="00EC73DF" w:rsidP="00EC73DF">
            <w:pPr>
              <w:pStyle w:val="TableHeading1"/>
            </w:pPr>
            <w:r w:rsidRPr="001545B0">
              <w:t>Change over the quarter</w:t>
            </w:r>
          </w:p>
        </w:tc>
        <w:tc>
          <w:tcPr>
            <w:tcW w:w="880" w:type="pct"/>
            <w:hideMark/>
          </w:tcPr>
          <w:p w14:paraId="2C7852F8" w14:textId="77777777" w:rsidR="00EC73DF" w:rsidRPr="00EC73DF" w:rsidRDefault="00EC73DF" w:rsidP="00EC73DF">
            <w:pPr>
              <w:pStyle w:val="TableHeading1"/>
            </w:pPr>
            <w:r w:rsidRPr="001545B0">
              <w:t>Change over 12 months</w:t>
            </w:r>
          </w:p>
        </w:tc>
      </w:tr>
      <w:tr w:rsidR="00EC73DF" w:rsidRPr="00965FCB" w14:paraId="1CC1BD57" w14:textId="77777777" w:rsidTr="00EC73DF">
        <w:trPr>
          <w:trHeight w:val="300"/>
        </w:trPr>
        <w:tc>
          <w:tcPr>
            <w:tcW w:w="2199" w:type="pct"/>
            <w:hideMark/>
          </w:tcPr>
          <w:p w14:paraId="51F907BA" w14:textId="77777777" w:rsidR="00EC73DF" w:rsidRPr="00EC73DF" w:rsidRDefault="00EC73DF" w:rsidP="00EC73DF">
            <w:pPr>
              <w:pStyle w:val="TableBodyText"/>
            </w:pPr>
            <w:r w:rsidRPr="001545B0">
              <w:t>Vacancy fill rate (%)</w:t>
            </w:r>
          </w:p>
        </w:tc>
        <w:tc>
          <w:tcPr>
            <w:tcW w:w="1003" w:type="pct"/>
            <w:hideMark/>
          </w:tcPr>
          <w:p w14:paraId="59AA39EB" w14:textId="77777777" w:rsidR="00EC73DF" w:rsidRPr="00EC73DF" w:rsidRDefault="00EC73DF" w:rsidP="00EC73DF">
            <w:pPr>
              <w:pStyle w:val="TableBodyTextright"/>
            </w:pPr>
            <w:r w:rsidRPr="001545B0">
              <w:t>72.2%</w:t>
            </w:r>
          </w:p>
        </w:tc>
        <w:tc>
          <w:tcPr>
            <w:tcW w:w="918" w:type="pct"/>
            <w:hideMark/>
          </w:tcPr>
          <w:p w14:paraId="727CD3EB" w14:textId="15A85DB5" w:rsidR="00EC73DF" w:rsidRPr="00EC73DF" w:rsidRDefault="004F000C" w:rsidP="00EC73DF">
            <w:pPr>
              <w:pStyle w:val="TableBodyTextright"/>
            </w:pPr>
            <w:r>
              <w:t>▲</w:t>
            </w:r>
            <w:r w:rsidR="00EC73DF" w:rsidRPr="001545B0">
              <w:t>0.6% pts</w:t>
            </w:r>
          </w:p>
        </w:tc>
        <w:tc>
          <w:tcPr>
            <w:tcW w:w="880" w:type="pct"/>
            <w:hideMark/>
          </w:tcPr>
          <w:p w14:paraId="39DADFA0" w14:textId="11A281A7" w:rsidR="00EC73DF" w:rsidRPr="00EC73DF" w:rsidRDefault="004F000C" w:rsidP="00EC73DF">
            <w:pPr>
              <w:pStyle w:val="TableBodyTextright"/>
            </w:pPr>
            <w:r>
              <w:t>▲</w:t>
            </w:r>
            <w:r w:rsidR="00EC73DF" w:rsidRPr="001545B0">
              <w:t>4.3% pts</w:t>
            </w:r>
          </w:p>
        </w:tc>
      </w:tr>
      <w:tr w:rsidR="009F0F0E" w:rsidRPr="00965FCB" w14:paraId="70F1F9AB" w14:textId="77777777" w:rsidTr="00EC73DF">
        <w:trPr>
          <w:cnfStyle w:val="000000010000" w:firstRow="0" w:lastRow="0" w:firstColumn="0" w:lastColumn="0" w:oddVBand="0" w:evenVBand="0" w:oddHBand="0" w:evenHBand="1" w:firstRowFirstColumn="0" w:firstRowLastColumn="0" w:lastRowFirstColumn="0" w:lastRowLastColumn="0"/>
          <w:trHeight w:val="397"/>
        </w:trPr>
        <w:tc>
          <w:tcPr>
            <w:tcW w:w="2199" w:type="pct"/>
            <w:hideMark/>
          </w:tcPr>
          <w:p w14:paraId="4F897FA2" w14:textId="77777777" w:rsidR="00EC73DF" w:rsidRPr="00EC73DF" w:rsidRDefault="00EC73DF" w:rsidP="00EC73DF">
            <w:pPr>
              <w:pStyle w:val="TableBodyText"/>
            </w:pPr>
            <w:r w:rsidRPr="001545B0">
              <w:t>Applicants per vacancy (no.)</w:t>
            </w:r>
          </w:p>
        </w:tc>
        <w:tc>
          <w:tcPr>
            <w:tcW w:w="1003" w:type="pct"/>
            <w:hideMark/>
          </w:tcPr>
          <w:p w14:paraId="68F23933" w14:textId="77777777" w:rsidR="00EC73DF" w:rsidRPr="00EC73DF" w:rsidRDefault="00EC73DF" w:rsidP="00EC73DF">
            <w:pPr>
              <w:pStyle w:val="TableBodyTextright"/>
            </w:pPr>
            <w:r w:rsidRPr="001545B0">
              <w:t>32.7</w:t>
            </w:r>
          </w:p>
        </w:tc>
        <w:tc>
          <w:tcPr>
            <w:tcW w:w="918" w:type="pct"/>
            <w:hideMark/>
          </w:tcPr>
          <w:p w14:paraId="2F894114" w14:textId="2492DCF5" w:rsidR="00EC73DF" w:rsidRPr="00EC73DF" w:rsidRDefault="004F000C" w:rsidP="00EC73DF">
            <w:pPr>
              <w:pStyle w:val="TableBodyTextright"/>
            </w:pPr>
            <w:r>
              <w:t>▼</w:t>
            </w:r>
            <w:r w:rsidR="00EC73DF" w:rsidRPr="001545B0">
              <w:t>2.2</w:t>
            </w:r>
          </w:p>
        </w:tc>
        <w:tc>
          <w:tcPr>
            <w:tcW w:w="880" w:type="pct"/>
            <w:hideMark/>
          </w:tcPr>
          <w:p w14:paraId="3F927727" w14:textId="1C01E1E8" w:rsidR="00EC73DF" w:rsidRPr="00EC73DF" w:rsidRDefault="004F000C" w:rsidP="00EC73DF">
            <w:pPr>
              <w:pStyle w:val="TableBodyTextright"/>
            </w:pPr>
            <w:r>
              <w:t>▲</w:t>
            </w:r>
            <w:r w:rsidR="00EC73DF" w:rsidRPr="001545B0">
              <w:t>4.5</w:t>
            </w:r>
          </w:p>
        </w:tc>
      </w:tr>
      <w:tr w:rsidR="00EC73DF" w:rsidRPr="00965FCB" w14:paraId="7F8C533E" w14:textId="77777777" w:rsidTr="00EC73DF">
        <w:trPr>
          <w:trHeight w:val="397"/>
        </w:trPr>
        <w:tc>
          <w:tcPr>
            <w:tcW w:w="2199" w:type="pct"/>
          </w:tcPr>
          <w:p w14:paraId="0E04018C" w14:textId="77777777" w:rsidR="00EC73DF" w:rsidRPr="00EC73DF" w:rsidRDefault="00EC73DF" w:rsidP="00EC73DF">
            <w:pPr>
              <w:pStyle w:val="TableBodyText"/>
            </w:pPr>
            <w:r w:rsidRPr="001545B0">
              <w:t>Qualified applicants per vacancy (no.)</w:t>
            </w:r>
          </w:p>
        </w:tc>
        <w:tc>
          <w:tcPr>
            <w:tcW w:w="1003" w:type="pct"/>
          </w:tcPr>
          <w:p w14:paraId="4ABC050A" w14:textId="77777777" w:rsidR="00EC73DF" w:rsidRPr="00EC73DF" w:rsidRDefault="00EC73DF" w:rsidP="00EC73DF">
            <w:pPr>
              <w:pStyle w:val="TableBodyTextright"/>
            </w:pPr>
            <w:r w:rsidRPr="001545B0">
              <w:t>11.2</w:t>
            </w:r>
          </w:p>
        </w:tc>
        <w:tc>
          <w:tcPr>
            <w:tcW w:w="918" w:type="pct"/>
          </w:tcPr>
          <w:p w14:paraId="2A1A3EC7" w14:textId="48B3F09C" w:rsidR="00EC73DF" w:rsidRPr="00EC73DF" w:rsidRDefault="004F000C" w:rsidP="00EC73DF">
            <w:pPr>
              <w:pStyle w:val="TableBodyTextright"/>
            </w:pPr>
            <w:r>
              <w:t>▼</w:t>
            </w:r>
            <w:r w:rsidR="00EC73DF" w:rsidRPr="001545B0">
              <w:t>0.1</w:t>
            </w:r>
          </w:p>
        </w:tc>
        <w:tc>
          <w:tcPr>
            <w:tcW w:w="880" w:type="pct"/>
          </w:tcPr>
          <w:p w14:paraId="4BE73295" w14:textId="57E0D84B" w:rsidR="00EC73DF" w:rsidRPr="00EC73DF" w:rsidRDefault="004F000C" w:rsidP="00EC73DF">
            <w:pPr>
              <w:pStyle w:val="TableBodyTextright"/>
            </w:pPr>
            <w:r>
              <w:t>▲</w:t>
            </w:r>
            <w:r w:rsidR="00EC73DF" w:rsidRPr="001545B0">
              <w:t>2.2</w:t>
            </w:r>
          </w:p>
        </w:tc>
      </w:tr>
      <w:tr w:rsidR="009F0F0E" w:rsidRPr="00965FCB" w14:paraId="779B1E6F" w14:textId="77777777" w:rsidTr="00EC73DF">
        <w:trPr>
          <w:cnfStyle w:val="000000010000" w:firstRow="0" w:lastRow="0" w:firstColumn="0" w:lastColumn="0" w:oddVBand="0" w:evenVBand="0" w:oddHBand="0" w:evenHBand="1" w:firstRowFirstColumn="0" w:firstRowLastColumn="0" w:lastRowFirstColumn="0" w:lastRowLastColumn="0"/>
          <w:trHeight w:val="397"/>
        </w:trPr>
        <w:tc>
          <w:tcPr>
            <w:tcW w:w="2199" w:type="pct"/>
          </w:tcPr>
          <w:p w14:paraId="45627EEA" w14:textId="77777777" w:rsidR="00EC73DF" w:rsidRPr="00EC73DF" w:rsidRDefault="00EC73DF" w:rsidP="00EC73DF">
            <w:pPr>
              <w:pStyle w:val="TableBodyText"/>
            </w:pPr>
            <w:r w:rsidRPr="001545B0">
              <w:t>Suitable applicants per vacancy (no.)</w:t>
            </w:r>
          </w:p>
        </w:tc>
        <w:tc>
          <w:tcPr>
            <w:tcW w:w="1003" w:type="pct"/>
          </w:tcPr>
          <w:p w14:paraId="6EABA78E" w14:textId="77777777" w:rsidR="00EC73DF" w:rsidRPr="00EC73DF" w:rsidRDefault="00EC73DF" w:rsidP="00EC73DF">
            <w:pPr>
              <w:pStyle w:val="TableBodyTextright"/>
            </w:pPr>
            <w:r w:rsidRPr="001545B0">
              <w:t>4.9</w:t>
            </w:r>
          </w:p>
        </w:tc>
        <w:tc>
          <w:tcPr>
            <w:tcW w:w="918" w:type="pct"/>
          </w:tcPr>
          <w:p w14:paraId="4A47D68A" w14:textId="2CCED594" w:rsidR="00EC73DF" w:rsidRPr="00EC73DF" w:rsidRDefault="004F000C" w:rsidP="00EC73DF">
            <w:pPr>
              <w:pStyle w:val="TableBodyTextright"/>
            </w:pPr>
            <w:r>
              <w:t>▲</w:t>
            </w:r>
            <w:r w:rsidR="00EC73DF" w:rsidRPr="001545B0">
              <w:t>0.5</w:t>
            </w:r>
          </w:p>
        </w:tc>
        <w:tc>
          <w:tcPr>
            <w:tcW w:w="880" w:type="pct"/>
          </w:tcPr>
          <w:p w14:paraId="40FE51F6" w14:textId="76F54F52" w:rsidR="00EC73DF" w:rsidRPr="00EC73DF" w:rsidRDefault="004F000C" w:rsidP="00EC73DF">
            <w:pPr>
              <w:pStyle w:val="TableBodyTextright"/>
            </w:pPr>
            <w:r>
              <w:t>▲</w:t>
            </w:r>
            <w:r w:rsidR="00EC73DF" w:rsidRPr="001545B0">
              <w:t>1.6</w:t>
            </w:r>
          </w:p>
        </w:tc>
      </w:tr>
    </w:tbl>
    <w:p w14:paraId="14EB80E3" w14:textId="77777777" w:rsidR="00EC73DF" w:rsidRPr="00EC73DF" w:rsidRDefault="00EC73DF" w:rsidP="00EC73DF">
      <w:pPr>
        <w:pStyle w:val="Source"/>
      </w:pPr>
      <w:r w:rsidRPr="00EC73DF">
        <w:t>Source: Jobs and Skills Australia, SERA.</w:t>
      </w:r>
    </w:p>
    <w:p w14:paraId="59B6D4EC" w14:textId="4352A946" w:rsidR="00EC73DF" w:rsidRDefault="00EC73DF" w:rsidP="001257EF">
      <w:pPr>
        <w:pStyle w:val="BodyText"/>
      </w:pPr>
    </w:p>
    <w:p w14:paraId="51C63895" w14:textId="246F96B9" w:rsidR="00EC73DF" w:rsidRPr="00EC73DF" w:rsidRDefault="00EC73DF" w:rsidP="00EC73DF">
      <w:pPr>
        <w:pStyle w:val="Caption"/>
      </w:pPr>
      <w:bookmarkStart w:id="12" w:name="_Ref181718930"/>
      <w:r>
        <w:t xml:space="preserve">Figure </w:t>
      </w:r>
      <w:r w:rsidRPr="00EC73DF">
        <w:fldChar w:fldCharType="begin"/>
      </w:r>
      <w:r>
        <w:instrText xml:space="preserve"> SEQ Figure \* ARABIC </w:instrText>
      </w:r>
      <w:r w:rsidRPr="00EC73DF">
        <w:fldChar w:fldCharType="separate"/>
      </w:r>
      <w:r w:rsidR="00F96253">
        <w:rPr>
          <w:noProof/>
        </w:rPr>
        <w:t>2</w:t>
      </w:r>
      <w:r w:rsidRPr="00EC73DF">
        <w:fldChar w:fldCharType="end"/>
      </w:r>
      <w:bookmarkEnd w:id="12"/>
      <w:r w:rsidRPr="00EF1907">
        <w:t xml:space="preserve">: </w:t>
      </w:r>
      <w:r>
        <w:t>Metropolitan</w:t>
      </w:r>
      <w:r w:rsidRPr="00EF1907">
        <w:t xml:space="preserve"> </w:t>
      </w:r>
      <w:r>
        <w:t>f</w:t>
      </w:r>
      <w:r w:rsidRPr="00EF1907">
        <w:t>ill rate (%) and applicants, qualified, and suitable applicants per vacancy (no.)</w:t>
      </w:r>
    </w:p>
    <w:p w14:paraId="3C759853" w14:textId="77777777" w:rsidR="00EC73DF" w:rsidRDefault="00EC73DF" w:rsidP="00EC73DF">
      <w:pPr>
        <w:pStyle w:val="Source"/>
      </w:pPr>
      <w:r w:rsidRPr="00EC73DF">
        <w:rPr>
          <w:noProof/>
        </w:rPr>
        <w:drawing>
          <wp:inline distT="0" distB="0" distL="0" distR="0" wp14:anchorId="06618D16" wp14:editId="0001AABC">
            <wp:extent cx="5731200" cy="2808000"/>
            <wp:effectExtent l="0" t="0" r="3175" b="0"/>
            <wp:docPr id="554501480" name="Chart 1" descr="Figure 2 shows the quarterly fill rate and total, qualified and suitable applicants per vacancy, for metropolitan (metro) Australia from June 2023 to June 2025. The metro area fill rate increased by 0.6 percentage points to 72.2% over the June quarter 2025, and 4.3 percentage points over the year. Despite a decrease in both applicants and qualified applicants per vacancy, the increased fill rate seems to be underpinned by an increase in suitable applicants. ">
              <a:extLst xmlns:a="http://schemas.openxmlformats.org/drawingml/2006/main">
                <a:ext uri="{FF2B5EF4-FFF2-40B4-BE49-F238E27FC236}">
                  <a16:creationId xmlns:a16="http://schemas.microsoft.com/office/drawing/2014/main" id="{7B07B4E5-B525-442C-AD39-CAED5DAF0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br/>
      </w:r>
      <w:r w:rsidRPr="008374E2">
        <w:t>Source: Jobs and Skills Australia, SERA.</w:t>
      </w:r>
    </w:p>
    <w:p w14:paraId="2CA6EF3C" w14:textId="77777777" w:rsidR="000261ED" w:rsidRDefault="000261ED">
      <w:pPr>
        <w:spacing w:before="0" w:after="200" w:line="276" w:lineRule="auto"/>
        <w:rPr>
          <w:rFonts w:eastAsia="Times New Roman" w:cs="Arial"/>
          <w:b/>
          <w:bCs/>
          <w:color w:val="4B0985"/>
          <w:sz w:val="48"/>
          <w:szCs w:val="32"/>
          <w:lang w:eastAsia="en-AU"/>
        </w:rPr>
      </w:pPr>
      <w:bookmarkStart w:id="13" w:name="_Toc173238404"/>
      <w:bookmarkStart w:id="14" w:name="_Toc199509250"/>
      <w:r>
        <w:br w:type="page"/>
      </w:r>
    </w:p>
    <w:p w14:paraId="58502D52" w14:textId="77777777" w:rsidR="00EC73DF" w:rsidRPr="00C37FA6" w:rsidRDefault="00EC73DF" w:rsidP="00EC73DF">
      <w:pPr>
        <w:pStyle w:val="Heading1"/>
      </w:pPr>
      <w:bookmarkStart w:id="15" w:name="_Toc207977953"/>
      <w:r w:rsidRPr="00C37FA6">
        <w:lastRenderedPageBreak/>
        <w:t>Regional</w:t>
      </w:r>
      <w:bookmarkEnd w:id="13"/>
      <w:r w:rsidRPr="00C37FA6">
        <w:t xml:space="preserve"> area</w:t>
      </w:r>
      <w:r>
        <w:t xml:space="preserve"> results</w:t>
      </w:r>
      <w:bookmarkEnd w:id="14"/>
      <w:bookmarkEnd w:id="15"/>
    </w:p>
    <w:p w14:paraId="16E7846C" w14:textId="110C0EE5" w:rsidR="00EC73DF" w:rsidRPr="00EC73DF" w:rsidRDefault="00EC73DF" w:rsidP="00EC73DF">
      <w:pPr>
        <w:pStyle w:val="Caption"/>
      </w:pPr>
      <w:bookmarkStart w:id="16" w:name="_Ref173249539"/>
      <w:r w:rsidRPr="00EC73DF">
        <w:t xml:space="preserve">Table </w:t>
      </w:r>
      <w:r w:rsidRPr="00EC73DF">
        <w:fldChar w:fldCharType="begin"/>
      </w:r>
      <w:r w:rsidRPr="00EC73DF">
        <w:instrText xml:space="preserve"> SEQ Table \* ARABIC </w:instrText>
      </w:r>
      <w:r w:rsidRPr="00EC73DF">
        <w:fldChar w:fldCharType="separate"/>
      </w:r>
      <w:r w:rsidR="00F96253">
        <w:rPr>
          <w:noProof/>
        </w:rPr>
        <w:t>3</w:t>
      </w:r>
      <w:r w:rsidRPr="00EC73DF">
        <w:fldChar w:fldCharType="end"/>
      </w:r>
      <w:bookmarkEnd w:id="16"/>
      <w:r w:rsidRPr="00EC73DF">
        <w:t>: Regional Snapshot</w:t>
      </w:r>
    </w:p>
    <w:tbl>
      <w:tblPr>
        <w:tblW w:w="5000" w:type="pct"/>
        <w:tblLook w:val="04A0" w:firstRow="1" w:lastRow="0" w:firstColumn="1" w:lastColumn="0" w:noHBand="0" w:noVBand="1"/>
      </w:tblPr>
      <w:tblGrid>
        <w:gridCol w:w="3970"/>
        <w:gridCol w:w="1811"/>
        <w:gridCol w:w="1657"/>
        <w:gridCol w:w="1589"/>
      </w:tblGrid>
      <w:tr w:rsidR="00EC73DF" w:rsidRPr="00965FCB" w14:paraId="1129C054" w14:textId="77777777" w:rsidTr="007F33F6">
        <w:trPr>
          <w:trHeight w:val="706"/>
        </w:trPr>
        <w:tc>
          <w:tcPr>
            <w:tcW w:w="2199" w:type="pct"/>
            <w:shd w:val="clear" w:color="auto" w:fill="2F005F"/>
            <w:hideMark/>
          </w:tcPr>
          <w:p w14:paraId="4ACFF0B6" w14:textId="77777777" w:rsidR="00EC73DF" w:rsidRPr="00EC73DF" w:rsidRDefault="00EC73DF" w:rsidP="00EC73DF">
            <w:pPr>
              <w:pStyle w:val="TableHeading1"/>
            </w:pPr>
          </w:p>
        </w:tc>
        <w:tc>
          <w:tcPr>
            <w:tcW w:w="1003" w:type="pct"/>
            <w:shd w:val="clear" w:color="auto" w:fill="2F005F"/>
            <w:hideMark/>
          </w:tcPr>
          <w:p w14:paraId="265248EA" w14:textId="77777777" w:rsidR="00EC73DF" w:rsidRPr="00EC73DF" w:rsidRDefault="00EC73DF" w:rsidP="00EC73DF">
            <w:pPr>
              <w:pStyle w:val="TableHeading1"/>
            </w:pPr>
            <w:r w:rsidRPr="00884797">
              <w:t>June quarter 2025</w:t>
            </w:r>
          </w:p>
        </w:tc>
        <w:tc>
          <w:tcPr>
            <w:tcW w:w="918" w:type="pct"/>
            <w:shd w:val="clear" w:color="auto" w:fill="2F005F"/>
            <w:hideMark/>
          </w:tcPr>
          <w:p w14:paraId="3DC407D5" w14:textId="77777777" w:rsidR="00EC73DF" w:rsidRPr="00EC73DF" w:rsidRDefault="00EC73DF" w:rsidP="00EC73DF">
            <w:pPr>
              <w:pStyle w:val="TableHeading1"/>
            </w:pPr>
            <w:r w:rsidRPr="00884797">
              <w:t>Change over the quarter</w:t>
            </w:r>
          </w:p>
        </w:tc>
        <w:tc>
          <w:tcPr>
            <w:tcW w:w="880" w:type="pct"/>
            <w:shd w:val="clear" w:color="auto" w:fill="2F005F"/>
            <w:hideMark/>
          </w:tcPr>
          <w:p w14:paraId="246D5384" w14:textId="77777777" w:rsidR="00EC73DF" w:rsidRPr="00EC73DF" w:rsidRDefault="00EC73DF" w:rsidP="00EC73DF">
            <w:pPr>
              <w:pStyle w:val="TableHeading1"/>
            </w:pPr>
            <w:r w:rsidRPr="00884797">
              <w:t>Change over 12 months</w:t>
            </w:r>
          </w:p>
        </w:tc>
      </w:tr>
      <w:tr w:rsidR="00EC73DF" w:rsidRPr="00965FCB" w14:paraId="00566484" w14:textId="77777777" w:rsidTr="00D35414">
        <w:trPr>
          <w:trHeight w:val="300"/>
        </w:trPr>
        <w:tc>
          <w:tcPr>
            <w:tcW w:w="2199" w:type="pct"/>
            <w:vAlign w:val="center"/>
            <w:hideMark/>
          </w:tcPr>
          <w:p w14:paraId="09C41409" w14:textId="77777777" w:rsidR="00EC73DF" w:rsidRPr="00EC73DF" w:rsidRDefault="00EC73DF" w:rsidP="00EC73DF">
            <w:pPr>
              <w:pStyle w:val="TableBodyText"/>
            </w:pPr>
            <w:r w:rsidRPr="00884797">
              <w:t>Vacancy fill rate (%)</w:t>
            </w:r>
          </w:p>
        </w:tc>
        <w:tc>
          <w:tcPr>
            <w:tcW w:w="1003" w:type="pct"/>
            <w:vAlign w:val="center"/>
            <w:hideMark/>
          </w:tcPr>
          <w:p w14:paraId="4241559E" w14:textId="77777777" w:rsidR="00EC73DF" w:rsidRPr="00EC73DF" w:rsidRDefault="00EC73DF" w:rsidP="00EC73DF">
            <w:pPr>
              <w:pStyle w:val="TableBodyTextright"/>
            </w:pPr>
            <w:r w:rsidRPr="00884797">
              <w:t>65.8%</w:t>
            </w:r>
          </w:p>
        </w:tc>
        <w:tc>
          <w:tcPr>
            <w:tcW w:w="918" w:type="pct"/>
            <w:vAlign w:val="center"/>
            <w:hideMark/>
          </w:tcPr>
          <w:p w14:paraId="5F7E58A7" w14:textId="69D411A4" w:rsidR="00EC73DF" w:rsidRPr="00EC73DF" w:rsidRDefault="004F000C" w:rsidP="00EC73DF">
            <w:pPr>
              <w:pStyle w:val="TableBodyTextright"/>
            </w:pPr>
            <w:r>
              <w:t>▲</w:t>
            </w:r>
            <w:r w:rsidR="00EC73DF" w:rsidRPr="00884797">
              <w:t>1.5% pts</w:t>
            </w:r>
          </w:p>
        </w:tc>
        <w:tc>
          <w:tcPr>
            <w:tcW w:w="880" w:type="pct"/>
            <w:vAlign w:val="center"/>
            <w:hideMark/>
          </w:tcPr>
          <w:p w14:paraId="0D1BD8BC" w14:textId="5E7B9AD3" w:rsidR="00EC73DF" w:rsidRPr="00EC73DF" w:rsidRDefault="004F000C" w:rsidP="00EC73DF">
            <w:pPr>
              <w:pStyle w:val="TableBodyTextright"/>
            </w:pPr>
            <w:r>
              <w:t>▲</w:t>
            </w:r>
            <w:r w:rsidR="00EC73DF" w:rsidRPr="00884797">
              <w:t>4.6% pts</w:t>
            </w:r>
          </w:p>
        </w:tc>
      </w:tr>
      <w:tr w:rsidR="00EC73DF" w:rsidRPr="00965FCB" w14:paraId="317E75C7" w14:textId="77777777" w:rsidTr="007F33F6">
        <w:trPr>
          <w:trHeight w:val="397"/>
        </w:trPr>
        <w:tc>
          <w:tcPr>
            <w:tcW w:w="2199" w:type="pct"/>
            <w:shd w:val="clear" w:color="auto" w:fill="D9D9D9" w:themeFill="background1" w:themeFillShade="D9"/>
            <w:vAlign w:val="center"/>
            <w:hideMark/>
          </w:tcPr>
          <w:p w14:paraId="0D5AC29F" w14:textId="77777777" w:rsidR="00EC73DF" w:rsidRPr="00EC73DF" w:rsidRDefault="00EC73DF" w:rsidP="00EC73DF">
            <w:pPr>
              <w:pStyle w:val="TableBodyText"/>
            </w:pPr>
            <w:r w:rsidRPr="00884797">
              <w:t>Applicants per vacancy (no.)</w:t>
            </w:r>
          </w:p>
        </w:tc>
        <w:tc>
          <w:tcPr>
            <w:tcW w:w="1003" w:type="pct"/>
            <w:shd w:val="clear" w:color="auto" w:fill="D9D9D9" w:themeFill="background1" w:themeFillShade="D9"/>
            <w:vAlign w:val="center"/>
            <w:hideMark/>
          </w:tcPr>
          <w:p w14:paraId="6DE8F6BF" w14:textId="77777777" w:rsidR="00EC73DF" w:rsidRPr="00EC73DF" w:rsidRDefault="00EC73DF" w:rsidP="00EC73DF">
            <w:pPr>
              <w:pStyle w:val="TableBodyTextright"/>
            </w:pPr>
            <w:r w:rsidRPr="00884797">
              <w:t>16.3</w:t>
            </w:r>
          </w:p>
        </w:tc>
        <w:tc>
          <w:tcPr>
            <w:tcW w:w="918" w:type="pct"/>
            <w:shd w:val="clear" w:color="auto" w:fill="D9D9D9" w:themeFill="background1" w:themeFillShade="D9"/>
            <w:vAlign w:val="center"/>
            <w:hideMark/>
          </w:tcPr>
          <w:p w14:paraId="1D4EF34F" w14:textId="6B64C377" w:rsidR="00EC73DF" w:rsidRPr="00EC73DF" w:rsidRDefault="004F000C" w:rsidP="00EC73DF">
            <w:pPr>
              <w:pStyle w:val="TableBodyTextright"/>
            </w:pPr>
            <w:r>
              <w:t>▼</w:t>
            </w:r>
            <w:r w:rsidR="00EC73DF" w:rsidRPr="00884797">
              <w:t>1.2</w:t>
            </w:r>
          </w:p>
        </w:tc>
        <w:tc>
          <w:tcPr>
            <w:tcW w:w="880" w:type="pct"/>
            <w:shd w:val="clear" w:color="auto" w:fill="D9D9D9" w:themeFill="background1" w:themeFillShade="D9"/>
            <w:vAlign w:val="center"/>
            <w:hideMark/>
          </w:tcPr>
          <w:p w14:paraId="78D8D55E" w14:textId="3C564C3F" w:rsidR="00EC73DF" w:rsidRPr="00EC73DF" w:rsidRDefault="004F000C" w:rsidP="00EC73DF">
            <w:pPr>
              <w:pStyle w:val="TableBodyTextright"/>
            </w:pPr>
            <w:r>
              <w:t>▲</w:t>
            </w:r>
            <w:r w:rsidR="00EC73DF" w:rsidRPr="00884797">
              <w:t>1.7</w:t>
            </w:r>
          </w:p>
        </w:tc>
      </w:tr>
      <w:tr w:rsidR="00EC73DF" w:rsidRPr="00965FCB" w14:paraId="2520BD08" w14:textId="77777777" w:rsidTr="007F33F6">
        <w:trPr>
          <w:trHeight w:val="397"/>
        </w:trPr>
        <w:tc>
          <w:tcPr>
            <w:tcW w:w="2199" w:type="pct"/>
            <w:vAlign w:val="center"/>
          </w:tcPr>
          <w:p w14:paraId="5B792C3B" w14:textId="77777777" w:rsidR="00EC73DF" w:rsidRPr="00EC73DF" w:rsidRDefault="00EC73DF" w:rsidP="00EC73DF">
            <w:pPr>
              <w:pStyle w:val="TableBodyText"/>
            </w:pPr>
            <w:r w:rsidRPr="00884797">
              <w:t>Qualified applicants per vacancy (no.)</w:t>
            </w:r>
          </w:p>
        </w:tc>
        <w:tc>
          <w:tcPr>
            <w:tcW w:w="1003" w:type="pct"/>
            <w:vAlign w:val="center"/>
          </w:tcPr>
          <w:p w14:paraId="52A2C493" w14:textId="77777777" w:rsidR="00EC73DF" w:rsidRPr="00EC73DF" w:rsidRDefault="00EC73DF" w:rsidP="00EC73DF">
            <w:pPr>
              <w:pStyle w:val="TableBodyTextright"/>
            </w:pPr>
            <w:r w:rsidRPr="00884797">
              <w:t>5.4</w:t>
            </w:r>
          </w:p>
        </w:tc>
        <w:tc>
          <w:tcPr>
            <w:tcW w:w="918" w:type="pct"/>
            <w:vAlign w:val="center"/>
          </w:tcPr>
          <w:p w14:paraId="495C1FE2" w14:textId="0A6067A7" w:rsidR="00EC73DF" w:rsidRPr="00EC73DF" w:rsidRDefault="004F000C" w:rsidP="00EC73DF">
            <w:pPr>
              <w:pStyle w:val="TableBodyTextright"/>
            </w:pPr>
            <w:r>
              <w:t>▼</w:t>
            </w:r>
            <w:r w:rsidR="00EC73DF" w:rsidRPr="00884797">
              <w:t>0.1</w:t>
            </w:r>
          </w:p>
        </w:tc>
        <w:tc>
          <w:tcPr>
            <w:tcW w:w="880" w:type="pct"/>
            <w:vAlign w:val="center"/>
          </w:tcPr>
          <w:p w14:paraId="6E3FEAD4" w14:textId="3BF3B00E" w:rsidR="00EC73DF" w:rsidRPr="00EC73DF" w:rsidRDefault="004F000C" w:rsidP="00EC73DF">
            <w:pPr>
              <w:pStyle w:val="TableBodyTextright"/>
            </w:pPr>
            <w:r>
              <w:t>▲</w:t>
            </w:r>
            <w:r w:rsidR="00EC73DF" w:rsidRPr="00884797">
              <w:t>0.9</w:t>
            </w:r>
          </w:p>
        </w:tc>
      </w:tr>
      <w:tr w:rsidR="00EC73DF" w:rsidRPr="00965FCB" w14:paraId="5BEBA3B9" w14:textId="77777777" w:rsidTr="007F33F6">
        <w:trPr>
          <w:trHeight w:val="397"/>
        </w:trPr>
        <w:tc>
          <w:tcPr>
            <w:tcW w:w="2199" w:type="pct"/>
            <w:tcBorders>
              <w:bottom w:val="single" w:sz="4" w:space="0" w:color="auto"/>
            </w:tcBorders>
            <w:shd w:val="clear" w:color="auto" w:fill="D9D9D9" w:themeFill="background1" w:themeFillShade="D9"/>
            <w:vAlign w:val="center"/>
          </w:tcPr>
          <w:p w14:paraId="740092AD" w14:textId="77777777" w:rsidR="00EC73DF" w:rsidRPr="00EC73DF" w:rsidRDefault="00EC73DF" w:rsidP="00EC73DF">
            <w:pPr>
              <w:pStyle w:val="TableBodyText"/>
            </w:pPr>
            <w:r w:rsidRPr="00884797">
              <w:t>Suitable applicants per vacancy (no.)</w:t>
            </w:r>
          </w:p>
        </w:tc>
        <w:tc>
          <w:tcPr>
            <w:tcW w:w="1003" w:type="pct"/>
            <w:tcBorders>
              <w:bottom w:val="single" w:sz="4" w:space="0" w:color="auto"/>
            </w:tcBorders>
            <w:shd w:val="clear" w:color="auto" w:fill="D9D9D9" w:themeFill="background1" w:themeFillShade="D9"/>
            <w:vAlign w:val="center"/>
          </w:tcPr>
          <w:p w14:paraId="5507EE95" w14:textId="77777777" w:rsidR="00EC73DF" w:rsidRPr="00EC73DF" w:rsidRDefault="00EC73DF" w:rsidP="00EC73DF">
            <w:pPr>
              <w:pStyle w:val="TableBodyTextright"/>
            </w:pPr>
            <w:r w:rsidRPr="00884797">
              <w:t>3.0</w:t>
            </w:r>
          </w:p>
        </w:tc>
        <w:tc>
          <w:tcPr>
            <w:tcW w:w="918" w:type="pct"/>
            <w:tcBorders>
              <w:bottom w:val="single" w:sz="4" w:space="0" w:color="auto"/>
            </w:tcBorders>
            <w:shd w:val="clear" w:color="auto" w:fill="D9D9D9" w:themeFill="background1" w:themeFillShade="D9"/>
            <w:vAlign w:val="center"/>
          </w:tcPr>
          <w:p w14:paraId="2C58AE29" w14:textId="70822A47" w:rsidR="00EC73DF" w:rsidRPr="00EC73DF" w:rsidRDefault="004F000C" w:rsidP="00EC73DF">
            <w:pPr>
              <w:pStyle w:val="TableBodyTextright"/>
            </w:pPr>
            <w:r>
              <w:t>▲</w:t>
            </w:r>
            <w:r w:rsidR="00EC73DF" w:rsidRPr="00884797">
              <w:t>0.1</w:t>
            </w:r>
          </w:p>
        </w:tc>
        <w:tc>
          <w:tcPr>
            <w:tcW w:w="880" w:type="pct"/>
            <w:tcBorders>
              <w:bottom w:val="single" w:sz="4" w:space="0" w:color="auto"/>
            </w:tcBorders>
            <w:shd w:val="clear" w:color="auto" w:fill="D9D9D9" w:themeFill="background1" w:themeFillShade="D9"/>
            <w:vAlign w:val="center"/>
          </w:tcPr>
          <w:p w14:paraId="611E212D" w14:textId="3A3E98AA" w:rsidR="00EC73DF" w:rsidRPr="00EC73DF" w:rsidRDefault="004F000C" w:rsidP="00EC73DF">
            <w:pPr>
              <w:pStyle w:val="TableBodyTextright"/>
            </w:pPr>
            <w:r>
              <w:t>▲</w:t>
            </w:r>
            <w:r w:rsidR="00EC73DF" w:rsidRPr="00884797">
              <w:t>0.9</w:t>
            </w:r>
          </w:p>
        </w:tc>
      </w:tr>
    </w:tbl>
    <w:p w14:paraId="09F20FF8" w14:textId="1579E1BB" w:rsidR="004018AE" w:rsidRPr="004018AE" w:rsidRDefault="00EC73DF" w:rsidP="004018AE">
      <w:pPr>
        <w:pStyle w:val="Source"/>
      </w:pPr>
      <w:r w:rsidRPr="00C37FA6">
        <w:t xml:space="preserve">Source: Jobs and Skills Australia, </w:t>
      </w:r>
      <w:r>
        <w:t xml:space="preserve">SERA. </w:t>
      </w:r>
    </w:p>
    <w:p w14:paraId="5736C592" w14:textId="5010294B" w:rsidR="0095455F" w:rsidRDefault="0095455F" w:rsidP="001257EF">
      <w:pPr>
        <w:pStyle w:val="BodyText"/>
        <w:rPr>
          <w:b/>
          <w:bCs/>
          <w:color w:val="012749"/>
          <w:sz w:val="18"/>
          <w:szCs w:val="18"/>
        </w:rPr>
      </w:pPr>
      <w:bookmarkStart w:id="17" w:name="_Ref181718978"/>
    </w:p>
    <w:p w14:paraId="3C8DEA53" w14:textId="1E318F06" w:rsidR="00D5052B" w:rsidRDefault="00D5052B" w:rsidP="00D5052B">
      <w:pPr>
        <w:pStyle w:val="Caption"/>
      </w:pPr>
      <w:r>
        <w:t xml:space="preserve">Figure </w:t>
      </w:r>
      <w:r w:rsidRPr="00D5052B">
        <w:fldChar w:fldCharType="begin"/>
      </w:r>
      <w:r>
        <w:instrText xml:space="preserve"> SEQ Figure \* ARABIC </w:instrText>
      </w:r>
      <w:r w:rsidRPr="00D5052B">
        <w:fldChar w:fldCharType="separate"/>
      </w:r>
      <w:r w:rsidR="00F96253">
        <w:rPr>
          <w:noProof/>
        </w:rPr>
        <w:t>3</w:t>
      </w:r>
      <w:r w:rsidRPr="00D5052B">
        <w:fldChar w:fldCharType="end"/>
      </w:r>
      <w:bookmarkEnd w:id="17"/>
      <w:r w:rsidRPr="00C7649E">
        <w:t xml:space="preserve">: </w:t>
      </w:r>
      <w:r>
        <w:t>Regional f</w:t>
      </w:r>
      <w:r w:rsidRPr="00C7649E">
        <w:t>ill rate (%) and total applicants, qualified, and suitable applicants per vacancy (no.)</w:t>
      </w:r>
    </w:p>
    <w:p w14:paraId="2B634E17" w14:textId="08CBC1D4" w:rsidR="00D5052B" w:rsidRPr="00D5052B" w:rsidRDefault="00D5052B" w:rsidP="00D5052B">
      <w:pPr>
        <w:pStyle w:val="Source"/>
      </w:pPr>
      <w:r w:rsidRPr="00D5052B">
        <w:rPr>
          <w:noProof/>
        </w:rPr>
        <w:drawing>
          <wp:inline distT="0" distB="0" distL="0" distR="0" wp14:anchorId="1BB79D54" wp14:editId="0BD7A42E">
            <wp:extent cx="5731200" cy="2808000"/>
            <wp:effectExtent l="0" t="0" r="3175" b="0"/>
            <wp:docPr id="1591834427" name="Chart 1" descr="Figure 3 shows the quarterly fill rate and total, qualified and suitable applicants per vacancy, for regional Australia from June 2023 to June 2025. The regional fill rate increased by 1.5 percentage points to 65.8% in June quarter 2025 and by 4.6 percentage points compared to a year ago. Despite a decrease in both total applicants and qualified applicants per vacancy, the increased fill rate seems to be underpinned by an increase in suitable applicants. ">
              <a:extLst xmlns:a="http://schemas.openxmlformats.org/drawingml/2006/main">
                <a:ext uri="{FF2B5EF4-FFF2-40B4-BE49-F238E27FC236}">
                  <a16:creationId xmlns:a16="http://schemas.microsoft.com/office/drawing/2014/main" id="{639078C5-2250-4715-97CE-1EE4BB896C6A}"/>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35CC2">
        <w:t>Source: Jobs and Skills Australia, SERA.</w:t>
      </w:r>
      <w:r>
        <w:t xml:space="preserve"> </w:t>
      </w:r>
    </w:p>
    <w:p w14:paraId="2E63BEE5" w14:textId="224AA8B0" w:rsidR="00722EFB" w:rsidRDefault="00AA6A9E" w:rsidP="004018AE">
      <w:pPr>
        <w:pStyle w:val="BodyText"/>
      </w:pPr>
      <w:bookmarkStart w:id="18" w:name="_Toc199509251"/>
      <w:r>
        <w:t>F</w:t>
      </w:r>
      <w:r w:rsidR="00BB2B35">
        <w:t xml:space="preserve">ill rates in both metropolitan (metro) and regional areas improved </w:t>
      </w:r>
      <w:r w:rsidR="008D0969">
        <w:t xml:space="preserve">over the quarter and </w:t>
      </w:r>
      <w:r>
        <w:t xml:space="preserve">the </w:t>
      </w:r>
      <w:r w:rsidR="008D0969">
        <w:t xml:space="preserve">last 12 months to June quarter 2025. </w:t>
      </w:r>
    </w:p>
    <w:p w14:paraId="1D91B720" w14:textId="4B552E26" w:rsidR="004018AE" w:rsidRDefault="008D0969" w:rsidP="004018AE">
      <w:pPr>
        <w:pStyle w:val="BodyText"/>
      </w:pPr>
      <w:r>
        <w:t xml:space="preserve">The </w:t>
      </w:r>
      <w:r w:rsidR="00C20AE6">
        <w:t xml:space="preserve">direction of </w:t>
      </w:r>
      <w:r w:rsidR="00B55E38">
        <w:t>c</w:t>
      </w:r>
      <w:r w:rsidR="00F51268">
        <w:t xml:space="preserve">hanges </w:t>
      </w:r>
      <w:r w:rsidR="00B55E38">
        <w:t xml:space="preserve">in </w:t>
      </w:r>
      <w:r w:rsidR="00C20AE6">
        <w:t xml:space="preserve">the </w:t>
      </w:r>
      <w:r w:rsidR="0062310C">
        <w:t>total, qualified and suitable</w:t>
      </w:r>
      <w:r w:rsidR="0062310C" w:rsidDel="0062310C">
        <w:t xml:space="preserve"> </w:t>
      </w:r>
      <w:r w:rsidR="008C4560">
        <w:t>applicants</w:t>
      </w:r>
      <w:r w:rsidR="00540ADA">
        <w:t xml:space="preserve"> per vacancy </w:t>
      </w:r>
      <w:r w:rsidR="00136F8C">
        <w:t xml:space="preserve">metrics </w:t>
      </w:r>
      <w:r w:rsidR="0030606C">
        <w:t xml:space="preserve">were consistent between </w:t>
      </w:r>
      <w:r w:rsidR="00C20AE6">
        <w:t>both areas</w:t>
      </w:r>
      <w:r w:rsidR="00C257FB">
        <w:t xml:space="preserve"> (</w:t>
      </w:r>
      <w:r w:rsidR="00C257FB" w:rsidRPr="00EC73DF">
        <w:fldChar w:fldCharType="begin"/>
      </w:r>
      <w:r w:rsidR="00C257FB" w:rsidRPr="00EC73DF">
        <w:instrText xml:space="preserve"> REF _Ref181718900 \h </w:instrText>
      </w:r>
      <w:r w:rsidR="00C257FB">
        <w:instrText xml:space="preserve"> \* MERGEFORMAT </w:instrText>
      </w:r>
      <w:r w:rsidR="00C257FB" w:rsidRPr="00EC73DF">
        <w:fldChar w:fldCharType="separate"/>
      </w:r>
      <w:r w:rsidR="00F96253" w:rsidRPr="00583DC1">
        <w:t xml:space="preserve">Table </w:t>
      </w:r>
      <w:r w:rsidR="00F96253">
        <w:t>2</w:t>
      </w:r>
      <w:r w:rsidR="00C257FB" w:rsidRPr="00EC73DF">
        <w:fldChar w:fldCharType="end"/>
      </w:r>
      <w:r w:rsidR="00C257FB">
        <w:t xml:space="preserve"> and </w:t>
      </w:r>
      <w:r w:rsidR="00C257FB" w:rsidRPr="00D5052B">
        <w:fldChar w:fldCharType="begin"/>
      </w:r>
      <w:r w:rsidR="00C257FB" w:rsidRPr="00D5052B">
        <w:instrText xml:space="preserve"> REF _Ref173249539 \h  \* MERGEFORMAT </w:instrText>
      </w:r>
      <w:r w:rsidR="00C257FB" w:rsidRPr="00D5052B">
        <w:fldChar w:fldCharType="separate"/>
      </w:r>
      <w:r w:rsidR="00F96253" w:rsidRPr="00EC73DF">
        <w:t xml:space="preserve">Table </w:t>
      </w:r>
      <w:r w:rsidR="00F96253">
        <w:t>3</w:t>
      </w:r>
      <w:r w:rsidR="00C257FB" w:rsidRPr="00D5052B">
        <w:fldChar w:fldCharType="end"/>
      </w:r>
      <w:r w:rsidR="00C257FB">
        <w:t>)</w:t>
      </w:r>
      <w:r w:rsidR="00F51268">
        <w:t xml:space="preserve"> </w:t>
      </w:r>
      <w:r w:rsidR="00C257FB">
        <w:t xml:space="preserve">and </w:t>
      </w:r>
      <w:r w:rsidR="00511365">
        <w:t xml:space="preserve">the </w:t>
      </w:r>
      <w:r w:rsidR="00C20AE6">
        <w:t>national level</w:t>
      </w:r>
      <w:r w:rsidR="00C257FB">
        <w:t xml:space="preserve"> (</w:t>
      </w:r>
      <w:r w:rsidR="00C257FB">
        <w:fldChar w:fldCharType="begin"/>
      </w:r>
      <w:r w:rsidR="00C257FB">
        <w:instrText xml:space="preserve"> REF _Ref181718787 \h </w:instrText>
      </w:r>
      <w:r w:rsidR="00C257FB">
        <w:fldChar w:fldCharType="separate"/>
      </w:r>
      <w:r w:rsidR="00F96253">
        <w:t xml:space="preserve">Table </w:t>
      </w:r>
      <w:r w:rsidR="00F96253">
        <w:rPr>
          <w:noProof/>
        </w:rPr>
        <w:t>1</w:t>
      </w:r>
      <w:r w:rsidR="00C257FB">
        <w:fldChar w:fldCharType="end"/>
      </w:r>
      <w:r w:rsidR="00C257FB">
        <w:t>).</w:t>
      </w:r>
      <w:r w:rsidR="00C20AE6" w:rsidRPr="00EC73DF">
        <w:t xml:space="preserve"> </w:t>
      </w:r>
    </w:p>
    <w:p w14:paraId="7AE5BBAF" w14:textId="3A9EF576" w:rsidR="004018AE" w:rsidRDefault="004C743E">
      <w:pPr>
        <w:spacing w:before="0" w:after="200" w:line="276" w:lineRule="auto"/>
        <w:rPr>
          <w:rFonts w:eastAsia="Times New Roman" w:cs="Arial"/>
          <w:b/>
          <w:bCs/>
          <w:color w:val="4B0985"/>
          <w:sz w:val="48"/>
          <w:szCs w:val="32"/>
          <w:lang w:eastAsia="en-AU"/>
        </w:rPr>
      </w:pPr>
      <w:r>
        <w:t>I</w:t>
      </w:r>
      <w:r w:rsidR="004018AE">
        <w:t xml:space="preserve">n </w:t>
      </w:r>
      <w:r w:rsidR="004018AE" w:rsidRPr="004018AE">
        <w:t xml:space="preserve">regional areas, the fill rate remained well below that of metro areas. </w:t>
      </w:r>
      <w:r w:rsidR="007718AB">
        <w:t>But</w:t>
      </w:r>
      <w:r w:rsidR="00F4414A">
        <w:t xml:space="preserve"> i</w:t>
      </w:r>
      <w:r w:rsidR="004018AE" w:rsidRPr="004018AE">
        <w:t xml:space="preserve">n </w:t>
      </w:r>
      <w:r w:rsidR="00DF14A2">
        <w:t xml:space="preserve">the </w:t>
      </w:r>
      <w:r w:rsidR="004018AE" w:rsidRPr="004018AE">
        <w:t xml:space="preserve">June quarter 2025, the difference </w:t>
      </w:r>
      <w:r w:rsidR="00492A18">
        <w:t xml:space="preserve">in fill rates </w:t>
      </w:r>
      <w:r w:rsidR="00C760BB">
        <w:t xml:space="preserve">between </w:t>
      </w:r>
      <w:r w:rsidR="004018AE" w:rsidRPr="004018AE">
        <w:t>the two areas reduced to 6.5 percentage points</w:t>
      </w:r>
      <w:r w:rsidR="00082D7A">
        <w:t xml:space="preserve"> from 7.3 percentage points in </w:t>
      </w:r>
      <w:r w:rsidR="00483E8E">
        <w:t xml:space="preserve">March </w:t>
      </w:r>
      <w:r w:rsidR="006020C2">
        <w:t>quarter</w:t>
      </w:r>
      <w:r w:rsidR="00483E8E">
        <w:t xml:space="preserve"> 2025. </w:t>
      </w:r>
    </w:p>
    <w:p w14:paraId="4D9064C2" w14:textId="77777777" w:rsidR="003074E9" w:rsidRDefault="003074E9">
      <w:pPr>
        <w:spacing w:before="0" w:after="200" w:line="276" w:lineRule="auto"/>
        <w:rPr>
          <w:rFonts w:eastAsia="Times New Roman" w:cs="Arial"/>
          <w:b/>
          <w:bCs/>
          <w:color w:val="4B0985"/>
          <w:sz w:val="48"/>
          <w:szCs w:val="32"/>
          <w:lang w:eastAsia="en-AU"/>
        </w:rPr>
      </w:pPr>
      <w:r>
        <w:br w:type="page"/>
      </w:r>
    </w:p>
    <w:p w14:paraId="0F2A189C" w14:textId="26875524" w:rsidR="0095455F" w:rsidRPr="0095455F" w:rsidRDefault="0095455F" w:rsidP="0095455F">
      <w:pPr>
        <w:pStyle w:val="Heading1"/>
        <w:rPr>
          <w:rStyle w:val="Emphasis"/>
          <w:i w:val="0"/>
          <w:iCs w:val="0"/>
          <w:sz w:val="48"/>
        </w:rPr>
      </w:pPr>
      <w:bookmarkStart w:id="19" w:name="_Toc207977954"/>
      <w:r w:rsidRPr="0095455F">
        <w:lastRenderedPageBreak/>
        <w:t>Results by</w:t>
      </w:r>
      <w:r w:rsidRPr="0095455F">
        <w:rPr>
          <w:rStyle w:val="Emphasis"/>
          <w:i w:val="0"/>
          <w:iCs w:val="0"/>
          <w:sz w:val="48"/>
        </w:rPr>
        <w:t xml:space="preserve"> Skill Level</w:t>
      </w:r>
      <w:bookmarkEnd w:id="18"/>
      <w:bookmarkEnd w:id="19"/>
    </w:p>
    <w:p w14:paraId="1E413C96" w14:textId="0BF36577" w:rsidR="0036571F" w:rsidRDefault="00604B9E" w:rsidP="00D1186C">
      <w:pPr>
        <w:pStyle w:val="BodyText"/>
      </w:pPr>
      <w:r>
        <w:t xml:space="preserve">The fill rate improved </w:t>
      </w:r>
      <w:r w:rsidR="008A5B1B">
        <w:t xml:space="preserve">for </w:t>
      </w:r>
      <w:r w:rsidR="004C26C7">
        <w:t>S</w:t>
      </w:r>
      <w:r w:rsidR="008A5B1B">
        <w:t xml:space="preserve">kill </w:t>
      </w:r>
      <w:r w:rsidR="004C26C7">
        <w:t>L</w:t>
      </w:r>
      <w:r w:rsidR="008A5B1B">
        <w:t>evel</w:t>
      </w:r>
      <w:r w:rsidR="00B73752">
        <w:t>s</w:t>
      </w:r>
      <w:r w:rsidR="008A5B1B">
        <w:t xml:space="preserve"> 1</w:t>
      </w:r>
      <w:r w:rsidR="00B73752">
        <w:t xml:space="preserve"> and</w:t>
      </w:r>
      <w:r w:rsidR="008A5B1B">
        <w:t xml:space="preserve"> 2 </w:t>
      </w:r>
      <w:r w:rsidR="00595F9C">
        <w:t>occupation</w:t>
      </w:r>
      <w:r w:rsidR="0080580B">
        <w:t>s</w:t>
      </w:r>
      <w:r w:rsidR="00595F9C">
        <w:t xml:space="preserve"> </w:t>
      </w:r>
      <w:r w:rsidR="00B73752">
        <w:t>during</w:t>
      </w:r>
      <w:r w:rsidR="0095455F" w:rsidRPr="00342F89">
        <w:t xml:space="preserve"> </w:t>
      </w:r>
      <w:r w:rsidR="0095455F">
        <w:t>June</w:t>
      </w:r>
      <w:r w:rsidR="0095455F" w:rsidRPr="00342F89">
        <w:t xml:space="preserve"> quarter 2025 and over the previous 12 months</w:t>
      </w:r>
      <w:r w:rsidR="00A26DBB">
        <w:t>. For Skill Level</w:t>
      </w:r>
      <w:r w:rsidR="00FF71E5">
        <w:t xml:space="preserve"> 4</w:t>
      </w:r>
      <w:r w:rsidR="0095455F" w:rsidRPr="00342F89">
        <w:t xml:space="preserve">, </w:t>
      </w:r>
      <w:r w:rsidR="000A4FFC">
        <w:t>the fill rate</w:t>
      </w:r>
      <w:r w:rsidR="0095455F" w:rsidRPr="00342F89">
        <w:t xml:space="preserve"> </w:t>
      </w:r>
      <w:r w:rsidR="00FF71E5">
        <w:t xml:space="preserve">remained relatively unchanged </w:t>
      </w:r>
      <w:r w:rsidR="0036571F">
        <w:t xml:space="preserve">over both periods. </w:t>
      </w:r>
      <w:r w:rsidR="00222815">
        <w:t>For th</w:t>
      </w:r>
      <w:r w:rsidR="00BC4FE9">
        <w:t xml:space="preserve">ese </w:t>
      </w:r>
      <w:r w:rsidR="003D3CF6">
        <w:t>3</w:t>
      </w:r>
      <w:r w:rsidR="00BC4FE9">
        <w:t xml:space="preserve"> skill level groups, the fill rate was high</w:t>
      </w:r>
      <w:r w:rsidR="00B44E27">
        <w:t xml:space="preserve"> at above 72%</w:t>
      </w:r>
      <w:r w:rsidR="001E104A">
        <w:t xml:space="preserve">. </w:t>
      </w:r>
    </w:p>
    <w:p w14:paraId="6724AD87" w14:textId="345A6940" w:rsidR="001E3C3B" w:rsidRDefault="0095455F" w:rsidP="00CD5535">
      <w:pPr>
        <w:pStyle w:val="BodyText"/>
      </w:pPr>
      <w:r>
        <w:t>The fill rate for Skill Level 3 occupation</w:t>
      </w:r>
      <w:r w:rsidR="00280936">
        <w:t>s</w:t>
      </w:r>
      <w:r>
        <w:t xml:space="preserve"> (55.1%) </w:t>
      </w:r>
      <w:r w:rsidR="006D1D92">
        <w:t xml:space="preserve">remained </w:t>
      </w:r>
      <w:r w:rsidR="00B43E21">
        <w:t xml:space="preserve">stable </w:t>
      </w:r>
      <w:r w:rsidR="00D153BC">
        <w:t xml:space="preserve">during the quarter but </w:t>
      </w:r>
      <w:r w:rsidR="00EF1E29">
        <w:t>has improv</w:t>
      </w:r>
      <w:r w:rsidR="005C61C1">
        <w:t>ed</w:t>
      </w:r>
      <w:r w:rsidR="00EF1E29">
        <w:t xml:space="preserve"> consistently over</w:t>
      </w:r>
      <w:r w:rsidR="005C61C1">
        <w:t xml:space="preserve"> </w:t>
      </w:r>
      <w:r w:rsidR="00EF1E29">
        <w:t>time</w:t>
      </w:r>
      <w:r w:rsidR="007E282D">
        <w:t xml:space="preserve"> including over the past 12 months</w:t>
      </w:r>
      <w:r w:rsidR="00EF1E29">
        <w:t xml:space="preserve">. </w:t>
      </w:r>
    </w:p>
    <w:p w14:paraId="76062C93" w14:textId="3CCEDDED" w:rsidR="00CD5535" w:rsidRPr="00155903" w:rsidRDefault="00CD5535" w:rsidP="001257EF">
      <w:pPr>
        <w:pStyle w:val="ListBullet"/>
      </w:pPr>
      <w:r>
        <w:t>Notably applicants per vacancy have nearly doubled for Skill Level 3 since June quarter 2023.</w:t>
      </w:r>
      <w:r w:rsidRPr="00CD5535">
        <w:t xml:space="preserve"> </w:t>
      </w:r>
    </w:p>
    <w:p w14:paraId="5CFED656" w14:textId="76CADB81" w:rsidR="0095455F" w:rsidRDefault="00EF1E29" w:rsidP="001257EF">
      <w:pPr>
        <w:pStyle w:val="ListBullet"/>
      </w:pPr>
      <w:r>
        <w:t xml:space="preserve">But the </w:t>
      </w:r>
      <w:r w:rsidR="00ED6300">
        <w:t>fill rate</w:t>
      </w:r>
      <w:r>
        <w:t xml:space="preserve"> </w:t>
      </w:r>
      <w:r w:rsidR="0095455F">
        <w:t xml:space="preserve">remains </w:t>
      </w:r>
      <w:r w:rsidR="00CC78C7">
        <w:t xml:space="preserve">distinctly </w:t>
      </w:r>
      <w:r w:rsidR="0095455F" w:rsidRPr="00282659">
        <w:t xml:space="preserve">lower than other </w:t>
      </w:r>
      <w:r w:rsidR="0095455F">
        <w:t>s</w:t>
      </w:r>
      <w:r w:rsidR="0095455F" w:rsidRPr="00282659">
        <w:t xml:space="preserve">kill </w:t>
      </w:r>
      <w:r w:rsidR="0095455F">
        <w:t>l</w:t>
      </w:r>
      <w:r w:rsidR="0095455F" w:rsidRPr="00282659">
        <w:t>evel occupation</w:t>
      </w:r>
      <w:r w:rsidR="00463BF8">
        <w:t>s</w:t>
      </w:r>
      <w:r w:rsidR="0095455F">
        <w:t xml:space="preserve">. </w:t>
      </w:r>
    </w:p>
    <w:p w14:paraId="1A5D25D8" w14:textId="737A3E47" w:rsidR="0095455F" w:rsidRDefault="0095455F" w:rsidP="0095455F">
      <w:pPr>
        <w:pStyle w:val="Caption"/>
      </w:pPr>
      <w:bookmarkStart w:id="20" w:name="_Ref181719035"/>
      <w:bookmarkStart w:id="21" w:name="_Hlk187937432"/>
      <w:r>
        <w:t xml:space="preserve">Figure </w:t>
      </w:r>
      <w:r w:rsidRPr="0095455F">
        <w:fldChar w:fldCharType="begin"/>
      </w:r>
      <w:r>
        <w:instrText xml:space="preserve"> SEQ Figure \* ARABIC </w:instrText>
      </w:r>
      <w:r w:rsidRPr="0095455F">
        <w:fldChar w:fldCharType="separate"/>
      </w:r>
      <w:r w:rsidR="00F96253">
        <w:rPr>
          <w:noProof/>
        </w:rPr>
        <w:t>4</w:t>
      </w:r>
      <w:r w:rsidRPr="0095455F">
        <w:fldChar w:fldCharType="end"/>
      </w:r>
      <w:bookmarkEnd w:id="20"/>
      <w:r w:rsidRPr="00C66266">
        <w:t>: Fill rate (%), total applicants, qualified and suitable applicants per vacancy (no.), by Skill Level</w:t>
      </w:r>
      <w:r w:rsidR="00263CE4">
        <w:t>, June quarter 2025</w:t>
      </w:r>
    </w:p>
    <w:p w14:paraId="6968AF24" w14:textId="62F83E2D" w:rsidR="009C2266" w:rsidRDefault="00626FC6" w:rsidP="0095455F">
      <w:pPr>
        <w:pStyle w:val="Source"/>
      </w:pPr>
      <w:r>
        <w:rPr>
          <w:noProof/>
        </w:rPr>
        <w:drawing>
          <wp:inline distT="0" distB="0" distL="0" distR="0" wp14:anchorId="507ED7FA" wp14:editId="16128CB2">
            <wp:extent cx="5732145" cy="2952000"/>
            <wp:effectExtent l="0" t="0" r="1905" b="1270"/>
            <wp:docPr id="1754960381" name="Chart 1" descr="Figure 5 shows the June quaterr 2025  fill rate and total, qualified and suitable applicants per vacancy, by ANZSCO skill levels 1-4 . The fill rate for skill Level 3 occupations remain low at 55.1%.">
              <a:extLst xmlns:a="http://schemas.openxmlformats.org/drawingml/2006/main">
                <a:ext uri="{FF2B5EF4-FFF2-40B4-BE49-F238E27FC236}">
                  <a16:creationId xmlns:a16="http://schemas.microsoft.com/office/drawing/2014/main" id="{AE29DD8C-4675-4F3C-AA6D-CCFA2771F871}"/>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52E39">
        <w:br/>
      </w:r>
      <w:r w:rsidR="0095455F" w:rsidRPr="00F1504D">
        <w:t>Source: Jobs and Skills Australia, S</w:t>
      </w:r>
      <w:r w:rsidR="0095455F">
        <w:t>ERA</w:t>
      </w:r>
      <w:r w:rsidR="0095455F" w:rsidRPr="00F1504D">
        <w:t>.</w:t>
      </w:r>
    </w:p>
    <w:p w14:paraId="08FDF5F7" w14:textId="77777777" w:rsidR="00172459" w:rsidRDefault="00172459">
      <w:pPr>
        <w:spacing w:before="0" w:after="200" w:line="276" w:lineRule="auto"/>
        <w:rPr>
          <w:rFonts w:eastAsia="Times New Roman" w:cs="Arial"/>
          <w:b/>
          <w:bCs/>
          <w:color w:val="4B0985"/>
          <w:sz w:val="48"/>
          <w:szCs w:val="32"/>
          <w:lang w:eastAsia="en-AU"/>
        </w:rPr>
      </w:pPr>
      <w:r>
        <w:br w:type="page"/>
      </w:r>
    </w:p>
    <w:p w14:paraId="3BDC3ECA" w14:textId="77777777" w:rsidR="00E61193" w:rsidRDefault="00E61193" w:rsidP="00E61193">
      <w:pPr>
        <w:pStyle w:val="Heading1"/>
      </w:pPr>
      <w:bookmarkStart w:id="22" w:name="_Toc207977955"/>
      <w:r w:rsidRPr="000A1EE7">
        <w:lastRenderedPageBreak/>
        <w:t>Results by major group</w:t>
      </w:r>
      <w:bookmarkEnd w:id="22"/>
    </w:p>
    <w:p w14:paraId="181C639E" w14:textId="408871E8" w:rsidR="00546C21" w:rsidRPr="00546C21" w:rsidRDefault="00546C21" w:rsidP="00546C21">
      <w:pPr>
        <w:pStyle w:val="Caption"/>
        <w:rPr>
          <w:rStyle w:val="Charactersuperscript"/>
        </w:rPr>
      </w:pPr>
      <w:bookmarkStart w:id="23" w:name="_Ref181719091"/>
      <w:r>
        <w:t xml:space="preserve">Table </w:t>
      </w:r>
      <w:r w:rsidRPr="00546C21">
        <w:fldChar w:fldCharType="begin"/>
      </w:r>
      <w:r>
        <w:instrText xml:space="preserve"> SEQ Table \* ARABIC </w:instrText>
      </w:r>
      <w:r w:rsidRPr="00546C21">
        <w:fldChar w:fldCharType="separate"/>
      </w:r>
      <w:r w:rsidR="00F96253">
        <w:rPr>
          <w:noProof/>
        </w:rPr>
        <w:t>4</w:t>
      </w:r>
      <w:r w:rsidRPr="00546C21">
        <w:fldChar w:fldCharType="end"/>
      </w:r>
      <w:bookmarkEnd w:id="23"/>
      <w:r w:rsidRPr="00C7649E">
        <w:t xml:space="preserve">: ANZSCO </w:t>
      </w:r>
      <w:r w:rsidR="00E67E06">
        <w:t>m</w:t>
      </w:r>
      <w:r w:rsidRPr="00C7649E">
        <w:t>ajor group snapshot</w:t>
      </w:r>
      <w:r w:rsidRPr="00546C21">
        <w:rPr>
          <w:rStyle w:val="Charactersuperscript"/>
        </w:rPr>
        <w:footnoteReference w:id="4"/>
      </w:r>
    </w:p>
    <w:tbl>
      <w:tblPr>
        <w:tblStyle w:val="CustomTablebasic"/>
        <w:tblW w:w="5091" w:type="pct"/>
        <w:tblLook w:val="04A0" w:firstRow="1" w:lastRow="0" w:firstColumn="1" w:lastColumn="0" w:noHBand="0" w:noVBand="1"/>
      </w:tblPr>
      <w:tblGrid>
        <w:gridCol w:w="1473"/>
        <w:gridCol w:w="3572"/>
        <w:gridCol w:w="1382"/>
        <w:gridCol w:w="1382"/>
        <w:gridCol w:w="1382"/>
      </w:tblGrid>
      <w:tr w:rsidR="00EE3D1C" w14:paraId="1CFA3C0A" w14:textId="77777777" w:rsidTr="00B71A03">
        <w:trPr>
          <w:cnfStyle w:val="100000000000" w:firstRow="1" w:lastRow="0" w:firstColumn="0" w:lastColumn="0" w:oddVBand="0" w:evenVBand="0" w:oddHBand="0" w:evenHBand="0" w:firstRowFirstColumn="0" w:firstRowLastColumn="0" w:lastRowFirstColumn="0" w:lastRowLastColumn="0"/>
        </w:trPr>
        <w:tc>
          <w:tcPr>
            <w:tcW w:w="801" w:type="pct"/>
          </w:tcPr>
          <w:p w14:paraId="4B0CDAE0" w14:textId="1E82158D" w:rsidR="00E61193" w:rsidRPr="00E61193" w:rsidRDefault="00E61193" w:rsidP="00546C21">
            <w:pPr>
              <w:pStyle w:val="TableHeading1"/>
            </w:pPr>
            <w:r w:rsidRPr="00E61193">
              <w:t xml:space="preserve">Major group  </w:t>
            </w:r>
          </w:p>
        </w:tc>
        <w:tc>
          <w:tcPr>
            <w:tcW w:w="1943" w:type="pct"/>
          </w:tcPr>
          <w:p w14:paraId="4735A29C" w14:textId="7F818C8C" w:rsidR="00E61193" w:rsidRPr="00E61193" w:rsidRDefault="00E61193" w:rsidP="00546C21">
            <w:pPr>
              <w:pStyle w:val="TableHeading1"/>
            </w:pPr>
            <w:r w:rsidRPr="00E61193">
              <w:t xml:space="preserve"> </w:t>
            </w:r>
          </w:p>
        </w:tc>
        <w:tc>
          <w:tcPr>
            <w:tcW w:w="752" w:type="pct"/>
          </w:tcPr>
          <w:p w14:paraId="6FAC0F57" w14:textId="27F9DE42" w:rsidR="00E61193" w:rsidRPr="00E61193" w:rsidRDefault="00E61193" w:rsidP="00546C21">
            <w:pPr>
              <w:pStyle w:val="TableHeading1"/>
            </w:pPr>
            <w:r w:rsidRPr="00E61193">
              <w:t>June quarter 2025</w:t>
            </w:r>
          </w:p>
        </w:tc>
        <w:tc>
          <w:tcPr>
            <w:tcW w:w="752" w:type="pct"/>
          </w:tcPr>
          <w:p w14:paraId="36D56030" w14:textId="37D04625" w:rsidR="00E61193" w:rsidRPr="00E61193" w:rsidRDefault="00E61193" w:rsidP="00546C21">
            <w:pPr>
              <w:pStyle w:val="TableHeading1"/>
            </w:pPr>
            <w:r w:rsidRPr="00E61193">
              <w:t xml:space="preserve">Change over the quarter </w:t>
            </w:r>
          </w:p>
        </w:tc>
        <w:tc>
          <w:tcPr>
            <w:tcW w:w="752" w:type="pct"/>
          </w:tcPr>
          <w:p w14:paraId="32D7D459" w14:textId="4C1FCDCF" w:rsidR="00E61193" w:rsidRPr="00E61193" w:rsidRDefault="00E61193" w:rsidP="00546C21">
            <w:pPr>
              <w:pStyle w:val="TableHeading1"/>
            </w:pPr>
            <w:r w:rsidRPr="00E61193">
              <w:t xml:space="preserve">Change over 12 months </w:t>
            </w:r>
          </w:p>
        </w:tc>
      </w:tr>
      <w:tr w:rsidR="00335959" w14:paraId="0478A15E" w14:textId="77777777" w:rsidTr="00B71A03">
        <w:tc>
          <w:tcPr>
            <w:tcW w:w="801" w:type="pct"/>
            <w:vMerge w:val="restart"/>
            <w:tcBorders>
              <w:bottom w:val="single" w:sz="4" w:space="0" w:color="auto"/>
            </w:tcBorders>
            <w:shd w:val="clear" w:color="auto" w:fill="FFFFFF" w:themeFill="background1"/>
          </w:tcPr>
          <w:p w14:paraId="5BFDF5F1" w14:textId="7B276C44" w:rsidR="00335959" w:rsidRPr="00E61193" w:rsidRDefault="00335959" w:rsidP="00546C21">
            <w:pPr>
              <w:pStyle w:val="TableBodyText"/>
            </w:pPr>
            <w:r w:rsidRPr="00E61193">
              <w:t xml:space="preserve">Managers </w:t>
            </w:r>
          </w:p>
        </w:tc>
        <w:tc>
          <w:tcPr>
            <w:tcW w:w="1943" w:type="pct"/>
          </w:tcPr>
          <w:p w14:paraId="38D0F4F2" w14:textId="32716663" w:rsidR="00335959" w:rsidRPr="00E61193" w:rsidRDefault="00335959" w:rsidP="00546C21">
            <w:pPr>
              <w:pStyle w:val="TableBodyText"/>
            </w:pPr>
            <w:r w:rsidRPr="00E61193">
              <w:t xml:space="preserve">Vacancy fill rate (%) </w:t>
            </w:r>
          </w:p>
        </w:tc>
        <w:tc>
          <w:tcPr>
            <w:tcW w:w="752" w:type="pct"/>
          </w:tcPr>
          <w:p w14:paraId="4351ABF3" w14:textId="4371BD34" w:rsidR="00335959" w:rsidRPr="00E61193" w:rsidRDefault="00335959" w:rsidP="00546C21">
            <w:pPr>
              <w:pStyle w:val="TableBodyTextright"/>
            </w:pPr>
            <w:r w:rsidRPr="00E61193">
              <w:t>78.5%</w:t>
            </w:r>
          </w:p>
        </w:tc>
        <w:tc>
          <w:tcPr>
            <w:tcW w:w="752" w:type="pct"/>
          </w:tcPr>
          <w:p w14:paraId="2F3E606C" w14:textId="66D7BD27" w:rsidR="00335959" w:rsidRPr="00E61193" w:rsidRDefault="004F000C" w:rsidP="00546C21">
            <w:pPr>
              <w:pStyle w:val="TableBodyTextright"/>
            </w:pPr>
            <w:r>
              <w:t>▼</w:t>
            </w:r>
            <w:r w:rsidR="00335959" w:rsidRPr="00E61193">
              <w:t>1.7% pts</w:t>
            </w:r>
          </w:p>
        </w:tc>
        <w:tc>
          <w:tcPr>
            <w:tcW w:w="752" w:type="pct"/>
          </w:tcPr>
          <w:p w14:paraId="0705CC3B" w14:textId="413B815F" w:rsidR="00335959" w:rsidRPr="00E61193" w:rsidRDefault="004F000C" w:rsidP="00546C21">
            <w:pPr>
              <w:pStyle w:val="TableBodyTextright"/>
            </w:pPr>
            <w:r>
              <w:t>▼</w:t>
            </w:r>
            <w:r w:rsidR="00335959" w:rsidRPr="00E61193">
              <w:t>3.4% pts</w:t>
            </w:r>
          </w:p>
        </w:tc>
      </w:tr>
      <w:tr w:rsidR="004C743E" w14:paraId="72461991"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22D353E3" w14:textId="77777777" w:rsidR="00335959" w:rsidRPr="00E61193" w:rsidRDefault="00335959" w:rsidP="00546C21">
            <w:pPr>
              <w:pStyle w:val="TableBodyText"/>
            </w:pPr>
          </w:p>
        </w:tc>
        <w:tc>
          <w:tcPr>
            <w:tcW w:w="1943" w:type="pct"/>
          </w:tcPr>
          <w:p w14:paraId="204602E9" w14:textId="02165F15" w:rsidR="00335959" w:rsidRPr="00E61193" w:rsidRDefault="00335959" w:rsidP="00546C21">
            <w:pPr>
              <w:pStyle w:val="TableBodyText"/>
            </w:pPr>
            <w:r w:rsidRPr="00E61193">
              <w:t xml:space="preserve">Applicants per vacancy (no.) </w:t>
            </w:r>
          </w:p>
        </w:tc>
        <w:tc>
          <w:tcPr>
            <w:tcW w:w="752" w:type="pct"/>
          </w:tcPr>
          <w:p w14:paraId="38EA5726" w14:textId="2F4A4ADF" w:rsidR="00335959" w:rsidRPr="00E61193" w:rsidRDefault="00335959" w:rsidP="00546C21">
            <w:pPr>
              <w:pStyle w:val="TableBodyTextright"/>
            </w:pPr>
            <w:r w:rsidRPr="00E61193">
              <w:t>36.4</w:t>
            </w:r>
          </w:p>
        </w:tc>
        <w:tc>
          <w:tcPr>
            <w:tcW w:w="752" w:type="pct"/>
          </w:tcPr>
          <w:p w14:paraId="111E109E" w14:textId="5E2A955E" w:rsidR="00335959" w:rsidRPr="00E61193" w:rsidRDefault="004F000C" w:rsidP="00546C21">
            <w:pPr>
              <w:pStyle w:val="TableBodyTextright"/>
            </w:pPr>
            <w:r>
              <w:t>▼</w:t>
            </w:r>
            <w:r w:rsidR="00335959" w:rsidRPr="00E61193">
              <w:t>2.0</w:t>
            </w:r>
          </w:p>
        </w:tc>
        <w:tc>
          <w:tcPr>
            <w:tcW w:w="752" w:type="pct"/>
          </w:tcPr>
          <w:p w14:paraId="49703FA3" w14:textId="7DD44C5B" w:rsidR="00335959" w:rsidRPr="00E61193" w:rsidRDefault="004F000C" w:rsidP="00546C21">
            <w:pPr>
              <w:pStyle w:val="TableBodyTextright"/>
            </w:pPr>
            <w:r>
              <w:t>▲</w:t>
            </w:r>
            <w:r w:rsidR="00335959" w:rsidRPr="00E61193">
              <w:t>3.8</w:t>
            </w:r>
          </w:p>
        </w:tc>
      </w:tr>
      <w:tr w:rsidR="00335959" w14:paraId="1F8B105F" w14:textId="77777777" w:rsidTr="00B71A03">
        <w:tc>
          <w:tcPr>
            <w:tcW w:w="801" w:type="pct"/>
            <w:vMerge/>
            <w:tcBorders>
              <w:bottom w:val="single" w:sz="4" w:space="0" w:color="auto"/>
            </w:tcBorders>
            <w:shd w:val="clear" w:color="auto" w:fill="FFFFFF" w:themeFill="background1"/>
          </w:tcPr>
          <w:p w14:paraId="064FC937" w14:textId="77777777" w:rsidR="00335959" w:rsidRPr="00E61193" w:rsidRDefault="00335959" w:rsidP="00546C21">
            <w:pPr>
              <w:pStyle w:val="TableBodyText"/>
            </w:pPr>
          </w:p>
        </w:tc>
        <w:tc>
          <w:tcPr>
            <w:tcW w:w="1943" w:type="pct"/>
          </w:tcPr>
          <w:p w14:paraId="3DE6E812" w14:textId="2074227C" w:rsidR="00335959" w:rsidRPr="00E61193" w:rsidRDefault="00335959" w:rsidP="00546C21">
            <w:pPr>
              <w:pStyle w:val="TableBodyText"/>
            </w:pPr>
            <w:r w:rsidRPr="00E61193">
              <w:t>Qualified applicants per vacancy (no.)</w:t>
            </w:r>
          </w:p>
        </w:tc>
        <w:tc>
          <w:tcPr>
            <w:tcW w:w="752" w:type="pct"/>
          </w:tcPr>
          <w:p w14:paraId="5E61D101" w14:textId="09E7DB4F" w:rsidR="00335959" w:rsidRPr="00E61193" w:rsidRDefault="00335959" w:rsidP="00546C21">
            <w:pPr>
              <w:pStyle w:val="TableBodyTextright"/>
            </w:pPr>
            <w:r w:rsidRPr="00E61193">
              <w:t>13.5</w:t>
            </w:r>
          </w:p>
        </w:tc>
        <w:tc>
          <w:tcPr>
            <w:tcW w:w="752" w:type="pct"/>
          </w:tcPr>
          <w:p w14:paraId="699C04BA" w14:textId="21A55767" w:rsidR="00335959" w:rsidRPr="00E61193" w:rsidRDefault="004F000C" w:rsidP="00546C21">
            <w:pPr>
              <w:pStyle w:val="TableBodyTextright"/>
            </w:pPr>
            <w:r>
              <w:t>▲</w:t>
            </w:r>
            <w:r w:rsidR="00335959" w:rsidRPr="00E61193">
              <w:t>0.2</w:t>
            </w:r>
          </w:p>
        </w:tc>
        <w:tc>
          <w:tcPr>
            <w:tcW w:w="752" w:type="pct"/>
          </w:tcPr>
          <w:p w14:paraId="216E4CF5" w14:textId="089953AF" w:rsidR="00335959" w:rsidRPr="00E61193" w:rsidRDefault="004F000C" w:rsidP="00546C21">
            <w:pPr>
              <w:pStyle w:val="TableBodyTextright"/>
            </w:pPr>
            <w:r>
              <w:t>▲</w:t>
            </w:r>
            <w:r w:rsidR="00335959" w:rsidRPr="00E61193">
              <w:t>2.9</w:t>
            </w:r>
          </w:p>
        </w:tc>
      </w:tr>
      <w:tr w:rsidR="004C743E" w14:paraId="0E44AEA6"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34FFDD49"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56D90C04" w14:textId="706D05CE"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5FAECEC4" w14:textId="6A547365" w:rsidR="00335959" w:rsidRPr="00E61193" w:rsidRDefault="00335959" w:rsidP="00546C21">
            <w:pPr>
              <w:pStyle w:val="TableBodyTextright"/>
            </w:pPr>
            <w:r w:rsidRPr="00E61193">
              <w:t>5.7</w:t>
            </w:r>
          </w:p>
        </w:tc>
        <w:tc>
          <w:tcPr>
            <w:tcW w:w="752" w:type="pct"/>
            <w:tcBorders>
              <w:bottom w:val="single" w:sz="4" w:space="0" w:color="D9D9D9" w:themeColor="background1" w:themeShade="D9"/>
            </w:tcBorders>
          </w:tcPr>
          <w:p w14:paraId="503F22D3" w14:textId="1E776EFE" w:rsidR="00335959" w:rsidRPr="00E61193" w:rsidRDefault="004F000C" w:rsidP="00546C21">
            <w:pPr>
              <w:pStyle w:val="TableBodyTextright"/>
            </w:pPr>
            <w:r>
              <w:t>▲</w:t>
            </w:r>
            <w:r w:rsidR="00335959" w:rsidRPr="00E61193">
              <w:t>0.5</w:t>
            </w:r>
          </w:p>
        </w:tc>
        <w:tc>
          <w:tcPr>
            <w:tcW w:w="752" w:type="pct"/>
            <w:tcBorders>
              <w:bottom w:val="single" w:sz="4" w:space="0" w:color="D9D9D9" w:themeColor="background1" w:themeShade="D9"/>
            </w:tcBorders>
          </w:tcPr>
          <w:p w14:paraId="2127C887" w14:textId="3239AD63" w:rsidR="00335959" w:rsidRPr="00E61193" w:rsidRDefault="004F000C" w:rsidP="00546C21">
            <w:pPr>
              <w:pStyle w:val="TableBodyTextright"/>
            </w:pPr>
            <w:r>
              <w:t>▲</w:t>
            </w:r>
            <w:r w:rsidR="00335959" w:rsidRPr="00E61193">
              <w:t>1.8</w:t>
            </w:r>
          </w:p>
        </w:tc>
      </w:tr>
      <w:tr w:rsidR="00335959" w14:paraId="76062B77" w14:textId="77777777" w:rsidTr="00B71A03">
        <w:tc>
          <w:tcPr>
            <w:tcW w:w="801" w:type="pct"/>
            <w:vMerge w:val="restart"/>
            <w:tcBorders>
              <w:top w:val="single" w:sz="4" w:space="0" w:color="D9D9D9" w:themeColor="background1" w:themeShade="D9"/>
            </w:tcBorders>
            <w:shd w:val="clear" w:color="auto" w:fill="FFFFFF" w:themeFill="background1"/>
          </w:tcPr>
          <w:p w14:paraId="2FDBE9ED" w14:textId="26735AEA" w:rsidR="00335959" w:rsidRPr="00E61193" w:rsidRDefault="00335959" w:rsidP="00546C21">
            <w:pPr>
              <w:pStyle w:val="TableBodyText"/>
            </w:pPr>
            <w:r w:rsidRPr="00E61193">
              <w:t xml:space="preserve">Professionals </w:t>
            </w:r>
          </w:p>
        </w:tc>
        <w:tc>
          <w:tcPr>
            <w:tcW w:w="1943" w:type="pct"/>
            <w:tcBorders>
              <w:top w:val="single" w:sz="4" w:space="0" w:color="D9D9D9" w:themeColor="background1" w:themeShade="D9"/>
            </w:tcBorders>
          </w:tcPr>
          <w:p w14:paraId="22A9F3E1" w14:textId="32739B80" w:rsidR="00335959" w:rsidRPr="00E61193" w:rsidRDefault="00335959" w:rsidP="00546C21">
            <w:pPr>
              <w:pStyle w:val="TableBodyText"/>
            </w:pPr>
            <w:r w:rsidRPr="00E61193">
              <w:t xml:space="preserve">Vacancy fill rate (%) </w:t>
            </w:r>
          </w:p>
        </w:tc>
        <w:tc>
          <w:tcPr>
            <w:tcW w:w="752" w:type="pct"/>
            <w:tcBorders>
              <w:top w:val="single" w:sz="4" w:space="0" w:color="D9D9D9" w:themeColor="background1" w:themeShade="D9"/>
            </w:tcBorders>
          </w:tcPr>
          <w:p w14:paraId="6CFDBCDA" w14:textId="182144D6" w:rsidR="00335959" w:rsidRPr="00E61193" w:rsidRDefault="00335959" w:rsidP="00546C21">
            <w:pPr>
              <w:pStyle w:val="TableBodyTextright"/>
            </w:pPr>
            <w:r w:rsidRPr="00E61193">
              <w:t>71.3%</w:t>
            </w:r>
          </w:p>
        </w:tc>
        <w:tc>
          <w:tcPr>
            <w:tcW w:w="752" w:type="pct"/>
            <w:tcBorders>
              <w:top w:val="single" w:sz="4" w:space="0" w:color="D9D9D9" w:themeColor="background1" w:themeShade="D9"/>
            </w:tcBorders>
          </w:tcPr>
          <w:p w14:paraId="5D42E749" w14:textId="22A70D04" w:rsidR="00335959" w:rsidRPr="00E61193" w:rsidRDefault="004F000C" w:rsidP="00546C21">
            <w:pPr>
              <w:pStyle w:val="TableBodyTextright"/>
            </w:pPr>
            <w:r>
              <w:t>▲</w:t>
            </w:r>
            <w:r w:rsidR="00335959" w:rsidRPr="00E61193">
              <w:t>0.8% pts</w:t>
            </w:r>
          </w:p>
        </w:tc>
        <w:tc>
          <w:tcPr>
            <w:tcW w:w="752" w:type="pct"/>
            <w:tcBorders>
              <w:top w:val="single" w:sz="4" w:space="0" w:color="D9D9D9" w:themeColor="background1" w:themeShade="D9"/>
            </w:tcBorders>
          </w:tcPr>
          <w:p w14:paraId="6AAFD188" w14:textId="2884A54D" w:rsidR="00335959" w:rsidRPr="00E61193" w:rsidRDefault="004F000C" w:rsidP="00546C21">
            <w:pPr>
              <w:pStyle w:val="TableBodyTextright"/>
            </w:pPr>
            <w:r>
              <w:t>▲</w:t>
            </w:r>
            <w:r w:rsidR="00335959" w:rsidRPr="00E61193">
              <w:t>6.5% pts</w:t>
            </w:r>
          </w:p>
        </w:tc>
      </w:tr>
      <w:tr w:rsidR="009F0F0E" w14:paraId="02F8446A"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65BE64FF" w14:textId="77777777" w:rsidR="00335959" w:rsidRPr="00E61193" w:rsidRDefault="00335959" w:rsidP="00546C21">
            <w:pPr>
              <w:pStyle w:val="TableBodyText"/>
            </w:pPr>
          </w:p>
        </w:tc>
        <w:tc>
          <w:tcPr>
            <w:tcW w:w="1943" w:type="pct"/>
          </w:tcPr>
          <w:p w14:paraId="543572B6" w14:textId="3D238637" w:rsidR="00335959" w:rsidRPr="00E61193" w:rsidRDefault="00335959" w:rsidP="00546C21">
            <w:pPr>
              <w:pStyle w:val="TableBodyText"/>
            </w:pPr>
            <w:r w:rsidRPr="00E61193">
              <w:t xml:space="preserve">Applicants per vacancy (no.) </w:t>
            </w:r>
          </w:p>
        </w:tc>
        <w:tc>
          <w:tcPr>
            <w:tcW w:w="752" w:type="pct"/>
          </w:tcPr>
          <w:p w14:paraId="217E956C" w14:textId="16E0D196" w:rsidR="00335959" w:rsidRPr="00E61193" w:rsidRDefault="00335959" w:rsidP="00546C21">
            <w:pPr>
              <w:pStyle w:val="TableBodyTextright"/>
            </w:pPr>
            <w:r w:rsidRPr="00E61193">
              <w:t>25.2</w:t>
            </w:r>
          </w:p>
        </w:tc>
        <w:tc>
          <w:tcPr>
            <w:tcW w:w="752" w:type="pct"/>
          </w:tcPr>
          <w:p w14:paraId="103719E4" w14:textId="6A268771" w:rsidR="00335959" w:rsidRPr="00E61193" w:rsidRDefault="004F000C" w:rsidP="00546C21">
            <w:pPr>
              <w:pStyle w:val="TableBodyTextright"/>
            </w:pPr>
            <w:r>
              <w:t>▼</w:t>
            </w:r>
            <w:r w:rsidR="00335959" w:rsidRPr="00E61193">
              <w:t>3.6</w:t>
            </w:r>
          </w:p>
        </w:tc>
        <w:tc>
          <w:tcPr>
            <w:tcW w:w="752" w:type="pct"/>
          </w:tcPr>
          <w:p w14:paraId="2CE90883" w14:textId="647059EE" w:rsidR="00335959" w:rsidRPr="00E61193" w:rsidRDefault="004F000C" w:rsidP="00546C21">
            <w:pPr>
              <w:pStyle w:val="TableBodyTextright"/>
            </w:pPr>
            <w:r>
              <w:t>▲</w:t>
            </w:r>
            <w:r w:rsidR="00335959" w:rsidRPr="00E61193">
              <w:t>0.2</w:t>
            </w:r>
          </w:p>
        </w:tc>
      </w:tr>
      <w:tr w:rsidR="00335959" w14:paraId="2F905E40" w14:textId="77777777" w:rsidTr="00B71A03">
        <w:tc>
          <w:tcPr>
            <w:tcW w:w="801" w:type="pct"/>
            <w:vMerge/>
            <w:shd w:val="clear" w:color="auto" w:fill="FFFFFF" w:themeFill="background1"/>
          </w:tcPr>
          <w:p w14:paraId="09653A2D" w14:textId="77777777" w:rsidR="00335959" w:rsidRPr="00E61193" w:rsidRDefault="00335959" w:rsidP="00546C21">
            <w:pPr>
              <w:pStyle w:val="TableBodyText"/>
            </w:pPr>
          </w:p>
        </w:tc>
        <w:tc>
          <w:tcPr>
            <w:tcW w:w="1943" w:type="pct"/>
          </w:tcPr>
          <w:p w14:paraId="0B759583" w14:textId="24183B28" w:rsidR="00335959" w:rsidRPr="00E61193" w:rsidRDefault="00335959" w:rsidP="00546C21">
            <w:pPr>
              <w:pStyle w:val="TableBodyText"/>
            </w:pPr>
            <w:r w:rsidRPr="00E61193">
              <w:t>Qualified applicants per vacancy (no.)</w:t>
            </w:r>
          </w:p>
        </w:tc>
        <w:tc>
          <w:tcPr>
            <w:tcW w:w="752" w:type="pct"/>
          </w:tcPr>
          <w:p w14:paraId="38F57FCC" w14:textId="21516214" w:rsidR="00335959" w:rsidRPr="00E61193" w:rsidRDefault="00335959" w:rsidP="00546C21">
            <w:pPr>
              <w:pStyle w:val="TableBodyTextright"/>
            </w:pPr>
            <w:r w:rsidRPr="00E61193">
              <w:t>10.6</w:t>
            </w:r>
          </w:p>
        </w:tc>
        <w:tc>
          <w:tcPr>
            <w:tcW w:w="752" w:type="pct"/>
          </w:tcPr>
          <w:p w14:paraId="3D348F0D" w14:textId="6474AE0E" w:rsidR="00335959" w:rsidRPr="00E61193" w:rsidRDefault="004F000C" w:rsidP="00546C21">
            <w:pPr>
              <w:pStyle w:val="TableBodyTextright"/>
            </w:pPr>
            <w:r>
              <w:t>▼</w:t>
            </w:r>
            <w:r w:rsidR="00335959" w:rsidRPr="00E61193">
              <w:t>0.6</w:t>
            </w:r>
          </w:p>
        </w:tc>
        <w:tc>
          <w:tcPr>
            <w:tcW w:w="752" w:type="pct"/>
          </w:tcPr>
          <w:p w14:paraId="2460C5C8" w14:textId="0270E62A" w:rsidR="00335959" w:rsidRPr="00E61193" w:rsidRDefault="004F000C" w:rsidP="00546C21">
            <w:pPr>
              <w:pStyle w:val="TableBodyTextright"/>
            </w:pPr>
            <w:r>
              <w:t>▲</w:t>
            </w:r>
            <w:r w:rsidR="00335959" w:rsidRPr="00E61193">
              <w:t>1.1</w:t>
            </w:r>
          </w:p>
        </w:tc>
      </w:tr>
      <w:tr w:rsidR="004C743E" w14:paraId="5F1264D6"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07C99DC"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57277A3E" w14:textId="736912F3"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208976E4" w14:textId="1D4B4BC2" w:rsidR="00335959" w:rsidRPr="00E61193" w:rsidRDefault="00335959" w:rsidP="00546C21">
            <w:pPr>
              <w:pStyle w:val="TableBodyTextright"/>
            </w:pPr>
            <w:r w:rsidRPr="00E61193">
              <w:t>4.0</w:t>
            </w:r>
          </w:p>
        </w:tc>
        <w:tc>
          <w:tcPr>
            <w:tcW w:w="752" w:type="pct"/>
            <w:tcBorders>
              <w:bottom w:val="single" w:sz="4" w:space="0" w:color="D9D9D9" w:themeColor="background1" w:themeShade="D9"/>
            </w:tcBorders>
          </w:tcPr>
          <w:p w14:paraId="54A2BE8D" w14:textId="200AE76C" w:rsidR="00335959" w:rsidRPr="00E61193" w:rsidRDefault="004F000C" w:rsidP="00546C21">
            <w:pPr>
              <w:pStyle w:val="TableBodyTextright"/>
            </w:pPr>
            <w:r>
              <w:t>▲</w:t>
            </w:r>
            <w:r w:rsidR="00335959" w:rsidRPr="00E61193">
              <w:t>0.4</w:t>
            </w:r>
          </w:p>
        </w:tc>
        <w:tc>
          <w:tcPr>
            <w:tcW w:w="752" w:type="pct"/>
            <w:tcBorders>
              <w:bottom w:val="single" w:sz="4" w:space="0" w:color="D9D9D9" w:themeColor="background1" w:themeShade="D9"/>
            </w:tcBorders>
          </w:tcPr>
          <w:p w14:paraId="02750A22" w14:textId="50AABE7B" w:rsidR="00335959" w:rsidRPr="00E61193" w:rsidRDefault="004F000C" w:rsidP="00546C21">
            <w:pPr>
              <w:pStyle w:val="TableBodyTextright"/>
            </w:pPr>
            <w:r>
              <w:t>▲</w:t>
            </w:r>
            <w:r w:rsidR="00335959" w:rsidRPr="00E61193">
              <w:t>1.2</w:t>
            </w:r>
          </w:p>
        </w:tc>
      </w:tr>
      <w:tr w:rsidR="00335959" w14:paraId="4C588EFB" w14:textId="77777777" w:rsidTr="00B71A03">
        <w:tc>
          <w:tcPr>
            <w:tcW w:w="801" w:type="pct"/>
            <w:vMerge w:val="restart"/>
            <w:tcBorders>
              <w:top w:val="single" w:sz="4" w:space="0" w:color="D9D9D9" w:themeColor="background1" w:themeShade="D9"/>
            </w:tcBorders>
            <w:shd w:val="clear" w:color="auto" w:fill="FFFFFF" w:themeFill="background1"/>
          </w:tcPr>
          <w:p w14:paraId="5AED1981" w14:textId="45D06E7D" w:rsidR="00335959" w:rsidRPr="00E61193" w:rsidRDefault="00335959" w:rsidP="00546C21">
            <w:pPr>
              <w:pStyle w:val="TableBodyText"/>
            </w:pPr>
            <w:r w:rsidRPr="00E61193">
              <w:t xml:space="preserve">Technicians and Trades Workers </w:t>
            </w:r>
          </w:p>
        </w:tc>
        <w:tc>
          <w:tcPr>
            <w:tcW w:w="1943" w:type="pct"/>
            <w:tcBorders>
              <w:top w:val="single" w:sz="4" w:space="0" w:color="D9D9D9" w:themeColor="background1" w:themeShade="D9"/>
            </w:tcBorders>
          </w:tcPr>
          <w:p w14:paraId="54F845CD" w14:textId="682B7D63" w:rsidR="00335959" w:rsidRPr="00E61193" w:rsidRDefault="00335959" w:rsidP="00546C21">
            <w:pPr>
              <w:pStyle w:val="TableBodyText"/>
            </w:pPr>
            <w:r w:rsidRPr="00E61193">
              <w:t xml:space="preserve">Vacancy fill rate (%) </w:t>
            </w:r>
          </w:p>
        </w:tc>
        <w:tc>
          <w:tcPr>
            <w:tcW w:w="752" w:type="pct"/>
            <w:tcBorders>
              <w:top w:val="single" w:sz="4" w:space="0" w:color="D9D9D9" w:themeColor="background1" w:themeShade="D9"/>
            </w:tcBorders>
          </w:tcPr>
          <w:p w14:paraId="539A9E71" w14:textId="67761FD8" w:rsidR="00335959" w:rsidRPr="00E61193" w:rsidRDefault="00335959" w:rsidP="00546C21">
            <w:pPr>
              <w:pStyle w:val="TableBodyTextright"/>
            </w:pPr>
            <w:r w:rsidRPr="00E61193">
              <w:t>57.0%</w:t>
            </w:r>
          </w:p>
        </w:tc>
        <w:tc>
          <w:tcPr>
            <w:tcW w:w="752" w:type="pct"/>
            <w:tcBorders>
              <w:top w:val="single" w:sz="4" w:space="0" w:color="D9D9D9" w:themeColor="background1" w:themeShade="D9"/>
            </w:tcBorders>
          </w:tcPr>
          <w:p w14:paraId="6DBD2E23" w14:textId="41AB4F08" w:rsidR="00335959" w:rsidRPr="00E61193" w:rsidRDefault="004F000C" w:rsidP="00546C21">
            <w:pPr>
              <w:pStyle w:val="TableBodyTextright"/>
            </w:pPr>
            <w:r>
              <w:t>▲</w:t>
            </w:r>
            <w:r w:rsidR="00335959" w:rsidRPr="00E61193">
              <w:t>1.0% pts</w:t>
            </w:r>
          </w:p>
        </w:tc>
        <w:tc>
          <w:tcPr>
            <w:tcW w:w="752" w:type="pct"/>
            <w:tcBorders>
              <w:top w:val="single" w:sz="4" w:space="0" w:color="D9D9D9" w:themeColor="background1" w:themeShade="D9"/>
            </w:tcBorders>
          </w:tcPr>
          <w:p w14:paraId="0D9FF3CC" w14:textId="7E6FB919" w:rsidR="00335959" w:rsidRPr="00E61193" w:rsidRDefault="004F000C" w:rsidP="00546C21">
            <w:pPr>
              <w:pStyle w:val="TableBodyTextright"/>
            </w:pPr>
            <w:r>
              <w:t>▲</w:t>
            </w:r>
            <w:r w:rsidR="00335959" w:rsidRPr="00E61193">
              <w:t>5.2% pts</w:t>
            </w:r>
          </w:p>
        </w:tc>
      </w:tr>
      <w:tr w:rsidR="009F0F0E" w14:paraId="0A84F80B"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7C722406" w14:textId="77777777" w:rsidR="00335959" w:rsidRPr="00E61193" w:rsidRDefault="00335959" w:rsidP="00546C21">
            <w:pPr>
              <w:pStyle w:val="TableBodyText"/>
            </w:pPr>
          </w:p>
        </w:tc>
        <w:tc>
          <w:tcPr>
            <w:tcW w:w="1943" w:type="pct"/>
          </w:tcPr>
          <w:p w14:paraId="41DCE926" w14:textId="1A8D18F7" w:rsidR="00335959" w:rsidRPr="00E61193" w:rsidRDefault="00335959" w:rsidP="00546C21">
            <w:pPr>
              <w:pStyle w:val="TableBodyText"/>
            </w:pPr>
            <w:r w:rsidRPr="00E61193">
              <w:t>Applicants per vacancy (no.)</w:t>
            </w:r>
          </w:p>
        </w:tc>
        <w:tc>
          <w:tcPr>
            <w:tcW w:w="752" w:type="pct"/>
          </w:tcPr>
          <w:p w14:paraId="52E93118" w14:textId="5B888590" w:rsidR="00335959" w:rsidRPr="00E61193" w:rsidRDefault="00335959" w:rsidP="00546C21">
            <w:pPr>
              <w:pStyle w:val="TableBodyTextright"/>
            </w:pPr>
            <w:r w:rsidRPr="00E61193">
              <w:t>23.4</w:t>
            </w:r>
          </w:p>
        </w:tc>
        <w:tc>
          <w:tcPr>
            <w:tcW w:w="752" w:type="pct"/>
          </w:tcPr>
          <w:p w14:paraId="570D3AD6" w14:textId="35D9FA93" w:rsidR="00335959" w:rsidRPr="00E61193" w:rsidRDefault="004F000C" w:rsidP="00546C21">
            <w:pPr>
              <w:pStyle w:val="TableBodyTextright"/>
            </w:pPr>
            <w:r>
              <w:t>▲</w:t>
            </w:r>
            <w:r w:rsidR="00335959" w:rsidRPr="00E61193">
              <w:t>0.7</w:t>
            </w:r>
          </w:p>
        </w:tc>
        <w:tc>
          <w:tcPr>
            <w:tcW w:w="752" w:type="pct"/>
          </w:tcPr>
          <w:p w14:paraId="31970AC5" w14:textId="5D6F5F42" w:rsidR="00335959" w:rsidRPr="00E61193" w:rsidRDefault="004F000C" w:rsidP="00546C21">
            <w:pPr>
              <w:pStyle w:val="TableBodyTextright"/>
            </w:pPr>
            <w:r>
              <w:t>▲</w:t>
            </w:r>
            <w:r w:rsidR="00335959" w:rsidRPr="00E61193">
              <w:t>6.1</w:t>
            </w:r>
          </w:p>
        </w:tc>
      </w:tr>
      <w:tr w:rsidR="00335959" w14:paraId="45DAD818" w14:textId="77777777" w:rsidTr="00B71A03">
        <w:tc>
          <w:tcPr>
            <w:tcW w:w="801" w:type="pct"/>
            <w:vMerge/>
            <w:shd w:val="clear" w:color="auto" w:fill="FFFFFF" w:themeFill="background1"/>
          </w:tcPr>
          <w:p w14:paraId="2A2C749F" w14:textId="77777777" w:rsidR="00335959" w:rsidRPr="00E61193" w:rsidRDefault="00335959" w:rsidP="00546C21">
            <w:pPr>
              <w:pStyle w:val="TableBodyText"/>
            </w:pPr>
          </w:p>
        </w:tc>
        <w:tc>
          <w:tcPr>
            <w:tcW w:w="1943" w:type="pct"/>
          </w:tcPr>
          <w:p w14:paraId="0682BB33" w14:textId="3C2943E0" w:rsidR="00335959" w:rsidRPr="00E61193" w:rsidRDefault="00335959" w:rsidP="00546C21">
            <w:pPr>
              <w:pStyle w:val="TableBodyText"/>
            </w:pPr>
            <w:r w:rsidRPr="00E61193">
              <w:t>Qualified applicants per vacancy (no.)</w:t>
            </w:r>
          </w:p>
        </w:tc>
        <w:tc>
          <w:tcPr>
            <w:tcW w:w="752" w:type="pct"/>
          </w:tcPr>
          <w:p w14:paraId="60545949" w14:textId="2B44DF41" w:rsidR="00335959" w:rsidRPr="00E61193" w:rsidRDefault="00335959" w:rsidP="00546C21">
            <w:pPr>
              <w:pStyle w:val="TableBodyTextright"/>
            </w:pPr>
            <w:r w:rsidRPr="00E61193">
              <w:t>7.5</w:t>
            </w:r>
          </w:p>
        </w:tc>
        <w:tc>
          <w:tcPr>
            <w:tcW w:w="752" w:type="pct"/>
          </w:tcPr>
          <w:p w14:paraId="1EF2237B" w14:textId="4AC92FCF" w:rsidR="00335959" w:rsidRPr="00E61193" w:rsidRDefault="004F000C" w:rsidP="00546C21">
            <w:pPr>
              <w:pStyle w:val="TableBodyTextright"/>
            </w:pPr>
            <w:r>
              <w:t>▲</w:t>
            </w:r>
            <w:r w:rsidR="00335959" w:rsidRPr="00E61193">
              <w:t>0.7</w:t>
            </w:r>
          </w:p>
        </w:tc>
        <w:tc>
          <w:tcPr>
            <w:tcW w:w="752" w:type="pct"/>
          </w:tcPr>
          <w:p w14:paraId="4A47F6FB" w14:textId="50EEB6B4" w:rsidR="00335959" w:rsidRPr="00E61193" w:rsidRDefault="004F000C" w:rsidP="00546C21">
            <w:pPr>
              <w:pStyle w:val="TableBodyTextright"/>
            </w:pPr>
            <w:r>
              <w:t>▲</w:t>
            </w:r>
            <w:r w:rsidR="00335959" w:rsidRPr="00E61193">
              <w:t>2.8</w:t>
            </w:r>
          </w:p>
        </w:tc>
      </w:tr>
      <w:tr w:rsidR="004C743E" w14:paraId="6A96869C"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7A0F38C"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74AC3219" w14:textId="0127E89A"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0D0AED2F" w14:textId="69BC6BF9" w:rsidR="00335959" w:rsidRPr="00E61193" w:rsidRDefault="00335959" w:rsidP="00546C21">
            <w:pPr>
              <w:pStyle w:val="TableBodyTextright"/>
            </w:pPr>
            <w:r w:rsidRPr="00E61193">
              <w:t>3.2</w:t>
            </w:r>
          </w:p>
        </w:tc>
        <w:tc>
          <w:tcPr>
            <w:tcW w:w="752" w:type="pct"/>
            <w:tcBorders>
              <w:bottom w:val="single" w:sz="4" w:space="0" w:color="D9D9D9" w:themeColor="background1" w:themeShade="D9"/>
            </w:tcBorders>
          </w:tcPr>
          <w:p w14:paraId="7739E08A" w14:textId="770B6F2D" w:rsidR="00335959" w:rsidRPr="00E61193" w:rsidRDefault="004F000C" w:rsidP="00546C21">
            <w:pPr>
              <w:pStyle w:val="TableBodyTextright"/>
            </w:pPr>
            <w:r>
              <w:t>▲</w:t>
            </w:r>
            <w:r w:rsidR="00335959" w:rsidRPr="00E61193">
              <w:t>0.3</w:t>
            </w:r>
          </w:p>
        </w:tc>
        <w:tc>
          <w:tcPr>
            <w:tcW w:w="752" w:type="pct"/>
            <w:tcBorders>
              <w:bottom w:val="single" w:sz="4" w:space="0" w:color="D9D9D9" w:themeColor="background1" w:themeShade="D9"/>
            </w:tcBorders>
          </w:tcPr>
          <w:p w14:paraId="0267FE61" w14:textId="177536BC" w:rsidR="00335959" w:rsidRPr="00E61193" w:rsidRDefault="004F000C" w:rsidP="00546C21">
            <w:pPr>
              <w:pStyle w:val="TableBodyTextright"/>
            </w:pPr>
            <w:r>
              <w:t>▲</w:t>
            </w:r>
            <w:r w:rsidR="00335959" w:rsidRPr="00E61193">
              <w:t>1.2</w:t>
            </w:r>
          </w:p>
        </w:tc>
      </w:tr>
      <w:tr w:rsidR="00335959" w14:paraId="0B975089" w14:textId="77777777" w:rsidTr="00B71A03">
        <w:tc>
          <w:tcPr>
            <w:tcW w:w="801" w:type="pct"/>
            <w:vMerge w:val="restart"/>
            <w:tcBorders>
              <w:top w:val="single" w:sz="4" w:space="0" w:color="D9D9D9" w:themeColor="background1" w:themeShade="D9"/>
            </w:tcBorders>
            <w:shd w:val="clear" w:color="auto" w:fill="FFFFFF" w:themeFill="background1"/>
          </w:tcPr>
          <w:p w14:paraId="48A9F7D8" w14:textId="4D3C0DB2" w:rsidR="00335959" w:rsidRPr="00E61193" w:rsidRDefault="00335959" w:rsidP="00546C21">
            <w:pPr>
              <w:pStyle w:val="TableBodyText"/>
            </w:pPr>
            <w:r w:rsidRPr="00E61193">
              <w:t xml:space="preserve">Community and Personal Service Workers </w:t>
            </w:r>
          </w:p>
        </w:tc>
        <w:tc>
          <w:tcPr>
            <w:tcW w:w="1943" w:type="pct"/>
            <w:tcBorders>
              <w:top w:val="single" w:sz="4" w:space="0" w:color="D9D9D9" w:themeColor="background1" w:themeShade="D9"/>
            </w:tcBorders>
          </w:tcPr>
          <w:p w14:paraId="3B95FCA3" w14:textId="13E64BF2" w:rsidR="00335959" w:rsidRPr="00E61193" w:rsidRDefault="00335959" w:rsidP="00546C21">
            <w:pPr>
              <w:pStyle w:val="TableBodyText"/>
            </w:pPr>
            <w:r w:rsidRPr="00E61193">
              <w:t xml:space="preserve">Vacancy fill rate (%) </w:t>
            </w:r>
          </w:p>
        </w:tc>
        <w:tc>
          <w:tcPr>
            <w:tcW w:w="752" w:type="pct"/>
            <w:tcBorders>
              <w:top w:val="single" w:sz="4" w:space="0" w:color="D9D9D9" w:themeColor="background1" w:themeShade="D9"/>
            </w:tcBorders>
          </w:tcPr>
          <w:p w14:paraId="0409CF3D" w14:textId="04FC3412" w:rsidR="00335959" w:rsidRPr="00E61193" w:rsidRDefault="00335959" w:rsidP="00546C21">
            <w:pPr>
              <w:pStyle w:val="TableBodyTextright"/>
            </w:pPr>
            <w:r w:rsidRPr="00E61193">
              <w:t>68.6%</w:t>
            </w:r>
          </w:p>
        </w:tc>
        <w:tc>
          <w:tcPr>
            <w:tcW w:w="752" w:type="pct"/>
            <w:tcBorders>
              <w:top w:val="single" w:sz="4" w:space="0" w:color="D9D9D9" w:themeColor="background1" w:themeShade="D9"/>
            </w:tcBorders>
          </w:tcPr>
          <w:p w14:paraId="075FF85B" w14:textId="4873018F" w:rsidR="00335959" w:rsidRPr="00E61193" w:rsidRDefault="004F000C" w:rsidP="00546C21">
            <w:pPr>
              <w:pStyle w:val="TableBodyTextright"/>
            </w:pPr>
            <w:r>
              <w:t>▼</w:t>
            </w:r>
            <w:r w:rsidR="00335959" w:rsidRPr="00E61193">
              <w:t>1.4% pts</w:t>
            </w:r>
          </w:p>
        </w:tc>
        <w:tc>
          <w:tcPr>
            <w:tcW w:w="752" w:type="pct"/>
            <w:tcBorders>
              <w:top w:val="single" w:sz="4" w:space="0" w:color="D9D9D9" w:themeColor="background1" w:themeShade="D9"/>
            </w:tcBorders>
          </w:tcPr>
          <w:p w14:paraId="07C78072" w14:textId="15099861" w:rsidR="00335959" w:rsidRPr="00E61193" w:rsidRDefault="004F000C" w:rsidP="00546C21">
            <w:pPr>
              <w:pStyle w:val="TableBodyTextright"/>
            </w:pPr>
            <w:r>
              <w:t>▼</w:t>
            </w:r>
            <w:r w:rsidR="00335959" w:rsidRPr="00E61193">
              <w:t>3.8% pts</w:t>
            </w:r>
          </w:p>
        </w:tc>
      </w:tr>
      <w:tr w:rsidR="009F0F0E" w14:paraId="518AF644"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46F9574F" w14:textId="77777777" w:rsidR="00335959" w:rsidRPr="00E61193" w:rsidRDefault="00335959" w:rsidP="00546C21">
            <w:pPr>
              <w:pStyle w:val="TableBodyText"/>
            </w:pPr>
          </w:p>
        </w:tc>
        <w:tc>
          <w:tcPr>
            <w:tcW w:w="1943" w:type="pct"/>
          </w:tcPr>
          <w:p w14:paraId="66974CBC" w14:textId="6A16C2B8" w:rsidR="00335959" w:rsidRPr="00E61193" w:rsidRDefault="00335959" w:rsidP="00546C21">
            <w:pPr>
              <w:pStyle w:val="TableBodyText"/>
            </w:pPr>
            <w:r w:rsidRPr="00E61193">
              <w:t>Applicants per vacancy (no.)</w:t>
            </w:r>
          </w:p>
        </w:tc>
        <w:tc>
          <w:tcPr>
            <w:tcW w:w="752" w:type="pct"/>
          </w:tcPr>
          <w:p w14:paraId="5567BCBC" w14:textId="3D24DDE6" w:rsidR="00335959" w:rsidRPr="00E61193" w:rsidRDefault="00335959" w:rsidP="00546C21">
            <w:pPr>
              <w:pStyle w:val="TableBodyTextright"/>
            </w:pPr>
            <w:r w:rsidRPr="00E61193">
              <w:t>19.7</w:t>
            </w:r>
          </w:p>
        </w:tc>
        <w:tc>
          <w:tcPr>
            <w:tcW w:w="752" w:type="pct"/>
          </w:tcPr>
          <w:p w14:paraId="07C05C7B" w14:textId="0105DE89" w:rsidR="00335959" w:rsidRPr="00E61193" w:rsidRDefault="004F000C" w:rsidP="00546C21">
            <w:pPr>
              <w:pStyle w:val="TableBodyTextright"/>
            </w:pPr>
            <w:r>
              <w:t>▼</w:t>
            </w:r>
            <w:r w:rsidR="00335959" w:rsidRPr="00E61193">
              <w:t>2.1</w:t>
            </w:r>
          </w:p>
        </w:tc>
        <w:tc>
          <w:tcPr>
            <w:tcW w:w="752" w:type="pct"/>
          </w:tcPr>
          <w:p w14:paraId="79A88889" w14:textId="294F40DB" w:rsidR="00335959" w:rsidRPr="00E61193" w:rsidRDefault="004F000C" w:rsidP="00546C21">
            <w:pPr>
              <w:pStyle w:val="TableBodyTextright"/>
            </w:pPr>
            <w:r>
              <w:t>▲</w:t>
            </w:r>
            <w:r w:rsidR="00335959" w:rsidRPr="00E61193">
              <w:t>0.9</w:t>
            </w:r>
          </w:p>
        </w:tc>
      </w:tr>
      <w:tr w:rsidR="00335959" w14:paraId="48F11771" w14:textId="77777777" w:rsidTr="00B71A03">
        <w:tc>
          <w:tcPr>
            <w:tcW w:w="801" w:type="pct"/>
            <w:vMerge/>
            <w:shd w:val="clear" w:color="auto" w:fill="FFFFFF" w:themeFill="background1"/>
          </w:tcPr>
          <w:p w14:paraId="5B166A57" w14:textId="77777777" w:rsidR="00335959" w:rsidRPr="00E61193" w:rsidRDefault="00335959" w:rsidP="00546C21">
            <w:pPr>
              <w:pStyle w:val="TableBodyText"/>
            </w:pPr>
          </w:p>
        </w:tc>
        <w:tc>
          <w:tcPr>
            <w:tcW w:w="1943" w:type="pct"/>
          </w:tcPr>
          <w:p w14:paraId="05FA6B11" w14:textId="3E6B9FA4" w:rsidR="00335959" w:rsidRPr="00E61193" w:rsidRDefault="00335959" w:rsidP="00546C21">
            <w:pPr>
              <w:pStyle w:val="TableBodyText"/>
            </w:pPr>
            <w:r w:rsidRPr="00E61193">
              <w:t>Qualified applicants per vacancy (no.)</w:t>
            </w:r>
          </w:p>
        </w:tc>
        <w:tc>
          <w:tcPr>
            <w:tcW w:w="752" w:type="pct"/>
          </w:tcPr>
          <w:p w14:paraId="72EA2E62" w14:textId="70118594" w:rsidR="00335959" w:rsidRPr="00E61193" w:rsidRDefault="00335959" w:rsidP="00546C21">
            <w:pPr>
              <w:pStyle w:val="TableBodyTextright"/>
            </w:pPr>
            <w:r w:rsidRPr="00E61193">
              <w:t>6.1</w:t>
            </w:r>
          </w:p>
        </w:tc>
        <w:tc>
          <w:tcPr>
            <w:tcW w:w="752" w:type="pct"/>
          </w:tcPr>
          <w:p w14:paraId="1D02632F" w14:textId="6FE28403" w:rsidR="00335959" w:rsidRPr="00E61193" w:rsidRDefault="004F000C" w:rsidP="00546C21">
            <w:pPr>
              <w:pStyle w:val="TableBodyTextright"/>
            </w:pPr>
            <w:r>
              <w:t>▼</w:t>
            </w:r>
            <w:r w:rsidR="00335959" w:rsidRPr="00E61193">
              <w:t>0.4</w:t>
            </w:r>
          </w:p>
        </w:tc>
        <w:tc>
          <w:tcPr>
            <w:tcW w:w="752" w:type="pct"/>
          </w:tcPr>
          <w:p w14:paraId="7FA3C608" w14:textId="7F04126F" w:rsidR="00335959" w:rsidRPr="00E61193" w:rsidRDefault="004F000C" w:rsidP="00546C21">
            <w:pPr>
              <w:pStyle w:val="TableBodyTextright"/>
            </w:pPr>
            <w:r>
              <w:t>▲</w:t>
            </w:r>
            <w:r w:rsidR="00335959" w:rsidRPr="00E61193">
              <w:t>0.4</w:t>
            </w:r>
          </w:p>
        </w:tc>
      </w:tr>
      <w:tr w:rsidR="004C743E" w14:paraId="4529B5DE"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641D31AD"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4F079BB4" w14:textId="45DD6BDD"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71ED2AC5" w14:textId="45704512" w:rsidR="00335959" w:rsidRPr="00E61193" w:rsidRDefault="00335959" w:rsidP="00546C21">
            <w:pPr>
              <w:pStyle w:val="TableBodyTextright"/>
            </w:pPr>
            <w:r w:rsidRPr="00E61193">
              <w:t>3.1</w:t>
            </w:r>
          </w:p>
        </w:tc>
        <w:tc>
          <w:tcPr>
            <w:tcW w:w="752" w:type="pct"/>
            <w:tcBorders>
              <w:bottom w:val="single" w:sz="4" w:space="0" w:color="D9D9D9" w:themeColor="background1" w:themeShade="D9"/>
            </w:tcBorders>
          </w:tcPr>
          <w:p w14:paraId="328EB45D" w14:textId="048127F7" w:rsidR="00335959" w:rsidRPr="00E61193" w:rsidRDefault="004F000C" w:rsidP="00546C21">
            <w:pPr>
              <w:pStyle w:val="TableBodyTextright"/>
            </w:pPr>
            <w:r>
              <w:t>▼</w:t>
            </w:r>
            <w:r w:rsidR="00335959" w:rsidRPr="00E61193">
              <w:t>0.1</w:t>
            </w:r>
          </w:p>
        </w:tc>
        <w:tc>
          <w:tcPr>
            <w:tcW w:w="752" w:type="pct"/>
            <w:tcBorders>
              <w:bottom w:val="single" w:sz="4" w:space="0" w:color="D9D9D9" w:themeColor="background1" w:themeShade="D9"/>
            </w:tcBorders>
          </w:tcPr>
          <w:p w14:paraId="27AA23BC" w14:textId="57339770" w:rsidR="00335959" w:rsidRPr="00E61193" w:rsidRDefault="004F000C" w:rsidP="00546C21">
            <w:pPr>
              <w:pStyle w:val="TableBodyTextright"/>
            </w:pPr>
            <w:r>
              <w:t>▲</w:t>
            </w:r>
            <w:r w:rsidR="00335959" w:rsidRPr="00E61193">
              <w:t>0.1</w:t>
            </w:r>
          </w:p>
        </w:tc>
      </w:tr>
      <w:tr w:rsidR="00335959" w14:paraId="15B62249" w14:textId="77777777" w:rsidTr="00B71A03">
        <w:tc>
          <w:tcPr>
            <w:tcW w:w="801" w:type="pct"/>
            <w:vMerge w:val="restart"/>
            <w:tcBorders>
              <w:top w:val="single" w:sz="4" w:space="0" w:color="D9D9D9" w:themeColor="background1" w:themeShade="D9"/>
            </w:tcBorders>
            <w:shd w:val="clear" w:color="auto" w:fill="FFFFFF" w:themeFill="background1"/>
          </w:tcPr>
          <w:p w14:paraId="269648F1" w14:textId="4016B0D9" w:rsidR="00335959" w:rsidRPr="00E61193" w:rsidRDefault="00335959" w:rsidP="00546C21">
            <w:pPr>
              <w:pStyle w:val="TableBodyText"/>
            </w:pPr>
            <w:r w:rsidRPr="00E61193">
              <w:t xml:space="preserve">Clerical and Administrative Workers </w:t>
            </w:r>
          </w:p>
        </w:tc>
        <w:tc>
          <w:tcPr>
            <w:tcW w:w="1943" w:type="pct"/>
            <w:tcBorders>
              <w:top w:val="single" w:sz="4" w:space="0" w:color="D9D9D9" w:themeColor="background1" w:themeShade="D9"/>
            </w:tcBorders>
          </w:tcPr>
          <w:p w14:paraId="6E79046A" w14:textId="2142C710" w:rsidR="00335959" w:rsidRPr="00E61193" w:rsidRDefault="00335959" w:rsidP="00546C21">
            <w:pPr>
              <w:pStyle w:val="TableBodyText"/>
            </w:pPr>
            <w:r w:rsidRPr="00E61193">
              <w:t>Vacancy fill rate (%)</w:t>
            </w:r>
          </w:p>
        </w:tc>
        <w:tc>
          <w:tcPr>
            <w:tcW w:w="752" w:type="pct"/>
            <w:tcBorders>
              <w:top w:val="single" w:sz="4" w:space="0" w:color="D9D9D9" w:themeColor="background1" w:themeShade="D9"/>
            </w:tcBorders>
          </w:tcPr>
          <w:p w14:paraId="33AB3F8F" w14:textId="16C38044" w:rsidR="00335959" w:rsidRPr="00E61193" w:rsidRDefault="00335959" w:rsidP="00546C21">
            <w:pPr>
              <w:pStyle w:val="TableBodyTextright"/>
            </w:pPr>
            <w:r w:rsidRPr="00E61193">
              <w:t>81.8%</w:t>
            </w:r>
          </w:p>
        </w:tc>
        <w:tc>
          <w:tcPr>
            <w:tcW w:w="752" w:type="pct"/>
            <w:tcBorders>
              <w:top w:val="single" w:sz="4" w:space="0" w:color="D9D9D9" w:themeColor="background1" w:themeShade="D9"/>
            </w:tcBorders>
          </w:tcPr>
          <w:p w14:paraId="4BB21DE6" w14:textId="11FBD512" w:rsidR="00335959" w:rsidRPr="00E61193" w:rsidRDefault="004F000C" w:rsidP="00546C21">
            <w:pPr>
              <w:pStyle w:val="TableBodyTextright"/>
            </w:pPr>
            <w:r>
              <w:t>▲</w:t>
            </w:r>
            <w:r w:rsidR="00335959" w:rsidRPr="00E61193">
              <w:t>0.1% pts</w:t>
            </w:r>
          </w:p>
        </w:tc>
        <w:tc>
          <w:tcPr>
            <w:tcW w:w="752" w:type="pct"/>
            <w:tcBorders>
              <w:top w:val="single" w:sz="4" w:space="0" w:color="D9D9D9" w:themeColor="background1" w:themeShade="D9"/>
            </w:tcBorders>
          </w:tcPr>
          <w:p w14:paraId="0B31EF4D" w14:textId="315F981F" w:rsidR="00335959" w:rsidRPr="00E61193" w:rsidRDefault="004F000C" w:rsidP="00546C21">
            <w:pPr>
              <w:pStyle w:val="TableBodyTextright"/>
            </w:pPr>
            <w:r>
              <w:t>▲</w:t>
            </w:r>
            <w:r w:rsidR="00335959" w:rsidRPr="00E61193">
              <w:t>0.9% pts</w:t>
            </w:r>
          </w:p>
        </w:tc>
      </w:tr>
      <w:tr w:rsidR="009F0F0E" w14:paraId="5501CF3D"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074DFEAC" w14:textId="77777777" w:rsidR="00335959" w:rsidRPr="00E61193" w:rsidRDefault="00335959" w:rsidP="00546C21">
            <w:pPr>
              <w:pStyle w:val="TableBodyText"/>
            </w:pPr>
          </w:p>
        </w:tc>
        <w:tc>
          <w:tcPr>
            <w:tcW w:w="1943" w:type="pct"/>
          </w:tcPr>
          <w:p w14:paraId="562FD025" w14:textId="41734EAC" w:rsidR="00335959" w:rsidRPr="00E61193" w:rsidRDefault="00335959" w:rsidP="00546C21">
            <w:pPr>
              <w:pStyle w:val="TableBodyText"/>
            </w:pPr>
            <w:r w:rsidRPr="00E61193">
              <w:t>Applicants per vacancy (no.)</w:t>
            </w:r>
          </w:p>
        </w:tc>
        <w:tc>
          <w:tcPr>
            <w:tcW w:w="752" w:type="pct"/>
          </w:tcPr>
          <w:p w14:paraId="0350F61C" w14:textId="66158356" w:rsidR="00335959" w:rsidRPr="00E61193" w:rsidRDefault="00335959" w:rsidP="00546C21">
            <w:pPr>
              <w:pStyle w:val="TableBodyTextright"/>
            </w:pPr>
            <w:r w:rsidRPr="00E61193">
              <w:t>40.6</w:t>
            </w:r>
          </w:p>
        </w:tc>
        <w:tc>
          <w:tcPr>
            <w:tcW w:w="752" w:type="pct"/>
          </w:tcPr>
          <w:p w14:paraId="53FE3B68" w14:textId="48EDEDB8" w:rsidR="00335959" w:rsidRPr="00E61193" w:rsidRDefault="004F000C" w:rsidP="00546C21">
            <w:pPr>
              <w:pStyle w:val="TableBodyTextright"/>
            </w:pPr>
            <w:r>
              <w:t>▼</w:t>
            </w:r>
            <w:r w:rsidR="00335959" w:rsidRPr="00E61193">
              <w:t>5.4</w:t>
            </w:r>
          </w:p>
        </w:tc>
        <w:tc>
          <w:tcPr>
            <w:tcW w:w="752" w:type="pct"/>
          </w:tcPr>
          <w:p w14:paraId="5B39D734" w14:textId="3894C601" w:rsidR="00335959" w:rsidRPr="00E61193" w:rsidRDefault="004F000C" w:rsidP="00546C21">
            <w:pPr>
              <w:pStyle w:val="TableBodyTextright"/>
            </w:pPr>
            <w:r>
              <w:t>▼</w:t>
            </w:r>
            <w:r w:rsidR="00335959" w:rsidRPr="00E61193">
              <w:t>4.9</w:t>
            </w:r>
          </w:p>
        </w:tc>
      </w:tr>
      <w:tr w:rsidR="00335959" w14:paraId="0AB5118F" w14:textId="77777777" w:rsidTr="00B71A03">
        <w:tc>
          <w:tcPr>
            <w:tcW w:w="801" w:type="pct"/>
            <w:vMerge/>
            <w:shd w:val="clear" w:color="auto" w:fill="FFFFFF" w:themeFill="background1"/>
          </w:tcPr>
          <w:p w14:paraId="41783FD6" w14:textId="77777777" w:rsidR="00335959" w:rsidRPr="00E61193" w:rsidRDefault="00335959" w:rsidP="00546C21">
            <w:pPr>
              <w:pStyle w:val="TableBodyText"/>
            </w:pPr>
          </w:p>
        </w:tc>
        <w:tc>
          <w:tcPr>
            <w:tcW w:w="1943" w:type="pct"/>
          </w:tcPr>
          <w:p w14:paraId="3D35C511" w14:textId="5C140827" w:rsidR="00335959" w:rsidRPr="00E61193" w:rsidRDefault="00335959" w:rsidP="00546C21">
            <w:pPr>
              <w:pStyle w:val="TableBodyText"/>
            </w:pPr>
            <w:r w:rsidRPr="00E61193">
              <w:t>Qualified applicants per vacancy (no.)</w:t>
            </w:r>
          </w:p>
        </w:tc>
        <w:tc>
          <w:tcPr>
            <w:tcW w:w="752" w:type="pct"/>
          </w:tcPr>
          <w:p w14:paraId="52D5EC39" w14:textId="780A0C1A" w:rsidR="00335959" w:rsidRPr="00E61193" w:rsidRDefault="00335959" w:rsidP="00546C21">
            <w:pPr>
              <w:pStyle w:val="TableBodyTextright"/>
            </w:pPr>
            <w:r w:rsidRPr="00E61193">
              <w:t>9.9</w:t>
            </w:r>
          </w:p>
        </w:tc>
        <w:tc>
          <w:tcPr>
            <w:tcW w:w="752" w:type="pct"/>
          </w:tcPr>
          <w:p w14:paraId="73D438BF" w14:textId="570232A2" w:rsidR="00335959" w:rsidRPr="00E61193" w:rsidRDefault="004F000C" w:rsidP="00546C21">
            <w:pPr>
              <w:pStyle w:val="TableBodyTextright"/>
            </w:pPr>
            <w:r>
              <w:t>▲</w:t>
            </w:r>
            <w:r w:rsidR="00335959" w:rsidRPr="00E61193">
              <w:t>0.4</w:t>
            </w:r>
          </w:p>
        </w:tc>
        <w:tc>
          <w:tcPr>
            <w:tcW w:w="752" w:type="pct"/>
          </w:tcPr>
          <w:p w14:paraId="2F91E2C3" w14:textId="3BA4D055" w:rsidR="00335959" w:rsidRPr="00E61193" w:rsidRDefault="004F000C" w:rsidP="00546C21">
            <w:pPr>
              <w:pStyle w:val="TableBodyTextright"/>
            </w:pPr>
            <w:r>
              <w:t>▲</w:t>
            </w:r>
            <w:r w:rsidR="00335959" w:rsidRPr="00E61193">
              <w:t>1.1</w:t>
            </w:r>
          </w:p>
        </w:tc>
      </w:tr>
      <w:tr w:rsidR="004C743E" w14:paraId="3EE00D53"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F6F4FB2"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4C515B12" w14:textId="611D1111"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681FA198" w14:textId="70223454" w:rsidR="00335959" w:rsidRPr="00E61193" w:rsidRDefault="00335959" w:rsidP="00546C21">
            <w:pPr>
              <w:pStyle w:val="TableBodyTextright"/>
            </w:pPr>
            <w:r w:rsidRPr="00E61193">
              <w:t>6.8</w:t>
            </w:r>
          </w:p>
        </w:tc>
        <w:tc>
          <w:tcPr>
            <w:tcW w:w="752" w:type="pct"/>
            <w:tcBorders>
              <w:bottom w:val="single" w:sz="4" w:space="0" w:color="D9D9D9" w:themeColor="background1" w:themeShade="D9"/>
            </w:tcBorders>
          </w:tcPr>
          <w:p w14:paraId="20873F2E" w14:textId="6E39DA58" w:rsidR="00335959" w:rsidRPr="00E61193" w:rsidRDefault="004F000C" w:rsidP="00546C21">
            <w:pPr>
              <w:pStyle w:val="TableBodyTextright"/>
            </w:pPr>
            <w:r>
              <w:t>▲</w:t>
            </w:r>
            <w:r w:rsidR="00335959" w:rsidRPr="00E61193">
              <w:t>0.1</w:t>
            </w:r>
          </w:p>
        </w:tc>
        <w:tc>
          <w:tcPr>
            <w:tcW w:w="752" w:type="pct"/>
            <w:tcBorders>
              <w:bottom w:val="single" w:sz="4" w:space="0" w:color="D9D9D9" w:themeColor="background1" w:themeShade="D9"/>
            </w:tcBorders>
          </w:tcPr>
          <w:p w14:paraId="7F8F7DF5" w14:textId="3E823ED1" w:rsidR="00335959" w:rsidRPr="00E61193" w:rsidRDefault="004F000C" w:rsidP="00546C21">
            <w:pPr>
              <w:pStyle w:val="TableBodyTextright"/>
            </w:pPr>
            <w:r>
              <w:t>▲</w:t>
            </w:r>
            <w:r w:rsidR="00335959" w:rsidRPr="00E61193">
              <w:t>1.0</w:t>
            </w:r>
          </w:p>
        </w:tc>
      </w:tr>
      <w:tr w:rsidR="00335959" w14:paraId="00FDF1D0" w14:textId="77777777" w:rsidTr="00B71A03">
        <w:tc>
          <w:tcPr>
            <w:tcW w:w="801" w:type="pct"/>
            <w:vMerge w:val="restart"/>
            <w:tcBorders>
              <w:top w:val="single" w:sz="4" w:space="0" w:color="D9D9D9" w:themeColor="background1" w:themeShade="D9"/>
            </w:tcBorders>
            <w:shd w:val="clear" w:color="auto" w:fill="FFFFFF" w:themeFill="background1"/>
          </w:tcPr>
          <w:p w14:paraId="5B69B449" w14:textId="2163175C" w:rsidR="00335959" w:rsidRPr="00E61193" w:rsidRDefault="00335959" w:rsidP="00546C21">
            <w:pPr>
              <w:pStyle w:val="TableBodyText"/>
            </w:pPr>
            <w:r w:rsidRPr="00E61193">
              <w:t xml:space="preserve">Sales Workers </w:t>
            </w:r>
          </w:p>
        </w:tc>
        <w:tc>
          <w:tcPr>
            <w:tcW w:w="1943" w:type="pct"/>
            <w:tcBorders>
              <w:top w:val="single" w:sz="4" w:space="0" w:color="D9D9D9" w:themeColor="background1" w:themeShade="D9"/>
            </w:tcBorders>
          </w:tcPr>
          <w:p w14:paraId="013635A2" w14:textId="530C4CB6" w:rsidR="00335959" w:rsidRPr="00E61193" w:rsidRDefault="00335959" w:rsidP="00546C21">
            <w:pPr>
              <w:pStyle w:val="TableBodyText"/>
            </w:pPr>
            <w:r w:rsidRPr="00E61193">
              <w:t>Vacancy fill rate (%)</w:t>
            </w:r>
          </w:p>
        </w:tc>
        <w:tc>
          <w:tcPr>
            <w:tcW w:w="752" w:type="pct"/>
            <w:tcBorders>
              <w:top w:val="single" w:sz="4" w:space="0" w:color="D9D9D9" w:themeColor="background1" w:themeShade="D9"/>
            </w:tcBorders>
          </w:tcPr>
          <w:p w14:paraId="17B43004" w14:textId="6B76F348" w:rsidR="00335959" w:rsidRPr="00E61193" w:rsidRDefault="00335959" w:rsidP="00546C21">
            <w:pPr>
              <w:pStyle w:val="TableBodyTextright"/>
            </w:pPr>
            <w:r w:rsidRPr="00E61193">
              <w:t>69.4%</w:t>
            </w:r>
          </w:p>
        </w:tc>
        <w:tc>
          <w:tcPr>
            <w:tcW w:w="752" w:type="pct"/>
            <w:tcBorders>
              <w:top w:val="single" w:sz="4" w:space="0" w:color="D9D9D9" w:themeColor="background1" w:themeShade="D9"/>
            </w:tcBorders>
          </w:tcPr>
          <w:p w14:paraId="76A2CAB7" w14:textId="0721D80F" w:rsidR="00335959" w:rsidRPr="00E61193" w:rsidRDefault="004F000C" w:rsidP="00546C21">
            <w:pPr>
              <w:pStyle w:val="TableBodyTextright"/>
            </w:pPr>
            <w:r>
              <w:t>▲</w:t>
            </w:r>
            <w:r w:rsidR="00335959" w:rsidRPr="00E61193">
              <w:t>1.7% pts</w:t>
            </w:r>
          </w:p>
        </w:tc>
        <w:tc>
          <w:tcPr>
            <w:tcW w:w="752" w:type="pct"/>
            <w:tcBorders>
              <w:top w:val="single" w:sz="4" w:space="0" w:color="D9D9D9" w:themeColor="background1" w:themeShade="D9"/>
            </w:tcBorders>
          </w:tcPr>
          <w:p w14:paraId="5E47BBD6" w14:textId="6677ED8D" w:rsidR="00335959" w:rsidRPr="00E61193" w:rsidRDefault="004F000C" w:rsidP="00546C21">
            <w:pPr>
              <w:pStyle w:val="TableBodyTextright"/>
            </w:pPr>
            <w:r>
              <w:t>▼</w:t>
            </w:r>
            <w:r w:rsidR="00335959" w:rsidRPr="00E61193">
              <w:t>0.7% pts</w:t>
            </w:r>
          </w:p>
        </w:tc>
      </w:tr>
      <w:tr w:rsidR="009F0F0E" w14:paraId="1703A7BE"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29326FB6" w14:textId="77777777" w:rsidR="00335959" w:rsidRPr="00E61193" w:rsidRDefault="00335959" w:rsidP="00546C21">
            <w:pPr>
              <w:pStyle w:val="TableBodyText"/>
            </w:pPr>
          </w:p>
        </w:tc>
        <w:tc>
          <w:tcPr>
            <w:tcW w:w="1943" w:type="pct"/>
          </w:tcPr>
          <w:p w14:paraId="0EF466F9" w14:textId="11A7ABED" w:rsidR="00335959" w:rsidRPr="00E61193" w:rsidRDefault="00335959" w:rsidP="00546C21">
            <w:pPr>
              <w:pStyle w:val="TableBodyText"/>
            </w:pPr>
            <w:r w:rsidRPr="00E61193">
              <w:t>Applicants per vacancy (no.)</w:t>
            </w:r>
          </w:p>
        </w:tc>
        <w:tc>
          <w:tcPr>
            <w:tcW w:w="752" w:type="pct"/>
          </w:tcPr>
          <w:p w14:paraId="511F12DE" w14:textId="6932B3C5" w:rsidR="00335959" w:rsidRPr="00E61193" w:rsidRDefault="00335959" w:rsidP="00546C21">
            <w:pPr>
              <w:pStyle w:val="TableBodyTextright"/>
            </w:pPr>
            <w:r w:rsidRPr="00E61193">
              <w:t>25.4</w:t>
            </w:r>
          </w:p>
        </w:tc>
        <w:tc>
          <w:tcPr>
            <w:tcW w:w="752" w:type="pct"/>
          </w:tcPr>
          <w:p w14:paraId="3023BDE1" w14:textId="55AE3A3F" w:rsidR="00335959" w:rsidRPr="00E61193" w:rsidRDefault="004F000C" w:rsidP="00546C21">
            <w:pPr>
              <w:pStyle w:val="TableBodyTextright"/>
            </w:pPr>
            <w:r>
              <w:t>▼</w:t>
            </w:r>
            <w:r w:rsidR="00335959" w:rsidRPr="00E61193">
              <w:t>2.9</w:t>
            </w:r>
          </w:p>
        </w:tc>
        <w:tc>
          <w:tcPr>
            <w:tcW w:w="752" w:type="pct"/>
          </w:tcPr>
          <w:p w14:paraId="66384032" w14:textId="700BA405" w:rsidR="00335959" w:rsidRPr="00E61193" w:rsidRDefault="004F000C" w:rsidP="00546C21">
            <w:pPr>
              <w:pStyle w:val="TableBodyTextright"/>
            </w:pPr>
            <w:r>
              <w:t>▲</w:t>
            </w:r>
            <w:r w:rsidR="00335959" w:rsidRPr="00E61193">
              <w:t>3.9</w:t>
            </w:r>
          </w:p>
        </w:tc>
      </w:tr>
      <w:tr w:rsidR="00335959" w14:paraId="3EEFB71B" w14:textId="77777777" w:rsidTr="00B71A03">
        <w:tc>
          <w:tcPr>
            <w:tcW w:w="801" w:type="pct"/>
            <w:vMerge/>
            <w:shd w:val="clear" w:color="auto" w:fill="FFFFFF" w:themeFill="background1"/>
          </w:tcPr>
          <w:p w14:paraId="0246D4E1" w14:textId="77777777" w:rsidR="00335959" w:rsidRPr="00E61193" w:rsidRDefault="00335959" w:rsidP="00546C21">
            <w:pPr>
              <w:pStyle w:val="TableBodyText"/>
            </w:pPr>
          </w:p>
        </w:tc>
        <w:tc>
          <w:tcPr>
            <w:tcW w:w="1943" w:type="pct"/>
          </w:tcPr>
          <w:p w14:paraId="72617FB2" w14:textId="39F70790" w:rsidR="00335959" w:rsidRPr="00E61193" w:rsidRDefault="00335959" w:rsidP="00546C21">
            <w:pPr>
              <w:pStyle w:val="TableBodyText"/>
            </w:pPr>
            <w:r w:rsidRPr="00E61193">
              <w:t>Qualified applicants per vacancy (no.)</w:t>
            </w:r>
          </w:p>
        </w:tc>
        <w:tc>
          <w:tcPr>
            <w:tcW w:w="752" w:type="pct"/>
          </w:tcPr>
          <w:p w14:paraId="216CC635" w14:textId="6CAF5F56" w:rsidR="00335959" w:rsidRPr="00E61193" w:rsidRDefault="00335959" w:rsidP="00546C21">
            <w:pPr>
              <w:pStyle w:val="TableBodyTextright"/>
            </w:pPr>
            <w:r w:rsidRPr="00E61193">
              <w:t>6.0</w:t>
            </w:r>
          </w:p>
        </w:tc>
        <w:tc>
          <w:tcPr>
            <w:tcW w:w="752" w:type="pct"/>
          </w:tcPr>
          <w:p w14:paraId="64FC9114" w14:textId="670072C5" w:rsidR="00335959" w:rsidRPr="00E61193" w:rsidRDefault="004F000C" w:rsidP="00546C21">
            <w:pPr>
              <w:pStyle w:val="TableBodyTextright"/>
            </w:pPr>
            <w:r>
              <w:t>▲</w:t>
            </w:r>
            <w:r w:rsidR="00335959" w:rsidRPr="00E61193">
              <w:t>0.3</w:t>
            </w:r>
          </w:p>
        </w:tc>
        <w:tc>
          <w:tcPr>
            <w:tcW w:w="752" w:type="pct"/>
          </w:tcPr>
          <w:p w14:paraId="4856A473" w14:textId="09545BF6" w:rsidR="00335959" w:rsidRPr="00E61193" w:rsidRDefault="004F000C" w:rsidP="00546C21">
            <w:pPr>
              <w:pStyle w:val="TableBodyTextright"/>
            </w:pPr>
            <w:r>
              <w:t>▲</w:t>
            </w:r>
            <w:r w:rsidR="00335959" w:rsidRPr="00E61193">
              <w:t>2.3</w:t>
            </w:r>
          </w:p>
        </w:tc>
      </w:tr>
      <w:tr w:rsidR="004C743E" w14:paraId="1CB814A1"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0D504CCC" w14:textId="77777777" w:rsidR="00335959" w:rsidRPr="00E61193" w:rsidRDefault="00335959" w:rsidP="00546C21">
            <w:pPr>
              <w:pStyle w:val="TableBodyText"/>
            </w:pPr>
          </w:p>
        </w:tc>
        <w:tc>
          <w:tcPr>
            <w:tcW w:w="1943" w:type="pct"/>
            <w:tcBorders>
              <w:bottom w:val="single" w:sz="4" w:space="0" w:color="D9D9D9" w:themeColor="background1" w:themeShade="D9"/>
            </w:tcBorders>
          </w:tcPr>
          <w:p w14:paraId="5C9ED43F" w14:textId="09D4C6BB" w:rsidR="00335959" w:rsidRPr="00E61193" w:rsidRDefault="00335959" w:rsidP="00546C21">
            <w:pPr>
              <w:pStyle w:val="TableBodyText"/>
            </w:pPr>
            <w:r w:rsidRPr="00E61193">
              <w:t>Suitable applicants per vacancy (no.)</w:t>
            </w:r>
          </w:p>
        </w:tc>
        <w:tc>
          <w:tcPr>
            <w:tcW w:w="752" w:type="pct"/>
            <w:tcBorders>
              <w:bottom w:val="single" w:sz="4" w:space="0" w:color="D9D9D9" w:themeColor="background1" w:themeShade="D9"/>
            </w:tcBorders>
          </w:tcPr>
          <w:p w14:paraId="5441602F" w14:textId="4FEFBF42" w:rsidR="00335959" w:rsidRPr="00E61193" w:rsidRDefault="00335959" w:rsidP="00546C21">
            <w:pPr>
              <w:pStyle w:val="TableBodyTextright"/>
            </w:pPr>
            <w:r w:rsidRPr="00E61193">
              <w:t>3.8</w:t>
            </w:r>
          </w:p>
        </w:tc>
        <w:tc>
          <w:tcPr>
            <w:tcW w:w="752" w:type="pct"/>
            <w:tcBorders>
              <w:bottom w:val="single" w:sz="4" w:space="0" w:color="D9D9D9" w:themeColor="background1" w:themeShade="D9"/>
            </w:tcBorders>
          </w:tcPr>
          <w:p w14:paraId="6B13C91B" w14:textId="5546E6AB" w:rsidR="00335959" w:rsidRPr="00E61193" w:rsidRDefault="004F000C" w:rsidP="00546C21">
            <w:pPr>
              <w:pStyle w:val="TableBodyTextright"/>
            </w:pPr>
            <w:r>
              <w:t>▼</w:t>
            </w:r>
            <w:r w:rsidR="00335959" w:rsidRPr="00E61193">
              <w:t>0.3</w:t>
            </w:r>
          </w:p>
        </w:tc>
        <w:tc>
          <w:tcPr>
            <w:tcW w:w="752" w:type="pct"/>
            <w:tcBorders>
              <w:bottom w:val="single" w:sz="4" w:space="0" w:color="D9D9D9" w:themeColor="background1" w:themeShade="D9"/>
            </w:tcBorders>
          </w:tcPr>
          <w:p w14:paraId="71170F6F" w14:textId="15CDCC34" w:rsidR="00335959" w:rsidRPr="00E61193" w:rsidRDefault="004F000C" w:rsidP="00546C21">
            <w:pPr>
              <w:pStyle w:val="TableBodyTextright"/>
            </w:pPr>
            <w:r>
              <w:t>▲</w:t>
            </w:r>
            <w:r w:rsidR="00335959" w:rsidRPr="00E61193">
              <w:t>1.0</w:t>
            </w:r>
          </w:p>
        </w:tc>
      </w:tr>
      <w:tr w:rsidR="00335959" w14:paraId="210E0A58" w14:textId="77777777" w:rsidTr="00B71A03">
        <w:tc>
          <w:tcPr>
            <w:tcW w:w="801" w:type="pct"/>
            <w:vMerge w:val="restart"/>
            <w:tcBorders>
              <w:top w:val="single" w:sz="4" w:space="0" w:color="D9D9D9" w:themeColor="background1" w:themeShade="D9"/>
            </w:tcBorders>
            <w:shd w:val="clear" w:color="auto" w:fill="FFFFFF" w:themeFill="background1"/>
          </w:tcPr>
          <w:p w14:paraId="5C8A1F6D" w14:textId="7B827C74" w:rsidR="00335959" w:rsidRPr="00E61193" w:rsidRDefault="00335959" w:rsidP="00546C21">
            <w:pPr>
              <w:pStyle w:val="TableBodyText"/>
            </w:pPr>
            <w:r w:rsidRPr="00E61193">
              <w:t xml:space="preserve">Machinery Operators and Drivers </w:t>
            </w:r>
          </w:p>
        </w:tc>
        <w:tc>
          <w:tcPr>
            <w:tcW w:w="1943" w:type="pct"/>
            <w:tcBorders>
              <w:top w:val="single" w:sz="4" w:space="0" w:color="D9D9D9" w:themeColor="background1" w:themeShade="D9"/>
            </w:tcBorders>
          </w:tcPr>
          <w:p w14:paraId="39E48791" w14:textId="30798AAC" w:rsidR="00335959" w:rsidRPr="00E61193" w:rsidRDefault="00335959" w:rsidP="00546C21">
            <w:pPr>
              <w:pStyle w:val="TableBodyText"/>
            </w:pPr>
            <w:r w:rsidRPr="00E61193">
              <w:t>Vacancy fill rate (%)</w:t>
            </w:r>
          </w:p>
        </w:tc>
        <w:tc>
          <w:tcPr>
            <w:tcW w:w="752" w:type="pct"/>
            <w:tcBorders>
              <w:top w:val="single" w:sz="4" w:space="0" w:color="D9D9D9" w:themeColor="background1" w:themeShade="D9"/>
            </w:tcBorders>
          </w:tcPr>
          <w:p w14:paraId="0F319FE5" w14:textId="472130AF" w:rsidR="00335959" w:rsidRPr="00E61193" w:rsidRDefault="00335959" w:rsidP="00546C21">
            <w:pPr>
              <w:pStyle w:val="TableBodyTextright"/>
            </w:pPr>
            <w:r w:rsidRPr="00E61193">
              <w:t>68.3%</w:t>
            </w:r>
          </w:p>
        </w:tc>
        <w:tc>
          <w:tcPr>
            <w:tcW w:w="752" w:type="pct"/>
            <w:tcBorders>
              <w:top w:val="single" w:sz="4" w:space="0" w:color="D9D9D9" w:themeColor="background1" w:themeShade="D9"/>
            </w:tcBorders>
          </w:tcPr>
          <w:p w14:paraId="7DCFBBFA" w14:textId="4149191A" w:rsidR="00335959" w:rsidRPr="00E61193" w:rsidRDefault="004F000C" w:rsidP="00546C21">
            <w:pPr>
              <w:pStyle w:val="TableBodyTextright"/>
            </w:pPr>
            <w:r>
              <w:t>▼</w:t>
            </w:r>
            <w:r w:rsidR="00335959" w:rsidRPr="00E61193">
              <w:t>1.2% pts</w:t>
            </w:r>
          </w:p>
        </w:tc>
        <w:tc>
          <w:tcPr>
            <w:tcW w:w="752" w:type="pct"/>
            <w:tcBorders>
              <w:top w:val="single" w:sz="4" w:space="0" w:color="D9D9D9" w:themeColor="background1" w:themeShade="D9"/>
            </w:tcBorders>
          </w:tcPr>
          <w:p w14:paraId="256B50F8" w14:textId="4C49F2BC" w:rsidR="00335959" w:rsidRPr="00E61193" w:rsidRDefault="004F000C" w:rsidP="00546C21">
            <w:pPr>
              <w:pStyle w:val="TableBodyTextright"/>
            </w:pPr>
            <w:r>
              <w:t>▼</w:t>
            </w:r>
            <w:r w:rsidR="00335959" w:rsidRPr="00E61193">
              <w:t>1.7% pts</w:t>
            </w:r>
          </w:p>
        </w:tc>
      </w:tr>
      <w:tr w:rsidR="009F0F0E" w14:paraId="1B32F6B0"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32AF9A0D" w14:textId="77777777" w:rsidR="00335959" w:rsidRPr="00E61193" w:rsidRDefault="00335959" w:rsidP="00546C21">
            <w:pPr>
              <w:pStyle w:val="TableBodyText"/>
            </w:pPr>
          </w:p>
        </w:tc>
        <w:tc>
          <w:tcPr>
            <w:tcW w:w="1943" w:type="pct"/>
          </w:tcPr>
          <w:p w14:paraId="15B5B486" w14:textId="08075643" w:rsidR="00335959" w:rsidRPr="00E61193" w:rsidRDefault="00335959" w:rsidP="00546C21">
            <w:pPr>
              <w:pStyle w:val="TableBodyText"/>
            </w:pPr>
            <w:r w:rsidRPr="00E61193">
              <w:t>Applicants per vacancy (no.)</w:t>
            </w:r>
          </w:p>
        </w:tc>
        <w:tc>
          <w:tcPr>
            <w:tcW w:w="752" w:type="pct"/>
          </w:tcPr>
          <w:p w14:paraId="76DB3D50" w14:textId="008747CB" w:rsidR="00335959" w:rsidRPr="00E61193" w:rsidRDefault="00335959" w:rsidP="00546C21">
            <w:pPr>
              <w:pStyle w:val="TableBodyTextright"/>
            </w:pPr>
            <w:r w:rsidRPr="00E61193">
              <w:t>27.2</w:t>
            </w:r>
          </w:p>
        </w:tc>
        <w:tc>
          <w:tcPr>
            <w:tcW w:w="752" w:type="pct"/>
          </w:tcPr>
          <w:p w14:paraId="53CC0E96" w14:textId="1DEF055C" w:rsidR="00335959" w:rsidRPr="00E61193" w:rsidRDefault="004F000C" w:rsidP="00546C21">
            <w:pPr>
              <w:pStyle w:val="TableBodyTextright"/>
            </w:pPr>
            <w:r>
              <w:t>▼</w:t>
            </w:r>
            <w:r w:rsidR="00335959" w:rsidRPr="00E61193">
              <w:t>4.5</w:t>
            </w:r>
          </w:p>
        </w:tc>
        <w:tc>
          <w:tcPr>
            <w:tcW w:w="752" w:type="pct"/>
          </w:tcPr>
          <w:p w14:paraId="56587951" w14:textId="17A8BEAA" w:rsidR="00335959" w:rsidRPr="00E61193" w:rsidRDefault="004F000C" w:rsidP="00546C21">
            <w:pPr>
              <w:pStyle w:val="TableBodyTextright"/>
            </w:pPr>
            <w:r>
              <w:t>▲</w:t>
            </w:r>
            <w:r w:rsidR="00335959" w:rsidRPr="00E61193">
              <w:t>2.5</w:t>
            </w:r>
          </w:p>
        </w:tc>
      </w:tr>
      <w:tr w:rsidR="00335959" w14:paraId="23C03A00" w14:textId="77777777" w:rsidTr="00B71A03">
        <w:tc>
          <w:tcPr>
            <w:tcW w:w="801" w:type="pct"/>
            <w:vMerge/>
            <w:shd w:val="clear" w:color="auto" w:fill="FFFFFF" w:themeFill="background1"/>
          </w:tcPr>
          <w:p w14:paraId="0D2E84C0" w14:textId="77777777" w:rsidR="00335959" w:rsidRPr="00E61193" w:rsidRDefault="00335959" w:rsidP="00546C21">
            <w:pPr>
              <w:pStyle w:val="TableBodyText"/>
            </w:pPr>
          </w:p>
        </w:tc>
        <w:tc>
          <w:tcPr>
            <w:tcW w:w="1943" w:type="pct"/>
          </w:tcPr>
          <w:p w14:paraId="4CA75FD0" w14:textId="019B68AF" w:rsidR="00335959" w:rsidRPr="00E61193" w:rsidRDefault="00335959" w:rsidP="00546C21">
            <w:pPr>
              <w:pStyle w:val="TableBodyText"/>
            </w:pPr>
            <w:r w:rsidRPr="00E61193">
              <w:t>Qualified applicants per vacancy (no.)</w:t>
            </w:r>
          </w:p>
        </w:tc>
        <w:tc>
          <w:tcPr>
            <w:tcW w:w="752" w:type="pct"/>
          </w:tcPr>
          <w:p w14:paraId="4C1392E4" w14:textId="4C9FFCD3" w:rsidR="00335959" w:rsidRPr="00E61193" w:rsidRDefault="00335959" w:rsidP="00546C21">
            <w:pPr>
              <w:pStyle w:val="TableBodyTextright"/>
            </w:pPr>
            <w:r w:rsidRPr="00E61193">
              <w:t>8.6</w:t>
            </w:r>
          </w:p>
        </w:tc>
        <w:tc>
          <w:tcPr>
            <w:tcW w:w="752" w:type="pct"/>
          </w:tcPr>
          <w:p w14:paraId="25F716FC" w14:textId="0EFA78BA" w:rsidR="00335959" w:rsidRPr="00E61193" w:rsidRDefault="004F000C" w:rsidP="00546C21">
            <w:pPr>
              <w:pStyle w:val="TableBodyTextright"/>
            </w:pPr>
            <w:r>
              <w:t>▼</w:t>
            </w:r>
            <w:r w:rsidR="00335959" w:rsidRPr="00E61193">
              <w:t>2.1</w:t>
            </w:r>
          </w:p>
        </w:tc>
        <w:tc>
          <w:tcPr>
            <w:tcW w:w="752" w:type="pct"/>
          </w:tcPr>
          <w:p w14:paraId="13399971" w14:textId="357C2A69" w:rsidR="00335959" w:rsidRPr="00E61193" w:rsidRDefault="004F000C" w:rsidP="00546C21">
            <w:pPr>
              <w:pStyle w:val="TableBodyTextright"/>
            </w:pPr>
            <w:r>
              <w:t>▼</w:t>
            </w:r>
            <w:r w:rsidR="00335959" w:rsidRPr="00E61193">
              <w:t>0.8</w:t>
            </w:r>
          </w:p>
        </w:tc>
      </w:tr>
      <w:tr w:rsidR="009F0F0E" w14:paraId="2185E987" w14:textId="77777777" w:rsidTr="00B71A03">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207DE373" w14:textId="77777777" w:rsidR="00335959" w:rsidRPr="00E61193" w:rsidRDefault="00335959" w:rsidP="00546C21">
            <w:pPr>
              <w:pStyle w:val="TableBodyText"/>
            </w:pPr>
          </w:p>
        </w:tc>
        <w:tc>
          <w:tcPr>
            <w:tcW w:w="1943" w:type="pct"/>
          </w:tcPr>
          <w:p w14:paraId="188B7744" w14:textId="2FD6558A" w:rsidR="00335959" w:rsidRPr="00E61193" w:rsidRDefault="00335959" w:rsidP="00546C21">
            <w:pPr>
              <w:pStyle w:val="TableBodyText"/>
            </w:pPr>
            <w:r w:rsidRPr="00E61193">
              <w:t>Suitable applicants per vacancy (no.)</w:t>
            </w:r>
          </w:p>
        </w:tc>
        <w:tc>
          <w:tcPr>
            <w:tcW w:w="752" w:type="pct"/>
          </w:tcPr>
          <w:p w14:paraId="396B1FEE" w14:textId="18095727" w:rsidR="00335959" w:rsidRPr="00E61193" w:rsidRDefault="00335959" w:rsidP="00546C21">
            <w:pPr>
              <w:pStyle w:val="TableBodyTextright"/>
            </w:pPr>
            <w:r w:rsidRPr="00E61193">
              <w:t>4.7</w:t>
            </w:r>
          </w:p>
        </w:tc>
        <w:tc>
          <w:tcPr>
            <w:tcW w:w="752" w:type="pct"/>
          </w:tcPr>
          <w:p w14:paraId="5DB4B817" w14:textId="2F6E9009" w:rsidR="00335959" w:rsidRPr="00E61193" w:rsidRDefault="004F000C" w:rsidP="00546C21">
            <w:pPr>
              <w:pStyle w:val="TableBodyTextright"/>
            </w:pPr>
            <w:r>
              <w:t>▲</w:t>
            </w:r>
            <w:r w:rsidR="00335959" w:rsidRPr="00E61193">
              <w:t>0.1</w:t>
            </w:r>
          </w:p>
        </w:tc>
        <w:tc>
          <w:tcPr>
            <w:tcW w:w="752" w:type="pct"/>
          </w:tcPr>
          <w:p w14:paraId="790720E5" w14:textId="558C41A4" w:rsidR="00335959" w:rsidRPr="00E61193" w:rsidRDefault="004F000C" w:rsidP="00546C21">
            <w:pPr>
              <w:pStyle w:val="TableBodyTextright"/>
            </w:pPr>
            <w:r>
              <w:t>▲</w:t>
            </w:r>
            <w:r w:rsidR="00335959" w:rsidRPr="00E61193">
              <w:t>1.3</w:t>
            </w:r>
          </w:p>
        </w:tc>
      </w:tr>
    </w:tbl>
    <w:p w14:paraId="07340789" w14:textId="624B6F84" w:rsidR="00335959" w:rsidRDefault="00F85B44" w:rsidP="00B50E6A">
      <w:pPr>
        <w:pStyle w:val="Source"/>
      </w:pPr>
      <w:r w:rsidRPr="00F1504D">
        <w:t>Source: Jobs and Skills Australia, S</w:t>
      </w:r>
      <w:r>
        <w:t>ERA.</w:t>
      </w:r>
    </w:p>
    <w:tbl>
      <w:tblPr>
        <w:tblStyle w:val="CustomTablebasic"/>
        <w:tblW w:w="5091" w:type="pct"/>
        <w:tblLook w:val="04A0" w:firstRow="1" w:lastRow="0" w:firstColumn="1" w:lastColumn="0" w:noHBand="0" w:noVBand="1"/>
      </w:tblPr>
      <w:tblGrid>
        <w:gridCol w:w="1473"/>
        <w:gridCol w:w="3572"/>
        <w:gridCol w:w="1382"/>
        <w:gridCol w:w="1382"/>
        <w:gridCol w:w="1382"/>
      </w:tblGrid>
      <w:tr w:rsidR="00EE3D1C" w14:paraId="6CE611E4"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389078EA" w14:textId="77777777" w:rsidR="001427BC" w:rsidRPr="00E61193" w:rsidRDefault="001427BC" w:rsidP="007F33F6">
            <w:pPr>
              <w:pStyle w:val="TableHeading1"/>
            </w:pPr>
            <w:r w:rsidRPr="00E61193">
              <w:lastRenderedPageBreak/>
              <w:t xml:space="preserve">Major group  </w:t>
            </w:r>
          </w:p>
        </w:tc>
        <w:tc>
          <w:tcPr>
            <w:tcW w:w="1943" w:type="pct"/>
          </w:tcPr>
          <w:p w14:paraId="197B81F3" w14:textId="77777777" w:rsidR="001427BC" w:rsidRPr="00E61193" w:rsidRDefault="001427BC" w:rsidP="007F33F6">
            <w:pPr>
              <w:pStyle w:val="TableHeading1"/>
            </w:pPr>
            <w:r w:rsidRPr="00E61193">
              <w:t xml:space="preserve"> </w:t>
            </w:r>
          </w:p>
        </w:tc>
        <w:tc>
          <w:tcPr>
            <w:tcW w:w="752" w:type="pct"/>
          </w:tcPr>
          <w:p w14:paraId="3235120F" w14:textId="77777777" w:rsidR="001427BC" w:rsidRPr="00E61193" w:rsidRDefault="001427BC" w:rsidP="007F33F6">
            <w:pPr>
              <w:pStyle w:val="TableHeading1"/>
            </w:pPr>
            <w:r w:rsidRPr="00E61193">
              <w:t>June quarter 2025</w:t>
            </w:r>
          </w:p>
        </w:tc>
        <w:tc>
          <w:tcPr>
            <w:tcW w:w="752" w:type="pct"/>
          </w:tcPr>
          <w:p w14:paraId="39028791" w14:textId="77777777" w:rsidR="001427BC" w:rsidRPr="00E61193" w:rsidRDefault="001427BC" w:rsidP="007F33F6">
            <w:pPr>
              <w:pStyle w:val="TableHeading1"/>
            </w:pPr>
            <w:r w:rsidRPr="00E61193">
              <w:t xml:space="preserve">Change over the quarter </w:t>
            </w:r>
          </w:p>
        </w:tc>
        <w:tc>
          <w:tcPr>
            <w:tcW w:w="752" w:type="pct"/>
          </w:tcPr>
          <w:p w14:paraId="31178F68" w14:textId="77777777" w:rsidR="001427BC" w:rsidRPr="00E61193" w:rsidRDefault="001427BC" w:rsidP="007F33F6">
            <w:pPr>
              <w:pStyle w:val="TableHeading1"/>
            </w:pPr>
            <w:r w:rsidRPr="00E61193">
              <w:t xml:space="preserve">Change over 12 months </w:t>
            </w:r>
          </w:p>
        </w:tc>
      </w:tr>
      <w:tr w:rsidR="001427BC" w14:paraId="14317382" w14:textId="77777777" w:rsidTr="007F33F6">
        <w:tc>
          <w:tcPr>
            <w:tcW w:w="801" w:type="pct"/>
            <w:vMerge w:val="restart"/>
            <w:tcBorders>
              <w:bottom w:val="single" w:sz="4" w:space="0" w:color="auto"/>
            </w:tcBorders>
            <w:shd w:val="clear" w:color="auto" w:fill="FFFFFF" w:themeFill="background1"/>
          </w:tcPr>
          <w:p w14:paraId="3DF32B04" w14:textId="77777777" w:rsidR="001427BC" w:rsidRPr="00E61193" w:rsidRDefault="001427BC" w:rsidP="001427BC">
            <w:pPr>
              <w:pStyle w:val="TableBodyText"/>
            </w:pPr>
            <w:r w:rsidRPr="00BF2565">
              <w:t xml:space="preserve">Labourers </w:t>
            </w:r>
          </w:p>
          <w:p w14:paraId="4C7E5105" w14:textId="7B95D401" w:rsidR="001427BC" w:rsidRPr="00E61193" w:rsidRDefault="001427BC" w:rsidP="001427BC">
            <w:pPr>
              <w:pStyle w:val="TableBodyText"/>
            </w:pPr>
          </w:p>
        </w:tc>
        <w:tc>
          <w:tcPr>
            <w:tcW w:w="1943" w:type="pct"/>
          </w:tcPr>
          <w:p w14:paraId="24F71DBC" w14:textId="22508AFB" w:rsidR="001427BC" w:rsidRPr="00E61193" w:rsidRDefault="001427BC" w:rsidP="001427BC">
            <w:pPr>
              <w:pStyle w:val="TableBodyText"/>
            </w:pPr>
            <w:r w:rsidRPr="00BF2565">
              <w:t>Vacancy fill rate (%)</w:t>
            </w:r>
          </w:p>
        </w:tc>
        <w:tc>
          <w:tcPr>
            <w:tcW w:w="752" w:type="pct"/>
          </w:tcPr>
          <w:p w14:paraId="373C84DF" w14:textId="54039131" w:rsidR="001427BC" w:rsidRPr="00E61193" w:rsidRDefault="001427BC" w:rsidP="001427BC">
            <w:pPr>
              <w:pStyle w:val="TableBodyTextright"/>
            </w:pPr>
            <w:r w:rsidRPr="00BF2565">
              <w:t>65.3%</w:t>
            </w:r>
          </w:p>
        </w:tc>
        <w:tc>
          <w:tcPr>
            <w:tcW w:w="752" w:type="pct"/>
          </w:tcPr>
          <w:p w14:paraId="27C2351B" w14:textId="05863FEA" w:rsidR="001427BC" w:rsidRPr="00E61193" w:rsidRDefault="001427BC" w:rsidP="001427BC">
            <w:pPr>
              <w:pStyle w:val="TableBodyTextright"/>
            </w:pPr>
            <w:r w:rsidRPr="00BF2565">
              <w:rPr>
                <w:rFonts w:cs="Arial"/>
              </w:rPr>
              <w:t>▼</w:t>
            </w:r>
            <w:r w:rsidRPr="00BF2565">
              <w:t>1.2% pts</w:t>
            </w:r>
          </w:p>
        </w:tc>
        <w:tc>
          <w:tcPr>
            <w:tcW w:w="752" w:type="pct"/>
          </w:tcPr>
          <w:p w14:paraId="607C1B55" w14:textId="3FB0C582" w:rsidR="001427BC" w:rsidRPr="00E61193" w:rsidRDefault="001427BC" w:rsidP="001427BC">
            <w:pPr>
              <w:pStyle w:val="TableBodyTextright"/>
            </w:pPr>
            <w:r w:rsidRPr="00BF2565">
              <w:rPr>
                <w:rFonts w:cs="Arial"/>
              </w:rPr>
              <w:t>▲</w:t>
            </w:r>
            <w:r w:rsidRPr="00BF2565">
              <w:t>8.1% pts</w:t>
            </w:r>
          </w:p>
        </w:tc>
      </w:tr>
      <w:tr w:rsidR="004C743E" w14:paraId="2E677102"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4828FDB8" w14:textId="77777777" w:rsidR="001427BC" w:rsidRPr="00E61193" w:rsidRDefault="001427BC" w:rsidP="001427BC">
            <w:pPr>
              <w:pStyle w:val="TableBodyText"/>
            </w:pPr>
          </w:p>
        </w:tc>
        <w:tc>
          <w:tcPr>
            <w:tcW w:w="1943" w:type="pct"/>
          </w:tcPr>
          <w:p w14:paraId="679A5E39" w14:textId="2D0660F0" w:rsidR="001427BC" w:rsidRPr="00E61193" w:rsidRDefault="001427BC" w:rsidP="001427BC">
            <w:pPr>
              <w:pStyle w:val="TableBodyText"/>
            </w:pPr>
            <w:r w:rsidRPr="00BF2565">
              <w:t>Applicants per vacancy (no.)</w:t>
            </w:r>
          </w:p>
        </w:tc>
        <w:tc>
          <w:tcPr>
            <w:tcW w:w="752" w:type="pct"/>
          </w:tcPr>
          <w:p w14:paraId="281D9D81" w14:textId="67ABC27E" w:rsidR="001427BC" w:rsidRPr="00E61193" w:rsidRDefault="001427BC" w:rsidP="001427BC">
            <w:pPr>
              <w:pStyle w:val="TableBodyTextright"/>
            </w:pPr>
            <w:r w:rsidRPr="00BF2565">
              <w:t>16.8</w:t>
            </w:r>
          </w:p>
        </w:tc>
        <w:tc>
          <w:tcPr>
            <w:tcW w:w="752" w:type="pct"/>
          </w:tcPr>
          <w:p w14:paraId="13302DD1" w14:textId="37F837FF" w:rsidR="001427BC" w:rsidRPr="00E61193" w:rsidRDefault="001427BC" w:rsidP="001427BC">
            <w:pPr>
              <w:pStyle w:val="TableBodyTextright"/>
            </w:pPr>
            <w:r w:rsidRPr="00BF2565">
              <w:rPr>
                <w:rFonts w:cs="Arial"/>
              </w:rPr>
              <w:t>▲</w:t>
            </w:r>
            <w:r w:rsidRPr="00BF2565">
              <w:t>0.3</w:t>
            </w:r>
          </w:p>
        </w:tc>
        <w:tc>
          <w:tcPr>
            <w:tcW w:w="752" w:type="pct"/>
          </w:tcPr>
          <w:p w14:paraId="3A5A5722" w14:textId="12EF45D3" w:rsidR="001427BC" w:rsidRPr="00E61193" w:rsidRDefault="001427BC" w:rsidP="001427BC">
            <w:pPr>
              <w:pStyle w:val="TableBodyTextright"/>
            </w:pPr>
            <w:r w:rsidRPr="00BF2565">
              <w:rPr>
                <w:rFonts w:cs="Arial"/>
              </w:rPr>
              <w:t>▲</w:t>
            </w:r>
            <w:r w:rsidRPr="00BF2565">
              <w:t>6.2</w:t>
            </w:r>
          </w:p>
        </w:tc>
      </w:tr>
      <w:tr w:rsidR="001427BC" w14:paraId="24980319" w14:textId="77777777" w:rsidTr="007F33F6">
        <w:tc>
          <w:tcPr>
            <w:tcW w:w="801" w:type="pct"/>
            <w:vMerge/>
            <w:tcBorders>
              <w:bottom w:val="single" w:sz="4" w:space="0" w:color="auto"/>
            </w:tcBorders>
            <w:shd w:val="clear" w:color="auto" w:fill="FFFFFF" w:themeFill="background1"/>
          </w:tcPr>
          <w:p w14:paraId="07A5975B" w14:textId="77777777" w:rsidR="001427BC" w:rsidRPr="00E61193" w:rsidRDefault="001427BC" w:rsidP="001427BC">
            <w:pPr>
              <w:pStyle w:val="TableBodyText"/>
            </w:pPr>
          </w:p>
        </w:tc>
        <w:tc>
          <w:tcPr>
            <w:tcW w:w="1943" w:type="pct"/>
          </w:tcPr>
          <w:p w14:paraId="76AC27F1" w14:textId="0ECF2786" w:rsidR="001427BC" w:rsidRPr="00E61193" w:rsidRDefault="001427BC" w:rsidP="001427BC">
            <w:pPr>
              <w:pStyle w:val="TableBodyText"/>
            </w:pPr>
            <w:r w:rsidRPr="00BF2565">
              <w:t>Qualified applicants per vacancy (no.)</w:t>
            </w:r>
          </w:p>
        </w:tc>
        <w:tc>
          <w:tcPr>
            <w:tcW w:w="752" w:type="pct"/>
          </w:tcPr>
          <w:p w14:paraId="458536FF" w14:textId="7DA05F9E" w:rsidR="001427BC" w:rsidRPr="00E61193" w:rsidRDefault="001427BC" w:rsidP="001427BC">
            <w:pPr>
              <w:pStyle w:val="TableBodyTextright"/>
            </w:pPr>
            <w:r w:rsidRPr="00BF2565">
              <w:t>5.0</w:t>
            </w:r>
          </w:p>
        </w:tc>
        <w:tc>
          <w:tcPr>
            <w:tcW w:w="752" w:type="pct"/>
          </w:tcPr>
          <w:p w14:paraId="229BA496" w14:textId="4CEC4AAE" w:rsidR="001427BC" w:rsidRPr="00E61193" w:rsidRDefault="001427BC" w:rsidP="001427BC">
            <w:pPr>
              <w:pStyle w:val="TableBodyTextright"/>
            </w:pPr>
            <w:r w:rsidRPr="00BF2565">
              <w:rPr>
                <w:rFonts w:cs="Arial"/>
              </w:rPr>
              <w:t>▲</w:t>
            </w:r>
            <w:r w:rsidRPr="00BF2565">
              <w:t>0.5</w:t>
            </w:r>
          </w:p>
        </w:tc>
        <w:tc>
          <w:tcPr>
            <w:tcW w:w="752" w:type="pct"/>
          </w:tcPr>
          <w:p w14:paraId="4805E110" w14:textId="554A087E" w:rsidR="001427BC" w:rsidRPr="00E61193" w:rsidRDefault="001427BC" w:rsidP="001427BC">
            <w:pPr>
              <w:pStyle w:val="TableBodyTextright"/>
            </w:pPr>
            <w:r w:rsidRPr="00BF2565">
              <w:rPr>
                <w:rFonts w:cs="Arial"/>
              </w:rPr>
              <w:t>▲</w:t>
            </w:r>
            <w:r w:rsidRPr="00BF2565">
              <w:t>1.8</w:t>
            </w:r>
          </w:p>
        </w:tc>
      </w:tr>
      <w:tr w:rsidR="004C743E" w14:paraId="5FF2E47E"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6BB9937" w14:textId="77777777" w:rsidR="001427BC" w:rsidRPr="00E61193" w:rsidRDefault="001427BC" w:rsidP="001427BC">
            <w:pPr>
              <w:pStyle w:val="TableBodyText"/>
            </w:pPr>
          </w:p>
        </w:tc>
        <w:tc>
          <w:tcPr>
            <w:tcW w:w="1943" w:type="pct"/>
            <w:tcBorders>
              <w:bottom w:val="single" w:sz="4" w:space="0" w:color="D9D9D9" w:themeColor="background1" w:themeShade="D9"/>
            </w:tcBorders>
          </w:tcPr>
          <w:p w14:paraId="15F1C998" w14:textId="4483980A" w:rsidR="001427BC" w:rsidRPr="00E61193" w:rsidRDefault="001427BC" w:rsidP="001427BC">
            <w:pPr>
              <w:pStyle w:val="TableBodyText"/>
            </w:pPr>
            <w:r w:rsidRPr="00BF2565">
              <w:t>Suitable applicants per vacancy (no.)</w:t>
            </w:r>
          </w:p>
        </w:tc>
        <w:tc>
          <w:tcPr>
            <w:tcW w:w="752" w:type="pct"/>
            <w:tcBorders>
              <w:bottom w:val="single" w:sz="4" w:space="0" w:color="D9D9D9" w:themeColor="background1" w:themeShade="D9"/>
            </w:tcBorders>
          </w:tcPr>
          <w:p w14:paraId="77CF945F" w14:textId="6CFB6AC5" w:rsidR="001427BC" w:rsidRPr="00E61193" w:rsidRDefault="001427BC" w:rsidP="001427BC">
            <w:pPr>
              <w:pStyle w:val="TableBodyTextright"/>
            </w:pPr>
            <w:r w:rsidRPr="00BF2565">
              <w:t>2.2</w:t>
            </w:r>
          </w:p>
        </w:tc>
        <w:tc>
          <w:tcPr>
            <w:tcW w:w="752" w:type="pct"/>
            <w:tcBorders>
              <w:bottom w:val="single" w:sz="4" w:space="0" w:color="D9D9D9" w:themeColor="background1" w:themeShade="D9"/>
            </w:tcBorders>
          </w:tcPr>
          <w:p w14:paraId="717BFDA4" w14:textId="0252AE97" w:rsidR="001427BC" w:rsidRPr="00E61193" w:rsidRDefault="001427BC" w:rsidP="001427BC">
            <w:pPr>
              <w:pStyle w:val="TableBodyTextright"/>
            </w:pPr>
            <w:r w:rsidRPr="00BF2565">
              <w:rPr>
                <w:rFonts w:cs="Arial"/>
              </w:rPr>
              <w:t>▼</w:t>
            </w:r>
            <w:r w:rsidRPr="00BF2565">
              <w:t>0.2</w:t>
            </w:r>
          </w:p>
        </w:tc>
        <w:tc>
          <w:tcPr>
            <w:tcW w:w="752" w:type="pct"/>
            <w:tcBorders>
              <w:bottom w:val="single" w:sz="4" w:space="0" w:color="D9D9D9" w:themeColor="background1" w:themeShade="D9"/>
            </w:tcBorders>
          </w:tcPr>
          <w:p w14:paraId="3CBE639B" w14:textId="2ED76114" w:rsidR="001427BC" w:rsidRPr="00E61193" w:rsidRDefault="001427BC" w:rsidP="001427BC">
            <w:pPr>
              <w:pStyle w:val="TableBodyTextright"/>
            </w:pPr>
            <w:r w:rsidRPr="00BF2565">
              <w:rPr>
                <w:rFonts w:cs="Arial"/>
              </w:rPr>
              <w:t>▲</w:t>
            </w:r>
            <w:r w:rsidRPr="00BF2565">
              <w:t>0.1</w:t>
            </w:r>
          </w:p>
        </w:tc>
      </w:tr>
    </w:tbl>
    <w:p w14:paraId="2E3CF894" w14:textId="0A9404C4" w:rsidR="00335959" w:rsidRDefault="00733EE8" w:rsidP="001257EF">
      <w:pPr>
        <w:pStyle w:val="Source"/>
      </w:pPr>
      <w:r w:rsidRPr="00F1504D">
        <w:t>Source: Jobs and Skills Australia, S</w:t>
      </w:r>
      <w:r>
        <w:t>ERA.</w:t>
      </w:r>
    </w:p>
    <w:p w14:paraId="4A9A6746" w14:textId="1473F60F" w:rsidR="00B75405" w:rsidRDefault="001C514A" w:rsidP="00B50E6A">
      <w:pPr>
        <w:pStyle w:val="BodyText"/>
      </w:pPr>
      <w:r>
        <w:t>F</w:t>
      </w:r>
      <w:r w:rsidRPr="00155903">
        <w:t xml:space="preserve">ill rates </w:t>
      </w:r>
      <w:r w:rsidR="00364A89">
        <w:t xml:space="preserve">increased for 3 major </w:t>
      </w:r>
      <w:r w:rsidR="00B75405">
        <w:t>groups in both June</w:t>
      </w:r>
      <w:r w:rsidR="00B75405" w:rsidRPr="00715D57">
        <w:t xml:space="preserve"> quarter 2025 and over the past 12</w:t>
      </w:r>
      <w:r w:rsidR="00B75405">
        <w:t> </w:t>
      </w:r>
      <w:r w:rsidR="00B75405" w:rsidRPr="00715D57">
        <w:t>months</w:t>
      </w:r>
      <w:r w:rsidR="00485FC9">
        <w:t xml:space="preserve">. </w:t>
      </w:r>
      <w:r w:rsidR="008B70CA">
        <w:t xml:space="preserve">These </w:t>
      </w:r>
      <w:r w:rsidR="00312EF2">
        <w:t>include Professionals, Technicians and Trades Workers, and Clerical and Administrative Workers.</w:t>
      </w:r>
    </w:p>
    <w:p w14:paraId="11124824" w14:textId="4181FB6A" w:rsidR="00D10649" w:rsidRDefault="00EE1724" w:rsidP="00BC0BCF">
      <w:pPr>
        <w:pStyle w:val="BodyText"/>
      </w:pPr>
      <w:r>
        <w:t xml:space="preserve">For </w:t>
      </w:r>
      <w:r w:rsidR="001C514A">
        <w:t>Technicians and Trades Workers</w:t>
      </w:r>
      <w:r w:rsidR="0034660F">
        <w:t xml:space="preserve">, the fill rate </w:t>
      </w:r>
      <w:r w:rsidR="00194D7F">
        <w:t xml:space="preserve">has </w:t>
      </w:r>
      <w:r w:rsidR="00D77415">
        <w:t>consi</w:t>
      </w:r>
      <w:r w:rsidR="00AE7234">
        <w:t xml:space="preserve">stently </w:t>
      </w:r>
      <w:r w:rsidR="001A4497">
        <w:t>improv</w:t>
      </w:r>
      <w:r w:rsidR="00AE7234">
        <w:t>e</w:t>
      </w:r>
      <w:r w:rsidR="00577635">
        <w:t>d</w:t>
      </w:r>
      <w:r w:rsidR="001A4497">
        <w:t xml:space="preserve"> over</w:t>
      </w:r>
      <w:r w:rsidR="00FC08CB">
        <w:t xml:space="preserve"> </w:t>
      </w:r>
      <w:r w:rsidR="001A4497">
        <w:t xml:space="preserve">time. </w:t>
      </w:r>
      <w:r w:rsidR="007B61EC">
        <w:t>The fill rate for the major group increased to 57.0%</w:t>
      </w:r>
      <w:r w:rsidR="00373695">
        <w:t xml:space="preserve"> in June quarter 2025</w:t>
      </w:r>
      <w:r w:rsidR="00364DDD">
        <w:t>:</w:t>
      </w:r>
      <w:r w:rsidR="008851FF">
        <w:t xml:space="preserve"> </w:t>
      </w:r>
    </w:p>
    <w:p w14:paraId="5DD03C23" w14:textId="0A5EA2BE" w:rsidR="00533F13" w:rsidRDefault="00D10649" w:rsidP="00D10649">
      <w:pPr>
        <w:pStyle w:val="ListBullet"/>
      </w:pPr>
      <w:r>
        <w:t xml:space="preserve">Over the quarter, this was a </w:t>
      </w:r>
      <w:r w:rsidR="008851FF">
        <w:t xml:space="preserve">1 percentage point </w:t>
      </w:r>
      <w:r>
        <w:t xml:space="preserve">improvement. </w:t>
      </w:r>
    </w:p>
    <w:p w14:paraId="170A2C9A" w14:textId="626AEB87" w:rsidR="00B50E6A" w:rsidRDefault="00D10649" w:rsidP="001257EF">
      <w:pPr>
        <w:pStyle w:val="ListBullet"/>
      </w:pPr>
      <w:r>
        <w:t xml:space="preserve">Over the last 12 months, this was a </w:t>
      </w:r>
      <w:r w:rsidR="00413A15">
        <w:t xml:space="preserve">5.2 percentage points </w:t>
      </w:r>
      <w:r>
        <w:t>improvement.</w:t>
      </w:r>
      <w:r w:rsidR="004A6162">
        <w:t xml:space="preserve"> </w:t>
      </w:r>
    </w:p>
    <w:p w14:paraId="17A21C64" w14:textId="3D4D4E66" w:rsidR="0000075B" w:rsidRDefault="009E768A" w:rsidP="00B50E6A">
      <w:pPr>
        <w:pStyle w:val="BodyText"/>
      </w:pPr>
      <w:r>
        <w:t>Metrics for t</w:t>
      </w:r>
      <w:r w:rsidR="00FF10E2">
        <w:t>otal, qualified and suitable</w:t>
      </w:r>
      <w:r w:rsidR="00FF10E2" w:rsidDel="0062310C">
        <w:t xml:space="preserve"> </w:t>
      </w:r>
      <w:r w:rsidR="00FF10E2">
        <w:t xml:space="preserve">applicants per vacancy </w:t>
      </w:r>
      <w:r w:rsidR="0000075B">
        <w:t xml:space="preserve">for </w:t>
      </w:r>
      <w:r w:rsidR="007E2A36">
        <w:t>Technicians and Trades Workers</w:t>
      </w:r>
      <w:r w:rsidR="007E2A36" w:rsidDel="007E2A36">
        <w:t xml:space="preserve"> </w:t>
      </w:r>
      <w:r w:rsidR="0000075B">
        <w:t>also improved i</w:t>
      </w:r>
      <w:r w:rsidR="001C514A">
        <w:t xml:space="preserve">n the June </w:t>
      </w:r>
      <w:r w:rsidR="00CD3D5B">
        <w:t>quarter </w:t>
      </w:r>
      <w:r w:rsidR="001C514A">
        <w:t>2025</w:t>
      </w:r>
      <w:r w:rsidR="0000075B">
        <w:t xml:space="preserve"> and over the past 12 months. </w:t>
      </w:r>
    </w:p>
    <w:p w14:paraId="5086F795" w14:textId="77777777" w:rsidR="00DD7CE2" w:rsidRDefault="00CF3E12" w:rsidP="00B50E6A">
      <w:pPr>
        <w:pStyle w:val="BodyText"/>
      </w:pPr>
      <w:r>
        <w:t xml:space="preserve">Fill rates fell </w:t>
      </w:r>
      <w:r w:rsidR="00272284">
        <w:t xml:space="preserve">over the June quarter 2025 and the </w:t>
      </w:r>
      <w:r w:rsidR="00132095">
        <w:t xml:space="preserve">last 12 months </w:t>
      </w:r>
      <w:r w:rsidR="00540450">
        <w:t xml:space="preserve">for </w:t>
      </w:r>
      <w:r w:rsidR="00C946E3">
        <w:t>Managers</w:t>
      </w:r>
      <w:r w:rsidR="00EA03D9">
        <w:t>,</w:t>
      </w:r>
      <w:r w:rsidR="009044AA">
        <w:t xml:space="preserve"> </w:t>
      </w:r>
      <w:r w:rsidR="00C946E3">
        <w:t>Community and Personal Service Workers</w:t>
      </w:r>
      <w:r w:rsidR="009044AA">
        <w:t xml:space="preserve">, and </w:t>
      </w:r>
      <w:r w:rsidR="00632D4A" w:rsidRPr="00E61193">
        <w:t>Machinery Operators and Drivers</w:t>
      </w:r>
      <w:r w:rsidR="001C514A">
        <w:t xml:space="preserve"> </w:t>
      </w:r>
      <w:r w:rsidR="00632D4A">
        <w:t xml:space="preserve">major groups. </w:t>
      </w:r>
      <w:r w:rsidR="00BB17DB">
        <w:t xml:space="preserve">Despite falling in both periods, the </w:t>
      </w:r>
      <w:r w:rsidR="00E04B8F">
        <w:t xml:space="preserve">June quarter 2025 </w:t>
      </w:r>
      <w:r w:rsidR="007B24E7">
        <w:t xml:space="preserve">fill </w:t>
      </w:r>
      <w:r w:rsidR="00BB17DB">
        <w:t>rate</w:t>
      </w:r>
      <w:r w:rsidR="001D2812">
        <w:t>s</w:t>
      </w:r>
      <w:r w:rsidR="00DD7CE2">
        <w:t>:</w:t>
      </w:r>
    </w:p>
    <w:p w14:paraId="74FC3A72" w14:textId="6C13B4C0" w:rsidR="00DD7CE2" w:rsidRDefault="007B24E7" w:rsidP="00DD7CE2">
      <w:pPr>
        <w:pStyle w:val="ListBullet"/>
      </w:pPr>
      <w:r>
        <w:t xml:space="preserve">remain </w:t>
      </w:r>
      <w:r w:rsidR="00BB17DB">
        <w:t xml:space="preserve">high at </w:t>
      </w:r>
      <w:r w:rsidR="00B8422D">
        <w:t>78.5%</w:t>
      </w:r>
      <w:r w:rsidR="00DD7CE2">
        <w:t xml:space="preserve"> for Managers</w:t>
      </w:r>
    </w:p>
    <w:p w14:paraId="65835244" w14:textId="24CF5CFB" w:rsidR="001C514A" w:rsidRDefault="00DD7CE2" w:rsidP="00F96253">
      <w:pPr>
        <w:pStyle w:val="ListBullet"/>
      </w:pPr>
      <w:r>
        <w:t xml:space="preserve">close to the </w:t>
      </w:r>
      <w:r w:rsidR="002278DA">
        <w:t xml:space="preserve">national-level rate for Community and Personal Service Workers, and </w:t>
      </w:r>
      <w:r w:rsidR="002278DA" w:rsidRPr="00E61193">
        <w:t>Machinery Operators and Drivers</w:t>
      </w:r>
      <w:r w:rsidR="002278DA">
        <w:t xml:space="preserve"> (</w:t>
      </w:r>
      <w:r w:rsidR="00B8422D">
        <w:t>68.6</w:t>
      </w:r>
      <w:r w:rsidR="009126CA">
        <w:t xml:space="preserve">% </w:t>
      </w:r>
      <w:r w:rsidR="00E04B8F">
        <w:t xml:space="preserve">and 68.3%, </w:t>
      </w:r>
      <w:r w:rsidR="009126CA">
        <w:t>respectively</w:t>
      </w:r>
      <w:r w:rsidR="00C44ED9">
        <w:t>)</w:t>
      </w:r>
      <w:r w:rsidR="009126CA">
        <w:t>.</w:t>
      </w:r>
    </w:p>
    <w:p w14:paraId="2145BFEC" w14:textId="77777777" w:rsidR="00D47244" w:rsidRDefault="00D47244">
      <w:pPr>
        <w:spacing w:before="0" w:after="200" w:line="276" w:lineRule="auto"/>
      </w:pPr>
      <w:r>
        <w:br w:type="page"/>
      </w:r>
    </w:p>
    <w:p w14:paraId="198B21F0" w14:textId="5105AB03" w:rsidR="00823FEE" w:rsidRPr="00823FEE" w:rsidRDefault="00E14FF2" w:rsidP="00823FEE">
      <w:pPr>
        <w:pStyle w:val="Heading1"/>
        <w:rPr>
          <w:rFonts w:eastAsia="MS PGothic"/>
        </w:rPr>
      </w:pPr>
      <w:bookmarkStart w:id="24" w:name="_Toc207977956"/>
      <w:r w:rsidRPr="00E14FF2">
        <w:rPr>
          <w:rFonts w:eastAsia="MS PGothic"/>
        </w:rPr>
        <w:lastRenderedPageBreak/>
        <w:t xml:space="preserve">Spotlight piece: the </w:t>
      </w:r>
      <w:r w:rsidR="00823FEE" w:rsidRPr="00823FEE">
        <w:rPr>
          <w:rFonts w:eastAsia="MS PGothic"/>
        </w:rPr>
        <w:t>Mismatch Index</w:t>
      </w:r>
      <w:bookmarkEnd w:id="24"/>
    </w:p>
    <w:p w14:paraId="1C72D65C" w14:textId="00D32528" w:rsidR="00823FEE" w:rsidRPr="00B42B0D" w:rsidRDefault="00823FEE" w:rsidP="00823FEE">
      <w:pPr>
        <w:pStyle w:val="BodyText"/>
      </w:pPr>
      <w:r w:rsidRPr="00B42B0D">
        <w:t>The mismatch index</w:t>
      </w:r>
      <w:r w:rsidR="00167C51">
        <w:t xml:space="preserve"> (MI)</w:t>
      </w:r>
      <w:r w:rsidRPr="00B42B0D">
        <w:t xml:space="preserve"> measures how unevenly vacancies and applicants in the labour market are distributed among different occupations.</w:t>
      </w:r>
      <w:r w:rsidR="00990E7F">
        <w:rPr>
          <w:rStyle w:val="FootnoteReference"/>
        </w:rPr>
        <w:footnoteReference w:id="5"/>
      </w:r>
      <w:r w:rsidRPr="00B42B0D">
        <w:t xml:space="preserve"> It is equal to the proportion of applicants that would need to change </w:t>
      </w:r>
      <w:r w:rsidR="00D7308B">
        <w:t xml:space="preserve">occupations </w:t>
      </w:r>
      <w:r w:rsidRPr="00B42B0D">
        <w:t>for there to be an equal ratio of applicants to vacancies across all occupation groups.</w:t>
      </w:r>
      <w:r w:rsidR="00990E7F">
        <w:rPr>
          <w:rStyle w:val="FootnoteReference"/>
        </w:rPr>
        <w:footnoteReference w:id="6"/>
      </w:r>
    </w:p>
    <w:p w14:paraId="7C96483B" w14:textId="48FB1E88" w:rsidR="00823FEE" w:rsidRDefault="00823FEE" w:rsidP="00823FEE">
      <w:pPr>
        <w:pStyle w:val="BodyText"/>
      </w:pPr>
      <w:r w:rsidRPr="00823FEE">
        <w:t>The mismatch M</w:t>
      </w:r>
      <w:r w:rsidR="0011371D">
        <w:t>I</w:t>
      </w:r>
      <w:r w:rsidRPr="00823FEE">
        <w:t xml:space="preserve"> was calculated using the formula</w:t>
      </w:r>
      <w:r>
        <w:t>:</w:t>
      </w:r>
    </w:p>
    <w:p w14:paraId="036337E1" w14:textId="77777777" w:rsidR="00823FEE" w:rsidRPr="00823FEE" w:rsidRDefault="00823FEE" w:rsidP="00823FEE">
      <w:pPr>
        <w:pStyle w:val="NoSpacing"/>
      </w:pPr>
    </w:p>
    <w:p w14:paraId="18881D8F" w14:textId="17D672B9" w:rsidR="00823FEE" w:rsidRPr="00823FEE" w:rsidRDefault="0011371D" w:rsidP="00823FEE">
      <w:pPr>
        <w:pStyle w:val="BodyText"/>
        <w:rPr>
          <w:rFonts w:eastAsia="Times New Roman" w:cs="Times New Roman"/>
        </w:rPr>
      </w:pPr>
      <m:oMathPara>
        <m:oMath>
          <m:r>
            <w:rPr>
              <w:rFonts w:ascii="Cambria Math" w:hAnsi="Cambria Math"/>
            </w:rPr>
            <m:t>MI= </m:t>
          </m:r>
          <m:f>
            <m:fPr>
              <m:ctrlPr>
                <w:rPr>
                  <w:rFonts w:ascii="Cambria Math" w:hAnsi="Cambria Math"/>
                </w:rPr>
              </m:ctrlPr>
            </m:fPr>
            <m:num>
              <m:r>
                <w:rPr>
                  <w:rFonts w:ascii="Cambria Math" w:hAnsi="Cambria Math"/>
                </w:rPr>
                <m:t>1</m:t>
              </m:r>
            </m:num>
            <m:den>
              <m:r>
                <w:rPr>
                  <w:rFonts w:ascii="Cambria Math" w:hAnsi="Cambria Math"/>
                </w:rPr>
                <m:t>2</m:t>
              </m:r>
            </m:den>
          </m:f>
          <m:nary>
            <m:naryPr>
              <m:chr m:val="∑"/>
              <m:limLoc m:val="undOvr"/>
              <m:supHide m:val="1"/>
              <m:ctrlPr>
                <w:rPr>
                  <w:rFonts w:ascii="Cambria Math" w:hAnsi="Cambria Math"/>
                </w:rPr>
              </m:ctrlPr>
            </m:naryPr>
            <m:sub>
              <m:r>
                <w:rPr>
                  <w:rFonts w:ascii="Cambria Math" w:hAnsi="Cambria Math"/>
                </w:rPr>
                <m:t>i ∈ I</m:t>
              </m:r>
            </m:sub>
            <m:sup/>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i</m:t>
                          </m:r>
                        </m:sub>
                      </m:sSub>
                    </m:num>
                    <m:den>
                      <m:r>
                        <w:rPr>
                          <w:rFonts w:ascii="Cambria Math" w:hAnsi="Cambria Math"/>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i</m:t>
                          </m:r>
                        </m:sub>
                      </m:sSub>
                    </m:num>
                    <m:den>
                      <m:r>
                        <w:rPr>
                          <w:rFonts w:ascii="Cambria Math" w:hAnsi="Cambria Math"/>
                        </w:rPr>
                        <m:t>D</m:t>
                      </m:r>
                    </m:den>
                  </m:f>
                </m:e>
              </m:d>
            </m:e>
          </m:nary>
          <m:r>
            <w:rPr>
              <w:rFonts w:ascii="Cambria Math" w:hAnsi="Cambria Math"/>
            </w:rPr>
            <m:t>  </m:t>
          </m:r>
        </m:oMath>
      </m:oMathPara>
    </w:p>
    <w:p w14:paraId="6E3CAF73" w14:textId="77777777" w:rsidR="00823FEE" w:rsidRPr="00823FEE" w:rsidRDefault="00823FEE" w:rsidP="00823FEE">
      <w:pPr>
        <w:pStyle w:val="NoSpacing"/>
      </w:pPr>
    </w:p>
    <w:p w14:paraId="6022D862" w14:textId="77777777" w:rsidR="00966C7A" w:rsidRDefault="00966C7A" w:rsidP="00823FEE">
      <w:pPr>
        <w:pStyle w:val="BodyText"/>
      </w:pPr>
      <w:r w:rsidRPr="00823FEE">
        <w:t>W</w:t>
      </w:r>
      <w:r w:rsidR="00823FEE" w:rsidRPr="00823FEE">
        <w:t>here</w:t>
      </w:r>
      <w:r>
        <w:t>:</w:t>
      </w:r>
    </w:p>
    <w:p w14:paraId="212ADA2A" w14:textId="15D132B1" w:rsidR="00966C7A" w:rsidRDefault="00823FEE" w:rsidP="00BC0BCF">
      <w:pPr>
        <w:pStyle w:val="ListBullet"/>
      </w:pPr>
      <m:oMath>
        <m:r>
          <w:rPr>
            <w:rFonts w:ascii="Cambria Math" w:hAnsi="Cambria Math"/>
          </w:rPr>
          <m:t>I</m:t>
        </m:r>
      </m:oMath>
      <w:r w:rsidRPr="00823FEE">
        <w:t xml:space="preserve"> is the set of occupation groups (here we use ANZSCO unit groups)</w:t>
      </w:r>
    </w:p>
    <w:p w14:paraId="214281DE" w14:textId="2BDC9D09" w:rsidR="00A4322E" w:rsidRDefault="00000000" w:rsidP="00BC0BCF">
      <w:pPr>
        <w:pStyle w:val="ListBullet"/>
      </w:pPr>
      <m:oMath>
        <m:sSub>
          <m:sSubPr>
            <m:ctrlPr>
              <w:rPr>
                <w:rFonts w:ascii="Cambria Math" w:hAnsi="Cambria Math"/>
              </w:rPr>
            </m:ctrlPr>
          </m:sSubPr>
          <m:e>
            <m:r>
              <w:rPr>
                <w:rFonts w:ascii="Cambria Math" w:hAnsi="Cambria Math"/>
              </w:rPr>
              <m:t>S</m:t>
            </m:r>
          </m:e>
          <m:sub>
            <m:r>
              <w:rPr>
                <w:rFonts w:ascii="Cambria Math" w:hAnsi="Cambria Math"/>
              </w:rPr>
              <m:t>i</m:t>
            </m:r>
          </m:sub>
        </m:sSub>
      </m:oMath>
      <w:r w:rsidR="00823FEE" w:rsidRPr="00823FEE">
        <w:t xml:space="preserve"> is the supply (number of applicants) for the specific </w:t>
      </w:r>
      <w:r w:rsidR="00A4322E">
        <w:t>unit group</w:t>
      </w:r>
      <w:r w:rsidR="00823FEE" w:rsidRPr="00823FEE">
        <w:t xml:space="preserve"> </w:t>
      </w:r>
      <m:oMath>
        <m:r>
          <w:rPr>
            <w:rFonts w:ascii="Cambria Math" w:hAnsi="Cambria Math"/>
          </w:rPr>
          <m:t>i</m:t>
        </m:r>
      </m:oMath>
    </w:p>
    <w:p w14:paraId="4025667C" w14:textId="290649CF" w:rsidR="00A4322E" w:rsidRDefault="00823FEE" w:rsidP="00BC0BCF">
      <w:pPr>
        <w:pStyle w:val="ListBullet"/>
      </w:pPr>
      <m:oMath>
        <m:r>
          <w:rPr>
            <w:rFonts w:ascii="Cambria Math" w:hAnsi="Cambria Math"/>
          </w:rPr>
          <m:t>S</m:t>
        </m:r>
      </m:oMath>
      <w:r w:rsidRPr="00823FEE">
        <w:t xml:space="preserve"> is the total supply (number of applicants in total)</w:t>
      </w:r>
    </w:p>
    <w:p w14:paraId="2BA6A8EE" w14:textId="6D033927" w:rsidR="00A4322E" w:rsidRDefault="00000000" w:rsidP="00BC0BCF">
      <w:pPr>
        <w:pStyle w:val="ListBullet"/>
      </w:pPr>
      <m:oMath>
        <m:sSub>
          <m:sSubPr>
            <m:ctrlPr>
              <w:rPr>
                <w:rFonts w:ascii="Cambria Math" w:hAnsi="Cambria Math"/>
              </w:rPr>
            </m:ctrlPr>
          </m:sSubPr>
          <m:e>
            <m:r>
              <w:rPr>
                <w:rFonts w:ascii="Cambria Math" w:hAnsi="Cambria Math"/>
              </w:rPr>
              <m:t>D</m:t>
            </m:r>
          </m:e>
          <m:sub>
            <m:r>
              <w:rPr>
                <w:rFonts w:ascii="Cambria Math" w:hAnsi="Cambria Math"/>
              </w:rPr>
              <m:t>i</m:t>
            </m:r>
          </m:sub>
        </m:sSub>
      </m:oMath>
      <w:r w:rsidR="00823FEE" w:rsidRPr="00823FEE">
        <w:t xml:space="preserve"> is the demand (number of vacancies) in the specific </w:t>
      </w:r>
      <w:r w:rsidR="00A4322E">
        <w:t xml:space="preserve">unit group </w:t>
      </w:r>
      <m:oMath>
        <m:r>
          <w:rPr>
            <w:rFonts w:ascii="Cambria Math" w:hAnsi="Cambria Math"/>
          </w:rPr>
          <m:t>i</m:t>
        </m:r>
      </m:oMath>
      <w:r w:rsidR="00823FEE" w:rsidRPr="00823FEE">
        <w:t xml:space="preserve"> </w:t>
      </w:r>
    </w:p>
    <w:p w14:paraId="41C1D62F" w14:textId="020C7FB7" w:rsidR="00823FEE" w:rsidRDefault="00823FEE" w:rsidP="001257EF">
      <w:pPr>
        <w:pStyle w:val="ListBullet"/>
      </w:pPr>
      <m:oMath>
        <m:r>
          <w:rPr>
            <w:rFonts w:ascii="Cambria Math" w:hAnsi="Cambria Math"/>
          </w:rPr>
          <m:t>D</m:t>
        </m:r>
      </m:oMath>
      <w:r w:rsidRPr="00823FEE">
        <w:t xml:space="preserve"> is the total demand (number of vacancies). </w:t>
      </w:r>
    </w:p>
    <w:p w14:paraId="012E6352" w14:textId="77777777" w:rsidR="00823FEE" w:rsidRPr="00823FEE" w:rsidRDefault="00823FEE" w:rsidP="00823FEE">
      <w:pPr>
        <w:pStyle w:val="NoSpacing"/>
        <w:rPr>
          <w:rFonts w:eastAsiaTheme="minorEastAsia"/>
        </w:rPr>
      </w:pPr>
    </w:p>
    <w:p w14:paraId="4D1FE948" w14:textId="29BC882D" w:rsidR="00823FEE" w:rsidRPr="00823FEE" w:rsidRDefault="0011371D" w:rsidP="00823FEE">
      <w:pPr>
        <w:rPr>
          <w:rFonts w:eastAsiaTheme="minorEastAsia"/>
        </w:rPr>
      </w:pPr>
      <m:oMathPara>
        <m:oMath>
          <m:r>
            <w:rPr>
              <w:rFonts w:ascii="Cambria Math" w:hAnsi="Cambria Math"/>
            </w:rPr>
            <m:t>MI= </m:t>
          </m:r>
          <m:f>
            <m:fPr>
              <m:ctrlPr>
                <w:rPr>
                  <w:rFonts w:ascii="Cambria Math" w:hAnsi="Cambria Math"/>
                </w:rPr>
              </m:ctrlPr>
            </m:fPr>
            <m:num>
              <m:r>
                <w:rPr>
                  <w:rFonts w:ascii="Cambria Math" w:hAnsi="Cambria Math"/>
                </w:rPr>
                <m:t>1</m:t>
              </m:r>
            </m:num>
            <m:den>
              <m:r>
                <w:rPr>
                  <w:rFonts w:ascii="Cambria Math" w:hAnsi="Cambria Math"/>
                </w:rPr>
                <m:t>2</m:t>
              </m:r>
            </m:den>
          </m:f>
          <m:nary>
            <m:naryPr>
              <m:chr m:val="∑"/>
              <m:limLoc m:val="undOvr"/>
              <m:supHide m:val="1"/>
              <m:ctrlPr>
                <w:rPr>
                  <w:rFonts w:ascii="Cambria Math" w:hAnsi="Cambria Math"/>
                </w:rPr>
              </m:ctrlPr>
            </m:naryPr>
            <m:sub>
              <m:r>
                <w:rPr>
                  <w:rFonts w:ascii="Cambria Math" w:hAnsi="Cambria Math"/>
                </w:rPr>
                <m:t>i ∈ I</m:t>
              </m:r>
            </m:sub>
            <m:sup/>
            <m:e>
              <m:d>
                <m:dPr>
                  <m:begChr m:val="|"/>
                  <m:endChr m:val="|"/>
                  <m:ctrlPr>
                    <w:rPr>
                      <w:rFonts w:ascii="Cambria Math" w:hAnsi="Cambria Math"/>
                    </w:rPr>
                  </m:ctrlPr>
                </m:dPr>
                <m:e>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proportion of applicants</m:t>
                            </m:r>
                          </m:e>
                        </m:mr>
                        <m:mr>
                          <m:e>
                            <m:r>
                              <w:rPr>
                                <w:rFonts w:ascii="Cambria Math" w:hAnsi="Cambria Math"/>
                              </w:rPr>
                              <m:t>in occupation i</m:t>
                            </m:r>
                          </m:e>
                        </m:mr>
                      </m:m>
                    </m:e>
                  </m:d>
                  <m:r>
                    <w:rPr>
                      <w:rFonts w:ascii="Cambria Math" w:hAnsi="Cambria Math"/>
                    </w:rPr>
                    <m:t xml:space="preserve"> -</m:t>
                  </m:r>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proportion of vacancies</m:t>
                            </m:r>
                          </m:e>
                        </m:mr>
                        <m:mr>
                          <m:e>
                            <m:r>
                              <w:rPr>
                                <w:rFonts w:ascii="Cambria Math" w:hAnsi="Cambria Math"/>
                              </w:rPr>
                              <m:t>in occupation i</m:t>
                            </m:r>
                          </m:e>
                        </m:mr>
                      </m:m>
                    </m:e>
                  </m:d>
                  <m:r>
                    <w:rPr>
                      <w:rFonts w:ascii="Cambria Math" w:hAnsi="Cambria Math"/>
                    </w:rPr>
                    <m:t xml:space="preserve"> </m:t>
                  </m:r>
                </m:e>
              </m:d>
            </m:e>
          </m:nary>
          <m:r>
            <w:rPr>
              <w:rFonts w:ascii="Cambria Math" w:hAnsi="Cambria Math"/>
            </w:rPr>
            <m:t>  </m:t>
          </m:r>
        </m:oMath>
      </m:oMathPara>
    </w:p>
    <w:p w14:paraId="3F7DC92C" w14:textId="77777777" w:rsidR="00823FEE" w:rsidRPr="00823FEE" w:rsidRDefault="00823FEE" w:rsidP="00823FEE">
      <w:pPr>
        <w:pStyle w:val="NoSpacing"/>
        <w:rPr>
          <w:rFonts w:eastAsiaTheme="minorEastAsia"/>
        </w:rPr>
      </w:pPr>
    </w:p>
    <w:p w14:paraId="4D99E1F0" w14:textId="32811AF3" w:rsidR="00405FC6" w:rsidRDefault="003852BE" w:rsidP="00546D8A">
      <w:pPr>
        <w:pStyle w:val="BodyText"/>
      </w:pPr>
      <w:r>
        <w:t xml:space="preserve">The </w:t>
      </w:r>
      <w:r w:rsidR="00756768">
        <w:t>Jobs and Skills Australia</w:t>
      </w:r>
      <w:r w:rsidR="00823FEE" w:rsidRPr="00B42B0D">
        <w:t xml:space="preserve"> </w:t>
      </w:r>
      <w:r>
        <w:t xml:space="preserve">MI was </w:t>
      </w:r>
      <w:r w:rsidR="00CA24C1">
        <w:t xml:space="preserve">based on </w:t>
      </w:r>
      <w:r w:rsidR="00823FEE" w:rsidRPr="00B42B0D">
        <w:t>SEEK’s approach</w:t>
      </w:r>
      <w:r w:rsidR="00167C51" w:rsidRPr="00167C51">
        <w:t>.</w:t>
      </w:r>
      <w:r w:rsidR="00435DCA">
        <w:rPr>
          <w:rStyle w:val="FootnoteReference"/>
        </w:rPr>
        <w:footnoteReference w:id="7"/>
      </w:r>
      <w:r w:rsidR="00435DCA">
        <w:t xml:space="preserve"> </w:t>
      </w:r>
    </w:p>
    <w:p w14:paraId="48FFA37D" w14:textId="179B2126" w:rsidR="008660EA" w:rsidRDefault="00F12891" w:rsidP="00546D8A">
      <w:pPr>
        <w:pStyle w:val="BodyText"/>
      </w:pPr>
      <w:r>
        <w:t>D</w:t>
      </w:r>
      <w:r w:rsidR="00823FEE" w:rsidRPr="00B42B0D">
        <w:t xml:space="preserve">ata </w:t>
      </w:r>
      <w:r>
        <w:t xml:space="preserve">for the index was based on </w:t>
      </w:r>
      <w:r w:rsidRPr="00B42B0D">
        <w:t>SERA</w:t>
      </w:r>
      <w:r>
        <w:t>,</w:t>
      </w:r>
      <w:r w:rsidRPr="00B42B0D">
        <w:t xml:space="preserve"> </w:t>
      </w:r>
      <w:r w:rsidRPr="00167C51">
        <w:t>Recruitment Experiences and Outlook Survey (REOS)</w:t>
      </w:r>
      <w:r>
        <w:t xml:space="preserve">, and </w:t>
      </w:r>
      <w:r w:rsidR="00597BF2">
        <w:t xml:space="preserve">similarity scores from the </w:t>
      </w:r>
      <w:r>
        <w:t>Australian Skills Classification</w:t>
      </w:r>
      <w:r w:rsidR="009E1A9B">
        <w:t xml:space="preserve"> (ASC)</w:t>
      </w:r>
      <w:r>
        <w:t>.</w:t>
      </w:r>
      <w:r w:rsidR="00B43E62">
        <w:rPr>
          <w:rStyle w:val="FootnoteReference"/>
        </w:rPr>
        <w:footnoteReference w:id="8"/>
      </w:r>
      <w:r w:rsidRPr="00B42B0D">
        <w:t xml:space="preserve"> </w:t>
      </w:r>
      <w:r w:rsidR="00130C31">
        <w:t>The MI was</w:t>
      </w:r>
      <w:r w:rsidR="00823FEE" w:rsidRPr="00B42B0D">
        <w:t xml:space="preserve"> calculate</w:t>
      </w:r>
      <w:r w:rsidR="00BB6B09">
        <w:t>d</w:t>
      </w:r>
      <w:r w:rsidR="00823FEE" w:rsidRPr="00B42B0D">
        <w:t xml:space="preserve"> </w:t>
      </w:r>
      <w:r w:rsidR="00BB6B09">
        <w:t xml:space="preserve">for </w:t>
      </w:r>
      <w:r w:rsidR="003C10A6">
        <w:t>the</w:t>
      </w:r>
      <w:r w:rsidR="00823FEE" w:rsidRPr="00B42B0D">
        <w:t xml:space="preserve"> </w:t>
      </w:r>
      <w:r w:rsidR="003C10A6">
        <w:t>n</w:t>
      </w:r>
      <w:r w:rsidR="00823FEE" w:rsidRPr="00B42B0D">
        <w:t>ational</w:t>
      </w:r>
      <w:r w:rsidR="00BB6B09">
        <w:t xml:space="preserve"> level, </w:t>
      </w:r>
      <w:r w:rsidR="003C10A6">
        <w:t>and for m</w:t>
      </w:r>
      <w:r w:rsidR="00823FEE" w:rsidRPr="00B42B0D">
        <w:t xml:space="preserve">etropolitan </w:t>
      </w:r>
      <w:r w:rsidR="00911069">
        <w:t xml:space="preserve">(metro) </w:t>
      </w:r>
      <w:r w:rsidR="00823FEE" w:rsidRPr="00B42B0D">
        <w:t xml:space="preserve">and </w:t>
      </w:r>
      <w:r w:rsidR="003C10A6">
        <w:t>r</w:t>
      </w:r>
      <w:r w:rsidR="00823FEE" w:rsidRPr="00B42B0D">
        <w:t xml:space="preserve">egional </w:t>
      </w:r>
      <w:r w:rsidR="00167C51">
        <w:t>a</w:t>
      </w:r>
      <w:r w:rsidR="00167C51" w:rsidRPr="00B42B0D">
        <w:t>reas</w:t>
      </w:r>
      <w:r w:rsidR="00823FEE" w:rsidRPr="00B42B0D">
        <w:t>.</w:t>
      </w:r>
      <w:r w:rsidR="00823FEE">
        <w:t xml:space="preserve"> </w:t>
      </w:r>
    </w:p>
    <w:p w14:paraId="28DC8096" w14:textId="49FB7E3A" w:rsidR="00546D8A" w:rsidRDefault="00546D8A" w:rsidP="00546D8A">
      <w:pPr>
        <w:pStyle w:val="BodyText"/>
      </w:pPr>
      <w:r w:rsidRPr="005A77E7">
        <w:fldChar w:fldCharType="begin"/>
      </w:r>
      <w:r w:rsidRPr="005A77E7">
        <w:instrText xml:space="preserve"> REF _Ref207207902 \h  \* MERGEFORMAT </w:instrText>
      </w:r>
      <w:r w:rsidRPr="005A77E7">
        <w:fldChar w:fldCharType="separate"/>
      </w:r>
      <w:r w:rsidR="00F96253" w:rsidRPr="00167C51">
        <w:t xml:space="preserve">Figure </w:t>
      </w:r>
      <w:r w:rsidR="00F96253">
        <w:t>5</w:t>
      </w:r>
      <w:r w:rsidRPr="005A77E7">
        <w:fldChar w:fldCharType="end"/>
      </w:r>
      <w:r w:rsidRPr="005A77E7">
        <w:t xml:space="preserve"> (next page) shows the MI by financial year.</w:t>
      </w:r>
      <w:r>
        <w:t xml:space="preserve"> </w:t>
      </w:r>
    </w:p>
    <w:p w14:paraId="3304CD8B" w14:textId="67D03E68" w:rsidR="00167C51" w:rsidDel="00167C51" w:rsidRDefault="004E0675">
      <w:pPr>
        <w:spacing w:before="0" w:after="200" w:line="276" w:lineRule="auto"/>
        <w:rPr>
          <w:b/>
          <w:color w:val="012749"/>
          <w:sz w:val="18"/>
          <w:szCs w:val="18"/>
        </w:rPr>
      </w:pPr>
      <w:r>
        <w:br w:type="page"/>
      </w:r>
    </w:p>
    <w:p w14:paraId="47243355" w14:textId="0A4A7BC3" w:rsidR="00823FEE" w:rsidRPr="00167C51" w:rsidRDefault="00823FEE" w:rsidP="00167C51">
      <w:pPr>
        <w:pStyle w:val="Caption"/>
      </w:pPr>
      <w:bookmarkStart w:id="25" w:name="_Ref193816684"/>
      <w:bookmarkStart w:id="26" w:name="_Ref207207902"/>
      <w:r w:rsidRPr="00167C51">
        <w:lastRenderedPageBreak/>
        <w:t xml:space="preserve">Figure </w:t>
      </w:r>
      <w:r w:rsidRPr="00167C51">
        <w:fldChar w:fldCharType="begin"/>
      </w:r>
      <w:r w:rsidRPr="00167C51">
        <w:instrText xml:space="preserve"> SEQ Figure \* ARABIC </w:instrText>
      </w:r>
      <w:r w:rsidRPr="00167C51">
        <w:fldChar w:fldCharType="separate"/>
      </w:r>
      <w:r w:rsidR="00F96253">
        <w:rPr>
          <w:noProof/>
        </w:rPr>
        <w:t>5</w:t>
      </w:r>
      <w:r w:rsidRPr="00167C51">
        <w:fldChar w:fldCharType="end"/>
      </w:r>
      <w:bookmarkEnd w:id="25"/>
      <w:bookmarkEnd w:id="26"/>
      <w:r w:rsidRPr="00167C51">
        <w:t>: Mismatch index, 202</w:t>
      </w:r>
      <w:r w:rsidR="00C230FB">
        <w:t>0</w:t>
      </w:r>
      <w:r w:rsidR="00101B6C" w:rsidRPr="0016595E">
        <w:t>–</w:t>
      </w:r>
      <w:r w:rsidR="0005727D">
        <w:t>2</w:t>
      </w:r>
      <w:r w:rsidR="00C230FB">
        <w:t>1</w:t>
      </w:r>
      <w:r w:rsidR="0005727D">
        <w:t xml:space="preserve"> to </w:t>
      </w:r>
      <w:r w:rsidR="00C72744">
        <w:t>2024</w:t>
      </w:r>
      <w:r w:rsidR="00101B6C" w:rsidRPr="0016595E">
        <w:t>–</w:t>
      </w:r>
      <w:r w:rsidRPr="00167C51">
        <w:t>25</w:t>
      </w:r>
    </w:p>
    <w:p w14:paraId="4EC5A716" w14:textId="0F2448B9" w:rsidR="00823FEE" w:rsidRPr="00823FEE" w:rsidRDefault="00324D3D" w:rsidP="00823FEE">
      <w:pPr>
        <w:pStyle w:val="Source"/>
      </w:pPr>
      <w:r w:rsidRPr="00167C51">
        <w:rPr>
          <w:noProof/>
        </w:rPr>
        <mc:AlternateContent>
          <mc:Choice Requires="wps">
            <w:drawing>
              <wp:anchor distT="0" distB="0" distL="114300" distR="114300" simplePos="0" relativeHeight="251658241" behindDoc="0" locked="0" layoutInCell="1" allowOverlap="1" wp14:anchorId="09F6CF48" wp14:editId="79080C70">
                <wp:simplePos x="0" y="0"/>
                <wp:positionH relativeFrom="column">
                  <wp:posOffset>4034155</wp:posOffset>
                </wp:positionH>
                <wp:positionV relativeFrom="paragraph">
                  <wp:posOffset>114088</wp:posOffset>
                </wp:positionV>
                <wp:extent cx="0" cy="2099310"/>
                <wp:effectExtent l="0" t="0" r="38100" b="34290"/>
                <wp:wrapNone/>
                <wp:docPr id="2128511834" name="Straight Connector 1"/>
                <wp:cNvGraphicFramePr/>
                <a:graphic xmlns:a="http://schemas.openxmlformats.org/drawingml/2006/main">
                  <a:graphicData uri="http://schemas.microsoft.com/office/word/2010/wordprocessingShape">
                    <wps:wsp>
                      <wps:cNvCnPr/>
                      <wps:spPr>
                        <a:xfrm>
                          <a:off x="0" y="0"/>
                          <a:ext cx="0" cy="209931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2A3DC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65pt,9pt" to="317.6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" strokecolor="#7f7f7f [1612]">
                <v:stroke dashstyle="dash"/>
              </v:line>
            </w:pict>
          </mc:Fallback>
        </mc:AlternateContent>
      </w:r>
      <w:r w:rsidR="00823FEE" w:rsidRPr="00823FEE">
        <w:rPr>
          <w:noProof/>
        </w:rPr>
        <w:drawing>
          <wp:inline distT="0" distB="0" distL="0" distR="0" wp14:anchorId="6B49D7D7" wp14:editId="4FFC0BC6">
            <wp:extent cx="5731510" cy="2806700"/>
            <wp:effectExtent l="0" t="0" r="0" b="0"/>
            <wp:docPr id="1212276675" name="Chart 1" descr="A line chart with three lines showing the mismatch in National, Metro, and Regional geographies, between 2021 and 2024. The mismatch index peaked in 2024 at 33% nationally and now has decreased to 30%.">
              <a:extLst xmlns:a="http://schemas.openxmlformats.org/drawingml/2006/main">
                <a:ext uri="{FF2B5EF4-FFF2-40B4-BE49-F238E27FC236}">
                  <a16:creationId xmlns:a16="http://schemas.microsoft.com/office/drawing/2014/main" id="{BED292F3-B76C-5391-E409-92AA1EB7B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823FEE" w:rsidRPr="00823FEE">
        <w:rPr>
          <w:highlight w:val="yellow"/>
        </w:rPr>
        <w:br/>
      </w:r>
      <w:r w:rsidR="00823FEE" w:rsidRPr="00823FEE">
        <w:t>Source: Jobs and Skills Australia: SERA and REOS (2025).</w:t>
      </w:r>
    </w:p>
    <w:p w14:paraId="21587F5A" w14:textId="77777777" w:rsidR="00B36103" w:rsidRPr="0016595E" w:rsidRDefault="00B36103" w:rsidP="00B36103">
      <w:pPr>
        <w:pStyle w:val="BodyText"/>
      </w:pPr>
      <w:r w:rsidRPr="0016595E">
        <w:t xml:space="preserve">The national level MI increased each year before peaking in 2023–24 and then </w:t>
      </w:r>
      <w:r>
        <w:t>fell to 30%</w:t>
      </w:r>
      <w:r w:rsidRPr="0016595E">
        <w:t xml:space="preserve"> in 2024–25. </w:t>
      </w:r>
    </w:p>
    <w:p w14:paraId="5ACCF666" w14:textId="4D5E8AA4" w:rsidR="0094319A" w:rsidRPr="0094319A" w:rsidRDefault="0094319A" w:rsidP="0094319A">
      <w:pPr>
        <w:pStyle w:val="BodyText"/>
      </w:pPr>
      <w:r w:rsidRPr="0094319A">
        <w:t xml:space="preserve">The overall MI trend in metro areas mirrors the national, which mostly reflects that most of the survey data are in metro areas. This aligns with the proportion of job advertisements in metro areas according to the </w:t>
      </w:r>
      <w:r w:rsidR="00091FDC">
        <w:t xml:space="preserve">Jobs and Skills Australia </w:t>
      </w:r>
      <w:r w:rsidRPr="0094319A">
        <w:t>Internet Vacancy Index and the proportion of the labour force in regional areas according to the Australian Bureau of Statistics.</w:t>
      </w:r>
      <w:r w:rsidRPr="0094319A">
        <w:rPr>
          <w:rStyle w:val="FootnoteReference"/>
        </w:rPr>
        <w:footnoteReference w:id="9"/>
      </w:r>
      <w:r w:rsidRPr="0094319A">
        <w:rPr>
          <w:rStyle w:val="Charactersuperscript"/>
        </w:rPr>
        <w:t>,</w:t>
      </w:r>
      <w:r w:rsidRPr="0094319A">
        <w:rPr>
          <w:rStyle w:val="FootnoteReference"/>
        </w:rPr>
        <w:footnoteReference w:id="10"/>
      </w:r>
    </w:p>
    <w:p w14:paraId="346DA844" w14:textId="3AC06EA4" w:rsidR="00823FEE" w:rsidRPr="00823FEE" w:rsidRDefault="00823FEE" w:rsidP="001257EF">
      <w:pPr>
        <w:pStyle w:val="BodyText"/>
      </w:pPr>
      <w:r w:rsidRPr="00823FEE">
        <w:t xml:space="preserve">However, the regional MI trend is </w:t>
      </w:r>
      <w:r w:rsidR="00E62EEF">
        <w:t xml:space="preserve">slightly </w:t>
      </w:r>
      <w:r w:rsidRPr="00823FEE">
        <w:t>different and lower in magnitude</w:t>
      </w:r>
      <w:r w:rsidR="009A10AC">
        <w:t>.</w:t>
      </w:r>
      <w:r w:rsidR="00F11CEB">
        <w:t xml:space="preserve"> </w:t>
      </w:r>
      <w:r w:rsidR="009A10AC">
        <w:t>B</w:t>
      </w:r>
      <w:r w:rsidR="00F11CEB">
        <w:t xml:space="preserve">ut </w:t>
      </w:r>
      <w:r w:rsidR="009A10AC">
        <w:t>it</w:t>
      </w:r>
      <w:r w:rsidR="00F11CEB">
        <w:t xml:space="preserve"> still </w:t>
      </w:r>
      <w:r w:rsidR="00570931">
        <w:t>peaks in 2</w:t>
      </w:r>
      <w:r w:rsidR="00570931" w:rsidRPr="00570931">
        <w:t>023–24</w:t>
      </w:r>
      <w:r w:rsidR="009A10AC">
        <w:t>,</w:t>
      </w:r>
      <w:r w:rsidR="00570931" w:rsidRPr="00570931">
        <w:t xml:space="preserve"> </w:t>
      </w:r>
      <w:r w:rsidR="00570931">
        <w:t>before falling the following financial year</w:t>
      </w:r>
      <w:r w:rsidRPr="00823FEE">
        <w:t xml:space="preserve">. Possible reasons </w:t>
      </w:r>
      <w:r w:rsidR="00570931">
        <w:t xml:space="preserve">for the slight difference </w:t>
      </w:r>
      <w:r w:rsidR="009A10AC">
        <w:t>f</w:t>
      </w:r>
      <w:r w:rsidR="009A10AC" w:rsidRPr="009A10AC">
        <w:t>rom the national and metro area MI</w:t>
      </w:r>
      <w:r w:rsidR="00984C31">
        <w:t>s</w:t>
      </w:r>
      <w:r w:rsidR="009A10AC" w:rsidRPr="009A10AC" w:rsidDel="00167C51">
        <w:t xml:space="preserve"> </w:t>
      </w:r>
      <w:r w:rsidR="00167C51">
        <w:t>include</w:t>
      </w:r>
      <w:r w:rsidRPr="00823FEE">
        <w:t xml:space="preserve">: </w:t>
      </w:r>
    </w:p>
    <w:p w14:paraId="6DDD1310" w14:textId="0CFE4045" w:rsidR="00823FEE" w:rsidRPr="00823FEE" w:rsidRDefault="00823FEE" w:rsidP="00823FEE">
      <w:pPr>
        <w:pStyle w:val="ListBullet"/>
      </w:pPr>
      <w:r w:rsidRPr="00D20D39">
        <w:t xml:space="preserve">The MI calculation is closely related to variation between </w:t>
      </w:r>
      <w:r w:rsidR="00EF11A4">
        <w:t xml:space="preserve">unit groups </w:t>
      </w:r>
      <w:r w:rsidRPr="00D20D39">
        <w:t>in the number of applicants per vacancy</w:t>
      </w:r>
      <w:r w:rsidR="005E57E0">
        <w:t>;</w:t>
      </w:r>
      <w:r w:rsidRPr="00D20D39">
        <w:t xml:space="preserve"> </w:t>
      </w:r>
      <w:r w:rsidR="005E57E0">
        <w:t xml:space="preserve">this metric </w:t>
      </w:r>
      <w:r w:rsidRPr="00D20D39">
        <w:t>var</w:t>
      </w:r>
      <w:r w:rsidR="005E57E0">
        <w:t>ies</w:t>
      </w:r>
      <w:r w:rsidRPr="00D20D39">
        <w:t xml:space="preserve"> more between </w:t>
      </w:r>
      <w:r w:rsidR="00F46CBC">
        <w:t xml:space="preserve">unit groups </w:t>
      </w:r>
      <w:r w:rsidRPr="00D20D39">
        <w:t xml:space="preserve">in metro than in regional areas. </w:t>
      </w:r>
    </w:p>
    <w:p w14:paraId="55314F43" w14:textId="10F44500" w:rsidR="00823FEE" w:rsidRPr="00823FEE" w:rsidRDefault="00037E69" w:rsidP="00823FEE">
      <w:pPr>
        <w:pStyle w:val="ListBullet"/>
      </w:pPr>
      <w:r>
        <w:t>S</w:t>
      </w:r>
      <w:r w:rsidR="00823FEE" w:rsidRPr="00D20D39">
        <w:t>ome of the unit groups that contributed the most to</w:t>
      </w:r>
      <w:r w:rsidR="00380B84">
        <w:t xml:space="preserve"> the</w:t>
      </w:r>
      <w:r w:rsidR="00823FEE" w:rsidRPr="00D20D39">
        <w:t xml:space="preserve"> mismatch had insufficient data in regional areas.</w:t>
      </w:r>
      <w:r w:rsidR="00823FEE" w:rsidRPr="00823FEE">
        <w:rPr>
          <w:rStyle w:val="FootnoteReference"/>
        </w:rPr>
        <w:footnoteReference w:id="11"/>
      </w:r>
      <w:r w:rsidR="00823FEE" w:rsidRPr="00823FEE">
        <w:t xml:space="preserve"> </w:t>
      </w:r>
    </w:p>
    <w:bookmarkStart w:id="27" w:name="_Ref193816998"/>
    <w:bookmarkEnd w:id="27"/>
    <w:p w14:paraId="0E98218E" w14:textId="2F40D952" w:rsidR="00380B84" w:rsidRDefault="00823FEE" w:rsidP="00823FEE">
      <w:pPr>
        <w:pStyle w:val="BodyText"/>
      </w:pPr>
      <w:r w:rsidRPr="0051310D">
        <w:fldChar w:fldCharType="begin"/>
      </w:r>
      <w:r w:rsidRPr="0051310D">
        <w:instrText xml:space="preserve"> REF _Ref193816203 \h </w:instrText>
      </w:r>
      <w:r>
        <w:instrText xml:space="preserve"> \* MERGEFORMAT </w:instrText>
      </w:r>
      <w:r w:rsidRPr="0051310D">
        <w:fldChar w:fldCharType="separate"/>
      </w:r>
      <w:r w:rsidR="00F96253" w:rsidRPr="00E94AFC">
        <w:t xml:space="preserve">Figure </w:t>
      </w:r>
      <w:r w:rsidR="00F96253">
        <w:rPr>
          <w:noProof/>
        </w:rPr>
        <w:t>6</w:t>
      </w:r>
      <w:r w:rsidRPr="0051310D">
        <w:fldChar w:fldCharType="end"/>
      </w:r>
      <w:r w:rsidR="00AC6769">
        <w:t>6</w:t>
      </w:r>
      <w:r w:rsidRPr="0051310D">
        <w:t xml:space="preserve"> shows a deconstruction of</w:t>
      </w:r>
      <w:r w:rsidR="00A80977">
        <w:t xml:space="preserve"> </w:t>
      </w:r>
      <w:r w:rsidRPr="0051310D">
        <w:fldChar w:fldCharType="begin"/>
      </w:r>
      <w:r w:rsidRPr="0051310D">
        <w:instrText xml:space="preserve"> REF _Ref193816684 \h  \* MERGEFORMAT </w:instrText>
      </w:r>
      <w:r w:rsidRPr="0051310D">
        <w:fldChar w:fldCharType="separate"/>
      </w:r>
      <w:r w:rsidR="00F96253" w:rsidRPr="00167C51">
        <w:t xml:space="preserve">Figure </w:t>
      </w:r>
      <w:r w:rsidR="00F96253">
        <w:t>5</w:t>
      </w:r>
      <w:r w:rsidRPr="0051310D">
        <w:fldChar w:fldCharType="end"/>
      </w:r>
      <w:r w:rsidRPr="0051310D">
        <w:t xml:space="preserve"> indicating the contribution to the </w:t>
      </w:r>
      <w:r w:rsidR="002C4A97">
        <w:t xml:space="preserve">national </w:t>
      </w:r>
      <w:r w:rsidRPr="0051310D">
        <w:t xml:space="preserve">MI from each major group between </w:t>
      </w:r>
      <w:r w:rsidR="009E158E">
        <w:t>2020-</w:t>
      </w:r>
      <w:r w:rsidRPr="00E94AFC">
        <w:t xml:space="preserve">21 and </w:t>
      </w:r>
      <w:r w:rsidR="009E158E">
        <w:t>2024-</w:t>
      </w:r>
      <w:r w:rsidRPr="00E94AFC">
        <w:t>25</w:t>
      </w:r>
      <w:r w:rsidRPr="0051310D">
        <w:t xml:space="preserve"> and the direction of </w:t>
      </w:r>
      <w:r w:rsidR="00B22985">
        <w:t xml:space="preserve">the </w:t>
      </w:r>
      <w:r w:rsidRPr="0051310D">
        <w:t xml:space="preserve">mismatch. The width of each coloured band shows the contribution, while the positive and negative portions indicate how much of the mismatch is from excess supply and excess </w:t>
      </w:r>
      <w:r w:rsidRPr="005F5BE1">
        <w:t xml:space="preserve">demand. </w:t>
      </w:r>
    </w:p>
    <w:p w14:paraId="08EA7F7E" w14:textId="77777777" w:rsidR="00036871" w:rsidRDefault="00036871">
      <w:pPr>
        <w:spacing w:before="0" w:after="200" w:line="276" w:lineRule="auto"/>
        <w:rPr>
          <w:b/>
          <w:bCs/>
          <w:color w:val="012749"/>
          <w:sz w:val="18"/>
          <w:szCs w:val="18"/>
        </w:rPr>
      </w:pPr>
      <w:r>
        <w:br w:type="page"/>
      </w:r>
    </w:p>
    <w:p w14:paraId="4FE3E06B" w14:textId="2767DACB" w:rsidR="00823FEE" w:rsidRPr="00E94AFC" w:rsidRDefault="00823FEE" w:rsidP="00823FEE">
      <w:pPr>
        <w:pStyle w:val="Caption"/>
      </w:pPr>
      <w:bookmarkStart w:id="28" w:name="_Ref193816203"/>
      <w:bookmarkStart w:id="29" w:name="_Ref195165417"/>
      <w:r w:rsidRPr="00E94AFC">
        <w:lastRenderedPageBreak/>
        <w:t xml:space="preserve">Figure </w:t>
      </w:r>
      <w:r w:rsidRPr="00E94AFC">
        <w:fldChar w:fldCharType="begin"/>
      </w:r>
      <w:r w:rsidRPr="00E94AFC">
        <w:instrText xml:space="preserve"> SEQ Figure \* ARABIC </w:instrText>
      </w:r>
      <w:r w:rsidRPr="00E94AFC">
        <w:fldChar w:fldCharType="separate"/>
      </w:r>
      <w:r w:rsidR="00F96253">
        <w:rPr>
          <w:noProof/>
        </w:rPr>
        <w:t>6</w:t>
      </w:r>
      <w:r w:rsidRPr="00E94AFC">
        <w:fldChar w:fldCharType="end"/>
      </w:r>
      <w:bookmarkEnd w:id="28"/>
      <w:r w:rsidRPr="00E94AFC">
        <w:t>: Mismatch from different major groups, between 2021 and 202</w:t>
      </w:r>
      <w:bookmarkEnd w:id="29"/>
      <w:r w:rsidRPr="00E94AFC">
        <w:t>5</w:t>
      </w:r>
    </w:p>
    <w:p w14:paraId="742554EA" w14:textId="57AD2336" w:rsidR="00304002" w:rsidRDefault="00823FEE" w:rsidP="00823FEE">
      <w:pPr>
        <w:pStyle w:val="Source"/>
      </w:pPr>
      <w:r w:rsidRPr="00823FEE">
        <w:rPr>
          <w:noProof/>
        </w:rPr>
        <mc:AlternateContent>
          <mc:Choice Requires="wpg">
            <w:drawing>
              <wp:anchor distT="0" distB="0" distL="114300" distR="114300" simplePos="0" relativeHeight="251658242" behindDoc="0" locked="0" layoutInCell="1" allowOverlap="1" wp14:anchorId="558BA912" wp14:editId="26270B7D">
                <wp:simplePos x="0" y="0"/>
                <wp:positionH relativeFrom="column">
                  <wp:posOffset>5247640</wp:posOffset>
                </wp:positionH>
                <wp:positionV relativeFrom="paragraph">
                  <wp:posOffset>388197</wp:posOffset>
                </wp:positionV>
                <wp:extent cx="662940" cy="595630"/>
                <wp:effectExtent l="0" t="38100" r="22860" b="33020"/>
                <wp:wrapNone/>
                <wp:docPr id="349387436" name="Group 5"/>
                <wp:cNvGraphicFramePr/>
                <a:graphic xmlns:a="http://schemas.openxmlformats.org/drawingml/2006/main">
                  <a:graphicData uri="http://schemas.microsoft.com/office/word/2010/wordprocessingGroup">
                    <wpg:wgp>
                      <wpg:cNvGrpSpPr/>
                      <wpg:grpSpPr>
                        <a:xfrm>
                          <a:off x="0" y="0"/>
                          <a:ext cx="662940" cy="595630"/>
                          <a:chOff x="0" y="0"/>
                          <a:chExt cx="702015" cy="570247"/>
                        </a:xfrm>
                      </wpg:grpSpPr>
                      <wps:wsp>
                        <wps:cNvPr id="1873649832" name="Text Box 1"/>
                        <wps:cNvSpPr txBox="1"/>
                        <wps:spPr>
                          <a:xfrm>
                            <a:off x="156433" y="0"/>
                            <a:ext cx="526407" cy="252575"/>
                          </a:xfrm>
                          <a:prstGeom prst="rect">
                            <a:avLst/>
                          </a:prstGeom>
                          <a:solidFill>
                            <a:schemeClr val="lt1"/>
                          </a:solidFill>
                          <a:ln w="6350">
                            <a:noFill/>
                          </a:ln>
                        </wps:spPr>
                        <wps:txbx>
                          <w:txbxContent>
                            <w:p w14:paraId="4763B8A6" w14:textId="77777777" w:rsidR="00823FEE" w:rsidRPr="00B22241" w:rsidRDefault="00823FEE" w:rsidP="00823FEE">
                              <w:pPr>
                                <w:rPr>
                                  <w:color w:val="A6A6A6" w:themeColor="background1" w:themeShade="A6"/>
                                  <w:sz w:val="16"/>
                                  <w:szCs w:val="16"/>
                                </w:rPr>
                              </w:pPr>
                              <w:r w:rsidRPr="00B22241">
                                <w:rPr>
                                  <w:color w:val="A6A6A6" w:themeColor="background1" w:themeShade="A6"/>
                                  <w:sz w:val="16"/>
                                  <w:szCs w:val="16"/>
                                </w:rPr>
                                <w:t>Excess supply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03879282" name="Straight Connector 2"/>
                        <wps:cNvCnPr/>
                        <wps:spPr>
                          <a:xfrm>
                            <a:off x="0" y="280520"/>
                            <a:ext cx="702015" cy="0"/>
                          </a:xfrm>
                          <a:prstGeom prst="line">
                            <a:avLst/>
                          </a:prstGeom>
                          <a:ln>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25659476" name="Text Box 1"/>
                        <wps:cNvSpPr txBox="1"/>
                        <wps:spPr>
                          <a:xfrm>
                            <a:off x="154983" y="306867"/>
                            <a:ext cx="527858" cy="263380"/>
                          </a:xfrm>
                          <a:prstGeom prst="rect">
                            <a:avLst/>
                          </a:prstGeom>
                          <a:solidFill>
                            <a:schemeClr val="lt1"/>
                          </a:solidFill>
                          <a:ln w="6350">
                            <a:noFill/>
                          </a:ln>
                        </wps:spPr>
                        <wps:txbx>
                          <w:txbxContent>
                            <w:p w14:paraId="03F3F939" w14:textId="77777777" w:rsidR="00823FEE" w:rsidRPr="00B22241" w:rsidRDefault="00823FEE" w:rsidP="00823FEE">
                              <w:pPr>
                                <w:rPr>
                                  <w:color w:val="A6A6A6" w:themeColor="background1" w:themeShade="A6"/>
                                  <w:sz w:val="16"/>
                                  <w:szCs w:val="16"/>
                                </w:rPr>
                              </w:pPr>
                              <w:r w:rsidRPr="00B22241">
                                <w:rPr>
                                  <w:color w:val="A6A6A6" w:themeColor="background1" w:themeShade="A6"/>
                                  <w:sz w:val="16"/>
                                  <w:szCs w:val="16"/>
                                </w:rPr>
                                <w:t xml:space="preserve">Excess </w:t>
                              </w:r>
                              <w:r>
                                <w:rPr>
                                  <w:color w:val="A6A6A6" w:themeColor="background1" w:themeShade="A6"/>
                                  <w:sz w:val="16"/>
                                  <w:szCs w:val="16"/>
                                </w:rPr>
                                <w:t>demand</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24767116" name="Straight Arrow Connector 3"/>
                        <wps:cNvCnPr/>
                        <wps:spPr>
                          <a:xfrm flipV="1">
                            <a:off x="94798" y="30351"/>
                            <a:ext cx="0" cy="215900"/>
                          </a:xfrm>
                          <a:prstGeom prst="straightConnector1">
                            <a:avLst/>
                          </a:prstGeom>
                          <a:ln>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5358898" name="Straight Arrow Connector 4"/>
                        <wps:cNvCnPr/>
                        <wps:spPr>
                          <a:xfrm>
                            <a:off x="94798" y="306867"/>
                            <a:ext cx="0" cy="216000"/>
                          </a:xfrm>
                          <a:prstGeom prst="straightConnector1">
                            <a:avLst/>
                          </a:prstGeom>
                          <a:ln>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58BA912" id="Group 5" o:spid="_x0000_s1026" style="position:absolute;margin-left:413.2pt;margin-top:30.55pt;width:52.2pt;height:46.9pt;z-index:251658242;mso-height-relative:margin" coordsize="7020,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">
                <v:shapetype id="_x0000_t202" coordsize="21600,21600" o:spt="202" path="m,l,21600r21600,l21600,xe">
                  <v:stroke joinstyle="miter"/>
                  <v:path gradientshapeok="t" o:connecttype="rect"/>
                </v:shapetype>
                <v:shape id="Text Box 1" o:spid="_x0000_s1027" type="#_x0000_t202" style="position:absolute;left:1564;width:5264;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" fillcolor="white [3201]" stroked="f" strokeweight=".5pt">
                  <v:textbox inset="1mm,0,1mm,0">
                    <w:txbxContent>
                      <w:p w14:paraId="4763B8A6" w14:textId="77777777" w:rsidR="00823FEE" w:rsidRPr="00B22241" w:rsidRDefault="00823FEE" w:rsidP="00823FEE">
                        <w:pPr>
                          <w:rPr>
                            <w:color w:val="A6A6A6" w:themeColor="background1" w:themeShade="A6"/>
                            <w:sz w:val="16"/>
                            <w:szCs w:val="16"/>
                          </w:rPr>
                        </w:pPr>
                        <w:r w:rsidRPr="00B22241">
                          <w:rPr>
                            <w:color w:val="A6A6A6" w:themeColor="background1" w:themeShade="A6"/>
                            <w:sz w:val="16"/>
                            <w:szCs w:val="16"/>
                          </w:rPr>
                          <w:t>Excess supply</w:t>
                        </w:r>
                      </w:p>
                    </w:txbxContent>
                  </v:textbox>
                </v:shape>
                <v:line id="Straight Connector 2" o:spid="_x0000_s1028" style="position:absolute;visibility:visible;mso-wrap-style:square" from="0,2805" to="7020,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" strokecolor="#a5a5a5 [2092]">
                  <v:stroke dashstyle="3 1"/>
                </v:line>
                <v:shape id="Text Box 1" o:spid="_x0000_s1029" type="#_x0000_t202" style="position:absolute;left:1549;top:3068;width:5279;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" fillcolor="white [3201]" stroked="f" strokeweight=".5pt">
                  <v:textbox inset="1mm,0,1mm,0">
                    <w:txbxContent>
                      <w:p w14:paraId="03F3F939" w14:textId="77777777" w:rsidR="00823FEE" w:rsidRPr="00B22241" w:rsidRDefault="00823FEE" w:rsidP="00823FEE">
                        <w:pPr>
                          <w:rPr>
                            <w:color w:val="A6A6A6" w:themeColor="background1" w:themeShade="A6"/>
                            <w:sz w:val="16"/>
                            <w:szCs w:val="16"/>
                          </w:rPr>
                        </w:pPr>
                        <w:r w:rsidRPr="00B22241">
                          <w:rPr>
                            <w:color w:val="A6A6A6" w:themeColor="background1" w:themeShade="A6"/>
                            <w:sz w:val="16"/>
                            <w:szCs w:val="16"/>
                          </w:rPr>
                          <w:t xml:space="preserve">Excess </w:t>
                        </w:r>
                        <w:r>
                          <w:rPr>
                            <w:color w:val="A6A6A6" w:themeColor="background1" w:themeShade="A6"/>
                            <w:sz w:val="16"/>
                            <w:szCs w:val="16"/>
                          </w:rPr>
                          <w:t>demand</w:t>
                        </w:r>
                      </w:p>
                    </w:txbxContent>
                  </v:textbox>
                </v:shape>
                <v:shapetype id="_x0000_t32" coordsize="21600,21600" o:spt="32" o:oned="t" path="m,l21600,21600e" filled="f">
                  <v:path arrowok="t" fillok="f" o:connecttype="none"/>
                  <o:lock v:ext="edit" shapetype="t"/>
                </v:shapetype>
                <v:shape id="Straight Arrow Connector 3" o:spid="_x0000_s1030" type="#_x0000_t32" style="position:absolute;left:947;top:303;width:0;height:21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" strokecolor="#bfbfbf [2412]">
                  <v:stroke endarrow="block"/>
                </v:shape>
                <v:shape id="Straight Arrow Connector 4" o:spid="_x0000_s1031" type="#_x0000_t32" style="position:absolute;left:947;top:3068;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" strokecolor="#bfbfbf [2412]">
                  <v:stroke endarrow="block"/>
                </v:shape>
              </v:group>
            </w:pict>
          </mc:Fallback>
        </mc:AlternateContent>
      </w:r>
      <w:r w:rsidRPr="00823FEE">
        <w:rPr>
          <w:noProof/>
        </w:rPr>
        <w:drawing>
          <wp:inline distT="0" distB="0" distL="0" distR="0" wp14:anchorId="1CD8FDB2" wp14:editId="5BD13651">
            <wp:extent cx="5286173" cy="4405144"/>
            <wp:effectExtent l="0" t="0" r="0" b="0"/>
            <wp:docPr id="549689902" name="Picture 5" descr="A figure showing 8 area charts showing the mismatch contribution from each of the 8 major groups from 2020-21 to 2024-25. The chart shows how much of each contribution was due to excess supply and how much was due to excess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89902" name="Picture 5" descr="A figure showing 8 area charts showing the mismatch contribution from each of the 8 major groups from 2020-21 to 2024-25. The chart shows how much of each contribution was due to excess supply and how much was due to excess deman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86173" cy="4405144"/>
                    </a:xfrm>
                    <a:prstGeom prst="rect">
                      <a:avLst/>
                    </a:prstGeom>
                  </pic:spPr>
                </pic:pic>
              </a:graphicData>
            </a:graphic>
          </wp:inline>
        </w:drawing>
      </w:r>
      <w:r w:rsidR="00785AF1">
        <w:br/>
      </w:r>
      <w:r w:rsidRPr="00823FEE">
        <w:t>Source: Jobs and Skills Australia: SERA and REOS (2025).</w:t>
      </w:r>
    </w:p>
    <w:p w14:paraId="1972611F" w14:textId="28409932" w:rsidR="00032E44" w:rsidRDefault="00FE70BC" w:rsidP="00AE059E">
      <w:r>
        <w:t>O</w:t>
      </w:r>
      <w:r w:rsidRPr="00FE70BC">
        <w:t>ver the period 2020</w:t>
      </w:r>
      <w:r w:rsidR="00714358" w:rsidRPr="0016595E">
        <w:t>–</w:t>
      </w:r>
      <w:r w:rsidRPr="00FE70BC">
        <w:t>21 to 2024</w:t>
      </w:r>
      <w:r w:rsidR="00714358" w:rsidRPr="0016595E">
        <w:t>–</w:t>
      </w:r>
      <w:r w:rsidRPr="00FE70BC">
        <w:t xml:space="preserve">25, </w:t>
      </w:r>
      <w:r w:rsidR="00930FE2">
        <w:t xml:space="preserve">for Professionals </w:t>
      </w:r>
      <w:r w:rsidR="00EC281E">
        <w:t>the</w:t>
      </w:r>
      <w:r w:rsidR="00771D02">
        <w:t>re were, generally, twice as many</w:t>
      </w:r>
      <w:r w:rsidR="00EC281E">
        <w:t xml:space="preserve"> </w:t>
      </w:r>
      <w:r w:rsidR="00771D02">
        <w:t xml:space="preserve">unit groups with excess supply than excess demand. However, </w:t>
      </w:r>
      <w:r w:rsidR="00642ABA">
        <w:t xml:space="preserve">total contributions of unit groups with excess supply or excess demand </w:t>
      </w:r>
      <w:r w:rsidR="003D5E26">
        <w:t xml:space="preserve">to the overall MI </w:t>
      </w:r>
      <w:r w:rsidR="00642ABA">
        <w:t>was similar</w:t>
      </w:r>
      <w:r w:rsidR="00846C4B">
        <w:t xml:space="preserve"> (</w:t>
      </w:r>
      <w:r w:rsidR="00846C4B" w:rsidRPr="0051310D">
        <w:fldChar w:fldCharType="begin"/>
      </w:r>
      <w:r w:rsidR="00846C4B" w:rsidRPr="0051310D">
        <w:instrText xml:space="preserve"> REF _Ref193816203 \h </w:instrText>
      </w:r>
      <w:r w:rsidR="00846C4B">
        <w:instrText xml:space="preserve"> \* MERGEFORMAT </w:instrText>
      </w:r>
      <w:r w:rsidR="00846C4B" w:rsidRPr="0051310D">
        <w:fldChar w:fldCharType="separate"/>
      </w:r>
      <w:r w:rsidR="00F96253" w:rsidRPr="00E94AFC">
        <w:t xml:space="preserve">Figure </w:t>
      </w:r>
      <w:r w:rsidR="00F96253">
        <w:t>6</w:t>
      </w:r>
      <w:r w:rsidR="00846C4B" w:rsidRPr="0051310D">
        <w:fldChar w:fldCharType="end"/>
      </w:r>
      <w:r w:rsidR="00846C4B">
        <w:t>)</w:t>
      </w:r>
      <w:r w:rsidR="002A0F44">
        <w:t>.</w:t>
      </w:r>
      <w:r w:rsidR="00303F80">
        <w:t xml:space="preserve"> </w:t>
      </w:r>
    </w:p>
    <w:p w14:paraId="24720D85" w14:textId="3FBA602E" w:rsidR="00555CE4" w:rsidRDefault="00FC04DC" w:rsidP="00555CE4">
      <w:pPr>
        <w:pStyle w:val="ListBullet"/>
      </w:pPr>
      <w:r>
        <w:t>For example, i</w:t>
      </w:r>
      <w:r w:rsidR="00395F62">
        <w:t xml:space="preserve">n </w:t>
      </w:r>
      <w:r w:rsidR="00395F62" w:rsidRPr="005F5BE1">
        <w:t>2024</w:t>
      </w:r>
      <w:r w:rsidR="00395F62" w:rsidRPr="00395F62">
        <w:t>–25,</w:t>
      </w:r>
      <w:r w:rsidR="00395F62">
        <w:t xml:space="preserve"> </w:t>
      </w:r>
      <w:r w:rsidR="00036871" w:rsidRPr="005F5BE1">
        <w:t>Professionals</w:t>
      </w:r>
      <w:r w:rsidR="00036871">
        <w:t xml:space="preserve"> </w:t>
      </w:r>
      <w:r w:rsidR="00036871" w:rsidRPr="005F5BE1">
        <w:t>contributed 7</w:t>
      </w:r>
      <w:r w:rsidR="00395F62">
        <w:t xml:space="preserve"> percentage points </w:t>
      </w:r>
      <w:r w:rsidR="00036871" w:rsidRPr="005F5BE1">
        <w:t xml:space="preserve">to the </w:t>
      </w:r>
      <w:r w:rsidR="009C6BAE">
        <w:t>overall MI</w:t>
      </w:r>
      <w:r w:rsidR="00036871" w:rsidRPr="005F5BE1">
        <w:t xml:space="preserve"> due to </w:t>
      </w:r>
      <w:r w:rsidR="00AA2867">
        <w:t>excess demand</w:t>
      </w:r>
      <w:r w:rsidR="00036871" w:rsidRPr="005F5BE1">
        <w:t xml:space="preserve"> and 5</w:t>
      </w:r>
      <w:r w:rsidR="00395F62">
        <w:t xml:space="preserve"> percentage points </w:t>
      </w:r>
      <w:r w:rsidR="00036871" w:rsidRPr="005F5BE1">
        <w:t xml:space="preserve">due to </w:t>
      </w:r>
      <w:r w:rsidR="00AA2867">
        <w:t>excess supply</w:t>
      </w:r>
      <w:r w:rsidR="00282FA7">
        <w:t>. This amounts</w:t>
      </w:r>
      <w:r w:rsidR="00036871" w:rsidRPr="005F5BE1">
        <w:t xml:space="preserve"> to a total contribution of 12</w:t>
      </w:r>
      <w:r w:rsidR="00395F62">
        <w:t xml:space="preserve"> percentage points</w:t>
      </w:r>
      <w:r w:rsidR="003D5E26">
        <w:t>.</w:t>
      </w:r>
      <w:r w:rsidR="00395F62">
        <w:t xml:space="preserve"> </w:t>
      </w:r>
      <w:r w:rsidR="00555CE4">
        <w:t xml:space="preserve">This </w:t>
      </w:r>
      <w:r w:rsidR="002D77BC">
        <w:t xml:space="preserve">mismatch contribution </w:t>
      </w:r>
      <w:r w:rsidR="00036871" w:rsidRPr="005F5BE1">
        <w:t xml:space="preserve">was more than a third of the total </w:t>
      </w:r>
      <w:r w:rsidR="00EF738B">
        <w:t xml:space="preserve">MI value. </w:t>
      </w:r>
    </w:p>
    <w:p w14:paraId="41D51002" w14:textId="709D97D1" w:rsidR="00455322" w:rsidRDefault="00E6785E" w:rsidP="00555CE4">
      <w:pPr>
        <w:pStyle w:val="ListBullet"/>
      </w:pPr>
      <w:r>
        <w:t xml:space="preserve">Over the last 5 years, </w:t>
      </w:r>
      <w:r w:rsidR="00C96919">
        <w:t xml:space="preserve">in fact, </w:t>
      </w:r>
      <w:r w:rsidR="002101D1">
        <w:t xml:space="preserve">Professionals contributed most to the total mismatch in </w:t>
      </w:r>
      <w:r w:rsidR="00246AD4">
        <w:t>labour market.</w:t>
      </w:r>
      <w:r w:rsidR="00934391">
        <w:t xml:space="preserve"> </w:t>
      </w:r>
    </w:p>
    <w:p w14:paraId="147593FC" w14:textId="05627030" w:rsidR="00CE4205" w:rsidRPr="00823FEE" w:rsidRDefault="00B310A0" w:rsidP="001257EF">
      <w:pPr>
        <w:pStyle w:val="ListBullet"/>
      </w:pPr>
      <w:r>
        <w:t xml:space="preserve">Within the major group, </w:t>
      </w:r>
      <w:r w:rsidR="00C96919">
        <w:t xml:space="preserve">mismatch from </w:t>
      </w:r>
      <w:r>
        <w:t>e</w:t>
      </w:r>
      <w:r w:rsidR="008A76CA">
        <w:t xml:space="preserve">xcess demand is </w:t>
      </w:r>
      <w:r w:rsidR="00A076AA">
        <w:t xml:space="preserve">particularly </w:t>
      </w:r>
      <w:r w:rsidR="00BC1441">
        <w:t>an issue for</w:t>
      </w:r>
      <w:r w:rsidR="00D54B80" w:rsidRPr="00D92B0C">
        <w:t xml:space="preserve"> health and allied health </w:t>
      </w:r>
      <w:r w:rsidR="00246AD4">
        <w:t>unit groups</w:t>
      </w:r>
      <w:r w:rsidR="00D54B80" w:rsidRPr="00D92B0C">
        <w:t>.</w:t>
      </w:r>
      <w:r w:rsidR="00773FC0">
        <w:rPr>
          <w:rStyle w:val="FootnoteReference"/>
        </w:rPr>
        <w:footnoteReference w:id="12"/>
      </w:r>
    </w:p>
    <w:p w14:paraId="43FACD37" w14:textId="3BF3A2A1" w:rsidR="004D761B" w:rsidRDefault="005F1EAC" w:rsidP="00036871">
      <w:pPr>
        <w:pStyle w:val="BodyText"/>
      </w:pPr>
      <w:r>
        <w:t>Over the period 2020</w:t>
      </w:r>
      <w:r w:rsidR="00EE3D1C" w:rsidRPr="0016595E">
        <w:t>–</w:t>
      </w:r>
      <w:r>
        <w:t>21 to 2024</w:t>
      </w:r>
      <w:r w:rsidR="00EE3D1C" w:rsidRPr="0016595E">
        <w:t>–</w:t>
      </w:r>
      <w:r>
        <w:t>25, f</w:t>
      </w:r>
      <w:r w:rsidR="00036871" w:rsidRPr="005F5BE1">
        <w:t xml:space="preserve">or Technicians and Trades Workers, there were more </w:t>
      </w:r>
      <w:r w:rsidR="000F18D6">
        <w:t>unit groups</w:t>
      </w:r>
      <w:r w:rsidR="00036871" w:rsidRPr="005F5BE1">
        <w:t xml:space="preserve"> with excess demand than excess supply. </w:t>
      </w:r>
      <w:r w:rsidR="00016568">
        <w:t xml:space="preserve">Technicians and Trades Workers contributed </w:t>
      </w:r>
      <w:r w:rsidR="006F2367">
        <w:t>5</w:t>
      </w:r>
      <w:r w:rsidR="005024C3" w:rsidRPr="005024C3">
        <w:t xml:space="preserve"> </w:t>
      </w:r>
      <w:r w:rsidR="005024C3">
        <w:t>percentage points</w:t>
      </w:r>
      <w:r w:rsidR="006F2367">
        <w:t xml:space="preserve"> to the M</w:t>
      </w:r>
      <w:r w:rsidR="005161C6">
        <w:t>I</w:t>
      </w:r>
      <w:r w:rsidR="006F2367">
        <w:t xml:space="preserve"> in 2024</w:t>
      </w:r>
      <w:r w:rsidR="00EE3D1C" w:rsidRPr="0016595E">
        <w:t>–</w:t>
      </w:r>
      <w:r w:rsidR="006F2367">
        <w:t>25.</w:t>
      </w:r>
    </w:p>
    <w:p w14:paraId="6D28568D" w14:textId="4D1269DD" w:rsidR="00B61898" w:rsidRDefault="00885413" w:rsidP="001257EF">
      <w:pPr>
        <w:rPr>
          <w:highlight w:val="yellow"/>
        </w:rPr>
      </w:pPr>
      <w:r w:rsidRPr="005A77E7">
        <w:t xml:space="preserve">Managers generally had unit groups with excess supply over the </w:t>
      </w:r>
      <w:proofErr w:type="gramStart"/>
      <w:r w:rsidRPr="005A77E7">
        <w:t>5</w:t>
      </w:r>
      <w:r w:rsidR="00EE3D1C">
        <w:t xml:space="preserve"> </w:t>
      </w:r>
      <w:r w:rsidRPr="005A77E7">
        <w:t>year</w:t>
      </w:r>
      <w:proofErr w:type="gramEnd"/>
      <w:r w:rsidRPr="005A77E7">
        <w:t xml:space="preserve"> period</w:t>
      </w:r>
      <w:r w:rsidR="006F2367">
        <w:t xml:space="preserve"> and contributed </w:t>
      </w:r>
      <w:r w:rsidR="005161C6">
        <w:t>3</w:t>
      </w:r>
      <w:r w:rsidR="005024C3" w:rsidRPr="005024C3">
        <w:t xml:space="preserve"> </w:t>
      </w:r>
      <w:r w:rsidR="005024C3">
        <w:t>percentage points</w:t>
      </w:r>
      <w:r w:rsidR="005161C6">
        <w:t xml:space="preserve"> to the MI in 2024</w:t>
      </w:r>
      <w:r w:rsidR="00EE3D1C" w:rsidRPr="0016595E">
        <w:t>–</w:t>
      </w:r>
      <w:r w:rsidR="005161C6">
        <w:t>25.</w:t>
      </w:r>
    </w:p>
    <w:p w14:paraId="3D599B1E" w14:textId="77777777" w:rsidR="003F6534" w:rsidRDefault="003F6534">
      <w:pPr>
        <w:spacing w:before="0" w:after="200" w:line="276" w:lineRule="auto"/>
        <w:rPr>
          <w:highlight w:val="yellow"/>
        </w:rPr>
      </w:pPr>
      <w:r>
        <w:rPr>
          <w:highlight w:val="yellow"/>
        </w:rPr>
        <w:br w:type="page"/>
      </w:r>
    </w:p>
    <w:p w14:paraId="1CD6E80B" w14:textId="048ECD7F" w:rsidR="00357D17" w:rsidRDefault="00036871" w:rsidP="008957F7">
      <w:pPr>
        <w:pStyle w:val="BodyText"/>
      </w:pPr>
      <w:r w:rsidRPr="00B613E1">
        <w:lastRenderedPageBreak/>
        <w:t xml:space="preserve">For Clerical and Administrative Workers, there were generally more </w:t>
      </w:r>
      <w:r w:rsidR="00983E80">
        <w:t>unit groups</w:t>
      </w:r>
      <w:r w:rsidRPr="00B613E1">
        <w:t xml:space="preserve"> with excess supply. </w:t>
      </w:r>
      <w:r w:rsidR="00D52361">
        <w:t xml:space="preserve">But for </w:t>
      </w:r>
      <w:r w:rsidR="008957F7" w:rsidRPr="005F5BE1">
        <w:t xml:space="preserve">Community and Personal Service </w:t>
      </w:r>
      <w:r w:rsidR="008957F7">
        <w:t xml:space="preserve">Workers, there were more unit groups with excess demand. </w:t>
      </w:r>
      <w:r w:rsidR="009E4657">
        <w:t xml:space="preserve">Each </w:t>
      </w:r>
      <w:r w:rsidR="008E38A3">
        <w:t>of these major groups contribute</w:t>
      </w:r>
      <w:r w:rsidR="00C41771">
        <w:t>d 4%</w:t>
      </w:r>
      <w:r w:rsidR="005024C3" w:rsidRPr="005024C3">
        <w:t xml:space="preserve"> </w:t>
      </w:r>
      <w:r w:rsidR="005024C3">
        <w:t>percentage points</w:t>
      </w:r>
      <w:r w:rsidR="00C41771">
        <w:t xml:space="preserve"> to the MI index in 2024</w:t>
      </w:r>
      <w:r w:rsidR="00EE3D1C" w:rsidRPr="0016595E">
        <w:t>–</w:t>
      </w:r>
      <w:r w:rsidR="00C41771">
        <w:t>25</w:t>
      </w:r>
      <w:r w:rsidR="009D0C77">
        <w:t>, but in the opposite direction</w:t>
      </w:r>
      <w:r w:rsidR="00C41771">
        <w:t>.</w:t>
      </w:r>
    </w:p>
    <w:p w14:paraId="11F91CA9" w14:textId="068E66EA" w:rsidR="008957F7" w:rsidRDefault="008C2094" w:rsidP="00D52361">
      <w:pPr>
        <w:pStyle w:val="BodyText"/>
      </w:pPr>
      <w:r>
        <w:t xml:space="preserve">The </w:t>
      </w:r>
      <w:r w:rsidR="00B44197">
        <w:t xml:space="preserve">skill levels of unit groups in </w:t>
      </w:r>
      <w:r w:rsidR="00B44197" w:rsidRPr="00B613E1">
        <w:t>Clerical and Administrative Workers</w:t>
      </w:r>
      <w:r w:rsidR="00B44197">
        <w:t xml:space="preserve"> or in </w:t>
      </w:r>
      <w:r w:rsidR="00B44197" w:rsidRPr="005F5BE1">
        <w:t xml:space="preserve">Community and Personal Service </w:t>
      </w:r>
      <w:r w:rsidR="00B44197">
        <w:t>Workers</w:t>
      </w:r>
      <w:r w:rsidR="00357D17" w:rsidRPr="005F5BE1">
        <w:t xml:space="preserve"> </w:t>
      </w:r>
      <w:r w:rsidR="00B44197">
        <w:t xml:space="preserve">are </w:t>
      </w:r>
      <w:r>
        <w:t xml:space="preserve">generally </w:t>
      </w:r>
      <w:r w:rsidR="00B44197">
        <w:t>similar</w:t>
      </w:r>
      <w:r w:rsidR="00E15EB4">
        <w:t xml:space="preserve">. This indicates that </w:t>
      </w:r>
      <w:r w:rsidR="008957F7" w:rsidRPr="005F5BE1">
        <w:t xml:space="preserve">the labour market would be more balanced if some applicants switched from applying for Clerical and Administrative </w:t>
      </w:r>
      <w:r w:rsidR="008957F7">
        <w:t xml:space="preserve">Workers unit groups </w:t>
      </w:r>
      <w:r w:rsidR="008957F7" w:rsidRPr="005F5BE1">
        <w:t xml:space="preserve">to applying for Community and Personal Service </w:t>
      </w:r>
      <w:r w:rsidR="008957F7">
        <w:t>Workers unit groups</w:t>
      </w:r>
      <w:r w:rsidR="008957F7" w:rsidRPr="005F5BE1">
        <w:t xml:space="preserve">. </w:t>
      </w:r>
    </w:p>
    <w:p w14:paraId="03C35762" w14:textId="2C8E3359" w:rsidR="00036871" w:rsidRPr="00823FEE" w:rsidRDefault="00036871" w:rsidP="00036871">
      <w:pPr>
        <w:pStyle w:val="BodyText"/>
      </w:pPr>
      <w:r w:rsidRPr="00B613E1">
        <w:t xml:space="preserve">For lower skilled Sales Workers, Machinery </w:t>
      </w:r>
      <w:r w:rsidRPr="00823FEE">
        <w:t xml:space="preserve">Operators and Drivers, and Labourers, demand and supply were generally </w:t>
      </w:r>
      <w:r w:rsidR="001959FD">
        <w:t xml:space="preserve">more </w:t>
      </w:r>
      <w:r w:rsidRPr="00823FEE">
        <w:t xml:space="preserve">balanced. </w:t>
      </w:r>
      <w:r w:rsidR="00370420">
        <w:t xml:space="preserve">Hence the mismatch was relatively close to zero </w:t>
      </w:r>
      <w:r w:rsidR="007B466A">
        <w:t>(</w:t>
      </w:r>
      <w:r w:rsidR="00370420" w:rsidRPr="0051310D">
        <w:fldChar w:fldCharType="begin"/>
      </w:r>
      <w:r w:rsidR="00370420" w:rsidRPr="0051310D">
        <w:instrText xml:space="preserve"> REF _Ref193816203 \h </w:instrText>
      </w:r>
      <w:r w:rsidR="00370420">
        <w:instrText xml:space="preserve"> \* MERGEFORMAT </w:instrText>
      </w:r>
      <w:r w:rsidR="00370420" w:rsidRPr="0051310D">
        <w:fldChar w:fldCharType="separate"/>
      </w:r>
      <w:r w:rsidR="00F96253" w:rsidRPr="00E94AFC">
        <w:t xml:space="preserve">Figure </w:t>
      </w:r>
      <w:r w:rsidR="00F96253">
        <w:t>6</w:t>
      </w:r>
      <w:r w:rsidR="00370420" w:rsidRPr="0051310D">
        <w:fldChar w:fldCharType="end"/>
      </w:r>
      <w:r w:rsidR="007B466A">
        <w:t>)</w:t>
      </w:r>
      <w:r w:rsidR="00370420">
        <w:t xml:space="preserve"> for these major groups. </w:t>
      </w:r>
      <w:r w:rsidR="00824445">
        <w:t>Together the</w:t>
      </w:r>
      <w:r w:rsidR="009E4657">
        <w:t xml:space="preserve">se </w:t>
      </w:r>
      <w:r w:rsidR="007B466A">
        <w:t>3</w:t>
      </w:r>
      <w:r w:rsidR="009E4657">
        <w:t xml:space="preserve"> major groups contribute</w:t>
      </w:r>
      <w:r w:rsidR="000A6D69">
        <w:t>d</w:t>
      </w:r>
      <w:r w:rsidR="009E4657">
        <w:t xml:space="preserve"> 2</w:t>
      </w:r>
      <w:r w:rsidR="00EE3D1C">
        <w:t xml:space="preserve"> </w:t>
      </w:r>
      <w:r w:rsidR="005024C3">
        <w:t>percentage points</w:t>
      </w:r>
      <w:r w:rsidR="009E4657">
        <w:t xml:space="preserve"> to the MI.</w:t>
      </w:r>
    </w:p>
    <w:p w14:paraId="657C5532" w14:textId="77777777" w:rsidR="00304002" w:rsidRDefault="00304002">
      <w:pPr>
        <w:spacing w:before="0" w:after="200" w:line="276" w:lineRule="auto"/>
        <w:rPr>
          <w:rFonts w:eastAsia="Times New Roman" w:cs="Times New Roman"/>
          <w:bCs/>
          <w:sz w:val="17"/>
          <w:szCs w:val="24"/>
          <w:lang w:eastAsia="en-GB"/>
        </w:rPr>
      </w:pPr>
      <w:r>
        <w:br w:type="page"/>
      </w:r>
    </w:p>
    <w:p w14:paraId="2E3BF29E" w14:textId="77777777" w:rsidR="00304002" w:rsidRDefault="00304002" w:rsidP="00304002">
      <w:pPr>
        <w:pStyle w:val="Heading1"/>
      </w:pPr>
      <w:bookmarkStart w:id="30" w:name="_Explanatory_Notes"/>
      <w:bookmarkStart w:id="31" w:name="_Toc199509259"/>
      <w:bookmarkStart w:id="32" w:name="_Toc207977957"/>
      <w:bookmarkEnd w:id="30"/>
      <w:r w:rsidRPr="006135E6">
        <w:lastRenderedPageBreak/>
        <w:t>Explanatory</w:t>
      </w:r>
      <w:r>
        <w:t xml:space="preserve"> </w:t>
      </w:r>
      <w:r w:rsidRPr="005D14CA">
        <w:t>Notes</w:t>
      </w:r>
      <w:bookmarkEnd w:id="31"/>
      <w:bookmarkEnd w:id="32"/>
    </w:p>
    <w:p w14:paraId="4CD76732" w14:textId="5EAFA003" w:rsidR="00304002" w:rsidRPr="00304002" w:rsidRDefault="00304002" w:rsidP="001257EF">
      <w:pPr>
        <w:pStyle w:val="BodyText"/>
      </w:pPr>
      <w:r>
        <w:t xml:space="preserve">SERA is </w:t>
      </w:r>
      <w:r w:rsidR="004660BF">
        <w:t>a monthly, telephone-based survey of employers with advertised vacancies</w:t>
      </w:r>
      <w:r w:rsidR="00906EDF">
        <w:t xml:space="preserve"> online</w:t>
      </w:r>
      <w:r w:rsidR="004660BF">
        <w:t xml:space="preserve">. </w:t>
      </w:r>
      <w:r w:rsidRPr="00304002">
        <w:t xml:space="preserve">The survey </w:t>
      </w:r>
      <w:r w:rsidR="00F52A4F">
        <w:t xml:space="preserve">collects information on </w:t>
      </w:r>
      <w:r w:rsidR="00906EDF">
        <w:t>employers'</w:t>
      </w:r>
      <w:r w:rsidR="00F52A4F">
        <w:t xml:space="preserve"> recruitment experience</w:t>
      </w:r>
      <w:r w:rsidR="00906EDF">
        <w:t>. Annually, data is collected from over 10,000 employers and covers 577 occupations.</w:t>
      </w:r>
      <w:r w:rsidRPr="00304002">
        <w:t xml:space="preserve"> Only those occupations with a sufficient quarterly sample size are included for analysis in this report. </w:t>
      </w:r>
    </w:p>
    <w:p w14:paraId="2E3E116C" w14:textId="05B23A6C" w:rsidR="00304002" w:rsidRPr="00304002" w:rsidRDefault="00304002" w:rsidP="001257EF">
      <w:pPr>
        <w:pStyle w:val="BodyText"/>
      </w:pPr>
      <w:r>
        <w:t xml:space="preserve">The survey covers </w:t>
      </w:r>
      <w:r w:rsidR="00116F5D">
        <w:t>skill level 1 to 4</w:t>
      </w:r>
      <w:r>
        <w:t xml:space="preserve"> occupations, as defined by </w:t>
      </w:r>
      <w:hyperlink r:id="rId25" w:history="1">
        <w:r w:rsidR="00116F5D" w:rsidRPr="00714D96">
          <w:rPr>
            <w:rStyle w:val="Hyperlink"/>
          </w:rPr>
          <w:t xml:space="preserve">2022 </w:t>
        </w:r>
        <w:r w:rsidRPr="00714D96">
          <w:rPr>
            <w:rStyle w:val="Hyperlink"/>
          </w:rPr>
          <w:t>Austr</w:t>
        </w:r>
        <w:bookmarkStart w:id="33" w:name="_Hlt207286477"/>
        <w:bookmarkStart w:id="34" w:name="_Hlt207286478"/>
        <w:r w:rsidRPr="00714D96">
          <w:rPr>
            <w:rStyle w:val="Hyperlink"/>
          </w:rPr>
          <w:t>a</w:t>
        </w:r>
        <w:bookmarkEnd w:id="33"/>
        <w:bookmarkEnd w:id="34"/>
        <w:r w:rsidRPr="00714D96">
          <w:rPr>
            <w:rStyle w:val="Hyperlink"/>
          </w:rPr>
          <w:t>lian and New Zealand Standard Classification of Occupations</w:t>
        </w:r>
      </w:hyperlink>
      <w:r w:rsidRPr="00304002">
        <w:t xml:space="preserve">. As a result, the survey outcomes are reflective of occupations requiring post-school education and training. </w:t>
      </w:r>
    </w:p>
    <w:p w14:paraId="1E2F1EB3" w14:textId="77777777" w:rsidR="00304002" w:rsidRDefault="00304002" w:rsidP="00304002">
      <w:pPr>
        <w:pStyle w:val="Heading2"/>
      </w:pPr>
      <w:bookmarkStart w:id="35" w:name="_Toc199509260"/>
      <w:bookmarkStart w:id="36" w:name="_Toc207977958"/>
      <w:r>
        <w:t>Definitions of metrics</w:t>
      </w:r>
      <w:bookmarkEnd w:id="35"/>
      <w:bookmarkEnd w:id="36"/>
    </w:p>
    <w:p w14:paraId="10B970ED" w14:textId="77777777" w:rsidR="00304002" w:rsidRPr="00BA38A0" w:rsidRDefault="00304002" w:rsidP="001257EF">
      <w:pPr>
        <w:pStyle w:val="BodyText"/>
      </w:pPr>
      <w:r w:rsidRPr="00527111">
        <w:rPr>
          <w:rStyle w:val="Strong"/>
        </w:rPr>
        <w:t>The fill rate</w:t>
      </w:r>
      <w:r>
        <w:t xml:space="preserve"> is the percentage of vacancies employers advertised that were filled. The metric is calculated by dividing the number of filled vacancies by total advertised vacancies. </w:t>
      </w:r>
    </w:p>
    <w:p w14:paraId="352DFAE8" w14:textId="77777777" w:rsidR="00304002" w:rsidRDefault="00304002" w:rsidP="001257EF">
      <w:pPr>
        <w:pStyle w:val="BodyText"/>
      </w:pPr>
      <w:r w:rsidRPr="00527111">
        <w:rPr>
          <w:rStyle w:val="Strong"/>
        </w:rPr>
        <w:t>The average number of applicants per vacancy</w:t>
      </w:r>
      <w:r>
        <w:t xml:space="preserve"> is calculated as the sum of the number of applicants divided by the sum of advertised vacancies. </w:t>
      </w:r>
    </w:p>
    <w:p w14:paraId="3FFF62B5" w14:textId="77777777" w:rsidR="00304002" w:rsidRDefault="00304002" w:rsidP="001257EF">
      <w:pPr>
        <w:pStyle w:val="BodyText"/>
      </w:pPr>
      <w:r w:rsidRPr="00527111">
        <w:rPr>
          <w:rStyle w:val="Strong"/>
        </w:rPr>
        <w:t>The average number of qualified applicants per vacancy</w:t>
      </w:r>
      <w:r w:rsidRPr="00E75656">
        <w:t xml:space="preserve"> </w:t>
      </w:r>
      <w:r>
        <w:t xml:space="preserve">is calculated as the sum of the number of qualified applicants divided by the sum of advertised vacancies. </w:t>
      </w:r>
      <w:r w:rsidRPr="00195CA0">
        <w:t xml:space="preserve">Qualified </w:t>
      </w:r>
      <w:r>
        <w:t xml:space="preserve">applicants are the applicants who are assessed by employers as meeting the required qualification criteria of an advertised vacancy. </w:t>
      </w:r>
    </w:p>
    <w:p w14:paraId="437A9E15" w14:textId="77777777" w:rsidR="00304002" w:rsidRDefault="00304002" w:rsidP="001257EF">
      <w:pPr>
        <w:pStyle w:val="BodyText"/>
      </w:pPr>
      <w:r w:rsidRPr="00527111">
        <w:rPr>
          <w:rStyle w:val="Strong"/>
        </w:rPr>
        <w:t>The average number of suitable applicants per vacancy</w:t>
      </w:r>
      <w:r>
        <w:t xml:space="preserve"> is calculated as the sum of the number of suitable applicants divided by the sum of advertised vacancies. Suitable applicants are those who are deemed by employers to be suitable for the job advertised. </w:t>
      </w:r>
    </w:p>
    <w:p w14:paraId="520F6DC9" w14:textId="77777777" w:rsidR="00304002" w:rsidRDefault="00304002" w:rsidP="001257EF">
      <w:pPr>
        <w:pStyle w:val="BodyText"/>
      </w:pPr>
      <w:r w:rsidRPr="00527111">
        <w:rPr>
          <w:rStyle w:val="Strong"/>
        </w:rPr>
        <w:t>The average years of labour market experience</w:t>
      </w:r>
      <w:r>
        <w:t xml:space="preserve"> sought by employer is t</w:t>
      </w:r>
      <w:r w:rsidRPr="00CD13AB">
        <w:t xml:space="preserve">he average number of years that employers require applicants </w:t>
      </w:r>
      <w:r>
        <w:t xml:space="preserve">to </w:t>
      </w:r>
      <w:r w:rsidRPr="00CD13AB">
        <w:t>have spent in relevant occupation</w:t>
      </w:r>
      <w:r>
        <w:t>s</w:t>
      </w:r>
      <w:r w:rsidRPr="00CD13AB">
        <w:t xml:space="preserve"> and </w:t>
      </w:r>
      <w:r>
        <w:t xml:space="preserve">is </w:t>
      </w:r>
      <w:r w:rsidRPr="00CD13AB">
        <w:t>calculated as the mean of the years required per employer.</w:t>
      </w:r>
    </w:p>
    <w:p w14:paraId="34F38FE9" w14:textId="53409B42" w:rsidR="00304002" w:rsidRDefault="00304002" w:rsidP="001257EF">
      <w:pPr>
        <w:pStyle w:val="BodyText"/>
      </w:pPr>
      <w:r w:rsidRPr="00527111">
        <w:rPr>
          <w:rStyle w:val="Strong"/>
        </w:rPr>
        <w:t>Metropolitan area</w:t>
      </w:r>
      <w:r>
        <w:t xml:space="preserve"> refers to Capital City, while </w:t>
      </w:r>
      <w:proofErr w:type="gramStart"/>
      <w:r w:rsidRPr="00527111">
        <w:rPr>
          <w:rStyle w:val="Strong"/>
        </w:rPr>
        <w:t>Regional</w:t>
      </w:r>
      <w:proofErr w:type="gramEnd"/>
      <w:r w:rsidRPr="00527111">
        <w:rPr>
          <w:rStyle w:val="Strong"/>
        </w:rPr>
        <w:t xml:space="preserve"> area</w:t>
      </w:r>
      <w:r>
        <w:t xml:space="preserve"> refers to Rest of State locations. Capital City and Rest of State areas are defined by the</w:t>
      </w:r>
      <w:r w:rsidR="00FA0AD9">
        <w:t xml:space="preserve"> </w:t>
      </w:r>
      <w:hyperlink r:id="rId26" w:history="1">
        <w:r w:rsidR="00FA0AD9" w:rsidRPr="00462794">
          <w:rPr>
            <w:rStyle w:val="Hyperlink"/>
          </w:rPr>
          <w:t>Australian Statistical Geography Standard (ASGS) Edition 3, July 2021</w:t>
        </w:r>
      </w:hyperlink>
      <w:r w:rsidR="00FA0AD9">
        <w:t>.</w:t>
      </w:r>
      <w:r w:rsidR="00C32E1D" w:rsidDel="00C32E1D">
        <w:rPr>
          <w:rStyle w:val="CommentReference"/>
        </w:rPr>
        <w:t xml:space="preserve"> </w:t>
      </w:r>
    </w:p>
    <w:p w14:paraId="0CB0224C" w14:textId="08E9BABA" w:rsidR="00823FEE" w:rsidRPr="00823FEE" w:rsidRDefault="00304002" w:rsidP="001257EF">
      <w:pPr>
        <w:pStyle w:val="BodyText"/>
      </w:pPr>
      <w:r w:rsidRPr="006D009D">
        <w:t xml:space="preserve">For more information, contact </w:t>
      </w:r>
      <w:hyperlink r:id="rId27" w:history="1">
        <w:r w:rsidRPr="00304002">
          <w:rPr>
            <w:rStyle w:val="Hyperlink"/>
          </w:rPr>
          <w:t>OccupationShortageList@jobsandskills.gov.au</w:t>
        </w:r>
      </w:hyperlink>
      <w:r w:rsidRPr="00304002">
        <w:t>.</w:t>
      </w:r>
      <w:bookmarkEnd w:id="21"/>
    </w:p>
    <w:sectPr w:rsidR="00823FEE" w:rsidRPr="00823FEE" w:rsidSect="000F5CD2">
      <w:footerReference w:type="first" r:id="rId28"/>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65F9" w14:textId="77777777" w:rsidR="00500C97" w:rsidRDefault="00500C97" w:rsidP="00E12845">
      <w:pPr>
        <w:spacing w:before="0" w:after="0"/>
      </w:pPr>
      <w:r>
        <w:separator/>
      </w:r>
    </w:p>
  </w:endnote>
  <w:endnote w:type="continuationSeparator" w:id="0">
    <w:p w14:paraId="6632F5FF" w14:textId="77777777" w:rsidR="00500C97" w:rsidRDefault="00500C97"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9094702" w14:textId="1CCD5F15" w:rsidR="00BA4D1C" w:rsidRDefault="00BA4D1C">
        <w:pPr>
          <w:pStyle w:val="Footer"/>
        </w:pPr>
        <w:r w:rsidRPr="00835A0D">
          <w:t>Jobs and Skills Australia –</w:t>
        </w:r>
        <w:r>
          <w:t xml:space="preserve"> </w:t>
        </w:r>
        <w:fldSimple w:instr=" STYLEREF  Title  \* MERGEFORMAT ">
          <w:r w:rsidR="00F96253">
            <w:rPr>
              <w:noProof/>
            </w:rPr>
            <w:t>Occupation Shortage Report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1023D81D" w14:textId="01BA1C02" w:rsidR="000F5CD2" w:rsidRDefault="000F5CD2">
        <w:pPr>
          <w:pStyle w:val="Footer"/>
        </w:pPr>
        <w:r w:rsidRPr="00835A0D">
          <w:t>Jobs and Skills Australia –</w:t>
        </w:r>
        <w:r>
          <w:t xml:space="preserve"> </w:t>
        </w:r>
        <w:fldSimple w:instr=" STYLEREF  Title  \* MERGEFORMAT ">
          <w:r w:rsidR="00F96253">
            <w:rPr>
              <w:noProof/>
            </w:rPr>
            <w:t>Occupation Shortage Report</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6F35BABB" w14:textId="606ACE7E" w:rsidR="00A67B12" w:rsidRPr="00576BAF" w:rsidRDefault="00A67B12" w:rsidP="00576BAF">
        <w:pPr>
          <w:pStyle w:val="Footer"/>
        </w:pPr>
        <w:r w:rsidRPr="00835A0D">
          <w:t>Jobs and Skills Australia –</w:t>
        </w:r>
        <w:r>
          <w:t xml:space="preserve"> </w:t>
        </w:r>
        <w:fldSimple w:instr=" STYLEREF  Title  \* MERGEFORMAT ">
          <w:r w:rsidR="00F96253">
            <w:rPr>
              <w:noProof/>
            </w:rPr>
            <w:t>Occupation Shortage Report</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A6B9"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EA03" w14:textId="77777777" w:rsidR="00500C97" w:rsidRDefault="00500C97" w:rsidP="00E12845">
      <w:pPr>
        <w:spacing w:before="0" w:after="0"/>
      </w:pPr>
      <w:r>
        <w:separator/>
      </w:r>
    </w:p>
  </w:footnote>
  <w:footnote w:type="continuationSeparator" w:id="0">
    <w:p w14:paraId="7E859B20" w14:textId="77777777" w:rsidR="00500C97" w:rsidRDefault="00500C97" w:rsidP="00E12845">
      <w:pPr>
        <w:spacing w:before="0" w:after="0"/>
      </w:pPr>
      <w:r>
        <w:continuationSeparator/>
      </w:r>
    </w:p>
  </w:footnote>
  <w:footnote w:id="1">
    <w:p w14:paraId="13939C86" w14:textId="15F855BE" w:rsidR="00B527A9" w:rsidRDefault="00B527A9">
      <w:pPr>
        <w:pStyle w:val="FootnoteText"/>
      </w:pPr>
      <w:r>
        <w:rPr>
          <w:rStyle w:val="FootnoteReference"/>
        </w:rPr>
        <w:footnoteRef/>
      </w:r>
      <w:r>
        <w:t xml:space="preserve"> This metric </w:t>
      </w:r>
      <w:r w:rsidR="00D57410">
        <w:t>shows the percentage of advertised vacancies that are filled by employers.</w:t>
      </w:r>
    </w:p>
  </w:footnote>
  <w:footnote w:id="2">
    <w:p w14:paraId="06EE7763" w14:textId="2984A566" w:rsidR="00D23A10" w:rsidRDefault="00D23A10">
      <w:pPr>
        <w:pStyle w:val="FootnoteText"/>
      </w:pPr>
      <w:r>
        <w:rPr>
          <w:rStyle w:val="FootnoteReference"/>
        </w:rPr>
        <w:footnoteRef/>
      </w:r>
      <w:r>
        <w:t xml:space="preserve"> </w:t>
      </w:r>
      <w:r w:rsidRPr="00640FEE">
        <w:t xml:space="preserve">The fill rate and other metrics in the table are based on a </w:t>
      </w:r>
      <w:proofErr w:type="gramStart"/>
      <w:r w:rsidRPr="00640FEE">
        <w:t>12 month</w:t>
      </w:r>
      <w:proofErr w:type="gramEnd"/>
      <w:r w:rsidRPr="00640FEE">
        <w:t xml:space="preserve"> moving average up to the latest quarter. Using a rolling annual period, as opposed to the latest quarter itself, removes the impact of data volatility.</w:t>
      </w:r>
    </w:p>
  </w:footnote>
  <w:footnote w:id="3">
    <w:p w14:paraId="3EDD6027" w14:textId="1223C8EE" w:rsidR="00AF601A" w:rsidRPr="00640FEE" w:rsidRDefault="00AF601A" w:rsidP="00AF601A">
      <w:pPr>
        <w:pStyle w:val="FootnoteText"/>
      </w:pPr>
      <w:r w:rsidRPr="001257EF">
        <w:rPr>
          <w:rStyle w:val="Charactersuperscript"/>
        </w:rPr>
        <w:footnoteRef/>
      </w:r>
      <w:r w:rsidRPr="00640FEE">
        <w:t xml:space="preserve"> </w:t>
      </w:r>
      <w:r w:rsidR="00D565BD">
        <w:t xml:space="preserve">Two such partial forward indicators include </w:t>
      </w:r>
      <w:r w:rsidR="00F80EC9">
        <w:t>i</w:t>
      </w:r>
      <w:r w:rsidRPr="00640FEE">
        <w:t xml:space="preserve">nternet vacancies </w:t>
      </w:r>
      <w:r>
        <w:t xml:space="preserve">from </w:t>
      </w:r>
      <w:r w:rsidRPr="00640FEE">
        <w:t xml:space="preserve">Jobs and Skills Australia’s Internet Vacancy Index </w:t>
      </w:r>
      <w:r w:rsidR="00804027">
        <w:t>and r</w:t>
      </w:r>
      <w:r w:rsidRPr="00640FEE">
        <w:t>ecruitment difficulty rate</w:t>
      </w:r>
      <w:r w:rsidR="00804027">
        <w:t xml:space="preserve">, </w:t>
      </w:r>
      <w:r w:rsidRPr="00640FEE">
        <w:t>from Jobs and Skills Australia’s Recruitment Experiences and Outlook Survey.</w:t>
      </w:r>
    </w:p>
  </w:footnote>
  <w:footnote w:id="4">
    <w:p w14:paraId="1426527B" w14:textId="01DFFB9A" w:rsidR="00546C21" w:rsidRPr="00640FEE" w:rsidRDefault="00546C21" w:rsidP="00640FEE">
      <w:pPr>
        <w:pStyle w:val="FootnoteText"/>
      </w:pPr>
      <w:r w:rsidRPr="00640FEE">
        <w:rPr>
          <w:rStyle w:val="Charactersuperscript"/>
        </w:rPr>
        <w:footnoteRef/>
      </w:r>
      <w:r w:rsidRPr="00640FEE">
        <w:t xml:space="preserve"> A</w:t>
      </w:r>
      <w:r w:rsidR="008006D1">
        <w:t xml:space="preserve">ustralian </w:t>
      </w:r>
      <w:r w:rsidRPr="00640FEE">
        <w:t>B</w:t>
      </w:r>
      <w:r w:rsidR="008006D1">
        <w:t xml:space="preserve">ureau of </w:t>
      </w:r>
      <w:r w:rsidRPr="00640FEE">
        <w:t>S</w:t>
      </w:r>
      <w:r w:rsidR="008006D1">
        <w:t>tatistics</w:t>
      </w:r>
      <w:r w:rsidRPr="00640FEE">
        <w:t>, Australian and New Zealand Standard Classification of Occupations, 2022 version.</w:t>
      </w:r>
    </w:p>
  </w:footnote>
  <w:footnote w:id="5">
    <w:p w14:paraId="7A2ADC09" w14:textId="77777777" w:rsidR="00990E7F" w:rsidRDefault="00990E7F">
      <w:pPr>
        <w:pStyle w:val="FootnoteText"/>
      </w:pPr>
      <w:r>
        <w:rPr>
          <w:rStyle w:val="FootnoteReference"/>
        </w:rPr>
        <w:footnoteRef/>
      </w:r>
      <w:r>
        <w:t xml:space="preserve"> </w:t>
      </w:r>
      <w:r w:rsidRPr="009449EC">
        <w:t xml:space="preserve">Sinclair, T. M. (2020). Mismatch in Online Job Search. </w:t>
      </w:r>
      <w:hyperlink r:id="rId1" w:history="1">
        <w:r w:rsidRPr="00990E7F">
          <w:rPr>
            <w:rStyle w:val="Hyperlink"/>
          </w:rPr>
          <w:t>https://www2.gwu.edu/~iiep/assets/docs/papers/2020WP/SinclairIIEP2020-1.pdf</w:t>
        </w:r>
      </w:hyperlink>
    </w:p>
  </w:footnote>
  <w:footnote w:id="6">
    <w:p w14:paraId="336F637D" w14:textId="2C3D71DE" w:rsidR="00990E7F" w:rsidRDefault="00990E7F">
      <w:pPr>
        <w:pStyle w:val="FootnoteText"/>
      </w:pPr>
      <w:r>
        <w:rPr>
          <w:rStyle w:val="FootnoteReference"/>
        </w:rPr>
        <w:footnoteRef/>
      </w:r>
      <w:r>
        <w:t xml:space="preserve"> Occupations are used as a general term for </w:t>
      </w:r>
      <w:r w:rsidR="002C44F5">
        <w:t xml:space="preserve">a job in the paragraph. It does not refer to the 6-digit ANZSCO definition. </w:t>
      </w:r>
    </w:p>
  </w:footnote>
  <w:footnote w:id="7">
    <w:p w14:paraId="5A0C3515" w14:textId="77777777" w:rsidR="00435DCA" w:rsidRDefault="00435DCA" w:rsidP="00435DCA">
      <w:pPr>
        <w:pStyle w:val="FootnoteText"/>
      </w:pPr>
      <w:r>
        <w:rPr>
          <w:rStyle w:val="FootnoteReference"/>
        </w:rPr>
        <w:footnoteRef/>
      </w:r>
      <w:r>
        <w:t xml:space="preserve"> </w:t>
      </w:r>
      <w:hyperlink r:id="rId2" w:history="1">
        <w:r w:rsidRPr="002B006A">
          <w:rPr>
            <w:rStyle w:val="Hyperlink"/>
          </w:rPr>
          <w:t>Labour Market Mismatch Report | SEEK</w:t>
        </w:r>
      </w:hyperlink>
    </w:p>
  </w:footnote>
  <w:footnote w:id="8">
    <w:p w14:paraId="6303C819" w14:textId="426B1E4D" w:rsidR="00B43E62" w:rsidRDefault="00B43E62">
      <w:pPr>
        <w:pStyle w:val="FootnoteText"/>
      </w:pPr>
      <w:r>
        <w:rPr>
          <w:rStyle w:val="FootnoteReference"/>
        </w:rPr>
        <w:footnoteRef/>
      </w:r>
      <w:r>
        <w:t xml:space="preserve"> Calculation of the MI </w:t>
      </w:r>
      <w:r w:rsidRPr="00E224A9">
        <w:t xml:space="preserve">uses similarity scores from the </w:t>
      </w:r>
      <w:r>
        <w:t>ASC</w:t>
      </w:r>
      <w:r w:rsidRPr="00E224A9">
        <w:t xml:space="preserve">, which was developed to provide a common language of skills to increase understanding and recognition of skills across occupations, </w:t>
      </w:r>
      <w:r w:rsidR="000F2D76" w:rsidRPr="00E224A9">
        <w:t>sectors,</w:t>
      </w:r>
      <w:r w:rsidRPr="00E224A9">
        <w:t xml:space="preserve"> and contexts. More information on the ASC is available on the Jobs and Skills Australia </w:t>
      </w:r>
      <w:hyperlink r:id="rId3" w:history="1">
        <w:r w:rsidRPr="00484B62">
          <w:t>webpage</w:t>
        </w:r>
      </w:hyperlink>
      <w:r w:rsidRPr="00E224A9">
        <w:t>.</w:t>
      </w:r>
    </w:p>
  </w:footnote>
  <w:footnote w:id="9">
    <w:p w14:paraId="04159DAC" w14:textId="77777777" w:rsidR="0094319A" w:rsidRPr="00380B84" w:rsidRDefault="0094319A" w:rsidP="0094319A">
      <w:pPr>
        <w:pStyle w:val="FootnoteText"/>
      </w:pPr>
      <w:r w:rsidRPr="00963F7A">
        <w:rPr>
          <w:rStyle w:val="Charactersuperscript"/>
        </w:rPr>
        <w:footnoteRef/>
      </w:r>
      <w:r w:rsidRPr="00380B84">
        <w:t xml:space="preserve"> Recruitment activity was concentrated in metropolitan Australia, with 71.0% of job advertisements in November 2024 found in Australia’s capital cities. </w:t>
      </w:r>
      <w:hyperlink r:id="rId4" w:history="1">
        <w:r w:rsidRPr="00380B84">
          <w:rPr>
            <w:rStyle w:val="Hyperlink"/>
          </w:rPr>
          <w:t>https://www.jobsandskills.gov.au/sites/default/files/2024-12/vacancy_report_-_november_2024_-_jobs_and_skills_australia.pdf</w:t>
        </w:r>
      </w:hyperlink>
    </w:p>
  </w:footnote>
  <w:footnote w:id="10">
    <w:p w14:paraId="4C4E7134" w14:textId="77777777" w:rsidR="0094319A" w:rsidRPr="00380B84" w:rsidRDefault="0094319A" w:rsidP="0094319A">
      <w:pPr>
        <w:pStyle w:val="FootnoteText"/>
      </w:pPr>
      <w:r w:rsidRPr="00963F7A">
        <w:rPr>
          <w:rStyle w:val="Charactersuperscript"/>
        </w:rPr>
        <w:footnoteRef/>
      </w:r>
      <w:r w:rsidRPr="00380B84">
        <w:t xml:space="preserve"> Summing up the “Rest of …” state series as a proportion of the Australia total for series matching “Labour force total ;  Persons ;" indicated that the proportion of the labour market in regional areas is 30% </w:t>
      </w:r>
      <w:hyperlink r:id="rId5" w:anchor="labour-market-regions-sa4-" w:history="1">
        <w:r w:rsidRPr="00380B84">
          <w:rPr>
            <w:rStyle w:val="Hyperlink"/>
          </w:rPr>
          <w:t>Labour Force, Australia, Detailed, November 2024 | Australian Bureau of Statistics</w:t>
        </w:r>
      </w:hyperlink>
      <w:r w:rsidRPr="00380B84">
        <w:t xml:space="preserve"> (index 6291.0.55.001).</w:t>
      </w:r>
    </w:p>
  </w:footnote>
  <w:footnote w:id="11">
    <w:p w14:paraId="02DBF9F2" w14:textId="77777777" w:rsidR="00823FEE" w:rsidRPr="00823FEE" w:rsidRDefault="00823FEE" w:rsidP="00000A17">
      <w:pPr>
        <w:pStyle w:val="FootnoteText"/>
      </w:pPr>
      <w:r w:rsidRPr="001257EF">
        <w:rPr>
          <w:rStyle w:val="Charactersuperscript"/>
        </w:rPr>
        <w:footnoteRef/>
      </w:r>
      <w:r w:rsidRPr="001257EF">
        <w:rPr>
          <w:rStyle w:val="Charactersuperscript"/>
          <w:vertAlign w:val="baseline"/>
        </w:rPr>
        <w:t xml:space="preserve"> </w:t>
      </w:r>
      <w:r w:rsidRPr="00380B84">
        <w:t>For instance, Keyboard Operators and ICT Support Technicians each contributed 0.7% to the national MI figure, but there were too few contacts in regional areas for either unit group to be counted in the regional figure.</w:t>
      </w:r>
    </w:p>
  </w:footnote>
  <w:footnote w:id="12">
    <w:p w14:paraId="7BCE5557" w14:textId="4412E79E" w:rsidR="00773FC0" w:rsidRDefault="00773FC0">
      <w:pPr>
        <w:pStyle w:val="FootnoteText"/>
      </w:pPr>
      <w:r>
        <w:rPr>
          <w:rStyle w:val="FootnoteReference"/>
        </w:rPr>
        <w:footnoteRef/>
      </w:r>
      <w:r>
        <w:t xml:space="preserve"> </w:t>
      </w:r>
      <w:r w:rsidRPr="00773FC0">
        <w:t xml:space="preserve">For an analysis of specific unit groups refer to </w:t>
      </w:r>
      <w:r w:rsidRPr="00773FC0">
        <w:rPr>
          <w:rStyle w:val="Characteritalic"/>
        </w:rPr>
        <w:t xml:space="preserve">Spotlight analysis: Labour Supply Index </w:t>
      </w:r>
      <w:r w:rsidRPr="00773FC0">
        <w:t xml:space="preserve">in </w:t>
      </w:r>
      <w:hyperlink r:id="rId6" w:history="1">
        <w:r w:rsidRPr="00773FC0">
          <w:rPr>
            <w:rStyle w:val="Hyperlink"/>
          </w:rPr>
          <w:t>Occupation Shortage Report – March 2025 | Jobs and Skills Australia</w:t>
        </w:r>
      </w:hyperlink>
      <w:r w:rsidRPr="00773F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BF8B" w14:textId="77777777" w:rsidR="00A67B12" w:rsidRPr="0030592C" w:rsidRDefault="00A67B12" w:rsidP="00A67B12">
    <w:pPr>
      <w:pStyle w:val="Header"/>
    </w:pPr>
  </w:p>
  <w:p w14:paraId="0A6812EA"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5719"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28FB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37A3026"/>
    <w:multiLevelType w:val="hybridMultilevel"/>
    <w:tmpl w:val="A538D120"/>
    <w:lvl w:ilvl="0" w:tplc="6010CB64">
      <w:start w:val="1"/>
      <w:numFmt w:val="decimal"/>
      <w:lvlText w:val="%1."/>
      <w:lvlJc w:val="left"/>
      <w:pPr>
        <w:ind w:left="1020" w:hanging="360"/>
      </w:pPr>
    </w:lvl>
    <w:lvl w:ilvl="1" w:tplc="42D0B090">
      <w:start w:val="1"/>
      <w:numFmt w:val="decimal"/>
      <w:lvlText w:val="%2."/>
      <w:lvlJc w:val="left"/>
      <w:pPr>
        <w:ind w:left="1020" w:hanging="360"/>
      </w:pPr>
    </w:lvl>
    <w:lvl w:ilvl="2" w:tplc="07E2A72E">
      <w:start w:val="1"/>
      <w:numFmt w:val="decimal"/>
      <w:lvlText w:val="%3."/>
      <w:lvlJc w:val="left"/>
      <w:pPr>
        <w:ind w:left="1020" w:hanging="360"/>
      </w:pPr>
    </w:lvl>
    <w:lvl w:ilvl="3" w:tplc="22EE6C92">
      <w:start w:val="1"/>
      <w:numFmt w:val="decimal"/>
      <w:lvlText w:val="%4."/>
      <w:lvlJc w:val="left"/>
      <w:pPr>
        <w:ind w:left="1020" w:hanging="360"/>
      </w:pPr>
    </w:lvl>
    <w:lvl w:ilvl="4" w:tplc="94529E12">
      <w:start w:val="1"/>
      <w:numFmt w:val="decimal"/>
      <w:lvlText w:val="%5."/>
      <w:lvlJc w:val="left"/>
      <w:pPr>
        <w:ind w:left="1020" w:hanging="360"/>
      </w:pPr>
    </w:lvl>
    <w:lvl w:ilvl="5" w:tplc="90405E66">
      <w:start w:val="1"/>
      <w:numFmt w:val="decimal"/>
      <w:lvlText w:val="%6."/>
      <w:lvlJc w:val="left"/>
      <w:pPr>
        <w:ind w:left="1020" w:hanging="360"/>
      </w:pPr>
    </w:lvl>
    <w:lvl w:ilvl="6" w:tplc="045A4A0A">
      <w:start w:val="1"/>
      <w:numFmt w:val="decimal"/>
      <w:lvlText w:val="%7."/>
      <w:lvlJc w:val="left"/>
      <w:pPr>
        <w:ind w:left="1020" w:hanging="360"/>
      </w:pPr>
    </w:lvl>
    <w:lvl w:ilvl="7" w:tplc="B00EB066">
      <w:start w:val="1"/>
      <w:numFmt w:val="decimal"/>
      <w:lvlText w:val="%8."/>
      <w:lvlJc w:val="left"/>
      <w:pPr>
        <w:ind w:left="1020" w:hanging="360"/>
      </w:pPr>
    </w:lvl>
    <w:lvl w:ilvl="8" w:tplc="EC644676">
      <w:start w:val="1"/>
      <w:numFmt w:val="decimal"/>
      <w:lvlText w:val="%9."/>
      <w:lvlJc w:val="left"/>
      <w:pPr>
        <w:ind w:left="1020" w:hanging="360"/>
      </w:pPr>
    </w:lvl>
  </w:abstractNum>
  <w:abstractNum w:abstractNumId="27"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2D74CC"/>
    <w:multiLevelType w:val="multilevel"/>
    <w:tmpl w:val="0D96AACA"/>
    <w:numStyleLink w:val="AppendixHeadingmaster"/>
  </w:abstractNum>
  <w:abstractNum w:abstractNumId="30"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E659CA"/>
    <w:multiLevelType w:val="multilevel"/>
    <w:tmpl w:val="9F703E2E"/>
    <w:numStyleLink w:val="ListBulletmaster"/>
  </w:abstractNum>
  <w:abstractNum w:abstractNumId="32" w15:restartNumberingAfterBreak="0">
    <w:nsid w:val="6B4C12B8"/>
    <w:multiLevelType w:val="multilevel"/>
    <w:tmpl w:val="113457F2"/>
    <w:numStyleLink w:val="Headingsmaster"/>
  </w:abstractNum>
  <w:abstractNum w:abstractNumId="33" w15:restartNumberingAfterBreak="0">
    <w:nsid w:val="6C3F031A"/>
    <w:multiLevelType w:val="multilevel"/>
    <w:tmpl w:val="A1224394"/>
    <w:numStyleLink w:val="ListLegalmaster"/>
  </w:abstractNum>
  <w:abstractNum w:abstractNumId="34" w15:restartNumberingAfterBreak="0">
    <w:nsid w:val="7885607D"/>
    <w:multiLevelType w:val="hybridMultilevel"/>
    <w:tmpl w:val="EAF4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F8707D"/>
    <w:multiLevelType w:val="multilevel"/>
    <w:tmpl w:val="A1224394"/>
    <w:numStyleLink w:val="ListLegalmaster"/>
  </w:abstractNum>
  <w:abstractNum w:abstractNumId="36" w15:restartNumberingAfterBreak="0">
    <w:nsid w:val="7D6D1012"/>
    <w:multiLevelType w:val="multilevel"/>
    <w:tmpl w:val="EAA2F742"/>
    <w:numStyleLink w:val="TableListNumbermaster"/>
  </w:abstractNum>
  <w:abstractNum w:abstractNumId="37" w15:restartNumberingAfterBreak="0">
    <w:nsid w:val="7D881735"/>
    <w:multiLevelType w:val="multilevel"/>
    <w:tmpl w:val="113457F2"/>
    <w:numStyleLink w:val="Headingsmaster"/>
  </w:abstractNum>
  <w:num w:numId="1" w16cid:durableId="328336156">
    <w:abstractNumId w:val="4"/>
  </w:num>
  <w:num w:numId="2" w16cid:durableId="1950045772">
    <w:abstractNumId w:val="28"/>
  </w:num>
  <w:num w:numId="3" w16cid:durableId="290287643">
    <w:abstractNumId w:val="8"/>
  </w:num>
  <w:num w:numId="4" w16cid:durableId="1869679674">
    <w:abstractNumId w:val="30"/>
  </w:num>
  <w:num w:numId="5" w16cid:durableId="2032871560">
    <w:abstractNumId w:val="15"/>
  </w:num>
  <w:num w:numId="6" w16cid:durableId="310910324">
    <w:abstractNumId w:val="27"/>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31"/>
  </w:num>
  <w:num w:numId="12" w16cid:durableId="759377971">
    <w:abstractNumId w:val="9"/>
  </w:num>
  <w:num w:numId="13" w16cid:durableId="107823657">
    <w:abstractNumId w:val="13"/>
  </w:num>
  <w:num w:numId="14" w16cid:durableId="1930505832">
    <w:abstractNumId w:val="35"/>
  </w:num>
  <w:num w:numId="15" w16cid:durableId="1858039008">
    <w:abstractNumId w:val="32"/>
  </w:num>
  <w:num w:numId="16" w16cid:durableId="1409770210">
    <w:abstractNumId w:val="29"/>
  </w:num>
  <w:num w:numId="17" w16cid:durableId="95685893">
    <w:abstractNumId w:val="33"/>
  </w:num>
  <w:num w:numId="18" w16cid:durableId="770515265">
    <w:abstractNumId w:val="13"/>
  </w:num>
  <w:num w:numId="19" w16cid:durableId="713041904">
    <w:abstractNumId w:val="33"/>
  </w:num>
  <w:num w:numId="20" w16cid:durableId="2057582421">
    <w:abstractNumId w:val="33"/>
  </w:num>
  <w:num w:numId="21" w16cid:durableId="2062821214">
    <w:abstractNumId w:val="24"/>
  </w:num>
  <w:num w:numId="22" w16cid:durableId="618410884">
    <w:abstractNumId w:val="37"/>
  </w:num>
  <w:num w:numId="23" w16cid:durableId="1320232845">
    <w:abstractNumId w:val="2"/>
  </w:num>
  <w:num w:numId="24" w16cid:durableId="1249077048">
    <w:abstractNumId w:val="10"/>
  </w:num>
  <w:num w:numId="25" w16cid:durableId="1552837590">
    <w:abstractNumId w:val="20"/>
  </w:num>
  <w:num w:numId="26" w16cid:durableId="734856478">
    <w:abstractNumId w:val="36"/>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9487647">
    <w:abstractNumId w:val="34"/>
  </w:num>
  <w:num w:numId="41" w16cid:durableId="890730410">
    <w:abstractNumId w:val="26"/>
  </w:num>
  <w:num w:numId="42" w16cid:durableId="7004728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EC73DF"/>
    <w:rsid w:val="0000075B"/>
    <w:rsid w:val="00000A17"/>
    <w:rsid w:val="00000AB3"/>
    <w:rsid w:val="00004562"/>
    <w:rsid w:val="00004687"/>
    <w:rsid w:val="00005C9D"/>
    <w:rsid w:val="00005ECE"/>
    <w:rsid w:val="00010BC1"/>
    <w:rsid w:val="00011665"/>
    <w:rsid w:val="00011948"/>
    <w:rsid w:val="00011F0C"/>
    <w:rsid w:val="000135C4"/>
    <w:rsid w:val="0001365E"/>
    <w:rsid w:val="00013F17"/>
    <w:rsid w:val="00016568"/>
    <w:rsid w:val="00020DA2"/>
    <w:rsid w:val="00023423"/>
    <w:rsid w:val="0002361A"/>
    <w:rsid w:val="000245BC"/>
    <w:rsid w:val="000246A1"/>
    <w:rsid w:val="00025733"/>
    <w:rsid w:val="000261ED"/>
    <w:rsid w:val="0002738A"/>
    <w:rsid w:val="00027E7F"/>
    <w:rsid w:val="00032D44"/>
    <w:rsid w:val="00032E44"/>
    <w:rsid w:val="0003409E"/>
    <w:rsid w:val="000346BB"/>
    <w:rsid w:val="00034F09"/>
    <w:rsid w:val="00035AA0"/>
    <w:rsid w:val="00035EC6"/>
    <w:rsid w:val="000362A7"/>
    <w:rsid w:val="0003655B"/>
    <w:rsid w:val="00036871"/>
    <w:rsid w:val="00037C67"/>
    <w:rsid w:val="00037E69"/>
    <w:rsid w:val="00040583"/>
    <w:rsid w:val="000419F4"/>
    <w:rsid w:val="00041B44"/>
    <w:rsid w:val="0004497B"/>
    <w:rsid w:val="00045BE8"/>
    <w:rsid w:val="00046F75"/>
    <w:rsid w:val="00047AEE"/>
    <w:rsid w:val="00050243"/>
    <w:rsid w:val="00051941"/>
    <w:rsid w:val="00051E40"/>
    <w:rsid w:val="0005235D"/>
    <w:rsid w:val="00052722"/>
    <w:rsid w:val="00052E33"/>
    <w:rsid w:val="00052E39"/>
    <w:rsid w:val="00053425"/>
    <w:rsid w:val="00053F69"/>
    <w:rsid w:val="0005727D"/>
    <w:rsid w:val="000610AD"/>
    <w:rsid w:val="00061149"/>
    <w:rsid w:val="00063B52"/>
    <w:rsid w:val="00064230"/>
    <w:rsid w:val="00066B58"/>
    <w:rsid w:val="000674A8"/>
    <w:rsid w:val="00072222"/>
    <w:rsid w:val="000733F2"/>
    <w:rsid w:val="0007357D"/>
    <w:rsid w:val="000758B0"/>
    <w:rsid w:val="000761EA"/>
    <w:rsid w:val="000762A9"/>
    <w:rsid w:val="0007645E"/>
    <w:rsid w:val="00077828"/>
    <w:rsid w:val="00077A14"/>
    <w:rsid w:val="00077CBD"/>
    <w:rsid w:val="000803B6"/>
    <w:rsid w:val="00080B5A"/>
    <w:rsid w:val="00081DF5"/>
    <w:rsid w:val="0008202E"/>
    <w:rsid w:val="000828E6"/>
    <w:rsid w:val="00082ADC"/>
    <w:rsid w:val="00082D7A"/>
    <w:rsid w:val="00084660"/>
    <w:rsid w:val="00085341"/>
    <w:rsid w:val="00086703"/>
    <w:rsid w:val="00087686"/>
    <w:rsid w:val="00087D52"/>
    <w:rsid w:val="00090076"/>
    <w:rsid w:val="00090AA4"/>
    <w:rsid w:val="00090C3C"/>
    <w:rsid w:val="00091FDC"/>
    <w:rsid w:val="000929CD"/>
    <w:rsid w:val="00093021"/>
    <w:rsid w:val="00093A1B"/>
    <w:rsid w:val="00095E4C"/>
    <w:rsid w:val="00095FCE"/>
    <w:rsid w:val="0009644B"/>
    <w:rsid w:val="00096670"/>
    <w:rsid w:val="00097AC6"/>
    <w:rsid w:val="000A11D7"/>
    <w:rsid w:val="000A1A40"/>
    <w:rsid w:val="000A1CEF"/>
    <w:rsid w:val="000A3970"/>
    <w:rsid w:val="000A4D2F"/>
    <w:rsid w:val="000A4FFC"/>
    <w:rsid w:val="000A53F7"/>
    <w:rsid w:val="000A6D69"/>
    <w:rsid w:val="000A7D95"/>
    <w:rsid w:val="000B02A5"/>
    <w:rsid w:val="000B035D"/>
    <w:rsid w:val="000B0990"/>
    <w:rsid w:val="000B128F"/>
    <w:rsid w:val="000B1C7A"/>
    <w:rsid w:val="000B20B7"/>
    <w:rsid w:val="000B24A2"/>
    <w:rsid w:val="000B4AFA"/>
    <w:rsid w:val="000B7895"/>
    <w:rsid w:val="000C04C3"/>
    <w:rsid w:val="000C06FF"/>
    <w:rsid w:val="000C0E90"/>
    <w:rsid w:val="000C3E1F"/>
    <w:rsid w:val="000C5D3F"/>
    <w:rsid w:val="000C629D"/>
    <w:rsid w:val="000D02FA"/>
    <w:rsid w:val="000D481C"/>
    <w:rsid w:val="000D4B7B"/>
    <w:rsid w:val="000D6655"/>
    <w:rsid w:val="000D6ABD"/>
    <w:rsid w:val="000E328F"/>
    <w:rsid w:val="000E3CFA"/>
    <w:rsid w:val="000E523E"/>
    <w:rsid w:val="000E6410"/>
    <w:rsid w:val="000E642A"/>
    <w:rsid w:val="000F0A89"/>
    <w:rsid w:val="000F0DDA"/>
    <w:rsid w:val="000F1687"/>
    <w:rsid w:val="000F177F"/>
    <w:rsid w:val="000F18D6"/>
    <w:rsid w:val="000F2D76"/>
    <w:rsid w:val="000F320D"/>
    <w:rsid w:val="000F4D8C"/>
    <w:rsid w:val="000F4EB7"/>
    <w:rsid w:val="000F5CD2"/>
    <w:rsid w:val="000F5EEF"/>
    <w:rsid w:val="000F6757"/>
    <w:rsid w:val="000F6F6B"/>
    <w:rsid w:val="001008F9"/>
    <w:rsid w:val="00101326"/>
    <w:rsid w:val="001015FA"/>
    <w:rsid w:val="00101B6C"/>
    <w:rsid w:val="0010258B"/>
    <w:rsid w:val="001029ED"/>
    <w:rsid w:val="00102E41"/>
    <w:rsid w:val="00103593"/>
    <w:rsid w:val="00104750"/>
    <w:rsid w:val="00104963"/>
    <w:rsid w:val="00104F49"/>
    <w:rsid w:val="001057A3"/>
    <w:rsid w:val="00105E0C"/>
    <w:rsid w:val="0010636B"/>
    <w:rsid w:val="00106BBE"/>
    <w:rsid w:val="00106E26"/>
    <w:rsid w:val="00111896"/>
    <w:rsid w:val="001134AC"/>
    <w:rsid w:val="0011371D"/>
    <w:rsid w:val="00114589"/>
    <w:rsid w:val="00114984"/>
    <w:rsid w:val="00115B7A"/>
    <w:rsid w:val="00116D75"/>
    <w:rsid w:val="00116F07"/>
    <w:rsid w:val="00116F5D"/>
    <w:rsid w:val="0012067D"/>
    <w:rsid w:val="00121192"/>
    <w:rsid w:val="00121950"/>
    <w:rsid w:val="001230BD"/>
    <w:rsid w:val="00124D50"/>
    <w:rsid w:val="001257EF"/>
    <w:rsid w:val="00127F9F"/>
    <w:rsid w:val="00130C31"/>
    <w:rsid w:val="00131609"/>
    <w:rsid w:val="00131C8E"/>
    <w:rsid w:val="00132095"/>
    <w:rsid w:val="00132116"/>
    <w:rsid w:val="0013337D"/>
    <w:rsid w:val="001336B4"/>
    <w:rsid w:val="00133E6B"/>
    <w:rsid w:val="001340DA"/>
    <w:rsid w:val="0013459C"/>
    <w:rsid w:val="001346AE"/>
    <w:rsid w:val="00136BA2"/>
    <w:rsid w:val="00136F8C"/>
    <w:rsid w:val="001379A2"/>
    <w:rsid w:val="00137E20"/>
    <w:rsid w:val="0014277A"/>
    <w:rsid w:val="001427BC"/>
    <w:rsid w:val="00142E1C"/>
    <w:rsid w:val="001444B2"/>
    <w:rsid w:val="00146AED"/>
    <w:rsid w:val="00150D10"/>
    <w:rsid w:val="00150FE5"/>
    <w:rsid w:val="00152A89"/>
    <w:rsid w:val="001538B1"/>
    <w:rsid w:val="0015391A"/>
    <w:rsid w:val="00153A05"/>
    <w:rsid w:val="00155F83"/>
    <w:rsid w:val="00157003"/>
    <w:rsid w:val="0016066A"/>
    <w:rsid w:val="00160988"/>
    <w:rsid w:val="001617E5"/>
    <w:rsid w:val="00162AF8"/>
    <w:rsid w:val="00163449"/>
    <w:rsid w:val="001646CD"/>
    <w:rsid w:val="0016595E"/>
    <w:rsid w:val="001661B7"/>
    <w:rsid w:val="0016674F"/>
    <w:rsid w:val="00167C51"/>
    <w:rsid w:val="00170E54"/>
    <w:rsid w:val="00171C2F"/>
    <w:rsid w:val="00172459"/>
    <w:rsid w:val="00172538"/>
    <w:rsid w:val="00174874"/>
    <w:rsid w:val="00174B80"/>
    <w:rsid w:val="00174E5B"/>
    <w:rsid w:val="00175047"/>
    <w:rsid w:val="00176822"/>
    <w:rsid w:val="00176F87"/>
    <w:rsid w:val="001774AE"/>
    <w:rsid w:val="001803A8"/>
    <w:rsid w:val="00182398"/>
    <w:rsid w:val="001836ED"/>
    <w:rsid w:val="00184F24"/>
    <w:rsid w:val="00185D03"/>
    <w:rsid w:val="00186429"/>
    <w:rsid w:val="001873F9"/>
    <w:rsid w:val="00190E16"/>
    <w:rsid w:val="00191053"/>
    <w:rsid w:val="00191E50"/>
    <w:rsid w:val="0019242F"/>
    <w:rsid w:val="00194D7F"/>
    <w:rsid w:val="001959FD"/>
    <w:rsid w:val="001A2233"/>
    <w:rsid w:val="001A3948"/>
    <w:rsid w:val="001A4497"/>
    <w:rsid w:val="001A473C"/>
    <w:rsid w:val="001A59CD"/>
    <w:rsid w:val="001A5EF0"/>
    <w:rsid w:val="001A6AC4"/>
    <w:rsid w:val="001A7E36"/>
    <w:rsid w:val="001B007C"/>
    <w:rsid w:val="001B038F"/>
    <w:rsid w:val="001B14A9"/>
    <w:rsid w:val="001B282D"/>
    <w:rsid w:val="001B28EC"/>
    <w:rsid w:val="001B292E"/>
    <w:rsid w:val="001B2A76"/>
    <w:rsid w:val="001B3938"/>
    <w:rsid w:val="001B3C3B"/>
    <w:rsid w:val="001B66C9"/>
    <w:rsid w:val="001C04E2"/>
    <w:rsid w:val="001C0C09"/>
    <w:rsid w:val="001C1CF7"/>
    <w:rsid w:val="001C2D2F"/>
    <w:rsid w:val="001C2D43"/>
    <w:rsid w:val="001C2FEB"/>
    <w:rsid w:val="001C303D"/>
    <w:rsid w:val="001C3DE6"/>
    <w:rsid w:val="001C4183"/>
    <w:rsid w:val="001C514A"/>
    <w:rsid w:val="001C52BE"/>
    <w:rsid w:val="001C570B"/>
    <w:rsid w:val="001D0211"/>
    <w:rsid w:val="001D16BC"/>
    <w:rsid w:val="001D1E20"/>
    <w:rsid w:val="001D2042"/>
    <w:rsid w:val="001D2812"/>
    <w:rsid w:val="001D2914"/>
    <w:rsid w:val="001D35D6"/>
    <w:rsid w:val="001D450D"/>
    <w:rsid w:val="001D4986"/>
    <w:rsid w:val="001D502F"/>
    <w:rsid w:val="001D519D"/>
    <w:rsid w:val="001D778E"/>
    <w:rsid w:val="001D7DF6"/>
    <w:rsid w:val="001E104A"/>
    <w:rsid w:val="001E120D"/>
    <w:rsid w:val="001E1572"/>
    <w:rsid w:val="001E16DD"/>
    <w:rsid w:val="001E2B2B"/>
    <w:rsid w:val="001E3C3B"/>
    <w:rsid w:val="001E45A3"/>
    <w:rsid w:val="001E4EA0"/>
    <w:rsid w:val="001E5B67"/>
    <w:rsid w:val="001E5BE6"/>
    <w:rsid w:val="001E6449"/>
    <w:rsid w:val="001E67D2"/>
    <w:rsid w:val="001F00AA"/>
    <w:rsid w:val="001F021C"/>
    <w:rsid w:val="001F0E29"/>
    <w:rsid w:val="001F2515"/>
    <w:rsid w:val="001F5071"/>
    <w:rsid w:val="001F5515"/>
    <w:rsid w:val="001F60C9"/>
    <w:rsid w:val="001F6ACD"/>
    <w:rsid w:val="00200E7E"/>
    <w:rsid w:val="0020139C"/>
    <w:rsid w:val="00202B75"/>
    <w:rsid w:val="0020344C"/>
    <w:rsid w:val="00203BC1"/>
    <w:rsid w:val="002041FD"/>
    <w:rsid w:val="002055A5"/>
    <w:rsid w:val="002063D2"/>
    <w:rsid w:val="00206DF1"/>
    <w:rsid w:val="0021019A"/>
    <w:rsid w:val="002101D1"/>
    <w:rsid w:val="0021348B"/>
    <w:rsid w:val="002137B9"/>
    <w:rsid w:val="00213F7D"/>
    <w:rsid w:val="002148F8"/>
    <w:rsid w:val="00215EF8"/>
    <w:rsid w:val="00216323"/>
    <w:rsid w:val="00216862"/>
    <w:rsid w:val="0021725F"/>
    <w:rsid w:val="00221959"/>
    <w:rsid w:val="00222815"/>
    <w:rsid w:val="00223F7B"/>
    <w:rsid w:val="00223FE6"/>
    <w:rsid w:val="00224B67"/>
    <w:rsid w:val="00225077"/>
    <w:rsid w:val="002251C5"/>
    <w:rsid w:val="00225653"/>
    <w:rsid w:val="002257C6"/>
    <w:rsid w:val="002268F0"/>
    <w:rsid w:val="002278DA"/>
    <w:rsid w:val="00227CEF"/>
    <w:rsid w:val="00230AEE"/>
    <w:rsid w:val="00232016"/>
    <w:rsid w:val="00233691"/>
    <w:rsid w:val="00234830"/>
    <w:rsid w:val="00234FF6"/>
    <w:rsid w:val="00235236"/>
    <w:rsid w:val="00237545"/>
    <w:rsid w:val="0023754A"/>
    <w:rsid w:val="002375A1"/>
    <w:rsid w:val="002406F7"/>
    <w:rsid w:val="00241524"/>
    <w:rsid w:val="00241905"/>
    <w:rsid w:val="00242E29"/>
    <w:rsid w:val="00242EDF"/>
    <w:rsid w:val="00243B07"/>
    <w:rsid w:val="00244E8A"/>
    <w:rsid w:val="00246073"/>
    <w:rsid w:val="0024660F"/>
    <w:rsid w:val="00246849"/>
    <w:rsid w:val="00246A3D"/>
    <w:rsid w:val="00246AD4"/>
    <w:rsid w:val="00247492"/>
    <w:rsid w:val="00250862"/>
    <w:rsid w:val="00251AAA"/>
    <w:rsid w:val="00251B2A"/>
    <w:rsid w:val="002555C4"/>
    <w:rsid w:val="00255C68"/>
    <w:rsid w:val="00256557"/>
    <w:rsid w:val="00256BB8"/>
    <w:rsid w:val="00257512"/>
    <w:rsid w:val="00257CE9"/>
    <w:rsid w:val="00257EE1"/>
    <w:rsid w:val="002606A1"/>
    <w:rsid w:val="00260C62"/>
    <w:rsid w:val="00261388"/>
    <w:rsid w:val="0026231E"/>
    <w:rsid w:val="00262447"/>
    <w:rsid w:val="002625CB"/>
    <w:rsid w:val="00263738"/>
    <w:rsid w:val="00263CE4"/>
    <w:rsid w:val="002667B1"/>
    <w:rsid w:val="00267349"/>
    <w:rsid w:val="00267594"/>
    <w:rsid w:val="002702C2"/>
    <w:rsid w:val="002716FF"/>
    <w:rsid w:val="00272284"/>
    <w:rsid w:val="00272E6C"/>
    <w:rsid w:val="002739A1"/>
    <w:rsid w:val="00275605"/>
    <w:rsid w:val="00275DA0"/>
    <w:rsid w:val="00277256"/>
    <w:rsid w:val="00277310"/>
    <w:rsid w:val="00277C2B"/>
    <w:rsid w:val="00277EE0"/>
    <w:rsid w:val="00280936"/>
    <w:rsid w:val="00280C8F"/>
    <w:rsid w:val="00281D65"/>
    <w:rsid w:val="00282259"/>
    <w:rsid w:val="00282FA7"/>
    <w:rsid w:val="0028539D"/>
    <w:rsid w:val="00286717"/>
    <w:rsid w:val="00286C47"/>
    <w:rsid w:val="0029121E"/>
    <w:rsid w:val="0029126A"/>
    <w:rsid w:val="00291313"/>
    <w:rsid w:val="00291369"/>
    <w:rsid w:val="00292212"/>
    <w:rsid w:val="002937DD"/>
    <w:rsid w:val="00293C7D"/>
    <w:rsid w:val="0029549B"/>
    <w:rsid w:val="0029636F"/>
    <w:rsid w:val="002963B9"/>
    <w:rsid w:val="00296F66"/>
    <w:rsid w:val="00296F7B"/>
    <w:rsid w:val="002A0F44"/>
    <w:rsid w:val="002A13A9"/>
    <w:rsid w:val="002A1456"/>
    <w:rsid w:val="002A2BF0"/>
    <w:rsid w:val="002A4019"/>
    <w:rsid w:val="002A4740"/>
    <w:rsid w:val="002A50F4"/>
    <w:rsid w:val="002A51E7"/>
    <w:rsid w:val="002A5B12"/>
    <w:rsid w:val="002A5C86"/>
    <w:rsid w:val="002A68D1"/>
    <w:rsid w:val="002B17F7"/>
    <w:rsid w:val="002B187E"/>
    <w:rsid w:val="002B1A47"/>
    <w:rsid w:val="002B3BCD"/>
    <w:rsid w:val="002B3C2F"/>
    <w:rsid w:val="002B4CF9"/>
    <w:rsid w:val="002C13EB"/>
    <w:rsid w:val="002C2118"/>
    <w:rsid w:val="002C3842"/>
    <w:rsid w:val="002C44F5"/>
    <w:rsid w:val="002C4A97"/>
    <w:rsid w:val="002C62D4"/>
    <w:rsid w:val="002C74F9"/>
    <w:rsid w:val="002D2C88"/>
    <w:rsid w:val="002D362C"/>
    <w:rsid w:val="002D4AF5"/>
    <w:rsid w:val="002D5099"/>
    <w:rsid w:val="002D6B84"/>
    <w:rsid w:val="002D77BC"/>
    <w:rsid w:val="002E16B6"/>
    <w:rsid w:val="002E1FC6"/>
    <w:rsid w:val="002E3943"/>
    <w:rsid w:val="002E5BAA"/>
    <w:rsid w:val="002E7153"/>
    <w:rsid w:val="002F0AD7"/>
    <w:rsid w:val="002F102E"/>
    <w:rsid w:val="002F2165"/>
    <w:rsid w:val="002F2A42"/>
    <w:rsid w:val="002F3CD3"/>
    <w:rsid w:val="002F4514"/>
    <w:rsid w:val="002F48F5"/>
    <w:rsid w:val="002F4B78"/>
    <w:rsid w:val="002F70AA"/>
    <w:rsid w:val="002F7D83"/>
    <w:rsid w:val="002F7E08"/>
    <w:rsid w:val="00300069"/>
    <w:rsid w:val="0030050F"/>
    <w:rsid w:val="00300713"/>
    <w:rsid w:val="00303F80"/>
    <w:rsid w:val="00304002"/>
    <w:rsid w:val="00304440"/>
    <w:rsid w:val="00304813"/>
    <w:rsid w:val="003048A5"/>
    <w:rsid w:val="00304F26"/>
    <w:rsid w:val="0030592C"/>
    <w:rsid w:val="0030606C"/>
    <w:rsid w:val="00307477"/>
    <w:rsid w:val="003074E9"/>
    <w:rsid w:val="0030776B"/>
    <w:rsid w:val="0030777F"/>
    <w:rsid w:val="0031156A"/>
    <w:rsid w:val="00311635"/>
    <w:rsid w:val="00312AAA"/>
    <w:rsid w:val="00312EF2"/>
    <w:rsid w:val="00313E81"/>
    <w:rsid w:val="00314118"/>
    <w:rsid w:val="0031421D"/>
    <w:rsid w:val="00320E37"/>
    <w:rsid w:val="00321A56"/>
    <w:rsid w:val="00322930"/>
    <w:rsid w:val="003230A2"/>
    <w:rsid w:val="00323771"/>
    <w:rsid w:val="00324D3D"/>
    <w:rsid w:val="003254F1"/>
    <w:rsid w:val="00327040"/>
    <w:rsid w:val="00333C5F"/>
    <w:rsid w:val="003353A2"/>
    <w:rsid w:val="00335959"/>
    <w:rsid w:val="00335EDB"/>
    <w:rsid w:val="00336AF7"/>
    <w:rsid w:val="0033793F"/>
    <w:rsid w:val="00337A19"/>
    <w:rsid w:val="003406E3"/>
    <w:rsid w:val="003411C0"/>
    <w:rsid w:val="00343094"/>
    <w:rsid w:val="00344062"/>
    <w:rsid w:val="00345B24"/>
    <w:rsid w:val="00346559"/>
    <w:rsid w:val="00346608"/>
    <w:rsid w:val="0034660F"/>
    <w:rsid w:val="003477AA"/>
    <w:rsid w:val="003500CF"/>
    <w:rsid w:val="0035059F"/>
    <w:rsid w:val="00350C41"/>
    <w:rsid w:val="003519AD"/>
    <w:rsid w:val="003531B8"/>
    <w:rsid w:val="00355334"/>
    <w:rsid w:val="00355EA5"/>
    <w:rsid w:val="0035758D"/>
    <w:rsid w:val="00357970"/>
    <w:rsid w:val="00357D17"/>
    <w:rsid w:val="00357E91"/>
    <w:rsid w:val="0036126A"/>
    <w:rsid w:val="0036297E"/>
    <w:rsid w:val="0036466D"/>
    <w:rsid w:val="00364A89"/>
    <w:rsid w:val="00364DDD"/>
    <w:rsid w:val="0036546A"/>
    <w:rsid w:val="0036571F"/>
    <w:rsid w:val="00366F32"/>
    <w:rsid w:val="00366F9E"/>
    <w:rsid w:val="00367582"/>
    <w:rsid w:val="003678AE"/>
    <w:rsid w:val="00370420"/>
    <w:rsid w:val="00371787"/>
    <w:rsid w:val="003718EE"/>
    <w:rsid w:val="00372AA9"/>
    <w:rsid w:val="00373695"/>
    <w:rsid w:val="003739E4"/>
    <w:rsid w:val="00376759"/>
    <w:rsid w:val="00377466"/>
    <w:rsid w:val="0037781A"/>
    <w:rsid w:val="0038039E"/>
    <w:rsid w:val="00380B84"/>
    <w:rsid w:val="003817B3"/>
    <w:rsid w:val="00382463"/>
    <w:rsid w:val="003834EA"/>
    <w:rsid w:val="00384297"/>
    <w:rsid w:val="00384DA2"/>
    <w:rsid w:val="00384FCC"/>
    <w:rsid w:val="003852BE"/>
    <w:rsid w:val="0039083B"/>
    <w:rsid w:val="00390A8B"/>
    <w:rsid w:val="0039132E"/>
    <w:rsid w:val="003918A1"/>
    <w:rsid w:val="00392438"/>
    <w:rsid w:val="003925BE"/>
    <w:rsid w:val="00393C67"/>
    <w:rsid w:val="00393F77"/>
    <w:rsid w:val="00395F62"/>
    <w:rsid w:val="00395FFB"/>
    <w:rsid w:val="00396898"/>
    <w:rsid w:val="00397DDB"/>
    <w:rsid w:val="003A3438"/>
    <w:rsid w:val="003A4002"/>
    <w:rsid w:val="003A426A"/>
    <w:rsid w:val="003A5414"/>
    <w:rsid w:val="003A59E6"/>
    <w:rsid w:val="003A78C0"/>
    <w:rsid w:val="003A7FC3"/>
    <w:rsid w:val="003B1139"/>
    <w:rsid w:val="003B1D4E"/>
    <w:rsid w:val="003B290A"/>
    <w:rsid w:val="003B2AD9"/>
    <w:rsid w:val="003B44AC"/>
    <w:rsid w:val="003B4E58"/>
    <w:rsid w:val="003B5A03"/>
    <w:rsid w:val="003C065A"/>
    <w:rsid w:val="003C1076"/>
    <w:rsid w:val="003C10A6"/>
    <w:rsid w:val="003C427B"/>
    <w:rsid w:val="003C449A"/>
    <w:rsid w:val="003C461A"/>
    <w:rsid w:val="003C655D"/>
    <w:rsid w:val="003C7246"/>
    <w:rsid w:val="003C7DB9"/>
    <w:rsid w:val="003D153D"/>
    <w:rsid w:val="003D29DB"/>
    <w:rsid w:val="003D2B56"/>
    <w:rsid w:val="003D2E4E"/>
    <w:rsid w:val="003D33B5"/>
    <w:rsid w:val="003D38BA"/>
    <w:rsid w:val="003D3CF6"/>
    <w:rsid w:val="003D5739"/>
    <w:rsid w:val="003D5E26"/>
    <w:rsid w:val="003D6336"/>
    <w:rsid w:val="003D6B5E"/>
    <w:rsid w:val="003D75B9"/>
    <w:rsid w:val="003E151E"/>
    <w:rsid w:val="003E3B12"/>
    <w:rsid w:val="003E534A"/>
    <w:rsid w:val="003E6856"/>
    <w:rsid w:val="003F0B9B"/>
    <w:rsid w:val="003F0CB6"/>
    <w:rsid w:val="003F1C1A"/>
    <w:rsid w:val="003F212D"/>
    <w:rsid w:val="003F2C9F"/>
    <w:rsid w:val="003F3496"/>
    <w:rsid w:val="003F4ADB"/>
    <w:rsid w:val="003F5653"/>
    <w:rsid w:val="003F56F4"/>
    <w:rsid w:val="003F5913"/>
    <w:rsid w:val="003F6534"/>
    <w:rsid w:val="003F7AF5"/>
    <w:rsid w:val="003F7C51"/>
    <w:rsid w:val="0040059E"/>
    <w:rsid w:val="004015A5"/>
    <w:rsid w:val="004017B1"/>
    <w:rsid w:val="004018AE"/>
    <w:rsid w:val="004025FD"/>
    <w:rsid w:val="00402E7E"/>
    <w:rsid w:val="00405FC6"/>
    <w:rsid w:val="004062B0"/>
    <w:rsid w:val="00406F27"/>
    <w:rsid w:val="00410A85"/>
    <w:rsid w:val="00411833"/>
    <w:rsid w:val="00411B15"/>
    <w:rsid w:val="00412C8E"/>
    <w:rsid w:val="00413A15"/>
    <w:rsid w:val="00413F20"/>
    <w:rsid w:val="00413FC9"/>
    <w:rsid w:val="004154D4"/>
    <w:rsid w:val="00415894"/>
    <w:rsid w:val="00416995"/>
    <w:rsid w:val="00417A45"/>
    <w:rsid w:val="00417B4E"/>
    <w:rsid w:val="00420326"/>
    <w:rsid w:val="00421F33"/>
    <w:rsid w:val="004242EE"/>
    <w:rsid w:val="00425D52"/>
    <w:rsid w:val="00430C67"/>
    <w:rsid w:val="00432061"/>
    <w:rsid w:val="004322C4"/>
    <w:rsid w:val="00432DDB"/>
    <w:rsid w:val="004340A1"/>
    <w:rsid w:val="00434ACE"/>
    <w:rsid w:val="00435486"/>
    <w:rsid w:val="00435DCA"/>
    <w:rsid w:val="00437EF3"/>
    <w:rsid w:val="004406E3"/>
    <w:rsid w:val="0044406B"/>
    <w:rsid w:val="00444240"/>
    <w:rsid w:val="00444B69"/>
    <w:rsid w:val="004451A0"/>
    <w:rsid w:val="004452A3"/>
    <w:rsid w:val="00445947"/>
    <w:rsid w:val="00445B77"/>
    <w:rsid w:val="00446488"/>
    <w:rsid w:val="00446C41"/>
    <w:rsid w:val="00447FC7"/>
    <w:rsid w:val="004507F6"/>
    <w:rsid w:val="00451351"/>
    <w:rsid w:val="0045202A"/>
    <w:rsid w:val="00452305"/>
    <w:rsid w:val="00452A9D"/>
    <w:rsid w:val="004538BC"/>
    <w:rsid w:val="00453E65"/>
    <w:rsid w:val="00453F19"/>
    <w:rsid w:val="00454B02"/>
    <w:rsid w:val="00455322"/>
    <w:rsid w:val="0045763C"/>
    <w:rsid w:val="0045770C"/>
    <w:rsid w:val="00460153"/>
    <w:rsid w:val="004623B0"/>
    <w:rsid w:val="00462794"/>
    <w:rsid w:val="004633C3"/>
    <w:rsid w:val="00463BF8"/>
    <w:rsid w:val="00463DB6"/>
    <w:rsid w:val="0046538E"/>
    <w:rsid w:val="00465C18"/>
    <w:rsid w:val="004660BF"/>
    <w:rsid w:val="00470C78"/>
    <w:rsid w:val="00470D08"/>
    <w:rsid w:val="004714FB"/>
    <w:rsid w:val="00473492"/>
    <w:rsid w:val="00475591"/>
    <w:rsid w:val="00475689"/>
    <w:rsid w:val="0047758A"/>
    <w:rsid w:val="00477A72"/>
    <w:rsid w:val="004819B0"/>
    <w:rsid w:val="00482520"/>
    <w:rsid w:val="00482772"/>
    <w:rsid w:val="00482C97"/>
    <w:rsid w:val="00483E8E"/>
    <w:rsid w:val="00485221"/>
    <w:rsid w:val="00485902"/>
    <w:rsid w:val="00485FC9"/>
    <w:rsid w:val="00486277"/>
    <w:rsid w:val="004874D1"/>
    <w:rsid w:val="004904BD"/>
    <w:rsid w:val="004929FC"/>
    <w:rsid w:val="00492A18"/>
    <w:rsid w:val="0049306A"/>
    <w:rsid w:val="0049342C"/>
    <w:rsid w:val="0049345C"/>
    <w:rsid w:val="00493A41"/>
    <w:rsid w:val="00495703"/>
    <w:rsid w:val="00495E19"/>
    <w:rsid w:val="00495EB4"/>
    <w:rsid w:val="004A17A1"/>
    <w:rsid w:val="004A196B"/>
    <w:rsid w:val="004A1992"/>
    <w:rsid w:val="004A2AA4"/>
    <w:rsid w:val="004A3394"/>
    <w:rsid w:val="004A37CA"/>
    <w:rsid w:val="004A38E9"/>
    <w:rsid w:val="004A3F30"/>
    <w:rsid w:val="004A4094"/>
    <w:rsid w:val="004A5C0C"/>
    <w:rsid w:val="004A6162"/>
    <w:rsid w:val="004A6435"/>
    <w:rsid w:val="004A69CF"/>
    <w:rsid w:val="004A71BE"/>
    <w:rsid w:val="004A7A9F"/>
    <w:rsid w:val="004B090E"/>
    <w:rsid w:val="004B1AC3"/>
    <w:rsid w:val="004B2435"/>
    <w:rsid w:val="004B4CA0"/>
    <w:rsid w:val="004B4E3C"/>
    <w:rsid w:val="004B6A35"/>
    <w:rsid w:val="004B7688"/>
    <w:rsid w:val="004C26C7"/>
    <w:rsid w:val="004C27D1"/>
    <w:rsid w:val="004C2D7F"/>
    <w:rsid w:val="004C497D"/>
    <w:rsid w:val="004C5BFD"/>
    <w:rsid w:val="004C69B8"/>
    <w:rsid w:val="004C7198"/>
    <w:rsid w:val="004C7276"/>
    <w:rsid w:val="004C743E"/>
    <w:rsid w:val="004C7F9B"/>
    <w:rsid w:val="004D359F"/>
    <w:rsid w:val="004D3CB9"/>
    <w:rsid w:val="004D60B5"/>
    <w:rsid w:val="004D6E7A"/>
    <w:rsid w:val="004D761B"/>
    <w:rsid w:val="004E0675"/>
    <w:rsid w:val="004E0D0F"/>
    <w:rsid w:val="004E1447"/>
    <w:rsid w:val="004E15F8"/>
    <w:rsid w:val="004E56B0"/>
    <w:rsid w:val="004E5A05"/>
    <w:rsid w:val="004E6A50"/>
    <w:rsid w:val="004F000C"/>
    <w:rsid w:val="004F1382"/>
    <w:rsid w:val="004F212D"/>
    <w:rsid w:val="004F2A8D"/>
    <w:rsid w:val="004F2BB3"/>
    <w:rsid w:val="004F3301"/>
    <w:rsid w:val="004F3618"/>
    <w:rsid w:val="004F5BE4"/>
    <w:rsid w:val="004F5E64"/>
    <w:rsid w:val="004F6198"/>
    <w:rsid w:val="004F62FD"/>
    <w:rsid w:val="0050016E"/>
    <w:rsid w:val="005002B4"/>
    <w:rsid w:val="00500C97"/>
    <w:rsid w:val="005012B2"/>
    <w:rsid w:val="005014AE"/>
    <w:rsid w:val="005024C3"/>
    <w:rsid w:val="0050389B"/>
    <w:rsid w:val="00503FB4"/>
    <w:rsid w:val="00505B16"/>
    <w:rsid w:val="0050644D"/>
    <w:rsid w:val="00506B40"/>
    <w:rsid w:val="005078EA"/>
    <w:rsid w:val="00511365"/>
    <w:rsid w:val="005117A1"/>
    <w:rsid w:val="005120EE"/>
    <w:rsid w:val="00513737"/>
    <w:rsid w:val="00513DE1"/>
    <w:rsid w:val="0051530B"/>
    <w:rsid w:val="005161C6"/>
    <w:rsid w:val="0051659B"/>
    <w:rsid w:val="00517108"/>
    <w:rsid w:val="00517725"/>
    <w:rsid w:val="00517B67"/>
    <w:rsid w:val="00521D58"/>
    <w:rsid w:val="00524F33"/>
    <w:rsid w:val="005254CF"/>
    <w:rsid w:val="005259B1"/>
    <w:rsid w:val="00531BFC"/>
    <w:rsid w:val="00532311"/>
    <w:rsid w:val="00532B18"/>
    <w:rsid w:val="00533647"/>
    <w:rsid w:val="00533F13"/>
    <w:rsid w:val="00536874"/>
    <w:rsid w:val="00537303"/>
    <w:rsid w:val="00540450"/>
    <w:rsid w:val="005404CC"/>
    <w:rsid w:val="00540ADA"/>
    <w:rsid w:val="00541021"/>
    <w:rsid w:val="0054188B"/>
    <w:rsid w:val="005422BB"/>
    <w:rsid w:val="00542881"/>
    <w:rsid w:val="00543EB2"/>
    <w:rsid w:val="0054454E"/>
    <w:rsid w:val="00544654"/>
    <w:rsid w:val="00544EC5"/>
    <w:rsid w:val="0054584B"/>
    <w:rsid w:val="00546C21"/>
    <w:rsid w:val="00546D8A"/>
    <w:rsid w:val="00547911"/>
    <w:rsid w:val="00547ECA"/>
    <w:rsid w:val="00550B0E"/>
    <w:rsid w:val="00552F6B"/>
    <w:rsid w:val="00553049"/>
    <w:rsid w:val="00555CE4"/>
    <w:rsid w:val="005609F2"/>
    <w:rsid w:val="005610BD"/>
    <w:rsid w:val="00561238"/>
    <w:rsid w:val="00562C1F"/>
    <w:rsid w:val="0056416C"/>
    <w:rsid w:val="00565188"/>
    <w:rsid w:val="00565533"/>
    <w:rsid w:val="00567FB9"/>
    <w:rsid w:val="005705D3"/>
    <w:rsid w:val="00570931"/>
    <w:rsid w:val="00571A01"/>
    <w:rsid w:val="00572F6B"/>
    <w:rsid w:val="005753EE"/>
    <w:rsid w:val="00575DC6"/>
    <w:rsid w:val="00576BAF"/>
    <w:rsid w:val="00576CA5"/>
    <w:rsid w:val="00577635"/>
    <w:rsid w:val="00582A64"/>
    <w:rsid w:val="00584296"/>
    <w:rsid w:val="00584E66"/>
    <w:rsid w:val="00584F42"/>
    <w:rsid w:val="00587883"/>
    <w:rsid w:val="00587E19"/>
    <w:rsid w:val="00590709"/>
    <w:rsid w:val="005918B6"/>
    <w:rsid w:val="00591E62"/>
    <w:rsid w:val="00592C0C"/>
    <w:rsid w:val="005949F3"/>
    <w:rsid w:val="00595F9C"/>
    <w:rsid w:val="00596BFE"/>
    <w:rsid w:val="0059735F"/>
    <w:rsid w:val="00597BF2"/>
    <w:rsid w:val="005A3A93"/>
    <w:rsid w:val="005A6312"/>
    <w:rsid w:val="005A6EB7"/>
    <w:rsid w:val="005B058C"/>
    <w:rsid w:val="005B0798"/>
    <w:rsid w:val="005B1779"/>
    <w:rsid w:val="005B27F7"/>
    <w:rsid w:val="005B3384"/>
    <w:rsid w:val="005B4E96"/>
    <w:rsid w:val="005B6A04"/>
    <w:rsid w:val="005B6C48"/>
    <w:rsid w:val="005C0505"/>
    <w:rsid w:val="005C23ED"/>
    <w:rsid w:val="005C3D7F"/>
    <w:rsid w:val="005C49CA"/>
    <w:rsid w:val="005C5A54"/>
    <w:rsid w:val="005C61C1"/>
    <w:rsid w:val="005D1B89"/>
    <w:rsid w:val="005D2503"/>
    <w:rsid w:val="005D2B10"/>
    <w:rsid w:val="005D32AA"/>
    <w:rsid w:val="005D70A0"/>
    <w:rsid w:val="005E26EF"/>
    <w:rsid w:val="005E2719"/>
    <w:rsid w:val="005E2940"/>
    <w:rsid w:val="005E2ADD"/>
    <w:rsid w:val="005E2CAD"/>
    <w:rsid w:val="005E381E"/>
    <w:rsid w:val="005E57E0"/>
    <w:rsid w:val="005F0053"/>
    <w:rsid w:val="005F1822"/>
    <w:rsid w:val="005F1EAC"/>
    <w:rsid w:val="005F20A8"/>
    <w:rsid w:val="005F34CE"/>
    <w:rsid w:val="005F3643"/>
    <w:rsid w:val="005F3660"/>
    <w:rsid w:val="005F41DD"/>
    <w:rsid w:val="005F4B47"/>
    <w:rsid w:val="005F52C1"/>
    <w:rsid w:val="005F75A4"/>
    <w:rsid w:val="005F7E8B"/>
    <w:rsid w:val="00600004"/>
    <w:rsid w:val="006007E4"/>
    <w:rsid w:val="00601D4B"/>
    <w:rsid w:val="006020C2"/>
    <w:rsid w:val="0060213E"/>
    <w:rsid w:val="00604B9E"/>
    <w:rsid w:val="00610820"/>
    <w:rsid w:val="00612B0F"/>
    <w:rsid w:val="00615B6A"/>
    <w:rsid w:val="00616CE5"/>
    <w:rsid w:val="0062284B"/>
    <w:rsid w:val="006229CB"/>
    <w:rsid w:val="0062310C"/>
    <w:rsid w:val="00623601"/>
    <w:rsid w:val="00624AD6"/>
    <w:rsid w:val="00624BA4"/>
    <w:rsid w:val="00626FC6"/>
    <w:rsid w:val="00631A6E"/>
    <w:rsid w:val="006328AE"/>
    <w:rsid w:val="00632D4A"/>
    <w:rsid w:val="0063322F"/>
    <w:rsid w:val="00633EDC"/>
    <w:rsid w:val="00637712"/>
    <w:rsid w:val="00637C32"/>
    <w:rsid w:val="00640CA0"/>
    <w:rsid w:val="00640D15"/>
    <w:rsid w:val="00640F8F"/>
    <w:rsid w:val="00640FEE"/>
    <w:rsid w:val="00641008"/>
    <w:rsid w:val="00641380"/>
    <w:rsid w:val="00641738"/>
    <w:rsid w:val="00641CE7"/>
    <w:rsid w:val="00642765"/>
    <w:rsid w:val="00642ABA"/>
    <w:rsid w:val="006453FF"/>
    <w:rsid w:val="00646654"/>
    <w:rsid w:val="0064721E"/>
    <w:rsid w:val="006473AF"/>
    <w:rsid w:val="00651787"/>
    <w:rsid w:val="00652A77"/>
    <w:rsid w:val="006534B0"/>
    <w:rsid w:val="0065464A"/>
    <w:rsid w:val="00656B41"/>
    <w:rsid w:val="006576CA"/>
    <w:rsid w:val="00660705"/>
    <w:rsid w:val="00660736"/>
    <w:rsid w:val="00661091"/>
    <w:rsid w:val="0066116C"/>
    <w:rsid w:val="00661453"/>
    <w:rsid w:val="006617A7"/>
    <w:rsid w:val="006639F3"/>
    <w:rsid w:val="00663A51"/>
    <w:rsid w:val="00664638"/>
    <w:rsid w:val="00666CDC"/>
    <w:rsid w:val="00667FD3"/>
    <w:rsid w:val="00670134"/>
    <w:rsid w:val="00670645"/>
    <w:rsid w:val="006722C0"/>
    <w:rsid w:val="0067314C"/>
    <w:rsid w:val="00674048"/>
    <w:rsid w:val="006741AF"/>
    <w:rsid w:val="006774BD"/>
    <w:rsid w:val="00680B8F"/>
    <w:rsid w:val="006810AD"/>
    <w:rsid w:val="006811EE"/>
    <w:rsid w:val="00681777"/>
    <w:rsid w:val="006819D3"/>
    <w:rsid w:val="00681BE2"/>
    <w:rsid w:val="00682AE3"/>
    <w:rsid w:val="00683CB2"/>
    <w:rsid w:val="00683FE5"/>
    <w:rsid w:val="0068512D"/>
    <w:rsid w:val="00686262"/>
    <w:rsid w:val="006877C0"/>
    <w:rsid w:val="00687B30"/>
    <w:rsid w:val="00687FBC"/>
    <w:rsid w:val="0069035E"/>
    <w:rsid w:val="0069066D"/>
    <w:rsid w:val="00690867"/>
    <w:rsid w:val="00690B2A"/>
    <w:rsid w:val="0069142A"/>
    <w:rsid w:val="00691E84"/>
    <w:rsid w:val="006923B1"/>
    <w:rsid w:val="00692DBA"/>
    <w:rsid w:val="00693222"/>
    <w:rsid w:val="0069614E"/>
    <w:rsid w:val="006974E8"/>
    <w:rsid w:val="006A0726"/>
    <w:rsid w:val="006A1D92"/>
    <w:rsid w:val="006A28A1"/>
    <w:rsid w:val="006A338E"/>
    <w:rsid w:val="006A5479"/>
    <w:rsid w:val="006A6F66"/>
    <w:rsid w:val="006A700A"/>
    <w:rsid w:val="006B037D"/>
    <w:rsid w:val="006B3C63"/>
    <w:rsid w:val="006B60E8"/>
    <w:rsid w:val="006C254A"/>
    <w:rsid w:val="006C27F8"/>
    <w:rsid w:val="006C4E09"/>
    <w:rsid w:val="006C5069"/>
    <w:rsid w:val="006C554D"/>
    <w:rsid w:val="006C66F9"/>
    <w:rsid w:val="006C6741"/>
    <w:rsid w:val="006C7E88"/>
    <w:rsid w:val="006D1796"/>
    <w:rsid w:val="006D1D92"/>
    <w:rsid w:val="006D2314"/>
    <w:rsid w:val="006D26D8"/>
    <w:rsid w:val="006D2DCB"/>
    <w:rsid w:val="006D2EB5"/>
    <w:rsid w:val="006D3681"/>
    <w:rsid w:val="006D375C"/>
    <w:rsid w:val="006D39A1"/>
    <w:rsid w:val="006D43D5"/>
    <w:rsid w:val="006D4D79"/>
    <w:rsid w:val="006D548B"/>
    <w:rsid w:val="006D69D4"/>
    <w:rsid w:val="006D7C76"/>
    <w:rsid w:val="006E1482"/>
    <w:rsid w:val="006E1C04"/>
    <w:rsid w:val="006E2626"/>
    <w:rsid w:val="006E3424"/>
    <w:rsid w:val="006E4F12"/>
    <w:rsid w:val="006E5636"/>
    <w:rsid w:val="006E5E05"/>
    <w:rsid w:val="006E5F3C"/>
    <w:rsid w:val="006E75A9"/>
    <w:rsid w:val="006E7F74"/>
    <w:rsid w:val="006F2367"/>
    <w:rsid w:val="006F2857"/>
    <w:rsid w:val="006F2BAD"/>
    <w:rsid w:val="006F3AB8"/>
    <w:rsid w:val="006F490B"/>
    <w:rsid w:val="006F6E69"/>
    <w:rsid w:val="006F7BFD"/>
    <w:rsid w:val="006F7C10"/>
    <w:rsid w:val="006F7EA7"/>
    <w:rsid w:val="006F7FD7"/>
    <w:rsid w:val="007012EF"/>
    <w:rsid w:val="00701371"/>
    <w:rsid w:val="00701899"/>
    <w:rsid w:val="00702B71"/>
    <w:rsid w:val="00702CA8"/>
    <w:rsid w:val="0070375D"/>
    <w:rsid w:val="007056D2"/>
    <w:rsid w:val="00705D5B"/>
    <w:rsid w:val="0070679A"/>
    <w:rsid w:val="00706A82"/>
    <w:rsid w:val="00706D2D"/>
    <w:rsid w:val="007075E8"/>
    <w:rsid w:val="00713506"/>
    <w:rsid w:val="00713718"/>
    <w:rsid w:val="00714358"/>
    <w:rsid w:val="00714D96"/>
    <w:rsid w:val="0071706E"/>
    <w:rsid w:val="0071763F"/>
    <w:rsid w:val="007223DE"/>
    <w:rsid w:val="0072293D"/>
    <w:rsid w:val="00722EFB"/>
    <w:rsid w:val="007237D7"/>
    <w:rsid w:val="00724152"/>
    <w:rsid w:val="007247AF"/>
    <w:rsid w:val="00725425"/>
    <w:rsid w:val="007265E6"/>
    <w:rsid w:val="00727E21"/>
    <w:rsid w:val="00732448"/>
    <w:rsid w:val="00733DD9"/>
    <w:rsid w:val="00733EE8"/>
    <w:rsid w:val="00735B41"/>
    <w:rsid w:val="00737EF2"/>
    <w:rsid w:val="007410A8"/>
    <w:rsid w:val="007413AD"/>
    <w:rsid w:val="00741FFC"/>
    <w:rsid w:val="0074337F"/>
    <w:rsid w:val="007433EF"/>
    <w:rsid w:val="00745551"/>
    <w:rsid w:val="007467FD"/>
    <w:rsid w:val="00750927"/>
    <w:rsid w:val="00750F61"/>
    <w:rsid w:val="0075216C"/>
    <w:rsid w:val="0075313A"/>
    <w:rsid w:val="00753F1B"/>
    <w:rsid w:val="007541E9"/>
    <w:rsid w:val="00755F12"/>
    <w:rsid w:val="00756768"/>
    <w:rsid w:val="0075679A"/>
    <w:rsid w:val="00756B69"/>
    <w:rsid w:val="00757180"/>
    <w:rsid w:val="007578E1"/>
    <w:rsid w:val="0076068C"/>
    <w:rsid w:val="007610F2"/>
    <w:rsid w:val="0076128F"/>
    <w:rsid w:val="00762BAB"/>
    <w:rsid w:val="00763B0B"/>
    <w:rsid w:val="007665C8"/>
    <w:rsid w:val="00766839"/>
    <w:rsid w:val="00767255"/>
    <w:rsid w:val="007672D2"/>
    <w:rsid w:val="007708FB"/>
    <w:rsid w:val="007718AB"/>
    <w:rsid w:val="00771D02"/>
    <w:rsid w:val="00772315"/>
    <w:rsid w:val="00773BF2"/>
    <w:rsid w:val="00773FA8"/>
    <w:rsid w:val="00773FC0"/>
    <w:rsid w:val="007742C1"/>
    <w:rsid w:val="0078094F"/>
    <w:rsid w:val="00783BA9"/>
    <w:rsid w:val="0078435A"/>
    <w:rsid w:val="00785000"/>
    <w:rsid w:val="00785AB3"/>
    <w:rsid w:val="00785AF1"/>
    <w:rsid w:val="007860EA"/>
    <w:rsid w:val="00786BB3"/>
    <w:rsid w:val="007875F5"/>
    <w:rsid w:val="007921B4"/>
    <w:rsid w:val="00792848"/>
    <w:rsid w:val="007928FC"/>
    <w:rsid w:val="00792CA1"/>
    <w:rsid w:val="00793E35"/>
    <w:rsid w:val="00794650"/>
    <w:rsid w:val="007961E3"/>
    <w:rsid w:val="00796FEB"/>
    <w:rsid w:val="007978FC"/>
    <w:rsid w:val="007A0205"/>
    <w:rsid w:val="007A023E"/>
    <w:rsid w:val="007A1070"/>
    <w:rsid w:val="007A11E9"/>
    <w:rsid w:val="007A1395"/>
    <w:rsid w:val="007A171C"/>
    <w:rsid w:val="007A33DF"/>
    <w:rsid w:val="007A3B06"/>
    <w:rsid w:val="007A4AE6"/>
    <w:rsid w:val="007A620F"/>
    <w:rsid w:val="007B0BFE"/>
    <w:rsid w:val="007B2254"/>
    <w:rsid w:val="007B24E7"/>
    <w:rsid w:val="007B2FA1"/>
    <w:rsid w:val="007B4258"/>
    <w:rsid w:val="007B466A"/>
    <w:rsid w:val="007B61EC"/>
    <w:rsid w:val="007B637C"/>
    <w:rsid w:val="007C12B5"/>
    <w:rsid w:val="007C1666"/>
    <w:rsid w:val="007C1A44"/>
    <w:rsid w:val="007C2345"/>
    <w:rsid w:val="007C2D54"/>
    <w:rsid w:val="007C41BA"/>
    <w:rsid w:val="007C43E6"/>
    <w:rsid w:val="007C50A7"/>
    <w:rsid w:val="007C5418"/>
    <w:rsid w:val="007C590E"/>
    <w:rsid w:val="007C7033"/>
    <w:rsid w:val="007C75C7"/>
    <w:rsid w:val="007C7814"/>
    <w:rsid w:val="007D1BCB"/>
    <w:rsid w:val="007D2341"/>
    <w:rsid w:val="007D286F"/>
    <w:rsid w:val="007D31D3"/>
    <w:rsid w:val="007D46E8"/>
    <w:rsid w:val="007D594D"/>
    <w:rsid w:val="007E24AE"/>
    <w:rsid w:val="007E282D"/>
    <w:rsid w:val="007E2A36"/>
    <w:rsid w:val="007E59C9"/>
    <w:rsid w:val="007E6EF2"/>
    <w:rsid w:val="007F00C6"/>
    <w:rsid w:val="007F28EE"/>
    <w:rsid w:val="007F2B51"/>
    <w:rsid w:val="007F33F6"/>
    <w:rsid w:val="007F46C5"/>
    <w:rsid w:val="007F4D11"/>
    <w:rsid w:val="007F5F65"/>
    <w:rsid w:val="007F60D4"/>
    <w:rsid w:val="007F7B67"/>
    <w:rsid w:val="008004AD"/>
    <w:rsid w:val="008006D1"/>
    <w:rsid w:val="00800F6C"/>
    <w:rsid w:val="00801470"/>
    <w:rsid w:val="008015E6"/>
    <w:rsid w:val="00803DCD"/>
    <w:rsid w:val="00804027"/>
    <w:rsid w:val="00804504"/>
    <w:rsid w:val="008053EC"/>
    <w:rsid w:val="0080580B"/>
    <w:rsid w:val="00807BD8"/>
    <w:rsid w:val="008102E4"/>
    <w:rsid w:val="0081065A"/>
    <w:rsid w:val="00813600"/>
    <w:rsid w:val="0081498E"/>
    <w:rsid w:val="00815D49"/>
    <w:rsid w:val="00817F8A"/>
    <w:rsid w:val="0082152E"/>
    <w:rsid w:val="008225C0"/>
    <w:rsid w:val="00822D99"/>
    <w:rsid w:val="008230DD"/>
    <w:rsid w:val="00823FEE"/>
    <w:rsid w:val="00824445"/>
    <w:rsid w:val="00826350"/>
    <w:rsid w:val="00826A9D"/>
    <w:rsid w:val="008271CA"/>
    <w:rsid w:val="008301A5"/>
    <w:rsid w:val="008331A3"/>
    <w:rsid w:val="008335F9"/>
    <w:rsid w:val="00835A0D"/>
    <w:rsid w:val="008364A9"/>
    <w:rsid w:val="00836544"/>
    <w:rsid w:val="00836C06"/>
    <w:rsid w:val="0084259E"/>
    <w:rsid w:val="00843FE7"/>
    <w:rsid w:val="00846C4B"/>
    <w:rsid w:val="00850065"/>
    <w:rsid w:val="008504A6"/>
    <w:rsid w:val="008519CE"/>
    <w:rsid w:val="00851DE2"/>
    <w:rsid w:val="0085226E"/>
    <w:rsid w:val="00854C86"/>
    <w:rsid w:val="00855C86"/>
    <w:rsid w:val="008601F8"/>
    <w:rsid w:val="008629B3"/>
    <w:rsid w:val="008639BF"/>
    <w:rsid w:val="00863A5E"/>
    <w:rsid w:val="00865D45"/>
    <w:rsid w:val="00865F07"/>
    <w:rsid w:val="008660EA"/>
    <w:rsid w:val="00870512"/>
    <w:rsid w:val="008706EC"/>
    <w:rsid w:val="00871ED2"/>
    <w:rsid w:val="00872CAF"/>
    <w:rsid w:val="00874877"/>
    <w:rsid w:val="0087624E"/>
    <w:rsid w:val="008771E9"/>
    <w:rsid w:val="00877292"/>
    <w:rsid w:val="00883F00"/>
    <w:rsid w:val="00883F34"/>
    <w:rsid w:val="008851FF"/>
    <w:rsid w:val="00885413"/>
    <w:rsid w:val="00887E07"/>
    <w:rsid w:val="00891061"/>
    <w:rsid w:val="00891E50"/>
    <w:rsid w:val="00893219"/>
    <w:rsid w:val="008944AF"/>
    <w:rsid w:val="0089496E"/>
    <w:rsid w:val="0089532C"/>
    <w:rsid w:val="008957F7"/>
    <w:rsid w:val="00896006"/>
    <w:rsid w:val="008A0F48"/>
    <w:rsid w:val="008A19E4"/>
    <w:rsid w:val="008A22BF"/>
    <w:rsid w:val="008A365A"/>
    <w:rsid w:val="008A3FE6"/>
    <w:rsid w:val="008A47C7"/>
    <w:rsid w:val="008A5B1B"/>
    <w:rsid w:val="008A76CA"/>
    <w:rsid w:val="008B173F"/>
    <w:rsid w:val="008B36B5"/>
    <w:rsid w:val="008B3D48"/>
    <w:rsid w:val="008B53CF"/>
    <w:rsid w:val="008B70CA"/>
    <w:rsid w:val="008B7EAF"/>
    <w:rsid w:val="008C0000"/>
    <w:rsid w:val="008C0C09"/>
    <w:rsid w:val="008C1548"/>
    <w:rsid w:val="008C15B8"/>
    <w:rsid w:val="008C2094"/>
    <w:rsid w:val="008C26A6"/>
    <w:rsid w:val="008C306E"/>
    <w:rsid w:val="008C38E2"/>
    <w:rsid w:val="008C4560"/>
    <w:rsid w:val="008C59E8"/>
    <w:rsid w:val="008C6604"/>
    <w:rsid w:val="008C6D2A"/>
    <w:rsid w:val="008D0399"/>
    <w:rsid w:val="008D0969"/>
    <w:rsid w:val="008D0974"/>
    <w:rsid w:val="008D1943"/>
    <w:rsid w:val="008D23CE"/>
    <w:rsid w:val="008D2636"/>
    <w:rsid w:val="008D51D3"/>
    <w:rsid w:val="008D5996"/>
    <w:rsid w:val="008D5B17"/>
    <w:rsid w:val="008D7069"/>
    <w:rsid w:val="008E098D"/>
    <w:rsid w:val="008E138E"/>
    <w:rsid w:val="008E275C"/>
    <w:rsid w:val="008E33B7"/>
    <w:rsid w:val="008E38A3"/>
    <w:rsid w:val="008E4A5D"/>
    <w:rsid w:val="008E4B3E"/>
    <w:rsid w:val="008E67C3"/>
    <w:rsid w:val="008E6EEC"/>
    <w:rsid w:val="008E73AE"/>
    <w:rsid w:val="008F2D6E"/>
    <w:rsid w:val="008F39AB"/>
    <w:rsid w:val="008F4490"/>
    <w:rsid w:val="008F4EB4"/>
    <w:rsid w:val="008F4FA6"/>
    <w:rsid w:val="008F5376"/>
    <w:rsid w:val="008F5D5D"/>
    <w:rsid w:val="009017A6"/>
    <w:rsid w:val="0090220C"/>
    <w:rsid w:val="009023A8"/>
    <w:rsid w:val="009026C1"/>
    <w:rsid w:val="00902D27"/>
    <w:rsid w:val="009035A1"/>
    <w:rsid w:val="009044AA"/>
    <w:rsid w:val="00904C7D"/>
    <w:rsid w:val="0090518C"/>
    <w:rsid w:val="00905A2B"/>
    <w:rsid w:val="00906EDF"/>
    <w:rsid w:val="009076E3"/>
    <w:rsid w:val="009076EA"/>
    <w:rsid w:val="00911069"/>
    <w:rsid w:val="009121B1"/>
    <w:rsid w:val="00912457"/>
    <w:rsid w:val="009126CA"/>
    <w:rsid w:val="00912DA5"/>
    <w:rsid w:val="00913EF3"/>
    <w:rsid w:val="009144E2"/>
    <w:rsid w:val="00922134"/>
    <w:rsid w:val="00922E13"/>
    <w:rsid w:val="00923608"/>
    <w:rsid w:val="00924527"/>
    <w:rsid w:val="00924A82"/>
    <w:rsid w:val="00925819"/>
    <w:rsid w:val="00925D48"/>
    <w:rsid w:val="009275EE"/>
    <w:rsid w:val="009279DF"/>
    <w:rsid w:val="00927A3F"/>
    <w:rsid w:val="009300F2"/>
    <w:rsid w:val="0093032A"/>
    <w:rsid w:val="0093071F"/>
    <w:rsid w:val="00930B6D"/>
    <w:rsid w:val="00930FE2"/>
    <w:rsid w:val="00932191"/>
    <w:rsid w:val="00933166"/>
    <w:rsid w:val="0093340D"/>
    <w:rsid w:val="00934391"/>
    <w:rsid w:val="00934CD7"/>
    <w:rsid w:val="00935B7B"/>
    <w:rsid w:val="00936AE6"/>
    <w:rsid w:val="009370EE"/>
    <w:rsid w:val="00937409"/>
    <w:rsid w:val="0094068C"/>
    <w:rsid w:val="009417EE"/>
    <w:rsid w:val="0094319A"/>
    <w:rsid w:val="00943508"/>
    <w:rsid w:val="00943BAE"/>
    <w:rsid w:val="00944917"/>
    <w:rsid w:val="00944AD8"/>
    <w:rsid w:val="009453E7"/>
    <w:rsid w:val="00946002"/>
    <w:rsid w:val="0094693E"/>
    <w:rsid w:val="009472F1"/>
    <w:rsid w:val="00947688"/>
    <w:rsid w:val="00950522"/>
    <w:rsid w:val="009508E1"/>
    <w:rsid w:val="00951BC8"/>
    <w:rsid w:val="0095414E"/>
    <w:rsid w:val="0095455F"/>
    <w:rsid w:val="009556B1"/>
    <w:rsid w:val="00955B2E"/>
    <w:rsid w:val="009564FE"/>
    <w:rsid w:val="00956D65"/>
    <w:rsid w:val="009574A1"/>
    <w:rsid w:val="00957D84"/>
    <w:rsid w:val="00957E73"/>
    <w:rsid w:val="00960938"/>
    <w:rsid w:val="00960975"/>
    <w:rsid w:val="00960B2C"/>
    <w:rsid w:val="00964216"/>
    <w:rsid w:val="0096427B"/>
    <w:rsid w:val="00966C7A"/>
    <w:rsid w:val="00970D7D"/>
    <w:rsid w:val="00972832"/>
    <w:rsid w:val="0097423F"/>
    <w:rsid w:val="0097572A"/>
    <w:rsid w:val="00977A26"/>
    <w:rsid w:val="0098102A"/>
    <w:rsid w:val="00981A98"/>
    <w:rsid w:val="00982BD8"/>
    <w:rsid w:val="00983E80"/>
    <w:rsid w:val="00984C31"/>
    <w:rsid w:val="00984C98"/>
    <w:rsid w:val="0098508D"/>
    <w:rsid w:val="00985175"/>
    <w:rsid w:val="00986A27"/>
    <w:rsid w:val="00990E7F"/>
    <w:rsid w:val="009912FA"/>
    <w:rsid w:val="00991D23"/>
    <w:rsid w:val="0099297A"/>
    <w:rsid w:val="00992C21"/>
    <w:rsid w:val="00993B21"/>
    <w:rsid w:val="00993B3D"/>
    <w:rsid w:val="00993C96"/>
    <w:rsid w:val="009945D4"/>
    <w:rsid w:val="00996F44"/>
    <w:rsid w:val="009A10AC"/>
    <w:rsid w:val="009A2DF7"/>
    <w:rsid w:val="009A4CDD"/>
    <w:rsid w:val="009A603C"/>
    <w:rsid w:val="009A6206"/>
    <w:rsid w:val="009A755C"/>
    <w:rsid w:val="009A7866"/>
    <w:rsid w:val="009B03D5"/>
    <w:rsid w:val="009B1C68"/>
    <w:rsid w:val="009B20B2"/>
    <w:rsid w:val="009B3208"/>
    <w:rsid w:val="009B7711"/>
    <w:rsid w:val="009B7E41"/>
    <w:rsid w:val="009C1B4B"/>
    <w:rsid w:val="009C2266"/>
    <w:rsid w:val="009C300F"/>
    <w:rsid w:val="009C3531"/>
    <w:rsid w:val="009C3CE4"/>
    <w:rsid w:val="009C405A"/>
    <w:rsid w:val="009C6579"/>
    <w:rsid w:val="009C6BAE"/>
    <w:rsid w:val="009D0209"/>
    <w:rsid w:val="009D08BA"/>
    <w:rsid w:val="009D0C77"/>
    <w:rsid w:val="009D29CA"/>
    <w:rsid w:val="009D7CB5"/>
    <w:rsid w:val="009E0192"/>
    <w:rsid w:val="009E158E"/>
    <w:rsid w:val="009E1789"/>
    <w:rsid w:val="009E1A9B"/>
    <w:rsid w:val="009E4657"/>
    <w:rsid w:val="009E4B13"/>
    <w:rsid w:val="009E4FAB"/>
    <w:rsid w:val="009E52E3"/>
    <w:rsid w:val="009E5BC4"/>
    <w:rsid w:val="009E5CFF"/>
    <w:rsid w:val="009E61A1"/>
    <w:rsid w:val="009E768A"/>
    <w:rsid w:val="009E7E59"/>
    <w:rsid w:val="009F0178"/>
    <w:rsid w:val="009F0467"/>
    <w:rsid w:val="009F0626"/>
    <w:rsid w:val="009F071B"/>
    <w:rsid w:val="009F0F0E"/>
    <w:rsid w:val="009F1615"/>
    <w:rsid w:val="009F17D3"/>
    <w:rsid w:val="009F2115"/>
    <w:rsid w:val="009F27B1"/>
    <w:rsid w:val="009F37D9"/>
    <w:rsid w:val="009F3B2A"/>
    <w:rsid w:val="009F4780"/>
    <w:rsid w:val="009F53CE"/>
    <w:rsid w:val="009F5EB9"/>
    <w:rsid w:val="009F6BB7"/>
    <w:rsid w:val="009F6F10"/>
    <w:rsid w:val="009F71CA"/>
    <w:rsid w:val="009F7346"/>
    <w:rsid w:val="009F737E"/>
    <w:rsid w:val="009F7A68"/>
    <w:rsid w:val="00A008D5"/>
    <w:rsid w:val="00A0161E"/>
    <w:rsid w:val="00A04743"/>
    <w:rsid w:val="00A04A84"/>
    <w:rsid w:val="00A05A6C"/>
    <w:rsid w:val="00A06589"/>
    <w:rsid w:val="00A076AA"/>
    <w:rsid w:val="00A10B22"/>
    <w:rsid w:val="00A11F0D"/>
    <w:rsid w:val="00A13602"/>
    <w:rsid w:val="00A1478F"/>
    <w:rsid w:val="00A1561B"/>
    <w:rsid w:val="00A1584F"/>
    <w:rsid w:val="00A1771E"/>
    <w:rsid w:val="00A17E41"/>
    <w:rsid w:val="00A25FEB"/>
    <w:rsid w:val="00A26637"/>
    <w:rsid w:val="00A26A1D"/>
    <w:rsid w:val="00A26DBB"/>
    <w:rsid w:val="00A27A84"/>
    <w:rsid w:val="00A30639"/>
    <w:rsid w:val="00A30DF2"/>
    <w:rsid w:val="00A3250B"/>
    <w:rsid w:val="00A355E2"/>
    <w:rsid w:val="00A36DE7"/>
    <w:rsid w:val="00A375AB"/>
    <w:rsid w:val="00A376CA"/>
    <w:rsid w:val="00A40306"/>
    <w:rsid w:val="00A412C9"/>
    <w:rsid w:val="00A420C3"/>
    <w:rsid w:val="00A4322E"/>
    <w:rsid w:val="00A43490"/>
    <w:rsid w:val="00A44B10"/>
    <w:rsid w:val="00A456D6"/>
    <w:rsid w:val="00A46B35"/>
    <w:rsid w:val="00A47E9F"/>
    <w:rsid w:val="00A50DD0"/>
    <w:rsid w:val="00A523EB"/>
    <w:rsid w:val="00A5348C"/>
    <w:rsid w:val="00A539BF"/>
    <w:rsid w:val="00A540C3"/>
    <w:rsid w:val="00A54504"/>
    <w:rsid w:val="00A5527F"/>
    <w:rsid w:val="00A5539D"/>
    <w:rsid w:val="00A5557B"/>
    <w:rsid w:val="00A559D1"/>
    <w:rsid w:val="00A56AF2"/>
    <w:rsid w:val="00A5776C"/>
    <w:rsid w:val="00A601F0"/>
    <w:rsid w:val="00A62250"/>
    <w:rsid w:val="00A637B9"/>
    <w:rsid w:val="00A64340"/>
    <w:rsid w:val="00A64957"/>
    <w:rsid w:val="00A64B9D"/>
    <w:rsid w:val="00A659FA"/>
    <w:rsid w:val="00A664A2"/>
    <w:rsid w:val="00A67B12"/>
    <w:rsid w:val="00A67FBB"/>
    <w:rsid w:val="00A70752"/>
    <w:rsid w:val="00A70B32"/>
    <w:rsid w:val="00A70F54"/>
    <w:rsid w:val="00A7240B"/>
    <w:rsid w:val="00A729B1"/>
    <w:rsid w:val="00A72A0B"/>
    <w:rsid w:val="00A72FBC"/>
    <w:rsid w:val="00A73A9A"/>
    <w:rsid w:val="00A7534A"/>
    <w:rsid w:val="00A75A27"/>
    <w:rsid w:val="00A77017"/>
    <w:rsid w:val="00A80977"/>
    <w:rsid w:val="00A81075"/>
    <w:rsid w:val="00A814FF"/>
    <w:rsid w:val="00A82296"/>
    <w:rsid w:val="00A8417A"/>
    <w:rsid w:val="00A8476C"/>
    <w:rsid w:val="00A856A6"/>
    <w:rsid w:val="00A85EC8"/>
    <w:rsid w:val="00A86751"/>
    <w:rsid w:val="00A91BA5"/>
    <w:rsid w:val="00A9355D"/>
    <w:rsid w:val="00A947D2"/>
    <w:rsid w:val="00A962FC"/>
    <w:rsid w:val="00A962FD"/>
    <w:rsid w:val="00A97A67"/>
    <w:rsid w:val="00AA1F6D"/>
    <w:rsid w:val="00AA2867"/>
    <w:rsid w:val="00AA2CC0"/>
    <w:rsid w:val="00AA4A98"/>
    <w:rsid w:val="00AA53FD"/>
    <w:rsid w:val="00AA5442"/>
    <w:rsid w:val="00AA620F"/>
    <w:rsid w:val="00AA6514"/>
    <w:rsid w:val="00AA6A9E"/>
    <w:rsid w:val="00AA6CDE"/>
    <w:rsid w:val="00AB054F"/>
    <w:rsid w:val="00AB0F5E"/>
    <w:rsid w:val="00AB2543"/>
    <w:rsid w:val="00AB2AE4"/>
    <w:rsid w:val="00AB507D"/>
    <w:rsid w:val="00AB50EB"/>
    <w:rsid w:val="00AB6EDE"/>
    <w:rsid w:val="00AC0398"/>
    <w:rsid w:val="00AC0C77"/>
    <w:rsid w:val="00AC1FCD"/>
    <w:rsid w:val="00AC2D08"/>
    <w:rsid w:val="00AC33C3"/>
    <w:rsid w:val="00AC42C0"/>
    <w:rsid w:val="00AC577F"/>
    <w:rsid w:val="00AC5A08"/>
    <w:rsid w:val="00AC6769"/>
    <w:rsid w:val="00AD0136"/>
    <w:rsid w:val="00AD0579"/>
    <w:rsid w:val="00AD1D9B"/>
    <w:rsid w:val="00AD1ED2"/>
    <w:rsid w:val="00AD200A"/>
    <w:rsid w:val="00AD3899"/>
    <w:rsid w:val="00AD5894"/>
    <w:rsid w:val="00AD609D"/>
    <w:rsid w:val="00AD6B56"/>
    <w:rsid w:val="00AD7068"/>
    <w:rsid w:val="00AD76A3"/>
    <w:rsid w:val="00AD77FD"/>
    <w:rsid w:val="00AD78FD"/>
    <w:rsid w:val="00AD7F2D"/>
    <w:rsid w:val="00AE0185"/>
    <w:rsid w:val="00AE059E"/>
    <w:rsid w:val="00AE0DD8"/>
    <w:rsid w:val="00AE375D"/>
    <w:rsid w:val="00AE4522"/>
    <w:rsid w:val="00AE7234"/>
    <w:rsid w:val="00AE79AF"/>
    <w:rsid w:val="00AF12BE"/>
    <w:rsid w:val="00AF248B"/>
    <w:rsid w:val="00AF384C"/>
    <w:rsid w:val="00AF3F92"/>
    <w:rsid w:val="00AF4A1F"/>
    <w:rsid w:val="00AF513B"/>
    <w:rsid w:val="00AF601A"/>
    <w:rsid w:val="00AF6E43"/>
    <w:rsid w:val="00AF71BA"/>
    <w:rsid w:val="00B011E1"/>
    <w:rsid w:val="00B01578"/>
    <w:rsid w:val="00B01F56"/>
    <w:rsid w:val="00B02CA5"/>
    <w:rsid w:val="00B07C61"/>
    <w:rsid w:val="00B11DB6"/>
    <w:rsid w:val="00B13580"/>
    <w:rsid w:val="00B151F9"/>
    <w:rsid w:val="00B1742B"/>
    <w:rsid w:val="00B20ED4"/>
    <w:rsid w:val="00B214CA"/>
    <w:rsid w:val="00B2207F"/>
    <w:rsid w:val="00B2230A"/>
    <w:rsid w:val="00B22985"/>
    <w:rsid w:val="00B23167"/>
    <w:rsid w:val="00B23BFF"/>
    <w:rsid w:val="00B25644"/>
    <w:rsid w:val="00B26A97"/>
    <w:rsid w:val="00B278E2"/>
    <w:rsid w:val="00B310A0"/>
    <w:rsid w:val="00B3110E"/>
    <w:rsid w:val="00B3177A"/>
    <w:rsid w:val="00B320F0"/>
    <w:rsid w:val="00B32EAF"/>
    <w:rsid w:val="00B36103"/>
    <w:rsid w:val="00B36F20"/>
    <w:rsid w:val="00B4132A"/>
    <w:rsid w:val="00B41A75"/>
    <w:rsid w:val="00B42B34"/>
    <w:rsid w:val="00B43E21"/>
    <w:rsid w:val="00B43E62"/>
    <w:rsid w:val="00B43FA5"/>
    <w:rsid w:val="00B44197"/>
    <w:rsid w:val="00B4491F"/>
    <w:rsid w:val="00B44E04"/>
    <w:rsid w:val="00B44E27"/>
    <w:rsid w:val="00B45429"/>
    <w:rsid w:val="00B45759"/>
    <w:rsid w:val="00B46533"/>
    <w:rsid w:val="00B50821"/>
    <w:rsid w:val="00B50E6A"/>
    <w:rsid w:val="00B5131C"/>
    <w:rsid w:val="00B527A9"/>
    <w:rsid w:val="00B53908"/>
    <w:rsid w:val="00B53DCD"/>
    <w:rsid w:val="00B54289"/>
    <w:rsid w:val="00B55133"/>
    <w:rsid w:val="00B552D0"/>
    <w:rsid w:val="00B55E38"/>
    <w:rsid w:val="00B567E3"/>
    <w:rsid w:val="00B61898"/>
    <w:rsid w:val="00B62004"/>
    <w:rsid w:val="00B62F16"/>
    <w:rsid w:val="00B65D50"/>
    <w:rsid w:val="00B65DA5"/>
    <w:rsid w:val="00B65F81"/>
    <w:rsid w:val="00B66755"/>
    <w:rsid w:val="00B66B8C"/>
    <w:rsid w:val="00B708B8"/>
    <w:rsid w:val="00B71A03"/>
    <w:rsid w:val="00B72B80"/>
    <w:rsid w:val="00B7307A"/>
    <w:rsid w:val="00B73752"/>
    <w:rsid w:val="00B74938"/>
    <w:rsid w:val="00B74E3D"/>
    <w:rsid w:val="00B75405"/>
    <w:rsid w:val="00B755E4"/>
    <w:rsid w:val="00B76792"/>
    <w:rsid w:val="00B76CE2"/>
    <w:rsid w:val="00B8009C"/>
    <w:rsid w:val="00B818EB"/>
    <w:rsid w:val="00B81CE9"/>
    <w:rsid w:val="00B8373D"/>
    <w:rsid w:val="00B83DE4"/>
    <w:rsid w:val="00B84152"/>
    <w:rsid w:val="00B8422D"/>
    <w:rsid w:val="00B85E05"/>
    <w:rsid w:val="00B865CB"/>
    <w:rsid w:val="00B87CAF"/>
    <w:rsid w:val="00B96396"/>
    <w:rsid w:val="00BA157C"/>
    <w:rsid w:val="00BA1A74"/>
    <w:rsid w:val="00BA288D"/>
    <w:rsid w:val="00BA3E9B"/>
    <w:rsid w:val="00BA4D1C"/>
    <w:rsid w:val="00BA511A"/>
    <w:rsid w:val="00BA51C8"/>
    <w:rsid w:val="00BA641E"/>
    <w:rsid w:val="00BA65E5"/>
    <w:rsid w:val="00BA7F13"/>
    <w:rsid w:val="00BB0D2C"/>
    <w:rsid w:val="00BB1413"/>
    <w:rsid w:val="00BB14D3"/>
    <w:rsid w:val="00BB17DB"/>
    <w:rsid w:val="00BB23E1"/>
    <w:rsid w:val="00BB2B35"/>
    <w:rsid w:val="00BB2CD8"/>
    <w:rsid w:val="00BB2F00"/>
    <w:rsid w:val="00BB3A57"/>
    <w:rsid w:val="00BB4C88"/>
    <w:rsid w:val="00BB581E"/>
    <w:rsid w:val="00BB67E0"/>
    <w:rsid w:val="00BB6AC9"/>
    <w:rsid w:val="00BB6B09"/>
    <w:rsid w:val="00BB6F04"/>
    <w:rsid w:val="00BB71FF"/>
    <w:rsid w:val="00BB7634"/>
    <w:rsid w:val="00BB7C2C"/>
    <w:rsid w:val="00BC051A"/>
    <w:rsid w:val="00BC0BCF"/>
    <w:rsid w:val="00BC1110"/>
    <w:rsid w:val="00BC13DC"/>
    <w:rsid w:val="00BC1441"/>
    <w:rsid w:val="00BC1B34"/>
    <w:rsid w:val="00BC1D3C"/>
    <w:rsid w:val="00BC2D2C"/>
    <w:rsid w:val="00BC370F"/>
    <w:rsid w:val="00BC4284"/>
    <w:rsid w:val="00BC4FE9"/>
    <w:rsid w:val="00BD11BE"/>
    <w:rsid w:val="00BD22DA"/>
    <w:rsid w:val="00BD2700"/>
    <w:rsid w:val="00BD365D"/>
    <w:rsid w:val="00BD48D9"/>
    <w:rsid w:val="00BD6046"/>
    <w:rsid w:val="00BE23D6"/>
    <w:rsid w:val="00BE2D36"/>
    <w:rsid w:val="00BE409A"/>
    <w:rsid w:val="00BE4571"/>
    <w:rsid w:val="00BE50E5"/>
    <w:rsid w:val="00BE5D15"/>
    <w:rsid w:val="00BE5EE9"/>
    <w:rsid w:val="00BE7614"/>
    <w:rsid w:val="00BE7873"/>
    <w:rsid w:val="00BF0E94"/>
    <w:rsid w:val="00BF2AE5"/>
    <w:rsid w:val="00BF3328"/>
    <w:rsid w:val="00BF3B9F"/>
    <w:rsid w:val="00BF4053"/>
    <w:rsid w:val="00BF4799"/>
    <w:rsid w:val="00C0144F"/>
    <w:rsid w:val="00C019F1"/>
    <w:rsid w:val="00C022AD"/>
    <w:rsid w:val="00C03A76"/>
    <w:rsid w:val="00C03BB5"/>
    <w:rsid w:val="00C03D2B"/>
    <w:rsid w:val="00C04227"/>
    <w:rsid w:val="00C06FD8"/>
    <w:rsid w:val="00C0785E"/>
    <w:rsid w:val="00C07F45"/>
    <w:rsid w:val="00C103D4"/>
    <w:rsid w:val="00C10580"/>
    <w:rsid w:val="00C10933"/>
    <w:rsid w:val="00C113E4"/>
    <w:rsid w:val="00C1190E"/>
    <w:rsid w:val="00C1354A"/>
    <w:rsid w:val="00C13883"/>
    <w:rsid w:val="00C14549"/>
    <w:rsid w:val="00C14AE8"/>
    <w:rsid w:val="00C15D5E"/>
    <w:rsid w:val="00C1611C"/>
    <w:rsid w:val="00C16A67"/>
    <w:rsid w:val="00C17566"/>
    <w:rsid w:val="00C207DF"/>
    <w:rsid w:val="00C20AE6"/>
    <w:rsid w:val="00C21BC7"/>
    <w:rsid w:val="00C230FB"/>
    <w:rsid w:val="00C23351"/>
    <w:rsid w:val="00C24A3B"/>
    <w:rsid w:val="00C24EE9"/>
    <w:rsid w:val="00C257FB"/>
    <w:rsid w:val="00C25C3C"/>
    <w:rsid w:val="00C277B3"/>
    <w:rsid w:val="00C310EE"/>
    <w:rsid w:val="00C32E1D"/>
    <w:rsid w:val="00C33598"/>
    <w:rsid w:val="00C35A66"/>
    <w:rsid w:val="00C41409"/>
    <w:rsid w:val="00C41771"/>
    <w:rsid w:val="00C43711"/>
    <w:rsid w:val="00C43E41"/>
    <w:rsid w:val="00C4441F"/>
    <w:rsid w:val="00C44ED9"/>
    <w:rsid w:val="00C454FA"/>
    <w:rsid w:val="00C455C0"/>
    <w:rsid w:val="00C45D16"/>
    <w:rsid w:val="00C5073D"/>
    <w:rsid w:val="00C509D5"/>
    <w:rsid w:val="00C50B84"/>
    <w:rsid w:val="00C50ECB"/>
    <w:rsid w:val="00C52AF9"/>
    <w:rsid w:val="00C55145"/>
    <w:rsid w:val="00C55C75"/>
    <w:rsid w:val="00C57230"/>
    <w:rsid w:val="00C57B63"/>
    <w:rsid w:val="00C6065F"/>
    <w:rsid w:val="00C60FF0"/>
    <w:rsid w:val="00C61A01"/>
    <w:rsid w:val="00C61A9C"/>
    <w:rsid w:val="00C61CCE"/>
    <w:rsid w:val="00C6279F"/>
    <w:rsid w:val="00C637AE"/>
    <w:rsid w:val="00C641B8"/>
    <w:rsid w:val="00C66077"/>
    <w:rsid w:val="00C661DB"/>
    <w:rsid w:val="00C7129E"/>
    <w:rsid w:val="00C716FD"/>
    <w:rsid w:val="00C72174"/>
    <w:rsid w:val="00C7228D"/>
    <w:rsid w:val="00C723CA"/>
    <w:rsid w:val="00C72744"/>
    <w:rsid w:val="00C73634"/>
    <w:rsid w:val="00C747D3"/>
    <w:rsid w:val="00C760BB"/>
    <w:rsid w:val="00C76581"/>
    <w:rsid w:val="00C81775"/>
    <w:rsid w:val="00C82099"/>
    <w:rsid w:val="00C82D3F"/>
    <w:rsid w:val="00C82EEB"/>
    <w:rsid w:val="00C82FDD"/>
    <w:rsid w:val="00C84010"/>
    <w:rsid w:val="00C840D6"/>
    <w:rsid w:val="00C841C0"/>
    <w:rsid w:val="00C851E2"/>
    <w:rsid w:val="00C8531F"/>
    <w:rsid w:val="00C85E6A"/>
    <w:rsid w:val="00C86713"/>
    <w:rsid w:val="00C87047"/>
    <w:rsid w:val="00C91089"/>
    <w:rsid w:val="00C9150F"/>
    <w:rsid w:val="00C9192C"/>
    <w:rsid w:val="00C92B60"/>
    <w:rsid w:val="00C93043"/>
    <w:rsid w:val="00C93617"/>
    <w:rsid w:val="00C93B5E"/>
    <w:rsid w:val="00C93DDD"/>
    <w:rsid w:val="00C946E3"/>
    <w:rsid w:val="00C948E5"/>
    <w:rsid w:val="00C967D1"/>
    <w:rsid w:val="00C96919"/>
    <w:rsid w:val="00C97A62"/>
    <w:rsid w:val="00CA04D5"/>
    <w:rsid w:val="00CA24C1"/>
    <w:rsid w:val="00CA2816"/>
    <w:rsid w:val="00CA2972"/>
    <w:rsid w:val="00CA2EAA"/>
    <w:rsid w:val="00CA539A"/>
    <w:rsid w:val="00CA65C4"/>
    <w:rsid w:val="00CA7879"/>
    <w:rsid w:val="00CB00AE"/>
    <w:rsid w:val="00CB0119"/>
    <w:rsid w:val="00CB150B"/>
    <w:rsid w:val="00CB1682"/>
    <w:rsid w:val="00CB1BFD"/>
    <w:rsid w:val="00CB223A"/>
    <w:rsid w:val="00CB2834"/>
    <w:rsid w:val="00CB577E"/>
    <w:rsid w:val="00CB69B8"/>
    <w:rsid w:val="00CB764A"/>
    <w:rsid w:val="00CC2B9A"/>
    <w:rsid w:val="00CC3485"/>
    <w:rsid w:val="00CC365D"/>
    <w:rsid w:val="00CC3B5D"/>
    <w:rsid w:val="00CC5000"/>
    <w:rsid w:val="00CC5077"/>
    <w:rsid w:val="00CC559C"/>
    <w:rsid w:val="00CC6102"/>
    <w:rsid w:val="00CC6CBC"/>
    <w:rsid w:val="00CC6F82"/>
    <w:rsid w:val="00CC78C7"/>
    <w:rsid w:val="00CD0614"/>
    <w:rsid w:val="00CD0D76"/>
    <w:rsid w:val="00CD1C53"/>
    <w:rsid w:val="00CD24FF"/>
    <w:rsid w:val="00CD3D5B"/>
    <w:rsid w:val="00CD48C9"/>
    <w:rsid w:val="00CD4CE7"/>
    <w:rsid w:val="00CD539F"/>
    <w:rsid w:val="00CD5535"/>
    <w:rsid w:val="00CE0379"/>
    <w:rsid w:val="00CE13FA"/>
    <w:rsid w:val="00CE17F6"/>
    <w:rsid w:val="00CE1D61"/>
    <w:rsid w:val="00CE2196"/>
    <w:rsid w:val="00CE4205"/>
    <w:rsid w:val="00CE49B6"/>
    <w:rsid w:val="00CE5771"/>
    <w:rsid w:val="00CF07AC"/>
    <w:rsid w:val="00CF1A90"/>
    <w:rsid w:val="00CF2438"/>
    <w:rsid w:val="00CF3E12"/>
    <w:rsid w:val="00CF545C"/>
    <w:rsid w:val="00CF5E15"/>
    <w:rsid w:val="00CF5FD3"/>
    <w:rsid w:val="00CF6974"/>
    <w:rsid w:val="00CF7AFE"/>
    <w:rsid w:val="00D013C9"/>
    <w:rsid w:val="00D01D36"/>
    <w:rsid w:val="00D01FC0"/>
    <w:rsid w:val="00D02292"/>
    <w:rsid w:val="00D043E2"/>
    <w:rsid w:val="00D04B09"/>
    <w:rsid w:val="00D061BF"/>
    <w:rsid w:val="00D061C6"/>
    <w:rsid w:val="00D064E2"/>
    <w:rsid w:val="00D06A2F"/>
    <w:rsid w:val="00D071DE"/>
    <w:rsid w:val="00D079E7"/>
    <w:rsid w:val="00D07BE1"/>
    <w:rsid w:val="00D1017D"/>
    <w:rsid w:val="00D10649"/>
    <w:rsid w:val="00D1186C"/>
    <w:rsid w:val="00D11D62"/>
    <w:rsid w:val="00D12D0B"/>
    <w:rsid w:val="00D153BC"/>
    <w:rsid w:val="00D15C26"/>
    <w:rsid w:val="00D16006"/>
    <w:rsid w:val="00D16FC8"/>
    <w:rsid w:val="00D20E67"/>
    <w:rsid w:val="00D220D1"/>
    <w:rsid w:val="00D22967"/>
    <w:rsid w:val="00D22EE0"/>
    <w:rsid w:val="00D23A10"/>
    <w:rsid w:val="00D23FA3"/>
    <w:rsid w:val="00D24EDC"/>
    <w:rsid w:val="00D25FC4"/>
    <w:rsid w:val="00D270D7"/>
    <w:rsid w:val="00D27C0C"/>
    <w:rsid w:val="00D30491"/>
    <w:rsid w:val="00D30A4A"/>
    <w:rsid w:val="00D32F3C"/>
    <w:rsid w:val="00D33BDF"/>
    <w:rsid w:val="00D33DC8"/>
    <w:rsid w:val="00D34299"/>
    <w:rsid w:val="00D35414"/>
    <w:rsid w:val="00D362DD"/>
    <w:rsid w:val="00D368F8"/>
    <w:rsid w:val="00D37869"/>
    <w:rsid w:val="00D3798F"/>
    <w:rsid w:val="00D40407"/>
    <w:rsid w:val="00D41B5B"/>
    <w:rsid w:val="00D43070"/>
    <w:rsid w:val="00D43540"/>
    <w:rsid w:val="00D43741"/>
    <w:rsid w:val="00D4499F"/>
    <w:rsid w:val="00D455EC"/>
    <w:rsid w:val="00D45E2F"/>
    <w:rsid w:val="00D46B6E"/>
    <w:rsid w:val="00D47244"/>
    <w:rsid w:val="00D47E76"/>
    <w:rsid w:val="00D5052B"/>
    <w:rsid w:val="00D50B52"/>
    <w:rsid w:val="00D5174A"/>
    <w:rsid w:val="00D52361"/>
    <w:rsid w:val="00D523CD"/>
    <w:rsid w:val="00D52B5E"/>
    <w:rsid w:val="00D53BA3"/>
    <w:rsid w:val="00D54B80"/>
    <w:rsid w:val="00D55A99"/>
    <w:rsid w:val="00D565BD"/>
    <w:rsid w:val="00D5702A"/>
    <w:rsid w:val="00D57410"/>
    <w:rsid w:val="00D6365E"/>
    <w:rsid w:val="00D63BF7"/>
    <w:rsid w:val="00D63E2D"/>
    <w:rsid w:val="00D65A61"/>
    <w:rsid w:val="00D65D9B"/>
    <w:rsid w:val="00D67004"/>
    <w:rsid w:val="00D67D7D"/>
    <w:rsid w:val="00D705BF"/>
    <w:rsid w:val="00D7308B"/>
    <w:rsid w:val="00D73C30"/>
    <w:rsid w:val="00D73D47"/>
    <w:rsid w:val="00D74768"/>
    <w:rsid w:val="00D74E29"/>
    <w:rsid w:val="00D75008"/>
    <w:rsid w:val="00D76F84"/>
    <w:rsid w:val="00D77415"/>
    <w:rsid w:val="00D819BE"/>
    <w:rsid w:val="00D81B72"/>
    <w:rsid w:val="00D851E8"/>
    <w:rsid w:val="00D85205"/>
    <w:rsid w:val="00D859C7"/>
    <w:rsid w:val="00D901C5"/>
    <w:rsid w:val="00D9037A"/>
    <w:rsid w:val="00D90B68"/>
    <w:rsid w:val="00D916FD"/>
    <w:rsid w:val="00D92686"/>
    <w:rsid w:val="00D9379A"/>
    <w:rsid w:val="00D9427B"/>
    <w:rsid w:val="00D95858"/>
    <w:rsid w:val="00D967D0"/>
    <w:rsid w:val="00D97284"/>
    <w:rsid w:val="00D9787C"/>
    <w:rsid w:val="00DA38E9"/>
    <w:rsid w:val="00DA41AA"/>
    <w:rsid w:val="00DA43D0"/>
    <w:rsid w:val="00DA4734"/>
    <w:rsid w:val="00DA64D2"/>
    <w:rsid w:val="00DA704A"/>
    <w:rsid w:val="00DB1C79"/>
    <w:rsid w:val="00DB2A01"/>
    <w:rsid w:val="00DB4275"/>
    <w:rsid w:val="00DB587F"/>
    <w:rsid w:val="00DB61EA"/>
    <w:rsid w:val="00DB720D"/>
    <w:rsid w:val="00DB7602"/>
    <w:rsid w:val="00DB7D04"/>
    <w:rsid w:val="00DC1AD2"/>
    <w:rsid w:val="00DC4BF8"/>
    <w:rsid w:val="00DC4E82"/>
    <w:rsid w:val="00DC6D31"/>
    <w:rsid w:val="00DC6D89"/>
    <w:rsid w:val="00DC72EE"/>
    <w:rsid w:val="00DC790B"/>
    <w:rsid w:val="00DD0378"/>
    <w:rsid w:val="00DD34CE"/>
    <w:rsid w:val="00DD35E1"/>
    <w:rsid w:val="00DD5D38"/>
    <w:rsid w:val="00DD66CA"/>
    <w:rsid w:val="00DD6F6F"/>
    <w:rsid w:val="00DD7CE2"/>
    <w:rsid w:val="00DE185C"/>
    <w:rsid w:val="00DE46A6"/>
    <w:rsid w:val="00DE47BC"/>
    <w:rsid w:val="00DE7E8E"/>
    <w:rsid w:val="00DF0D08"/>
    <w:rsid w:val="00DF125A"/>
    <w:rsid w:val="00DF14A2"/>
    <w:rsid w:val="00DF1D80"/>
    <w:rsid w:val="00DF465E"/>
    <w:rsid w:val="00DF4A6C"/>
    <w:rsid w:val="00DF7296"/>
    <w:rsid w:val="00E0174D"/>
    <w:rsid w:val="00E01A4F"/>
    <w:rsid w:val="00E0338A"/>
    <w:rsid w:val="00E03431"/>
    <w:rsid w:val="00E03B0F"/>
    <w:rsid w:val="00E04222"/>
    <w:rsid w:val="00E042C6"/>
    <w:rsid w:val="00E04B8F"/>
    <w:rsid w:val="00E05A33"/>
    <w:rsid w:val="00E061CD"/>
    <w:rsid w:val="00E06B3D"/>
    <w:rsid w:val="00E10C7E"/>
    <w:rsid w:val="00E11B2E"/>
    <w:rsid w:val="00E12845"/>
    <w:rsid w:val="00E131C3"/>
    <w:rsid w:val="00E1428C"/>
    <w:rsid w:val="00E14FF2"/>
    <w:rsid w:val="00E15356"/>
    <w:rsid w:val="00E15EB4"/>
    <w:rsid w:val="00E16C87"/>
    <w:rsid w:val="00E17D01"/>
    <w:rsid w:val="00E21B08"/>
    <w:rsid w:val="00E221CE"/>
    <w:rsid w:val="00E236EE"/>
    <w:rsid w:val="00E23C2C"/>
    <w:rsid w:val="00E23D44"/>
    <w:rsid w:val="00E23E23"/>
    <w:rsid w:val="00E24AC0"/>
    <w:rsid w:val="00E253DA"/>
    <w:rsid w:val="00E2606C"/>
    <w:rsid w:val="00E26406"/>
    <w:rsid w:val="00E26A99"/>
    <w:rsid w:val="00E27E3F"/>
    <w:rsid w:val="00E31A7C"/>
    <w:rsid w:val="00E3247A"/>
    <w:rsid w:val="00E32EDF"/>
    <w:rsid w:val="00E33F72"/>
    <w:rsid w:val="00E34D0A"/>
    <w:rsid w:val="00E357CE"/>
    <w:rsid w:val="00E41E09"/>
    <w:rsid w:val="00E43EFC"/>
    <w:rsid w:val="00E43F4F"/>
    <w:rsid w:val="00E443F7"/>
    <w:rsid w:val="00E44A16"/>
    <w:rsid w:val="00E45514"/>
    <w:rsid w:val="00E4668E"/>
    <w:rsid w:val="00E475F7"/>
    <w:rsid w:val="00E511E3"/>
    <w:rsid w:val="00E5302D"/>
    <w:rsid w:val="00E53BEB"/>
    <w:rsid w:val="00E53F37"/>
    <w:rsid w:val="00E54E49"/>
    <w:rsid w:val="00E55A22"/>
    <w:rsid w:val="00E55D54"/>
    <w:rsid w:val="00E56A3F"/>
    <w:rsid w:val="00E57245"/>
    <w:rsid w:val="00E60832"/>
    <w:rsid w:val="00E60C9B"/>
    <w:rsid w:val="00E610FC"/>
    <w:rsid w:val="00E61193"/>
    <w:rsid w:val="00E61757"/>
    <w:rsid w:val="00E62121"/>
    <w:rsid w:val="00E62EEF"/>
    <w:rsid w:val="00E644F6"/>
    <w:rsid w:val="00E64708"/>
    <w:rsid w:val="00E647E2"/>
    <w:rsid w:val="00E65BED"/>
    <w:rsid w:val="00E664A4"/>
    <w:rsid w:val="00E66971"/>
    <w:rsid w:val="00E66DBC"/>
    <w:rsid w:val="00E6712C"/>
    <w:rsid w:val="00E6785E"/>
    <w:rsid w:val="00E67E06"/>
    <w:rsid w:val="00E71896"/>
    <w:rsid w:val="00E72DA5"/>
    <w:rsid w:val="00E73293"/>
    <w:rsid w:val="00E73F16"/>
    <w:rsid w:val="00E74956"/>
    <w:rsid w:val="00E74CD1"/>
    <w:rsid w:val="00E753C9"/>
    <w:rsid w:val="00E758E6"/>
    <w:rsid w:val="00E77B5D"/>
    <w:rsid w:val="00E80AFF"/>
    <w:rsid w:val="00E8176A"/>
    <w:rsid w:val="00E81DCA"/>
    <w:rsid w:val="00E83196"/>
    <w:rsid w:val="00E84810"/>
    <w:rsid w:val="00E85416"/>
    <w:rsid w:val="00E85CF8"/>
    <w:rsid w:val="00E85FEF"/>
    <w:rsid w:val="00E90C5C"/>
    <w:rsid w:val="00E91207"/>
    <w:rsid w:val="00E91819"/>
    <w:rsid w:val="00E94239"/>
    <w:rsid w:val="00E953AE"/>
    <w:rsid w:val="00E964CA"/>
    <w:rsid w:val="00E96533"/>
    <w:rsid w:val="00E97361"/>
    <w:rsid w:val="00EA0187"/>
    <w:rsid w:val="00EA027B"/>
    <w:rsid w:val="00EA03D9"/>
    <w:rsid w:val="00EA2779"/>
    <w:rsid w:val="00EA478A"/>
    <w:rsid w:val="00EA5EC9"/>
    <w:rsid w:val="00EB1270"/>
    <w:rsid w:val="00EB151B"/>
    <w:rsid w:val="00EB1840"/>
    <w:rsid w:val="00EB2373"/>
    <w:rsid w:val="00EB2B87"/>
    <w:rsid w:val="00EB360E"/>
    <w:rsid w:val="00EB38D0"/>
    <w:rsid w:val="00EB39E3"/>
    <w:rsid w:val="00EB3BF2"/>
    <w:rsid w:val="00EB4E7C"/>
    <w:rsid w:val="00EB501D"/>
    <w:rsid w:val="00EC22A0"/>
    <w:rsid w:val="00EC281E"/>
    <w:rsid w:val="00EC2A10"/>
    <w:rsid w:val="00EC4000"/>
    <w:rsid w:val="00EC4F9F"/>
    <w:rsid w:val="00EC5CA4"/>
    <w:rsid w:val="00EC5E72"/>
    <w:rsid w:val="00EC6D93"/>
    <w:rsid w:val="00EC73DF"/>
    <w:rsid w:val="00ED08B6"/>
    <w:rsid w:val="00ED2C01"/>
    <w:rsid w:val="00ED6300"/>
    <w:rsid w:val="00ED630D"/>
    <w:rsid w:val="00ED7025"/>
    <w:rsid w:val="00ED7098"/>
    <w:rsid w:val="00ED79FC"/>
    <w:rsid w:val="00ED7C32"/>
    <w:rsid w:val="00EE0363"/>
    <w:rsid w:val="00EE1724"/>
    <w:rsid w:val="00EE2558"/>
    <w:rsid w:val="00EE3D1C"/>
    <w:rsid w:val="00EE47D2"/>
    <w:rsid w:val="00EE4E32"/>
    <w:rsid w:val="00EE595E"/>
    <w:rsid w:val="00EF04F7"/>
    <w:rsid w:val="00EF0656"/>
    <w:rsid w:val="00EF105F"/>
    <w:rsid w:val="00EF11A4"/>
    <w:rsid w:val="00EF1E29"/>
    <w:rsid w:val="00EF3A6B"/>
    <w:rsid w:val="00EF4C30"/>
    <w:rsid w:val="00EF738B"/>
    <w:rsid w:val="00F00F65"/>
    <w:rsid w:val="00F0166E"/>
    <w:rsid w:val="00F02D63"/>
    <w:rsid w:val="00F038EA"/>
    <w:rsid w:val="00F06684"/>
    <w:rsid w:val="00F07CEC"/>
    <w:rsid w:val="00F11CEB"/>
    <w:rsid w:val="00F12891"/>
    <w:rsid w:val="00F137A6"/>
    <w:rsid w:val="00F13980"/>
    <w:rsid w:val="00F13FEF"/>
    <w:rsid w:val="00F13FFB"/>
    <w:rsid w:val="00F14839"/>
    <w:rsid w:val="00F14C24"/>
    <w:rsid w:val="00F15017"/>
    <w:rsid w:val="00F171B0"/>
    <w:rsid w:val="00F17766"/>
    <w:rsid w:val="00F17BD7"/>
    <w:rsid w:val="00F17DEF"/>
    <w:rsid w:val="00F17F21"/>
    <w:rsid w:val="00F21CEC"/>
    <w:rsid w:val="00F222CD"/>
    <w:rsid w:val="00F22AB0"/>
    <w:rsid w:val="00F23E37"/>
    <w:rsid w:val="00F23E59"/>
    <w:rsid w:val="00F240DB"/>
    <w:rsid w:val="00F2566D"/>
    <w:rsid w:val="00F259B5"/>
    <w:rsid w:val="00F2689D"/>
    <w:rsid w:val="00F2693F"/>
    <w:rsid w:val="00F27745"/>
    <w:rsid w:val="00F2785E"/>
    <w:rsid w:val="00F30470"/>
    <w:rsid w:val="00F31081"/>
    <w:rsid w:val="00F31758"/>
    <w:rsid w:val="00F32810"/>
    <w:rsid w:val="00F33E50"/>
    <w:rsid w:val="00F34EFB"/>
    <w:rsid w:val="00F37ACE"/>
    <w:rsid w:val="00F4024F"/>
    <w:rsid w:val="00F4121F"/>
    <w:rsid w:val="00F4414A"/>
    <w:rsid w:val="00F464EA"/>
    <w:rsid w:val="00F467BA"/>
    <w:rsid w:val="00F46CBC"/>
    <w:rsid w:val="00F46EAF"/>
    <w:rsid w:val="00F50A22"/>
    <w:rsid w:val="00F51268"/>
    <w:rsid w:val="00F51436"/>
    <w:rsid w:val="00F521A6"/>
    <w:rsid w:val="00F52A4F"/>
    <w:rsid w:val="00F52B97"/>
    <w:rsid w:val="00F53107"/>
    <w:rsid w:val="00F53F85"/>
    <w:rsid w:val="00F558D5"/>
    <w:rsid w:val="00F55EA1"/>
    <w:rsid w:val="00F57834"/>
    <w:rsid w:val="00F57B5D"/>
    <w:rsid w:val="00F57BA2"/>
    <w:rsid w:val="00F62644"/>
    <w:rsid w:val="00F62FBC"/>
    <w:rsid w:val="00F633CA"/>
    <w:rsid w:val="00F67A17"/>
    <w:rsid w:val="00F741B9"/>
    <w:rsid w:val="00F7461D"/>
    <w:rsid w:val="00F8054F"/>
    <w:rsid w:val="00F80EC9"/>
    <w:rsid w:val="00F85B44"/>
    <w:rsid w:val="00F86EED"/>
    <w:rsid w:val="00F902AD"/>
    <w:rsid w:val="00F90FC8"/>
    <w:rsid w:val="00F90FF0"/>
    <w:rsid w:val="00F928E6"/>
    <w:rsid w:val="00F93306"/>
    <w:rsid w:val="00F95ABE"/>
    <w:rsid w:val="00F95B26"/>
    <w:rsid w:val="00F96253"/>
    <w:rsid w:val="00F968B1"/>
    <w:rsid w:val="00FA0AD9"/>
    <w:rsid w:val="00FA0FA3"/>
    <w:rsid w:val="00FA15EF"/>
    <w:rsid w:val="00FA1DEB"/>
    <w:rsid w:val="00FA2E49"/>
    <w:rsid w:val="00FA3EB2"/>
    <w:rsid w:val="00FA6277"/>
    <w:rsid w:val="00FA62D2"/>
    <w:rsid w:val="00FA6C9E"/>
    <w:rsid w:val="00FA760F"/>
    <w:rsid w:val="00FB015F"/>
    <w:rsid w:val="00FB0DA4"/>
    <w:rsid w:val="00FB1242"/>
    <w:rsid w:val="00FB179B"/>
    <w:rsid w:val="00FB1882"/>
    <w:rsid w:val="00FB21EE"/>
    <w:rsid w:val="00FB226E"/>
    <w:rsid w:val="00FB305D"/>
    <w:rsid w:val="00FB30F4"/>
    <w:rsid w:val="00FB3397"/>
    <w:rsid w:val="00FB3829"/>
    <w:rsid w:val="00FB407E"/>
    <w:rsid w:val="00FB4E9E"/>
    <w:rsid w:val="00FB5143"/>
    <w:rsid w:val="00FB523B"/>
    <w:rsid w:val="00FB6136"/>
    <w:rsid w:val="00FB6D88"/>
    <w:rsid w:val="00FB7554"/>
    <w:rsid w:val="00FB75FC"/>
    <w:rsid w:val="00FB7DFD"/>
    <w:rsid w:val="00FC04DC"/>
    <w:rsid w:val="00FC08CB"/>
    <w:rsid w:val="00FC2082"/>
    <w:rsid w:val="00FC20ED"/>
    <w:rsid w:val="00FC3503"/>
    <w:rsid w:val="00FC3B12"/>
    <w:rsid w:val="00FC42A0"/>
    <w:rsid w:val="00FC4611"/>
    <w:rsid w:val="00FC4E57"/>
    <w:rsid w:val="00FC556D"/>
    <w:rsid w:val="00FC6E9F"/>
    <w:rsid w:val="00FC728C"/>
    <w:rsid w:val="00FC778F"/>
    <w:rsid w:val="00FD03DC"/>
    <w:rsid w:val="00FD26C3"/>
    <w:rsid w:val="00FD354C"/>
    <w:rsid w:val="00FD38FF"/>
    <w:rsid w:val="00FD3938"/>
    <w:rsid w:val="00FD3CF8"/>
    <w:rsid w:val="00FD3EE1"/>
    <w:rsid w:val="00FD583A"/>
    <w:rsid w:val="00FD5BFD"/>
    <w:rsid w:val="00FD6818"/>
    <w:rsid w:val="00FD7377"/>
    <w:rsid w:val="00FE03FA"/>
    <w:rsid w:val="00FE1044"/>
    <w:rsid w:val="00FE11A4"/>
    <w:rsid w:val="00FE1232"/>
    <w:rsid w:val="00FE2B74"/>
    <w:rsid w:val="00FE2E1A"/>
    <w:rsid w:val="00FE5727"/>
    <w:rsid w:val="00FE573C"/>
    <w:rsid w:val="00FE641B"/>
    <w:rsid w:val="00FE6A62"/>
    <w:rsid w:val="00FE70BC"/>
    <w:rsid w:val="00FE7887"/>
    <w:rsid w:val="00FF033B"/>
    <w:rsid w:val="00FF10E2"/>
    <w:rsid w:val="00FF1991"/>
    <w:rsid w:val="00FF2CB9"/>
    <w:rsid w:val="00FF3F97"/>
    <w:rsid w:val="00FF559C"/>
    <w:rsid w:val="00FF6905"/>
    <w:rsid w:val="00FF71E5"/>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36856"/>
  <w15:docId w15:val="{59677475-2C48-4C11-9B7A-E5B03BD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65F07"/>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EC73DF"/>
    <w:rPr>
      <w:sz w:val="16"/>
      <w:szCs w:val="16"/>
    </w:rPr>
  </w:style>
  <w:style w:type="character" w:styleId="Emphasis">
    <w:name w:val="Emphasis"/>
    <w:basedOn w:val="DefaultParagraphFont"/>
    <w:uiPriority w:val="20"/>
    <w:qFormat/>
    <w:rsid w:val="0095455F"/>
    <w:rPr>
      <w:rFonts w:ascii="Arial" w:hAnsi="Arial"/>
      <w:i/>
      <w:iCs/>
      <w:sz w:val="22"/>
    </w:rPr>
  </w:style>
  <w:style w:type="paragraph" w:styleId="CommentText">
    <w:name w:val="annotation text"/>
    <w:basedOn w:val="Normal"/>
    <w:link w:val="CommentTextChar"/>
    <w:uiPriority w:val="99"/>
    <w:unhideWhenUsed/>
    <w:rsid w:val="0095455F"/>
    <w:pPr>
      <w:spacing w:before="0" w:after="100"/>
    </w:pPr>
    <w:rPr>
      <w:sz w:val="20"/>
    </w:rPr>
  </w:style>
  <w:style w:type="character" w:customStyle="1" w:styleId="CommentTextChar">
    <w:name w:val="Comment Text Char"/>
    <w:basedOn w:val="DefaultParagraphFont"/>
    <w:link w:val="CommentText"/>
    <w:uiPriority w:val="99"/>
    <w:rsid w:val="0095455F"/>
    <w:rPr>
      <w:rFonts w:ascii="Arial" w:hAnsi="Arial"/>
      <w:lang w:val="en-AU"/>
    </w:rPr>
  </w:style>
  <w:style w:type="paragraph" w:styleId="CommentSubject">
    <w:name w:val="annotation subject"/>
    <w:basedOn w:val="CommentText"/>
    <w:next w:val="CommentText"/>
    <w:link w:val="CommentSubjectChar"/>
    <w:uiPriority w:val="99"/>
    <w:semiHidden/>
    <w:rsid w:val="00823FEE"/>
    <w:pPr>
      <w:spacing w:before="40" w:after="40"/>
    </w:pPr>
    <w:rPr>
      <w:b/>
      <w:bCs/>
    </w:rPr>
  </w:style>
  <w:style w:type="character" w:customStyle="1" w:styleId="CommentSubjectChar">
    <w:name w:val="Comment Subject Char"/>
    <w:basedOn w:val="CommentTextChar"/>
    <w:link w:val="CommentSubject"/>
    <w:uiPriority w:val="99"/>
    <w:semiHidden/>
    <w:rsid w:val="00823FEE"/>
    <w:rPr>
      <w:rFonts w:ascii="Arial" w:hAnsi="Arial"/>
      <w:b/>
      <w:bCs/>
      <w:lang w:val="en-AU"/>
    </w:rPr>
  </w:style>
  <w:style w:type="paragraph" w:styleId="Revision">
    <w:name w:val="Revision"/>
    <w:hidden/>
    <w:uiPriority w:val="99"/>
    <w:semiHidden/>
    <w:rsid w:val="00823FEE"/>
    <w:pPr>
      <w:spacing w:after="0" w:line="240" w:lineRule="auto"/>
    </w:pPr>
    <w:rPr>
      <w:rFonts w:ascii="Arial" w:hAnsi="Arial"/>
      <w:sz w:val="22"/>
      <w:lang w:val="en-AU"/>
    </w:rPr>
  </w:style>
  <w:style w:type="character" w:styleId="FollowedHyperlink">
    <w:name w:val="FollowedHyperlink"/>
    <w:basedOn w:val="DefaultParagraphFont"/>
    <w:uiPriority w:val="99"/>
    <w:semiHidden/>
    <w:rsid w:val="00304002"/>
    <w:rPr>
      <w:color w:val="800080" w:themeColor="followedHyperlink"/>
      <w:u w:val="single"/>
    </w:rPr>
  </w:style>
  <w:style w:type="character" w:styleId="Strong">
    <w:name w:val="Strong"/>
    <w:basedOn w:val="DefaultParagraphFont"/>
    <w:uiPriority w:val="22"/>
    <w:qFormat/>
    <w:rsid w:val="00304002"/>
    <w:rPr>
      <w:rFonts w:ascii="Arial" w:hAnsi="Arial"/>
      <w:b/>
      <w:bCs/>
      <w:sz w:val="22"/>
    </w:rPr>
  </w:style>
  <w:style w:type="character" w:styleId="Mention">
    <w:name w:val="Mention"/>
    <w:basedOn w:val="DefaultParagraphFont"/>
    <w:uiPriority w:val="99"/>
    <w:unhideWhenUsed/>
    <w:rsid w:val="00321A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74058665">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989670624">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yperlink" Target="https://www.abs.gov.au/statistics/classifications/anzsco-australian-and-new-zealand-standard-classification-occupations/2022"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hyperlink" Target="mailto:OccupationShortageList@jobsandskills.gov.a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australian-skills-classification" TargetMode="External"/><Relationship Id="rId2" Type="http://schemas.openxmlformats.org/officeDocument/2006/relationships/hyperlink" Target="https://www.seek.com.au/about/news/article/labour-market-mismatch-indicator" TargetMode="External"/><Relationship Id="rId1" Type="http://schemas.openxmlformats.org/officeDocument/2006/relationships/hyperlink" Target="https://www2.gwu.edu/~iiep/assets/docs/papers/2020WP/SinclairIIEP2020-1.pdf"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abs.gov.au/statistics/labour/employment-and-unemployment/labour-force-australia-detailed/latest-release" TargetMode="External"/><Relationship Id="rId4" Type="http://schemas.openxmlformats.org/officeDocument/2006/relationships/hyperlink" Target="https://www.jobsandskills.gov.au/sites/default/files/2024-12/vacancy_report_-_november_2024_-_jobs_and_skills_australi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JSA-Intranet/Files/Resource%20Library/JSA%20Templates/JSA%20Regular%20Report%20Template.dotx?OR=81dd2b71-fb82-4b33-ac71-fed46bf0f87a&amp;CID=2582bfa1-c066-5000-c005-2db9ac25dd8b&amp;CT=175626078391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_Quarterly\June%202025\Data\OSR%20-%20Workbook%20June%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_Quarterly\June%202025\Data\OSR%20-%20Workbook%20June%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_Quarterly\June%202025\Data\OSR%20-%20Workbook%20June%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June%202025\Data\OSR%20-%20Workbook%20June%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Labour%20Supply%20Index\update%20for%202025%20June%20KSR\2025-08-22_combined_sera_reos_similarity_F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580524230124853E-2"/>
          <c:y val="2.7638471920996312E-2"/>
          <c:w val="0.95415400383966309"/>
          <c:h val="0.79856052593154481"/>
        </c:manualLayout>
      </c:layout>
      <c:barChart>
        <c:barDir val="col"/>
        <c:grouping val="clustered"/>
        <c:varyColors val="0"/>
        <c:ser>
          <c:idx val="1"/>
          <c:order val="1"/>
          <c:tx>
            <c:strRef>
              <c:f>'F1- Fill + Apps.'!$C$4</c:f>
              <c:strCache>
                <c:ptCount val="1"/>
                <c:pt idx="0">
                  <c:v>Applicants per vacancy</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Fill + Apps.'!$A$5:$A$13</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'F1- Fill + Apps.'!$C$5:$C$13</c:f>
              <c:numCache>
                <c:formatCode>0.0</c:formatCode>
                <c:ptCount val="9"/>
                <c:pt idx="0">
                  <c:v>15.981723765848395</c:v>
                </c:pt>
                <c:pt idx="1">
                  <c:v>17.007598466364588</c:v>
                </c:pt>
                <c:pt idx="2">
                  <c:v>18.281003937007874</c:v>
                </c:pt>
                <c:pt idx="3">
                  <c:v>21.073929961089494</c:v>
                </c:pt>
                <c:pt idx="4">
                  <c:v>24.163023607026467</c:v>
                </c:pt>
                <c:pt idx="5">
                  <c:v>28.483599532528242</c:v>
                </c:pt>
                <c:pt idx="6">
                  <c:v>29.957211361121356</c:v>
                </c:pt>
                <c:pt idx="7">
                  <c:v>29.341220328667074</c:v>
                </c:pt>
                <c:pt idx="8">
                  <c:v>27.385446276293347</c:v>
                </c:pt>
              </c:numCache>
            </c:numRef>
          </c:val>
          <c:extLst>
            <c:ext xmlns:c16="http://schemas.microsoft.com/office/drawing/2014/chart" uri="{C3380CC4-5D6E-409C-BE32-E72D297353CC}">
              <c16:uniqueId val="{00000000-F102-4A02-BAF0-7DD8523ED8D6}"/>
            </c:ext>
          </c:extLst>
        </c:ser>
        <c:ser>
          <c:idx val="2"/>
          <c:order val="2"/>
          <c:tx>
            <c:strRef>
              <c:f>'F1- Fill + Apps.'!$D$4</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horzOverflow="clip" vert="horz" wrap="square" lIns="72000" tIns="18288" rIns="36576" bIns="18288"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'F1- Fill + Apps.'!$A$5:$A$13</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'F1- Fill + Apps.'!$D$5:$D$13</c:f>
              <c:numCache>
                <c:formatCode>0.0</c:formatCode>
                <c:ptCount val="9"/>
                <c:pt idx="0">
                  <c:v>5.5927353172054524</c:v>
                </c:pt>
                <c:pt idx="1">
                  <c:v>5.8268340056775738</c:v>
                </c:pt>
                <c:pt idx="2">
                  <c:v>6.1332317073170728</c:v>
                </c:pt>
                <c:pt idx="3">
                  <c:v>6.910053324968632</c:v>
                </c:pt>
                <c:pt idx="4">
                  <c:v>7.6264059525869525</c:v>
                </c:pt>
                <c:pt idx="5">
                  <c:v>8.6802052159042322</c:v>
                </c:pt>
                <c:pt idx="6">
                  <c:v>9.224857919446503</c:v>
                </c:pt>
                <c:pt idx="7">
                  <c:v>9.3908432488360063</c:v>
                </c:pt>
                <c:pt idx="8">
                  <c:v>9.2821016449791305</c:v>
                </c:pt>
              </c:numCache>
            </c:numRef>
          </c:val>
          <c:extLst>
            <c:ext xmlns:c16="http://schemas.microsoft.com/office/drawing/2014/chart" uri="{C3380CC4-5D6E-409C-BE32-E72D297353CC}">
              <c16:uniqueId val="{00000001-F102-4A02-BAF0-7DD8523ED8D6}"/>
            </c:ext>
          </c:extLst>
        </c:ser>
        <c:ser>
          <c:idx val="3"/>
          <c:order val="3"/>
          <c:tx>
            <c:strRef>
              <c:f>'F1- Fill + Apps.'!$E$4</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horzOverflow="clip" vert="horz" wrap="square" lIns="72000" tIns="18288" rIns="36576" bIns="18288"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'F1- Fill + Apps.'!$E$5:$E$13</c:f>
              <c:numCache>
                <c:formatCode>0.0</c:formatCode>
                <c:ptCount val="9"/>
                <c:pt idx="0">
                  <c:v>2.5911114108443485</c:v>
                </c:pt>
                <c:pt idx="1">
                  <c:v>2.6365284071104913</c:v>
                </c:pt>
                <c:pt idx="2">
                  <c:v>2.6612064116985379</c:v>
                </c:pt>
                <c:pt idx="3">
                  <c:v>2.8367920449632513</c:v>
                </c:pt>
                <c:pt idx="4">
                  <c:v>2.9799697957237106</c:v>
                </c:pt>
                <c:pt idx="5">
                  <c:v>3.2732372419166342</c:v>
                </c:pt>
                <c:pt idx="6">
                  <c:v>3.6191073404647733</c:v>
                </c:pt>
                <c:pt idx="7">
                  <c:v>3.962568472306756</c:v>
                </c:pt>
                <c:pt idx="8">
                  <c:v>4.3123223422399093</c:v>
                </c:pt>
              </c:numCache>
            </c:numRef>
          </c:val>
          <c:extLst>
            <c:ext xmlns:c16="http://schemas.microsoft.com/office/drawing/2014/chart" uri="{C3380CC4-5D6E-409C-BE32-E72D297353CC}">
              <c16:uniqueId val="{00000002-F102-4A02-BAF0-7DD8523ED8D6}"/>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'F1- Fill + Apps.'!$B$4</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dLbl>
              <c:idx val="5"/>
              <c:layout>
                <c:manualLayout>
                  <c:x val="-5.0417899613497422E-2"/>
                  <c:y val="-5.8845092705137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02-4A02-BAF0-7DD8523ED8D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Fill + Apps.'!$A$5:$A$13</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'F1- Fill + Apps.'!$B$5:$B$13</c:f>
              <c:numCache>
                <c:formatCode>0.0%</c:formatCode>
                <c:ptCount val="9"/>
                <c:pt idx="0">
                  <c:v>0.61363636363636365</c:v>
                </c:pt>
                <c:pt idx="1">
                  <c:v>0.62063436737539213</c:v>
                </c:pt>
                <c:pt idx="2">
                  <c:v>0.63456130483689543</c:v>
                </c:pt>
                <c:pt idx="3">
                  <c:v>0.6446894365182303</c:v>
                </c:pt>
                <c:pt idx="4">
                  <c:v>0.6607582863047452</c:v>
                </c:pt>
                <c:pt idx="5">
                  <c:v>0.68056096610829764</c:v>
                </c:pt>
                <c:pt idx="6">
                  <c:v>0.68565105127259318</c:v>
                </c:pt>
                <c:pt idx="7">
                  <c:v>0.6965916007303713</c:v>
                </c:pt>
                <c:pt idx="8">
                  <c:v>0.7055855599772598</c:v>
                </c:pt>
              </c:numCache>
            </c:numRef>
          </c:val>
          <c:smooth val="0"/>
          <c:extLst>
            <c:ext xmlns:c16="http://schemas.microsoft.com/office/drawing/2014/chart" uri="{C3380CC4-5D6E-409C-BE32-E72D297353CC}">
              <c16:uniqueId val="{00000004-F102-4A02-BAF0-7DD8523ED8D6}"/>
            </c:ext>
          </c:extLst>
        </c:ser>
        <c:dLbls>
          <c:showLegendKey val="0"/>
          <c:showVal val="0"/>
          <c:showCatName val="0"/>
          <c:showSerName val="0"/>
          <c:showPercent val="0"/>
          <c:showBubbleSize val="0"/>
        </c:dLbls>
        <c:marker val="1"/>
        <c:smooth val="0"/>
        <c:axId val="685136015"/>
        <c:axId val="685136975"/>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no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no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 yy" sourceLinked="1"/>
        <c:majorTickMark val="out"/>
        <c:minorTickMark val="none"/>
        <c:tickLblPos val="nextTo"/>
        <c:crossAx val="685136975"/>
        <c:crosses val="autoZero"/>
        <c:auto val="1"/>
        <c:lblOffset val="100"/>
        <c:baseTimeUnit val="months"/>
      </c:dateAx>
      <c:spPr>
        <a:noFill/>
        <a:ln>
          <a:noFill/>
        </a:ln>
        <a:effectLst/>
      </c:spPr>
    </c:plotArea>
    <c:legend>
      <c:legendPos val="b"/>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1.7740325978489856E-2"/>
          <c:y val="0.89766414883349899"/>
          <c:w val="0.97872260922479493"/>
          <c:h val="7.51988091040858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488663756312217E-2"/>
          <c:y val="3.3543808030101832E-2"/>
          <c:w val="0.9642131133519638"/>
          <c:h val="0.80174289611356264"/>
        </c:manualLayout>
      </c:layout>
      <c:barChart>
        <c:barDir val="col"/>
        <c:grouping val="clustered"/>
        <c:varyColors val="0"/>
        <c:ser>
          <c:idx val="1"/>
          <c:order val="1"/>
          <c:tx>
            <c:strRef>
              <c:f>'F3- M. Fill + Apps.'!$C$3</c:f>
              <c:strCache>
                <c:ptCount val="1"/>
                <c:pt idx="0">
                  <c:v>Applicants per vacancy</c:v>
                </c:pt>
              </c:strCache>
            </c:strRef>
          </c:tx>
          <c:spPr>
            <a:solidFill>
              <a:srgbClr val="6929C4"/>
            </a:solidFill>
            <a:ln w="19050">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'F3- M. Fill + Apps.'!$C$4:$C$12</c:f>
              <c:numCache>
                <c:formatCode>0.0</c:formatCode>
                <c:ptCount val="9"/>
                <c:pt idx="0">
                  <c:v>18.203370356185371</c:v>
                </c:pt>
                <c:pt idx="1">
                  <c:v>19.954587109255677</c:v>
                </c:pt>
                <c:pt idx="2">
                  <c:v>21.416246267888397</c:v>
                </c:pt>
                <c:pt idx="3">
                  <c:v>24.409119431081365</c:v>
                </c:pt>
                <c:pt idx="4">
                  <c:v>28.162181055574973</c:v>
                </c:pt>
                <c:pt idx="5">
                  <c:v>32.994354747657219</c:v>
                </c:pt>
                <c:pt idx="6">
                  <c:v>34.912003417343016</c:v>
                </c:pt>
                <c:pt idx="7">
                  <c:v>34.893386093838323</c:v>
                </c:pt>
                <c:pt idx="8">
                  <c:v>32.666985849558465</c:v>
                </c:pt>
              </c:numCache>
            </c:numRef>
          </c:val>
          <c:extLst>
            <c:ext xmlns:c16="http://schemas.microsoft.com/office/drawing/2014/chart" uri="{C3380CC4-5D6E-409C-BE32-E72D297353CC}">
              <c16:uniqueId val="{00000000-7E3E-456E-9193-758367740047}"/>
            </c:ext>
          </c:extLst>
        </c:ser>
        <c:ser>
          <c:idx val="2"/>
          <c:order val="2"/>
          <c:tx>
            <c:strRef>
              <c:f>'F3- M.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horzOverflow="clip" vert="horz" wrap="square" lIns="72000" tIns="18288" rIns="36576" bIns="18288"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'F3- M.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'F3- M. Fill + Apps.'!$D$4:$D$12</c:f>
              <c:numCache>
                <c:formatCode>0.0</c:formatCode>
                <c:ptCount val="9"/>
                <c:pt idx="0">
                  <c:v>6.4471114727420664</c:v>
                </c:pt>
                <c:pt idx="1">
                  <c:v>6.9587211212088036</c:v>
                </c:pt>
                <c:pt idx="2">
                  <c:v>7.3271597967250139</c:v>
                </c:pt>
                <c:pt idx="3">
                  <c:v>8.0690766751093719</c:v>
                </c:pt>
                <c:pt idx="4">
                  <c:v>9.0034659820282421</c:v>
                </c:pt>
                <c:pt idx="5">
                  <c:v>10.217063042657607</c:v>
                </c:pt>
                <c:pt idx="6">
                  <c:v>10.871751684311839</c:v>
                </c:pt>
                <c:pt idx="7">
                  <c:v>11.323212663812118</c:v>
                </c:pt>
                <c:pt idx="8">
                  <c:v>11.233825903390041</c:v>
                </c:pt>
              </c:numCache>
            </c:numRef>
          </c:val>
          <c:extLst>
            <c:ext xmlns:c16="http://schemas.microsoft.com/office/drawing/2014/chart" uri="{C3380CC4-5D6E-409C-BE32-E72D297353CC}">
              <c16:uniqueId val="{00000001-7E3E-456E-9193-758367740047}"/>
            </c:ext>
          </c:extLst>
        </c:ser>
        <c:ser>
          <c:idx val="3"/>
          <c:order val="3"/>
          <c:tx>
            <c:strRef>
              <c:f>'F3- M. Fill + Apps.'!$E$3</c:f>
              <c:strCache>
                <c:ptCount val="1"/>
                <c:pt idx="0">
                  <c:v>Suitable applicants per vacancy</c:v>
                </c:pt>
              </c:strCache>
            </c:strRef>
          </c:tx>
          <c:spPr>
            <a:solidFill>
              <a:srgbClr val="012749"/>
            </a:solidFill>
            <a:ln>
              <a:noFill/>
            </a:ln>
            <a:effectLst/>
          </c:spPr>
          <c:invertIfNegative val="0"/>
          <c:dLbls>
            <c:dLbl>
              <c:idx val="0"/>
              <c:spPr>
                <a:noFill/>
                <a:ln w="19050">
                  <a:noFill/>
                </a:ln>
                <a:effectLst/>
              </c:spPr>
              <c:txPr>
                <a:bodyPr rot="0" spcFirstLastPara="1" vertOverflow="ellipsis" horzOverflow="clip" vert="horz" wrap="square" lIns="72000" tIns="18288" rIns="36576" bIns="18288"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7E3E-456E-9193-758367740047}"/>
                </c:ext>
              </c:extLst>
            </c:dLbl>
            <c:spPr>
              <a:noFill/>
              <a:ln>
                <a:noFill/>
              </a:ln>
              <a:effectLst/>
            </c:spPr>
            <c:txPr>
              <a:bodyPr rot="0" spcFirstLastPara="1" vertOverflow="ellipsis" horzOverflow="clip" vert="horz" wrap="square" lIns="72000" tIns="18288" rIns="36576" bIns="18288"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'F3- M. Fill + Apps.'!$E$4:$E$12</c:f>
              <c:numCache>
                <c:formatCode>0.0</c:formatCode>
                <c:ptCount val="9"/>
                <c:pt idx="0">
                  <c:v>2.8254500191497511</c:v>
                </c:pt>
                <c:pt idx="1">
                  <c:v>2.9552998676305875</c:v>
                </c:pt>
                <c:pt idx="2">
                  <c:v>3.0096777514671058</c:v>
                </c:pt>
                <c:pt idx="3">
                  <c:v>3.1787282995189292</c:v>
                </c:pt>
                <c:pt idx="4">
                  <c:v>3.3653734125597112</c:v>
                </c:pt>
                <c:pt idx="5">
                  <c:v>3.6324940724850401</c:v>
                </c:pt>
                <c:pt idx="6">
                  <c:v>4.050192225544639</c:v>
                </c:pt>
                <c:pt idx="7">
                  <c:v>4.4703222159412102</c:v>
                </c:pt>
                <c:pt idx="8">
                  <c:v>4.930205340993723</c:v>
                </c:pt>
              </c:numCache>
            </c:numRef>
          </c:val>
          <c:extLst>
            <c:ext xmlns:c16="http://schemas.microsoft.com/office/drawing/2014/chart" uri="{C3380CC4-5D6E-409C-BE32-E72D297353CC}">
              <c16:uniqueId val="{00000003-7E3E-456E-9193-758367740047}"/>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'F3- M. Fill + Apps.'!$B$3</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'F3- M. Fill + Apps.'!$B$4:$B$12</c:f>
              <c:numCache>
                <c:formatCode>0.0%</c:formatCode>
                <c:ptCount val="9"/>
                <c:pt idx="0">
                  <c:v>0.62657985446189202</c:v>
                </c:pt>
                <c:pt idx="1">
                  <c:v>0.64270440891966196</c:v>
                </c:pt>
                <c:pt idx="2">
                  <c:v>0.65623391331205605</c:v>
                </c:pt>
                <c:pt idx="3">
                  <c:v>0.66293662413720977</c:v>
                </c:pt>
                <c:pt idx="4">
                  <c:v>0.67971571711522782</c:v>
                </c:pt>
                <c:pt idx="5">
                  <c:v>0.69730156938015131</c:v>
                </c:pt>
                <c:pt idx="6">
                  <c:v>0.70044852627082443</c:v>
                </c:pt>
                <c:pt idx="7">
                  <c:v>0.71599773883550033</c:v>
                </c:pt>
                <c:pt idx="8">
                  <c:v>0.72231088413661027</c:v>
                </c:pt>
              </c:numCache>
            </c:numRef>
          </c:val>
          <c:smooth val="0"/>
          <c:extLst>
            <c:ext xmlns:c16="http://schemas.microsoft.com/office/drawing/2014/chart" uri="{C3380CC4-5D6E-409C-BE32-E72D297353CC}">
              <c16:uniqueId val="{00000004-7E3E-456E-9193-758367740047}"/>
            </c:ext>
          </c:extLst>
        </c:ser>
        <c:dLbls>
          <c:showLegendKey val="0"/>
          <c:showVal val="0"/>
          <c:showCatName val="0"/>
          <c:showSerName val="0"/>
          <c:showPercent val="0"/>
          <c:showBubbleSize val="0"/>
        </c:dLbls>
        <c:marker val="1"/>
        <c:smooth val="0"/>
        <c:axId val="685181119"/>
        <c:axId val="685184959"/>
        <c:extLst/>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4895"/>
        <c:crosses val="autoZero"/>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no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84959"/>
        <c:scaling>
          <c:orientation val="minMax"/>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noFill/>
                <a:latin typeface="Arial" panose="020B0604020202020204" pitchFamily="34" charset="0"/>
                <a:ea typeface="+mn-ea"/>
                <a:cs typeface="Arial" panose="020B0604020202020204" pitchFamily="34" charset="0"/>
              </a:defRPr>
            </a:pPr>
            <a:endParaRPr lang="en-US"/>
          </a:p>
        </c:txPr>
        <c:crossAx val="685181119"/>
        <c:crosses val="max"/>
        <c:crossBetween val="between"/>
      </c:valAx>
      <c:dateAx>
        <c:axId val="685181119"/>
        <c:scaling>
          <c:orientation val="minMax"/>
        </c:scaling>
        <c:delete val="1"/>
        <c:axPos val="b"/>
        <c:numFmt formatCode="mmm\ yy" sourceLinked="1"/>
        <c:majorTickMark val="out"/>
        <c:minorTickMark val="none"/>
        <c:tickLblPos val="nextTo"/>
        <c:crossAx val="685184959"/>
        <c:crosses val="autoZero"/>
        <c:auto val="1"/>
        <c:lblOffset val="100"/>
        <c:baseTimeUnit val="months"/>
        <c:majorUnit val="1"/>
        <c:minorUnit val="1"/>
      </c:dateAx>
      <c:spPr>
        <a:noFill/>
        <a:ln>
          <a:noFill/>
        </a:ln>
        <a:effectLst/>
      </c:spPr>
    </c:plotArea>
    <c:legend>
      <c:legendPos val="b"/>
      <c:layout>
        <c:manualLayout>
          <c:xMode val="edge"/>
          <c:yMode val="edge"/>
          <c:x val="4.5305472550003249E-3"/>
          <c:y val="0.91682389769121453"/>
          <c:w val="0.96601827818614083"/>
          <c:h val="6.796119616662570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788164983532185E-3"/>
          <c:y val="2.5657681527936547E-2"/>
          <c:w val="0.97920203816305962"/>
          <c:h val="0.79667589041193465"/>
        </c:manualLayout>
      </c:layout>
      <c:barChart>
        <c:barDir val="col"/>
        <c:grouping val="clustered"/>
        <c:varyColors val="0"/>
        <c:ser>
          <c:idx val="1"/>
          <c:order val="1"/>
          <c:tx>
            <c:strRef>
              <c:f>'F4- R. Fill + Apps'!$C$3</c:f>
              <c:strCache>
                <c:ptCount val="1"/>
                <c:pt idx="0">
                  <c:v>Applicants per vacancy</c:v>
                </c:pt>
              </c:strCache>
            </c:strRef>
          </c:tx>
          <c:spPr>
            <a:solidFill>
              <a:srgbClr val="6929C4"/>
            </a:solidFill>
            <a:ln w="28575">
              <a:noFill/>
            </a:ln>
            <a:effectLst/>
          </c:spPr>
          <c:invertIfNegative val="0"/>
          <c:dLbls>
            <c:spPr>
              <a:noFill/>
              <a:ln>
                <a:noFill/>
              </a:ln>
              <a:effectLst/>
            </c:spPr>
            <c:txPr>
              <a:bodyPr rot="0" spcFirstLastPara="1" vertOverflow="clip" horzOverflow="clip" vert="horz" wrap="square" lIns="36576" tIns="18288" rIns="36576" bIns="18288"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'F4- R.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'F4- R. Fill + Apps'!$C$4:$C$12</c:f>
              <c:numCache>
                <c:formatCode>0.0</c:formatCode>
                <c:ptCount val="9"/>
                <c:pt idx="0">
                  <c:v>10.277932661376797</c:v>
                </c:pt>
                <c:pt idx="1">
                  <c:v>10.380224909823891</c:v>
                </c:pt>
                <c:pt idx="2">
                  <c:v>11.103528417494189</c:v>
                </c:pt>
                <c:pt idx="3">
                  <c:v>12.823352003446789</c:v>
                </c:pt>
                <c:pt idx="4">
                  <c:v>14.694294435313454</c:v>
                </c:pt>
                <c:pt idx="5">
                  <c:v>17.426422190879173</c:v>
                </c:pt>
                <c:pt idx="6">
                  <c:v>18.073369565217391</c:v>
                </c:pt>
                <c:pt idx="7">
                  <c:v>17.554151624548737</c:v>
                </c:pt>
                <c:pt idx="8">
                  <c:v>16.348122162608338</c:v>
                </c:pt>
              </c:numCache>
            </c:numRef>
          </c:val>
          <c:extLst>
            <c:ext xmlns:c16="http://schemas.microsoft.com/office/drawing/2014/chart" uri="{C3380CC4-5D6E-409C-BE32-E72D297353CC}">
              <c16:uniqueId val="{00000000-6375-4EF9-8808-F65F1DF9572B}"/>
            </c:ext>
          </c:extLst>
        </c:ser>
        <c:ser>
          <c:idx val="2"/>
          <c:order val="2"/>
          <c:tx>
            <c:strRef>
              <c:f>'F4- R.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clip" horzOverflow="clip" vert="horz" wrap="square" lIns="72000" tIns="18288" rIns="36576" bIns="18288"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'F4- R.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'F4- R. Fill + Apps'!$D$4:$D$12</c:f>
              <c:numCache>
                <c:formatCode>0.0</c:formatCode>
                <c:ptCount val="9"/>
                <c:pt idx="0">
                  <c:v>3.4389201349831273</c:v>
                </c:pt>
                <c:pt idx="1">
                  <c:v>3.3044951434379941</c:v>
                </c:pt>
                <c:pt idx="2">
                  <c:v>3.5575839531214783</c:v>
                </c:pt>
                <c:pt idx="3">
                  <c:v>4.2105020727775218</c:v>
                </c:pt>
                <c:pt idx="4">
                  <c:v>4.5765267655189747</c:v>
                </c:pt>
                <c:pt idx="5">
                  <c:v>5.2790639154504282</c:v>
                </c:pt>
                <c:pt idx="6">
                  <c:v>5.4879131721756291</c:v>
                </c:pt>
                <c:pt idx="7">
                  <c:v>5.524177467597208</c:v>
                </c:pt>
                <c:pt idx="8">
                  <c:v>5.4340189507742087</c:v>
                </c:pt>
              </c:numCache>
            </c:numRef>
          </c:val>
          <c:extLst>
            <c:ext xmlns:c16="http://schemas.microsoft.com/office/drawing/2014/chart" uri="{C3380CC4-5D6E-409C-BE32-E72D297353CC}">
              <c16:uniqueId val="{00000001-6375-4EF9-8808-F65F1DF9572B}"/>
            </c:ext>
          </c:extLst>
        </c:ser>
        <c:ser>
          <c:idx val="3"/>
          <c:order val="3"/>
          <c:tx>
            <c:strRef>
              <c:f>'F4- R. Fill + Apps'!$E$3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clip" horzOverflow="clip" vert="horz" wrap="square" lIns="72000" tIns="18288" rIns="36576" bIns="18288"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numRef>
              <c:f>'F4- R.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'F4- R. Fill + Apps'!$E$4:$E$12</c:f>
              <c:numCache>
                <c:formatCode>0.0</c:formatCode>
                <c:ptCount val="9"/>
                <c:pt idx="0">
                  <c:v>1.9631138751876474</c:v>
                </c:pt>
                <c:pt idx="1">
                  <c:v>1.916613621896881</c:v>
                </c:pt>
                <c:pt idx="2">
                  <c:v>1.8573843228396365</c:v>
                </c:pt>
                <c:pt idx="3">
                  <c:v>1.9829814735028004</c:v>
                </c:pt>
                <c:pt idx="4">
                  <c:v>2.0643343507865697</c:v>
                </c:pt>
                <c:pt idx="5">
                  <c:v>2.3591913493182886</c:v>
                </c:pt>
                <c:pt idx="6">
                  <c:v>2.5536684782608696</c:v>
                </c:pt>
                <c:pt idx="7">
                  <c:v>2.8467960288808665</c:v>
                </c:pt>
                <c:pt idx="8">
                  <c:v>2.9822534048699958</c:v>
                </c:pt>
              </c:numCache>
            </c:numRef>
          </c:val>
          <c:extLst>
            <c:ext xmlns:c16="http://schemas.microsoft.com/office/drawing/2014/chart" uri="{C3380CC4-5D6E-409C-BE32-E72D297353CC}">
              <c16:uniqueId val="{00000002-6375-4EF9-8808-F65F1DF9572B}"/>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'F4- R.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'F4- R. Fill + Apps'!$A$4:$A$12</c:f>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f>'F4- R. Fill + Apps'!$B$4:$B$12</c:f>
              <c:numCache>
                <c:formatCode>0.0%</c:formatCode>
                <c:ptCount val="9"/>
                <c:pt idx="0">
                  <c:v>0.57924083208235044</c:v>
                </c:pt>
                <c:pt idx="1">
                  <c:v>0.58094631869297686</c:v>
                </c:pt>
                <c:pt idx="2">
                  <c:v>0.58863300232410731</c:v>
                </c:pt>
                <c:pt idx="3">
                  <c:v>0.59737182249030585</c:v>
                </c:pt>
                <c:pt idx="4">
                  <c:v>0.61141112937309228</c:v>
                </c:pt>
                <c:pt idx="5">
                  <c:v>0.62858486130700519</c:v>
                </c:pt>
                <c:pt idx="6">
                  <c:v>0.63043478260869568</c:v>
                </c:pt>
                <c:pt idx="7">
                  <c:v>0.64305054151624552</c:v>
                </c:pt>
                <c:pt idx="8">
                  <c:v>0.65765579859678081</c:v>
                </c:pt>
              </c:numCache>
            </c:numRef>
          </c:val>
          <c:smooth val="0"/>
          <c:extLst>
            <c:ext xmlns:c16="http://schemas.microsoft.com/office/drawing/2014/chart" uri="{C3380CC4-5D6E-409C-BE32-E72D297353CC}">
              <c16:uniqueId val="{00000003-6375-4EF9-8808-F65F1DF9572B}"/>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'F4- R.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'F4- R. Fill + Apps'!$A$4:$A$12</c15:sqref>
                        </c15:formulaRef>
                      </c:ext>
                    </c:extLst>
                    <c:numCache>
                      <c:formatCode>mmm\ yy</c:formatCode>
                      <c:ptCount val="9"/>
                      <c:pt idx="0">
                        <c:v>45078</c:v>
                      </c:pt>
                      <c:pt idx="1">
                        <c:v>45170</c:v>
                      </c:pt>
                      <c:pt idx="2">
                        <c:v>45261</c:v>
                      </c:pt>
                      <c:pt idx="3">
                        <c:v>45352</c:v>
                      </c:pt>
                      <c:pt idx="4">
                        <c:v>45444</c:v>
                      </c:pt>
                      <c:pt idx="5">
                        <c:v>45536</c:v>
                      </c:pt>
                      <c:pt idx="6">
                        <c:v>45627</c:v>
                      </c:pt>
                      <c:pt idx="7">
                        <c:v>45717</c:v>
                      </c:pt>
                      <c:pt idx="8">
                        <c:v>45809</c:v>
                      </c:pt>
                    </c:numCache>
                  </c:numRef>
                </c:cat>
                <c:val>
                  <c:numRef>
                    <c:extLst>
                      <c:ext uri="{02D57815-91ED-43cb-92C2-25804820EDAC}">
                        <c15:formulaRef>
                          <c15:sqref>'F4- R. Fill + Apps'!$F$4:$F$12</c15:sqref>
                        </c15:formulaRef>
                      </c:ext>
                    </c:extLst>
                    <c:numCache>
                      <c:formatCode>0.0%</c:formatCode>
                      <c:ptCount val="9"/>
                      <c:pt idx="0">
                        <c:v>0.42914816333840822</c:v>
                      </c:pt>
                      <c:pt idx="1">
                        <c:v>0.41999805153206016</c:v>
                      </c:pt>
                      <c:pt idx="2">
                        <c:v>0.47790850551539643</c:v>
                      </c:pt>
                      <c:pt idx="3">
                        <c:v>0.52903918838479602</c:v>
                      </c:pt>
                      <c:pt idx="4">
                        <c:v>0.54892990764526295</c:v>
                      </c:pt>
                      <c:pt idx="5">
                        <c:v>0.55310422697979511</c:v>
                      </c:pt>
                      <c:pt idx="6">
                        <c:v>0.53467403762722199</c:v>
                      </c:pt>
                      <c:pt idx="7">
                        <c:v>0.48466608004917944</c:v>
                      </c:pt>
                      <c:pt idx="8">
                        <c:v>0.45118825828807596</c:v>
                      </c:pt>
                    </c:numCache>
                  </c:numRef>
                </c:val>
                <c:smooth val="0"/>
                <c:extLst>
                  <c:ext xmlns:c16="http://schemas.microsoft.com/office/drawing/2014/chart" uri="{C3380CC4-5D6E-409C-BE32-E72D297353CC}">
                    <c16:uniqueId val="{00000004-6375-4EF9-8808-F65F1DF9572B}"/>
                  </c:ext>
                </c:extLst>
              </c15:ser>
            </c15:filteredLineSeries>
          </c:ext>
        </c:extLst>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8"/>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 yy" sourceLinked="1"/>
        <c:majorTickMark val="out"/>
        <c:minorTickMark val="none"/>
        <c:tickLblPos val="nextTo"/>
        <c:crossAx val="685136975"/>
        <c:crosses val="autoZero"/>
        <c:auto val="1"/>
        <c:lblOffset val="100"/>
        <c:baseTimeUnit val="months"/>
      </c:dateAx>
      <c:spPr>
        <a:noFill/>
        <a:ln>
          <a:noFill/>
        </a:ln>
        <a:effectLst/>
      </c:spPr>
    </c:plotArea>
    <c:legend>
      <c:legendPos val="b"/>
      <c:layout>
        <c:manualLayout>
          <c:xMode val="edge"/>
          <c:yMode val="edge"/>
          <c:x val="4.4638907671167146E-3"/>
          <c:y val="0.90773833053771946"/>
          <c:w val="0.98663991100835391"/>
          <c:h val="7.8693148431072987E-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87523605910177E-3"/>
          <c:y val="5.5567376367110739E-2"/>
          <c:w val="0.98265267308766058"/>
          <c:h val="0.76048185994822937"/>
        </c:manualLayout>
      </c:layout>
      <c:barChart>
        <c:barDir val="col"/>
        <c:grouping val="clustered"/>
        <c:varyColors val="0"/>
        <c:ser>
          <c:idx val="1"/>
          <c:order val="1"/>
          <c:tx>
            <c:strRef>
              <c:f>'F5- Sk. Fill + Apps'!$BA$3</c:f>
              <c:strCache>
                <c:ptCount val="1"/>
                <c:pt idx="0">
                  <c:v>Applicants per Vacancy </c:v>
                </c:pt>
              </c:strCache>
            </c:strRef>
          </c:tx>
          <c:spPr>
            <a:solidFill>
              <a:schemeClr val="accent1"/>
            </a:solidFill>
            <a:ln>
              <a:noFill/>
            </a:ln>
          </c:spPr>
          <c:invertIfNegative val="0"/>
          <c:dLbls>
            <c:spPr>
              <a:noFill/>
              <a:ln>
                <a:noFill/>
              </a:ln>
              <a:effectLst/>
            </c:spPr>
            <c:txPr>
              <a:bodyPr wrap="square" lIns="38100" tIns="19050" rIns="38100" bIns="19050" anchor="ctr">
                <a:spAutoFit/>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'F5- Sk. Fill + Apps'!$AY$4:$AY$7</c:f>
              <c:strCache>
                <c:ptCount val="4"/>
                <c:pt idx="0">
                  <c:v>Skill Level 1</c:v>
                </c:pt>
                <c:pt idx="1">
                  <c:v>Skill Level 2</c:v>
                </c:pt>
                <c:pt idx="2">
                  <c:v>Skill Level 3</c:v>
                </c:pt>
                <c:pt idx="3">
                  <c:v>Skill Level 4</c:v>
                </c:pt>
              </c:strCache>
            </c:strRef>
          </c:cat>
          <c:val>
            <c:numRef>
              <c:f>'F5- Sk. Fill + Apps'!$BA$4:$BA$7</c:f>
              <c:numCache>
                <c:formatCode>0.0</c:formatCode>
                <c:ptCount val="4"/>
                <c:pt idx="0">
                  <c:v>27.091355100659786</c:v>
                </c:pt>
                <c:pt idx="1">
                  <c:v>32.481903212688081</c:v>
                </c:pt>
                <c:pt idx="2">
                  <c:v>17.687618147448013</c:v>
                </c:pt>
                <c:pt idx="3">
                  <c:v>30.098996095928612</c:v>
                </c:pt>
              </c:numCache>
            </c:numRef>
          </c:val>
          <c:extLst>
            <c:ext xmlns:c16="http://schemas.microsoft.com/office/drawing/2014/chart" uri="{C3380CC4-5D6E-409C-BE32-E72D297353CC}">
              <c16:uniqueId val="{00000000-AE7E-4D0D-A1EC-7CC6138B6212}"/>
            </c:ext>
          </c:extLst>
        </c:ser>
        <c:ser>
          <c:idx val="2"/>
          <c:order val="2"/>
          <c:tx>
            <c:strRef>
              <c:f>'F5- Sk. Fill + Apps'!$BB$3</c:f>
              <c:strCache>
                <c:ptCount val="1"/>
                <c:pt idx="0">
                  <c:v>Qualified applicants per vacancy </c:v>
                </c:pt>
              </c:strCache>
            </c:strRef>
          </c:tx>
          <c:spPr>
            <a:solidFill>
              <a:schemeClr val="accent2"/>
            </a:solidFill>
            <a:ln>
              <a:noFill/>
            </a:ln>
          </c:spPr>
          <c:invertIfNegative val="0"/>
          <c:dLbls>
            <c:spPr>
              <a:noFill/>
              <a:ln>
                <a:noFill/>
              </a:ln>
              <a:effectLst/>
            </c:spPr>
            <c:txPr>
              <a:bodyPr wrap="square" lIns="38100" tIns="19050" rIns="38100" bIns="19050" anchor="ctr">
                <a:spAutoFit/>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'F5- Sk. Fill + Apps'!$AY$4:$AY$7</c:f>
              <c:strCache>
                <c:ptCount val="4"/>
                <c:pt idx="0">
                  <c:v>Skill Level 1</c:v>
                </c:pt>
                <c:pt idx="1">
                  <c:v>Skill Level 2</c:v>
                </c:pt>
                <c:pt idx="2">
                  <c:v>Skill Level 3</c:v>
                </c:pt>
                <c:pt idx="3">
                  <c:v>Skill Level 4</c:v>
                </c:pt>
              </c:strCache>
            </c:strRef>
          </c:cat>
          <c:val>
            <c:numRef>
              <c:f>'F5- Sk. Fill + Apps'!$BB$4:$BB$7</c:f>
              <c:numCache>
                <c:formatCode>0.0</c:formatCode>
                <c:ptCount val="4"/>
                <c:pt idx="0">
                  <c:v>11.268128161888702</c:v>
                </c:pt>
                <c:pt idx="1">
                  <c:v>11.127638684339715</c:v>
                </c:pt>
                <c:pt idx="2">
                  <c:v>4.9693347193347197</c:v>
                </c:pt>
                <c:pt idx="3">
                  <c:v>7.2071208490243066</c:v>
                </c:pt>
              </c:numCache>
            </c:numRef>
          </c:val>
          <c:extLst>
            <c:ext xmlns:c16="http://schemas.microsoft.com/office/drawing/2014/chart" uri="{C3380CC4-5D6E-409C-BE32-E72D297353CC}">
              <c16:uniqueId val="{00000001-AE7E-4D0D-A1EC-7CC6138B6212}"/>
            </c:ext>
          </c:extLst>
        </c:ser>
        <c:ser>
          <c:idx val="3"/>
          <c:order val="3"/>
          <c:tx>
            <c:strRef>
              <c:f>'F5- Sk. Fill + Apps'!$BC$3</c:f>
              <c:strCache>
                <c:ptCount val="1"/>
                <c:pt idx="0">
                  <c:v>Suitable applicants per vacancy</c:v>
                </c:pt>
              </c:strCache>
            </c:strRef>
          </c:tx>
          <c:spPr>
            <a:solidFill>
              <a:schemeClr val="accent3"/>
            </a:solidFill>
            <a:ln>
              <a:noFill/>
            </a:ln>
          </c:spPr>
          <c:invertIfNegative val="0"/>
          <c:dLbls>
            <c:spPr>
              <a:noFill/>
              <a:ln>
                <a:noFill/>
              </a:ln>
              <a:effectLst/>
            </c:spPr>
            <c:txPr>
              <a:bodyPr wrap="square" lIns="38100" tIns="19050" rIns="38100" bIns="19050" anchor="ctr">
                <a:spAutoFit/>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'F5- Sk. Fill + Apps'!$AY$4:$AY$7</c:f>
              <c:strCache>
                <c:ptCount val="4"/>
                <c:pt idx="0">
                  <c:v>Skill Level 1</c:v>
                </c:pt>
                <c:pt idx="1">
                  <c:v>Skill Level 2</c:v>
                </c:pt>
                <c:pt idx="2">
                  <c:v>Skill Level 3</c:v>
                </c:pt>
                <c:pt idx="3">
                  <c:v>Skill Level 4</c:v>
                </c:pt>
              </c:strCache>
            </c:strRef>
          </c:cat>
          <c:val>
            <c:numRef>
              <c:f>'F5- Sk. Fill + Apps'!$BC$4:$BC$7</c:f>
              <c:numCache>
                <c:formatCode>0.0</c:formatCode>
                <c:ptCount val="4"/>
                <c:pt idx="0">
                  <c:v>4.2776180003383519</c:v>
                </c:pt>
                <c:pt idx="1">
                  <c:v>4.9247661651077674</c:v>
                </c:pt>
                <c:pt idx="2">
                  <c:v>2.4158790170132325</c:v>
                </c:pt>
                <c:pt idx="3">
                  <c:v>5.0686001115448969</c:v>
                </c:pt>
              </c:numCache>
            </c:numRef>
          </c:val>
          <c:extLst>
            <c:ext xmlns:c16="http://schemas.microsoft.com/office/drawing/2014/chart" uri="{C3380CC4-5D6E-409C-BE32-E72D297353CC}">
              <c16:uniqueId val="{00000002-AE7E-4D0D-A1EC-7CC6138B6212}"/>
            </c:ext>
          </c:extLst>
        </c:ser>
        <c:dLbls>
          <c:showLegendKey val="0"/>
          <c:showVal val="0"/>
          <c:showCatName val="0"/>
          <c:showSerName val="0"/>
          <c:showPercent val="0"/>
          <c:showBubbleSize val="0"/>
        </c:dLbls>
        <c:gapWidth val="116"/>
        <c:overlap val="-20"/>
        <c:axId val="574728255"/>
        <c:axId val="574724895"/>
      </c:barChart>
      <c:lineChart>
        <c:grouping val="standard"/>
        <c:varyColors val="0"/>
        <c:ser>
          <c:idx val="0"/>
          <c:order val="0"/>
          <c:tx>
            <c:strRef>
              <c:f>'F5- Sk. Fill + Apps'!$AZ$3</c:f>
              <c:strCache>
                <c:ptCount val="1"/>
                <c:pt idx="0">
                  <c:v>Fill Rate</c:v>
                </c:pt>
              </c:strCache>
            </c:strRef>
          </c:tx>
          <c:spPr>
            <a:ln w="38100">
              <a:noFill/>
            </a:ln>
          </c:spPr>
          <c:marker>
            <c:symbol val="dash"/>
            <c:size val="17"/>
            <c:spPr>
              <a:solidFill>
                <a:srgbClr val="EE538B"/>
              </a:solidFill>
              <a:ln w="9525">
                <a:solidFill>
                  <a:srgbClr val="EE538B"/>
                </a:solidFill>
              </a:ln>
              <a:effectLst/>
            </c:spPr>
          </c:marker>
          <c:dLbls>
            <c:spPr>
              <a:noFill/>
              <a:ln>
                <a:noFill/>
              </a:ln>
              <a:effectLst/>
            </c:spPr>
            <c:txPr>
              <a:bodyPr wrap="square" lIns="38100" tIns="19050" rIns="38100" bIns="19050" anchor="ctr">
                <a:spAutoFit/>
              </a:bodyPr>
              <a:lstStyle/>
              <a:p>
                <a:pPr>
                  <a:defRPr sz="8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'F5- Sk. Fill + Apps'!$AY$4:$AY$7</c:f>
              <c:strCache>
                <c:ptCount val="4"/>
                <c:pt idx="0">
                  <c:v>Skill Level 1</c:v>
                </c:pt>
                <c:pt idx="1">
                  <c:v>Skill Level 2</c:v>
                </c:pt>
                <c:pt idx="2">
                  <c:v>Skill Level 3</c:v>
                </c:pt>
                <c:pt idx="3">
                  <c:v>Skill Level 4</c:v>
                </c:pt>
              </c:strCache>
            </c:strRef>
          </c:cat>
          <c:val>
            <c:numRef>
              <c:f>'F5- Sk. Fill + Apps'!$AZ$4:$AZ$7</c:f>
              <c:numCache>
                <c:formatCode>0.0%</c:formatCode>
                <c:ptCount val="4"/>
                <c:pt idx="0">
                  <c:v>0.7250888174589748</c:v>
                </c:pt>
                <c:pt idx="1">
                  <c:v>0.7507116714111427</c:v>
                </c:pt>
                <c:pt idx="2">
                  <c:v>0.55056710775047257</c:v>
                </c:pt>
                <c:pt idx="3">
                  <c:v>0.73396542108198548</c:v>
                </c:pt>
              </c:numCache>
            </c:numRef>
          </c:val>
          <c:smooth val="0"/>
          <c:extLst>
            <c:ext xmlns:c16="http://schemas.microsoft.com/office/drawing/2014/chart" uri="{C3380CC4-5D6E-409C-BE32-E72D297353CC}">
              <c16:uniqueId val="{00000003-AE7E-4D0D-A1EC-7CC6138B6212}"/>
            </c:ext>
          </c:extLst>
        </c:ser>
        <c:dLbls>
          <c:showLegendKey val="0"/>
          <c:showVal val="0"/>
          <c:showCatName val="0"/>
          <c:showSerName val="0"/>
          <c:showPercent val="0"/>
          <c:showBubbleSize val="0"/>
        </c:dLbls>
        <c:marker val="1"/>
        <c:smooth val="0"/>
        <c:axId val="685136015"/>
        <c:axId val="685136975"/>
        <c:extLst/>
      </c:lineChart>
      <c:catAx>
        <c:axId val="574728255"/>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685136015"/>
        <c:crosses val="max"/>
        <c:crossBetween val="between"/>
      </c:valAx>
      <c:catAx>
        <c:axId val="685136015"/>
        <c:scaling>
          <c:orientation val="minMax"/>
        </c:scaling>
        <c:delete val="1"/>
        <c:axPos val="b"/>
        <c:numFmt formatCode="General" sourceLinked="1"/>
        <c:majorTickMark val="out"/>
        <c:minorTickMark val="none"/>
        <c:tickLblPos val="nextTo"/>
        <c:crossAx val="685136975"/>
        <c:crosses val="autoZero"/>
        <c:auto val="1"/>
        <c:lblAlgn val="ctr"/>
        <c:lblOffset val="100"/>
        <c:noMultiLvlLbl val="0"/>
      </c:catAx>
      <c:spPr>
        <a:noFill/>
        <a:ln>
          <a:noFill/>
        </a:ln>
        <a:effectLst/>
      </c:spPr>
    </c:plotArea>
    <c:legend>
      <c:legendPos val="b"/>
      <c:layout>
        <c:manualLayout>
          <c:xMode val="edge"/>
          <c:yMode val="edge"/>
          <c:x val="0"/>
          <c:y val="0.89792578638513576"/>
          <c:w val="0.99544772473478504"/>
          <c:h val="7.6542190775681349E-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'2021-2024 Index'!$B$1</c:f>
              <c:strCache>
                <c:ptCount val="1"/>
                <c:pt idx="0">
                  <c:v>National</c:v>
                </c:pt>
              </c:strCache>
            </c:strRef>
          </c:tx>
          <c:spPr>
            <a:ln w="28575" cap="rnd">
              <a:solidFill>
                <a:srgbClr val="6929C4"/>
              </a:solidFill>
              <a:round/>
            </a:ln>
            <a:effectLst/>
          </c:spPr>
          <c:marker>
            <c:symbol val="none"/>
          </c:marker>
          <c:cat>
            <c:strRef>
              <c:f>'2021-2024 Index'!$A$2:$A$6</c:f>
              <c:strCache>
                <c:ptCount val="5"/>
                <c:pt idx="0">
                  <c:v>2020–21</c:v>
                </c:pt>
                <c:pt idx="1">
                  <c:v>2021–22</c:v>
                </c:pt>
                <c:pt idx="2">
                  <c:v>2022–23</c:v>
                </c:pt>
                <c:pt idx="3">
                  <c:v>2023–24</c:v>
                </c:pt>
                <c:pt idx="4">
                  <c:v>2024–25</c:v>
                </c:pt>
              </c:strCache>
            </c:strRef>
          </c:cat>
          <c:val>
            <c:numRef>
              <c:f>'2021-2024 Index'!$B$2:$B$6</c:f>
              <c:numCache>
                <c:formatCode>0%</c:formatCode>
                <c:ptCount val="5"/>
                <c:pt idx="0">
                  <c:v>0.26753783888916288</c:v>
                </c:pt>
                <c:pt idx="1">
                  <c:v>0.29064798003473102</c:v>
                </c:pt>
                <c:pt idx="2">
                  <c:v>0.3105171117982915</c:v>
                </c:pt>
                <c:pt idx="3">
                  <c:v>0.32878689017605328</c:v>
                </c:pt>
                <c:pt idx="4">
                  <c:v>0.29876348226271349</c:v>
                </c:pt>
              </c:numCache>
            </c:numRef>
          </c:val>
          <c:smooth val="0"/>
          <c:extLst>
            <c:ext xmlns:c16="http://schemas.microsoft.com/office/drawing/2014/chart" uri="{C3380CC4-5D6E-409C-BE32-E72D297353CC}">
              <c16:uniqueId val="{00000000-2B0F-43BD-A0AB-6FBE9F5327A9}"/>
            </c:ext>
          </c:extLst>
        </c:ser>
        <c:ser>
          <c:idx val="1"/>
          <c:order val="1"/>
          <c:tx>
            <c:strRef>
              <c:f>'2021-2024 Index'!$C$1</c:f>
              <c:strCache>
                <c:ptCount val="1"/>
                <c:pt idx="0">
                  <c:v>Metro</c:v>
                </c:pt>
              </c:strCache>
            </c:strRef>
          </c:tx>
          <c:spPr>
            <a:ln w="28575" cap="rnd">
              <a:solidFill>
                <a:srgbClr val="009D9A"/>
              </a:solidFill>
              <a:round/>
            </a:ln>
            <a:effectLst/>
          </c:spPr>
          <c:marker>
            <c:symbol val="none"/>
          </c:marker>
          <c:cat>
            <c:strRef>
              <c:f>'2021-2024 Index'!$A$2:$A$6</c:f>
              <c:strCache>
                <c:ptCount val="5"/>
                <c:pt idx="0">
                  <c:v>2020–21</c:v>
                </c:pt>
                <c:pt idx="1">
                  <c:v>2021–22</c:v>
                </c:pt>
                <c:pt idx="2">
                  <c:v>2022–23</c:v>
                </c:pt>
                <c:pt idx="3">
                  <c:v>2023–24</c:v>
                </c:pt>
                <c:pt idx="4">
                  <c:v>2024–25</c:v>
                </c:pt>
              </c:strCache>
            </c:strRef>
          </c:cat>
          <c:val>
            <c:numRef>
              <c:f>'2021-2024 Index'!$C$2:$C$6</c:f>
              <c:numCache>
                <c:formatCode>0%</c:formatCode>
                <c:ptCount val="5"/>
                <c:pt idx="0">
                  <c:v>0.27535256173880929</c:v>
                </c:pt>
                <c:pt idx="1">
                  <c:v>0.30514165954169442</c:v>
                </c:pt>
                <c:pt idx="2">
                  <c:v>0.31358558140860132</c:v>
                </c:pt>
                <c:pt idx="3">
                  <c:v>0.32176592415471128</c:v>
                </c:pt>
                <c:pt idx="4">
                  <c:v>0.29551915957253899</c:v>
                </c:pt>
              </c:numCache>
            </c:numRef>
          </c:val>
          <c:smooth val="0"/>
          <c:extLst>
            <c:ext xmlns:c16="http://schemas.microsoft.com/office/drawing/2014/chart" uri="{C3380CC4-5D6E-409C-BE32-E72D297353CC}">
              <c16:uniqueId val="{00000001-2B0F-43BD-A0AB-6FBE9F5327A9}"/>
            </c:ext>
          </c:extLst>
        </c:ser>
        <c:ser>
          <c:idx val="2"/>
          <c:order val="2"/>
          <c:tx>
            <c:strRef>
              <c:f>'2021-2024 Index'!$D$1</c:f>
              <c:strCache>
                <c:ptCount val="1"/>
                <c:pt idx="0">
                  <c:v>Regional</c:v>
                </c:pt>
              </c:strCache>
            </c:strRef>
          </c:tx>
          <c:spPr>
            <a:ln w="28575" cap="rnd">
              <a:solidFill>
                <a:srgbClr val="012749"/>
              </a:solidFill>
              <a:round/>
            </a:ln>
            <a:effectLst/>
          </c:spPr>
          <c:marker>
            <c:symbol val="none"/>
          </c:marker>
          <c:cat>
            <c:strRef>
              <c:f>'2021-2024 Index'!$A$2:$A$6</c:f>
              <c:strCache>
                <c:ptCount val="5"/>
                <c:pt idx="0">
                  <c:v>2020–21</c:v>
                </c:pt>
                <c:pt idx="1">
                  <c:v>2021–22</c:v>
                </c:pt>
                <c:pt idx="2">
                  <c:v>2022–23</c:v>
                </c:pt>
                <c:pt idx="3">
                  <c:v>2023–24</c:v>
                </c:pt>
                <c:pt idx="4">
                  <c:v>2024–25</c:v>
                </c:pt>
              </c:strCache>
            </c:strRef>
          </c:cat>
          <c:val>
            <c:numRef>
              <c:f>'2021-2024 Index'!$D$2:$D$6</c:f>
              <c:numCache>
                <c:formatCode>0%</c:formatCode>
                <c:ptCount val="5"/>
                <c:pt idx="0">
                  <c:v>0.24188261099164471</c:v>
                </c:pt>
                <c:pt idx="1">
                  <c:v>0.27936617594570429</c:v>
                </c:pt>
                <c:pt idx="2">
                  <c:v>0.27696601446913838</c:v>
                </c:pt>
                <c:pt idx="3">
                  <c:v>0.30602413022571001</c:v>
                </c:pt>
                <c:pt idx="4">
                  <c:v>0.27852301021980708</c:v>
                </c:pt>
              </c:numCache>
            </c:numRef>
          </c:val>
          <c:smooth val="0"/>
          <c:extLst>
            <c:ext xmlns:c16="http://schemas.microsoft.com/office/drawing/2014/chart" uri="{C3380CC4-5D6E-409C-BE32-E72D297353CC}">
              <c16:uniqueId val="{00000002-2B0F-43BD-A0AB-6FBE9F5327A9}"/>
            </c:ext>
          </c:extLst>
        </c:ser>
        <c:dLbls>
          <c:showLegendKey val="0"/>
          <c:showVal val="0"/>
          <c:showCatName val="0"/>
          <c:showSerName val="0"/>
          <c:showPercent val="0"/>
          <c:showBubbleSize val="0"/>
        </c:dLbls>
        <c:smooth val="0"/>
        <c:axId val="314869247"/>
        <c:axId val="314866367"/>
      </c:lineChart>
      <c:catAx>
        <c:axId val="31486924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4866367"/>
        <c:crosses val="autoZero"/>
        <c:auto val="1"/>
        <c:lblAlgn val="ctr"/>
        <c:lblOffset val="100"/>
        <c:noMultiLvlLbl val="0"/>
      </c:catAx>
      <c:valAx>
        <c:axId val="314866367"/>
        <c:scaling>
          <c:orientation val="minMax"/>
          <c:min val="0.22000000000000003"/>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4869247"/>
        <c:crosses val="autoZero"/>
        <c:crossBetween val="between"/>
        <c:majorUnit val="4.0000000000000008E-2"/>
        <c:min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0DD1021E2F49879DB26B1892866004"/>
        <w:category>
          <w:name w:val="General"/>
          <w:gallery w:val="placeholder"/>
        </w:category>
        <w:types>
          <w:type w:val="bbPlcHdr"/>
        </w:types>
        <w:behaviors>
          <w:behavior w:val="content"/>
        </w:behaviors>
        <w:guid w:val="{B4E062E4-B071-4D59-AA18-778A78AD4BE8}"/>
      </w:docPartPr>
      <w:docPartBody>
        <w:p w:rsidR="0039145E" w:rsidRDefault="0039145E">
          <w:pPr>
            <w:pStyle w:val="8B0DD1021E2F49879DB26B1892866004"/>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5E"/>
    <w:rsid w:val="000948C0"/>
    <w:rsid w:val="00175F85"/>
    <w:rsid w:val="0039145E"/>
    <w:rsid w:val="00482520"/>
    <w:rsid w:val="004F06FE"/>
    <w:rsid w:val="00923608"/>
    <w:rsid w:val="00927461"/>
    <w:rsid w:val="009F17D3"/>
    <w:rsid w:val="00A26A1D"/>
    <w:rsid w:val="00A5557B"/>
    <w:rsid w:val="00BD3FBF"/>
    <w:rsid w:val="00CA639E"/>
    <w:rsid w:val="00D41B5B"/>
    <w:rsid w:val="00D53ADD"/>
    <w:rsid w:val="00E3247A"/>
    <w:rsid w:val="00E544A0"/>
    <w:rsid w:val="00F038EA"/>
    <w:rsid w:val="00FD38EE"/>
    <w:rsid w:val="00FD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8B0DD1021E2F49879DB26B1892866004">
    <w:name w:val="8B0DD1021E2F49879DB26B1892866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676d7-0581-4ea8-b31a-49d927508dd8">
      <Terms xmlns="http://schemas.microsoft.com/office/infopath/2007/PartnerControls"/>
    </lcf76f155ced4ddcb4097134ff3c332f>
    <TaxCatchAll xmlns="ce9780f4-bea7-4f53-9f8f-abfcb010f713" xsi:nil="true"/>
    <PageTag xmlns="877676d7-0581-4ea8-b31a-49d927508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2.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77676d7-0581-4ea8-b31a-49d927508dd8"/>
    <ds:schemaRef ds:uri="ce9780f4-bea7-4f53-9f8f-abfcb010f713"/>
  </ds:schemaRefs>
</ds:datastoreItem>
</file>

<file path=customXml/itemProps3.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4.xml><?xml version="1.0" encoding="utf-8"?>
<ds:datastoreItem xmlns:ds="http://schemas.openxmlformats.org/officeDocument/2006/customXml" ds:itemID="{7A2FFBE2-64EE-4A55-B027-2E031789A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JSA%20Regular%20Report%20Template.dotx?OR=81dd2b71-fb82-4b33-ac71-fed46bf0f87a&amp;CID=2582bfa1-c066-5000-c005-2db9ac25dd8b&amp;CT=1756260783913</Template>
  <TotalTime>5977</TotalTime>
  <Pages>13</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Occupation Shortage Report</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 Shortage Report</dc:title>
  <dc:subject/>
  <dc:creator>SOLIMAN,Roy</dc:creator>
  <cp:keywords/>
  <dc:description/>
  <cp:lastModifiedBy>Roy Soliman</cp:lastModifiedBy>
  <cp:revision>512</cp:revision>
  <cp:lastPrinted>2025-09-05T05:20:00Z</cp:lastPrinted>
  <dcterms:created xsi:type="dcterms:W3CDTF">2025-09-01T18:13:00Z</dcterms:created>
  <dcterms:modified xsi:type="dcterms:W3CDTF">2025-09-05T05:23:00Z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0x010100279213681387C94D9B92267598DFD251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