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C0DE" w14:textId="18DE41C5" w:rsidR="00AA5442" w:rsidRDefault="00F025A6" w:rsidP="00525A89">
      <w:pPr>
        <w:pStyle w:val="BodyText"/>
        <w:sectPr w:rsidR="00AA5442" w:rsidSect="00AA5442">
          <w:footerReference w:type="even" r:id="rId8"/>
          <w:footerReference w:type="default" r:id="rId9"/>
          <w:headerReference w:type="first" r:id="rId10"/>
          <w:type w:val="evenPage"/>
          <w:pgSz w:w="11907" w:h="16839" w:code="9"/>
          <w:pgMar w:top="992" w:right="1270" w:bottom="1440" w:left="1270" w:header="720" w:footer="720" w:gutter="0"/>
          <w:cols w:space="720"/>
          <w:titlePg/>
          <w:docGrid w:linePitch="360"/>
        </w:sectPr>
      </w:pPr>
      <w:r>
        <w:rPr>
          <w:noProof/>
        </w:rPr>
        <w:drawing>
          <wp:anchor distT="0" distB="0" distL="114300" distR="114300" simplePos="0" relativeHeight="251658240" behindDoc="1" locked="0" layoutInCell="1" allowOverlap="1" wp14:anchorId="218DF3F1" wp14:editId="12C2B424">
            <wp:simplePos x="809625" y="876300"/>
            <wp:positionH relativeFrom="page">
              <wp:align>left</wp:align>
            </wp:positionH>
            <wp:positionV relativeFrom="page">
              <wp:align>top</wp:align>
            </wp:positionV>
            <wp:extent cx="7560000" cy="10692000"/>
            <wp:effectExtent l="0" t="0" r="3175" b="0"/>
            <wp:wrapNone/>
            <wp:docPr id="1775225881" name="Picture 1" descr="A collage of people wearing different outf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25881" name="Picture 1" descr="A collage of people wearing different outfi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AA5442" w:rsidRPr="00270126">
        <w:rPr>
          <w:noProof/>
        </w:rPr>
        <w:drawing>
          <wp:inline distT="0" distB="0" distL="0" distR="0" wp14:anchorId="62B50841" wp14:editId="1B738693">
            <wp:extent cx="3239996"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2">
                      <a:extLst>
                        <a:ext uri="{96DAC541-7B7A-43D3-8B79-37D633B846F1}">
                          <asvg:svgBlip xmlns:asvg="http://schemas.microsoft.com/office/drawing/2016/SVG/main" r:embed="rId13"/>
                        </a:ext>
                      </a:extLst>
                    </a:blip>
                    <a:stretch>
                      <a:fillRect/>
                    </a:stretch>
                  </pic:blipFill>
                  <pic:spPr>
                    <a:xfrm>
                      <a:off x="0" y="0"/>
                      <a:ext cx="3239996" cy="701298"/>
                    </a:xfrm>
                    <a:prstGeom prst="rect">
                      <a:avLst/>
                    </a:prstGeom>
                  </pic:spPr>
                </pic:pic>
              </a:graphicData>
            </a:graphic>
          </wp:inline>
        </w:drawing>
      </w:r>
    </w:p>
    <w:p w14:paraId="1D2D0871" w14:textId="1BF0FCD3" w:rsidR="00AA5442" w:rsidRPr="00FF7663" w:rsidRDefault="00FF7663" w:rsidP="00AA5442">
      <w:pPr>
        <w:pStyle w:val="Title"/>
        <w:rPr>
          <w:color w:val="auto"/>
          <w:sz w:val="56"/>
          <w:szCs w:val="44"/>
        </w:rPr>
      </w:pPr>
      <w:r w:rsidRPr="00FF7663">
        <w:rPr>
          <w:color w:val="auto"/>
          <w:sz w:val="56"/>
          <w:szCs w:val="44"/>
        </w:rPr>
        <w:t>New Perspectives on Old Problems</w:t>
      </w:r>
    </w:p>
    <w:p w14:paraId="0205F554" w14:textId="77777777" w:rsidR="00FF7663" w:rsidRPr="00FF7663" w:rsidRDefault="00FF7663" w:rsidP="00AA5442">
      <w:pPr>
        <w:pStyle w:val="Subtitle"/>
        <w:rPr>
          <w:color w:val="auto"/>
        </w:rPr>
      </w:pPr>
      <w:r w:rsidRPr="00FF7663">
        <w:rPr>
          <w:color w:val="auto"/>
        </w:rPr>
        <w:t>Gendered Jobs, Work and Pay</w:t>
      </w:r>
    </w:p>
    <w:p w14:paraId="63A9862E" w14:textId="67C23B19" w:rsidR="00AA5442" w:rsidRPr="00FF7663" w:rsidRDefault="00FF7663" w:rsidP="00AA5442">
      <w:pPr>
        <w:pStyle w:val="Subtitle"/>
        <w:rPr>
          <w:color w:val="4B0985" w:themeColor="text2"/>
          <w:sz w:val="28"/>
          <w:szCs w:val="28"/>
        </w:rPr>
      </w:pPr>
      <w:r w:rsidRPr="00FF7663">
        <w:rPr>
          <w:color w:val="4B0985" w:themeColor="text2"/>
          <w:sz w:val="28"/>
          <w:szCs w:val="28"/>
        </w:rPr>
        <w:t>TECHNICAL PAPER</w:t>
      </w:r>
    </w:p>
    <w:p w14:paraId="42FCFE36" w14:textId="77777777" w:rsidR="00A67B12" w:rsidRPr="00A67B12" w:rsidRDefault="00A67B12" w:rsidP="00525A89">
      <w:pPr>
        <w:pStyle w:val="BodyText"/>
        <w:sectPr w:rsidR="00A67B12" w:rsidRPr="00A67B12" w:rsidSect="00106E26">
          <w:type w:val="continuous"/>
          <w:pgSz w:w="11907" w:h="16839" w:code="9"/>
          <w:pgMar w:top="1440" w:right="1440" w:bottom="1440" w:left="1440" w:header="720" w:footer="720" w:gutter="0"/>
          <w:cols w:space="720"/>
          <w:titlePg/>
          <w:docGrid w:linePitch="360"/>
        </w:sectPr>
      </w:pPr>
    </w:p>
    <w:sdt>
      <w:sdtPr>
        <w:rPr>
          <w:rFonts w:eastAsiaTheme="minorEastAsia" w:cstheme="minorBidi"/>
          <w:b w:val="0"/>
          <w:bCs w:val="0"/>
          <w:color w:val="auto"/>
          <w:sz w:val="22"/>
          <w:szCs w:val="22"/>
        </w:rPr>
        <w:id w:val="-1918162865"/>
        <w:docPartObj>
          <w:docPartGallery w:val="Table of Contents"/>
          <w:docPartUnique/>
        </w:docPartObj>
      </w:sdtPr>
      <w:sdtContent>
        <w:p w14:paraId="4C53E7CC" w14:textId="461C4D7F" w:rsidR="00B809C4" w:rsidRDefault="00B809C4">
          <w:pPr>
            <w:pStyle w:val="TOCHeading"/>
          </w:pPr>
          <w:r>
            <w:t>Contents</w:t>
          </w:r>
        </w:p>
        <w:p w14:paraId="4CFF51CA" w14:textId="2EAB81F4" w:rsidR="007A5AE5" w:rsidRDefault="00B809C4">
          <w:pPr>
            <w:pStyle w:val="TOC1"/>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04596271" w:history="1">
            <w:r w:rsidR="007A5AE5" w:rsidRPr="0005367E">
              <w:rPr>
                <w:rStyle w:val="Hyperlink"/>
                <w:noProof/>
              </w:rPr>
              <w:t>Introduction</w:t>
            </w:r>
            <w:r w:rsidR="007A5AE5">
              <w:rPr>
                <w:noProof/>
                <w:webHidden/>
              </w:rPr>
              <w:tab/>
            </w:r>
            <w:r w:rsidR="007A5AE5">
              <w:rPr>
                <w:noProof/>
                <w:webHidden/>
              </w:rPr>
              <w:fldChar w:fldCharType="begin"/>
            </w:r>
            <w:r w:rsidR="007A5AE5">
              <w:rPr>
                <w:noProof/>
                <w:webHidden/>
              </w:rPr>
              <w:instrText xml:space="preserve"> PAGEREF _Toc204596271 \h </w:instrText>
            </w:r>
            <w:r w:rsidR="007A5AE5">
              <w:rPr>
                <w:noProof/>
                <w:webHidden/>
              </w:rPr>
            </w:r>
            <w:r w:rsidR="007A5AE5">
              <w:rPr>
                <w:noProof/>
                <w:webHidden/>
              </w:rPr>
              <w:fldChar w:fldCharType="separate"/>
            </w:r>
            <w:r w:rsidR="000879D6">
              <w:rPr>
                <w:noProof/>
                <w:webHidden/>
              </w:rPr>
              <w:t>3</w:t>
            </w:r>
            <w:r w:rsidR="007A5AE5">
              <w:rPr>
                <w:noProof/>
                <w:webHidden/>
              </w:rPr>
              <w:fldChar w:fldCharType="end"/>
            </w:r>
          </w:hyperlink>
        </w:p>
        <w:p w14:paraId="79F19655" w14:textId="538EAD09" w:rsidR="007A5AE5" w:rsidRDefault="007A5AE5">
          <w:pPr>
            <w:pStyle w:val="TOC2"/>
            <w:rPr>
              <w:rFonts w:asciiTheme="minorHAnsi" w:eastAsiaTheme="minorEastAsia" w:hAnsiTheme="minorHAnsi"/>
              <w:b w:val="0"/>
              <w:noProof/>
              <w:kern w:val="2"/>
              <w:sz w:val="24"/>
              <w:szCs w:val="24"/>
              <w:lang w:eastAsia="en-AU"/>
              <w14:ligatures w14:val="standardContextual"/>
            </w:rPr>
          </w:pPr>
          <w:hyperlink w:anchor="_Toc204596272" w:history="1">
            <w:r w:rsidRPr="0005367E">
              <w:rPr>
                <w:rStyle w:val="Hyperlink"/>
                <w:noProof/>
              </w:rPr>
              <w:t>Principal data sources</w:t>
            </w:r>
            <w:r>
              <w:rPr>
                <w:noProof/>
                <w:webHidden/>
              </w:rPr>
              <w:tab/>
            </w:r>
            <w:r>
              <w:rPr>
                <w:noProof/>
                <w:webHidden/>
              </w:rPr>
              <w:fldChar w:fldCharType="begin"/>
            </w:r>
            <w:r>
              <w:rPr>
                <w:noProof/>
                <w:webHidden/>
              </w:rPr>
              <w:instrText xml:space="preserve"> PAGEREF _Toc204596272 \h </w:instrText>
            </w:r>
            <w:r>
              <w:rPr>
                <w:noProof/>
                <w:webHidden/>
              </w:rPr>
            </w:r>
            <w:r>
              <w:rPr>
                <w:noProof/>
                <w:webHidden/>
              </w:rPr>
              <w:fldChar w:fldCharType="separate"/>
            </w:r>
            <w:r w:rsidR="000879D6">
              <w:rPr>
                <w:noProof/>
                <w:webHidden/>
              </w:rPr>
              <w:t>3</w:t>
            </w:r>
            <w:r>
              <w:rPr>
                <w:noProof/>
                <w:webHidden/>
              </w:rPr>
              <w:fldChar w:fldCharType="end"/>
            </w:r>
          </w:hyperlink>
        </w:p>
        <w:p w14:paraId="442146EC" w14:textId="10C0A65F" w:rsidR="007A5AE5" w:rsidRDefault="007A5AE5">
          <w:pPr>
            <w:pStyle w:val="TOC2"/>
            <w:rPr>
              <w:rFonts w:asciiTheme="minorHAnsi" w:eastAsiaTheme="minorEastAsia" w:hAnsiTheme="minorHAnsi"/>
              <w:b w:val="0"/>
              <w:noProof/>
              <w:kern w:val="2"/>
              <w:sz w:val="24"/>
              <w:szCs w:val="24"/>
              <w:lang w:eastAsia="en-AU"/>
              <w14:ligatures w14:val="standardContextual"/>
            </w:rPr>
          </w:pPr>
          <w:hyperlink w:anchor="_Toc204596273" w:history="1">
            <w:r w:rsidRPr="0005367E">
              <w:rPr>
                <w:rStyle w:val="Hyperlink"/>
                <w:noProof/>
              </w:rPr>
              <w:t>Data limitations and challenges</w:t>
            </w:r>
            <w:r>
              <w:rPr>
                <w:noProof/>
                <w:webHidden/>
              </w:rPr>
              <w:tab/>
            </w:r>
            <w:r>
              <w:rPr>
                <w:noProof/>
                <w:webHidden/>
              </w:rPr>
              <w:fldChar w:fldCharType="begin"/>
            </w:r>
            <w:r>
              <w:rPr>
                <w:noProof/>
                <w:webHidden/>
              </w:rPr>
              <w:instrText xml:space="preserve"> PAGEREF _Toc204596273 \h </w:instrText>
            </w:r>
            <w:r>
              <w:rPr>
                <w:noProof/>
                <w:webHidden/>
              </w:rPr>
            </w:r>
            <w:r>
              <w:rPr>
                <w:noProof/>
                <w:webHidden/>
              </w:rPr>
              <w:fldChar w:fldCharType="separate"/>
            </w:r>
            <w:r w:rsidR="000879D6">
              <w:rPr>
                <w:noProof/>
                <w:webHidden/>
              </w:rPr>
              <w:t>4</w:t>
            </w:r>
            <w:r>
              <w:rPr>
                <w:noProof/>
                <w:webHidden/>
              </w:rPr>
              <w:fldChar w:fldCharType="end"/>
            </w:r>
          </w:hyperlink>
        </w:p>
        <w:p w14:paraId="4BAA91F1" w14:textId="2E461018"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74" w:history="1">
            <w:r w:rsidRPr="0005367E">
              <w:rPr>
                <w:rStyle w:val="Hyperlink"/>
                <w:noProof/>
              </w:rPr>
              <w:t>Sex and gender data</w:t>
            </w:r>
            <w:r>
              <w:rPr>
                <w:noProof/>
                <w:webHidden/>
              </w:rPr>
              <w:tab/>
            </w:r>
            <w:r>
              <w:rPr>
                <w:noProof/>
                <w:webHidden/>
              </w:rPr>
              <w:fldChar w:fldCharType="begin"/>
            </w:r>
            <w:r>
              <w:rPr>
                <w:noProof/>
                <w:webHidden/>
              </w:rPr>
              <w:instrText xml:space="preserve"> PAGEREF _Toc204596274 \h </w:instrText>
            </w:r>
            <w:r>
              <w:rPr>
                <w:noProof/>
                <w:webHidden/>
              </w:rPr>
            </w:r>
            <w:r>
              <w:rPr>
                <w:noProof/>
                <w:webHidden/>
              </w:rPr>
              <w:fldChar w:fldCharType="separate"/>
            </w:r>
            <w:r w:rsidR="000879D6">
              <w:rPr>
                <w:noProof/>
                <w:webHidden/>
              </w:rPr>
              <w:t>4</w:t>
            </w:r>
            <w:r>
              <w:rPr>
                <w:noProof/>
                <w:webHidden/>
              </w:rPr>
              <w:fldChar w:fldCharType="end"/>
            </w:r>
          </w:hyperlink>
        </w:p>
        <w:p w14:paraId="69ADABF5" w14:textId="5D42377E"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75" w:history="1">
            <w:r w:rsidRPr="0005367E">
              <w:rPr>
                <w:rStyle w:val="Hyperlink"/>
                <w:noProof/>
              </w:rPr>
              <w:t>LGBTIQ+ data</w:t>
            </w:r>
            <w:r>
              <w:rPr>
                <w:noProof/>
                <w:webHidden/>
              </w:rPr>
              <w:tab/>
            </w:r>
            <w:r>
              <w:rPr>
                <w:noProof/>
                <w:webHidden/>
              </w:rPr>
              <w:fldChar w:fldCharType="begin"/>
            </w:r>
            <w:r>
              <w:rPr>
                <w:noProof/>
                <w:webHidden/>
              </w:rPr>
              <w:instrText xml:space="preserve"> PAGEREF _Toc204596275 \h </w:instrText>
            </w:r>
            <w:r>
              <w:rPr>
                <w:noProof/>
                <w:webHidden/>
              </w:rPr>
            </w:r>
            <w:r>
              <w:rPr>
                <w:noProof/>
                <w:webHidden/>
              </w:rPr>
              <w:fldChar w:fldCharType="separate"/>
            </w:r>
            <w:r w:rsidR="000879D6">
              <w:rPr>
                <w:noProof/>
                <w:webHidden/>
              </w:rPr>
              <w:t>4</w:t>
            </w:r>
            <w:r>
              <w:rPr>
                <w:noProof/>
                <w:webHidden/>
              </w:rPr>
              <w:fldChar w:fldCharType="end"/>
            </w:r>
          </w:hyperlink>
        </w:p>
        <w:p w14:paraId="46AAB4F0" w14:textId="54A2E18E"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76" w:history="1">
            <w:r w:rsidRPr="0005367E">
              <w:rPr>
                <w:rStyle w:val="Hyperlink"/>
                <w:noProof/>
              </w:rPr>
              <w:t>A necessarily simple data proxy for Culturally and Linguistically Diverse (CALD) people</w:t>
            </w:r>
            <w:r>
              <w:rPr>
                <w:noProof/>
                <w:webHidden/>
              </w:rPr>
              <w:tab/>
            </w:r>
            <w:r>
              <w:rPr>
                <w:noProof/>
                <w:webHidden/>
              </w:rPr>
              <w:fldChar w:fldCharType="begin"/>
            </w:r>
            <w:r>
              <w:rPr>
                <w:noProof/>
                <w:webHidden/>
              </w:rPr>
              <w:instrText xml:space="preserve"> PAGEREF _Toc204596276 \h </w:instrText>
            </w:r>
            <w:r>
              <w:rPr>
                <w:noProof/>
                <w:webHidden/>
              </w:rPr>
            </w:r>
            <w:r>
              <w:rPr>
                <w:noProof/>
                <w:webHidden/>
              </w:rPr>
              <w:fldChar w:fldCharType="separate"/>
            </w:r>
            <w:r w:rsidR="000879D6">
              <w:rPr>
                <w:noProof/>
                <w:webHidden/>
              </w:rPr>
              <w:t>4</w:t>
            </w:r>
            <w:r>
              <w:rPr>
                <w:noProof/>
                <w:webHidden/>
              </w:rPr>
              <w:fldChar w:fldCharType="end"/>
            </w:r>
          </w:hyperlink>
        </w:p>
        <w:p w14:paraId="1DEC3A59" w14:textId="197A3802" w:rsidR="007A5AE5" w:rsidRDefault="007A5AE5">
          <w:pPr>
            <w:pStyle w:val="TOC1"/>
            <w:rPr>
              <w:rFonts w:asciiTheme="minorHAnsi" w:eastAsiaTheme="minorEastAsia" w:hAnsiTheme="minorHAnsi"/>
              <w:b w:val="0"/>
              <w:noProof/>
              <w:color w:val="auto"/>
              <w:kern w:val="2"/>
              <w:sz w:val="24"/>
              <w:szCs w:val="24"/>
              <w:lang w:eastAsia="en-AU"/>
              <w14:ligatures w14:val="standardContextual"/>
            </w:rPr>
          </w:pPr>
          <w:hyperlink w:anchor="_Toc204596277" w:history="1">
            <w:r w:rsidRPr="0005367E">
              <w:rPr>
                <w:rStyle w:val="Hyperlink"/>
                <w:noProof/>
              </w:rPr>
              <w:t>Part 1 Technical Detail: Occupational Segregation</w:t>
            </w:r>
            <w:r>
              <w:rPr>
                <w:noProof/>
                <w:webHidden/>
              </w:rPr>
              <w:tab/>
            </w:r>
            <w:r>
              <w:rPr>
                <w:noProof/>
                <w:webHidden/>
              </w:rPr>
              <w:fldChar w:fldCharType="begin"/>
            </w:r>
            <w:r>
              <w:rPr>
                <w:noProof/>
                <w:webHidden/>
              </w:rPr>
              <w:instrText xml:space="preserve"> PAGEREF _Toc204596277 \h </w:instrText>
            </w:r>
            <w:r>
              <w:rPr>
                <w:noProof/>
                <w:webHidden/>
              </w:rPr>
            </w:r>
            <w:r>
              <w:rPr>
                <w:noProof/>
                <w:webHidden/>
              </w:rPr>
              <w:fldChar w:fldCharType="separate"/>
            </w:r>
            <w:r w:rsidR="000879D6">
              <w:rPr>
                <w:noProof/>
                <w:webHidden/>
              </w:rPr>
              <w:t>8</w:t>
            </w:r>
            <w:r>
              <w:rPr>
                <w:noProof/>
                <w:webHidden/>
              </w:rPr>
              <w:fldChar w:fldCharType="end"/>
            </w:r>
          </w:hyperlink>
        </w:p>
        <w:p w14:paraId="0A873609" w14:textId="608EBAE6" w:rsidR="007A5AE5" w:rsidRDefault="007A5AE5">
          <w:pPr>
            <w:pStyle w:val="TOC2"/>
            <w:rPr>
              <w:rFonts w:asciiTheme="minorHAnsi" w:eastAsiaTheme="minorEastAsia" w:hAnsiTheme="minorHAnsi"/>
              <w:b w:val="0"/>
              <w:noProof/>
              <w:kern w:val="2"/>
              <w:sz w:val="24"/>
              <w:szCs w:val="24"/>
              <w:lang w:eastAsia="en-AU"/>
              <w14:ligatures w14:val="standardContextual"/>
            </w:rPr>
          </w:pPr>
          <w:hyperlink w:anchor="_Toc204596278" w:history="1">
            <w:r w:rsidRPr="0005367E">
              <w:rPr>
                <w:rStyle w:val="Hyperlink"/>
                <w:noProof/>
              </w:rPr>
              <w:t>Census Methodology</w:t>
            </w:r>
            <w:r>
              <w:rPr>
                <w:noProof/>
                <w:webHidden/>
              </w:rPr>
              <w:tab/>
            </w:r>
            <w:r>
              <w:rPr>
                <w:noProof/>
                <w:webHidden/>
              </w:rPr>
              <w:fldChar w:fldCharType="begin"/>
            </w:r>
            <w:r>
              <w:rPr>
                <w:noProof/>
                <w:webHidden/>
              </w:rPr>
              <w:instrText xml:space="preserve"> PAGEREF _Toc204596278 \h </w:instrText>
            </w:r>
            <w:r>
              <w:rPr>
                <w:noProof/>
                <w:webHidden/>
              </w:rPr>
            </w:r>
            <w:r>
              <w:rPr>
                <w:noProof/>
                <w:webHidden/>
              </w:rPr>
              <w:fldChar w:fldCharType="separate"/>
            </w:r>
            <w:r w:rsidR="000879D6">
              <w:rPr>
                <w:noProof/>
                <w:webHidden/>
              </w:rPr>
              <w:t>8</w:t>
            </w:r>
            <w:r>
              <w:rPr>
                <w:noProof/>
                <w:webHidden/>
              </w:rPr>
              <w:fldChar w:fldCharType="end"/>
            </w:r>
          </w:hyperlink>
        </w:p>
        <w:p w14:paraId="0030B89C" w14:textId="78274624"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79" w:history="1">
            <w:r w:rsidRPr="0005367E">
              <w:rPr>
                <w:rStyle w:val="Hyperlink"/>
                <w:noProof/>
              </w:rPr>
              <w:t>Census ANZSCO 4-digit occupation estimates methodology</w:t>
            </w:r>
            <w:r>
              <w:rPr>
                <w:noProof/>
                <w:webHidden/>
              </w:rPr>
              <w:tab/>
            </w:r>
            <w:r>
              <w:rPr>
                <w:noProof/>
                <w:webHidden/>
              </w:rPr>
              <w:fldChar w:fldCharType="begin"/>
            </w:r>
            <w:r>
              <w:rPr>
                <w:noProof/>
                <w:webHidden/>
              </w:rPr>
              <w:instrText xml:space="preserve"> PAGEREF _Toc204596279 \h </w:instrText>
            </w:r>
            <w:r>
              <w:rPr>
                <w:noProof/>
                <w:webHidden/>
              </w:rPr>
            </w:r>
            <w:r>
              <w:rPr>
                <w:noProof/>
                <w:webHidden/>
              </w:rPr>
              <w:fldChar w:fldCharType="separate"/>
            </w:r>
            <w:r w:rsidR="000879D6">
              <w:rPr>
                <w:noProof/>
                <w:webHidden/>
              </w:rPr>
              <w:t>8</w:t>
            </w:r>
            <w:r>
              <w:rPr>
                <w:noProof/>
                <w:webHidden/>
              </w:rPr>
              <w:fldChar w:fldCharType="end"/>
            </w:r>
          </w:hyperlink>
        </w:p>
        <w:p w14:paraId="6826FB22" w14:textId="3AD54814"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80" w:history="1">
            <w:r w:rsidRPr="0005367E">
              <w:rPr>
                <w:rStyle w:val="Hyperlink"/>
                <w:noProof/>
              </w:rPr>
              <w:t>Occupation shortages methodology</w:t>
            </w:r>
            <w:r>
              <w:rPr>
                <w:noProof/>
                <w:webHidden/>
              </w:rPr>
              <w:tab/>
            </w:r>
            <w:r>
              <w:rPr>
                <w:noProof/>
                <w:webHidden/>
              </w:rPr>
              <w:fldChar w:fldCharType="begin"/>
            </w:r>
            <w:r>
              <w:rPr>
                <w:noProof/>
                <w:webHidden/>
              </w:rPr>
              <w:instrText xml:space="preserve"> PAGEREF _Toc204596280 \h </w:instrText>
            </w:r>
            <w:r>
              <w:rPr>
                <w:noProof/>
                <w:webHidden/>
              </w:rPr>
            </w:r>
            <w:r>
              <w:rPr>
                <w:noProof/>
                <w:webHidden/>
              </w:rPr>
              <w:fldChar w:fldCharType="separate"/>
            </w:r>
            <w:r w:rsidR="000879D6">
              <w:rPr>
                <w:noProof/>
                <w:webHidden/>
              </w:rPr>
              <w:t>8</w:t>
            </w:r>
            <w:r>
              <w:rPr>
                <w:noProof/>
                <w:webHidden/>
              </w:rPr>
              <w:fldChar w:fldCharType="end"/>
            </w:r>
          </w:hyperlink>
        </w:p>
        <w:p w14:paraId="3A7D259D" w14:textId="26957DCA"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81" w:history="1">
            <w:r w:rsidRPr="0005367E">
              <w:rPr>
                <w:rStyle w:val="Hyperlink"/>
                <w:noProof/>
              </w:rPr>
              <w:t>International examples of occupational segregation</w:t>
            </w:r>
            <w:r>
              <w:rPr>
                <w:noProof/>
                <w:webHidden/>
              </w:rPr>
              <w:tab/>
            </w:r>
            <w:r>
              <w:rPr>
                <w:noProof/>
                <w:webHidden/>
              </w:rPr>
              <w:fldChar w:fldCharType="begin"/>
            </w:r>
            <w:r>
              <w:rPr>
                <w:noProof/>
                <w:webHidden/>
              </w:rPr>
              <w:instrText xml:space="preserve"> PAGEREF _Toc204596281 \h </w:instrText>
            </w:r>
            <w:r>
              <w:rPr>
                <w:noProof/>
                <w:webHidden/>
              </w:rPr>
            </w:r>
            <w:r>
              <w:rPr>
                <w:noProof/>
                <w:webHidden/>
              </w:rPr>
              <w:fldChar w:fldCharType="separate"/>
            </w:r>
            <w:r w:rsidR="000879D6">
              <w:rPr>
                <w:noProof/>
                <w:webHidden/>
              </w:rPr>
              <w:t>8</w:t>
            </w:r>
            <w:r>
              <w:rPr>
                <w:noProof/>
                <w:webHidden/>
              </w:rPr>
              <w:fldChar w:fldCharType="end"/>
            </w:r>
          </w:hyperlink>
        </w:p>
        <w:p w14:paraId="6E18CD3A" w14:textId="4810D1C6"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82" w:history="1">
            <w:r w:rsidRPr="0005367E">
              <w:rPr>
                <w:rStyle w:val="Hyperlink"/>
                <w:noProof/>
              </w:rPr>
              <w:t>'Top growing occupations' methodology</w:t>
            </w:r>
            <w:r>
              <w:rPr>
                <w:noProof/>
                <w:webHidden/>
              </w:rPr>
              <w:tab/>
            </w:r>
            <w:r>
              <w:rPr>
                <w:noProof/>
                <w:webHidden/>
              </w:rPr>
              <w:fldChar w:fldCharType="begin"/>
            </w:r>
            <w:r>
              <w:rPr>
                <w:noProof/>
                <w:webHidden/>
              </w:rPr>
              <w:instrText xml:space="preserve"> PAGEREF _Toc204596282 \h </w:instrText>
            </w:r>
            <w:r>
              <w:rPr>
                <w:noProof/>
                <w:webHidden/>
              </w:rPr>
            </w:r>
            <w:r>
              <w:rPr>
                <w:noProof/>
                <w:webHidden/>
              </w:rPr>
              <w:fldChar w:fldCharType="separate"/>
            </w:r>
            <w:r w:rsidR="000879D6">
              <w:rPr>
                <w:noProof/>
                <w:webHidden/>
              </w:rPr>
              <w:t>9</w:t>
            </w:r>
            <w:r>
              <w:rPr>
                <w:noProof/>
                <w:webHidden/>
              </w:rPr>
              <w:fldChar w:fldCharType="end"/>
            </w:r>
          </w:hyperlink>
        </w:p>
        <w:p w14:paraId="48861811" w14:textId="3618758B" w:rsidR="007A5AE5" w:rsidRDefault="007A5AE5">
          <w:pPr>
            <w:pStyle w:val="TOC2"/>
            <w:rPr>
              <w:rFonts w:asciiTheme="minorHAnsi" w:eastAsiaTheme="minorEastAsia" w:hAnsiTheme="minorHAnsi"/>
              <w:b w:val="0"/>
              <w:noProof/>
              <w:kern w:val="2"/>
              <w:sz w:val="24"/>
              <w:szCs w:val="24"/>
              <w:lang w:eastAsia="en-AU"/>
              <w14:ligatures w14:val="standardContextual"/>
            </w:rPr>
          </w:pPr>
          <w:hyperlink w:anchor="_Toc204596283" w:history="1">
            <w:r w:rsidRPr="0005367E">
              <w:rPr>
                <w:rStyle w:val="Hyperlink"/>
                <w:noProof/>
              </w:rPr>
              <w:t>Supplementary tables and analysis</w:t>
            </w:r>
            <w:r>
              <w:rPr>
                <w:noProof/>
                <w:webHidden/>
              </w:rPr>
              <w:tab/>
            </w:r>
            <w:r>
              <w:rPr>
                <w:noProof/>
                <w:webHidden/>
              </w:rPr>
              <w:fldChar w:fldCharType="begin"/>
            </w:r>
            <w:r>
              <w:rPr>
                <w:noProof/>
                <w:webHidden/>
              </w:rPr>
              <w:instrText xml:space="preserve"> PAGEREF _Toc204596283 \h </w:instrText>
            </w:r>
            <w:r>
              <w:rPr>
                <w:noProof/>
                <w:webHidden/>
              </w:rPr>
            </w:r>
            <w:r>
              <w:rPr>
                <w:noProof/>
                <w:webHidden/>
              </w:rPr>
              <w:fldChar w:fldCharType="separate"/>
            </w:r>
            <w:r w:rsidR="000879D6">
              <w:rPr>
                <w:noProof/>
                <w:webHidden/>
              </w:rPr>
              <w:t>11</w:t>
            </w:r>
            <w:r>
              <w:rPr>
                <w:noProof/>
                <w:webHidden/>
              </w:rPr>
              <w:fldChar w:fldCharType="end"/>
            </w:r>
          </w:hyperlink>
        </w:p>
        <w:p w14:paraId="5B561087" w14:textId="47E7319D"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84" w:history="1">
            <w:r w:rsidRPr="0005367E">
              <w:rPr>
                <w:rStyle w:val="Hyperlink"/>
                <w:noProof/>
              </w:rPr>
              <w:t>Skill Level segregation</w:t>
            </w:r>
            <w:r>
              <w:rPr>
                <w:noProof/>
                <w:webHidden/>
              </w:rPr>
              <w:tab/>
            </w:r>
            <w:r>
              <w:rPr>
                <w:noProof/>
                <w:webHidden/>
              </w:rPr>
              <w:fldChar w:fldCharType="begin"/>
            </w:r>
            <w:r>
              <w:rPr>
                <w:noProof/>
                <w:webHidden/>
              </w:rPr>
              <w:instrText xml:space="preserve"> PAGEREF _Toc204596284 \h </w:instrText>
            </w:r>
            <w:r>
              <w:rPr>
                <w:noProof/>
                <w:webHidden/>
              </w:rPr>
            </w:r>
            <w:r>
              <w:rPr>
                <w:noProof/>
                <w:webHidden/>
              </w:rPr>
              <w:fldChar w:fldCharType="separate"/>
            </w:r>
            <w:r w:rsidR="000879D6">
              <w:rPr>
                <w:noProof/>
                <w:webHidden/>
              </w:rPr>
              <w:t>11</w:t>
            </w:r>
            <w:r>
              <w:rPr>
                <w:noProof/>
                <w:webHidden/>
              </w:rPr>
              <w:fldChar w:fldCharType="end"/>
            </w:r>
          </w:hyperlink>
        </w:p>
        <w:p w14:paraId="0FC4E868" w14:textId="1099D913"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85" w:history="1">
            <w:r w:rsidRPr="0005367E">
              <w:rPr>
                <w:rStyle w:val="Hyperlink"/>
                <w:noProof/>
              </w:rPr>
              <w:t>Changes over time</w:t>
            </w:r>
            <w:r>
              <w:rPr>
                <w:noProof/>
                <w:webHidden/>
              </w:rPr>
              <w:tab/>
            </w:r>
            <w:r>
              <w:rPr>
                <w:noProof/>
                <w:webHidden/>
              </w:rPr>
              <w:fldChar w:fldCharType="begin"/>
            </w:r>
            <w:r>
              <w:rPr>
                <w:noProof/>
                <w:webHidden/>
              </w:rPr>
              <w:instrText xml:space="preserve"> PAGEREF _Toc204596285 \h </w:instrText>
            </w:r>
            <w:r>
              <w:rPr>
                <w:noProof/>
                <w:webHidden/>
              </w:rPr>
            </w:r>
            <w:r>
              <w:rPr>
                <w:noProof/>
                <w:webHidden/>
              </w:rPr>
              <w:fldChar w:fldCharType="separate"/>
            </w:r>
            <w:r w:rsidR="000879D6">
              <w:rPr>
                <w:noProof/>
                <w:webHidden/>
              </w:rPr>
              <w:t>12</w:t>
            </w:r>
            <w:r>
              <w:rPr>
                <w:noProof/>
                <w:webHidden/>
              </w:rPr>
              <w:fldChar w:fldCharType="end"/>
            </w:r>
          </w:hyperlink>
        </w:p>
        <w:p w14:paraId="10149DB3" w14:textId="468355A4"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86" w:history="1">
            <w:r w:rsidRPr="0005367E">
              <w:rPr>
                <w:rStyle w:val="Hyperlink"/>
                <w:noProof/>
              </w:rPr>
              <w:t>Changes across the life course - age cohort</w:t>
            </w:r>
            <w:r>
              <w:rPr>
                <w:noProof/>
                <w:webHidden/>
              </w:rPr>
              <w:tab/>
            </w:r>
            <w:r>
              <w:rPr>
                <w:noProof/>
                <w:webHidden/>
              </w:rPr>
              <w:fldChar w:fldCharType="begin"/>
            </w:r>
            <w:r>
              <w:rPr>
                <w:noProof/>
                <w:webHidden/>
              </w:rPr>
              <w:instrText xml:space="preserve"> PAGEREF _Toc204596286 \h </w:instrText>
            </w:r>
            <w:r>
              <w:rPr>
                <w:noProof/>
                <w:webHidden/>
              </w:rPr>
            </w:r>
            <w:r>
              <w:rPr>
                <w:noProof/>
                <w:webHidden/>
              </w:rPr>
              <w:fldChar w:fldCharType="separate"/>
            </w:r>
            <w:r w:rsidR="000879D6">
              <w:rPr>
                <w:noProof/>
                <w:webHidden/>
              </w:rPr>
              <w:t>13</w:t>
            </w:r>
            <w:r>
              <w:rPr>
                <w:noProof/>
                <w:webHidden/>
              </w:rPr>
              <w:fldChar w:fldCharType="end"/>
            </w:r>
          </w:hyperlink>
        </w:p>
        <w:p w14:paraId="01F28D2F" w14:textId="4104D019" w:rsidR="007A5AE5" w:rsidRDefault="007A5AE5">
          <w:pPr>
            <w:pStyle w:val="TOC1"/>
            <w:rPr>
              <w:rFonts w:asciiTheme="minorHAnsi" w:eastAsiaTheme="minorEastAsia" w:hAnsiTheme="minorHAnsi"/>
              <w:b w:val="0"/>
              <w:noProof/>
              <w:color w:val="auto"/>
              <w:kern w:val="2"/>
              <w:sz w:val="24"/>
              <w:szCs w:val="24"/>
              <w:lang w:eastAsia="en-AU"/>
              <w14:ligatures w14:val="standardContextual"/>
            </w:rPr>
          </w:pPr>
          <w:hyperlink w:anchor="_Toc204596287" w:history="1">
            <w:r w:rsidRPr="0005367E">
              <w:rPr>
                <w:rStyle w:val="Hyperlink"/>
                <w:noProof/>
              </w:rPr>
              <w:t>Part 2 Technical Detail: Gender Pay Gaps</w:t>
            </w:r>
            <w:r>
              <w:rPr>
                <w:noProof/>
                <w:webHidden/>
              </w:rPr>
              <w:tab/>
            </w:r>
            <w:r>
              <w:rPr>
                <w:noProof/>
                <w:webHidden/>
              </w:rPr>
              <w:fldChar w:fldCharType="begin"/>
            </w:r>
            <w:r>
              <w:rPr>
                <w:noProof/>
                <w:webHidden/>
              </w:rPr>
              <w:instrText xml:space="preserve"> PAGEREF _Toc204596287 \h </w:instrText>
            </w:r>
            <w:r>
              <w:rPr>
                <w:noProof/>
                <w:webHidden/>
              </w:rPr>
            </w:r>
            <w:r>
              <w:rPr>
                <w:noProof/>
                <w:webHidden/>
              </w:rPr>
              <w:fldChar w:fldCharType="separate"/>
            </w:r>
            <w:r w:rsidR="000879D6">
              <w:rPr>
                <w:noProof/>
                <w:webHidden/>
              </w:rPr>
              <w:t>15</w:t>
            </w:r>
            <w:r>
              <w:rPr>
                <w:noProof/>
                <w:webHidden/>
              </w:rPr>
              <w:fldChar w:fldCharType="end"/>
            </w:r>
          </w:hyperlink>
        </w:p>
        <w:p w14:paraId="511EFD8B" w14:textId="3243EA37" w:rsidR="007A5AE5" w:rsidRDefault="007A5AE5">
          <w:pPr>
            <w:pStyle w:val="TOC2"/>
            <w:rPr>
              <w:rFonts w:asciiTheme="minorHAnsi" w:eastAsiaTheme="minorEastAsia" w:hAnsiTheme="minorHAnsi"/>
              <w:b w:val="0"/>
              <w:noProof/>
              <w:kern w:val="2"/>
              <w:sz w:val="24"/>
              <w:szCs w:val="24"/>
              <w:lang w:eastAsia="en-AU"/>
              <w14:ligatures w14:val="standardContextual"/>
            </w:rPr>
          </w:pPr>
          <w:hyperlink w:anchor="_Toc204596288" w:history="1">
            <w:r w:rsidRPr="0005367E">
              <w:rPr>
                <w:rStyle w:val="Hyperlink"/>
                <w:noProof/>
              </w:rPr>
              <w:t>How the JSA gender pay gap measures complement those produced by WGEA and the ABS</w:t>
            </w:r>
            <w:r>
              <w:rPr>
                <w:noProof/>
                <w:webHidden/>
              </w:rPr>
              <w:tab/>
            </w:r>
            <w:r>
              <w:rPr>
                <w:noProof/>
                <w:webHidden/>
              </w:rPr>
              <w:fldChar w:fldCharType="begin"/>
            </w:r>
            <w:r>
              <w:rPr>
                <w:noProof/>
                <w:webHidden/>
              </w:rPr>
              <w:instrText xml:space="preserve"> PAGEREF _Toc204596288 \h </w:instrText>
            </w:r>
            <w:r>
              <w:rPr>
                <w:noProof/>
                <w:webHidden/>
              </w:rPr>
            </w:r>
            <w:r>
              <w:rPr>
                <w:noProof/>
                <w:webHidden/>
              </w:rPr>
              <w:fldChar w:fldCharType="separate"/>
            </w:r>
            <w:r w:rsidR="000879D6">
              <w:rPr>
                <w:noProof/>
                <w:webHidden/>
              </w:rPr>
              <w:t>15</w:t>
            </w:r>
            <w:r>
              <w:rPr>
                <w:noProof/>
                <w:webHidden/>
              </w:rPr>
              <w:fldChar w:fldCharType="end"/>
            </w:r>
          </w:hyperlink>
        </w:p>
        <w:p w14:paraId="2CF1A38D" w14:textId="44825CE4"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89" w:history="1">
            <w:r w:rsidRPr="0005367E">
              <w:rPr>
                <w:rStyle w:val="Hyperlink"/>
                <w:noProof/>
              </w:rPr>
              <w:t>What are the similarities and differences in how WGEA and ABS report gender pay gaps?</w:t>
            </w:r>
            <w:r>
              <w:rPr>
                <w:noProof/>
                <w:webHidden/>
              </w:rPr>
              <w:tab/>
            </w:r>
            <w:r>
              <w:rPr>
                <w:noProof/>
                <w:webHidden/>
              </w:rPr>
              <w:fldChar w:fldCharType="begin"/>
            </w:r>
            <w:r>
              <w:rPr>
                <w:noProof/>
                <w:webHidden/>
              </w:rPr>
              <w:instrText xml:space="preserve"> PAGEREF _Toc204596289 \h </w:instrText>
            </w:r>
            <w:r>
              <w:rPr>
                <w:noProof/>
                <w:webHidden/>
              </w:rPr>
            </w:r>
            <w:r>
              <w:rPr>
                <w:noProof/>
                <w:webHidden/>
              </w:rPr>
              <w:fldChar w:fldCharType="separate"/>
            </w:r>
            <w:r w:rsidR="000879D6">
              <w:rPr>
                <w:noProof/>
                <w:webHidden/>
              </w:rPr>
              <w:t>15</w:t>
            </w:r>
            <w:r>
              <w:rPr>
                <w:noProof/>
                <w:webHidden/>
              </w:rPr>
              <w:fldChar w:fldCharType="end"/>
            </w:r>
          </w:hyperlink>
        </w:p>
        <w:p w14:paraId="4D1C31D6" w14:textId="23AB8FB0" w:rsidR="007A5AE5" w:rsidRDefault="007A5AE5">
          <w:pPr>
            <w:pStyle w:val="TOC2"/>
            <w:rPr>
              <w:rFonts w:asciiTheme="minorHAnsi" w:eastAsiaTheme="minorEastAsia" w:hAnsiTheme="minorHAnsi"/>
              <w:b w:val="0"/>
              <w:noProof/>
              <w:kern w:val="2"/>
              <w:sz w:val="24"/>
              <w:szCs w:val="24"/>
              <w:lang w:eastAsia="en-AU"/>
              <w14:ligatures w14:val="standardContextual"/>
            </w:rPr>
          </w:pPr>
          <w:hyperlink w:anchor="_Toc204596290" w:history="1">
            <w:r w:rsidRPr="0005367E">
              <w:rPr>
                <w:rStyle w:val="Hyperlink"/>
                <w:noProof/>
              </w:rPr>
              <w:t>Methodology used in this Study</w:t>
            </w:r>
            <w:r>
              <w:rPr>
                <w:noProof/>
                <w:webHidden/>
              </w:rPr>
              <w:tab/>
            </w:r>
            <w:r>
              <w:rPr>
                <w:noProof/>
                <w:webHidden/>
              </w:rPr>
              <w:fldChar w:fldCharType="begin"/>
            </w:r>
            <w:r>
              <w:rPr>
                <w:noProof/>
                <w:webHidden/>
              </w:rPr>
              <w:instrText xml:space="preserve"> PAGEREF _Toc204596290 \h </w:instrText>
            </w:r>
            <w:r>
              <w:rPr>
                <w:noProof/>
                <w:webHidden/>
              </w:rPr>
            </w:r>
            <w:r>
              <w:rPr>
                <w:noProof/>
                <w:webHidden/>
              </w:rPr>
              <w:fldChar w:fldCharType="separate"/>
            </w:r>
            <w:r w:rsidR="000879D6">
              <w:rPr>
                <w:noProof/>
                <w:webHidden/>
              </w:rPr>
              <w:t>16</w:t>
            </w:r>
            <w:r>
              <w:rPr>
                <w:noProof/>
                <w:webHidden/>
              </w:rPr>
              <w:fldChar w:fldCharType="end"/>
            </w:r>
          </w:hyperlink>
        </w:p>
        <w:p w14:paraId="4DB0C1DF" w14:textId="25DBE354"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1" w:history="1">
            <w:r w:rsidRPr="0005367E">
              <w:rPr>
                <w:rStyle w:val="Hyperlink"/>
                <w:noProof/>
              </w:rPr>
              <w:t>Annualisation</w:t>
            </w:r>
            <w:r>
              <w:rPr>
                <w:noProof/>
                <w:webHidden/>
              </w:rPr>
              <w:tab/>
            </w:r>
            <w:r>
              <w:rPr>
                <w:noProof/>
                <w:webHidden/>
              </w:rPr>
              <w:fldChar w:fldCharType="begin"/>
            </w:r>
            <w:r>
              <w:rPr>
                <w:noProof/>
                <w:webHidden/>
              </w:rPr>
              <w:instrText xml:space="preserve"> PAGEREF _Toc204596291 \h </w:instrText>
            </w:r>
            <w:r>
              <w:rPr>
                <w:noProof/>
                <w:webHidden/>
              </w:rPr>
            </w:r>
            <w:r>
              <w:rPr>
                <w:noProof/>
                <w:webHidden/>
              </w:rPr>
              <w:fldChar w:fldCharType="separate"/>
            </w:r>
            <w:r w:rsidR="000879D6">
              <w:rPr>
                <w:noProof/>
                <w:webHidden/>
              </w:rPr>
              <w:t>16</w:t>
            </w:r>
            <w:r>
              <w:rPr>
                <w:noProof/>
                <w:webHidden/>
              </w:rPr>
              <w:fldChar w:fldCharType="end"/>
            </w:r>
          </w:hyperlink>
        </w:p>
        <w:p w14:paraId="110A6DC4" w14:textId="25F26E38"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2" w:history="1">
            <w:r w:rsidRPr="0005367E">
              <w:rPr>
                <w:rStyle w:val="Hyperlink"/>
                <w:noProof/>
              </w:rPr>
              <w:t>Exclusion of self-employed and people with no income</w:t>
            </w:r>
            <w:r>
              <w:rPr>
                <w:noProof/>
                <w:webHidden/>
              </w:rPr>
              <w:tab/>
            </w:r>
            <w:r>
              <w:rPr>
                <w:noProof/>
                <w:webHidden/>
              </w:rPr>
              <w:fldChar w:fldCharType="begin"/>
            </w:r>
            <w:r>
              <w:rPr>
                <w:noProof/>
                <w:webHidden/>
              </w:rPr>
              <w:instrText xml:space="preserve"> PAGEREF _Toc204596292 \h </w:instrText>
            </w:r>
            <w:r>
              <w:rPr>
                <w:noProof/>
                <w:webHidden/>
              </w:rPr>
            </w:r>
            <w:r>
              <w:rPr>
                <w:noProof/>
                <w:webHidden/>
              </w:rPr>
              <w:fldChar w:fldCharType="separate"/>
            </w:r>
            <w:r w:rsidR="000879D6">
              <w:rPr>
                <w:noProof/>
                <w:webHidden/>
              </w:rPr>
              <w:t>16</w:t>
            </w:r>
            <w:r>
              <w:rPr>
                <w:noProof/>
                <w:webHidden/>
              </w:rPr>
              <w:fldChar w:fldCharType="end"/>
            </w:r>
          </w:hyperlink>
        </w:p>
        <w:p w14:paraId="5821C54E" w14:textId="6BF08168"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3" w:history="1">
            <w:r w:rsidRPr="0005367E">
              <w:rPr>
                <w:rStyle w:val="Hyperlink"/>
                <w:noProof/>
              </w:rPr>
              <w:t>Occupations included in pay gap analysis</w:t>
            </w:r>
            <w:r>
              <w:rPr>
                <w:noProof/>
                <w:webHidden/>
              </w:rPr>
              <w:tab/>
            </w:r>
            <w:r>
              <w:rPr>
                <w:noProof/>
                <w:webHidden/>
              </w:rPr>
              <w:fldChar w:fldCharType="begin"/>
            </w:r>
            <w:r>
              <w:rPr>
                <w:noProof/>
                <w:webHidden/>
              </w:rPr>
              <w:instrText xml:space="preserve"> PAGEREF _Toc204596293 \h </w:instrText>
            </w:r>
            <w:r>
              <w:rPr>
                <w:noProof/>
                <w:webHidden/>
              </w:rPr>
            </w:r>
            <w:r>
              <w:rPr>
                <w:noProof/>
                <w:webHidden/>
              </w:rPr>
              <w:fldChar w:fldCharType="separate"/>
            </w:r>
            <w:r w:rsidR="000879D6">
              <w:rPr>
                <w:noProof/>
                <w:webHidden/>
              </w:rPr>
              <w:t>16</w:t>
            </w:r>
            <w:r>
              <w:rPr>
                <w:noProof/>
                <w:webHidden/>
              </w:rPr>
              <w:fldChar w:fldCharType="end"/>
            </w:r>
          </w:hyperlink>
        </w:p>
        <w:p w14:paraId="229B17A8" w14:textId="3F0A5336"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4" w:history="1">
            <w:r w:rsidRPr="0005367E">
              <w:rPr>
                <w:rStyle w:val="Hyperlink"/>
                <w:noProof/>
              </w:rPr>
              <w:t>Classifying 'neutral' gender pay gaps</w:t>
            </w:r>
            <w:r>
              <w:rPr>
                <w:noProof/>
                <w:webHidden/>
              </w:rPr>
              <w:tab/>
            </w:r>
            <w:r>
              <w:rPr>
                <w:noProof/>
                <w:webHidden/>
              </w:rPr>
              <w:fldChar w:fldCharType="begin"/>
            </w:r>
            <w:r>
              <w:rPr>
                <w:noProof/>
                <w:webHidden/>
              </w:rPr>
              <w:instrText xml:space="preserve"> PAGEREF _Toc204596294 \h </w:instrText>
            </w:r>
            <w:r>
              <w:rPr>
                <w:noProof/>
                <w:webHidden/>
              </w:rPr>
            </w:r>
            <w:r>
              <w:rPr>
                <w:noProof/>
                <w:webHidden/>
              </w:rPr>
              <w:fldChar w:fldCharType="separate"/>
            </w:r>
            <w:r w:rsidR="000879D6">
              <w:rPr>
                <w:noProof/>
                <w:webHidden/>
              </w:rPr>
              <w:t>16</w:t>
            </w:r>
            <w:r>
              <w:rPr>
                <w:noProof/>
                <w:webHidden/>
              </w:rPr>
              <w:fldChar w:fldCharType="end"/>
            </w:r>
          </w:hyperlink>
        </w:p>
        <w:p w14:paraId="32E74519" w14:textId="173B8531"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5" w:history="1">
            <w:r w:rsidRPr="0005367E">
              <w:rPr>
                <w:rStyle w:val="Hyperlink"/>
                <w:noProof/>
              </w:rPr>
              <w:t>Occupational gender pay gaps over time</w:t>
            </w:r>
            <w:r>
              <w:rPr>
                <w:noProof/>
                <w:webHidden/>
              </w:rPr>
              <w:tab/>
            </w:r>
            <w:r>
              <w:rPr>
                <w:noProof/>
                <w:webHidden/>
              </w:rPr>
              <w:fldChar w:fldCharType="begin"/>
            </w:r>
            <w:r>
              <w:rPr>
                <w:noProof/>
                <w:webHidden/>
              </w:rPr>
              <w:instrText xml:space="preserve"> PAGEREF _Toc204596295 \h </w:instrText>
            </w:r>
            <w:r>
              <w:rPr>
                <w:noProof/>
                <w:webHidden/>
              </w:rPr>
            </w:r>
            <w:r>
              <w:rPr>
                <w:noProof/>
                <w:webHidden/>
              </w:rPr>
              <w:fldChar w:fldCharType="separate"/>
            </w:r>
            <w:r w:rsidR="000879D6">
              <w:rPr>
                <w:noProof/>
                <w:webHidden/>
              </w:rPr>
              <w:t>17</w:t>
            </w:r>
            <w:r>
              <w:rPr>
                <w:noProof/>
                <w:webHidden/>
              </w:rPr>
              <w:fldChar w:fldCharType="end"/>
            </w:r>
          </w:hyperlink>
        </w:p>
        <w:p w14:paraId="6D52AB58" w14:textId="53A91014"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6" w:history="1">
            <w:r w:rsidRPr="0005367E">
              <w:rPr>
                <w:rStyle w:val="Hyperlink"/>
                <w:noProof/>
              </w:rPr>
              <w:t>10-year accumulated gender pay gaps</w:t>
            </w:r>
            <w:r>
              <w:rPr>
                <w:noProof/>
                <w:webHidden/>
              </w:rPr>
              <w:tab/>
            </w:r>
            <w:r>
              <w:rPr>
                <w:noProof/>
                <w:webHidden/>
              </w:rPr>
              <w:fldChar w:fldCharType="begin"/>
            </w:r>
            <w:r>
              <w:rPr>
                <w:noProof/>
                <w:webHidden/>
              </w:rPr>
              <w:instrText xml:space="preserve"> PAGEREF _Toc204596296 \h </w:instrText>
            </w:r>
            <w:r>
              <w:rPr>
                <w:noProof/>
                <w:webHidden/>
              </w:rPr>
            </w:r>
            <w:r>
              <w:rPr>
                <w:noProof/>
                <w:webHidden/>
              </w:rPr>
              <w:fldChar w:fldCharType="separate"/>
            </w:r>
            <w:r w:rsidR="000879D6">
              <w:rPr>
                <w:noProof/>
                <w:webHidden/>
              </w:rPr>
              <w:t>17</w:t>
            </w:r>
            <w:r>
              <w:rPr>
                <w:noProof/>
                <w:webHidden/>
              </w:rPr>
              <w:fldChar w:fldCharType="end"/>
            </w:r>
          </w:hyperlink>
        </w:p>
        <w:p w14:paraId="178431F4" w14:textId="3B511A13"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7" w:history="1">
            <w:r w:rsidRPr="0005367E">
              <w:rPr>
                <w:rStyle w:val="Hyperlink"/>
                <w:noProof/>
              </w:rPr>
              <w:t>Occupational median hours worked gaps</w:t>
            </w:r>
            <w:r>
              <w:rPr>
                <w:noProof/>
                <w:webHidden/>
              </w:rPr>
              <w:tab/>
            </w:r>
            <w:r>
              <w:rPr>
                <w:noProof/>
                <w:webHidden/>
              </w:rPr>
              <w:fldChar w:fldCharType="begin"/>
            </w:r>
            <w:r>
              <w:rPr>
                <w:noProof/>
                <w:webHidden/>
              </w:rPr>
              <w:instrText xml:space="preserve"> PAGEREF _Toc204596297 \h </w:instrText>
            </w:r>
            <w:r>
              <w:rPr>
                <w:noProof/>
                <w:webHidden/>
              </w:rPr>
            </w:r>
            <w:r>
              <w:rPr>
                <w:noProof/>
                <w:webHidden/>
              </w:rPr>
              <w:fldChar w:fldCharType="separate"/>
            </w:r>
            <w:r w:rsidR="000879D6">
              <w:rPr>
                <w:noProof/>
                <w:webHidden/>
              </w:rPr>
              <w:t>17</w:t>
            </w:r>
            <w:r>
              <w:rPr>
                <w:noProof/>
                <w:webHidden/>
              </w:rPr>
              <w:fldChar w:fldCharType="end"/>
            </w:r>
          </w:hyperlink>
        </w:p>
        <w:p w14:paraId="457D0F2B" w14:textId="1D30FE4F" w:rsidR="007A5AE5" w:rsidRDefault="007A5AE5">
          <w:pPr>
            <w:pStyle w:val="TOC2"/>
            <w:rPr>
              <w:rFonts w:asciiTheme="minorHAnsi" w:eastAsiaTheme="minorEastAsia" w:hAnsiTheme="minorHAnsi"/>
              <w:b w:val="0"/>
              <w:noProof/>
              <w:kern w:val="2"/>
              <w:sz w:val="24"/>
              <w:szCs w:val="24"/>
              <w:lang w:eastAsia="en-AU"/>
              <w14:ligatures w14:val="standardContextual"/>
            </w:rPr>
          </w:pPr>
          <w:hyperlink w:anchor="_Toc204596298" w:history="1">
            <w:r w:rsidRPr="0005367E">
              <w:rPr>
                <w:rStyle w:val="Hyperlink"/>
                <w:noProof/>
              </w:rPr>
              <w:t>Supplementary tables and analysis</w:t>
            </w:r>
            <w:r>
              <w:rPr>
                <w:noProof/>
                <w:webHidden/>
              </w:rPr>
              <w:tab/>
            </w:r>
            <w:r>
              <w:rPr>
                <w:noProof/>
                <w:webHidden/>
              </w:rPr>
              <w:fldChar w:fldCharType="begin"/>
            </w:r>
            <w:r>
              <w:rPr>
                <w:noProof/>
                <w:webHidden/>
              </w:rPr>
              <w:instrText xml:space="preserve"> PAGEREF _Toc204596298 \h </w:instrText>
            </w:r>
            <w:r>
              <w:rPr>
                <w:noProof/>
                <w:webHidden/>
              </w:rPr>
            </w:r>
            <w:r>
              <w:rPr>
                <w:noProof/>
                <w:webHidden/>
              </w:rPr>
              <w:fldChar w:fldCharType="separate"/>
            </w:r>
            <w:r w:rsidR="000879D6">
              <w:rPr>
                <w:noProof/>
                <w:webHidden/>
              </w:rPr>
              <w:t>19</w:t>
            </w:r>
            <w:r>
              <w:rPr>
                <w:noProof/>
                <w:webHidden/>
              </w:rPr>
              <w:fldChar w:fldCharType="end"/>
            </w:r>
          </w:hyperlink>
        </w:p>
        <w:p w14:paraId="69BBC0EE" w14:textId="344B53EC"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299" w:history="1">
            <w:r w:rsidRPr="0005367E">
              <w:rPr>
                <w:rStyle w:val="Hyperlink"/>
                <w:noProof/>
              </w:rPr>
              <w:t>Headline gender pay gap ranges</w:t>
            </w:r>
            <w:r>
              <w:rPr>
                <w:noProof/>
                <w:webHidden/>
              </w:rPr>
              <w:tab/>
            </w:r>
            <w:r>
              <w:rPr>
                <w:noProof/>
                <w:webHidden/>
              </w:rPr>
              <w:fldChar w:fldCharType="begin"/>
            </w:r>
            <w:r>
              <w:rPr>
                <w:noProof/>
                <w:webHidden/>
              </w:rPr>
              <w:instrText xml:space="preserve"> PAGEREF _Toc204596299 \h </w:instrText>
            </w:r>
            <w:r>
              <w:rPr>
                <w:noProof/>
                <w:webHidden/>
              </w:rPr>
            </w:r>
            <w:r>
              <w:rPr>
                <w:noProof/>
                <w:webHidden/>
              </w:rPr>
              <w:fldChar w:fldCharType="separate"/>
            </w:r>
            <w:r w:rsidR="000879D6">
              <w:rPr>
                <w:noProof/>
                <w:webHidden/>
              </w:rPr>
              <w:t>19</w:t>
            </w:r>
            <w:r>
              <w:rPr>
                <w:noProof/>
                <w:webHidden/>
              </w:rPr>
              <w:fldChar w:fldCharType="end"/>
            </w:r>
          </w:hyperlink>
        </w:p>
        <w:p w14:paraId="62E56245" w14:textId="388D297E"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300" w:history="1">
            <w:r w:rsidRPr="0005367E">
              <w:rPr>
                <w:rStyle w:val="Hyperlink"/>
                <w:noProof/>
              </w:rPr>
              <w:t>Occupational gender pay gaps over time ranges</w:t>
            </w:r>
            <w:r>
              <w:rPr>
                <w:noProof/>
                <w:webHidden/>
              </w:rPr>
              <w:tab/>
            </w:r>
            <w:r>
              <w:rPr>
                <w:noProof/>
                <w:webHidden/>
              </w:rPr>
              <w:fldChar w:fldCharType="begin"/>
            </w:r>
            <w:r>
              <w:rPr>
                <w:noProof/>
                <w:webHidden/>
              </w:rPr>
              <w:instrText xml:space="preserve"> PAGEREF _Toc204596300 \h </w:instrText>
            </w:r>
            <w:r>
              <w:rPr>
                <w:noProof/>
                <w:webHidden/>
              </w:rPr>
            </w:r>
            <w:r>
              <w:rPr>
                <w:noProof/>
                <w:webHidden/>
              </w:rPr>
              <w:fldChar w:fldCharType="separate"/>
            </w:r>
            <w:r w:rsidR="000879D6">
              <w:rPr>
                <w:noProof/>
                <w:webHidden/>
              </w:rPr>
              <w:t>19</w:t>
            </w:r>
            <w:r>
              <w:rPr>
                <w:noProof/>
                <w:webHidden/>
              </w:rPr>
              <w:fldChar w:fldCharType="end"/>
            </w:r>
          </w:hyperlink>
        </w:p>
        <w:p w14:paraId="14F7DBEB" w14:textId="61CF29F6"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301" w:history="1">
            <w:r w:rsidRPr="0005367E">
              <w:rPr>
                <w:rStyle w:val="Hyperlink"/>
                <w:noProof/>
              </w:rPr>
              <w:t>10-year accumulated gender pay gap ranges</w:t>
            </w:r>
            <w:r>
              <w:rPr>
                <w:noProof/>
                <w:webHidden/>
              </w:rPr>
              <w:tab/>
            </w:r>
            <w:r>
              <w:rPr>
                <w:noProof/>
                <w:webHidden/>
              </w:rPr>
              <w:fldChar w:fldCharType="begin"/>
            </w:r>
            <w:r>
              <w:rPr>
                <w:noProof/>
                <w:webHidden/>
              </w:rPr>
              <w:instrText xml:space="preserve"> PAGEREF _Toc204596301 \h </w:instrText>
            </w:r>
            <w:r>
              <w:rPr>
                <w:noProof/>
                <w:webHidden/>
              </w:rPr>
            </w:r>
            <w:r>
              <w:rPr>
                <w:noProof/>
                <w:webHidden/>
              </w:rPr>
              <w:fldChar w:fldCharType="separate"/>
            </w:r>
            <w:r w:rsidR="000879D6">
              <w:rPr>
                <w:noProof/>
                <w:webHidden/>
              </w:rPr>
              <w:t>20</w:t>
            </w:r>
            <w:r>
              <w:rPr>
                <w:noProof/>
                <w:webHidden/>
              </w:rPr>
              <w:fldChar w:fldCharType="end"/>
            </w:r>
          </w:hyperlink>
        </w:p>
        <w:p w14:paraId="03BC7A9A" w14:textId="357EBDC8" w:rsidR="007A5AE5" w:rsidRDefault="007A5AE5">
          <w:pPr>
            <w:pStyle w:val="TOC3"/>
            <w:rPr>
              <w:rFonts w:asciiTheme="minorHAnsi" w:eastAsiaTheme="minorEastAsia" w:hAnsiTheme="minorHAnsi"/>
              <w:noProof/>
              <w:kern w:val="2"/>
              <w:sz w:val="24"/>
              <w:szCs w:val="24"/>
              <w:lang w:eastAsia="en-AU"/>
              <w14:ligatures w14:val="standardContextual"/>
            </w:rPr>
          </w:pPr>
          <w:hyperlink w:anchor="_Toc204596302" w:history="1">
            <w:r w:rsidRPr="0005367E">
              <w:rPr>
                <w:rStyle w:val="Hyperlink"/>
                <w:noProof/>
              </w:rPr>
              <w:t>Gender pay gaps and occupational median hours worked and paid</w:t>
            </w:r>
            <w:r>
              <w:rPr>
                <w:noProof/>
                <w:webHidden/>
              </w:rPr>
              <w:tab/>
            </w:r>
            <w:r>
              <w:rPr>
                <w:noProof/>
                <w:webHidden/>
              </w:rPr>
              <w:fldChar w:fldCharType="begin"/>
            </w:r>
            <w:r>
              <w:rPr>
                <w:noProof/>
                <w:webHidden/>
              </w:rPr>
              <w:instrText xml:space="preserve"> PAGEREF _Toc204596302 \h </w:instrText>
            </w:r>
            <w:r>
              <w:rPr>
                <w:noProof/>
                <w:webHidden/>
              </w:rPr>
            </w:r>
            <w:r>
              <w:rPr>
                <w:noProof/>
                <w:webHidden/>
              </w:rPr>
              <w:fldChar w:fldCharType="separate"/>
            </w:r>
            <w:r w:rsidR="000879D6">
              <w:rPr>
                <w:noProof/>
                <w:webHidden/>
              </w:rPr>
              <w:t>20</w:t>
            </w:r>
            <w:r>
              <w:rPr>
                <w:noProof/>
                <w:webHidden/>
              </w:rPr>
              <w:fldChar w:fldCharType="end"/>
            </w:r>
          </w:hyperlink>
        </w:p>
        <w:p w14:paraId="70B80A35" w14:textId="6ADCBDAF" w:rsidR="007A5AE5" w:rsidRDefault="007A5AE5">
          <w:pPr>
            <w:pStyle w:val="TOC1"/>
            <w:rPr>
              <w:rFonts w:asciiTheme="minorHAnsi" w:eastAsiaTheme="minorEastAsia" w:hAnsiTheme="minorHAnsi"/>
              <w:b w:val="0"/>
              <w:noProof/>
              <w:color w:val="auto"/>
              <w:kern w:val="2"/>
              <w:sz w:val="24"/>
              <w:szCs w:val="24"/>
              <w:lang w:eastAsia="en-AU"/>
              <w14:ligatures w14:val="standardContextual"/>
            </w:rPr>
          </w:pPr>
          <w:hyperlink w:anchor="_Toc204596303" w:history="1">
            <w:r w:rsidRPr="0005367E">
              <w:rPr>
                <w:rStyle w:val="Hyperlink"/>
                <w:noProof/>
              </w:rPr>
              <w:t>Reference List</w:t>
            </w:r>
            <w:r>
              <w:rPr>
                <w:noProof/>
                <w:webHidden/>
              </w:rPr>
              <w:tab/>
            </w:r>
            <w:r>
              <w:rPr>
                <w:noProof/>
                <w:webHidden/>
              </w:rPr>
              <w:fldChar w:fldCharType="begin"/>
            </w:r>
            <w:r>
              <w:rPr>
                <w:noProof/>
                <w:webHidden/>
              </w:rPr>
              <w:instrText xml:space="preserve"> PAGEREF _Toc204596303 \h </w:instrText>
            </w:r>
            <w:r>
              <w:rPr>
                <w:noProof/>
                <w:webHidden/>
              </w:rPr>
            </w:r>
            <w:r>
              <w:rPr>
                <w:noProof/>
                <w:webHidden/>
              </w:rPr>
              <w:fldChar w:fldCharType="separate"/>
            </w:r>
            <w:r w:rsidR="000879D6">
              <w:rPr>
                <w:noProof/>
                <w:webHidden/>
              </w:rPr>
              <w:t>26</w:t>
            </w:r>
            <w:r>
              <w:rPr>
                <w:noProof/>
                <w:webHidden/>
              </w:rPr>
              <w:fldChar w:fldCharType="end"/>
            </w:r>
          </w:hyperlink>
        </w:p>
        <w:p w14:paraId="18E99974" w14:textId="5F6C9028" w:rsidR="00AE0185" w:rsidRDefault="00B809C4" w:rsidP="00E03B0F">
          <w:pPr>
            <w:sectPr w:rsidR="00AE0185" w:rsidSect="00106E26">
              <w:headerReference w:type="first" r:id="rId14"/>
              <w:footerReference w:type="first" r:id="rId15"/>
              <w:pgSz w:w="11907" w:h="16839" w:code="9"/>
              <w:pgMar w:top="1440" w:right="1440" w:bottom="1440" w:left="1440" w:header="720" w:footer="720" w:gutter="0"/>
              <w:pgNumType w:start="1"/>
              <w:cols w:space="720"/>
              <w:titlePg/>
              <w:docGrid w:linePitch="360"/>
            </w:sectPr>
          </w:pPr>
          <w:r>
            <w:rPr>
              <w:b/>
              <w:bCs/>
              <w:noProof/>
            </w:rPr>
            <w:fldChar w:fldCharType="end"/>
          </w:r>
        </w:p>
      </w:sdtContent>
    </w:sdt>
    <w:p w14:paraId="37E6AEA6" w14:textId="4AFD7EE8" w:rsidR="00595FA3" w:rsidRDefault="00974305" w:rsidP="00525A89">
      <w:pPr>
        <w:pStyle w:val="Heading1"/>
      </w:pPr>
      <w:bookmarkStart w:id="0" w:name="_Toc198541237"/>
      <w:bookmarkStart w:id="1" w:name="_Toc204596271"/>
      <w:r>
        <w:lastRenderedPageBreak/>
        <w:t>Introduction</w:t>
      </w:r>
      <w:bookmarkEnd w:id="0"/>
      <w:bookmarkEnd w:id="1"/>
    </w:p>
    <w:p w14:paraId="4EDBE348" w14:textId="77777777" w:rsidR="00970F41" w:rsidRDefault="00595FA3" w:rsidP="00970F41">
      <w:pPr>
        <w:pStyle w:val="BodyText"/>
      </w:pPr>
      <w:r>
        <w:t xml:space="preserve">This </w:t>
      </w:r>
      <w:r w:rsidR="004D17D0">
        <w:t>technical paper</w:t>
      </w:r>
      <w:r>
        <w:t xml:space="preserve"> serves as a companion document to </w:t>
      </w:r>
      <w:r w:rsidR="006029C8">
        <w:t xml:space="preserve">Paper 1 and </w:t>
      </w:r>
      <w:r w:rsidR="00FC0D54" w:rsidRPr="00FC0D54">
        <w:t xml:space="preserve">provides information on the </w:t>
      </w:r>
      <w:r w:rsidR="004D17D0">
        <w:t>approach,</w:t>
      </w:r>
      <w:r w:rsidR="00FC0D54" w:rsidRPr="00FC0D54">
        <w:t xml:space="preserve"> </w:t>
      </w:r>
      <w:r w:rsidR="00FC0D54">
        <w:t>m</w:t>
      </w:r>
      <w:r w:rsidR="00FC0D54" w:rsidRPr="00FC0D54">
        <w:t>ethodology</w:t>
      </w:r>
      <w:r w:rsidR="006029C8">
        <w:t xml:space="preserve"> and </w:t>
      </w:r>
      <w:r w:rsidR="00CD0599">
        <w:t xml:space="preserve">principal </w:t>
      </w:r>
      <w:r w:rsidR="00FC0D54" w:rsidRPr="00FC0D54">
        <w:t>data sources</w:t>
      </w:r>
      <w:r w:rsidR="006029C8">
        <w:t xml:space="preserve"> </w:t>
      </w:r>
      <w:r w:rsidR="00FC0D54" w:rsidRPr="00FC0D54">
        <w:t xml:space="preserve">used </w:t>
      </w:r>
      <w:r w:rsidR="00CD0599">
        <w:t xml:space="preserve">in </w:t>
      </w:r>
      <w:r w:rsidR="005F6AE7">
        <w:t xml:space="preserve">the </w:t>
      </w:r>
      <w:r w:rsidR="00847F49">
        <w:t>S</w:t>
      </w:r>
      <w:r w:rsidR="00CD0599">
        <w:t>tudy</w:t>
      </w:r>
      <w:r w:rsidR="00FC0D54" w:rsidRPr="00FC0D54">
        <w:t xml:space="preserve">. </w:t>
      </w:r>
      <w:r w:rsidR="006029C8">
        <w:t xml:space="preserve">It also </w:t>
      </w:r>
      <w:r w:rsidR="00E15A29">
        <w:t xml:space="preserve">highlights </w:t>
      </w:r>
      <w:r w:rsidR="006029C8">
        <w:t xml:space="preserve">some of the </w:t>
      </w:r>
      <w:r w:rsidR="00E15A29">
        <w:t xml:space="preserve">inherent </w:t>
      </w:r>
      <w:r w:rsidR="006029C8">
        <w:t xml:space="preserve">data challenges and limitations in our </w:t>
      </w:r>
      <w:r w:rsidR="00970F41">
        <w:t>study and provides additional analysis and tables on selected topics.</w:t>
      </w:r>
    </w:p>
    <w:p w14:paraId="0EDB7D6E" w14:textId="4A80901B" w:rsidR="00970F41" w:rsidRDefault="00A67019" w:rsidP="001644EC">
      <w:pPr>
        <w:pStyle w:val="Heading2"/>
      </w:pPr>
      <w:bookmarkStart w:id="2" w:name="_Toc204596272"/>
      <w:r>
        <w:t>Princ</w:t>
      </w:r>
      <w:r w:rsidR="001644EC">
        <w:t>ipal data sources</w:t>
      </w:r>
      <w:bookmarkEnd w:id="2"/>
    </w:p>
    <w:p w14:paraId="5814F030" w14:textId="4A275B4C" w:rsidR="00622F37" w:rsidRDefault="00E8349B" w:rsidP="00970F41">
      <w:pPr>
        <w:pStyle w:val="BodyText"/>
      </w:pPr>
      <w:r>
        <w:t xml:space="preserve">In this </w:t>
      </w:r>
      <w:r w:rsidR="00622F37">
        <w:t>s</w:t>
      </w:r>
      <w:r>
        <w:t xml:space="preserve">tudy we have used a mixed methods approach and drawn on both </w:t>
      </w:r>
      <w:r w:rsidR="00663C30">
        <w:t xml:space="preserve">qualitative and quantitative data and analysis. </w:t>
      </w:r>
      <w:r w:rsidR="009F3B7E">
        <w:t>The q</w:t>
      </w:r>
      <w:r>
        <w:t xml:space="preserve">ualitative research </w:t>
      </w:r>
      <w:r w:rsidR="005217F7">
        <w:t xml:space="preserve">included </w:t>
      </w:r>
      <w:r>
        <w:t>expert f</w:t>
      </w:r>
      <w:r w:rsidRPr="00E8349B">
        <w:t xml:space="preserve">orums </w:t>
      </w:r>
      <w:r w:rsidR="005217F7">
        <w:t>(</w:t>
      </w:r>
      <w:r w:rsidRPr="00E8349B">
        <w:t>with policy experts, scholars, industry and advocacy groups</w:t>
      </w:r>
      <w:r w:rsidR="005217F7">
        <w:t>)</w:t>
      </w:r>
      <w:r>
        <w:t>, public submissions</w:t>
      </w:r>
      <w:r w:rsidR="005217F7">
        <w:t>,</w:t>
      </w:r>
      <w:r>
        <w:t xml:space="preserve"> and a </w:t>
      </w:r>
      <w:r w:rsidR="00160D3F">
        <w:t xml:space="preserve">series of </w:t>
      </w:r>
      <w:r>
        <w:t xml:space="preserve">focus groups and </w:t>
      </w:r>
      <w:r w:rsidR="00780D9E">
        <w:t>in-depth</w:t>
      </w:r>
      <w:r>
        <w:t xml:space="preserve"> interviews.</w:t>
      </w:r>
    </w:p>
    <w:p w14:paraId="061F930E" w14:textId="6A40AEBE" w:rsidR="00C17112" w:rsidRPr="00044C39" w:rsidRDefault="00622F37" w:rsidP="006D407D">
      <w:pPr>
        <w:pStyle w:val="ListBullet"/>
        <w:tabs>
          <w:tab w:val="clear" w:pos="360"/>
        </w:tabs>
      </w:pPr>
      <w:r w:rsidRPr="00044C39">
        <w:t xml:space="preserve">For the </w:t>
      </w:r>
      <w:r w:rsidR="00E8349B" w:rsidRPr="00044C39">
        <w:t xml:space="preserve">quantitative </w:t>
      </w:r>
      <w:r w:rsidR="009F3B7E" w:rsidRPr="00044C39">
        <w:t>research</w:t>
      </w:r>
      <w:r w:rsidR="00E8349B" w:rsidRPr="00044C39">
        <w:t>, t</w:t>
      </w:r>
      <w:r w:rsidR="00912FBC" w:rsidRPr="00044C39">
        <w:t>he principal data sources this study use</w:t>
      </w:r>
      <w:r w:rsidR="00160D3F" w:rsidRPr="00044C39">
        <w:t>d</w:t>
      </w:r>
      <w:r w:rsidR="00912FBC" w:rsidRPr="00044C39">
        <w:t xml:space="preserve"> </w:t>
      </w:r>
      <w:r w:rsidR="00160D3F" w:rsidRPr="00044C39">
        <w:t>we</w:t>
      </w:r>
      <w:r w:rsidR="00912FBC" w:rsidRPr="00044C39">
        <w:t>re</w:t>
      </w:r>
      <w:r w:rsidR="00B84A58" w:rsidRPr="00044C39">
        <w:t>:</w:t>
      </w:r>
    </w:p>
    <w:p w14:paraId="42F56951" w14:textId="77777777" w:rsidR="00160D3F" w:rsidRDefault="00D661B7" w:rsidP="00160D3F">
      <w:pPr>
        <w:pStyle w:val="ListBullet"/>
        <w:numPr>
          <w:ilvl w:val="0"/>
          <w:numId w:val="3"/>
        </w:numPr>
        <w:rPr>
          <w:rStyle w:val="Hyperlink"/>
        </w:rPr>
      </w:pPr>
      <w:hyperlink r:id="rId16" w:history="1">
        <w:r w:rsidRPr="00CE0F50">
          <w:rPr>
            <w:rStyle w:val="Hyperlink"/>
          </w:rPr>
          <w:t>Census</w:t>
        </w:r>
      </w:hyperlink>
      <w:r>
        <w:t xml:space="preserve"> </w:t>
      </w:r>
      <w:r w:rsidR="00160D3F">
        <w:t xml:space="preserve">and the </w:t>
      </w:r>
      <w:hyperlink r:id="rId17">
        <w:r w:rsidR="00160D3F" w:rsidRPr="4F67569B">
          <w:rPr>
            <w:rStyle w:val="Hyperlink"/>
          </w:rPr>
          <w:t>Australian Census Longitudinal Dataset (ACLD)</w:t>
        </w:r>
      </w:hyperlink>
    </w:p>
    <w:p w14:paraId="66AE2D41" w14:textId="383771F0" w:rsidR="00CB1C48" w:rsidRDefault="00CB1C48" w:rsidP="00CB1C48">
      <w:pPr>
        <w:pStyle w:val="ListBullet"/>
      </w:pPr>
      <w:hyperlink r:id="rId18">
        <w:r w:rsidRPr="35CEABBB">
          <w:rPr>
            <w:rStyle w:val="Hyperlink"/>
          </w:rPr>
          <w:t>Personal Level Integrated Data Asset (PLIDA)</w:t>
        </w:r>
      </w:hyperlink>
      <w:r>
        <w:t>, including</w:t>
      </w:r>
      <w:r w:rsidR="0023097C">
        <w:t xml:space="preserve"> data </w:t>
      </w:r>
      <w:r w:rsidR="004C0AE0">
        <w:t>commonly accessed in JSA's Skill Tracker dataset</w:t>
      </w:r>
      <w:r w:rsidR="000D3119">
        <w:t>, particularly data from</w:t>
      </w:r>
      <w:r>
        <w:t>:</w:t>
      </w:r>
    </w:p>
    <w:p w14:paraId="67CED1B0" w14:textId="3B53F759" w:rsidR="00AD72CE" w:rsidRPr="00C26C36" w:rsidRDefault="00AD72CE" w:rsidP="00C26C36">
      <w:pPr>
        <w:pStyle w:val="ListBullet2"/>
      </w:pPr>
      <w:r w:rsidRPr="00C26C36">
        <w:t>ATO Personal Income Tax Return</w:t>
      </w:r>
      <w:r w:rsidR="000D3119">
        <w:t>s</w:t>
      </w:r>
      <w:r w:rsidRPr="00C26C36">
        <w:t xml:space="preserve"> (PIT)</w:t>
      </w:r>
    </w:p>
    <w:p w14:paraId="7020FE7B" w14:textId="04D12F38" w:rsidR="00AD72CE" w:rsidRPr="00C26C36" w:rsidRDefault="00AD72CE" w:rsidP="00C26C36">
      <w:pPr>
        <w:pStyle w:val="ListBullet2"/>
      </w:pPr>
      <w:r w:rsidRPr="00C26C36">
        <w:t>ATO Payment Summar</w:t>
      </w:r>
      <w:r w:rsidR="000D3119">
        <w:t>ies</w:t>
      </w:r>
      <w:r w:rsidRPr="00C26C36">
        <w:t xml:space="preserve"> (PS)</w:t>
      </w:r>
      <w:r w:rsidR="00495D2D">
        <w:t>.</w:t>
      </w:r>
    </w:p>
    <w:p w14:paraId="00F30924" w14:textId="0D2622C3" w:rsidR="00DE6AC1" w:rsidRDefault="00780D9E" w:rsidP="00780D9E">
      <w:pPr>
        <w:pStyle w:val="BodyText"/>
      </w:pPr>
      <w:r>
        <w:t xml:space="preserve">Some of the key data limitations and challenges we have faced are around the </w:t>
      </w:r>
      <w:r w:rsidR="00D1CEFB">
        <w:t>distinct concepts of sex and gender</w:t>
      </w:r>
      <w:r w:rsidR="000D3119">
        <w:t>,</w:t>
      </w:r>
      <w:r w:rsidR="00D1CEFB">
        <w:t xml:space="preserve"> and </w:t>
      </w:r>
      <w:r>
        <w:t xml:space="preserve">appropriate data variables for </w:t>
      </w:r>
      <w:r w:rsidR="00CC53EB">
        <w:t>race and/or culturally and linguistically diverse (CALD) cohorts</w:t>
      </w:r>
      <w:r>
        <w:t>.</w:t>
      </w:r>
      <w:r w:rsidR="00D1CEFB">
        <w:t xml:space="preserve"> </w:t>
      </w:r>
      <w:r w:rsidR="000D053F">
        <w:t xml:space="preserve">We have aimed to </w:t>
      </w:r>
      <w:r w:rsidR="000827E6">
        <w:t xml:space="preserve">mitigate </w:t>
      </w:r>
      <w:r w:rsidR="000D053F">
        <w:t>some of these lim</w:t>
      </w:r>
      <w:r w:rsidR="00152943">
        <w:t>itations</w:t>
      </w:r>
      <w:r w:rsidR="00715BF2">
        <w:t xml:space="preserve"> </w:t>
      </w:r>
      <w:r w:rsidR="005A5708">
        <w:t xml:space="preserve">in the quantitative research </w:t>
      </w:r>
      <w:r w:rsidR="00715BF2">
        <w:t xml:space="preserve">through </w:t>
      </w:r>
      <w:r w:rsidR="005A5708">
        <w:t xml:space="preserve">supplementing it with </w:t>
      </w:r>
      <w:r w:rsidR="00715BF2">
        <w:t>qualitative research</w:t>
      </w:r>
      <w:r w:rsidR="005A5708">
        <w:t>,</w:t>
      </w:r>
      <w:r w:rsidR="00715BF2">
        <w:t xml:space="preserve"> including a LGBTQI</w:t>
      </w:r>
      <w:r w:rsidR="00044C39">
        <w:t>A</w:t>
      </w:r>
      <w:r w:rsidR="00715BF2">
        <w:t xml:space="preserve">+ focus group and </w:t>
      </w:r>
      <w:r w:rsidR="00CC53EB">
        <w:t xml:space="preserve">a </w:t>
      </w:r>
      <w:r w:rsidR="00794BE7">
        <w:t>necessarily simple</w:t>
      </w:r>
      <w:r w:rsidR="00715BF2">
        <w:t xml:space="preserve"> </w:t>
      </w:r>
      <w:r w:rsidR="00CC53EB">
        <w:t xml:space="preserve">data </w:t>
      </w:r>
      <w:r w:rsidR="00715BF2">
        <w:t>proxy</w:t>
      </w:r>
      <w:r w:rsidR="00DE6AC1">
        <w:t xml:space="preserve"> </w:t>
      </w:r>
      <w:r w:rsidR="00CC53EB">
        <w:t xml:space="preserve">for CALD </w:t>
      </w:r>
      <w:r w:rsidR="00DE6AC1">
        <w:t>which is explained in detail in the next section.</w:t>
      </w:r>
    </w:p>
    <w:p w14:paraId="5B85A455" w14:textId="4306FE6E" w:rsidR="005C78CB" w:rsidRDefault="00901128" w:rsidP="005C78CB">
      <w:pPr>
        <w:pStyle w:val="BodyText"/>
      </w:pPr>
      <w:r>
        <w:t>For the qualitative research, th</w:t>
      </w:r>
      <w:r w:rsidR="00C07671">
        <w:t>is study commissioned</w:t>
      </w:r>
      <w:r w:rsidR="003650B3">
        <w:t xml:space="preserve"> </w:t>
      </w:r>
      <w:r w:rsidR="003650B3" w:rsidRPr="00A16E41">
        <w:t>qualitative research</w:t>
      </w:r>
      <w:r w:rsidR="00476B15">
        <w:t xml:space="preserve"> </w:t>
      </w:r>
      <w:r w:rsidR="005C78CB">
        <w:t xml:space="preserve">that </w:t>
      </w:r>
      <w:r w:rsidR="005F50B1">
        <w:t>conducted</w:t>
      </w:r>
      <w:r w:rsidR="003650B3" w:rsidRPr="00A16E41">
        <w:t xml:space="preserve"> </w:t>
      </w:r>
      <w:r w:rsidR="001261E0">
        <w:t>nine focus groups</w:t>
      </w:r>
      <w:r w:rsidR="003650B3" w:rsidRPr="00A16E41">
        <w:t xml:space="preserve"> and 15 in-depth interviews to understand the 'on the ground' lived work, education and training experiences of Australians aged 18-55+ years across </w:t>
      </w:r>
      <w:r w:rsidR="000242C6">
        <w:t>occupations of varying gender segregation intensity.</w:t>
      </w:r>
    </w:p>
    <w:p w14:paraId="09DA5FA8" w14:textId="37EC5D48" w:rsidR="00436FFD" w:rsidRDefault="003650B3" w:rsidP="005C78CB">
      <w:pPr>
        <w:pStyle w:val="BodyText"/>
      </w:pPr>
      <w:r w:rsidRPr="00A16E41">
        <w:t xml:space="preserve">The research took place between </w:t>
      </w:r>
      <w:r w:rsidR="000242C6">
        <w:t xml:space="preserve">29 </w:t>
      </w:r>
      <w:r w:rsidRPr="00A16E41">
        <w:t xml:space="preserve">April and </w:t>
      </w:r>
      <w:r w:rsidR="000242C6">
        <w:t xml:space="preserve">29 </w:t>
      </w:r>
      <w:r w:rsidRPr="00A16E41">
        <w:t xml:space="preserve">May 2025 </w:t>
      </w:r>
      <w:r w:rsidR="004A2950">
        <w:t xml:space="preserve">across three locations (Melbourne, Sydney and Bendigo) </w:t>
      </w:r>
      <w:r w:rsidRPr="00A16E41">
        <w:t>and involved 76 participants</w:t>
      </w:r>
      <w:r w:rsidR="00C978AB">
        <w:t xml:space="preserve"> </w:t>
      </w:r>
      <w:r w:rsidR="00C978AB" w:rsidRPr="00C978AB">
        <w:rPr>
          <w:rStyle w:val="Characterbold"/>
          <w:b w:val="0"/>
        </w:rPr>
        <w:t>from diverse backgrounds—including different genders, CALD and culturally and racially marginalised (CARM) communities, migrants, age groups, and LGBTQIA+ identities</w:t>
      </w:r>
      <w:r w:rsidR="00C978AB">
        <w:t>.</w:t>
      </w:r>
      <w:r w:rsidR="004A2950">
        <w:t xml:space="preserve"> There were a</w:t>
      </w:r>
      <w:r w:rsidR="003572CB">
        <w:t xml:space="preserve"> mix of face-to-face and online </w:t>
      </w:r>
      <w:r w:rsidR="005C78CB">
        <w:t>focus g</w:t>
      </w:r>
      <w:r w:rsidR="00476B15" w:rsidRPr="00476B15">
        <w:t>roups and interviews</w:t>
      </w:r>
      <w:r w:rsidR="004A2950">
        <w:t>.</w:t>
      </w:r>
    </w:p>
    <w:p w14:paraId="4ABB7904" w14:textId="77777777" w:rsidR="00436FFD" w:rsidRDefault="00436FFD">
      <w:pPr>
        <w:spacing w:before="0" w:after="200" w:line="276" w:lineRule="auto"/>
      </w:pPr>
      <w:r>
        <w:br w:type="page"/>
      </w:r>
    </w:p>
    <w:p w14:paraId="0A4CDCAE" w14:textId="08E5D5D3" w:rsidR="001644EC" w:rsidRDefault="001644EC" w:rsidP="001644EC">
      <w:pPr>
        <w:pStyle w:val="Heading2"/>
      </w:pPr>
      <w:bookmarkStart w:id="3" w:name="_Toc204596273"/>
      <w:r>
        <w:lastRenderedPageBreak/>
        <w:t>Data limitations and challenges</w:t>
      </w:r>
      <w:bookmarkEnd w:id="3"/>
    </w:p>
    <w:p w14:paraId="32F45953" w14:textId="0E260260" w:rsidR="005A5708" w:rsidRDefault="005A5708" w:rsidP="001644EC">
      <w:pPr>
        <w:pStyle w:val="Heading3"/>
      </w:pPr>
      <w:bookmarkStart w:id="4" w:name="_Toc204596274"/>
      <w:r>
        <w:t xml:space="preserve">Sex and gender </w:t>
      </w:r>
      <w:r w:rsidRPr="00B64B58">
        <w:t>data</w:t>
      </w:r>
      <w:bookmarkEnd w:id="4"/>
    </w:p>
    <w:p w14:paraId="5B3B662F" w14:textId="4559BD92" w:rsidR="00E34C5D" w:rsidRPr="00E90781" w:rsidRDefault="00E34C5D" w:rsidP="007E0DD2">
      <w:pPr>
        <w:pStyle w:val="BodyText"/>
      </w:pPr>
      <w:r>
        <w:t xml:space="preserve">Our consultation paper </w:t>
      </w:r>
      <w:r w:rsidR="00974305">
        <w:t>introduced the</w:t>
      </w:r>
      <w:r>
        <w:t xml:space="preserve"> </w:t>
      </w:r>
      <w:r w:rsidR="00974305">
        <w:t>limitation in our study around sex and gender. It stated that</w:t>
      </w:r>
      <w:r w:rsidR="005E52CF" w:rsidRPr="005E52CF">
        <w:t xml:space="preserve"> </w:t>
      </w:r>
      <w:r w:rsidR="005776C4">
        <w:t>t</w:t>
      </w:r>
      <w:r w:rsidR="005776C4" w:rsidRPr="005776C4">
        <w:t xml:space="preserve">he terms sex and gender are interrelated and often used interchangeably within the general community. However, they are two distinct concepts: Sex is understood in relation to sex characteristics. Sex recorded at birth refers to what was initially determined by sex characteristics observed at birth or infancy. Gender is about social and cultural identity, expression and experience. This Study </w:t>
      </w:r>
      <w:r w:rsidR="009170CE">
        <w:t xml:space="preserve">seeks to </w:t>
      </w:r>
      <w:r w:rsidR="00990FC0">
        <w:t xml:space="preserve">appropriately </w:t>
      </w:r>
      <w:r w:rsidR="005776C4" w:rsidRPr="005776C4">
        <w:t>use</w:t>
      </w:r>
      <w:r w:rsidR="00990FC0">
        <w:t xml:space="preserve"> these terms</w:t>
      </w:r>
      <w:r w:rsidR="00334777">
        <w:t>,</w:t>
      </w:r>
      <w:r w:rsidR="005D13B9">
        <w:t xml:space="preserve"> </w:t>
      </w:r>
      <w:r w:rsidR="00334777">
        <w:t xml:space="preserve">and </w:t>
      </w:r>
      <w:r w:rsidR="005D13B9">
        <w:t xml:space="preserve">according to whether data </w:t>
      </w:r>
      <w:r w:rsidR="00334777">
        <w:t xml:space="preserve">were collected in respect of </w:t>
      </w:r>
      <w:r w:rsidR="00EB601C">
        <w:t>sex or gender</w:t>
      </w:r>
      <w:r w:rsidR="005776C4" w:rsidRPr="005776C4">
        <w:t>.</w:t>
      </w:r>
    </w:p>
    <w:p w14:paraId="32A73E0C" w14:textId="64492DA2" w:rsidR="00451E28" w:rsidRPr="00B64B58" w:rsidRDefault="00451E28" w:rsidP="001644EC">
      <w:pPr>
        <w:pStyle w:val="Heading3"/>
      </w:pPr>
      <w:bookmarkStart w:id="5" w:name="_Toc204596275"/>
      <w:r w:rsidRPr="00B64B58">
        <w:t>LGBTIQ+ data</w:t>
      </w:r>
      <w:bookmarkEnd w:id="5"/>
    </w:p>
    <w:p w14:paraId="403AA8F8" w14:textId="669A362F" w:rsidR="00B2701A" w:rsidRDefault="00451E28" w:rsidP="00921711">
      <w:pPr>
        <w:pStyle w:val="BodyText"/>
      </w:pPr>
      <w:r w:rsidRPr="00B64B58">
        <w:t xml:space="preserve">LGBTIQ+ refers to those </w:t>
      </w:r>
      <w:r w:rsidR="00B2701A">
        <w:t xml:space="preserve">people </w:t>
      </w:r>
      <w:r w:rsidRPr="00B64B58">
        <w:t>who identify as lesbian, gay, bisexual, trans and gender diverse, intersex and queer, with ABS estimates in December 2024 showing that about 4.5% of all Australians aged 16 years and older describe their sexual orientation as LGBTIQ+</w:t>
      </w:r>
      <w:r w:rsidR="00C50EF4">
        <w:t xml:space="preserve"> </w:t>
      </w:r>
      <w:r w:rsidR="002A7DC5">
        <w:t>(</w:t>
      </w:r>
      <w:r w:rsidR="008024CA">
        <w:t xml:space="preserve">ABS </w:t>
      </w:r>
      <w:r w:rsidR="00DF5BFA">
        <w:t>2024)</w:t>
      </w:r>
      <w:r w:rsidR="00C50EF4">
        <w:t>.</w:t>
      </w:r>
      <w:r w:rsidRPr="00B64B58">
        <w:t xml:space="preserve"> </w:t>
      </w:r>
      <w:r w:rsidR="00921711" w:rsidRPr="00921711">
        <w:t>LGBTIQ+ persons may also identify with their sex recorded at birth</w:t>
      </w:r>
      <w:r w:rsidR="00030CD6">
        <w:t>—</w:t>
      </w:r>
      <w:r w:rsidR="00921711" w:rsidRPr="00921711">
        <w:t>that sexual orientation doesn’t equate to sex or gender identity.</w:t>
      </w:r>
    </w:p>
    <w:p w14:paraId="55041FFC" w14:textId="3BF540D9" w:rsidR="00451E28" w:rsidRPr="00B64B58" w:rsidRDefault="00451E28" w:rsidP="00451E28">
      <w:pPr>
        <w:pStyle w:val="BodyText"/>
      </w:pPr>
      <w:r w:rsidRPr="00B64B58">
        <w:t xml:space="preserve">Research from the Australian Workplace Equality Index </w:t>
      </w:r>
      <w:r w:rsidR="00B2491F">
        <w:t>(AWEI 2022)</w:t>
      </w:r>
      <w:r w:rsidRPr="00B64B58">
        <w:t xml:space="preserve"> has shown that this intersectional cohort, in particular LGBTIQ+ women, face increased barriers to progression and promotion at work, higher levels of discrimination and sexual harassment, and are overrepresented in part-time work, contributing to the gender pay gap.</w:t>
      </w:r>
    </w:p>
    <w:p w14:paraId="6D7B6EA0" w14:textId="6C7F9B80" w:rsidR="00075662" w:rsidRDefault="00451E28" w:rsidP="00780D9E">
      <w:pPr>
        <w:pStyle w:val="BodyText"/>
      </w:pPr>
      <w:r w:rsidRPr="00B64B58">
        <w:t>However, intersectional analysis of sexual orientation is unable to be conducted in the Study as th</w:t>
      </w:r>
      <w:r w:rsidR="006A451C">
        <w:t>is information is not</w:t>
      </w:r>
      <w:r w:rsidRPr="00B64B58">
        <w:t xml:space="preserve"> </w:t>
      </w:r>
      <w:r w:rsidR="00B2701A">
        <w:t xml:space="preserve">currently </w:t>
      </w:r>
      <w:r w:rsidRPr="00B64B58">
        <w:t xml:space="preserve">available </w:t>
      </w:r>
      <w:r w:rsidR="006A451C">
        <w:t xml:space="preserve">in the Census and </w:t>
      </w:r>
      <w:r w:rsidR="00B2701A">
        <w:t xml:space="preserve">detailed </w:t>
      </w:r>
      <w:r w:rsidRPr="00B64B58">
        <w:t>datasets</w:t>
      </w:r>
      <w:r w:rsidR="006A451C">
        <w:t xml:space="preserve"> that are integrated with it in PLIDA</w:t>
      </w:r>
      <w:r w:rsidRPr="00B64B58">
        <w:t>. Intersectional analysis of sexual orientation will be able to be conducted in the future as the 2026 Census will include questions on gender and sexual orientation for people aged 16 years and over</w:t>
      </w:r>
      <w:r w:rsidR="00C50EF4">
        <w:t xml:space="preserve"> </w:t>
      </w:r>
      <w:r w:rsidR="000374F5">
        <w:t>(ABS</w:t>
      </w:r>
      <w:r w:rsidR="00DF5BFA">
        <w:t xml:space="preserve"> 2024)</w:t>
      </w:r>
      <w:r w:rsidR="00C50EF4">
        <w:t>.</w:t>
      </w:r>
      <w:r>
        <w:t xml:space="preserve"> Analysis of the </w:t>
      </w:r>
      <w:hyperlink r:id="rId19" w:history="1">
        <w:r w:rsidRPr="00A675A4">
          <w:rPr>
            <w:rStyle w:val="Hyperlink"/>
          </w:rPr>
          <w:t>ABS General Social Survey</w:t>
        </w:r>
      </w:hyperlink>
      <w:r>
        <w:t xml:space="preserve">, once multiple waves are available will also be </w:t>
      </w:r>
      <w:r w:rsidR="00F75B68">
        <w:t>useful</w:t>
      </w:r>
      <w:r>
        <w:t>.</w:t>
      </w:r>
    </w:p>
    <w:p w14:paraId="580AAD20" w14:textId="23DFD1E0" w:rsidR="00B87789" w:rsidRPr="00B87789" w:rsidRDefault="00B87789" w:rsidP="001644EC">
      <w:pPr>
        <w:pStyle w:val="Heading3"/>
      </w:pPr>
      <w:bookmarkStart w:id="6" w:name="_Toc204596276"/>
      <w:bookmarkStart w:id="7" w:name="_Toc198541248"/>
      <w:r w:rsidRPr="00B87789">
        <w:t>A necessarily simple data proxy for Culturally and Linguistically Diverse (CALD) people</w:t>
      </w:r>
      <w:bookmarkEnd w:id="6"/>
    </w:p>
    <w:p w14:paraId="2CA0843C" w14:textId="2723C222" w:rsidR="00B87789" w:rsidRPr="00B87789" w:rsidRDefault="00B87789" w:rsidP="00B87789">
      <w:pPr>
        <w:pStyle w:val="BodyText"/>
      </w:pPr>
      <w:r w:rsidRPr="00B87789">
        <w:t xml:space="preserve">Our </w:t>
      </w:r>
      <w:hyperlink r:id="rId20" w:history="1">
        <w:r w:rsidRPr="00B87789">
          <w:rPr>
            <w:rStyle w:val="Hyperlink"/>
          </w:rPr>
          <w:t>consultation paper</w:t>
        </w:r>
      </w:hyperlink>
      <w:r w:rsidRPr="00B87789">
        <w:t xml:space="preserve"> introduced the inherent challenges and limitations in constructing a CALD measure, from existing ABS CALD variables and debates around the term itself. However, to support intersectional analysis, this Study needed to identify CALD people across a range of data and develop an imperfect but reasonable proxy. We also needed to design this proxy to comply with the governance of </w:t>
      </w:r>
      <w:hyperlink r:id="rId21" w:history="1">
        <w:r w:rsidRPr="00B87789">
          <w:rPr>
            <w:rStyle w:val="Hyperlink"/>
          </w:rPr>
          <w:t>Person Level Integrated Data Asset</w:t>
        </w:r>
      </w:hyperlink>
      <w:r w:rsidRPr="00B87789">
        <w:t xml:space="preserve"> (PLIDA) by the ABS. PLIDA is a secure linked dataset that combines data on health, education, government payments, income and taxation, employment, and population demographics (including the Census) over time.</w:t>
      </w:r>
    </w:p>
    <w:p w14:paraId="24FDC2F2" w14:textId="0075895D" w:rsidR="00B87789" w:rsidRPr="00B87789" w:rsidRDefault="00B87789" w:rsidP="00B87789">
      <w:pPr>
        <w:pStyle w:val="BodyText"/>
      </w:pPr>
      <w:r w:rsidRPr="00B87789">
        <w:t xml:space="preserve">As noted previously, the </w:t>
      </w:r>
      <w:hyperlink r:id="rId22" w:history="1">
        <w:r w:rsidRPr="00B87789">
          <w:rPr>
            <w:rStyle w:val="Hyperlink"/>
          </w:rPr>
          <w:t>ABS Standards for Statistics on Cultural and Language Diversity</w:t>
        </w:r>
      </w:hyperlink>
      <w:r w:rsidRPr="00B87789">
        <w:t xml:space="preserve"> includes a Minimum Core Set of Cultural and Language Indicators that consists of four concepts:</w:t>
      </w:r>
    </w:p>
    <w:p w14:paraId="362C8CE4" w14:textId="77777777" w:rsidR="00B87789" w:rsidRPr="00B87789" w:rsidRDefault="00B87789" w:rsidP="00B87789">
      <w:pPr>
        <w:pStyle w:val="ListBullet"/>
        <w:numPr>
          <w:ilvl w:val="0"/>
          <w:numId w:val="3"/>
        </w:numPr>
      </w:pPr>
      <w:r w:rsidRPr="00B87789">
        <w:t>Country of Birth of Person</w:t>
      </w:r>
    </w:p>
    <w:p w14:paraId="6625CB89" w14:textId="09EBBE59" w:rsidR="00B87789" w:rsidRPr="00B87789" w:rsidRDefault="00B87789" w:rsidP="00B87789">
      <w:pPr>
        <w:pStyle w:val="ListBullet"/>
        <w:numPr>
          <w:ilvl w:val="0"/>
          <w:numId w:val="3"/>
        </w:numPr>
      </w:pPr>
      <w:r w:rsidRPr="00B87789">
        <w:t>Main Language Other Than English Spoken at Home</w:t>
      </w:r>
    </w:p>
    <w:p w14:paraId="52FE3643" w14:textId="1D28193D" w:rsidR="00B87789" w:rsidRPr="00B87789" w:rsidRDefault="00B87789" w:rsidP="00B87789">
      <w:pPr>
        <w:pStyle w:val="ListBullet"/>
        <w:numPr>
          <w:ilvl w:val="0"/>
          <w:numId w:val="3"/>
        </w:numPr>
      </w:pPr>
      <w:r w:rsidRPr="00B87789">
        <w:t>Proficiency in Spoken English</w:t>
      </w:r>
    </w:p>
    <w:p w14:paraId="5B51D14F" w14:textId="77777777" w:rsidR="00B87789" w:rsidRPr="00B87789" w:rsidRDefault="00B87789" w:rsidP="00B87789">
      <w:pPr>
        <w:pStyle w:val="ListBullet"/>
        <w:numPr>
          <w:ilvl w:val="0"/>
          <w:numId w:val="3"/>
        </w:numPr>
      </w:pPr>
      <w:r w:rsidRPr="00B87789">
        <w:lastRenderedPageBreak/>
        <w:t>Indigenous Status</w:t>
      </w:r>
    </w:p>
    <w:p w14:paraId="7B50DDC2" w14:textId="0A6EE4F2" w:rsidR="00B87789" w:rsidRPr="00B87789" w:rsidRDefault="00B87789" w:rsidP="000B6C95">
      <w:pPr>
        <w:pStyle w:val="ListBullet"/>
        <w:numPr>
          <w:ilvl w:val="0"/>
          <w:numId w:val="0"/>
        </w:numPr>
      </w:pPr>
      <w:r w:rsidRPr="00B87789">
        <w:t>For this Study, we combine and adapt two of these variables to develop a reasonably rigorous proxy for the classification of CALD:</w:t>
      </w:r>
    </w:p>
    <w:p w14:paraId="68584965" w14:textId="3307D0D7" w:rsidR="00B87789" w:rsidRPr="00B87789" w:rsidRDefault="00B87789" w:rsidP="00B87789">
      <w:pPr>
        <w:pStyle w:val="ListBullet"/>
        <w:numPr>
          <w:ilvl w:val="0"/>
          <w:numId w:val="3"/>
        </w:numPr>
      </w:pPr>
      <w:r w:rsidRPr="00B87789">
        <w:t>Country of Birth of Person—BPLP: All Migrants (Main English Speaking Countries/Other Than Main English Speaking Countries)</w:t>
      </w:r>
    </w:p>
    <w:p w14:paraId="1E049384" w14:textId="3269E0A3" w:rsidR="00B87789" w:rsidRPr="00B87789" w:rsidRDefault="00B87789" w:rsidP="00B87789">
      <w:pPr>
        <w:pStyle w:val="ListBullet"/>
        <w:numPr>
          <w:ilvl w:val="0"/>
          <w:numId w:val="3"/>
        </w:numPr>
      </w:pPr>
      <w:r w:rsidRPr="00B87789">
        <w:t>Language Used at Home—LANP: where the language used at home is not English</w:t>
      </w:r>
    </w:p>
    <w:p w14:paraId="309BF10B" w14:textId="27D2A1E4" w:rsidR="00B87789" w:rsidRPr="00B87789" w:rsidRDefault="00B87789" w:rsidP="00B87789">
      <w:pPr>
        <w:pStyle w:val="BodyText"/>
      </w:pPr>
      <w:r w:rsidRPr="00B87789">
        <w:t xml:space="preserve">The ABS Census variables Country of Birth of Person (BPLP) is based on country names/codes in the </w:t>
      </w:r>
      <w:hyperlink r:id="rId23" w:history="1">
        <w:r w:rsidRPr="00B87789">
          <w:rPr>
            <w:rStyle w:val="Hyperlink"/>
          </w:rPr>
          <w:t>Standard Australian Classification of Countries 2016</w:t>
        </w:r>
      </w:hyperlink>
      <w:r w:rsidRPr="00B87789">
        <w:t xml:space="preserve"> (SACC). Subsequent countries are further split into persons who are born in ‘main English speaking countries’ (MESC) and those who are not (OTMESC), see </w:t>
      </w:r>
      <w:r w:rsidR="00725B8F">
        <w:t>T</w:t>
      </w:r>
      <w:r w:rsidRPr="00B87789">
        <w:t xml:space="preserve">able </w:t>
      </w:r>
      <w:r w:rsidR="00725B8F">
        <w:t xml:space="preserve">1 </w:t>
      </w:r>
      <w:r w:rsidRPr="00B87789">
        <w:t>below.</w:t>
      </w:r>
    </w:p>
    <w:p w14:paraId="697AEE69" w14:textId="4B5509AC" w:rsidR="00B87789" w:rsidRPr="00B87789" w:rsidRDefault="00B87789" w:rsidP="0029120E">
      <w:pPr>
        <w:pStyle w:val="Caption"/>
        <w:spacing w:before="240"/>
      </w:pPr>
      <w:r w:rsidRPr="00B87789">
        <w:t xml:space="preserve">Table </w:t>
      </w:r>
      <w:r w:rsidR="000A7DFC">
        <w:t>1</w:t>
      </w:r>
      <w:r w:rsidRPr="00B87789">
        <w:t>: List of Main English Speaking Countries (MESC)</w:t>
      </w:r>
    </w:p>
    <w:tbl>
      <w:tblPr>
        <w:tblStyle w:val="CustomTablebasic"/>
        <w:tblW w:w="5000" w:type="pct"/>
        <w:tblLook w:val="04A0" w:firstRow="1" w:lastRow="0" w:firstColumn="1" w:lastColumn="0" w:noHBand="0" w:noVBand="1"/>
      </w:tblPr>
      <w:tblGrid>
        <w:gridCol w:w="2381"/>
        <w:gridCol w:w="6646"/>
      </w:tblGrid>
      <w:tr w:rsidR="00B87789" w:rsidRPr="00A70F0A" w14:paraId="68F67974" w14:textId="77777777">
        <w:trPr>
          <w:cnfStyle w:val="100000000000" w:firstRow="1" w:lastRow="0" w:firstColumn="0" w:lastColumn="0" w:oddVBand="0" w:evenVBand="0" w:oddHBand="0" w:evenHBand="0" w:firstRowFirstColumn="0" w:firstRowLastColumn="0" w:lastRowFirstColumn="0" w:lastRowLastColumn="0"/>
          <w:trHeight w:val="290"/>
        </w:trPr>
        <w:tc>
          <w:tcPr>
            <w:tcW w:w="1319" w:type="pct"/>
            <w:noWrap/>
            <w:hideMark/>
          </w:tcPr>
          <w:p w14:paraId="2C1933EC" w14:textId="77777777" w:rsidR="00B87789" w:rsidRPr="00B87789" w:rsidRDefault="00B87789" w:rsidP="00B87789">
            <w:pPr>
              <w:pStyle w:val="TableHeading1"/>
            </w:pPr>
            <w:r w:rsidRPr="00B87789">
              <w:t>SACC</w:t>
            </w:r>
          </w:p>
        </w:tc>
        <w:tc>
          <w:tcPr>
            <w:tcW w:w="3681" w:type="pct"/>
            <w:noWrap/>
            <w:hideMark/>
          </w:tcPr>
          <w:p w14:paraId="5DE9AF49" w14:textId="77777777" w:rsidR="00B87789" w:rsidRPr="00B87789" w:rsidRDefault="00B87789" w:rsidP="00B87789">
            <w:pPr>
              <w:pStyle w:val="TableHeading1"/>
            </w:pPr>
            <w:r w:rsidRPr="00B87789">
              <w:t>Country name</w:t>
            </w:r>
          </w:p>
        </w:tc>
      </w:tr>
      <w:tr w:rsidR="00B87789" w:rsidRPr="00A70F0A" w14:paraId="738A6A6E" w14:textId="77777777">
        <w:trPr>
          <w:trHeight w:val="290"/>
        </w:trPr>
        <w:tc>
          <w:tcPr>
            <w:tcW w:w="1319" w:type="pct"/>
            <w:noWrap/>
            <w:hideMark/>
          </w:tcPr>
          <w:p w14:paraId="529E5399" w14:textId="77777777" w:rsidR="00B87789" w:rsidRPr="00B87789" w:rsidRDefault="00B87789" w:rsidP="00B87789">
            <w:pPr>
              <w:pStyle w:val="TableBodyText"/>
            </w:pPr>
            <w:r w:rsidRPr="00B87789">
              <w:t>1101</w:t>
            </w:r>
          </w:p>
        </w:tc>
        <w:tc>
          <w:tcPr>
            <w:tcW w:w="3681" w:type="pct"/>
            <w:noWrap/>
            <w:hideMark/>
          </w:tcPr>
          <w:p w14:paraId="1EF9E31C" w14:textId="77777777" w:rsidR="00B87789" w:rsidRPr="00B87789" w:rsidRDefault="00B87789" w:rsidP="00B87789">
            <w:pPr>
              <w:pStyle w:val="TableBodyText"/>
            </w:pPr>
            <w:r w:rsidRPr="00B87789">
              <w:t>Australia</w:t>
            </w:r>
          </w:p>
        </w:tc>
      </w:tr>
      <w:tr w:rsidR="00B87789" w:rsidRPr="00A70F0A" w14:paraId="33F41FE5" w14:textId="77777777">
        <w:trPr>
          <w:cnfStyle w:val="000000010000" w:firstRow="0" w:lastRow="0" w:firstColumn="0" w:lastColumn="0" w:oddVBand="0" w:evenVBand="0" w:oddHBand="0" w:evenHBand="1" w:firstRowFirstColumn="0" w:firstRowLastColumn="0" w:lastRowFirstColumn="0" w:lastRowLastColumn="0"/>
          <w:trHeight w:val="290"/>
        </w:trPr>
        <w:tc>
          <w:tcPr>
            <w:tcW w:w="1319" w:type="pct"/>
            <w:noWrap/>
            <w:hideMark/>
          </w:tcPr>
          <w:p w14:paraId="2022062F" w14:textId="77777777" w:rsidR="00B87789" w:rsidRPr="00B87789" w:rsidRDefault="00B87789" w:rsidP="00B87789">
            <w:pPr>
              <w:pStyle w:val="TableBodyText"/>
            </w:pPr>
            <w:r w:rsidRPr="00B87789">
              <w:t>1201</w:t>
            </w:r>
          </w:p>
        </w:tc>
        <w:tc>
          <w:tcPr>
            <w:tcW w:w="3681" w:type="pct"/>
            <w:noWrap/>
            <w:hideMark/>
          </w:tcPr>
          <w:p w14:paraId="5453F53E" w14:textId="77777777" w:rsidR="00B87789" w:rsidRPr="00B87789" w:rsidRDefault="00B87789" w:rsidP="00B87789">
            <w:pPr>
              <w:pStyle w:val="TableBodyText"/>
            </w:pPr>
            <w:r w:rsidRPr="00B87789">
              <w:t>New Zealand</w:t>
            </w:r>
          </w:p>
        </w:tc>
      </w:tr>
      <w:tr w:rsidR="00B87789" w:rsidRPr="00A70F0A" w14:paraId="4E06BF9D" w14:textId="77777777">
        <w:trPr>
          <w:trHeight w:val="290"/>
        </w:trPr>
        <w:tc>
          <w:tcPr>
            <w:tcW w:w="1319" w:type="pct"/>
            <w:noWrap/>
            <w:hideMark/>
          </w:tcPr>
          <w:p w14:paraId="37785BE6" w14:textId="77777777" w:rsidR="00B87789" w:rsidRPr="00B87789" w:rsidRDefault="00B87789" w:rsidP="00B87789">
            <w:pPr>
              <w:pStyle w:val="TableBodyText"/>
            </w:pPr>
            <w:r w:rsidRPr="00B87789">
              <w:t>1102</w:t>
            </w:r>
          </w:p>
        </w:tc>
        <w:tc>
          <w:tcPr>
            <w:tcW w:w="3681" w:type="pct"/>
            <w:noWrap/>
            <w:hideMark/>
          </w:tcPr>
          <w:p w14:paraId="1F6A59E1" w14:textId="77777777" w:rsidR="00B87789" w:rsidRPr="00B87789" w:rsidRDefault="00B87789" w:rsidP="00B87789">
            <w:pPr>
              <w:pStyle w:val="TableBodyText"/>
            </w:pPr>
            <w:r w:rsidRPr="00B87789">
              <w:t>Norfolk Island</w:t>
            </w:r>
          </w:p>
        </w:tc>
      </w:tr>
      <w:tr w:rsidR="00B87789" w:rsidRPr="00A70F0A" w14:paraId="096C7321" w14:textId="77777777">
        <w:trPr>
          <w:cnfStyle w:val="000000010000" w:firstRow="0" w:lastRow="0" w:firstColumn="0" w:lastColumn="0" w:oddVBand="0" w:evenVBand="0" w:oddHBand="0" w:evenHBand="1" w:firstRowFirstColumn="0" w:firstRowLastColumn="0" w:lastRowFirstColumn="0" w:lastRowLastColumn="0"/>
          <w:trHeight w:val="290"/>
        </w:trPr>
        <w:tc>
          <w:tcPr>
            <w:tcW w:w="1319" w:type="pct"/>
            <w:noWrap/>
            <w:hideMark/>
          </w:tcPr>
          <w:p w14:paraId="73F1D0AF" w14:textId="77777777" w:rsidR="00B87789" w:rsidRPr="00B87789" w:rsidRDefault="00B87789" w:rsidP="00B87789">
            <w:pPr>
              <w:pStyle w:val="TableBodyText"/>
            </w:pPr>
            <w:r w:rsidRPr="00B87789">
              <w:t>1199</w:t>
            </w:r>
          </w:p>
        </w:tc>
        <w:tc>
          <w:tcPr>
            <w:tcW w:w="3681" w:type="pct"/>
            <w:noWrap/>
            <w:hideMark/>
          </w:tcPr>
          <w:p w14:paraId="1EDFC3EF" w14:textId="77777777" w:rsidR="00B87789" w:rsidRPr="00B87789" w:rsidRDefault="00B87789" w:rsidP="00B87789">
            <w:pPr>
              <w:pStyle w:val="TableBodyText"/>
            </w:pPr>
            <w:r w:rsidRPr="00B87789">
              <w:t>Australian External Territories, nec</w:t>
            </w:r>
          </w:p>
        </w:tc>
      </w:tr>
      <w:tr w:rsidR="00B87789" w:rsidRPr="00A70F0A" w14:paraId="21E1CC96" w14:textId="77777777">
        <w:trPr>
          <w:trHeight w:val="290"/>
        </w:trPr>
        <w:tc>
          <w:tcPr>
            <w:tcW w:w="1319" w:type="pct"/>
            <w:noWrap/>
            <w:hideMark/>
          </w:tcPr>
          <w:p w14:paraId="20898185" w14:textId="77777777" w:rsidR="00B87789" w:rsidRPr="00B87789" w:rsidRDefault="00B87789" w:rsidP="00B87789">
            <w:pPr>
              <w:pStyle w:val="TableBodyText"/>
            </w:pPr>
            <w:r w:rsidRPr="00B87789">
              <w:t>8102</w:t>
            </w:r>
          </w:p>
        </w:tc>
        <w:tc>
          <w:tcPr>
            <w:tcW w:w="3681" w:type="pct"/>
            <w:noWrap/>
            <w:hideMark/>
          </w:tcPr>
          <w:p w14:paraId="563A9E90" w14:textId="77777777" w:rsidR="00B87789" w:rsidRPr="00B87789" w:rsidRDefault="00B87789" w:rsidP="00B87789">
            <w:pPr>
              <w:pStyle w:val="TableBodyText"/>
            </w:pPr>
            <w:r w:rsidRPr="00B87789">
              <w:t>Canada</w:t>
            </w:r>
          </w:p>
        </w:tc>
      </w:tr>
      <w:tr w:rsidR="00B87789" w:rsidRPr="00A70F0A" w14:paraId="505E33E2" w14:textId="77777777">
        <w:trPr>
          <w:cnfStyle w:val="000000010000" w:firstRow="0" w:lastRow="0" w:firstColumn="0" w:lastColumn="0" w:oddVBand="0" w:evenVBand="0" w:oddHBand="0" w:evenHBand="1" w:firstRowFirstColumn="0" w:firstRowLastColumn="0" w:lastRowFirstColumn="0" w:lastRowLastColumn="0"/>
          <w:trHeight w:val="290"/>
        </w:trPr>
        <w:tc>
          <w:tcPr>
            <w:tcW w:w="1319" w:type="pct"/>
            <w:noWrap/>
            <w:hideMark/>
          </w:tcPr>
          <w:p w14:paraId="6E725AE6" w14:textId="77777777" w:rsidR="00B87789" w:rsidRPr="00B87789" w:rsidRDefault="00B87789" w:rsidP="00B87789">
            <w:pPr>
              <w:pStyle w:val="TableBodyText"/>
            </w:pPr>
            <w:r w:rsidRPr="00B87789">
              <w:t>8104</w:t>
            </w:r>
          </w:p>
        </w:tc>
        <w:tc>
          <w:tcPr>
            <w:tcW w:w="3681" w:type="pct"/>
            <w:noWrap/>
            <w:hideMark/>
          </w:tcPr>
          <w:p w14:paraId="3416238A" w14:textId="77777777" w:rsidR="00B87789" w:rsidRPr="00B87789" w:rsidRDefault="00B87789" w:rsidP="00B87789">
            <w:pPr>
              <w:pStyle w:val="TableBodyText"/>
            </w:pPr>
            <w:r w:rsidRPr="00B87789">
              <w:t>United States of America</w:t>
            </w:r>
          </w:p>
        </w:tc>
      </w:tr>
      <w:tr w:rsidR="00B87789" w:rsidRPr="00A70F0A" w14:paraId="3453A074" w14:textId="77777777">
        <w:trPr>
          <w:trHeight w:val="290"/>
        </w:trPr>
        <w:tc>
          <w:tcPr>
            <w:tcW w:w="1319" w:type="pct"/>
            <w:noWrap/>
            <w:hideMark/>
          </w:tcPr>
          <w:p w14:paraId="48F93B45" w14:textId="77777777" w:rsidR="00B87789" w:rsidRPr="00B87789" w:rsidRDefault="00B87789" w:rsidP="00B87789">
            <w:pPr>
              <w:pStyle w:val="TableBodyText"/>
            </w:pPr>
            <w:r w:rsidRPr="00B87789">
              <w:t>9225</w:t>
            </w:r>
          </w:p>
        </w:tc>
        <w:tc>
          <w:tcPr>
            <w:tcW w:w="3681" w:type="pct"/>
            <w:noWrap/>
            <w:hideMark/>
          </w:tcPr>
          <w:p w14:paraId="1C639B90" w14:textId="77777777" w:rsidR="00B87789" w:rsidRPr="00B87789" w:rsidRDefault="00B87789" w:rsidP="00B87789">
            <w:pPr>
              <w:pStyle w:val="TableBodyText"/>
            </w:pPr>
            <w:r w:rsidRPr="00B87789">
              <w:t>South Africa</w:t>
            </w:r>
          </w:p>
        </w:tc>
      </w:tr>
      <w:tr w:rsidR="00B87789" w:rsidRPr="00A70F0A" w14:paraId="138F67B5" w14:textId="77777777">
        <w:trPr>
          <w:cnfStyle w:val="000000010000" w:firstRow="0" w:lastRow="0" w:firstColumn="0" w:lastColumn="0" w:oddVBand="0" w:evenVBand="0" w:oddHBand="0" w:evenHBand="1" w:firstRowFirstColumn="0" w:firstRowLastColumn="0" w:lastRowFirstColumn="0" w:lastRowLastColumn="0"/>
          <w:trHeight w:val="290"/>
        </w:trPr>
        <w:tc>
          <w:tcPr>
            <w:tcW w:w="1319" w:type="pct"/>
            <w:noWrap/>
            <w:hideMark/>
          </w:tcPr>
          <w:p w14:paraId="073F6460" w14:textId="77777777" w:rsidR="00B87789" w:rsidRPr="00B87789" w:rsidRDefault="00B87789" w:rsidP="00B87789">
            <w:pPr>
              <w:pStyle w:val="TableBodyText"/>
            </w:pPr>
            <w:r w:rsidRPr="00B87789">
              <w:t>2102</w:t>
            </w:r>
          </w:p>
        </w:tc>
        <w:tc>
          <w:tcPr>
            <w:tcW w:w="3681" w:type="pct"/>
            <w:noWrap/>
            <w:hideMark/>
          </w:tcPr>
          <w:p w14:paraId="25FA6F5F" w14:textId="77777777" w:rsidR="00B87789" w:rsidRPr="00B87789" w:rsidRDefault="00B87789" w:rsidP="00B87789">
            <w:pPr>
              <w:pStyle w:val="TableBodyText"/>
            </w:pPr>
            <w:r w:rsidRPr="00B87789">
              <w:t>England</w:t>
            </w:r>
          </w:p>
        </w:tc>
      </w:tr>
      <w:tr w:rsidR="00B87789" w:rsidRPr="00A70F0A" w14:paraId="06E7B5FA" w14:textId="77777777">
        <w:trPr>
          <w:trHeight w:val="290"/>
        </w:trPr>
        <w:tc>
          <w:tcPr>
            <w:tcW w:w="1319" w:type="pct"/>
            <w:noWrap/>
            <w:hideMark/>
          </w:tcPr>
          <w:p w14:paraId="7F8A3635" w14:textId="77777777" w:rsidR="00B87789" w:rsidRPr="00B87789" w:rsidRDefault="00B87789" w:rsidP="00B87789">
            <w:pPr>
              <w:pStyle w:val="TableBodyText"/>
            </w:pPr>
            <w:r w:rsidRPr="00B87789">
              <w:t>2103</w:t>
            </w:r>
          </w:p>
        </w:tc>
        <w:tc>
          <w:tcPr>
            <w:tcW w:w="3681" w:type="pct"/>
            <w:noWrap/>
            <w:hideMark/>
          </w:tcPr>
          <w:p w14:paraId="744E9CF1" w14:textId="77777777" w:rsidR="00B87789" w:rsidRPr="00B87789" w:rsidRDefault="00B87789" w:rsidP="00B87789">
            <w:pPr>
              <w:pStyle w:val="TableBodyText"/>
            </w:pPr>
            <w:r w:rsidRPr="00B87789">
              <w:t>Isle of Man</w:t>
            </w:r>
          </w:p>
        </w:tc>
      </w:tr>
      <w:tr w:rsidR="00B87789" w:rsidRPr="00A70F0A" w14:paraId="6BF9A8BB" w14:textId="77777777">
        <w:trPr>
          <w:cnfStyle w:val="000000010000" w:firstRow="0" w:lastRow="0" w:firstColumn="0" w:lastColumn="0" w:oddVBand="0" w:evenVBand="0" w:oddHBand="0" w:evenHBand="1" w:firstRowFirstColumn="0" w:firstRowLastColumn="0" w:lastRowFirstColumn="0" w:lastRowLastColumn="0"/>
          <w:trHeight w:val="290"/>
        </w:trPr>
        <w:tc>
          <w:tcPr>
            <w:tcW w:w="1319" w:type="pct"/>
            <w:noWrap/>
            <w:hideMark/>
          </w:tcPr>
          <w:p w14:paraId="023CE502" w14:textId="77777777" w:rsidR="00B87789" w:rsidRPr="00B87789" w:rsidRDefault="00B87789" w:rsidP="00B87789">
            <w:pPr>
              <w:pStyle w:val="TableBodyText"/>
            </w:pPr>
            <w:r w:rsidRPr="00B87789">
              <w:t>2104</w:t>
            </w:r>
          </w:p>
        </w:tc>
        <w:tc>
          <w:tcPr>
            <w:tcW w:w="3681" w:type="pct"/>
            <w:noWrap/>
            <w:hideMark/>
          </w:tcPr>
          <w:p w14:paraId="752A1F24" w14:textId="77777777" w:rsidR="00B87789" w:rsidRPr="00B87789" w:rsidRDefault="00B87789" w:rsidP="00B87789">
            <w:pPr>
              <w:pStyle w:val="TableBodyText"/>
            </w:pPr>
            <w:r w:rsidRPr="00B87789">
              <w:t>Northern Ireland</w:t>
            </w:r>
          </w:p>
        </w:tc>
      </w:tr>
      <w:tr w:rsidR="00B87789" w:rsidRPr="00A70F0A" w14:paraId="631B8287" w14:textId="77777777">
        <w:trPr>
          <w:trHeight w:val="290"/>
        </w:trPr>
        <w:tc>
          <w:tcPr>
            <w:tcW w:w="1319" w:type="pct"/>
            <w:noWrap/>
            <w:hideMark/>
          </w:tcPr>
          <w:p w14:paraId="63CAFA0E" w14:textId="77777777" w:rsidR="00B87789" w:rsidRPr="00B87789" w:rsidRDefault="00B87789" w:rsidP="00B87789">
            <w:pPr>
              <w:pStyle w:val="TableBodyText"/>
            </w:pPr>
            <w:r w:rsidRPr="00B87789">
              <w:t>2105</w:t>
            </w:r>
          </w:p>
        </w:tc>
        <w:tc>
          <w:tcPr>
            <w:tcW w:w="3681" w:type="pct"/>
            <w:noWrap/>
            <w:hideMark/>
          </w:tcPr>
          <w:p w14:paraId="7CE7C91E" w14:textId="77777777" w:rsidR="00B87789" w:rsidRPr="00B87789" w:rsidRDefault="00B87789" w:rsidP="00B87789">
            <w:pPr>
              <w:pStyle w:val="TableBodyText"/>
            </w:pPr>
            <w:r w:rsidRPr="00B87789">
              <w:t>Scotland</w:t>
            </w:r>
          </w:p>
        </w:tc>
      </w:tr>
      <w:tr w:rsidR="00B87789" w:rsidRPr="00A70F0A" w14:paraId="75A35FA1" w14:textId="77777777">
        <w:trPr>
          <w:cnfStyle w:val="000000010000" w:firstRow="0" w:lastRow="0" w:firstColumn="0" w:lastColumn="0" w:oddVBand="0" w:evenVBand="0" w:oddHBand="0" w:evenHBand="1" w:firstRowFirstColumn="0" w:firstRowLastColumn="0" w:lastRowFirstColumn="0" w:lastRowLastColumn="0"/>
          <w:trHeight w:val="290"/>
        </w:trPr>
        <w:tc>
          <w:tcPr>
            <w:tcW w:w="1319" w:type="pct"/>
            <w:noWrap/>
            <w:hideMark/>
          </w:tcPr>
          <w:p w14:paraId="316B4DFC" w14:textId="77777777" w:rsidR="00B87789" w:rsidRPr="00B87789" w:rsidRDefault="00B87789" w:rsidP="00B87789">
            <w:pPr>
              <w:pStyle w:val="TableBodyText"/>
            </w:pPr>
            <w:r w:rsidRPr="00B87789">
              <w:t>2106</w:t>
            </w:r>
          </w:p>
        </w:tc>
        <w:tc>
          <w:tcPr>
            <w:tcW w:w="3681" w:type="pct"/>
            <w:noWrap/>
            <w:hideMark/>
          </w:tcPr>
          <w:p w14:paraId="7C9B8752" w14:textId="77777777" w:rsidR="00B87789" w:rsidRPr="00B87789" w:rsidRDefault="00B87789" w:rsidP="00B87789">
            <w:pPr>
              <w:pStyle w:val="TableBodyText"/>
            </w:pPr>
            <w:r w:rsidRPr="00B87789">
              <w:t>Wales</w:t>
            </w:r>
          </w:p>
        </w:tc>
      </w:tr>
      <w:tr w:rsidR="00B87789" w:rsidRPr="00A70F0A" w14:paraId="74BC1B1D" w14:textId="77777777">
        <w:trPr>
          <w:trHeight w:val="290"/>
        </w:trPr>
        <w:tc>
          <w:tcPr>
            <w:tcW w:w="1319" w:type="pct"/>
            <w:noWrap/>
            <w:hideMark/>
          </w:tcPr>
          <w:p w14:paraId="179893A9" w14:textId="77777777" w:rsidR="00B87789" w:rsidRPr="00B87789" w:rsidRDefault="00B87789" w:rsidP="00B87789">
            <w:pPr>
              <w:pStyle w:val="TableBodyText"/>
            </w:pPr>
            <w:r w:rsidRPr="00B87789">
              <w:t>2107</w:t>
            </w:r>
          </w:p>
        </w:tc>
        <w:tc>
          <w:tcPr>
            <w:tcW w:w="3681" w:type="pct"/>
            <w:noWrap/>
            <w:hideMark/>
          </w:tcPr>
          <w:p w14:paraId="53656AB9" w14:textId="77777777" w:rsidR="00B87789" w:rsidRPr="00B87789" w:rsidRDefault="00B87789" w:rsidP="00B87789">
            <w:pPr>
              <w:pStyle w:val="TableBodyText"/>
            </w:pPr>
            <w:r w:rsidRPr="00B87789">
              <w:t>Guernsey</w:t>
            </w:r>
          </w:p>
        </w:tc>
      </w:tr>
      <w:tr w:rsidR="00B87789" w:rsidRPr="00A70F0A" w14:paraId="02574535" w14:textId="77777777">
        <w:trPr>
          <w:cnfStyle w:val="000000010000" w:firstRow="0" w:lastRow="0" w:firstColumn="0" w:lastColumn="0" w:oddVBand="0" w:evenVBand="0" w:oddHBand="0" w:evenHBand="1" w:firstRowFirstColumn="0" w:firstRowLastColumn="0" w:lastRowFirstColumn="0" w:lastRowLastColumn="0"/>
          <w:trHeight w:val="290"/>
        </w:trPr>
        <w:tc>
          <w:tcPr>
            <w:tcW w:w="1319" w:type="pct"/>
            <w:noWrap/>
            <w:hideMark/>
          </w:tcPr>
          <w:p w14:paraId="6F69148E" w14:textId="77777777" w:rsidR="00B87789" w:rsidRPr="00B87789" w:rsidRDefault="00B87789" w:rsidP="00B87789">
            <w:pPr>
              <w:pStyle w:val="TableBodyText"/>
            </w:pPr>
            <w:r w:rsidRPr="00B87789">
              <w:t>2108</w:t>
            </w:r>
          </w:p>
        </w:tc>
        <w:tc>
          <w:tcPr>
            <w:tcW w:w="3681" w:type="pct"/>
            <w:noWrap/>
            <w:hideMark/>
          </w:tcPr>
          <w:p w14:paraId="2D467084" w14:textId="77777777" w:rsidR="00B87789" w:rsidRPr="00B87789" w:rsidRDefault="00B87789" w:rsidP="00B87789">
            <w:pPr>
              <w:pStyle w:val="TableBodyText"/>
            </w:pPr>
            <w:r w:rsidRPr="00B87789">
              <w:t>Jersey</w:t>
            </w:r>
          </w:p>
        </w:tc>
      </w:tr>
      <w:tr w:rsidR="00B87789" w:rsidRPr="00A70F0A" w14:paraId="5E04E180" w14:textId="77777777">
        <w:trPr>
          <w:trHeight w:val="290"/>
        </w:trPr>
        <w:tc>
          <w:tcPr>
            <w:tcW w:w="1319" w:type="pct"/>
            <w:noWrap/>
            <w:hideMark/>
          </w:tcPr>
          <w:p w14:paraId="6906C024" w14:textId="77777777" w:rsidR="00B87789" w:rsidRPr="00B87789" w:rsidRDefault="00B87789" w:rsidP="00B87789">
            <w:pPr>
              <w:pStyle w:val="TableBodyText"/>
            </w:pPr>
            <w:r w:rsidRPr="00B87789">
              <w:t>2201</w:t>
            </w:r>
          </w:p>
        </w:tc>
        <w:tc>
          <w:tcPr>
            <w:tcW w:w="3681" w:type="pct"/>
            <w:noWrap/>
            <w:hideMark/>
          </w:tcPr>
          <w:p w14:paraId="430626A2" w14:textId="77777777" w:rsidR="00B87789" w:rsidRPr="00B87789" w:rsidRDefault="00B87789" w:rsidP="00B87789">
            <w:pPr>
              <w:pStyle w:val="TableBodyText"/>
            </w:pPr>
            <w:r w:rsidRPr="00B87789">
              <w:t>Ireland</w:t>
            </w:r>
          </w:p>
        </w:tc>
      </w:tr>
    </w:tbl>
    <w:p w14:paraId="7C4BE4BB" w14:textId="1783AF5E" w:rsidR="00B87789" w:rsidRPr="00B87789" w:rsidRDefault="00B87789" w:rsidP="0029120E">
      <w:pPr>
        <w:pStyle w:val="BodyText"/>
        <w:spacing w:before="240"/>
      </w:pPr>
      <w:r w:rsidRPr="00B87789">
        <w:t xml:space="preserve">OTMESC includes all other countries not listed above sourced from the </w:t>
      </w:r>
      <w:hyperlink r:id="rId24" w:history="1">
        <w:r w:rsidRPr="00B87789">
          <w:rPr>
            <w:rStyle w:val="Hyperlink"/>
          </w:rPr>
          <w:t>Standard Australian Classification of Countries 2016</w:t>
        </w:r>
      </w:hyperlink>
      <w:r w:rsidR="00FF2DB0">
        <w:t>.</w:t>
      </w:r>
    </w:p>
    <w:p w14:paraId="0692D618" w14:textId="77769358" w:rsidR="00B87789" w:rsidRPr="00B87789" w:rsidRDefault="00B87789" w:rsidP="00B87789">
      <w:pPr>
        <w:pStyle w:val="BodyText"/>
      </w:pPr>
      <w:r w:rsidRPr="00B87789">
        <w:t>Within our proxy, those from a non-MESC country, and those from a MESC country but speak a language other than English at home are considered CALD</w:t>
      </w:r>
      <w:r w:rsidR="00FF2DB0">
        <w:t>.</w:t>
      </w:r>
    </w:p>
    <w:p w14:paraId="7540F2EB" w14:textId="5F93E63B" w:rsidR="0045221E" w:rsidRDefault="00B87789" w:rsidP="00B87789">
      <w:pPr>
        <w:pStyle w:val="BodyText"/>
      </w:pPr>
      <w:r w:rsidRPr="00B87789">
        <w:t>The Study fully acknowledges the challenges with this broader CALD proxy and the MESC/OTMESC variable specifically. MESC is a country and language-based classification, and so its ability to capture culture, ethnicity or race is limited</w:t>
      </w:r>
      <w:r w:rsidR="00FF2DB0">
        <w:t>.</w:t>
      </w:r>
    </w:p>
    <w:p w14:paraId="4A2C0972" w14:textId="3A777504" w:rsidR="00B87789" w:rsidRDefault="00907A6B" w:rsidP="00B87789">
      <w:pPr>
        <w:pStyle w:val="BodyText"/>
      </w:pPr>
      <w:r>
        <w:t xml:space="preserve">For instance, someone born </w:t>
      </w:r>
      <w:r w:rsidR="00941C6A">
        <w:t xml:space="preserve">in a </w:t>
      </w:r>
      <w:r w:rsidR="00C15660">
        <w:t>M</w:t>
      </w:r>
      <w:r w:rsidR="00941C6A">
        <w:t>ain</w:t>
      </w:r>
      <w:r w:rsidR="00C15660">
        <w:t xml:space="preserve"> E</w:t>
      </w:r>
      <w:r w:rsidR="00941C6A">
        <w:t>ng</w:t>
      </w:r>
      <w:r w:rsidR="00C15660">
        <w:t>lish Speaking Country</w:t>
      </w:r>
      <w:r w:rsidR="00B77E13">
        <w:t xml:space="preserve"> and </w:t>
      </w:r>
      <w:r w:rsidR="00CF7300">
        <w:t xml:space="preserve">who </w:t>
      </w:r>
      <w:r w:rsidR="00E47A31">
        <w:t>use</w:t>
      </w:r>
      <w:r w:rsidR="00CF7300">
        <w:t>s</w:t>
      </w:r>
      <w:r w:rsidR="00E47A31">
        <w:t xml:space="preserve"> English at home, </w:t>
      </w:r>
      <w:r w:rsidR="00B67422">
        <w:t xml:space="preserve">may </w:t>
      </w:r>
      <w:r w:rsidR="00D85A45">
        <w:t xml:space="preserve">share more in common with </w:t>
      </w:r>
      <w:r w:rsidR="00EF573B">
        <w:t xml:space="preserve">people who would self-identify as </w:t>
      </w:r>
      <w:r w:rsidR="00D85A45">
        <w:t>CALD</w:t>
      </w:r>
      <w:r w:rsidR="0025144D">
        <w:t xml:space="preserve"> people</w:t>
      </w:r>
      <w:r w:rsidR="00857E08">
        <w:t xml:space="preserve">, including their experiences across the jobs and skills systems, </w:t>
      </w:r>
      <w:r w:rsidR="0025144D">
        <w:t xml:space="preserve">than someone who may have been born in another </w:t>
      </w:r>
      <w:r w:rsidR="0076009A">
        <w:t>country (Other than Main English Speaking countries</w:t>
      </w:r>
      <w:r w:rsidR="00C35EC0">
        <w:t xml:space="preserve">) who </w:t>
      </w:r>
      <w:r w:rsidR="0057040B">
        <w:t>speaks English or another</w:t>
      </w:r>
      <w:r w:rsidR="00AA5F36">
        <w:t xml:space="preserve"> language at home</w:t>
      </w:r>
      <w:r w:rsidR="0045221E">
        <w:t>.</w:t>
      </w:r>
    </w:p>
    <w:p w14:paraId="5122016A" w14:textId="0ED17F9C" w:rsidR="005F2F88" w:rsidRDefault="0045221E" w:rsidP="005F2F88">
      <w:pPr>
        <w:pStyle w:val="BodyText"/>
      </w:pPr>
      <w:r>
        <w:lastRenderedPageBreak/>
        <w:t xml:space="preserve">Similarly, </w:t>
      </w:r>
      <w:r w:rsidR="005107D6">
        <w:t>i</w:t>
      </w:r>
      <w:r w:rsidR="005F2F88">
        <w:t xml:space="preserve">n the same way that a region of a person's birth </w:t>
      </w:r>
      <w:r w:rsidR="005107D6">
        <w:t>has limitations</w:t>
      </w:r>
      <w:r w:rsidR="00F35493">
        <w:t xml:space="preserve">, language also has limitations. </w:t>
      </w:r>
      <w:r w:rsidR="009F2014">
        <w:t>For example, t</w:t>
      </w:r>
      <w:r w:rsidR="005F2F88">
        <w:t xml:space="preserve">he CALD proxy likely </w:t>
      </w:r>
      <w:r w:rsidR="005F2F88" w:rsidRPr="001E52CE">
        <w:t>exclude</w:t>
      </w:r>
      <w:r w:rsidR="005F2F88">
        <w:t>s</w:t>
      </w:r>
      <w:r w:rsidR="005F2F88" w:rsidRPr="001E52CE">
        <w:t xml:space="preserve"> many children of migrants (or their children and </w:t>
      </w:r>
      <w:r w:rsidR="00857E08">
        <w:t>subsequent generations</w:t>
      </w:r>
      <w:r w:rsidR="005F2F88" w:rsidRPr="001E52CE">
        <w:t>) who speak English as a main language</w:t>
      </w:r>
      <w:r w:rsidR="009F2014">
        <w:t xml:space="preserve"> but face similar or greater challenges</w:t>
      </w:r>
      <w:r w:rsidR="00593ED7">
        <w:t xml:space="preserve"> (including from racism)</w:t>
      </w:r>
      <w:r w:rsidR="009A439F">
        <w:t xml:space="preserve"> </w:t>
      </w:r>
      <w:r w:rsidR="000F0F9E">
        <w:t xml:space="preserve">in the jobs and skills system </w:t>
      </w:r>
      <w:r w:rsidR="009A439F">
        <w:t xml:space="preserve">than some people who </w:t>
      </w:r>
      <w:r w:rsidR="00633E25">
        <w:t xml:space="preserve">have been included in </w:t>
      </w:r>
      <w:r w:rsidR="000F0F9E">
        <w:t>the proxy</w:t>
      </w:r>
      <w:r w:rsidR="00FF2DB0">
        <w:t>.</w:t>
      </w:r>
    </w:p>
    <w:p w14:paraId="027DF4BC" w14:textId="6C2F875A" w:rsidR="005F2F88" w:rsidRPr="00B87789" w:rsidRDefault="00080EC9" w:rsidP="00B87789">
      <w:pPr>
        <w:pStyle w:val="BodyText"/>
      </w:pPr>
      <w:r>
        <w:t>Notwithstanding</w:t>
      </w:r>
      <w:r w:rsidR="00593ED7">
        <w:t xml:space="preserve"> these limitations, </w:t>
      </w:r>
      <w:r w:rsidR="000B1C1C">
        <w:t>the proxy provides useful insights into the broad occupation segregation</w:t>
      </w:r>
      <w:r w:rsidR="00F603B6">
        <w:t xml:space="preserve"> differences</w:t>
      </w:r>
      <w:r w:rsidR="000B1C1C">
        <w:t xml:space="preserve"> and pay gap</w:t>
      </w:r>
      <w:r w:rsidR="00F603B6">
        <w:t xml:space="preserve">s </w:t>
      </w:r>
      <w:r w:rsidR="00ED4449">
        <w:t>between the CALD and</w:t>
      </w:r>
      <w:r w:rsidR="007B3138">
        <w:t xml:space="preserve"> total workforce in Australia</w:t>
      </w:r>
      <w:r w:rsidR="000B1C1C">
        <w:t>.</w:t>
      </w:r>
    </w:p>
    <w:p w14:paraId="16733322" w14:textId="09616336" w:rsidR="00B87789" w:rsidRPr="00B87789" w:rsidRDefault="00B87789" w:rsidP="0029120E">
      <w:pPr>
        <w:pStyle w:val="Caption"/>
        <w:spacing w:before="240"/>
      </w:pPr>
      <w:r w:rsidRPr="00B87789">
        <w:t xml:space="preserve">Table </w:t>
      </w:r>
      <w:r w:rsidR="000A7DFC">
        <w:t>2</w:t>
      </w:r>
      <w:r w:rsidRPr="00B87789">
        <w:t>: CALD proxy Census variables and short descriptions</w:t>
      </w:r>
    </w:p>
    <w:tbl>
      <w:tblPr>
        <w:tblStyle w:val="CustomTableoption1"/>
        <w:tblW w:w="0" w:type="auto"/>
        <w:tblLook w:val="04A0" w:firstRow="1" w:lastRow="0" w:firstColumn="1" w:lastColumn="0" w:noHBand="0" w:noVBand="1"/>
      </w:tblPr>
      <w:tblGrid>
        <w:gridCol w:w="3005"/>
        <w:gridCol w:w="3005"/>
        <w:gridCol w:w="3006"/>
      </w:tblGrid>
      <w:tr w:rsidR="00B87789" w14:paraId="2B9B803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C7D5539" w14:textId="77777777" w:rsidR="00B87789" w:rsidRPr="00B87789" w:rsidRDefault="00B87789" w:rsidP="00B87789">
            <w:pPr>
              <w:pStyle w:val="TableHeading1"/>
            </w:pPr>
            <w:r w:rsidRPr="00B87789">
              <w:t>Country of Birth of Person (BPLP - 4-digit level)</w:t>
            </w:r>
          </w:p>
        </w:tc>
        <w:tc>
          <w:tcPr>
            <w:tcW w:w="3005" w:type="dxa"/>
          </w:tcPr>
          <w:p w14:paraId="4F3B5C8C" w14:textId="77777777" w:rsidR="00B87789" w:rsidRPr="00B87789" w:rsidRDefault="00B87789" w:rsidP="00B87789">
            <w:pPr>
              <w:pStyle w:val="TableHeading1"/>
              <w:cnfStyle w:val="100000000000" w:firstRow="1" w:lastRow="0" w:firstColumn="0" w:lastColumn="0" w:oddVBand="0" w:evenVBand="0" w:oddHBand="0" w:evenHBand="0" w:firstRowFirstColumn="0" w:firstRowLastColumn="0" w:lastRowFirstColumn="0" w:lastRowLastColumn="0"/>
            </w:pPr>
            <w:r w:rsidRPr="00B87789">
              <w:t>Language used at home (LANP - 2-digit level)</w:t>
            </w:r>
          </w:p>
        </w:tc>
        <w:tc>
          <w:tcPr>
            <w:tcW w:w="3006" w:type="dxa"/>
          </w:tcPr>
          <w:p w14:paraId="335A55D4" w14:textId="77777777" w:rsidR="00B87789" w:rsidRPr="00B87789" w:rsidRDefault="00B87789" w:rsidP="00B87789">
            <w:pPr>
              <w:pStyle w:val="TableHeading1"/>
              <w:cnfStyle w:val="100000000000" w:firstRow="1" w:lastRow="0" w:firstColumn="0" w:lastColumn="0" w:oddVBand="0" w:evenVBand="0" w:oddHBand="0" w:evenHBand="0" w:firstRowFirstColumn="0" w:firstRowLastColumn="0" w:lastRowFirstColumn="0" w:lastRowLastColumn="0"/>
            </w:pPr>
            <w:r w:rsidRPr="00B87789">
              <w:t>CALD determination</w:t>
            </w:r>
          </w:p>
        </w:tc>
      </w:tr>
      <w:tr w:rsidR="00B87789" w14:paraId="5CBD0256" w14:textId="77777777">
        <w:trPr>
          <w:trHeight w:val="27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07932596" w14:textId="77777777" w:rsidR="00B87789" w:rsidRPr="00B87789" w:rsidRDefault="00B87789" w:rsidP="00B87789">
            <w:pPr>
              <w:pStyle w:val="TableBodyText"/>
            </w:pPr>
            <w:r w:rsidRPr="00B87789">
              <w:t>MESC (Main English Speaking Countries)</w:t>
            </w:r>
          </w:p>
        </w:tc>
        <w:tc>
          <w:tcPr>
            <w:tcW w:w="3005" w:type="dxa"/>
          </w:tcPr>
          <w:p w14:paraId="3315B047"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English</w:t>
            </w:r>
          </w:p>
        </w:tc>
        <w:tc>
          <w:tcPr>
            <w:tcW w:w="3006" w:type="dxa"/>
          </w:tcPr>
          <w:p w14:paraId="621863E4"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Non-CALD</w:t>
            </w:r>
          </w:p>
        </w:tc>
      </w:tr>
      <w:tr w:rsidR="00B87789" w14:paraId="00AA7226" w14:textId="7777777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05" w:type="dxa"/>
            <w:vMerge/>
          </w:tcPr>
          <w:p w14:paraId="5A0F7548" w14:textId="77777777" w:rsidR="00B87789" w:rsidRPr="00B87789" w:rsidRDefault="00B87789" w:rsidP="00B87789">
            <w:pPr>
              <w:pStyle w:val="TableBodyText"/>
            </w:pPr>
          </w:p>
        </w:tc>
        <w:tc>
          <w:tcPr>
            <w:tcW w:w="3005" w:type="dxa"/>
          </w:tcPr>
          <w:p w14:paraId="1E133568"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Other than English or Australian Indigenous Language</w:t>
            </w:r>
          </w:p>
        </w:tc>
        <w:tc>
          <w:tcPr>
            <w:tcW w:w="3006" w:type="dxa"/>
          </w:tcPr>
          <w:p w14:paraId="61F49FFC"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CALD</w:t>
            </w:r>
          </w:p>
        </w:tc>
      </w:tr>
      <w:tr w:rsidR="00B87789" w14:paraId="62B5731F" w14:textId="77777777">
        <w:trPr>
          <w:trHeight w:val="27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25E9C8FD" w14:textId="77777777" w:rsidR="00B87789" w:rsidRPr="00B87789" w:rsidRDefault="00B87789" w:rsidP="00B87789">
            <w:pPr>
              <w:pStyle w:val="TableBodyText"/>
            </w:pPr>
            <w:r w:rsidRPr="00B87789">
              <w:t>OTMESC (Other than Main English Speaking Countries)</w:t>
            </w:r>
          </w:p>
        </w:tc>
        <w:tc>
          <w:tcPr>
            <w:tcW w:w="3005" w:type="dxa"/>
          </w:tcPr>
          <w:p w14:paraId="14D059B2"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English</w:t>
            </w:r>
          </w:p>
        </w:tc>
        <w:tc>
          <w:tcPr>
            <w:tcW w:w="3006" w:type="dxa"/>
          </w:tcPr>
          <w:p w14:paraId="180DC118"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CALD</w:t>
            </w:r>
          </w:p>
        </w:tc>
      </w:tr>
      <w:tr w:rsidR="00B87789" w14:paraId="4864FBDB" w14:textId="7777777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05" w:type="dxa"/>
            <w:vMerge/>
          </w:tcPr>
          <w:p w14:paraId="660E53B3" w14:textId="77777777" w:rsidR="00B87789" w:rsidRPr="00B87789" w:rsidRDefault="00B87789" w:rsidP="00B87789">
            <w:pPr>
              <w:pStyle w:val="TableBodyText"/>
            </w:pPr>
          </w:p>
        </w:tc>
        <w:tc>
          <w:tcPr>
            <w:tcW w:w="3005" w:type="dxa"/>
          </w:tcPr>
          <w:p w14:paraId="4EADDDAE"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Other than English or Australian Indigenous Language</w:t>
            </w:r>
          </w:p>
        </w:tc>
        <w:tc>
          <w:tcPr>
            <w:tcW w:w="3006" w:type="dxa"/>
          </w:tcPr>
          <w:p w14:paraId="7F1E4C60"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CALD</w:t>
            </w:r>
          </w:p>
        </w:tc>
      </w:tr>
      <w:tr w:rsidR="00B87789" w14:paraId="0CE56D3D" w14:textId="77777777">
        <w:trPr>
          <w:trHeight w:val="135"/>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651ED97F" w14:textId="77777777" w:rsidR="00B87789" w:rsidRPr="00B87789" w:rsidRDefault="00B87789" w:rsidP="00B87789">
            <w:pPr>
              <w:pStyle w:val="TableBodyText"/>
            </w:pPr>
            <w:r w:rsidRPr="00B87789">
              <w:t>Not stated</w:t>
            </w:r>
          </w:p>
        </w:tc>
        <w:tc>
          <w:tcPr>
            <w:tcW w:w="3005" w:type="dxa"/>
          </w:tcPr>
          <w:p w14:paraId="6B8ACE47"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English</w:t>
            </w:r>
          </w:p>
        </w:tc>
        <w:tc>
          <w:tcPr>
            <w:tcW w:w="3006" w:type="dxa"/>
          </w:tcPr>
          <w:p w14:paraId="47185E46"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Non-CALD</w:t>
            </w:r>
          </w:p>
        </w:tc>
      </w:tr>
      <w:tr w:rsidR="00B87789" w14:paraId="35C24E11" w14:textId="77777777">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005" w:type="dxa"/>
            <w:vMerge/>
          </w:tcPr>
          <w:p w14:paraId="589C6D6A" w14:textId="77777777" w:rsidR="00B87789" w:rsidRPr="00B87789" w:rsidRDefault="00B87789" w:rsidP="00B87789">
            <w:pPr>
              <w:pStyle w:val="TableBodyText"/>
            </w:pPr>
          </w:p>
        </w:tc>
        <w:tc>
          <w:tcPr>
            <w:tcW w:w="3005" w:type="dxa"/>
          </w:tcPr>
          <w:p w14:paraId="041E5474"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Other than English or Australian Indigenous Language</w:t>
            </w:r>
          </w:p>
        </w:tc>
        <w:tc>
          <w:tcPr>
            <w:tcW w:w="3006" w:type="dxa"/>
          </w:tcPr>
          <w:p w14:paraId="1A9A8A8F"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CALD</w:t>
            </w:r>
          </w:p>
        </w:tc>
      </w:tr>
      <w:tr w:rsidR="00B87789" w14:paraId="36688BF4" w14:textId="77777777">
        <w:trPr>
          <w:trHeight w:val="27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7A39ABE7" w14:textId="77777777" w:rsidR="00B87789" w:rsidRPr="00B87789" w:rsidRDefault="00B87789" w:rsidP="00B87789">
            <w:pPr>
              <w:pStyle w:val="TableBodyText"/>
            </w:pPr>
            <w:r w:rsidRPr="00B87789">
              <w:t>Australia (including external territories)</w:t>
            </w:r>
          </w:p>
        </w:tc>
        <w:tc>
          <w:tcPr>
            <w:tcW w:w="3005" w:type="dxa"/>
          </w:tcPr>
          <w:p w14:paraId="1184B2EF"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English</w:t>
            </w:r>
          </w:p>
        </w:tc>
        <w:tc>
          <w:tcPr>
            <w:tcW w:w="3006" w:type="dxa"/>
          </w:tcPr>
          <w:p w14:paraId="2AD13199" w14:textId="77777777" w:rsidR="00B87789" w:rsidRPr="00B87789" w:rsidRDefault="00B87789" w:rsidP="00B87789">
            <w:pPr>
              <w:pStyle w:val="TableBodyText"/>
              <w:cnfStyle w:val="000000000000" w:firstRow="0" w:lastRow="0" w:firstColumn="0" w:lastColumn="0" w:oddVBand="0" w:evenVBand="0" w:oddHBand="0" w:evenHBand="0" w:firstRowFirstColumn="0" w:firstRowLastColumn="0" w:lastRowFirstColumn="0" w:lastRowLastColumn="0"/>
            </w:pPr>
            <w:r w:rsidRPr="00B87789">
              <w:t>Australian born</w:t>
            </w:r>
          </w:p>
        </w:tc>
      </w:tr>
      <w:tr w:rsidR="00B87789" w14:paraId="15EDDE40" w14:textId="7777777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005" w:type="dxa"/>
            <w:vMerge/>
          </w:tcPr>
          <w:p w14:paraId="63CDF385" w14:textId="77777777" w:rsidR="00B87789" w:rsidRPr="00B87789" w:rsidRDefault="00B87789" w:rsidP="00B87789">
            <w:pPr>
              <w:pStyle w:val="TableBodyText"/>
            </w:pPr>
          </w:p>
        </w:tc>
        <w:tc>
          <w:tcPr>
            <w:tcW w:w="3005" w:type="dxa"/>
          </w:tcPr>
          <w:p w14:paraId="6F041406"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Other than English or Australian Indigenous Language</w:t>
            </w:r>
          </w:p>
        </w:tc>
        <w:tc>
          <w:tcPr>
            <w:tcW w:w="3006" w:type="dxa"/>
          </w:tcPr>
          <w:p w14:paraId="0A811ACD" w14:textId="77777777" w:rsidR="00B87789" w:rsidRPr="00B87789" w:rsidRDefault="00B87789" w:rsidP="00B87789">
            <w:pPr>
              <w:pStyle w:val="TableBodyText"/>
              <w:cnfStyle w:val="000000010000" w:firstRow="0" w:lastRow="0" w:firstColumn="0" w:lastColumn="0" w:oddVBand="0" w:evenVBand="0" w:oddHBand="0" w:evenHBand="1" w:firstRowFirstColumn="0" w:firstRowLastColumn="0" w:lastRowFirstColumn="0" w:lastRowLastColumn="0"/>
            </w:pPr>
            <w:r w:rsidRPr="00B87789">
              <w:t>Australian born</w:t>
            </w:r>
          </w:p>
        </w:tc>
      </w:tr>
    </w:tbl>
    <w:p w14:paraId="6174046E" w14:textId="65311ED7" w:rsidR="00B87789" w:rsidRPr="00B87789" w:rsidRDefault="00B87789" w:rsidP="0029120E">
      <w:pPr>
        <w:pStyle w:val="BodyText"/>
        <w:spacing w:before="240"/>
      </w:pPr>
      <w:r w:rsidRPr="00B87789">
        <w:t xml:space="preserve">The inclusion of First Nations in non-CALD totals is also an inherent challenge of this approach, which focuses on where someone was born and the language they speak. It is therefore intentional that our Study </w:t>
      </w:r>
      <w:r w:rsidR="00DF567E">
        <w:t>uses a three-layer analytical approach</w:t>
      </w:r>
      <w:r w:rsidR="00445E27">
        <w:t>—</w:t>
      </w:r>
      <w:r w:rsidR="00DF567E">
        <w:t xml:space="preserve">focusing on the whole </w:t>
      </w:r>
      <w:r w:rsidRPr="00B87789">
        <w:t>population, CALD</w:t>
      </w:r>
      <w:r w:rsidR="00DF567E">
        <w:t xml:space="preserve"> people</w:t>
      </w:r>
      <w:r w:rsidR="007B3138">
        <w:t>,</w:t>
      </w:r>
      <w:r w:rsidRPr="00B87789">
        <w:t xml:space="preserve"> and First Nations</w:t>
      </w:r>
      <w:r w:rsidR="00DF567E">
        <w:t xml:space="preserve"> people</w:t>
      </w:r>
      <w:r w:rsidRPr="00B87789">
        <w:t>. We also include insights where possible on migrants who have arrived as a child or an adult to add an additional intersectional layer considering the CALD proxy's limitations.</w:t>
      </w:r>
    </w:p>
    <w:p w14:paraId="3ADADF3B" w14:textId="43004847" w:rsidR="00B87789" w:rsidRPr="00B87789" w:rsidRDefault="00B87789" w:rsidP="00B87789">
      <w:pPr>
        <w:pStyle w:val="BodyText"/>
      </w:pPr>
      <w:r w:rsidRPr="00B87789">
        <w:t>For data analysis outside of PLIDA, we also use other variables such as proficiency in spoken English and MESC/OTMESC in contrast to the CALD proxy. For example, we will use MESC/OTMESC in our longitudinal Census analysis in Paper 2 and are currently exploring how to capture potential further disadvantage within the broader category of those born in a MESC country using the level of proficiency in spoken English</w:t>
      </w:r>
      <w:r w:rsidRPr="00B87789" w:rsidDel="00A4156E">
        <w:t xml:space="preserve"> </w:t>
      </w:r>
      <w:r w:rsidRPr="00B87789">
        <w:t>as a third additional variable.</w:t>
      </w:r>
    </w:p>
    <w:p w14:paraId="79B2AA27" w14:textId="10A81CE9" w:rsidR="00B87789" w:rsidRPr="00B87789" w:rsidRDefault="00B87789" w:rsidP="00B87789">
      <w:pPr>
        <w:pStyle w:val="BodyText"/>
      </w:pPr>
      <w:r w:rsidRPr="00B87789">
        <w:t>These insights are in line with the above ABS standard definition on Cultural and Language Diversity which highlight potential linguistic disadvantage and its possible flow on effects in terms of disparity in economic outcomes. An example of this designation would be ‘those born in OTMESC with poor or no English proficiency’. The broader variable is defined as: Proficiency in Spoken English—ENGLP: Uses other language and speaks English: Not well; Uses other language and speaks English; Not at all.</w:t>
      </w:r>
    </w:p>
    <w:p w14:paraId="5636A48F" w14:textId="1D3F60EF" w:rsidR="00B87789" w:rsidRPr="00B87789" w:rsidRDefault="00B87789" w:rsidP="00B87789">
      <w:pPr>
        <w:pStyle w:val="BodyText"/>
      </w:pPr>
      <w:r w:rsidRPr="00B87789">
        <w:lastRenderedPageBreak/>
        <w:t>The inclusion of this variable, where possible, also captures the difference in outcomes between poor/no English proficient individuals and those who speak English with skill which we know from initial qualitative data findings from the Study leads to discrimination in the workplace that intersects with sex discrimination.</w:t>
      </w:r>
    </w:p>
    <w:p w14:paraId="6727F9B8" w14:textId="4B82203C" w:rsidR="0029120E" w:rsidRDefault="00B87789" w:rsidP="00B87789">
      <w:pPr>
        <w:pStyle w:val="BodyText"/>
      </w:pPr>
      <w:r w:rsidRPr="00B87789">
        <w:t xml:space="preserve">Using ancestry, proficiency in Spoken English and other CALD related variables in future research and/or drawing on the </w:t>
      </w:r>
      <w:hyperlink r:id="rId25" w:history="1">
        <w:r w:rsidRPr="00B87789">
          <w:rPr>
            <w:rStyle w:val="Hyperlink"/>
          </w:rPr>
          <w:t>Standard Australian Classification of Countries</w:t>
        </w:r>
      </w:hyperlink>
      <w:r w:rsidRPr="00B87789">
        <w:t xml:space="preserve"> (SACC) variables for deeper case study, region or country-related intersectional analysis was also considered and would be of merit. JSA is continuing to explore how to better progress intersectional analysis for CALD populations and welcomes suggestions and collaborations on how to do this.</w:t>
      </w:r>
    </w:p>
    <w:p w14:paraId="4F8A0247" w14:textId="77777777" w:rsidR="0029120E" w:rsidRDefault="0029120E">
      <w:pPr>
        <w:spacing w:before="0" w:after="200" w:line="276" w:lineRule="auto"/>
      </w:pPr>
      <w:r>
        <w:br w:type="page"/>
      </w:r>
    </w:p>
    <w:p w14:paraId="6C95AD0F" w14:textId="791DF057" w:rsidR="00FE5CAA" w:rsidRDefault="00C17112" w:rsidP="00046547">
      <w:pPr>
        <w:pStyle w:val="Heading1"/>
      </w:pPr>
      <w:bookmarkStart w:id="8" w:name="_Toc204596277"/>
      <w:r>
        <w:lastRenderedPageBreak/>
        <w:t>Part 1</w:t>
      </w:r>
      <w:r w:rsidR="00E42CBA">
        <w:t xml:space="preserve"> Technical Detail</w:t>
      </w:r>
      <w:r>
        <w:t xml:space="preserve">: </w:t>
      </w:r>
      <w:r w:rsidR="00E42CBA">
        <w:t>O</w:t>
      </w:r>
      <w:r w:rsidR="6B8AC766">
        <w:t xml:space="preserve">ccupational </w:t>
      </w:r>
      <w:r w:rsidR="00E42CBA">
        <w:t>S</w:t>
      </w:r>
      <w:r w:rsidR="6B8AC766">
        <w:t>egregation</w:t>
      </w:r>
      <w:bookmarkEnd w:id="7"/>
      <w:bookmarkEnd w:id="8"/>
    </w:p>
    <w:p w14:paraId="086D9B33" w14:textId="0B92534D" w:rsidR="00997C06" w:rsidRDefault="00997C06" w:rsidP="00997C06">
      <w:pPr>
        <w:pStyle w:val="Heading2"/>
      </w:pPr>
      <w:bookmarkStart w:id="9" w:name="_Toc204596278"/>
      <w:r>
        <w:t>Census Methodology</w:t>
      </w:r>
      <w:bookmarkEnd w:id="9"/>
    </w:p>
    <w:p w14:paraId="107CCDEC" w14:textId="64679281" w:rsidR="00FE5CAA" w:rsidRDefault="00C75390" w:rsidP="00DE6AC1">
      <w:pPr>
        <w:pStyle w:val="Heading3"/>
      </w:pPr>
      <w:bookmarkStart w:id="10" w:name="_Toc204596279"/>
      <w:r>
        <w:t xml:space="preserve">Census </w:t>
      </w:r>
      <w:r w:rsidR="006058DF">
        <w:t xml:space="preserve">ANZSCO </w:t>
      </w:r>
      <w:r>
        <w:t>4-digit occupation estimates methodology</w:t>
      </w:r>
      <w:bookmarkEnd w:id="10"/>
    </w:p>
    <w:p w14:paraId="45A832BF" w14:textId="7F22CE21" w:rsidR="00C26A64" w:rsidRDefault="0082097F" w:rsidP="001D132D">
      <w:pPr>
        <w:pStyle w:val="BodyText"/>
      </w:pPr>
      <w:r w:rsidRPr="001D132D">
        <w:t>All figures derived for the occupational segregation analysis that are based on 2006 and</w:t>
      </w:r>
      <w:r w:rsidR="002B4086" w:rsidRPr="001D132D">
        <w:t xml:space="preserve"> </w:t>
      </w:r>
      <w:r w:rsidRPr="001D132D">
        <w:t>2021 ABS, Census of Population of Housing data, are at the ANZSCO 4-digit</w:t>
      </w:r>
      <w:r w:rsidR="00F359BB">
        <w:t xml:space="preserve"> o</w:t>
      </w:r>
      <w:r w:rsidR="00D07226">
        <w:t>ccupation</w:t>
      </w:r>
      <w:r w:rsidRPr="001D132D">
        <w:t xml:space="preserve"> </w:t>
      </w:r>
      <w:r w:rsidR="00D07226">
        <w:t>(</w:t>
      </w:r>
      <w:r w:rsidR="00B751CE">
        <w:t>OCCP</w:t>
      </w:r>
      <w:r w:rsidR="00D07226">
        <w:t>)</w:t>
      </w:r>
      <w:r w:rsidRPr="001D132D">
        <w:t xml:space="preserve"> level</w:t>
      </w:r>
      <w:r w:rsidR="00FD666E">
        <w:t>.</w:t>
      </w:r>
    </w:p>
    <w:p w14:paraId="3FCC5738" w14:textId="410D16DE" w:rsidR="00975008" w:rsidRDefault="0082097F" w:rsidP="001D132D">
      <w:pPr>
        <w:pStyle w:val="BodyText"/>
      </w:pPr>
      <w:r w:rsidRPr="001D132D">
        <w:t xml:space="preserve">Any reported aggregate numbers, such total </w:t>
      </w:r>
      <w:r w:rsidR="006F6A74">
        <w:t>workforce</w:t>
      </w:r>
      <w:r w:rsidRPr="001D132D">
        <w:t xml:space="preserve">, including whether it be by whole economy, gender, cohort and age, are calculated as a sum of the ANZSCO 4-digit </w:t>
      </w:r>
      <w:r w:rsidR="00D07226">
        <w:t>occupation</w:t>
      </w:r>
      <w:r w:rsidRPr="001D132D">
        <w:t xml:space="preserve">, but do not include </w:t>
      </w:r>
      <w:r w:rsidR="006058DF">
        <w:t>occupations classed as '</w:t>
      </w:r>
      <w:r w:rsidRPr="001D132D">
        <w:t>nfds</w:t>
      </w:r>
      <w:r w:rsidR="006058DF">
        <w:t>'/'not further defined'</w:t>
      </w:r>
      <w:r w:rsidRPr="001D132D">
        <w:t xml:space="preserve"> at the 4-digit occupation level in the summation. Aggregated figures also do not include </w:t>
      </w:r>
      <w:r w:rsidR="006058DF">
        <w:t>counts for '</w:t>
      </w:r>
      <w:r w:rsidRPr="001D132D">
        <w:t>Inadequately described</w:t>
      </w:r>
      <w:r w:rsidR="006058DF">
        <w:t>'</w:t>
      </w:r>
      <w:r w:rsidRPr="001D132D">
        <w:t xml:space="preserve">, </w:t>
      </w:r>
      <w:r w:rsidR="006058DF">
        <w:t>'</w:t>
      </w:r>
      <w:r w:rsidRPr="001D132D">
        <w:t>Not stated</w:t>
      </w:r>
      <w:r w:rsidR="006058DF">
        <w:t>'</w:t>
      </w:r>
      <w:r w:rsidRPr="001D132D">
        <w:t xml:space="preserve">, and </w:t>
      </w:r>
      <w:r w:rsidR="006058DF">
        <w:t>'</w:t>
      </w:r>
      <w:r w:rsidRPr="001D132D">
        <w:t>Not applicable</w:t>
      </w:r>
      <w:r w:rsidR="006058DF">
        <w:t>'</w:t>
      </w:r>
      <w:r w:rsidR="00FD666E">
        <w:t>.</w:t>
      </w:r>
    </w:p>
    <w:p w14:paraId="54DC0D4A" w14:textId="1CE52181" w:rsidR="002917CD" w:rsidRPr="001D132D" w:rsidRDefault="0082097F" w:rsidP="001D132D">
      <w:pPr>
        <w:pStyle w:val="BodyText"/>
      </w:pPr>
      <w:r w:rsidRPr="001D132D">
        <w:t xml:space="preserve">This method is also true for any denominators where percentages (whether it be for an occupation or a range of occupations) are given as a proportion of total </w:t>
      </w:r>
      <w:r w:rsidR="004417D9">
        <w:t>workforce</w:t>
      </w:r>
      <w:r w:rsidRPr="001D132D">
        <w:t>, including whether it be by whole economy, gender, cohort, or age</w:t>
      </w:r>
      <w:r w:rsidR="00FD666E">
        <w:t>.</w:t>
      </w:r>
    </w:p>
    <w:p w14:paraId="0FD2530F" w14:textId="40C13E92" w:rsidR="007E71E1" w:rsidRDefault="003615F7" w:rsidP="004D1B48">
      <w:pPr>
        <w:pStyle w:val="Heading3"/>
      </w:pPr>
      <w:bookmarkStart w:id="11" w:name="_Toc204596280"/>
      <w:r>
        <w:t>Occupation</w:t>
      </w:r>
      <w:r w:rsidR="007E71E1">
        <w:t xml:space="preserve"> shortages</w:t>
      </w:r>
      <w:r w:rsidR="00D4567A">
        <w:t xml:space="preserve"> methodology</w:t>
      </w:r>
      <w:bookmarkEnd w:id="11"/>
    </w:p>
    <w:p w14:paraId="4BB57DBC" w14:textId="24D6CD8E" w:rsidR="00072BCD" w:rsidRDefault="00DD5620" w:rsidP="00072BCD">
      <w:pPr>
        <w:pStyle w:val="BodyText"/>
      </w:pPr>
      <w:r>
        <w:t>Occupation shortage</w:t>
      </w:r>
      <w:r w:rsidR="00A56913">
        <w:t>s</w:t>
      </w:r>
      <w:r w:rsidR="00E74807">
        <w:t xml:space="preserve"> </w:t>
      </w:r>
      <w:r w:rsidR="0001629E">
        <w:t>are</w:t>
      </w:r>
      <w:r w:rsidR="00E74807">
        <w:t xml:space="preserve"> based o</w:t>
      </w:r>
      <w:r w:rsidR="00010AFD">
        <w:t>n</w:t>
      </w:r>
      <w:r w:rsidR="00E74807">
        <w:t xml:space="preserve"> the Jobs and Skill</w:t>
      </w:r>
      <w:r w:rsidR="00DD6484">
        <w:t xml:space="preserve">s Australia </w:t>
      </w:r>
      <w:hyperlink r:id="rId26" w:history="1">
        <w:r w:rsidR="004A2243" w:rsidRPr="0001629E">
          <w:rPr>
            <w:rStyle w:val="Hyperlink"/>
          </w:rPr>
          <w:t>Occupation Shortage List</w:t>
        </w:r>
      </w:hyperlink>
      <w:r w:rsidR="00F909C6">
        <w:t>. Occupation</w:t>
      </w:r>
      <w:r w:rsidR="00D20EA5">
        <w:t>s</w:t>
      </w:r>
      <w:r w:rsidR="004E0A1D">
        <w:t xml:space="preserve"> assessed as being in 'Shortage' or 'Regional Shortage' </w:t>
      </w:r>
      <w:r w:rsidR="00072BCD">
        <w:t>at the national level are classified as being in shortage.</w:t>
      </w:r>
      <w:r w:rsidR="00072BCD" w:rsidRPr="00072BCD">
        <w:t xml:space="preserve"> </w:t>
      </w:r>
      <w:r w:rsidR="00127B10">
        <w:t>It is important to note that not all occupations a</w:t>
      </w:r>
      <w:r w:rsidR="002F4213">
        <w:t>re assessed for shortage</w:t>
      </w:r>
      <w:r w:rsidR="004E2F22">
        <w:t>. This exclusion</w:t>
      </w:r>
      <w:r w:rsidR="00D129C3">
        <w:t xml:space="preserve"> includ</w:t>
      </w:r>
      <w:r w:rsidR="004E2F22">
        <w:t>es</w:t>
      </w:r>
      <w:r w:rsidR="00D129C3">
        <w:t xml:space="preserve"> </w:t>
      </w:r>
      <w:r w:rsidR="004E2F22">
        <w:t xml:space="preserve">all </w:t>
      </w:r>
      <w:r w:rsidR="00D129C3">
        <w:t xml:space="preserve">skill level 5 occupations. </w:t>
      </w:r>
      <w:r w:rsidR="004E2F22">
        <w:t>As such, o</w:t>
      </w:r>
      <w:r w:rsidR="00D129C3">
        <w:t>f</w:t>
      </w:r>
      <w:r w:rsidR="00072BCD">
        <w:t xml:space="preserve"> the 358 ANZ</w:t>
      </w:r>
      <w:r w:rsidR="00D20EA5">
        <w:t>S</w:t>
      </w:r>
      <w:r w:rsidR="00072BCD">
        <w:t>CO 4-digit occupations</w:t>
      </w:r>
      <w:r w:rsidR="00C32422">
        <w:t xml:space="preserve"> used in the analysis of this report</w:t>
      </w:r>
      <w:r w:rsidR="00072BCD">
        <w:t xml:space="preserve">, </w:t>
      </w:r>
      <w:r w:rsidR="001752D5">
        <w:t>311</w:t>
      </w:r>
      <w:r w:rsidR="00072BCD">
        <w:t xml:space="preserve"> have been assessed.</w:t>
      </w:r>
    </w:p>
    <w:p w14:paraId="22EBE977" w14:textId="137B130B" w:rsidR="00DD5620" w:rsidRDefault="00637DA1" w:rsidP="00D4567A">
      <w:pPr>
        <w:pStyle w:val="BodyText"/>
      </w:pPr>
      <w:r>
        <w:t xml:space="preserve">For more information </w:t>
      </w:r>
      <w:r w:rsidR="00792AEF">
        <w:t xml:space="preserve">on the Occupation Shortage List and </w:t>
      </w:r>
      <w:r w:rsidR="00343681">
        <w:t>the underlying methodology</w:t>
      </w:r>
      <w:r w:rsidR="00792AEF">
        <w:t xml:space="preserve"> please </w:t>
      </w:r>
      <w:r w:rsidR="00343681">
        <w:t>visit</w:t>
      </w:r>
      <w:r w:rsidR="00792AEF">
        <w:t xml:space="preserve"> the </w:t>
      </w:r>
      <w:hyperlink r:id="rId27" w:history="1">
        <w:r w:rsidR="00792AEF" w:rsidRPr="00AF6311">
          <w:rPr>
            <w:rStyle w:val="Hyperlink"/>
          </w:rPr>
          <w:t xml:space="preserve">Occupation Shortage </w:t>
        </w:r>
        <w:r w:rsidR="00343681" w:rsidRPr="00AF6311">
          <w:rPr>
            <w:rStyle w:val="Hyperlink"/>
          </w:rPr>
          <w:t>Analysis</w:t>
        </w:r>
        <w:r w:rsidR="00792AEF" w:rsidRPr="00AF6311">
          <w:rPr>
            <w:rStyle w:val="Hyperlink"/>
          </w:rPr>
          <w:t xml:space="preserve"> </w:t>
        </w:r>
        <w:r w:rsidR="00343681" w:rsidRPr="00AF6311">
          <w:rPr>
            <w:rStyle w:val="Hyperlink"/>
          </w:rPr>
          <w:t>page</w:t>
        </w:r>
      </w:hyperlink>
      <w:r w:rsidR="00792AEF">
        <w:t>.</w:t>
      </w:r>
    </w:p>
    <w:p w14:paraId="3D127FE2" w14:textId="6001D9AA" w:rsidR="00667A12" w:rsidRDefault="00495083" w:rsidP="00495083">
      <w:pPr>
        <w:pStyle w:val="Heading3"/>
      </w:pPr>
      <w:bookmarkStart w:id="12" w:name="_Toc204596281"/>
      <w:r>
        <w:t xml:space="preserve">International </w:t>
      </w:r>
      <w:r w:rsidR="00FC6BB4">
        <w:t>ex</w:t>
      </w:r>
      <w:r w:rsidR="003E7C14">
        <w:t>amples</w:t>
      </w:r>
      <w:r w:rsidR="00FC6BB4">
        <w:t xml:space="preserve"> of occupational segregation</w:t>
      </w:r>
      <w:bookmarkEnd w:id="12"/>
    </w:p>
    <w:p w14:paraId="6B25B3C6" w14:textId="69575666" w:rsidR="003E7C14" w:rsidRDefault="00667A12" w:rsidP="00D4567A">
      <w:pPr>
        <w:pStyle w:val="BodyText"/>
        <w:rPr>
          <w:lang w:eastAsia="en-AU"/>
        </w:rPr>
      </w:pPr>
      <w:r w:rsidRPr="00667A12">
        <w:rPr>
          <w:lang w:eastAsia="en-AU"/>
        </w:rPr>
        <w:t xml:space="preserve">A New Zealand analysis of Census data from 1991 to 2013 analysed occupational gender segregation at </w:t>
      </w:r>
      <w:r w:rsidR="004123ED">
        <w:t xml:space="preserve">ANZSCO 3-digit </w:t>
      </w:r>
      <w:r w:rsidRPr="00667A12">
        <w:rPr>
          <w:lang w:eastAsia="en-AU"/>
        </w:rPr>
        <w:t>(Stats NZ 2015). With 98 occupations classified at this less detailed level, 18 occupations were highly feminised (</w:t>
      </w:r>
      <w:r w:rsidR="00FB1DD1">
        <w:t xml:space="preserve">over </w:t>
      </w:r>
      <w:r w:rsidRPr="00667A12">
        <w:rPr>
          <w:lang w:eastAsia="en-AU"/>
        </w:rPr>
        <w:t>70% women) and 46 were highly masculinised (</w:t>
      </w:r>
      <w:r w:rsidR="00FB1DD1">
        <w:t xml:space="preserve">over </w:t>
      </w:r>
      <w:r w:rsidRPr="00667A12">
        <w:rPr>
          <w:lang w:eastAsia="en-AU"/>
        </w:rPr>
        <w:t xml:space="preserve">70% men). Therefore, </w:t>
      </w:r>
      <w:r w:rsidR="007A5AE5" w:rsidRPr="00667A12">
        <w:rPr>
          <w:lang w:eastAsia="en-AU"/>
        </w:rPr>
        <w:t>like</w:t>
      </w:r>
      <w:r w:rsidRPr="00667A12">
        <w:rPr>
          <w:lang w:eastAsia="en-AU"/>
        </w:rPr>
        <w:t xml:space="preserve"> </w:t>
      </w:r>
      <w:r w:rsidR="00C35CC3">
        <w:t>Australian</w:t>
      </w:r>
      <w:r w:rsidRPr="00667A12">
        <w:rPr>
          <w:lang w:eastAsia="en-AU"/>
        </w:rPr>
        <w:t xml:space="preserve"> findings, two-thirds of occupations in New Zealand are highly gendered, with over 70% of one gender in that occupation, indicating a highly gendered workforce</w:t>
      </w:r>
      <w:r w:rsidR="00FD666E">
        <w:rPr>
          <w:lang w:eastAsia="en-AU"/>
        </w:rPr>
        <w:t>.</w:t>
      </w:r>
    </w:p>
    <w:p w14:paraId="11D69F53" w14:textId="2B4113FE" w:rsidR="00667A12" w:rsidRPr="00D4567A" w:rsidRDefault="00667A12" w:rsidP="00D4567A">
      <w:pPr>
        <w:pStyle w:val="BodyText"/>
        <w:rPr>
          <w:lang w:eastAsia="en-AU"/>
        </w:rPr>
      </w:pPr>
      <w:r w:rsidRPr="00667A12">
        <w:rPr>
          <w:lang w:eastAsia="en-AU"/>
        </w:rPr>
        <w:t>Canadian 2021 Census data tells a similar story, classified at the</w:t>
      </w:r>
      <w:r w:rsidR="00E0101A">
        <w:t>ir equivalent</w:t>
      </w:r>
      <w:r w:rsidRPr="00667A12">
        <w:rPr>
          <w:lang w:eastAsia="en-AU"/>
        </w:rPr>
        <w:t xml:space="preserve"> 4-digit occupational level.</w:t>
      </w:r>
      <w:r>
        <w:t xml:space="preserve"> </w:t>
      </w:r>
      <w:r w:rsidRPr="00667A12">
        <w:rPr>
          <w:lang w:eastAsia="en-AU"/>
        </w:rPr>
        <w:t xml:space="preserve">When coding Canadian </w:t>
      </w:r>
      <w:r w:rsidR="006159D3">
        <w:t>C</w:t>
      </w:r>
      <w:r w:rsidRPr="00667A12">
        <w:rPr>
          <w:lang w:eastAsia="en-AU"/>
        </w:rPr>
        <w:t xml:space="preserve">ensus data (Statistics Canada 2021) to our </w:t>
      </w:r>
      <w:r w:rsidR="00E41DA7">
        <w:t>GSIS</w:t>
      </w:r>
      <w:r w:rsidRPr="00667A12">
        <w:rPr>
          <w:lang w:eastAsia="en-AU"/>
        </w:rPr>
        <w:t xml:space="preserve">, </w:t>
      </w:r>
      <w:r w:rsidR="00CA2F4E">
        <w:t>20</w:t>
      </w:r>
      <w:r w:rsidRPr="00667A12">
        <w:rPr>
          <w:lang w:eastAsia="en-AU"/>
        </w:rPr>
        <w:t xml:space="preserve">% of occupations are classified as </w:t>
      </w:r>
      <w:r w:rsidR="00CA2F4E">
        <w:t>'Almost completely</w:t>
      </w:r>
      <w:r w:rsidRPr="00667A12">
        <w:rPr>
          <w:lang w:eastAsia="en-AU"/>
        </w:rPr>
        <w:t xml:space="preserve"> gendered' (Statistics Canada</w:t>
      </w:r>
      <w:r w:rsidR="00B75762">
        <w:rPr>
          <w:lang w:eastAsia="en-AU"/>
        </w:rPr>
        <w:t xml:space="preserve"> 2021</w:t>
      </w:r>
      <w:r w:rsidRPr="00667A12">
        <w:rPr>
          <w:lang w:eastAsia="en-AU"/>
        </w:rPr>
        <w:t xml:space="preserve">). These findings </w:t>
      </w:r>
      <w:r w:rsidR="00CA2F4E">
        <w:t>aligned with</w:t>
      </w:r>
      <w:r w:rsidRPr="00667A12">
        <w:rPr>
          <w:lang w:eastAsia="en-AU"/>
        </w:rPr>
        <w:t xml:space="preserve"> </w:t>
      </w:r>
      <w:r w:rsidR="006212F1">
        <w:t xml:space="preserve">our findings </w:t>
      </w:r>
      <w:r w:rsidR="007A5AE5">
        <w:t>on</w:t>
      </w:r>
      <w:r w:rsidR="006E78AD">
        <w:t xml:space="preserve"> </w:t>
      </w:r>
      <w:r w:rsidRPr="00667A12">
        <w:rPr>
          <w:lang w:eastAsia="en-AU"/>
        </w:rPr>
        <w:t>Australia</w:t>
      </w:r>
      <w:r w:rsidR="00CA2F4E">
        <w:t>'s</w:t>
      </w:r>
      <w:r w:rsidR="006E78AD">
        <w:t xml:space="preserve"> workforce</w:t>
      </w:r>
      <w:r w:rsidRPr="00667A12">
        <w:rPr>
          <w:lang w:eastAsia="en-AU"/>
        </w:rPr>
        <w:t xml:space="preserve"> at the </w:t>
      </w:r>
      <w:r w:rsidR="006E78AD">
        <w:t>4</w:t>
      </w:r>
      <w:r w:rsidRPr="00667A12">
        <w:rPr>
          <w:lang w:eastAsia="en-AU"/>
        </w:rPr>
        <w:t>-digit occupational level</w:t>
      </w:r>
      <w:r w:rsidR="006E78AD">
        <w:t>, where 21% of occupations are almost completely gendered</w:t>
      </w:r>
      <w:r w:rsidRPr="00667A12">
        <w:rPr>
          <w:lang w:eastAsia="en-AU"/>
        </w:rPr>
        <w:t>.</w:t>
      </w:r>
    </w:p>
    <w:p w14:paraId="597C33A6" w14:textId="2819277A" w:rsidR="00607890" w:rsidRPr="00607890" w:rsidRDefault="00A56CBD" w:rsidP="00607890">
      <w:pPr>
        <w:pStyle w:val="Heading3"/>
      </w:pPr>
      <w:bookmarkStart w:id="13" w:name="_Toc204596282"/>
      <w:r>
        <w:lastRenderedPageBreak/>
        <w:t>'</w:t>
      </w:r>
      <w:r w:rsidR="00FB2040">
        <w:t xml:space="preserve">Top growing </w:t>
      </w:r>
      <w:r w:rsidR="00607890" w:rsidRPr="00607890">
        <w:t>occupations</w:t>
      </w:r>
      <w:r>
        <w:t>'</w:t>
      </w:r>
      <w:r w:rsidR="00607890" w:rsidRPr="00607890">
        <w:t xml:space="preserve"> </w:t>
      </w:r>
      <w:r w:rsidR="00A508F6">
        <w:t>m</w:t>
      </w:r>
      <w:r w:rsidR="00607890" w:rsidRPr="00607890">
        <w:t>ethodology</w:t>
      </w:r>
      <w:bookmarkEnd w:id="13"/>
    </w:p>
    <w:p w14:paraId="63F4F36C" w14:textId="4E40F72B" w:rsidR="00D50195" w:rsidRDefault="00607890" w:rsidP="00607890">
      <w:pPr>
        <w:pStyle w:val="BodyText"/>
      </w:pPr>
      <w:r w:rsidRPr="00607890">
        <w:t>To capture the full picture of occupational change between 2006 and 2021, we look</w:t>
      </w:r>
      <w:r w:rsidR="00FB2040">
        <w:t>ed</w:t>
      </w:r>
      <w:r w:rsidRPr="00607890">
        <w:t xml:space="preserve"> at how occupations have grown from two perspectives</w:t>
      </w:r>
      <w:r w:rsidR="00975008">
        <w:t>.</w:t>
      </w:r>
      <w:r w:rsidRPr="00607890">
        <w:t xml:space="preserve"> </w:t>
      </w:r>
      <w:r w:rsidR="00975008">
        <w:t>F</w:t>
      </w:r>
      <w:r w:rsidR="00975008" w:rsidRPr="00607890">
        <w:t xml:space="preserve">irst </w:t>
      </w:r>
      <w:r w:rsidRPr="00607890">
        <w:t>growth by pace</w:t>
      </w:r>
      <w:r w:rsidR="00A91A0B">
        <w:t xml:space="preserve"> (i.e. </w:t>
      </w:r>
      <w:r w:rsidR="00E46CF6">
        <w:t>'</w:t>
      </w:r>
      <w:r w:rsidR="00A91A0B">
        <w:t>fast</w:t>
      </w:r>
      <w:r w:rsidR="00D50195">
        <w:t>est</w:t>
      </w:r>
      <w:r w:rsidR="00A91A0B">
        <w:t xml:space="preserve"> growing</w:t>
      </w:r>
      <w:r w:rsidR="00E46CF6">
        <w:t>'</w:t>
      </w:r>
      <w:r w:rsidR="00F04F3A">
        <w:t>)</w:t>
      </w:r>
      <w:r w:rsidRPr="00607890">
        <w:t xml:space="preserve"> and second growth by size</w:t>
      </w:r>
      <w:r w:rsidR="00A91A0B">
        <w:t xml:space="preserve"> (i.e. </w:t>
      </w:r>
      <w:r w:rsidR="00E46CF6">
        <w:t>'</w:t>
      </w:r>
      <w:r w:rsidR="00A91A0B">
        <w:t>largest</w:t>
      </w:r>
      <w:r w:rsidR="00D50195">
        <w:t xml:space="preserve"> number of extra workers</w:t>
      </w:r>
      <w:r w:rsidR="00E46CF6">
        <w:t>'</w:t>
      </w:r>
      <w:r w:rsidR="00D50195">
        <w:t>)</w:t>
      </w:r>
      <w:r w:rsidRPr="00607890">
        <w:t>. T</w:t>
      </w:r>
      <w:r w:rsidR="00FB2040">
        <w:t>hese tw</w:t>
      </w:r>
      <w:r w:rsidRPr="00607890">
        <w:t>o complementary methods were used</w:t>
      </w:r>
      <w:r w:rsidR="00FB2040">
        <w:t xml:space="preserve"> </w:t>
      </w:r>
      <w:r w:rsidR="0057110B">
        <w:t xml:space="preserve">together </w:t>
      </w:r>
      <w:r w:rsidR="00FB2040">
        <w:t>to identify the 'top growing occupations'.</w:t>
      </w:r>
    </w:p>
    <w:p w14:paraId="32782004" w14:textId="06A74E69" w:rsidR="00D50195" w:rsidRDefault="00B22431" w:rsidP="00B22431">
      <w:pPr>
        <w:pStyle w:val="BodyText"/>
      </w:pPr>
      <w:r>
        <w:t>First, o</w:t>
      </w:r>
      <w:r w:rsidR="00607890" w:rsidRPr="00607890">
        <w:t>ccupations were ranked by percentage growth to identify the fastest growing occupations relative to their 2006 size. The top 10% of occupations by count (36 out of 358) were selected for analysis using this approach</w:t>
      </w:r>
      <w:r w:rsidR="00FD666E">
        <w:t>.</w:t>
      </w:r>
    </w:p>
    <w:p w14:paraId="558374C9" w14:textId="28580705" w:rsidR="00D50195" w:rsidRDefault="00607890" w:rsidP="00607890">
      <w:pPr>
        <w:pStyle w:val="BodyText"/>
      </w:pPr>
      <w:r w:rsidRPr="00607890">
        <w:t>Second, occupations were ranked by numeric growth</w:t>
      </w:r>
      <w:r w:rsidR="00A76383">
        <w:t>—</w:t>
      </w:r>
      <w:r w:rsidRPr="00607890">
        <w:t>the absolute increase in the number of people employed over the same period, and the top 10% by count were again selected. Including both metrics is important because each highlights different labour market dynamics</w:t>
      </w:r>
      <w:r w:rsidR="00FD666E">
        <w:t>.</w:t>
      </w:r>
    </w:p>
    <w:p w14:paraId="0CD65A79" w14:textId="40DC66AF" w:rsidR="00607890" w:rsidRPr="00607890" w:rsidRDefault="00607890" w:rsidP="00607890">
      <w:pPr>
        <w:pStyle w:val="BodyText"/>
      </w:pPr>
      <w:r w:rsidRPr="00607890">
        <w:t xml:space="preserve">Percentage growth emphasises rapid expansion, drawing attention to emerging or rapidly growing occupations that may have started from a small base. In contrast, numeric growth captures occupations that have added the largest number of workers overall, reflecting broader structural shifts in the workforce. Analysing both provides a more </w:t>
      </w:r>
      <w:r w:rsidR="00D50195">
        <w:t xml:space="preserve">holistic </w:t>
      </w:r>
      <w:r w:rsidRPr="00607890">
        <w:t xml:space="preserve">view of occupational change and ensures that both momentum </w:t>
      </w:r>
      <w:r w:rsidR="00D50195">
        <w:t xml:space="preserve">and scale </w:t>
      </w:r>
      <w:r w:rsidRPr="00607890">
        <w:t>are considered in assessing workforce trends.</w:t>
      </w:r>
    </w:p>
    <w:p w14:paraId="16598E67" w14:textId="75AAE803" w:rsidR="00607890" w:rsidRPr="00607890" w:rsidRDefault="00607890" w:rsidP="00607890">
      <w:pPr>
        <w:pStyle w:val="BodyText"/>
      </w:pPr>
      <w:r w:rsidRPr="00607890">
        <w:t xml:space="preserve">To identify the largest occupations for analysis, three cutoffs in the 2021 </w:t>
      </w:r>
      <w:r w:rsidR="00181032">
        <w:t>workforce</w:t>
      </w:r>
      <w:r w:rsidRPr="00607890">
        <w:t xml:space="preserve"> distributions were evaluated</w:t>
      </w:r>
      <w:r w:rsidR="00425963">
        <w:t>—</w:t>
      </w:r>
      <w:r w:rsidRPr="00607890">
        <w:t>75th percentile (top 25%), 90th percentile (top 10%) and 95th percentile (top 5%)</w:t>
      </w:r>
      <w:r w:rsidR="00FD666E">
        <w:t>.</w:t>
      </w:r>
      <w:r w:rsidRPr="00607890">
        <w:t xml:space="preserve"> These cut-offs were applied to the ranked list of occupations, not to the cumulative share of total </w:t>
      </w:r>
      <w:r w:rsidR="00B337FE">
        <w:t>w</w:t>
      </w:r>
      <w:r w:rsidR="00EF543A">
        <w:t>orkforce</w:t>
      </w:r>
      <w:r w:rsidRPr="00607890">
        <w:t>. That is, occupations were sorted from largest to smallest based on the number of people employed, and the top 10% of occupations by count, that is, the 36 highest ranking occupations out of a total of 358, were selected. This group was chosen as it strikes a balance between breadth and focus: the top 25% is too broad for deep insight and the top 5% is too narrow to reveal patterns. Selecting the top 10% by occupation count provides a manageable and meaningful subset that represents the most influential occupations in terms of workforce composition and gender distribution.</w:t>
      </w:r>
    </w:p>
    <w:p w14:paraId="6920B97C" w14:textId="77777777" w:rsidR="0029120E" w:rsidRDefault="0029120E">
      <w:pPr>
        <w:spacing w:before="0" w:after="200" w:line="276" w:lineRule="auto"/>
        <w:rPr>
          <w:b/>
          <w:bCs/>
          <w:color w:val="012749"/>
          <w:sz w:val="18"/>
          <w:szCs w:val="18"/>
        </w:rPr>
      </w:pPr>
      <w:r>
        <w:br w:type="page"/>
      </w:r>
    </w:p>
    <w:p w14:paraId="04B8D2F9" w14:textId="6C0D050C" w:rsidR="00607890" w:rsidRPr="00607890" w:rsidRDefault="00607890" w:rsidP="0029120E">
      <w:pPr>
        <w:pStyle w:val="Caption"/>
        <w:spacing w:before="240"/>
      </w:pPr>
      <w:r w:rsidRPr="00607890">
        <w:lastRenderedPageBreak/>
        <w:t>Table</w:t>
      </w:r>
      <w:r w:rsidR="003D1F5F">
        <w:t xml:space="preserve"> </w:t>
      </w:r>
      <w:r w:rsidR="000A7DFC">
        <w:t>3:</w:t>
      </w:r>
      <w:r w:rsidRPr="00607890">
        <w:t xml:space="preserve"> Occupations in the top </w:t>
      </w:r>
      <w:r w:rsidR="00DA721A">
        <w:t>growing occupations</w:t>
      </w:r>
      <w:r w:rsidRPr="00607890">
        <w:t xml:space="preserve"> that changed segregation </w:t>
      </w:r>
      <w:r w:rsidR="00C52D85">
        <w:t>intensity</w:t>
      </w:r>
      <w:r w:rsidRPr="00607890">
        <w:t xml:space="preserve"> from 2006 to 2021</w:t>
      </w:r>
    </w:p>
    <w:tbl>
      <w:tblPr>
        <w:tblStyle w:val="CustomTablebasic"/>
        <w:tblW w:w="8852" w:type="dxa"/>
        <w:tblLayout w:type="fixed"/>
        <w:tblLook w:val="04A0" w:firstRow="1" w:lastRow="0" w:firstColumn="1" w:lastColumn="0" w:noHBand="0" w:noVBand="1"/>
      </w:tblPr>
      <w:tblGrid>
        <w:gridCol w:w="5167"/>
        <w:gridCol w:w="1870"/>
        <w:gridCol w:w="1815"/>
      </w:tblGrid>
      <w:tr w:rsidR="00607890" w:rsidRPr="00E45392" w14:paraId="574C2910" w14:textId="77777777">
        <w:trPr>
          <w:cnfStyle w:val="100000000000" w:firstRow="1" w:lastRow="0" w:firstColumn="0" w:lastColumn="0" w:oddVBand="0" w:evenVBand="0" w:oddHBand="0" w:evenHBand="0" w:firstRowFirstColumn="0" w:firstRowLastColumn="0" w:lastRowFirstColumn="0" w:lastRowLastColumn="0"/>
          <w:trHeight w:val="297"/>
        </w:trPr>
        <w:tc>
          <w:tcPr>
            <w:tcW w:w="5167" w:type="dxa"/>
          </w:tcPr>
          <w:p w14:paraId="41824DDC" w14:textId="77777777" w:rsidR="00607890" w:rsidRPr="00607890" w:rsidRDefault="00607890" w:rsidP="00607890">
            <w:pPr>
              <w:pStyle w:val="TableHeading1"/>
            </w:pPr>
            <w:r w:rsidRPr="00607890">
              <w:t>Occupation</w:t>
            </w:r>
          </w:p>
        </w:tc>
        <w:tc>
          <w:tcPr>
            <w:tcW w:w="1870" w:type="dxa"/>
          </w:tcPr>
          <w:p w14:paraId="3EF1BBA0" w14:textId="47FC3B80" w:rsidR="00607890" w:rsidRPr="00607890" w:rsidRDefault="00607890" w:rsidP="00607890">
            <w:pPr>
              <w:pStyle w:val="TableHeading1"/>
            </w:pPr>
            <w:r w:rsidRPr="00607890">
              <w:t xml:space="preserve">Segregation </w:t>
            </w:r>
            <w:r w:rsidR="00E14FFC">
              <w:t>intensity</w:t>
            </w:r>
            <w:r w:rsidRPr="00607890">
              <w:t xml:space="preserve"> 2006</w:t>
            </w:r>
          </w:p>
        </w:tc>
        <w:tc>
          <w:tcPr>
            <w:tcW w:w="1815" w:type="dxa"/>
          </w:tcPr>
          <w:p w14:paraId="5AB7C6A2" w14:textId="50E89579" w:rsidR="00607890" w:rsidRPr="00607890" w:rsidRDefault="00607890" w:rsidP="00607890">
            <w:pPr>
              <w:pStyle w:val="TableHeading1"/>
            </w:pPr>
            <w:r w:rsidRPr="00607890">
              <w:t xml:space="preserve">Segregation </w:t>
            </w:r>
            <w:r w:rsidR="00E14FFC">
              <w:t>intensity</w:t>
            </w:r>
            <w:r w:rsidRPr="00607890">
              <w:t xml:space="preserve"> 2021</w:t>
            </w:r>
          </w:p>
        </w:tc>
      </w:tr>
      <w:tr w:rsidR="00607890" w:rsidRPr="00DB0072" w14:paraId="631DA616" w14:textId="77777777">
        <w:trPr>
          <w:trHeight w:val="297"/>
        </w:trPr>
        <w:tc>
          <w:tcPr>
            <w:tcW w:w="5167" w:type="dxa"/>
          </w:tcPr>
          <w:p w14:paraId="1FD04074" w14:textId="77777777" w:rsidR="00607890" w:rsidRPr="00607890" w:rsidRDefault="00607890" w:rsidP="00607890">
            <w:pPr>
              <w:pStyle w:val="TableBodyText"/>
            </w:pPr>
            <w:r w:rsidRPr="00607890">
              <w:t>Advertising and Sales Managers</w:t>
            </w:r>
          </w:p>
        </w:tc>
        <w:tc>
          <w:tcPr>
            <w:tcW w:w="1870" w:type="dxa"/>
          </w:tcPr>
          <w:p w14:paraId="13455C5D" w14:textId="270FC6C9" w:rsidR="00607890" w:rsidRPr="00607890" w:rsidRDefault="002C3361" w:rsidP="00E14FFC">
            <w:pPr>
              <w:pStyle w:val="TableBodyText"/>
            </w:pPr>
            <w:r>
              <w:t>Moderately m</w:t>
            </w:r>
            <w:r w:rsidR="00607890" w:rsidRPr="00607890">
              <w:t>ale dominated</w:t>
            </w:r>
          </w:p>
        </w:tc>
        <w:tc>
          <w:tcPr>
            <w:tcW w:w="1815" w:type="dxa"/>
          </w:tcPr>
          <w:p w14:paraId="66F5146E" w14:textId="77777777" w:rsidR="00607890" w:rsidRPr="00607890" w:rsidRDefault="00607890" w:rsidP="00E14FFC">
            <w:pPr>
              <w:pStyle w:val="TableBodyText"/>
            </w:pPr>
            <w:r w:rsidRPr="00607890">
              <w:t>Gender Balanced</w:t>
            </w:r>
          </w:p>
        </w:tc>
      </w:tr>
      <w:tr w:rsidR="00607890" w:rsidRPr="00DB0072" w14:paraId="0B8A5294" w14:textId="77777777">
        <w:trPr>
          <w:cnfStyle w:val="000000010000" w:firstRow="0" w:lastRow="0" w:firstColumn="0" w:lastColumn="0" w:oddVBand="0" w:evenVBand="0" w:oddHBand="0" w:evenHBand="1" w:firstRowFirstColumn="0" w:firstRowLastColumn="0" w:lastRowFirstColumn="0" w:lastRowLastColumn="0"/>
          <w:trHeight w:val="297"/>
        </w:trPr>
        <w:tc>
          <w:tcPr>
            <w:tcW w:w="5167" w:type="dxa"/>
          </w:tcPr>
          <w:p w14:paraId="037989F0" w14:textId="77777777" w:rsidR="00607890" w:rsidRPr="00607890" w:rsidRDefault="00607890" w:rsidP="00607890">
            <w:pPr>
              <w:pStyle w:val="TableBodyText"/>
            </w:pPr>
            <w:r w:rsidRPr="00607890">
              <w:t>Advertising and Marketing Professionals</w:t>
            </w:r>
          </w:p>
        </w:tc>
        <w:tc>
          <w:tcPr>
            <w:tcW w:w="1870" w:type="dxa"/>
          </w:tcPr>
          <w:p w14:paraId="68AD7DE6" w14:textId="77777777" w:rsidR="00607890" w:rsidRPr="00E14FFC" w:rsidRDefault="00607890" w:rsidP="00E14FFC">
            <w:pPr>
              <w:pStyle w:val="TableBodyText"/>
              <w:rPr>
                <w:rStyle w:val="Characterbolditalic"/>
                <w:b w:val="0"/>
                <w:i w:val="0"/>
              </w:rPr>
            </w:pPr>
            <w:r w:rsidRPr="00E14FFC">
              <w:rPr>
                <w:rStyle w:val="Characterbolditalic"/>
                <w:b w:val="0"/>
                <w:i w:val="0"/>
              </w:rPr>
              <w:t>Gender balanced</w:t>
            </w:r>
          </w:p>
        </w:tc>
        <w:tc>
          <w:tcPr>
            <w:tcW w:w="1815" w:type="dxa"/>
          </w:tcPr>
          <w:p w14:paraId="62C3C5DB" w14:textId="4888F253" w:rsidR="00607890" w:rsidRPr="00E14FFC" w:rsidRDefault="002C3361" w:rsidP="00E14FFC">
            <w:pPr>
              <w:pStyle w:val="TableBodyText"/>
              <w:rPr>
                <w:rStyle w:val="Characterbolditalic"/>
                <w:b w:val="0"/>
                <w:i w:val="0"/>
              </w:rPr>
            </w:pPr>
            <w:r w:rsidRPr="002C3361">
              <w:t>Moderately</w:t>
            </w:r>
            <w:r w:rsidRPr="002C3361">
              <w:rPr>
                <w:rStyle w:val="Characterbolditalic"/>
                <w:b w:val="0"/>
                <w:i w:val="0"/>
              </w:rPr>
              <w:t xml:space="preserve"> f</w:t>
            </w:r>
            <w:r w:rsidR="00607890" w:rsidRPr="002C3361">
              <w:rPr>
                <w:rStyle w:val="Characterbolditalic"/>
                <w:b w:val="0"/>
                <w:i w:val="0"/>
              </w:rPr>
              <w:t>emale</w:t>
            </w:r>
            <w:r w:rsidR="00607890" w:rsidRPr="00E14FFC">
              <w:rPr>
                <w:rStyle w:val="Characterbolditalic"/>
                <w:b w:val="0"/>
                <w:i w:val="0"/>
              </w:rPr>
              <w:t xml:space="preserve"> dominated </w:t>
            </w:r>
          </w:p>
        </w:tc>
      </w:tr>
      <w:tr w:rsidR="00607890" w:rsidRPr="00DB0072" w14:paraId="2435AD32" w14:textId="77777777">
        <w:trPr>
          <w:trHeight w:val="297"/>
        </w:trPr>
        <w:tc>
          <w:tcPr>
            <w:tcW w:w="5167" w:type="dxa"/>
          </w:tcPr>
          <w:p w14:paraId="548EC072" w14:textId="77777777" w:rsidR="00607890" w:rsidRPr="00607890" w:rsidRDefault="00607890" w:rsidP="00607890">
            <w:pPr>
              <w:pStyle w:val="TableBodyText"/>
            </w:pPr>
            <w:r w:rsidRPr="00607890">
              <w:t>Management and Organisation Analysts</w:t>
            </w:r>
          </w:p>
        </w:tc>
        <w:tc>
          <w:tcPr>
            <w:tcW w:w="1870" w:type="dxa"/>
          </w:tcPr>
          <w:p w14:paraId="0379B69A" w14:textId="1FD8CB19" w:rsidR="00607890" w:rsidRPr="00607890" w:rsidRDefault="002C3361" w:rsidP="00E14FFC">
            <w:pPr>
              <w:pStyle w:val="TableBodyText"/>
            </w:pPr>
            <w:r>
              <w:t>Moderately</w:t>
            </w:r>
            <w:r w:rsidRPr="002C3361">
              <w:t xml:space="preserve"> </w:t>
            </w:r>
            <w:r>
              <w:t>m</w:t>
            </w:r>
            <w:r w:rsidR="00607890" w:rsidRPr="00607890">
              <w:t>ale dominated</w:t>
            </w:r>
          </w:p>
        </w:tc>
        <w:tc>
          <w:tcPr>
            <w:tcW w:w="1815" w:type="dxa"/>
          </w:tcPr>
          <w:p w14:paraId="6F5ED59C" w14:textId="77777777" w:rsidR="00607890" w:rsidRPr="00607890" w:rsidRDefault="00607890" w:rsidP="00E14FFC">
            <w:pPr>
              <w:pStyle w:val="TableBodyText"/>
            </w:pPr>
            <w:r w:rsidRPr="00607890">
              <w:t>Gender Balanced</w:t>
            </w:r>
          </w:p>
        </w:tc>
      </w:tr>
      <w:tr w:rsidR="00607890" w:rsidRPr="00DB0072" w14:paraId="5B1CD4EE" w14:textId="77777777">
        <w:trPr>
          <w:cnfStyle w:val="000000010000" w:firstRow="0" w:lastRow="0" w:firstColumn="0" w:lastColumn="0" w:oddVBand="0" w:evenVBand="0" w:oddHBand="0" w:evenHBand="1" w:firstRowFirstColumn="0" w:firstRowLastColumn="0" w:lastRowFirstColumn="0" w:lastRowLastColumn="0"/>
          <w:trHeight w:val="297"/>
        </w:trPr>
        <w:tc>
          <w:tcPr>
            <w:tcW w:w="5167" w:type="dxa"/>
          </w:tcPr>
          <w:p w14:paraId="3A4223D1" w14:textId="77777777" w:rsidR="00607890" w:rsidRPr="00607890" w:rsidRDefault="00607890" w:rsidP="00607890">
            <w:pPr>
              <w:pStyle w:val="TableBodyText"/>
            </w:pPr>
            <w:r w:rsidRPr="00607890">
              <w:t>Storepersons</w:t>
            </w:r>
          </w:p>
        </w:tc>
        <w:tc>
          <w:tcPr>
            <w:tcW w:w="1870" w:type="dxa"/>
          </w:tcPr>
          <w:p w14:paraId="1664DBCD" w14:textId="77777777" w:rsidR="00607890" w:rsidRPr="00607890" w:rsidRDefault="00607890" w:rsidP="00E14FFC">
            <w:pPr>
              <w:pStyle w:val="TableBodyText"/>
            </w:pPr>
            <w:r w:rsidRPr="00607890">
              <w:t>Highly male dominated</w:t>
            </w:r>
          </w:p>
        </w:tc>
        <w:tc>
          <w:tcPr>
            <w:tcW w:w="1815" w:type="dxa"/>
          </w:tcPr>
          <w:p w14:paraId="3650F6E7" w14:textId="0A4FA990" w:rsidR="00607890" w:rsidRPr="00607890" w:rsidRDefault="00B05075" w:rsidP="00E14FFC">
            <w:pPr>
              <w:pStyle w:val="TableBodyText"/>
            </w:pPr>
            <w:r>
              <w:t>Moderately male dominated</w:t>
            </w:r>
          </w:p>
        </w:tc>
      </w:tr>
      <w:tr w:rsidR="00607890" w:rsidRPr="00DB0072" w14:paraId="1D3C5EC4" w14:textId="77777777">
        <w:trPr>
          <w:trHeight w:val="297"/>
        </w:trPr>
        <w:tc>
          <w:tcPr>
            <w:tcW w:w="5167" w:type="dxa"/>
          </w:tcPr>
          <w:p w14:paraId="7C21A691" w14:textId="77777777" w:rsidR="00607890" w:rsidRPr="00607890" w:rsidRDefault="00607890" w:rsidP="00607890">
            <w:pPr>
              <w:pStyle w:val="TableBodyText"/>
            </w:pPr>
            <w:r w:rsidRPr="00607890">
              <w:t>Secondary School Teachers</w:t>
            </w:r>
          </w:p>
        </w:tc>
        <w:tc>
          <w:tcPr>
            <w:tcW w:w="1870" w:type="dxa"/>
          </w:tcPr>
          <w:p w14:paraId="32000F66" w14:textId="77777777" w:rsidR="00607890" w:rsidRPr="00607890" w:rsidRDefault="00607890" w:rsidP="00E14FFC">
            <w:pPr>
              <w:pStyle w:val="TableBodyText"/>
            </w:pPr>
            <w:r w:rsidRPr="00607890">
              <w:t>Gender balanced</w:t>
            </w:r>
          </w:p>
        </w:tc>
        <w:tc>
          <w:tcPr>
            <w:tcW w:w="1815" w:type="dxa"/>
          </w:tcPr>
          <w:p w14:paraId="475B864F" w14:textId="637B5881" w:rsidR="00607890" w:rsidRPr="00607890" w:rsidRDefault="002C3361" w:rsidP="00E14FFC">
            <w:pPr>
              <w:pStyle w:val="TableBodyText"/>
            </w:pPr>
            <w:r>
              <w:t>Moderately</w:t>
            </w:r>
            <w:r w:rsidRPr="002C3361">
              <w:t xml:space="preserve"> </w:t>
            </w:r>
            <w:r w:rsidR="008D5162">
              <w:t>fe</w:t>
            </w:r>
            <w:r>
              <w:t>m</w:t>
            </w:r>
            <w:r w:rsidR="00607890" w:rsidRPr="00607890">
              <w:t xml:space="preserve">ale dominated </w:t>
            </w:r>
          </w:p>
        </w:tc>
      </w:tr>
      <w:tr w:rsidR="00607890" w:rsidRPr="00DB0072" w14:paraId="62C98978" w14:textId="77777777">
        <w:trPr>
          <w:cnfStyle w:val="000000010000" w:firstRow="0" w:lastRow="0" w:firstColumn="0" w:lastColumn="0" w:oddVBand="0" w:evenVBand="0" w:oddHBand="0" w:evenHBand="1" w:firstRowFirstColumn="0" w:firstRowLastColumn="0" w:lastRowFirstColumn="0" w:lastRowLastColumn="0"/>
          <w:trHeight w:val="297"/>
        </w:trPr>
        <w:tc>
          <w:tcPr>
            <w:tcW w:w="5167" w:type="dxa"/>
          </w:tcPr>
          <w:p w14:paraId="300C456B" w14:textId="77777777" w:rsidR="00607890" w:rsidRPr="00607890" w:rsidRDefault="00607890" w:rsidP="00607890">
            <w:pPr>
              <w:pStyle w:val="TableBodyText"/>
            </w:pPr>
            <w:r w:rsidRPr="00607890">
              <w:t>Bar Attendants and Baristas</w:t>
            </w:r>
          </w:p>
        </w:tc>
        <w:tc>
          <w:tcPr>
            <w:tcW w:w="1870" w:type="dxa"/>
          </w:tcPr>
          <w:p w14:paraId="61CFE6E5" w14:textId="77777777" w:rsidR="00607890" w:rsidRPr="00607890" w:rsidRDefault="00607890" w:rsidP="00E14FFC">
            <w:pPr>
              <w:pStyle w:val="TableBodyText"/>
            </w:pPr>
            <w:r w:rsidRPr="00607890">
              <w:t>Gender balanced</w:t>
            </w:r>
          </w:p>
        </w:tc>
        <w:tc>
          <w:tcPr>
            <w:tcW w:w="1815" w:type="dxa"/>
          </w:tcPr>
          <w:p w14:paraId="7FD9D4E6" w14:textId="09965223" w:rsidR="00607890" w:rsidRPr="00607890" w:rsidRDefault="002C3361" w:rsidP="00E14FFC">
            <w:pPr>
              <w:pStyle w:val="TableBodyText"/>
            </w:pPr>
            <w:r>
              <w:t>Moderately</w:t>
            </w:r>
            <w:r w:rsidRPr="002C3361">
              <w:t xml:space="preserve"> </w:t>
            </w:r>
            <w:r>
              <w:t>f</w:t>
            </w:r>
            <w:r w:rsidR="00607890" w:rsidRPr="00607890">
              <w:t>emale dominated</w:t>
            </w:r>
          </w:p>
        </w:tc>
      </w:tr>
      <w:tr w:rsidR="00607890" w:rsidRPr="00DB0072" w14:paraId="246FFB04" w14:textId="77777777">
        <w:trPr>
          <w:trHeight w:val="297"/>
        </w:trPr>
        <w:tc>
          <w:tcPr>
            <w:tcW w:w="5167" w:type="dxa"/>
          </w:tcPr>
          <w:p w14:paraId="68AB9BA1" w14:textId="77777777" w:rsidR="00607890" w:rsidRPr="00607890" w:rsidRDefault="00607890" w:rsidP="00607890">
            <w:pPr>
              <w:pStyle w:val="TableBodyText"/>
            </w:pPr>
            <w:r w:rsidRPr="00607890">
              <w:t>Other Specialist Managers</w:t>
            </w:r>
          </w:p>
        </w:tc>
        <w:tc>
          <w:tcPr>
            <w:tcW w:w="1870" w:type="dxa"/>
          </w:tcPr>
          <w:p w14:paraId="1A7E63EE" w14:textId="513543A4" w:rsidR="00607890" w:rsidRPr="00607890" w:rsidRDefault="002C3361" w:rsidP="00E14FFC">
            <w:pPr>
              <w:pStyle w:val="TableBodyText"/>
            </w:pPr>
            <w:r>
              <w:t>Moderately</w:t>
            </w:r>
            <w:r w:rsidRPr="002C3361">
              <w:t xml:space="preserve"> </w:t>
            </w:r>
            <w:r>
              <w:t>m</w:t>
            </w:r>
            <w:r w:rsidR="00607890" w:rsidRPr="00607890">
              <w:t>ale dominated</w:t>
            </w:r>
          </w:p>
        </w:tc>
        <w:tc>
          <w:tcPr>
            <w:tcW w:w="1815" w:type="dxa"/>
          </w:tcPr>
          <w:p w14:paraId="7DCC5F46" w14:textId="4F25F937" w:rsidR="00607890" w:rsidRPr="00607890" w:rsidRDefault="00B05075" w:rsidP="00E14FFC">
            <w:pPr>
              <w:pStyle w:val="TableBodyText"/>
            </w:pPr>
            <w:r>
              <w:t>Gender balanced</w:t>
            </w:r>
            <w:r w:rsidR="00607890" w:rsidRPr="00607890">
              <w:t xml:space="preserve"> </w:t>
            </w:r>
          </w:p>
        </w:tc>
      </w:tr>
      <w:tr w:rsidR="00607890" w:rsidRPr="00DB0072" w14:paraId="142CA81A" w14:textId="77777777">
        <w:trPr>
          <w:cnfStyle w:val="000000010000" w:firstRow="0" w:lastRow="0" w:firstColumn="0" w:lastColumn="0" w:oddVBand="0" w:evenVBand="0" w:oddHBand="0" w:evenHBand="1" w:firstRowFirstColumn="0" w:firstRowLastColumn="0" w:lastRowFirstColumn="0" w:lastRowLastColumn="0"/>
          <w:trHeight w:val="297"/>
        </w:trPr>
        <w:tc>
          <w:tcPr>
            <w:tcW w:w="5167" w:type="dxa"/>
          </w:tcPr>
          <w:p w14:paraId="76FD8238" w14:textId="77777777" w:rsidR="00607890" w:rsidRPr="00607890" w:rsidRDefault="00607890" w:rsidP="00607890">
            <w:pPr>
              <w:pStyle w:val="TableBodyText"/>
            </w:pPr>
            <w:r w:rsidRPr="00607890">
              <w:t>Generalist Medical Practitioners</w:t>
            </w:r>
          </w:p>
        </w:tc>
        <w:tc>
          <w:tcPr>
            <w:tcW w:w="1870" w:type="dxa"/>
          </w:tcPr>
          <w:p w14:paraId="7679A044" w14:textId="061A68D4" w:rsidR="00607890" w:rsidRPr="00607890" w:rsidRDefault="002C3361" w:rsidP="00E14FFC">
            <w:pPr>
              <w:pStyle w:val="TableBodyText"/>
            </w:pPr>
            <w:r>
              <w:t>Moderately</w:t>
            </w:r>
            <w:r w:rsidRPr="002C3361">
              <w:t xml:space="preserve"> </w:t>
            </w:r>
            <w:r>
              <w:t>m</w:t>
            </w:r>
            <w:r w:rsidR="00607890" w:rsidRPr="00607890">
              <w:t>ale dominated</w:t>
            </w:r>
          </w:p>
        </w:tc>
        <w:tc>
          <w:tcPr>
            <w:tcW w:w="1815" w:type="dxa"/>
          </w:tcPr>
          <w:p w14:paraId="33064FB5" w14:textId="77777777" w:rsidR="00607890" w:rsidRPr="00607890" w:rsidRDefault="00607890" w:rsidP="00E14FFC">
            <w:pPr>
              <w:pStyle w:val="TableBodyText"/>
            </w:pPr>
            <w:r w:rsidRPr="00607890">
              <w:t>Gender balanced</w:t>
            </w:r>
          </w:p>
        </w:tc>
      </w:tr>
      <w:tr w:rsidR="00607890" w:rsidRPr="00DB0072" w14:paraId="238BE4A7" w14:textId="77777777">
        <w:trPr>
          <w:trHeight w:val="297"/>
        </w:trPr>
        <w:tc>
          <w:tcPr>
            <w:tcW w:w="5167" w:type="dxa"/>
          </w:tcPr>
          <w:p w14:paraId="10399CA7" w14:textId="77777777" w:rsidR="00607890" w:rsidRPr="00607890" w:rsidRDefault="00607890" w:rsidP="00607890">
            <w:pPr>
              <w:pStyle w:val="TableBodyText"/>
            </w:pPr>
            <w:r w:rsidRPr="00607890">
              <w:t>Kitchenhands</w:t>
            </w:r>
          </w:p>
        </w:tc>
        <w:tc>
          <w:tcPr>
            <w:tcW w:w="1870" w:type="dxa"/>
          </w:tcPr>
          <w:p w14:paraId="0D3B76C8" w14:textId="76CF5191" w:rsidR="00607890" w:rsidRPr="00607890" w:rsidRDefault="002C3361" w:rsidP="00E14FFC">
            <w:pPr>
              <w:pStyle w:val="TableBodyText"/>
            </w:pPr>
            <w:r>
              <w:t>Moderately</w:t>
            </w:r>
            <w:r w:rsidRPr="002C3361">
              <w:t xml:space="preserve"> </w:t>
            </w:r>
            <w:r>
              <w:t>f</w:t>
            </w:r>
            <w:r w:rsidR="00607890" w:rsidRPr="00607890">
              <w:t>emale dominated</w:t>
            </w:r>
          </w:p>
        </w:tc>
        <w:tc>
          <w:tcPr>
            <w:tcW w:w="1815" w:type="dxa"/>
          </w:tcPr>
          <w:p w14:paraId="3D488E67" w14:textId="77777777" w:rsidR="00607890" w:rsidRPr="00607890" w:rsidRDefault="00607890" w:rsidP="00E14FFC">
            <w:pPr>
              <w:pStyle w:val="TableBodyText"/>
            </w:pPr>
            <w:r w:rsidRPr="00607890">
              <w:t>Gender balanced</w:t>
            </w:r>
          </w:p>
        </w:tc>
      </w:tr>
      <w:tr w:rsidR="00607890" w:rsidRPr="00DB0072" w14:paraId="02D5B427" w14:textId="77777777">
        <w:trPr>
          <w:cnfStyle w:val="000000010000" w:firstRow="0" w:lastRow="0" w:firstColumn="0" w:lastColumn="0" w:oddVBand="0" w:evenVBand="0" w:oddHBand="0" w:evenHBand="1" w:firstRowFirstColumn="0" w:firstRowLastColumn="0" w:lastRowFirstColumn="0" w:lastRowLastColumn="0"/>
          <w:trHeight w:val="297"/>
        </w:trPr>
        <w:tc>
          <w:tcPr>
            <w:tcW w:w="5167" w:type="dxa"/>
          </w:tcPr>
          <w:p w14:paraId="48CFAF56" w14:textId="77777777" w:rsidR="00607890" w:rsidRPr="00607890" w:rsidRDefault="00607890" w:rsidP="00607890">
            <w:pPr>
              <w:pStyle w:val="TableBodyText"/>
            </w:pPr>
            <w:r w:rsidRPr="00607890">
              <w:t>Commercial Cleaners</w:t>
            </w:r>
          </w:p>
        </w:tc>
        <w:tc>
          <w:tcPr>
            <w:tcW w:w="1870" w:type="dxa"/>
          </w:tcPr>
          <w:p w14:paraId="628659D2" w14:textId="62ACFECF" w:rsidR="00607890" w:rsidRPr="00607890" w:rsidRDefault="002C3361" w:rsidP="00E14FFC">
            <w:pPr>
              <w:pStyle w:val="TableBodyText"/>
            </w:pPr>
            <w:r>
              <w:t>Moderately</w:t>
            </w:r>
            <w:r w:rsidRPr="002C3361">
              <w:t xml:space="preserve"> </w:t>
            </w:r>
            <w:r>
              <w:t>f</w:t>
            </w:r>
            <w:r w:rsidR="00607890" w:rsidRPr="00607890">
              <w:t>emale dominated</w:t>
            </w:r>
          </w:p>
        </w:tc>
        <w:tc>
          <w:tcPr>
            <w:tcW w:w="1815" w:type="dxa"/>
          </w:tcPr>
          <w:p w14:paraId="5730B67D" w14:textId="77777777" w:rsidR="00607890" w:rsidRPr="00607890" w:rsidRDefault="00607890" w:rsidP="00E14FFC">
            <w:pPr>
              <w:pStyle w:val="TableBodyText"/>
            </w:pPr>
            <w:r w:rsidRPr="00607890">
              <w:t>Gender balanced</w:t>
            </w:r>
          </w:p>
        </w:tc>
      </w:tr>
    </w:tbl>
    <w:p w14:paraId="5B6CEE5E" w14:textId="45F4881E" w:rsidR="00607890" w:rsidRPr="00607890" w:rsidRDefault="00607890" w:rsidP="00607890">
      <w:pPr>
        <w:pStyle w:val="Source"/>
      </w:pPr>
      <w:r w:rsidRPr="00607890">
        <w:t>Source: ABS</w:t>
      </w:r>
      <w:r w:rsidR="002228F7">
        <w:t>,</w:t>
      </w:r>
      <w:r w:rsidRPr="00607890">
        <w:t xml:space="preserve"> Census of Population and Housing, 2006 and 2021</w:t>
      </w:r>
      <w:r w:rsidR="002228F7">
        <w:t>.</w:t>
      </w:r>
    </w:p>
    <w:p w14:paraId="2A3C76F4" w14:textId="77777777" w:rsidR="00F72E6C" w:rsidRDefault="00F72E6C">
      <w:pPr>
        <w:spacing w:before="0" w:after="200" w:line="276" w:lineRule="auto"/>
        <w:rPr>
          <w:rFonts w:eastAsia="Times New Roman" w:cs="Arial"/>
          <w:b/>
          <w:iCs/>
          <w:color w:val="2F005F"/>
          <w:sz w:val="32"/>
          <w:szCs w:val="28"/>
          <w:lang w:eastAsia="en-AU"/>
        </w:rPr>
      </w:pPr>
      <w:bookmarkStart w:id="14" w:name="_Toc204596283"/>
      <w:r>
        <w:br w:type="page"/>
      </w:r>
    </w:p>
    <w:p w14:paraId="0CC90FC7" w14:textId="77777777" w:rsidR="00816F6B" w:rsidRPr="00816F6B" w:rsidRDefault="00816F6B" w:rsidP="0029120E">
      <w:pPr>
        <w:pStyle w:val="Heading2"/>
        <w:spacing w:before="360"/>
      </w:pPr>
      <w:r w:rsidRPr="00816F6B">
        <w:lastRenderedPageBreak/>
        <w:t>Supplementary tables and analysis</w:t>
      </w:r>
      <w:bookmarkEnd w:id="14"/>
    </w:p>
    <w:p w14:paraId="64B9DFDE" w14:textId="4387ED1E" w:rsidR="00607890" w:rsidRPr="00607890" w:rsidRDefault="00607890" w:rsidP="00607890">
      <w:pPr>
        <w:pStyle w:val="Heading3"/>
      </w:pPr>
      <w:bookmarkStart w:id="15" w:name="_Toc204596284"/>
      <w:r w:rsidRPr="00607890">
        <w:t xml:space="preserve">Skill </w:t>
      </w:r>
      <w:r w:rsidR="00455750">
        <w:t>L</w:t>
      </w:r>
      <w:r w:rsidRPr="00607890">
        <w:t>evel segregation</w:t>
      </w:r>
      <w:bookmarkEnd w:id="15"/>
    </w:p>
    <w:p w14:paraId="632A1166" w14:textId="343C373A" w:rsidR="001313F6" w:rsidRDefault="00B14348" w:rsidP="00B14348">
      <w:pPr>
        <w:pStyle w:val="BodyText"/>
      </w:pPr>
      <w:r w:rsidRPr="00B14348">
        <w:t xml:space="preserve">Females now account for more of </w:t>
      </w:r>
      <w:r w:rsidR="0065516E">
        <w:t xml:space="preserve">the </w:t>
      </w:r>
      <w:r w:rsidR="00A2399E">
        <w:t>S</w:t>
      </w:r>
      <w:r w:rsidRPr="00B14348">
        <w:t xml:space="preserve">kill </w:t>
      </w:r>
      <w:r w:rsidR="00A2399E">
        <w:t>L</w:t>
      </w:r>
      <w:r w:rsidRPr="00B14348">
        <w:t xml:space="preserve">evel 1 </w:t>
      </w:r>
      <w:r w:rsidR="0065516E">
        <w:t>workforce</w:t>
      </w:r>
      <w:r w:rsidRPr="00B14348">
        <w:t xml:space="preserve"> than males</w:t>
      </w:r>
      <w:r w:rsidR="00080E43">
        <w:t xml:space="preserve"> (51</w:t>
      </w:r>
      <w:r w:rsidR="00AD539A">
        <w:t>% and 49</w:t>
      </w:r>
      <w:r w:rsidR="00AC2E03">
        <w:t>%</w:t>
      </w:r>
      <w:r w:rsidR="00080E43">
        <w:t>)</w:t>
      </w:r>
      <w:r w:rsidRPr="00B14348">
        <w:t xml:space="preserve">. </w:t>
      </w:r>
      <w:r w:rsidR="00D231B2">
        <w:t>D</w:t>
      </w:r>
      <w:r w:rsidRPr="00B14348">
        <w:t xml:space="preserve">espite females accounting for 49% </w:t>
      </w:r>
      <w:r w:rsidR="003C3F2B">
        <w:t xml:space="preserve">of </w:t>
      </w:r>
      <w:r w:rsidR="0065516E">
        <w:t xml:space="preserve">the </w:t>
      </w:r>
      <w:r w:rsidR="003C3F2B">
        <w:t xml:space="preserve">total </w:t>
      </w:r>
      <w:r w:rsidR="00782FCB">
        <w:t>workforce</w:t>
      </w:r>
      <w:r w:rsidRPr="00B14348">
        <w:t xml:space="preserve">, they account for most </w:t>
      </w:r>
      <w:r w:rsidR="00E410FB">
        <w:t>of the workforce</w:t>
      </w:r>
      <w:r w:rsidRPr="00B14348">
        <w:t xml:space="preserve"> within each of the skill levels, aside from </w:t>
      </w:r>
      <w:r w:rsidR="00140DF6">
        <w:t>S</w:t>
      </w:r>
      <w:r w:rsidRPr="00B14348">
        <w:t xml:space="preserve">kill </w:t>
      </w:r>
      <w:r w:rsidR="00140DF6">
        <w:t>L</w:t>
      </w:r>
      <w:r w:rsidRPr="00B14348">
        <w:t xml:space="preserve">evel 3, for which 68% of </w:t>
      </w:r>
      <w:r w:rsidR="00E410FB">
        <w:t>the workforce</w:t>
      </w:r>
      <w:r w:rsidRPr="00B14348">
        <w:t xml:space="preserve"> is male</w:t>
      </w:r>
      <w:r w:rsidR="00FD666E">
        <w:t>.</w:t>
      </w:r>
    </w:p>
    <w:p w14:paraId="558E1C23" w14:textId="1174C2BB" w:rsidR="0029120E" w:rsidRDefault="00B14348" w:rsidP="00B14348">
      <w:pPr>
        <w:pStyle w:val="BodyText"/>
      </w:pPr>
      <w:r w:rsidRPr="00B14348">
        <w:t xml:space="preserve">While </w:t>
      </w:r>
      <w:r w:rsidR="00140DF6">
        <w:t>S</w:t>
      </w:r>
      <w:r w:rsidRPr="00B14348">
        <w:t xml:space="preserve">kill </w:t>
      </w:r>
      <w:r w:rsidR="00140DF6">
        <w:t>L</w:t>
      </w:r>
      <w:r w:rsidRPr="00B14348">
        <w:t xml:space="preserve">evel 3 only accounts for 15% of </w:t>
      </w:r>
      <w:r w:rsidR="005D2D13">
        <w:t xml:space="preserve">the </w:t>
      </w:r>
      <w:r w:rsidRPr="00B14348">
        <w:t xml:space="preserve">total </w:t>
      </w:r>
      <w:r w:rsidR="00BC4B5A">
        <w:t>workforce</w:t>
      </w:r>
      <w:r w:rsidRPr="00B14348">
        <w:t xml:space="preserve">, most occupations at </w:t>
      </w:r>
      <w:r w:rsidR="001313F6">
        <w:t xml:space="preserve">this skill </w:t>
      </w:r>
      <w:r w:rsidRPr="00B14348">
        <w:t xml:space="preserve">level are in shortage, meaning that greater uptake of </w:t>
      </w:r>
      <w:r w:rsidR="00140DF6">
        <w:t>S</w:t>
      </w:r>
      <w:r w:rsidRPr="00B14348">
        <w:t xml:space="preserve">kill </w:t>
      </w:r>
      <w:r w:rsidR="00140DF6">
        <w:t>L</w:t>
      </w:r>
      <w:r w:rsidRPr="00B14348">
        <w:t xml:space="preserve">evel 3 occupation by females will be important into the future. Female representation is greatest in </w:t>
      </w:r>
      <w:r w:rsidR="00140DF6">
        <w:t>S</w:t>
      </w:r>
      <w:r w:rsidRPr="00B14348">
        <w:t xml:space="preserve">kill </w:t>
      </w:r>
      <w:r w:rsidR="00140DF6">
        <w:t>L</w:t>
      </w:r>
      <w:r w:rsidRPr="00B14348">
        <w:t>evel 2 and 4 occupations.</w:t>
      </w:r>
    </w:p>
    <w:p w14:paraId="06E9E76D" w14:textId="3C87E12D" w:rsidR="00607890" w:rsidRPr="00607890" w:rsidRDefault="00607890" w:rsidP="00A4190B">
      <w:pPr>
        <w:pStyle w:val="Caption"/>
      </w:pPr>
      <w:r w:rsidRPr="00607890">
        <w:t xml:space="preserve">Table </w:t>
      </w:r>
      <w:r w:rsidR="000A7DFC">
        <w:t>4</w:t>
      </w:r>
      <w:r w:rsidRPr="00607890">
        <w:t xml:space="preserve">: Occupational skill levels as a proportion of </w:t>
      </w:r>
      <w:r w:rsidR="006C355A">
        <w:t xml:space="preserve">the </w:t>
      </w:r>
      <w:r w:rsidRPr="00607890">
        <w:t xml:space="preserve">total </w:t>
      </w:r>
      <w:r w:rsidR="00D244DA">
        <w:t>workforce</w:t>
      </w:r>
      <w:r w:rsidRPr="00607890">
        <w:t xml:space="preserve"> in 2021, the proportion of each skill level male and female, and proportion of occupations within skill level that are in national shortage</w:t>
      </w:r>
    </w:p>
    <w:tbl>
      <w:tblPr>
        <w:tblStyle w:val="CustomTablebasic"/>
        <w:tblW w:w="9027" w:type="dxa"/>
        <w:tblLook w:val="04A0" w:firstRow="1" w:lastRow="0" w:firstColumn="1" w:lastColumn="0" w:noHBand="0" w:noVBand="1"/>
      </w:tblPr>
      <w:tblGrid>
        <w:gridCol w:w="3407"/>
        <w:gridCol w:w="1502"/>
        <w:gridCol w:w="1306"/>
        <w:gridCol w:w="1306"/>
        <w:gridCol w:w="1284"/>
        <w:gridCol w:w="222"/>
      </w:tblGrid>
      <w:tr w:rsidR="00115E35" w:rsidRPr="00FC5A26" w14:paraId="08DFF620" w14:textId="77777777" w:rsidTr="00E43A61">
        <w:trPr>
          <w:cnfStyle w:val="100000000000" w:firstRow="1" w:lastRow="0" w:firstColumn="0" w:lastColumn="0" w:oddVBand="0" w:evenVBand="0" w:oddHBand="0" w:evenHBand="0" w:firstRowFirstColumn="0" w:firstRowLastColumn="0" w:lastRowFirstColumn="0" w:lastRowLastColumn="0"/>
          <w:trHeight w:val="289"/>
        </w:trPr>
        <w:tc>
          <w:tcPr>
            <w:tcW w:w="3407" w:type="dxa"/>
            <w:hideMark/>
          </w:tcPr>
          <w:p w14:paraId="565FFBB7" w14:textId="64912A87" w:rsidR="00607890" w:rsidRPr="00607890" w:rsidRDefault="005B16F7" w:rsidP="005B16F7">
            <w:pPr>
              <w:pStyle w:val="TableHeading1"/>
            </w:pPr>
            <w:r>
              <w:t>Skill Level</w:t>
            </w:r>
          </w:p>
        </w:tc>
        <w:tc>
          <w:tcPr>
            <w:tcW w:w="1502" w:type="dxa"/>
            <w:noWrap/>
            <w:hideMark/>
          </w:tcPr>
          <w:p w14:paraId="3B488162" w14:textId="0D4A9692" w:rsidR="00607890" w:rsidRPr="00607890" w:rsidRDefault="00607890" w:rsidP="00607890">
            <w:pPr>
              <w:pStyle w:val="TableHeading1"/>
            </w:pPr>
            <w:r w:rsidRPr="00607890">
              <w:t xml:space="preserve">% of </w:t>
            </w:r>
            <w:r w:rsidR="00C543CC">
              <w:t>ALL</w:t>
            </w:r>
            <w:r w:rsidRPr="00607890">
              <w:t xml:space="preserve"> </w:t>
            </w:r>
            <w:r w:rsidR="00D244DA">
              <w:t>workforce</w:t>
            </w:r>
            <w:r w:rsidRPr="00607890">
              <w:t xml:space="preserve"> </w:t>
            </w:r>
          </w:p>
        </w:tc>
        <w:tc>
          <w:tcPr>
            <w:tcW w:w="1306" w:type="dxa"/>
          </w:tcPr>
          <w:p w14:paraId="679867A3" w14:textId="7ECBEC5B" w:rsidR="00607890" w:rsidRPr="00607890" w:rsidRDefault="00607890" w:rsidP="00607890">
            <w:pPr>
              <w:pStyle w:val="TableHeading1"/>
            </w:pPr>
            <w:r w:rsidRPr="00607890">
              <w:t>% A</w:t>
            </w:r>
            <w:r w:rsidR="00F80BA1">
              <w:t>LL</w:t>
            </w:r>
            <w:r w:rsidRPr="00607890">
              <w:t xml:space="preserve"> </w:t>
            </w:r>
            <w:r w:rsidR="00D244DA">
              <w:t>workforce</w:t>
            </w:r>
            <w:r w:rsidRPr="00607890">
              <w:t xml:space="preserve"> Male</w:t>
            </w:r>
          </w:p>
        </w:tc>
        <w:tc>
          <w:tcPr>
            <w:tcW w:w="1306" w:type="dxa"/>
          </w:tcPr>
          <w:p w14:paraId="5CCCCCA7" w14:textId="2C14C298" w:rsidR="00607890" w:rsidRPr="00607890" w:rsidRDefault="00607890" w:rsidP="00607890">
            <w:pPr>
              <w:pStyle w:val="TableHeading1"/>
            </w:pPr>
            <w:r w:rsidRPr="00607890">
              <w:t>% A</w:t>
            </w:r>
            <w:r w:rsidR="00F80BA1">
              <w:t xml:space="preserve">LL </w:t>
            </w:r>
            <w:r w:rsidR="00D244DA">
              <w:t>workforce</w:t>
            </w:r>
          </w:p>
          <w:p w14:paraId="37D406D9" w14:textId="77777777" w:rsidR="00607890" w:rsidRPr="00607890" w:rsidRDefault="00607890" w:rsidP="00607890">
            <w:pPr>
              <w:pStyle w:val="TableHeading1"/>
            </w:pPr>
            <w:r w:rsidRPr="00607890">
              <w:t>Female</w:t>
            </w:r>
          </w:p>
        </w:tc>
        <w:tc>
          <w:tcPr>
            <w:tcW w:w="1284" w:type="dxa"/>
          </w:tcPr>
          <w:p w14:paraId="5C17870D" w14:textId="77777777" w:rsidR="00607890" w:rsidRPr="00607890" w:rsidRDefault="00607890" w:rsidP="00607890">
            <w:pPr>
              <w:pStyle w:val="TableHeading1"/>
            </w:pPr>
            <w:r w:rsidRPr="00607890">
              <w:t>% of occupations in shortage</w:t>
            </w:r>
          </w:p>
        </w:tc>
        <w:tc>
          <w:tcPr>
            <w:tcW w:w="222" w:type="dxa"/>
          </w:tcPr>
          <w:p w14:paraId="0DA4DDDC" w14:textId="77777777" w:rsidR="00607890" w:rsidRPr="00607890" w:rsidRDefault="00607890" w:rsidP="00607890">
            <w:pPr>
              <w:pStyle w:val="TableHeading1"/>
            </w:pPr>
          </w:p>
        </w:tc>
      </w:tr>
      <w:tr w:rsidR="00607890" w:rsidRPr="00FC5A26" w14:paraId="54B010C9" w14:textId="77777777" w:rsidTr="00E43A61">
        <w:trPr>
          <w:trHeight w:val="289"/>
        </w:trPr>
        <w:tc>
          <w:tcPr>
            <w:tcW w:w="3407" w:type="dxa"/>
            <w:noWrap/>
          </w:tcPr>
          <w:p w14:paraId="12F1DBC1" w14:textId="7CE11C94" w:rsidR="00607890" w:rsidRPr="00607890" w:rsidRDefault="00607890" w:rsidP="00607890">
            <w:pPr>
              <w:pStyle w:val="TableBodyText"/>
            </w:pPr>
            <w:r w:rsidRPr="00607890">
              <w:t>A</w:t>
            </w:r>
            <w:r w:rsidR="00F80BA1">
              <w:t>LL</w:t>
            </w:r>
            <w:r w:rsidRPr="00607890">
              <w:t xml:space="preserve"> </w:t>
            </w:r>
            <w:r w:rsidR="00D244DA">
              <w:t>workforce</w:t>
            </w:r>
          </w:p>
        </w:tc>
        <w:tc>
          <w:tcPr>
            <w:tcW w:w="1502" w:type="dxa"/>
            <w:noWrap/>
          </w:tcPr>
          <w:p w14:paraId="63884271" w14:textId="77777777" w:rsidR="00607890" w:rsidRPr="00607890" w:rsidRDefault="00607890" w:rsidP="00607890">
            <w:pPr>
              <w:pStyle w:val="TableBodyTextcentre"/>
            </w:pPr>
            <w:r w:rsidRPr="00607890">
              <w:rPr>
                <w:rStyle w:val="Characterbold"/>
              </w:rPr>
              <w:t>100%</w:t>
            </w:r>
          </w:p>
        </w:tc>
        <w:tc>
          <w:tcPr>
            <w:tcW w:w="1306" w:type="dxa"/>
          </w:tcPr>
          <w:p w14:paraId="7D69E641" w14:textId="77777777" w:rsidR="00607890" w:rsidRPr="00607890" w:rsidRDefault="00607890" w:rsidP="00607890">
            <w:pPr>
              <w:pStyle w:val="TableBodyTextcentre"/>
            </w:pPr>
            <w:r w:rsidRPr="00607890">
              <w:rPr>
                <w:rStyle w:val="Characterbold"/>
              </w:rPr>
              <w:t>51%</w:t>
            </w:r>
          </w:p>
        </w:tc>
        <w:tc>
          <w:tcPr>
            <w:tcW w:w="1306" w:type="dxa"/>
          </w:tcPr>
          <w:p w14:paraId="62B33975" w14:textId="77777777" w:rsidR="00607890" w:rsidRPr="00607890" w:rsidRDefault="00607890" w:rsidP="00607890">
            <w:pPr>
              <w:pStyle w:val="TableBodyTextcentre"/>
            </w:pPr>
            <w:r w:rsidRPr="00607890">
              <w:rPr>
                <w:rStyle w:val="Characterbold"/>
              </w:rPr>
              <w:t>49%</w:t>
            </w:r>
          </w:p>
        </w:tc>
        <w:tc>
          <w:tcPr>
            <w:tcW w:w="1284" w:type="dxa"/>
          </w:tcPr>
          <w:p w14:paraId="10B0226F" w14:textId="77777777" w:rsidR="00607890" w:rsidRPr="00607890" w:rsidRDefault="00607890" w:rsidP="00607890">
            <w:pPr>
              <w:pStyle w:val="TableBodyTextcentre"/>
            </w:pPr>
            <w:r w:rsidRPr="00607890">
              <w:rPr>
                <w:rStyle w:val="Characterbold"/>
              </w:rPr>
              <w:t>28%</w:t>
            </w:r>
          </w:p>
        </w:tc>
        <w:tc>
          <w:tcPr>
            <w:tcW w:w="222" w:type="dxa"/>
          </w:tcPr>
          <w:p w14:paraId="5025C980" w14:textId="77777777" w:rsidR="00607890" w:rsidRPr="00607890" w:rsidRDefault="00607890" w:rsidP="00607890">
            <w:pPr>
              <w:pStyle w:val="TableBodyText"/>
            </w:pPr>
          </w:p>
        </w:tc>
      </w:tr>
      <w:tr w:rsidR="00115E35" w:rsidRPr="00FC5A26" w14:paraId="306C2008" w14:textId="77777777" w:rsidTr="00E43A61">
        <w:trPr>
          <w:cnfStyle w:val="000000010000" w:firstRow="0" w:lastRow="0" w:firstColumn="0" w:lastColumn="0" w:oddVBand="0" w:evenVBand="0" w:oddHBand="0" w:evenHBand="1" w:firstRowFirstColumn="0" w:firstRowLastColumn="0" w:lastRowFirstColumn="0" w:lastRowLastColumn="0"/>
          <w:trHeight w:val="289"/>
        </w:trPr>
        <w:tc>
          <w:tcPr>
            <w:tcW w:w="3407" w:type="dxa"/>
            <w:noWrap/>
          </w:tcPr>
          <w:p w14:paraId="0180CE55" w14:textId="4E5452EE" w:rsidR="00607890" w:rsidRPr="00607890" w:rsidRDefault="00607890" w:rsidP="00607890">
            <w:pPr>
              <w:pStyle w:val="TableBodyText"/>
            </w:pPr>
            <w:r w:rsidRPr="00607890">
              <w:t xml:space="preserve">Skill </w:t>
            </w:r>
            <w:r w:rsidR="00E43A61">
              <w:t>L</w:t>
            </w:r>
            <w:r w:rsidRPr="00607890">
              <w:t xml:space="preserve">evel </w:t>
            </w:r>
            <w:r w:rsidR="00E43A61">
              <w:t>O</w:t>
            </w:r>
            <w:r w:rsidRPr="00607890">
              <w:t>ne</w:t>
            </w:r>
          </w:p>
        </w:tc>
        <w:tc>
          <w:tcPr>
            <w:tcW w:w="1502" w:type="dxa"/>
            <w:noWrap/>
            <w:vAlign w:val="bottom"/>
          </w:tcPr>
          <w:p w14:paraId="45784827" w14:textId="77777777" w:rsidR="00607890" w:rsidRPr="00607890" w:rsidRDefault="00607890" w:rsidP="00607890">
            <w:pPr>
              <w:pStyle w:val="TableBodyTextcentre"/>
            </w:pPr>
            <w:r w:rsidRPr="00607890">
              <w:t>33%</w:t>
            </w:r>
          </w:p>
        </w:tc>
        <w:tc>
          <w:tcPr>
            <w:tcW w:w="1306" w:type="dxa"/>
            <w:vAlign w:val="bottom"/>
          </w:tcPr>
          <w:p w14:paraId="3274DFA1" w14:textId="77777777" w:rsidR="00607890" w:rsidRPr="00607890" w:rsidRDefault="00607890" w:rsidP="00607890">
            <w:pPr>
              <w:pStyle w:val="TableBodyTextcentre"/>
            </w:pPr>
            <w:r w:rsidRPr="00607890">
              <w:t>49%</w:t>
            </w:r>
          </w:p>
        </w:tc>
        <w:tc>
          <w:tcPr>
            <w:tcW w:w="1306" w:type="dxa"/>
            <w:vAlign w:val="bottom"/>
          </w:tcPr>
          <w:p w14:paraId="48B3F22A" w14:textId="77777777" w:rsidR="00607890" w:rsidRPr="00607890" w:rsidRDefault="00607890" w:rsidP="00607890">
            <w:pPr>
              <w:pStyle w:val="TableBodyTextcentre"/>
            </w:pPr>
            <w:r w:rsidRPr="00607890">
              <w:t>51%</w:t>
            </w:r>
          </w:p>
        </w:tc>
        <w:tc>
          <w:tcPr>
            <w:tcW w:w="1284" w:type="dxa"/>
            <w:vAlign w:val="bottom"/>
          </w:tcPr>
          <w:p w14:paraId="3A5E0475" w14:textId="77777777" w:rsidR="00607890" w:rsidRPr="00607890" w:rsidRDefault="00607890" w:rsidP="00607890">
            <w:pPr>
              <w:pStyle w:val="TableBodyTextcentre"/>
            </w:pPr>
            <w:r w:rsidRPr="00607890">
              <w:t>34%</w:t>
            </w:r>
          </w:p>
        </w:tc>
        <w:tc>
          <w:tcPr>
            <w:tcW w:w="222" w:type="dxa"/>
          </w:tcPr>
          <w:p w14:paraId="43DDD61E" w14:textId="77777777" w:rsidR="00607890" w:rsidRPr="00607890" w:rsidRDefault="00607890" w:rsidP="00607890">
            <w:pPr>
              <w:pStyle w:val="TableBodyText"/>
            </w:pPr>
          </w:p>
        </w:tc>
      </w:tr>
      <w:tr w:rsidR="00607890" w:rsidRPr="00FC5A26" w14:paraId="1B308A45" w14:textId="77777777" w:rsidTr="00E43A61">
        <w:trPr>
          <w:trHeight w:val="289"/>
        </w:trPr>
        <w:tc>
          <w:tcPr>
            <w:tcW w:w="3407" w:type="dxa"/>
            <w:noWrap/>
          </w:tcPr>
          <w:p w14:paraId="3F15924C" w14:textId="36AB1365" w:rsidR="00607890" w:rsidRPr="00607890" w:rsidRDefault="00607890" w:rsidP="00607890">
            <w:pPr>
              <w:pStyle w:val="TableBodyText"/>
            </w:pPr>
            <w:r w:rsidRPr="00607890">
              <w:t xml:space="preserve">Skill </w:t>
            </w:r>
            <w:r w:rsidR="00E43A61">
              <w:t>L</w:t>
            </w:r>
            <w:r w:rsidRPr="00607890">
              <w:t xml:space="preserve">evel </w:t>
            </w:r>
            <w:r w:rsidR="00E43A61">
              <w:t>T</w:t>
            </w:r>
            <w:r w:rsidRPr="00607890">
              <w:t>wo</w:t>
            </w:r>
          </w:p>
        </w:tc>
        <w:tc>
          <w:tcPr>
            <w:tcW w:w="1502" w:type="dxa"/>
            <w:noWrap/>
            <w:vAlign w:val="bottom"/>
          </w:tcPr>
          <w:p w14:paraId="399A3AB6" w14:textId="77777777" w:rsidR="00607890" w:rsidRPr="00607890" w:rsidRDefault="00607890" w:rsidP="00607890">
            <w:pPr>
              <w:pStyle w:val="TableBodyTextcentre"/>
            </w:pPr>
            <w:r w:rsidRPr="00607890">
              <w:t>13%</w:t>
            </w:r>
          </w:p>
        </w:tc>
        <w:tc>
          <w:tcPr>
            <w:tcW w:w="1306" w:type="dxa"/>
            <w:vAlign w:val="bottom"/>
          </w:tcPr>
          <w:p w14:paraId="6CCB2E6F" w14:textId="77777777" w:rsidR="00607890" w:rsidRPr="00607890" w:rsidRDefault="00607890" w:rsidP="00607890">
            <w:pPr>
              <w:pStyle w:val="TableBodyTextcentre"/>
            </w:pPr>
            <w:r w:rsidRPr="00607890">
              <w:t>46%</w:t>
            </w:r>
          </w:p>
        </w:tc>
        <w:tc>
          <w:tcPr>
            <w:tcW w:w="1306" w:type="dxa"/>
            <w:vAlign w:val="bottom"/>
          </w:tcPr>
          <w:p w14:paraId="49C13BC1" w14:textId="77777777" w:rsidR="00607890" w:rsidRPr="00607890" w:rsidRDefault="00607890" w:rsidP="00607890">
            <w:pPr>
              <w:pStyle w:val="TableBodyTextcentre"/>
            </w:pPr>
            <w:r w:rsidRPr="00607890">
              <w:t>54%</w:t>
            </w:r>
          </w:p>
        </w:tc>
        <w:tc>
          <w:tcPr>
            <w:tcW w:w="1284" w:type="dxa"/>
            <w:vAlign w:val="bottom"/>
          </w:tcPr>
          <w:p w14:paraId="151E3674" w14:textId="77777777" w:rsidR="00607890" w:rsidRPr="00607890" w:rsidRDefault="00607890" w:rsidP="00607890">
            <w:pPr>
              <w:pStyle w:val="TableBodyTextcentre"/>
            </w:pPr>
            <w:r w:rsidRPr="00607890">
              <w:t>20%</w:t>
            </w:r>
          </w:p>
        </w:tc>
        <w:tc>
          <w:tcPr>
            <w:tcW w:w="222" w:type="dxa"/>
          </w:tcPr>
          <w:p w14:paraId="431BC3BA" w14:textId="77777777" w:rsidR="00607890" w:rsidRPr="00607890" w:rsidRDefault="00607890" w:rsidP="00607890">
            <w:pPr>
              <w:pStyle w:val="TableBodyText"/>
            </w:pPr>
          </w:p>
        </w:tc>
      </w:tr>
      <w:tr w:rsidR="00115E35" w:rsidRPr="00FC5A26" w14:paraId="4A6805C2" w14:textId="77777777" w:rsidTr="00E43A61">
        <w:trPr>
          <w:cnfStyle w:val="000000010000" w:firstRow="0" w:lastRow="0" w:firstColumn="0" w:lastColumn="0" w:oddVBand="0" w:evenVBand="0" w:oddHBand="0" w:evenHBand="1" w:firstRowFirstColumn="0" w:firstRowLastColumn="0" w:lastRowFirstColumn="0" w:lastRowLastColumn="0"/>
          <w:trHeight w:val="289"/>
        </w:trPr>
        <w:tc>
          <w:tcPr>
            <w:tcW w:w="3407" w:type="dxa"/>
            <w:noWrap/>
            <w:hideMark/>
          </w:tcPr>
          <w:p w14:paraId="3035286C" w14:textId="630DECF8" w:rsidR="00607890" w:rsidRPr="00607890" w:rsidRDefault="00607890" w:rsidP="00607890">
            <w:pPr>
              <w:pStyle w:val="TableBodyText"/>
            </w:pPr>
            <w:r w:rsidRPr="00607890">
              <w:t xml:space="preserve">Skill </w:t>
            </w:r>
            <w:r w:rsidR="00E43A61">
              <w:t>L</w:t>
            </w:r>
            <w:r w:rsidRPr="00607890">
              <w:t xml:space="preserve">evel </w:t>
            </w:r>
            <w:r w:rsidR="00E43A61">
              <w:t>T</w:t>
            </w:r>
            <w:r w:rsidRPr="00607890">
              <w:t>hree</w:t>
            </w:r>
          </w:p>
        </w:tc>
        <w:tc>
          <w:tcPr>
            <w:tcW w:w="1502" w:type="dxa"/>
            <w:noWrap/>
            <w:vAlign w:val="bottom"/>
          </w:tcPr>
          <w:p w14:paraId="025C8949" w14:textId="77777777" w:rsidR="00607890" w:rsidRPr="00607890" w:rsidRDefault="00607890" w:rsidP="00607890">
            <w:pPr>
              <w:pStyle w:val="TableBodyTextcentre"/>
            </w:pPr>
            <w:r w:rsidRPr="00607890">
              <w:t>15%</w:t>
            </w:r>
          </w:p>
        </w:tc>
        <w:tc>
          <w:tcPr>
            <w:tcW w:w="1306" w:type="dxa"/>
            <w:vAlign w:val="bottom"/>
          </w:tcPr>
          <w:p w14:paraId="330B6506" w14:textId="77777777" w:rsidR="00607890" w:rsidRPr="00607890" w:rsidRDefault="00607890" w:rsidP="00607890">
            <w:pPr>
              <w:pStyle w:val="TableBodyTextcentre"/>
              <w:rPr>
                <w:rStyle w:val="Characterbolditalic"/>
              </w:rPr>
            </w:pPr>
            <w:r w:rsidRPr="00607890">
              <w:t>68%</w:t>
            </w:r>
          </w:p>
        </w:tc>
        <w:tc>
          <w:tcPr>
            <w:tcW w:w="1306" w:type="dxa"/>
            <w:vAlign w:val="bottom"/>
          </w:tcPr>
          <w:p w14:paraId="572F772A" w14:textId="77777777" w:rsidR="00607890" w:rsidRPr="00607890" w:rsidRDefault="00607890" w:rsidP="00607890">
            <w:pPr>
              <w:pStyle w:val="TableBodyTextcentre"/>
              <w:rPr>
                <w:rStyle w:val="Characterbolditalic"/>
              </w:rPr>
            </w:pPr>
            <w:r w:rsidRPr="00607890">
              <w:t>32%</w:t>
            </w:r>
          </w:p>
        </w:tc>
        <w:tc>
          <w:tcPr>
            <w:tcW w:w="1284" w:type="dxa"/>
            <w:vAlign w:val="bottom"/>
          </w:tcPr>
          <w:p w14:paraId="52FB6AE3" w14:textId="77777777" w:rsidR="00607890" w:rsidRPr="00607890" w:rsidRDefault="00607890" w:rsidP="00607890">
            <w:pPr>
              <w:pStyle w:val="TableBodyTextcentre"/>
            </w:pPr>
            <w:r w:rsidRPr="00607890">
              <w:t>54%</w:t>
            </w:r>
          </w:p>
        </w:tc>
        <w:tc>
          <w:tcPr>
            <w:tcW w:w="222" w:type="dxa"/>
          </w:tcPr>
          <w:p w14:paraId="12405E22" w14:textId="77777777" w:rsidR="00607890" w:rsidRPr="00607890" w:rsidRDefault="00607890" w:rsidP="00607890">
            <w:pPr>
              <w:pStyle w:val="TableBodyText"/>
            </w:pPr>
          </w:p>
        </w:tc>
      </w:tr>
      <w:tr w:rsidR="00607890" w:rsidRPr="00FC5A26" w14:paraId="64611D57" w14:textId="77777777" w:rsidTr="00E43A61">
        <w:trPr>
          <w:trHeight w:val="319"/>
        </w:trPr>
        <w:tc>
          <w:tcPr>
            <w:tcW w:w="3407" w:type="dxa"/>
            <w:noWrap/>
            <w:hideMark/>
          </w:tcPr>
          <w:p w14:paraId="13B1C14A" w14:textId="54AB88E1" w:rsidR="00607890" w:rsidRPr="00607890" w:rsidRDefault="00607890" w:rsidP="00607890">
            <w:pPr>
              <w:pStyle w:val="TableBodyText"/>
            </w:pPr>
            <w:r w:rsidRPr="00607890">
              <w:t xml:space="preserve">Skill </w:t>
            </w:r>
            <w:r w:rsidR="00E43A61">
              <w:t>L</w:t>
            </w:r>
            <w:r w:rsidRPr="00607890">
              <w:t xml:space="preserve">evel </w:t>
            </w:r>
            <w:r w:rsidR="00E43A61">
              <w:t>F</w:t>
            </w:r>
            <w:r w:rsidRPr="00607890">
              <w:t>our</w:t>
            </w:r>
          </w:p>
        </w:tc>
        <w:tc>
          <w:tcPr>
            <w:tcW w:w="1502" w:type="dxa"/>
            <w:noWrap/>
            <w:vAlign w:val="bottom"/>
          </w:tcPr>
          <w:p w14:paraId="2550F73F" w14:textId="77777777" w:rsidR="00607890" w:rsidRPr="00607890" w:rsidRDefault="00607890" w:rsidP="00607890">
            <w:pPr>
              <w:pStyle w:val="TableBodyTextcentre"/>
            </w:pPr>
            <w:r w:rsidRPr="00607890">
              <w:t>24%</w:t>
            </w:r>
          </w:p>
        </w:tc>
        <w:tc>
          <w:tcPr>
            <w:tcW w:w="1306" w:type="dxa"/>
            <w:vAlign w:val="bottom"/>
          </w:tcPr>
          <w:p w14:paraId="2E29EAAE" w14:textId="77777777" w:rsidR="00607890" w:rsidRPr="00607890" w:rsidRDefault="00607890" w:rsidP="00607890">
            <w:pPr>
              <w:pStyle w:val="TableBodyTextcentre"/>
              <w:rPr>
                <w:rStyle w:val="Characterbolditalic"/>
              </w:rPr>
            </w:pPr>
            <w:r w:rsidRPr="00607890">
              <w:t>46%</w:t>
            </w:r>
          </w:p>
        </w:tc>
        <w:tc>
          <w:tcPr>
            <w:tcW w:w="1306" w:type="dxa"/>
            <w:vAlign w:val="bottom"/>
          </w:tcPr>
          <w:p w14:paraId="191CD0EE" w14:textId="77777777" w:rsidR="00607890" w:rsidRPr="00607890" w:rsidRDefault="00607890" w:rsidP="00607890">
            <w:pPr>
              <w:pStyle w:val="TableBodyTextcentre"/>
              <w:rPr>
                <w:rStyle w:val="Characterbolditalic"/>
              </w:rPr>
            </w:pPr>
            <w:r w:rsidRPr="00607890">
              <w:t>54%</w:t>
            </w:r>
          </w:p>
        </w:tc>
        <w:tc>
          <w:tcPr>
            <w:tcW w:w="1284" w:type="dxa"/>
            <w:vAlign w:val="bottom"/>
          </w:tcPr>
          <w:p w14:paraId="01880B63" w14:textId="77777777" w:rsidR="00607890" w:rsidRPr="00607890" w:rsidRDefault="00607890" w:rsidP="00607890">
            <w:pPr>
              <w:pStyle w:val="TableBodyTextcentre"/>
            </w:pPr>
            <w:r w:rsidRPr="00607890">
              <w:t>19%</w:t>
            </w:r>
          </w:p>
        </w:tc>
        <w:tc>
          <w:tcPr>
            <w:tcW w:w="222" w:type="dxa"/>
          </w:tcPr>
          <w:p w14:paraId="5B298F08" w14:textId="77777777" w:rsidR="00607890" w:rsidRPr="00607890" w:rsidRDefault="00607890" w:rsidP="00607890">
            <w:pPr>
              <w:pStyle w:val="TableBodyText"/>
            </w:pPr>
          </w:p>
        </w:tc>
      </w:tr>
      <w:tr w:rsidR="00115E35" w:rsidRPr="00FC5A26" w14:paraId="65D4E8FA" w14:textId="77777777" w:rsidTr="00E43A61">
        <w:trPr>
          <w:cnfStyle w:val="000000010000" w:firstRow="0" w:lastRow="0" w:firstColumn="0" w:lastColumn="0" w:oddVBand="0" w:evenVBand="0" w:oddHBand="0" w:evenHBand="1" w:firstRowFirstColumn="0" w:firstRowLastColumn="0" w:lastRowFirstColumn="0" w:lastRowLastColumn="0"/>
          <w:trHeight w:val="289"/>
        </w:trPr>
        <w:tc>
          <w:tcPr>
            <w:tcW w:w="3407" w:type="dxa"/>
            <w:noWrap/>
            <w:hideMark/>
          </w:tcPr>
          <w:p w14:paraId="7CAF8C6F" w14:textId="5F2B7DF6" w:rsidR="00607890" w:rsidRPr="00607890" w:rsidRDefault="00607890" w:rsidP="00607890">
            <w:pPr>
              <w:pStyle w:val="TableBodyText"/>
            </w:pPr>
            <w:r w:rsidRPr="00607890">
              <w:t xml:space="preserve">Skill </w:t>
            </w:r>
            <w:r w:rsidR="00E43A61">
              <w:t>L</w:t>
            </w:r>
            <w:r w:rsidRPr="00607890">
              <w:t xml:space="preserve">evel </w:t>
            </w:r>
            <w:r w:rsidR="00E43A61">
              <w:t>F</w:t>
            </w:r>
            <w:r w:rsidRPr="00607890">
              <w:t>ive</w:t>
            </w:r>
          </w:p>
        </w:tc>
        <w:tc>
          <w:tcPr>
            <w:tcW w:w="1502" w:type="dxa"/>
            <w:noWrap/>
            <w:vAlign w:val="bottom"/>
          </w:tcPr>
          <w:p w14:paraId="75AB8BDC" w14:textId="77777777" w:rsidR="00607890" w:rsidRPr="00607890" w:rsidRDefault="00607890" w:rsidP="00607890">
            <w:pPr>
              <w:pStyle w:val="TableBodyTextcentre"/>
            </w:pPr>
            <w:r w:rsidRPr="00607890">
              <w:t>15%</w:t>
            </w:r>
          </w:p>
        </w:tc>
        <w:tc>
          <w:tcPr>
            <w:tcW w:w="1306" w:type="dxa"/>
            <w:vAlign w:val="bottom"/>
          </w:tcPr>
          <w:p w14:paraId="51217BC5" w14:textId="77777777" w:rsidR="00607890" w:rsidRPr="00607890" w:rsidRDefault="00607890" w:rsidP="00607890">
            <w:pPr>
              <w:pStyle w:val="TableBodyTextcentre"/>
              <w:rPr>
                <w:rStyle w:val="Characterbolditalic"/>
              </w:rPr>
            </w:pPr>
            <w:r w:rsidRPr="00607890">
              <w:t>49%</w:t>
            </w:r>
          </w:p>
        </w:tc>
        <w:tc>
          <w:tcPr>
            <w:tcW w:w="1306" w:type="dxa"/>
            <w:vAlign w:val="bottom"/>
          </w:tcPr>
          <w:p w14:paraId="0C96105B" w14:textId="77777777" w:rsidR="00607890" w:rsidRPr="00607890" w:rsidRDefault="00607890" w:rsidP="00607890">
            <w:pPr>
              <w:pStyle w:val="TableBodyTextcentre"/>
              <w:rPr>
                <w:rStyle w:val="Characterbolditalic"/>
              </w:rPr>
            </w:pPr>
            <w:r w:rsidRPr="00607890">
              <w:t>51%</w:t>
            </w:r>
          </w:p>
        </w:tc>
        <w:tc>
          <w:tcPr>
            <w:tcW w:w="1284" w:type="dxa"/>
            <w:vAlign w:val="bottom"/>
          </w:tcPr>
          <w:p w14:paraId="73FE3A16" w14:textId="77777777" w:rsidR="00607890" w:rsidRPr="00607890" w:rsidRDefault="00607890" w:rsidP="00607890">
            <w:pPr>
              <w:pStyle w:val="TableBodyTextcentre"/>
            </w:pPr>
            <w:r w:rsidRPr="00607890">
              <w:t>0%</w:t>
            </w:r>
          </w:p>
        </w:tc>
        <w:tc>
          <w:tcPr>
            <w:tcW w:w="222" w:type="dxa"/>
          </w:tcPr>
          <w:p w14:paraId="7B0765AF" w14:textId="77777777" w:rsidR="00607890" w:rsidRPr="00607890" w:rsidRDefault="00607890" w:rsidP="00607890">
            <w:pPr>
              <w:pStyle w:val="TableBodyText"/>
            </w:pPr>
          </w:p>
        </w:tc>
      </w:tr>
    </w:tbl>
    <w:p w14:paraId="128360AD" w14:textId="7E640248" w:rsidR="00832AA1" w:rsidRDefault="00E43A61" w:rsidP="004840A2">
      <w:pPr>
        <w:pStyle w:val="Source"/>
        <w:rPr>
          <w:rStyle w:val="PlaceholderText"/>
          <w:color w:val="auto"/>
        </w:rPr>
      </w:pPr>
      <w:r w:rsidRPr="00E43A61">
        <w:rPr>
          <w:rStyle w:val="PlaceholderText"/>
          <w:color w:val="auto"/>
        </w:rPr>
        <w:t>Source: ABS, Census of Population and Housing, 2021</w:t>
      </w:r>
    </w:p>
    <w:p w14:paraId="0338DB76" w14:textId="77777777" w:rsidR="00592DB9" w:rsidRDefault="00592DB9">
      <w:pPr>
        <w:spacing w:before="0" w:after="200" w:line="276" w:lineRule="auto"/>
        <w:rPr>
          <w:rFonts w:eastAsia="Times New Roman" w:cs="Arial"/>
          <w:b/>
          <w:color w:val="4B0985"/>
          <w:sz w:val="26"/>
          <w:szCs w:val="26"/>
          <w:lang w:eastAsia="en-AU"/>
        </w:rPr>
      </w:pPr>
      <w:bookmarkStart w:id="16" w:name="_Toc204596285"/>
      <w:r>
        <w:br w:type="page"/>
      </w:r>
    </w:p>
    <w:p w14:paraId="399976A1" w14:textId="5A845161" w:rsidR="00D43857" w:rsidRDefault="004840A2" w:rsidP="0029120E">
      <w:pPr>
        <w:pStyle w:val="Heading3"/>
        <w:spacing w:before="360"/>
      </w:pPr>
      <w:r>
        <w:lastRenderedPageBreak/>
        <w:t>C</w:t>
      </w:r>
      <w:r w:rsidR="002D4EC9">
        <w:t>hanges over time</w:t>
      </w:r>
      <w:bookmarkEnd w:id="16"/>
    </w:p>
    <w:p w14:paraId="2CA21E3E" w14:textId="382A19C8" w:rsidR="00D43857" w:rsidRPr="00D43857" w:rsidRDefault="00D43857" w:rsidP="00D43857">
      <w:pPr>
        <w:pStyle w:val="BodyText"/>
        <w:rPr>
          <w:lang w:eastAsia="en-AU"/>
        </w:rPr>
      </w:pPr>
      <w:r>
        <w:t>A total of 1</w:t>
      </w:r>
      <w:r w:rsidR="00034E71">
        <w:t>8</w:t>
      </w:r>
      <w:r>
        <w:t xml:space="preserve"> occupations sh</w:t>
      </w:r>
      <w:r w:rsidR="00034E71">
        <w:t>ifted from a gender balanced segregation category in 2006 to being female dominated in 2021</w:t>
      </w:r>
      <w:r w:rsidR="00FD666E">
        <w:t>.</w:t>
      </w:r>
    </w:p>
    <w:p w14:paraId="2704707B" w14:textId="028F586B" w:rsidR="00034E71" w:rsidRDefault="00034E71" w:rsidP="0029120E">
      <w:pPr>
        <w:pStyle w:val="Caption"/>
        <w:spacing w:before="240"/>
      </w:pPr>
      <w:r>
        <w:t xml:space="preserve">Table </w:t>
      </w:r>
      <w:r w:rsidR="002D18F8">
        <w:t>5</w:t>
      </w:r>
      <w:r>
        <w:t>: Occupations that shifted from gender balanced to female dominated</w:t>
      </w:r>
    </w:p>
    <w:tbl>
      <w:tblPr>
        <w:tblStyle w:val="CustomTablebasic"/>
        <w:tblW w:w="0" w:type="auto"/>
        <w:tblLook w:val="04A0" w:firstRow="1" w:lastRow="0" w:firstColumn="1" w:lastColumn="0" w:noHBand="0" w:noVBand="1"/>
      </w:tblPr>
      <w:tblGrid>
        <w:gridCol w:w="2127"/>
        <w:gridCol w:w="1842"/>
        <w:gridCol w:w="1446"/>
        <w:gridCol w:w="1806"/>
        <w:gridCol w:w="1806"/>
      </w:tblGrid>
      <w:tr w:rsidR="00592DB9" w14:paraId="4224B273" w14:textId="77777777" w:rsidTr="00592DB9">
        <w:trPr>
          <w:cnfStyle w:val="100000000000" w:firstRow="1" w:lastRow="0" w:firstColumn="0" w:lastColumn="0" w:oddVBand="0" w:evenVBand="0" w:oddHBand="0" w:evenHBand="0" w:firstRowFirstColumn="0" w:firstRowLastColumn="0" w:lastRowFirstColumn="0" w:lastRowLastColumn="0"/>
        </w:trPr>
        <w:tc>
          <w:tcPr>
            <w:tcW w:w="2127" w:type="dxa"/>
          </w:tcPr>
          <w:p w14:paraId="652626EB" w14:textId="5BD4792D" w:rsidR="00034E71" w:rsidRDefault="00034E71" w:rsidP="00592DB9">
            <w:pPr>
              <w:pStyle w:val="TableHeading1"/>
              <w:spacing w:before="40" w:after="40"/>
            </w:pPr>
            <w:r>
              <w:t>Occupation</w:t>
            </w:r>
          </w:p>
        </w:tc>
        <w:tc>
          <w:tcPr>
            <w:tcW w:w="1842" w:type="dxa"/>
          </w:tcPr>
          <w:p w14:paraId="03AFF16C" w14:textId="04299E05" w:rsidR="00034E71" w:rsidRDefault="00034E71" w:rsidP="00592DB9">
            <w:pPr>
              <w:pStyle w:val="TableHeading1"/>
              <w:spacing w:before="40" w:after="40"/>
            </w:pPr>
            <w:r>
              <w:t xml:space="preserve">Gender segregation </w:t>
            </w:r>
            <w:r w:rsidR="00F33B11">
              <w:t>intensity</w:t>
            </w:r>
            <w:r>
              <w:t xml:space="preserve"> 2006</w:t>
            </w:r>
          </w:p>
        </w:tc>
        <w:tc>
          <w:tcPr>
            <w:tcW w:w="1446" w:type="dxa"/>
          </w:tcPr>
          <w:p w14:paraId="0FCD6CDE" w14:textId="23769A61" w:rsidR="00034E71" w:rsidRDefault="00B61F64" w:rsidP="00592DB9">
            <w:pPr>
              <w:pStyle w:val="TableHeading1"/>
              <w:spacing w:before="40" w:after="40"/>
            </w:pPr>
            <w:r>
              <w:t>% female workforce 2006</w:t>
            </w:r>
          </w:p>
        </w:tc>
        <w:tc>
          <w:tcPr>
            <w:tcW w:w="1806" w:type="dxa"/>
          </w:tcPr>
          <w:p w14:paraId="56D62FB4" w14:textId="02F81FC7" w:rsidR="00034E71" w:rsidRDefault="00B61F64" w:rsidP="00592DB9">
            <w:pPr>
              <w:pStyle w:val="TableHeading1"/>
              <w:spacing w:before="40" w:after="40"/>
            </w:pPr>
            <w:r>
              <w:t xml:space="preserve">Gender segregation </w:t>
            </w:r>
            <w:r w:rsidR="00F33B11">
              <w:t>intensity</w:t>
            </w:r>
            <w:r>
              <w:t xml:space="preserve"> 2021</w:t>
            </w:r>
          </w:p>
        </w:tc>
        <w:tc>
          <w:tcPr>
            <w:tcW w:w="1806" w:type="dxa"/>
          </w:tcPr>
          <w:p w14:paraId="71F0E8ED" w14:textId="1030D6D9" w:rsidR="00034E71" w:rsidRDefault="00B61F64" w:rsidP="00592DB9">
            <w:pPr>
              <w:pStyle w:val="TableHeading1"/>
              <w:spacing w:before="40" w:after="40"/>
            </w:pPr>
            <w:r>
              <w:t>% female workforce 2021</w:t>
            </w:r>
          </w:p>
        </w:tc>
      </w:tr>
      <w:tr w:rsidR="00034E71" w14:paraId="39401C5E" w14:textId="77777777" w:rsidTr="00592DB9">
        <w:tc>
          <w:tcPr>
            <w:tcW w:w="2127" w:type="dxa"/>
          </w:tcPr>
          <w:p w14:paraId="14DEC46A" w14:textId="5D2A83C1" w:rsidR="00034E71" w:rsidRDefault="00B61F64" w:rsidP="00592DB9">
            <w:pPr>
              <w:pStyle w:val="TableBodyText"/>
              <w:spacing w:before="40" w:after="40"/>
            </w:pPr>
            <w:r w:rsidRPr="00B61F64">
              <w:t>Fashion, Industrial and Jewellery Designers</w:t>
            </w:r>
          </w:p>
        </w:tc>
        <w:tc>
          <w:tcPr>
            <w:tcW w:w="1842" w:type="dxa"/>
          </w:tcPr>
          <w:p w14:paraId="4121D9CB" w14:textId="5A687681" w:rsidR="00034E71" w:rsidRDefault="00B61F64" w:rsidP="00592DB9">
            <w:pPr>
              <w:pStyle w:val="TableBodyText"/>
              <w:spacing w:before="40" w:after="40"/>
            </w:pPr>
            <w:r>
              <w:t>Gender balanced</w:t>
            </w:r>
          </w:p>
        </w:tc>
        <w:tc>
          <w:tcPr>
            <w:tcW w:w="1446" w:type="dxa"/>
          </w:tcPr>
          <w:p w14:paraId="4AAD1EEE" w14:textId="6CEF3D04" w:rsidR="00034E71" w:rsidRDefault="00B61F64" w:rsidP="00592DB9">
            <w:pPr>
              <w:pStyle w:val="TableBodyTextcentre"/>
              <w:spacing w:before="40" w:after="40"/>
            </w:pPr>
            <w:r>
              <w:t>59%</w:t>
            </w:r>
          </w:p>
        </w:tc>
        <w:tc>
          <w:tcPr>
            <w:tcW w:w="1806" w:type="dxa"/>
          </w:tcPr>
          <w:p w14:paraId="6E8876A9" w14:textId="3E61D81D" w:rsidR="00034E71" w:rsidRDefault="00B61F64" w:rsidP="00592DB9">
            <w:pPr>
              <w:pStyle w:val="TableBodyText"/>
              <w:spacing w:before="40" w:after="40"/>
            </w:pPr>
            <w:r>
              <w:t>Female dominated</w:t>
            </w:r>
          </w:p>
        </w:tc>
        <w:tc>
          <w:tcPr>
            <w:tcW w:w="1806" w:type="dxa"/>
          </w:tcPr>
          <w:p w14:paraId="043D284F" w14:textId="06F5C2BF" w:rsidR="00034E71" w:rsidRDefault="00B61F64" w:rsidP="00592DB9">
            <w:pPr>
              <w:pStyle w:val="TableBodyTextcentre"/>
              <w:spacing w:before="40" w:after="40"/>
            </w:pPr>
            <w:r>
              <w:t>60%</w:t>
            </w:r>
          </w:p>
        </w:tc>
      </w:tr>
      <w:tr w:rsidR="00592DB9" w14:paraId="058CC3DA"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6B8D086E" w14:textId="2CCFEEEB" w:rsidR="00034E71" w:rsidRDefault="00B61F64" w:rsidP="00592DB9">
            <w:pPr>
              <w:pStyle w:val="TableBodyText"/>
              <w:spacing w:before="40" w:after="40"/>
            </w:pPr>
            <w:r w:rsidRPr="00B61F64">
              <w:t>Secondary School Teachers</w:t>
            </w:r>
          </w:p>
        </w:tc>
        <w:tc>
          <w:tcPr>
            <w:tcW w:w="1842" w:type="dxa"/>
          </w:tcPr>
          <w:p w14:paraId="1C894C57" w14:textId="6E33C61A" w:rsidR="00034E71" w:rsidRDefault="00B57AD4" w:rsidP="00592DB9">
            <w:pPr>
              <w:pStyle w:val="TableBodyText"/>
              <w:spacing w:before="40" w:after="40"/>
            </w:pPr>
            <w:r w:rsidRPr="00B57AD4">
              <w:t>Gender balanced</w:t>
            </w:r>
          </w:p>
        </w:tc>
        <w:tc>
          <w:tcPr>
            <w:tcW w:w="1446" w:type="dxa"/>
          </w:tcPr>
          <w:p w14:paraId="5A425A21" w14:textId="1EE4C402" w:rsidR="00034E71" w:rsidRDefault="00B57AD4" w:rsidP="00592DB9">
            <w:pPr>
              <w:pStyle w:val="TableBodyTextcentre"/>
              <w:spacing w:before="40" w:after="40"/>
            </w:pPr>
            <w:r>
              <w:t>59%</w:t>
            </w:r>
          </w:p>
        </w:tc>
        <w:tc>
          <w:tcPr>
            <w:tcW w:w="1806" w:type="dxa"/>
          </w:tcPr>
          <w:p w14:paraId="3E888A7E" w14:textId="642D11DB" w:rsidR="00034E71" w:rsidRDefault="00B57AD4" w:rsidP="00592DB9">
            <w:pPr>
              <w:pStyle w:val="TableBodyText"/>
              <w:spacing w:before="40" w:after="40"/>
            </w:pPr>
            <w:r w:rsidRPr="00B57AD4">
              <w:t>Female dominated</w:t>
            </w:r>
          </w:p>
        </w:tc>
        <w:tc>
          <w:tcPr>
            <w:tcW w:w="1806" w:type="dxa"/>
          </w:tcPr>
          <w:p w14:paraId="1735C9D6" w14:textId="061CA761" w:rsidR="00034E71" w:rsidRDefault="00894996" w:rsidP="00592DB9">
            <w:pPr>
              <w:pStyle w:val="TableBodyTextcentre"/>
              <w:spacing w:before="40" w:after="40"/>
            </w:pPr>
            <w:r>
              <w:t>62%</w:t>
            </w:r>
          </w:p>
        </w:tc>
      </w:tr>
      <w:tr w:rsidR="00034E71" w14:paraId="5A5AE47A" w14:textId="77777777" w:rsidTr="00592DB9">
        <w:tc>
          <w:tcPr>
            <w:tcW w:w="2127" w:type="dxa"/>
          </w:tcPr>
          <w:p w14:paraId="04424303" w14:textId="1107153C" w:rsidR="00034E71" w:rsidRDefault="00B61F64" w:rsidP="00592DB9">
            <w:pPr>
              <w:pStyle w:val="TableBodyText"/>
              <w:spacing w:before="40" w:after="40"/>
            </w:pPr>
            <w:r w:rsidRPr="00B61F64">
              <w:t>Food Trades Assistants</w:t>
            </w:r>
          </w:p>
        </w:tc>
        <w:tc>
          <w:tcPr>
            <w:tcW w:w="1842" w:type="dxa"/>
          </w:tcPr>
          <w:p w14:paraId="7D118222" w14:textId="7063DABC" w:rsidR="00034E71" w:rsidRDefault="00B57AD4" w:rsidP="00592DB9">
            <w:pPr>
              <w:pStyle w:val="TableBodyText"/>
              <w:spacing w:before="40" w:after="40"/>
            </w:pPr>
            <w:r w:rsidRPr="00B57AD4">
              <w:t>Gender balanced</w:t>
            </w:r>
          </w:p>
        </w:tc>
        <w:tc>
          <w:tcPr>
            <w:tcW w:w="1446" w:type="dxa"/>
          </w:tcPr>
          <w:p w14:paraId="23BA4D76" w14:textId="4DBFFCC6" w:rsidR="00034E71" w:rsidRDefault="00A41E49" w:rsidP="00592DB9">
            <w:pPr>
              <w:pStyle w:val="TableBodyTextcentre"/>
              <w:spacing w:before="40" w:after="40"/>
            </w:pPr>
            <w:r>
              <w:t>58%</w:t>
            </w:r>
          </w:p>
        </w:tc>
        <w:tc>
          <w:tcPr>
            <w:tcW w:w="1806" w:type="dxa"/>
          </w:tcPr>
          <w:p w14:paraId="3D3A6C21" w14:textId="761E682F" w:rsidR="00034E71" w:rsidRDefault="00B57AD4" w:rsidP="00592DB9">
            <w:pPr>
              <w:pStyle w:val="TableBodyText"/>
              <w:spacing w:before="40" w:after="40"/>
            </w:pPr>
            <w:r w:rsidRPr="00B57AD4">
              <w:t>Female dominated</w:t>
            </w:r>
          </w:p>
        </w:tc>
        <w:tc>
          <w:tcPr>
            <w:tcW w:w="1806" w:type="dxa"/>
          </w:tcPr>
          <w:p w14:paraId="0552F3AD" w14:textId="40B2D7CE" w:rsidR="00034E71" w:rsidRDefault="00EA7B79" w:rsidP="00592DB9">
            <w:pPr>
              <w:pStyle w:val="TableBodyTextcentre"/>
              <w:spacing w:before="40" w:after="40"/>
            </w:pPr>
            <w:r>
              <w:t>62%</w:t>
            </w:r>
          </w:p>
        </w:tc>
      </w:tr>
      <w:tr w:rsidR="00592DB9" w14:paraId="6AFDD9AF"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6BFBF1BC" w14:textId="4FF39514" w:rsidR="00034E71" w:rsidRDefault="00B61F64" w:rsidP="00592DB9">
            <w:pPr>
              <w:pStyle w:val="TableBodyText"/>
              <w:spacing w:before="40" w:after="40"/>
            </w:pPr>
            <w:r w:rsidRPr="00B61F64">
              <w:t>Advertising and Marketing Professionals</w:t>
            </w:r>
          </w:p>
        </w:tc>
        <w:tc>
          <w:tcPr>
            <w:tcW w:w="1842" w:type="dxa"/>
          </w:tcPr>
          <w:p w14:paraId="3B75BC32" w14:textId="57500C12" w:rsidR="00034E71" w:rsidRDefault="00B57AD4" w:rsidP="00592DB9">
            <w:pPr>
              <w:pStyle w:val="TableBodyText"/>
              <w:spacing w:before="40" w:after="40"/>
            </w:pPr>
            <w:r w:rsidRPr="00B57AD4">
              <w:t>Gender balanced</w:t>
            </w:r>
          </w:p>
        </w:tc>
        <w:tc>
          <w:tcPr>
            <w:tcW w:w="1446" w:type="dxa"/>
          </w:tcPr>
          <w:p w14:paraId="2EC1B098" w14:textId="05DF5A86" w:rsidR="00034E71" w:rsidRDefault="00A41E49" w:rsidP="00592DB9">
            <w:pPr>
              <w:pStyle w:val="TableBodyTextcentre"/>
              <w:spacing w:before="40" w:after="40"/>
            </w:pPr>
            <w:r>
              <w:t>57%</w:t>
            </w:r>
          </w:p>
        </w:tc>
        <w:tc>
          <w:tcPr>
            <w:tcW w:w="1806" w:type="dxa"/>
          </w:tcPr>
          <w:p w14:paraId="57A0764F" w14:textId="653B52A3" w:rsidR="00034E71" w:rsidRDefault="00B57AD4" w:rsidP="00592DB9">
            <w:pPr>
              <w:pStyle w:val="TableBodyText"/>
              <w:spacing w:before="40" w:after="40"/>
            </w:pPr>
            <w:r w:rsidRPr="00B57AD4">
              <w:t>Female dominated</w:t>
            </w:r>
          </w:p>
        </w:tc>
        <w:tc>
          <w:tcPr>
            <w:tcW w:w="1806" w:type="dxa"/>
          </w:tcPr>
          <w:p w14:paraId="41E78C4A" w14:textId="3D61C0C0" w:rsidR="00034E71" w:rsidRDefault="00EA7B79" w:rsidP="00592DB9">
            <w:pPr>
              <w:pStyle w:val="TableBodyTextcentre"/>
              <w:spacing w:before="40" w:after="40"/>
            </w:pPr>
            <w:r>
              <w:t>62%</w:t>
            </w:r>
          </w:p>
        </w:tc>
      </w:tr>
      <w:tr w:rsidR="00034E71" w14:paraId="50B60867" w14:textId="77777777" w:rsidTr="00592DB9">
        <w:tc>
          <w:tcPr>
            <w:tcW w:w="2127" w:type="dxa"/>
          </w:tcPr>
          <w:p w14:paraId="2794F082" w14:textId="440AE2AB" w:rsidR="00034E71" w:rsidRDefault="00B61F64" w:rsidP="00592DB9">
            <w:pPr>
              <w:pStyle w:val="TableBodyText"/>
              <w:spacing w:before="40" w:after="40"/>
            </w:pPr>
            <w:r w:rsidRPr="00B61F64">
              <w:t>Bar Attendants and Baristas</w:t>
            </w:r>
          </w:p>
        </w:tc>
        <w:tc>
          <w:tcPr>
            <w:tcW w:w="1842" w:type="dxa"/>
          </w:tcPr>
          <w:p w14:paraId="17DB6E4A" w14:textId="663AE9BA" w:rsidR="00034E71" w:rsidRDefault="00B57AD4" w:rsidP="00592DB9">
            <w:pPr>
              <w:pStyle w:val="TableBodyText"/>
              <w:spacing w:before="40" w:after="40"/>
            </w:pPr>
            <w:r w:rsidRPr="00B57AD4">
              <w:t>Gender balanced</w:t>
            </w:r>
          </w:p>
        </w:tc>
        <w:tc>
          <w:tcPr>
            <w:tcW w:w="1446" w:type="dxa"/>
          </w:tcPr>
          <w:p w14:paraId="5822D629" w14:textId="6937CFF4" w:rsidR="00034E71" w:rsidRDefault="008C546A" w:rsidP="00592DB9">
            <w:pPr>
              <w:pStyle w:val="TableBodyTextcentre"/>
              <w:spacing w:before="40" w:after="40"/>
            </w:pPr>
            <w:r>
              <w:t>57%</w:t>
            </w:r>
          </w:p>
        </w:tc>
        <w:tc>
          <w:tcPr>
            <w:tcW w:w="1806" w:type="dxa"/>
          </w:tcPr>
          <w:p w14:paraId="4B7ED576" w14:textId="0372173B" w:rsidR="00034E71" w:rsidRDefault="00B57AD4" w:rsidP="00592DB9">
            <w:pPr>
              <w:pStyle w:val="TableBodyText"/>
              <w:spacing w:before="40" w:after="40"/>
            </w:pPr>
            <w:r w:rsidRPr="00B57AD4">
              <w:t>Female dominated</w:t>
            </w:r>
          </w:p>
        </w:tc>
        <w:tc>
          <w:tcPr>
            <w:tcW w:w="1806" w:type="dxa"/>
          </w:tcPr>
          <w:p w14:paraId="5BCFDF4A" w14:textId="27F5EAFF" w:rsidR="00034E71" w:rsidRDefault="003A67EE" w:rsidP="00592DB9">
            <w:pPr>
              <w:pStyle w:val="TableBodyTextcentre"/>
              <w:spacing w:before="40" w:after="40"/>
            </w:pPr>
            <w:r>
              <w:t>62%</w:t>
            </w:r>
          </w:p>
        </w:tc>
      </w:tr>
      <w:tr w:rsidR="00592DB9" w14:paraId="0F3D82EE"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33B15A99" w14:textId="336CE155" w:rsidR="00B61F64" w:rsidRPr="00B61F64" w:rsidRDefault="00B61F64" w:rsidP="00592DB9">
            <w:pPr>
              <w:pStyle w:val="TableBodyText"/>
              <w:spacing w:before="40" w:after="40"/>
            </w:pPr>
            <w:r w:rsidRPr="00B61F64">
              <w:t>Other Education Managers</w:t>
            </w:r>
          </w:p>
        </w:tc>
        <w:tc>
          <w:tcPr>
            <w:tcW w:w="1842" w:type="dxa"/>
          </w:tcPr>
          <w:p w14:paraId="35ED7D51" w14:textId="7E66A75F" w:rsidR="00B61F64" w:rsidRDefault="00B57AD4" w:rsidP="00592DB9">
            <w:pPr>
              <w:pStyle w:val="TableBodyText"/>
              <w:spacing w:before="40" w:after="40"/>
            </w:pPr>
            <w:r w:rsidRPr="00B57AD4">
              <w:t>Gender balanced</w:t>
            </w:r>
          </w:p>
        </w:tc>
        <w:tc>
          <w:tcPr>
            <w:tcW w:w="1446" w:type="dxa"/>
          </w:tcPr>
          <w:p w14:paraId="72ED6F2E" w14:textId="1143AF3D" w:rsidR="00B61F64" w:rsidRDefault="00CD2F11" w:rsidP="00592DB9">
            <w:pPr>
              <w:pStyle w:val="TableBodyTextcentre"/>
              <w:spacing w:before="40" w:after="40"/>
            </w:pPr>
            <w:r>
              <w:t>57%</w:t>
            </w:r>
          </w:p>
        </w:tc>
        <w:tc>
          <w:tcPr>
            <w:tcW w:w="1806" w:type="dxa"/>
          </w:tcPr>
          <w:p w14:paraId="19CF20FD" w14:textId="3291F46D" w:rsidR="00B61F64" w:rsidRDefault="00B57AD4" w:rsidP="00592DB9">
            <w:pPr>
              <w:pStyle w:val="TableBodyText"/>
              <w:spacing w:before="40" w:after="40"/>
            </w:pPr>
            <w:r w:rsidRPr="00B57AD4">
              <w:t>Female dominated</w:t>
            </w:r>
          </w:p>
        </w:tc>
        <w:tc>
          <w:tcPr>
            <w:tcW w:w="1806" w:type="dxa"/>
          </w:tcPr>
          <w:p w14:paraId="3A314554" w14:textId="2A78DF64" w:rsidR="00B61F64" w:rsidRDefault="00B51345" w:rsidP="00592DB9">
            <w:pPr>
              <w:pStyle w:val="TableBodyTextcentre"/>
              <w:spacing w:before="40" w:after="40"/>
            </w:pPr>
            <w:r>
              <w:t>63%</w:t>
            </w:r>
          </w:p>
        </w:tc>
      </w:tr>
      <w:tr w:rsidR="00B61F64" w14:paraId="2FDCEB1F" w14:textId="77777777" w:rsidTr="00592DB9">
        <w:tc>
          <w:tcPr>
            <w:tcW w:w="2127" w:type="dxa"/>
          </w:tcPr>
          <w:p w14:paraId="64970347" w14:textId="0F10F5AD" w:rsidR="00B61F64" w:rsidRPr="00B61F64" w:rsidRDefault="00B57AD4" w:rsidP="00592DB9">
            <w:pPr>
              <w:pStyle w:val="TableBodyText"/>
              <w:spacing w:before="40" w:after="40"/>
            </w:pPr>
            <w:r w:rsidRPr="00B57AD4">
              <w:t>Other Accommodation and Hospitality Managers</w:t>
            </w:r>
          </w:p>
        </w:tc>
        <w:tc>
          <w:tcPr>
            <w:tcW w:w="1842" w:type="dxa"/>
          </w:tcPr>
          <w:p w14:paraId="1065B800" w14:textId="25A05AD6" w:rsidR="00B61F64" w:rsidRDefault="00B57AD4" w:rsidP="00592DB9">
            <w:pPr>
              <w:pStyle w:val="TableBodyText"/>
              <w:spacing w:before="40" w:after="40"/>
            </w:pPr>
            <w:r w:rsidRPr="00B57AD4">
              <w:t>Gender balanced</w:t>
            </w:r>
          </w:p>
        </w:tc>
        <w:tc>
          <w:tcPr>
            <w:tcW w:w="1446" w:type="dxa"/>
          </w:tcPr>
          <w:p w14:paraId="29509F7C" w14:textId="4E9FB9A1" w:rsidR="00B61F64" w:rsidRDefault="00CD2F11" w:rsidP="00592DB9">
            <w:pPr>
              <w:pStyle w:val="TableBodyTextcentre"/>
              <w:spacing w:before="40" w:after="40"/>
            </w:pPr>
            <w:r>
              <w:t>56%</w:t>
            </w:r>
          </w:p>
        </w:tc>
        <w:tc>
          <w:tcPr>
            <w:tcW w:w="1806" w:type="dxa"/>
          </w:tcPr>
          <w:p w14:paraId="15031677" w14:textId="6CF19AD2" w:rsidR="00B61F64" w:rsidRDefault="00B57AD4" w:rsidP="00592DB9">
            <w:pPr>
              <w:pStyle w:val="TableBodyText"/>
              <w:spacing w:before="40" w:after="40"/>
            </w:pPr>
            <w:r w:rsidRPr="00B57AD4">
              <w:t>Female dominated</w:t>
            </w:r>
          </w:p>
        </w:tc>
        <w:tc>
          <w:tcPr>
            <w:tcW w:w="1806" w:type="dxa"/>
          </w:tcPr>
          <w:p w14:paraId="32819279" w14:textId="37C0869F" w:rsidR="00B61F64" w:rsidRDefault="00B51345" w:rsidP="00592DB9">
            <w:pPr>
              <w:pStyle w:val="TableBodyTextcentre"/>
              <w:spacing w:before="40" w:after="40"/>
            </w:pPr>
            <w:r>
              <w:t>62%</w:t>
            </w:r>
          </w:p>
        </w:tc>
      </w:tr>
      <w:tr w:rsidR="00592DB9" w14:paraId="61175682"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20A3BDD7" w14:textId="4CB7FEBD" w:rsidR="00B57AD4" w:rsidRPr="00B57AD4" w:rsidRDefault="00B57AD4" w:rsidP="00592DB9">
            <w:pPr>
              <w:pStyle w:val="TableBodyText"/>
              <w:spacing w:before="40" w:after="40"/>
            </w:pPr>
            <w:r w:rsidRPr="00B57AD4">
              <w:t>Intelligence and Policy Analysts</w:t>
            </w:r>
          </w:p>
        </w:tc>
        <w:tc>
          <w:tcPr>
            <w:tcW w:w="1842" w:type="dxa"/>
          </w:tcPr>
          <w:p w14:paraId="44B695A1" w14:textId="38D4F80D" w:rsidR="00B57AD4" w:rsidRDefault="00B57AD4" w:rsidP="00592DB9">
            <w:pPr>
              <w:pStyle w:val="TableBodyText"/>
              <w:spacing w:before="40" w:after="40"/>
            </w:pPr>
            <w:r w:rsidRPr="00B57AD4">
              <w:t>Gender balanced</w:t>
            </w:r>
          </w:p>
        </w:tc>
        <w:tc>
          <w:tcPr>
            <w:tcW w:w="1446" w:type="dxa"/>
          </w:tcPr>
          <w:p w14:paraId="2B9727FE" w14:textId="78B84F10" w:rsidR="00B57AD4" w:rsidRDefault="00A078B3" w:rsidP="00592DB9">
            <w:pPr>
              <w:pStyle w:val="TableBodyTextcentre"/>
              <w:spacing w:before="40" w:after="40"/>
            </w:pPr>
            <w:r>
              <w:t>58%</w:t>
            </w:r>
          </w:p>
        </w:tc>
        <w:tc>
          <w:tcPr>
            <w:tcW w:w="1806" w:type="dxa"/>
          </w:tcPr>
          <w:p w14:paraId="60E60154" w14:textId="5D602107" w:rsidR="00B57AD4" w:rsidRDefault="00B57AD4" w:rsidP="00592DB9">
            <w:pPr>
              <w:pStyle w:val="TableBodyText"/>
              <w:spacing w:before="40" w:after="40"/>
            </w:pPr>
            <w:r w:rsidRPr="00B57AD4">
              <w:t>Female dominated</w:t>
            </w:r>
          </w:p>
        </w:tc>
        <w:tc>
          <w:tcPr>
            <w:tcW w:w="1806" w:type="dxa"/>
          </w:tcPr>
          <w:p w14:paraId="72CDED59" w14:textId="2AD686FB" w:rsidR="00B57AD4" w:rsidRDefault="0018598B" w:rsidP="00592DB9">
            <w:pPr>
              <w:pStyle w:val="TableBodyTextcentre"/>
              <w:spacing w:before="40" w:after="40"/>
            </w:pPr>
            <w:r>
              <w:t>64%</w:t>
            </w:r>
          </w:p>
        </w:tc>
      </w:tr>
      <w:tr w:rsidR="00B57AD4" w14:paraId="74EA493C" w14:textId="77777777" w:rsidTr="00592DB9">
        <w:tc>
          <w:tcPr>
            <w:tcW w:w="2127" w:type="dxa"/>
          </w:tcPr>
          <w:p w14:paraId="460B7366" w14:textId="765CC427" w:rsidR="00B57AD4" w:rsidRPr="00B57AD4" w:rsidRDefault="00B57AD4" w:rsidP="00592DB9">
            <w:pPr>
              <w:pStyle w:val="TableBodyText"/>
              <w:spacing w:before="40" w:after="40"/>
            </w:pPr>
            <w:r w:rsidRPr="00B57AD4">
              <w:t>Human Resource Managers</w:t>
            </w:r>
          </w:p>
        </w:tc>
        <w:tc>
          <w:tcPr>
            <w:tcW w:w="1842" w:type="dxa"/>
          </w:tcPr>
          <w:p w14:paraId="4056EA6B" w14:textId="602CBE94" w:rsidR="00B57AD4" w:rsidRDefault="00B57AD4" w:rsidP="00592DB9">
            <w:pPr>
              <w:pStyle w:val="TableBodyText"/>
              <w:spacing w:before="40" w:after="40"/>
            </w:pPr>
            <w:r w:rsidRPr="00B57AD4">
              <w:t>Gender balanced</w:t>
            </w:r>
          </w:p>
        </w:tc>
        <w:tc>
          <w:tcPr>
            <w:tcW w:w="1446" w:type="dxa"/>
          </w:tcPr>
          <w:p w14:paraId="616BE6F5" w14:textId="57BC7028" w:rsidR="00B57AD4" w:rsidRDefault="00A078B3" w:rsidP="00592DB9">
            <w:pPr>
              <w:pStyle w:val="TableBodyTextcentre"/>
              <w:spacing w:before="40" w:after="40"/>
            </w:pPr>
            <w:r>
              <w:t>54%</w:t>
            </w:r>
          </w:p>
        </w:tc>
        <w:tc>
          <w:tcPr>
            <w:tcW w:w="1806" w:type="dxa"/>
          </w:tcPr>
          <w:p w14:paraId="038827EA" w14:textId="1EBC903C" w:rsidR="00B57AD4" w:rsidRDefault="00B57AD4" w:rsidP="00592DB9">
            <w:pPr>
              <w:pStyle w:val="TableBodyText"/>
              <w:spacing w:before="40" w:after="40"/>
            </w:pPr>
            <w:r w:rsidRPr="00B57AD4">
              <w:t>Female dominated</w:t>
            </w:r>
          </w:p>
        </w:tc>
        <w:tc>
          <w:tcPr>
            <w:tcW w:w="1806" w:type="dxa"/>
          </w:tcPr>
          <w:p w14:paraId="196FE67F" w14:textId="2A0C2975" w:rsidR="00B57AD4" w:rsidRDefault="0018598B" w:rsidP="00592DB9">
            <w:pPr>
              <w:pStyle w:val="TableBodyTextcentre"/>
              <w:spacing w:before="40" w:after="40"/>
            </w:pPr>
            <w:r>
              <w:t>62%</w:t>
            </w:r>
          </w:p>
        </w:tc>
      </w:tr>
      <w:tr w:rsidR="00592DB9" w14:paraId="7665A7A2"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62000A31" w14:textId="17C19A67" w:rsidR="00B57AD4" w:rsidRPr="00B57AD4" w:rsidRDefault="00B57AD4" w:rsidP="00592DB9">
            <w:pPr>
              <w:pStyle w:val="TableBodyText"/>
              <w:spacing w:before="40" w:after="40"/>
            </w:pPr>
            <w:r w:rsidRPr="00B57AD4">
              <w:t>Pharmacists</w:t>
            </w:r>
          </w:p>
        </w:tc>
        <w:tc>
          <w:tcPr>
            <w:tcW w:w="1842" w:type="dxa"/>
          </w:tcPr>
          <w:p w14:paraId="3693F55C" w14:textId="3C6C12F4" w:rsidR="00B57AD4" w:rsidRDefault="00B57AD4" w:rsidP="00592DB9">
            <w:pPr>
              <w:pStyle w:val="TableBodyText"/>
              <w:spacing w:before="40" w:after="40"/>
            </w:pPr>
            <w:r w:rsidRPr="00B57AD4">
              <w:t>Gender balanced</w:t>
            </w:r>
          </w:p>
        </w:tc>
        <w:tc>
          <w:tcPr>
            <w:tcW w:w="1446" w:type="dxa"/>
          </w:tcPr>
          <w:p w14:paraId="6538920D" w14:textId="6F3D3C50" w:rsidR="00B57AD4" w:rsidRDefault="00A078B3" w:rsidP="00592DB9">
            <w:pPr>
              <w:pStyle w:val="TableBodyTextcentre"/>
              <w:spacing w:before="40" w:after="40"/>
            </w:pPr>
            <w:r>
              <w:t>56%</w:t>
            </w:r>
          </w:p>
        </w:tc>
        <w:tc>
          <w:tcPr>
            <w:tcW w:w="1806" w:type="dxa"/>
          </w:tcPr>
          <w:p w14:paraId="4647EF70" w14:textId="2446C379" w:rsidR="00B57AD4" w:rsidRDefault="00B57AD4" w:rsidP="00592DB9">
            <w:pPr>
              <w:pStyle w:val="TableBodyText"/>
              <w:spacing w:before="40" w:after="40"/>
            </w:pPr>
            <w:r w:rsidRPr="00B57AD4">
              <w:t>Female dominated</w:t>
            </w:r>
            <w:r>
              <w:t xml:space="preserve"> </w:t>
            </w:r>
          </w:p>
        </w:tc>
        <w:tc>
          <w:tcPr>
            <w:tcW w:w="1806" w:type="dxa"/>
          </w:tcPr>
          <w:p w14:paraId="50B9790C" w14:textId="10FEEFC3" w:rsidR="00B57AD4" w:rsidRDefault="00FF2E09" w:rsidP="00592DB9">
            <w:pPr>
              <w:pStyle w:val="TableBodyTextcentre"/>
              <w:spacing w:before="40" w:after="40"/>
            </w:pPr>
            <w:r>
              <w:t>64%</w:t>
            </w:r>
          </w:p>
        </w:tc>
      </w:tr>
      <w:tr w:rsidR="00B57AD4" w14:paraId="449CB800" w14:textId="77777777" w:rsidTr="00592DB9">
        <w:tc>
          <w:tcPr>
            <w:tcW w:w="2127" w:type="dxa"/>
          </w:tcPr>
          <w:p w14:paraId="4ACF73DE" w14:textId="19C5BC30" w:rsidR="00B57AD4" w:rsidRPr="00B57AD4" w:rsidRDefault="00B57AD4" w:rsidP="00592DB9">
            <w:pPr>
              <w:pStyle w:val="TableBodyText"/>
              <w:spacing w:before="40" w:after="40"/>
            </w:pPr>
            <w:r w:rsidRPr="00B57AD4">
              <w:t>Visual Arts and Crafts Professionals</w:t>
            </w:r>
          </w:p>
        </w:tc>
        <w:tc>
          <w:tcPr>
            <w:tcW w:w="1842" w:type="dxa"/>
          </w:tcPr>
          <w:p w14:paraId="139CE7F7" w14:textId="2C709A3C" w:rsidR="00B57AD4" w:rsidRDefault="00B57AD4" w:rsidP="00592DB9">
            <w:pPr>
              <w:pStyle w:val="TableBodyText"/>
              <w:spacing w:before="40" w:after="40"/>
            </w:pPr>
            <w:r w:rsidRPr="00B57AD4">
              <w:t>Gender balanced</w:t>
            </w:r>
          </w:p>
        </w:tc>
        <w:tc>
          <w:tcPr>
            <w:tcW w:w="1446" w:type="dxa"/>
          </w:tcPr>
          <w:p w14:paraId="057B99D1" w14:textId="418D7973" w:rsidR="00B57AD4" w:rsidRDefault="00A078B3" w:rsidP="00592DB9">
            <w:pPr>
              <w:pStyle w:val="TableBodyTextcentre"/>
              <w:spacing w:before="40" w:after="40"/>
            </w:pPr>
            <w:r>
              <w:t>55%</w:t>
            </w:r>
          </w:p>
        </w:tc>
        <w:tc>
          <w:tcPr>
            <w:tcW w:w="1806" w:type="dxa"/>
          </w:tcPr>
          <w:p w14:paraId="71C8AB68" w14:textId="0B2E76B9" w:rsidR="00B57AD4" w:rsidRDefault="00B57AD4" w:rsidP="00592DB9">
            <w:pPr>
              <w:pStyle w:val="TableBodyText"/>
              <w:spacing w:before="40" w:after="40"/>
            </w:pPr>
            <w:r w:rsidRPr="00B57AD4">
              <w:t>Female dominated</w:t>
            </w:r>
          </w:p>
        </w:tc>
        <w:tc>
          <w:tcPr>
            <w:tcW w:w="1806" w:type="dxa"/>
          </w:tcPr>
          <w:p w14:paraId="3A64B5BC" w14:textId="70273445" w:rsidR="00B57AD4" w:rsidRDefault="00FF2E09" w:rsidP="00592DB9">
            <w:pPr>
              <w:pStyle w:val="TableBodyTextcentre"/>
              <w:spacing w:before="40" w:after="40"/>
            </w:pPr>
            <w:r>
              <w:t>64%</w:t>
            </w:r>
          </w:p>
        </w:tc>
      </w:tr>
      <w:tr w:rsidR="00592DB9" w14:paraId="5D179E0B"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6033E8DB" w14:textId="22221280" w:rsidR="00B57AD4" w:rsidRPr="00B57AD4" w:rsidRDefault="00B57AD4" w:rsidP="00592DB9">
            <w:pPr>
              <w:pStyle w:val="TableBodyText"/>
              <w:spacing w:before="40" w:after="40"/>
            </w:pPr>
            <w:r w:rsidRPr="00B57AD4">
              <w:t>Judicial and Other Legal Professionals</w:t>
            </w:r>
          </w:p>
        </w:tc>
        <w:tc>
          <w:tcPr>
            <w:tcW w:w="1842" w:type="dxa"/>
          </w:tcPr>
          <w:p w14:paraId="427903A8" w14:textId="2F6E174A" w:rsidR="00B57AD4" w:rsidRDefault="00B57AD4" w:rsidP="00592DB9">
            <w:pPr>
              <w:pStyle w:val="TableBodyText"/>
              <w:spacing w:before="40" w:after="40"/>
            </w:pPr>
            <w:r w:rsidRPr="00B57AD4">
              <w:t>Gender balanced</w:t>
            </w:r>
          </w:p>
        </w:tc>
        <w:tc>
          <w:tcPr>
            <w:tcW w:w="1446" w:type="dxa"/>
          </w:tcPr>
          <w:p w14:paraId="378E25AA" w14:textId="062ADBD9" w:rsidR="00B57AD4" w:rsidRDefault="00F21C20" w:rsidP="00592DB9">
            <w:pPr>
              <w:pStyle w:val="TableBodyTextcentre"/>
              <w:spacing w:before="40" w:after="40"/>
            </w:pPr>
            <w:r>
              <w:t>51%</w:t>
            </w:r>
          </w:p>
        </w:tc>
        <w:tc>
          <w:tcPr>
            <w:tcW w:w="1806" w:type="dxa"/>
          </w:tcPr>
          <w:p w14:paraId="6347B83B" w14:textId="2C95980D" w:rsidR="00B57AD4" w:rsidRDefault="00B57AD4" w:rsidP="00592DB9">
            <w:pPr>
              <w:pStyle w:val="TableBodyText"/>
              <w:spacing w:before="40" w:after="40"/>
            </w:pPr>
            <w:r w:rsidRPr="00B57AD4">
              <w:t>Female dominated</w:t>
            </w:r>
          </w:p>
        </w:tc>
        <w:tc>
          <w:tcPr>
            <w:tcW w:w="1806" w:type="dxa"/>
          </w:tcPr>
          <w:p w14:paraId="5173A898" w14:textId="3B86A3A0" w:rsidR="00B57AD4" w:rsidRDefault="000D066D" w:rsidP="00592DB9">
            <w:pPr>
              <w:pStyle w:val="TableBodyTextcentre"/>
              <w:spacing w:before="40" w:after="40"/>
            </w:pPr>
            <w:r>
              <w:t>61%</w:t>
            </w:r>
          </w:p>
        </w:tc>
      </w:tr>
      <w:tr w:rsidR="00B57AD4" w14:paraId="5FB48F2F" w14:textId="77777777" w:rsidTr="00592DB9">
        <w:tc>
          <w:tcPr>
            <w:tcW w:w="2127" w:type="dxa"/>
          </w:tcPr>
          <w:p w14:paraId="7EFC041B" w14:textId="7C5ECA84" w:rsidR="00B57AD4" w:rsidRPr="00B57AD4" w:rsidRDefault="00B57AD4" w:rsidP="00592DB9">
            <w:pPr>
              <w:pStyle w:val="TableBodyText"/>
              <w:spacing w:before="40" w:after="40"/>
            </w:pPr>
            <w:r w:rsidRPr="00B57AD4">
              <w:t>Optometrists and Orthoptists</w:t>
            </w:r>
          </w:p>
        </w:tc>
        <w:tc>
          <w:tcPr>
            <w:tcW w:w="1842" w:type="dxa"/>
          </w:tcPr>
          <w:p w14:paraId="25367EF7" w14:textId="69C3AF2F" w:rsidR="00B57AD4" w:rsidRDefault="00B57AD4" w:rsidP="00592DB9">
            <w:pPr>
              <w:pStyle w:val="TableBodyText"/>
              <w:spacing w:before="40" w:after="40"/>
            </w:pPr>
            <w:r w:rsidRPr="00B57AD4">
              <w:t>Gender balanced</w:t>
            </w:r>
          </w:p>
        </w:tc>
        <w:tc>
          <w:tcPr>
            <w:tcW w:w="1446" w:type="dxa"/>
          </w:tcPr>
          <w:p w14:paraId="36B186A6" w14:textId="5BCD52B0" w:rsidR="00B57AD4" w:rsidRDefault="00F21C20" w:rsidP="00592DB9">
            <w:pPr>
              <w:pStyle w:val="TableBodyTextcentre"/>
              <w:spacing w:before="40" w:after="40"/>
            </w:pPr>
            <w:r>
              <w:t>51%</w:t>
            </w:r>
          </w:p>
        </w:tc>
        <w:tc>
          <w:tcPr>
            <w:tcW w:w="1806" w:type="dxa"/>
          </w:tcPr>
          <w:p w14:paraId="53875BA1" w14:textId="155D28AA" w:rsidR="00B57AD4" w:rsidRDefault="00B57AD4" w:rsidP="00592DB9">
            <w:pPr>
              <w:pStyle w:val="TableBodyText"/>
              <w:spacing w:before="40" w:after="40"/>
            </w:pPr>
            <w:r w:rsidRPr="00B57AD4">
              <w:t>Female dominated</w:t>
            </w:r>
          </w:p>
        </w:tc>
        <w:tc>
          <w:tcPr>
            <w:tcW w:w="1806" w:type="dxa"/>
          </w:tcPr>
          <w:p w14:paraId="0AD31AB7" w14:textId="55D5498B" w:rsidR="00B57AD4" w:rsidRDefault="000D066D" w:rsidP="00592DB9">
            <w:pPr>
              <w:pStyle w:val="TableBodyTextcentre"/>
              <w:spacing w:before="40" w:after="40"/>
            </w:pPr>
            <w:r>
              <w:t>63%</w:t>
            </w:r>
          </w:p>
        </w:tc>
      </w:tr>
      <w:tr w:rsidR="00592DB9" w14:paraId="2F8D8878"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22D1C1F7" w14:textId="295FC1D0" w:rsidR="00B57AD4" w:rsidRPr="00B57AD4" w:rsidRDefault="00B57AD4" w:rsidP="00592DB9">
            <w:pPr>
              <w:pStyle w:val="TableBodyText"/>
              <w:spacing w:before="40" w:after="40"/>
            </w:pPr>
            <w:r w:rsidRPr="00B57AD4">
              <w:t>Dental Hygienists, Technicians and Therapists</w:t>
            </w:r>
          </w:p>
        </w:tc>
        <w:tc>
          <w:tcPr>
            <w:tcW w:w="1842" w:type="dxa"/>
          </w:tcPr>
          <w:p w14:paraId="640AE55D" w14:textId="086B76D4" w:rsidR="00B57AD4" w:rsidRDefault="00B57AD4" w:rsidP="00592DB9">
            <w:pPr>
              <w:pStyle w:val="TableBodyText"/>
              <w:spacing w:before="40" w:after="40"/>
            </w:pPr>
            <w:r w:rsidRPr="00B57AD4">
              <w:t>Gender balanced</w:t>
            </w:r>
          </w:p>
        </w:tc>
        <w:tc>
          <w:tcPr>
            <w:tcW w:w="1446" w:type="dxa"/>
          </w:tcPr>
          <w:p w14:paraId="110E0950" w14:textId="4651B5C3" w:rsidR="00B57AD4" w:rsidRDefault="00F21C20" w:rsidP="00592DB9">
            <w:pPr>
              <w:pStyle w:val="TableBodyTextcentre"/>
              <w:spacing w:before="40" w:after="40"/>
            </w:pPr>
            <w:r>
              <w:t>52%</w:t>
            </w:r>
          </w:p>
        </w:tc>
        <w:tc>
          <w:tcPr>
            <w:tcW w:w="1806" w:type="dxa"/>
          </w:tcPr>
          <w:p w14:paraId="62880472" w14:textId="00A4CFC4" w:rsidR="00B57AD4" w:rsidRDefault="00B57AD4" w:rsidP="00592DB9">
            <w:pPr>
              <w:pStyle w:val="TableBodyText"/>
              <w:spacing w:before="40" w:after="40"/>
            </w:pPr>
            <w:r w:rsidRPr="00B57AD4">
              <w:t>Female dominated</w:t>
            </w:r>
          </w:p>
        </w:tc>
        <w:tc>
          <w:tcPr>
            <w:tcW w:w="1806" w:type="dxa"/>
          </w:tcPr>
          <w:p w14:paraId="171F8712" w14:textId="1040E037" w:rsidR="00B57AD4" w:rsidRDefault="007C18A8" w:rsidP="00592DB9">
            <w:pPr>
              <w:pStyle w:val="TableBodyTextcentre"/>
              <w:spacing w:before="40" w:after="40"/>
            </w:pPr>
            <w:r>
              <w:t>65%</w:t>
            </w:r>
          </w:p>
        </w:tc>
      </w:tr>
      <w:tr w:rsidR="00B57AD4" w14:paraId="6DC026F6" w14:textId="77777777" w:rsidTr="00592DB9">
        <w:tc>
          <w:tcPr>
            <w:tcW w:w="2127" w:type="dxa"/>
          </w:tcPr>
          <w:p w14:paraId="5022CFC7" w14:textId="115249AF" w:rsidR="00B57AD4" w:rsidRPr="00B57AD4" w:rsidRDefault="00B57AD4" w:rsidP="00592DB9">
            <w:pPr>
              <w:pStyle w:val="TableBodyText"/>
              <w:spacing w:before="40" w:after="40"/>
            </w:pPr>
            <w:r w:rsidRPr="00B57AD4">
              <w:t>School Principals</w:t>
            </w:r>
          </w:p>
        </w:tc>
        <w:tc>
          <w:tcPr>
            <w:tcW w:w="1842" w:type="dxa"/>
          </w:tcPr>
          <w:p w14:paraId="6289D5B0" w14:textId="534F881A" w:rsidR="00B57AD4" w:rsidRDefault="00B57AD4" w:rsidP="00592DB9">
            <w:pPr>
              <w:pStyle w:val="TableBodyText"/>
              <w:spacing w:before="40" w:after="40"/>
            </w:pPr>
            <w:r w:rsidRPr="00B57AD4">
              <w:t>Gender balanced</w:t>
            </w:r>
          </w:p>
        </w:tc>
        <w:tc>
          <w:tcPr>
            <w:tcW w:w="1446" w:type="dxa"/>
          </w:tcPr>
          <w:p w14:paraId="5CD7BD51" w14:textId="15A24AAF" w:rsidR="00B57AD4" w:rsidRDefault="00F21C20" w:rsidP="00592DB9">
            <w:pPr>
              <w:pStyle w:val="TableBodyTextcentre"/>
              <w:spacing w:before="40" w:after="40"/>
            </w:pPr>
            <w:r>
              <w:t>50%</w:t>
            </w:r>
          </w:p>
        </w:tc>
        <w:tc>
          <w:tcPr>
            <w:tcW w:w="1806" w:type="dxa"/>
          </w:tcPr>
          <w:p w14:paraId="5B86BA58" w14:textId="311880D9" w:rsidR="00B57AD4" w:rsidRDefault="00B57AD4" w:rsidP="00592DB9">
            <w:pPr>
              <w:pStyle w:val="TableBodyText"/>
              <w:spacing w:before="40" w:after="40"/>
            </w:pPr>
            <w:r w:rsidRPr="00B57AD4">
              <w:t>Female dominated</w:t>
            </w:r>
          </w:p>
        </w:tc>
        <w:tc>
          <w:tcPr>
            <w:tcW w:w="1806" w:type="dxa"/>
          </w:tcPr>
          <w:p w14:paraId="5AA7ADB7" w14:textId="51B8B3CA" w:rsidR="00B57AD4" w:rsidRDefault="007C18A8" w:rsidP="00592DB9">
            <w:pPr>
              <w:pStyle w:val="TableBodyTextcentre"/>
              <w:spacing w:before="40" w:after="40"/>
            </w:pPr>
            <w:r>
              <w:t>65%</w:t>
            </w:r>
          </w:p>
        </w:tc>
      </w:tr>
      <w:tr w:rsidR="00592DB9" w14:paraId="369E5B31"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3FE25B22" w14:textId="0E8CB5B4" w:rsidR="00E35D17" w:rsidRPr="00B57AD4" w:rsidRDefault="00E35D17" w:rsidP="00592DB9">
            <w:pPr>
              <w:pStyle w:val="TableBodyText"/>
              <w:spacing w:before="40" w:after="40"/>
            </w:pPr>
            <w:r>
              <w:t>Animal Attendants and Trainers</w:t>
            </w:r>
          </w:p>
        </w:tc>
        <w:tc>
          <w:tcPr>
            <w:tcW w:w="1842" w:type="dxa"/>
          </w:tcPr>
          <w:p w14:paraId="69CEEE9B" w14:textId="42B12B0E" w:rsidR="00E35D17" w:rsidRPr="00B57AD4" w:rsidRDefault="00E35D17" w:rsidP="00592DB9">
            <w:pPr>
              <w:pStyle w:val="TableBodyText"/>
              <w:spacing w:before="40" w:after="40"/>
            </w:pPr>
            <w:r>
              <w:t>Gender balanced</w:t>
            </w:r>
          </w:p>
        </w:tc>
        <w:tc>
          <w:tcPr>
            <w:tcW w:w="1446" w:type="dxa"/>
          </w:tcPr>
          <w:p w14:paraId="42A4A68C" w14:textId="093AF8EC" w:rsidR="00E35D17" w:rsidRDefault="00B30F7C" w:rsidP="00592DB9">
            <w:pPr>
              <w:pStyle w:val="TableBodyTextcentre"/>
              <w:spacing w:before="40" w:after="40"/>
            </w:pPr>
            <w:r>
              <w:t>56%</w:t>
            </w:r>
          </w:p>
        </w:tc>
        <w:tc>
          <w:tcPr>
            <w:tcW w:w="1806" w:type="dxa"/>
          </w:tcPr>
          <w:p w14:paraId="41961476" w14:textId="07C83BD4" w:rsidR="00E35D17" w:rsidRPr="00B57AD4" w:rsidRDefault="00E35D17" w:rsidP="00592DB9">
            <w:pPr>
              <w:pStyle w:val="TableBodyText"/>
              <w:spacing w:before="40" w:after="40"/>
            </w:pPr>
            <w:r>
              <w:t>Female dominated</w:t>
            </w:r>
          </w:p>
        </w:tc>
        <w:tc>
          <w:tcPr>
            <w:tcW w:w="1806" w:type="dxa"/>
          </w:tcPr>
          <w:p w14:paraId="359BD746" w14:textId="0C2F90F0" w:rsidR="00E35D17" w:rsidRDefault="00B30F7C" w:rsidP="00592DB9">
            <w:pPr>
              <w:pStyle w:val="TableBodyTextcentre"/>
              <w:spacing w:before="40" w:after="40"/>
            </w:pPr>
            <w:r>
              <w:t>72%</w:t>
            </w:r>
          </w:p>
        </w:tc>
      </w:tr>
      <w:tr w:rsidR="00E35D17" w14:paraId="7F4E1E4C" w14:textId="77777777" w:rsidTr="00592DB9">
        <w:tc>
          <w:tcPr>
            <w:tcW w:w="2127" w:type="dxa"/>
          </w:tcPr>
          <w:p w14:paraId="61264608" w14:textId="44D635FE" w:rsidR="00E35D17" w:rsidRDefault="00E35D17" w:rsidP="00592DB9">
            <w:pPr>
              <w:pStyle w:val="TableBodyText"/>
              <w:spacing w:before="40" w:after="40"/>
            </w:pPr>
            <w:r>
              <w:t>Veterinarians</w:t>
            </w:r>
          </w:p>
        </w:tc>
        <w:tc>
          <w:tcPr>
            <w:tcW w:w="1842" w:type="dxa"/>
          </w:tcPr>
          <w:p w14:paraId="14599AF8" w14:textId="697CC66E" w:rsidR="00E35D17" w:rsidRDefault="00E35D17" w:rsidP="00592DB9">
            <w:pPr>
              <w:pStyle w:val="TableBodyText"/>
              <w:spacing w:before="40" w:after="40"/>
            </w:pPr>
            <w:r>
              <w:t>Gender balanced</w:t>
            </w:r>
          </w:p>
        </w:tc>
        <w:tc>
          <w:tcPr>
            <w:tcW w:w="1446" w:type="dxa"/>
          </w:tcPr>
          <w:p w14:paraId="4C9ACB73" w14:textId="16D30166" w:rsidR="00E35D17" w:rsidRDefault="009E07EF" w:rsidP="00592DB9">
            <w:pPr>
              <w:pStyle w:val="TableBodyTextcentre"/>
              <w:spacing w:before="40" w:after="40"/>
            </w:pPr>
            <w:r>
              <w:t>46%</w:t>
            </w:r>
          </w:p>
        </w:tc>
        <w:tc>
          <w:tcPr>
            <w:tcW w:w="1806" w:type="dxa"/>
          </w:tcPr>
          <w:p w14:paraId="697BCCD2" w14:textId="771BE664" w:rsidR="00E35D17" w:rsidRDefault="00E35D17" w:rsidP="00592DB9">
            <w:pPr>
              <w:pStyle w:val="TableBodyText"/>
              <w:spacing w:before="40" w:after="40"/>
            </w:pPr>
            <w:r>
              <w:t>Female dominated</w:t>
            </w:r>
          </w:p>
        </w:tc>
        <w:tc>
          <w:tcPr>
            <w:tcW w:w="1806" w:type="dxa"/>
          </w:tcPr>
          <w:p w14:paraId="4D6D9085" w14:textId="16E52FD3" w:rsidR="00E35D17" w:rsidRDefault="009E07EF" w:rsidP="00592DB9">
            <w:pPr>
              <w:pStyle w:val="TableBodyTextcentre"/>
              <w:spacing w:before="40" w:after="40"/>
            </w:pPr>
            <w:r>
              <w:t>67%</w:t>
            </w:r>
          </w:p>
        </w:tc>
      </w:tr>
      <w:tr w:rsidR="00592DB9" w14:paraId="273C0CDF" w14:textId="77777777" w:rsidTr="00592DB9">
        <w:trPr>
          <w:cnfStyle w:val="000000010000" w:firstRow="0" w:lastRow="0" w:firstColumn="0" w:lastColumn="0" w:oddVBand="0" w:evenVBand="0" w:oddHBand="0" w:evenHBand="1" w:firstRowFirstColumn="0" w:firstRowLastColumn="0" w:lastRowFirstColumn="0" w:lastRowLastColumn="0"/>
        </w:trPr>
        <w:tc>
          <w:tcPr>
            <w:tcW w:w="2127" w:type="dxa"/>
          </w:tcPr>
          <w:p w14:paraId="6535871A" w14:textId="0121FB5A" w:rsidR="00E35D17" w:rsidRDefault="00E35D17" w:rsidP="00592DB9">
            <w:pPr>
              <w:pStyle w:val="TableBodyText"/>
              <w:spacing w:before="40" w:after="40"/>
            </w:pPr>
            <w:r>
              <w:t>Other Sales Support Workers</w:t>
            </w:r>
          </w:p>
        </w:tc>
        <w:tc>
          <w:tcPr>
            <w:tcW w:w="1842" w:type="dxa"/>
          </w:tcPr>
          <w:p w14:paraId="518CD765" w14:textId="2D7215C9" w:rsidR="00E35D17" w:rsidRDefault="00E35D17" w:rsidP="00592DB9">
            <w:pPr>
              <w:pStyle w:val="TableBodyText"/>
              <w:spacing w:before="40" w:after="40"/>
            </w:pPr>
            <w:r>
              <w:t>Gender balanced</w:t>
            </w:r>
          </w:p>
        </w:tc>
        <w:tc>
          <w:tcPr>
            <w:tcW w:w="1446" w:type="dxa"/>
          </w:tcPr>
          <w:p w14:paraId="23302D90" w14:textId="72810474" w:rsidR="00E35D17" w:rsidRDefault="009E07EF" w:rsidP="00592DB9">
            <w:pPr>
              <w:pStyle w:val="TableBodyTextcentre"/>
              <w:spacing w:before="40" w:after="40"/>
            </w:pPr>
            <w:r>
              <w:t>45%</w:t>
            </w:r>
          </w:p>
        </w:tc>
        <w:tc>
          <w:tcPr>
            <w:tcW w:w="1806" w:type="dxa"/>
          </w:tcPr>
          <w:p w14:paraId="0A50A80F" w14:textId="70D62BDC" w:rsidR="00E35D17" w:rsidRDefault="00E35D17" w:rsidP="00592DB9">
            <w:pPr>
              <w:pStyle w:val="TableBodyText"/>
              <w:spacing w:before="40" w:after="40"/>
            </w:pPr>
            <w:r>
              <w:t>Female dominated</w:t>
            </w:r>
          </w:p>
        </w:tc>
        <w:tc>
          <w:tcPr>
            <w:tcW w:w="1806" w:type="dxa"/>
          </w:tcPr>
          <w:p w14:paraId="534C0A82" w14:textId="6DEA89F9" w:rsidR="00E35D17" w:rsidRDefault="009E07EF" w:rsidP="00592DB9">
            <w:pPr>
              <w:pStyle w:val="TableBodyTextcentre"/>
              <w:spacing w:before="40" w:after="40"/>
            </w:pPr>
            <w:r>
              <w:t>73%</w:t>
            </w:r>
          </w:p>
        </w:tc>
      </w:tr>
    </w:tbl>
    <w:p w14:paraId="4CB273E3" w14:textId="2850B963" w:rsidR="00260A7A" w:rsidRPr="00260A7A" w:rsidRDefault="00260A7A" w:rsidP="00260A7A">
      <w:pPr>
        <w:pStyle w:val="Source"/>
      </w:pPr>
      <w:r w:rsidRPr="00260A7A">
        <w:t>Source: ABS, Census of Population and Housing, 2006 and 2021</w:t>
      </w:r>
      <w:r w:rsidR="002B0284">
        <w:t>.</w:t>
      </w:r>
    </w:p>
    <w:p w14:paraId="73137B1E" w14:textId="77777777" w:rsidR="00592DB9" w:rsidRDefault="00592DB9">
      <w:pPr>
        <w:spacing w:before="0" w:after="200" w:line="276" w:lineRule="auto"/>
        <w:rPr>
          <w:rFonts w:eastAsia="Times New Roman" w:cs="Arial"/>
          <w:b/>
          <w:color w:val="4B0985"/>
          <w:sz w:val="26"/>
          <w:szCs w:val="26"/>
          <w:lang w:eastAsia="en-AU"/>
        </w:rPr>
      </w:pPr>
      <w:bookmarkStart w:id="17" w:name="_Toc204596286"/>
      <w:r>
        <w:br w:type="page"/>
      </w:r>
    </w:p>
    <w:p w14:paraId="7437B033" w14:textId="10960628" w:rsidR="004840A2" w:rsidRDefault="004840A2" w:rsidP="00B87789">
      <w:pPr>
        <w:pStyle w:val="Heading3"/>
      </w:pPr>
      <w:r>
        <w:lastRenderedPageBreak/>
        <w:t>Changes across the life course - age cohort</w:t>
      </w:r>
      <w:bookmarkEnd w:id="17"/>
    </w:p>
    <w:p w14:paraId="4438F3DB" w14:textId="062F1016" w:rsidR="00FE3C70" w:rsidRDefault="00FE3C70" w:rsidP="0029120E">
      <w:pPr>
        <w:pStyle w:val="Caption"/>
        <w:spacing w:before="240"/>
      </w:pPr>
      <w:r>
        <w:t xml:space="preserve">Figure </w:t>
      </w:r>
      <w:r w:rsidR="00AF4022">
        <w:t>1</w:t>
      </w:r>
      <w:r>
        <w:t>: Age distribution of male, female, and total workforce, 2006</w:t>
      </w:r>
    </w:p>
    <w:p w14:paraId="1F62BB11" w14:textId="5AFE20CB" w:rsidR="004415AB" w:rsidRDefault="004415AB" w:rsidP="00A86E38">
      <w:pPr>
        <w:pStyle w:val="Source"/>
      </w:pPr>
      <w:r w:rsidRPr="004415AB">
        <w:rPr>
          <w:noProof/>
        </w:rPr>
        <w:drawing>
          <wp:inline distT="0" distB="0" distL="0" distR="0" wp14:anchorId="6C37A3C7" wp14:editId="4F3D5C9E">
            <wp:extent cx="5686425" cy="2495550"/>
            <wp:effectExtent l="0" t="0" r="0" b="0"/>
            <wp:docPr id="1543458293" name="Chart 1" descr="This is a bar chart visually representing age distribution of male, female, and total workforce, 20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661705" w:rsidRPr="005974CA">
        <w:t>Source: ABS Census of Population and Housing, 20</w:t>
      </w:r>
      <w:r w:rsidR="00661705">
        <w:t>06</w:t>
      </w:r>
      <w:r w:rsidR="00F0264E">
        <w:t>.</w:t>
      </w:r>
    </w:p>
    <w:p w14:paraId="795642D6" w14:textId="48AA3B6A" w:rsidR="00134B0B" w:rsidRPr="00134B0B" w:rsidRDefault="00134B0B" w:rsidP="00C36F14">
      <w:pPr>
        <w:pStyle w:val="Caption"/>
        <w:spacing w:before="360"/>
      </w:pPr>
      <w:r w:rsidRPr="00134B0B">
        <w:t xml:space="preserve">Figure </w:t>
      </w:r>
      <w:r w:rsidR="00AF4022">
        <w:t>2</w:t>
      </w:r>
      <w:r w:rsidRPr="00134B0B">
        <w:t>: Age distribution of male, female, and total workforce, 2021</w:t>
      </w:r>
    </w:p>
    <w:p w14:paraId="4A088F0A" w14:textId="4FAAE188" w:rsidR="00F0264E" w:rsidRPr="005974CA" w:rsidRDefault="00297425" w:rsidP="00A86E38">
      <w:pPr>
        <w:pStyle w:val="Source"/>
      </w:pPr>
      <w:r w:rsidRPr="00297425">
        <w:rPr>
          <w:noProof/>
        </w:rPr>
        <w:drawing>
          <wp:inline distT="0" distB="0" distL="0" distR="0" wp14:anchorId="7625504B" wp14:editId="21E4B36E">
            <wp:extent cx="5686425" cy="2286000"/>
            <wp:effectExtent l="0" t="0" r="0" b="0"/>
            <wp:docPr id="1100698246" name="Chart 1" descr="This is a bar chart visually representing age distribution of male, female, and total workforce, 2021">
              <a:extLst xmlns:a="http://schemas.openxmlformats.org/drawingml/2006/main">
                <a:ext uri="{FF2B5EF4-FFF2-40B4-BE49-F238E27FC236}">
                  <a16:creationId xmlns:a16="http://schemas.microsoft.com/office/drawing/2014/main" id="{CEC8985D-5799-08A7-EFB4-738C8CB292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F0264E" w:rsidRPr="005974CA">
        <w:t>Source: ABS Census of Population and Housing, 2021.</w:t>
      </w:r>
    </w:p>
    <w:p w14:paraId="4367E4D6" w14:textId="77777777" w:rsidR="0029120E" w:rsidRDefault="0029120E">
      <w:pPr>
        <w:spacing w:before="0" w:after="200" w:line="276" w:lineRule="auto"/>
        <w:rPr>
          <w:b/>
          <w:bCs/>
          <w:color w:val="012749"/>
          <w:sz w:val="18"/>
          <w:szCs w:val="18"/>
        </w:rPr>
      </w:pPr>
      <w:r>
        <w:br w:type="page"/>
      </w:r>
    </w:p>
    <w:p w14:paraId="2496054E" w14:textId="55200377" w:rsidR="00B35D83" w:rsidRDefault="00B35D83" w:rsidP="0029120E">
      <w:pPr>
        <w:pStyle w:val="Caption"/>
        <w:spacing w:before="360"/>
      </w:pPr>
      <w:r>
        <w:lastRenderedPageBreak/>
        <w:t xml:space="preserve">Table </w:t>
      </w:r>
      <w:r w:rsidR="00E40547">
        <w:t>6</w:t>
      </w:r>
      <w:r>
        <w:t xml:space="preserve">: Shifts in ANZSCO </w:t>
      </w:r>
      <w:r w:rsidR="00853F78">
        <w:t>4-digit</w:t>
      </w:r>
      <w:r>
        <w:t xml:space="preserve"> occupation gender segregation </w:t>
      </w:r>
      <w:r w:rsidR="00F33B11">
        <w:t>intensity</w:t>
      </w:r>
      <w:r>
        <w:t xml:space="preserve"> by age group from 2006 to 2021</w:t>
      </w:r>
    </w:p>
    <w:tbl>
      <w:tblPr>
        <w:tblStyle w:val="CustomTablebasic"/>
        <w:tblW w:w="0" w:type="auto"/>
        <w:tblLook w:val="00A0" w:firstRow="1" w:lastRow="0" w:firstColumn="1" w:lastColumn="0" w:noHBand="0" w:noVBand="0"/>
      </w:tblPr>
      <w:tblGrid>
        <w:gridCol w:w="1276"/>
        <w:gridCol w:w="2835"/>
        <w:gridCol w:w="1985"/>
        <w:gridCol w:w="1984"/>
        <w:gridCol w:w="947"/>
      </w:tblGrid>
      <w:tr w:rsidR="00B35D83" w14:paraId="2ACC1035" w14:textId="77777777" w:rsidTr="00891965">
        <w:trPr>
          <w:cnfStyle w:val="100000000000" w:firstRow="1" w:lastRow="0" w:firstColumn="0" w:lastColumn="0" w:oddVBand="0" w:evenVBand="0" w:oddHBand="0" w:evenHBand="0" w:firstRowFirstColumn="0" w:firstRowLastColumn="0" w:lastRowFirstColumn="0" w:lastRowLastColumn="0"/>
        </w:trPr>
        <w:tc>
          <w:tcPr>
            <w:tcW w:w="1276" w:type="dxa"/>
          </w:tcPr>
          <w:p w14:paraId="2A5646B9" w14:textId="77777777" w:rsidR="00B35D83" w:rsidRPr="00B35D83" w:rsidRDefault="00B35D83" w:rsidP="00B35D83">
            <w:pPr>
              <w:pStyle w:val="TableHeading1"/>
            </w:pPr>
            <w:r>
              <w:t>A</w:t>
            </w:r>
            <w:r w:rsidRPr="00B35D83">
              <w:t>ge cohort</w:t>
            </w:r>
          </w:p>
        </w:tc>
        <w:tc>
          <w:tcPr>
            <w:tcW w:w="2835" w:type="dxa"/>
          </w:tcPr>
          <w:p w14:paraId="4AE3E253" w14:textId="6980EF7B" w:rsidR="00B35D83" w:rsidRPr="00B35D83" w:rsidRDefault="00B35D83" w:rsidP="00B35D83">
            <w:pPr>
              <w:pStyle w:val="TableHeading1"/>
            </w:pPr>
            <w:r>
              <w:t>G</w:t>
            </w:r>
            <w:r w:rsidRPr="00B35D83">
              <w:t>ender segregation</w:t>
            </w:r>
            <w:r w:rsidR="00C52D85">
              <w:t xml:space="preserve"> intensity</w:t>
            </w:r>
          </w:p>
        </w:tc>
        <w:tc>
          <w:tcPr>
            <w:tcW w:w="1985" w:type="dxa"/>
          </w:tcPr>
          <w:p w14:paraId="236E700F" w14:textId="77777777" w:rsidR="00B35D83" w:rsidRPr="00B35D83" w:rsidRDefault="00B35D83" w:rsidP="00B35D83">
            <w:pPr>
              <w:pStyle w:val="TableHeading1"/>
            </w:pPr>
            <w:r>
              <w:t>O</w:t>
            </w:r>
            <w:r w:rsidRPr="00B35D83">
              <w:t>ccupation count (Census '06)</w:t>
            </w:r>
          </w:p>
        </w:tc>
        <w:tc>
          <w:tcPr>
            <w:tcW w:w="1984" w:type="dxa"/>
          </w:tcPr>
          <w:p w14:paraId="5ECDA41F" w14:textId="77777777" w:rsidR="00B35D83" w:rsidRPr="00B35D83" w:rsidRDefault="00B35D83" w:rsidP="00B35D83">
            <w:pPr>
              <w:pStyle w:val="TableHeading1"/>
            </w:pPr>
            <w:r>
              <w:t>O</w:t>
            </w:r>
            <w:r w:rsidRPr="00B35D83">
              <w:t>ccupation count (Census '21)</w:t>
            </w:r>
          </w:p>
        </w:tc>
        <w:tc>
          <w:tcPr>
            <w:tcW w:w="947" w:type="dxa"/>
          </w:tcPr>
          <w:p w14:paraId="121E2DB4" w14:textId="77777777" w:rsidR="00B35D83" w:rsidRPr="00B35D83" w:rsidRDefault="00B35D83" w:rsidP="00B35D83">
            <w:pPr>
              <w:pStyle w:val="TableHeading1"/>
            </w:pPr>
            <w:r>
              <w:t>%</w:t>
            </w:r>
            <w:r w:rsidRPr="00B35D83">
              <w:t xml:space="preserve"> change</w:t>
            </w:r>
          </w:p>
        </w:tc>
      </w:tr>
      <w:tr w:rsidR="00B35D83" w14:paraId="6F55E071" w14:textId="77777777" w:rsidTr="00891965">
        <w:tc>
          <w:tcPr>
            <w:tcW w:w="1276" w:type="dxa"/>
            <w:vMerge w:val="restart"/>
          </w:tcPr>
          <w:p w14:paraId="71969578" w14:textId="77777777" w:rsidR="00B35D83" w:rsidRPr="00B35D83" w:rsidRDefault="00B35D83" w:rsidP="00B35D83">
            <w:pPr>
              <w:pStyle w:val="TableHeading1"/>
            </w:pPr>
            <w:r>
              <w:t>1</w:t>
            </w:r>
            <w:r w:rsidRPr="00B35D83">
              <w:t>5 - 24</w:t>
            </w:r>
          </w:p>
        </w:tc>
        <w:tc>
          <w:tcPr>
            <w:tcW w:w="2835" w:type="dxa"/>
          </w:tcPr>
          <w:p w14:paraId="38F12317" w14:textId="77777777" w:rsidR="00B35D83" w:rsidRPr="00B35D83" w:rsidRDefault="00B35D83" w:rsidP="00B35D83">
            <w:pPr>
              <w:pStyle w:val="TableHeading1"/>
            </w:pPr>
            <w:r>
              <w:t>G</w:t>
            </w:r>
            <w:r w:rsidRPr="00B35D83">
              <w:t>ender balanced</w:t>
            </w:r>
          </w:p>
        </w:tc>
        <w:tc>
          <w:tcPr>
            <w:tcW w:w="1985" w:type="dxa"/>
          </w:tcPr>
          <w:p w14:paraId="15DC04FF" w14:textId="77777777" w:rsidR="00B35D83" w:rsidRPr="00B35D83" w:rsidRDefault="00B35D83" w:rsidP="005B6FE2">
            <w:pPr>
              <w:pStyle w:val="TableBodyTextcentre"/>
            </w:pPr>
            <w:r>
              <w:t>2</w:t>
            </w:r>
            <w:r w:rsidRPr="00B35D83">
              <w:t>0%</w:t>
            </w:r>
          </w:p>
        </w:tc>
        <w:tc>
          <w:tcPr>
            <w:tcW w:w="1984" w:type="dxa"/>
          </w:tcPr>
          <w:p w14:paraId="34B863BC" w14:textId="77777777" w:rsidR="00B35D83" w:rsidRPr="00B35D83" w:rsidRDefault="00B35D83" w:rsidP="005B6FE2">
            <w:pPr>
              <w:pStyle w:val="TableBodyTextcentre"/>
            </w:pPr>
            <w:r>
              <w:t>2</w:t>
            </w:r>
            <w:r w:rsidRPr="00B35D83">
              <w:t>2%</w:t>
            </w:r>
          </w:p>
        </w:tc>
        <w:tc>
          <w:tcPr>
            <w:tcW w:w="947" w:type="dxa"/>
          </w:tcPr>
          <w:p w14:paraId="20D6E683" w14:textId="77777777" w:rsidR="00B35D83" w:rsidRPr="00B35D83" w:rsidRDefault="00B35D83" w:rsidP="005B6FE2">
            <w:pPr>
              <w:pStyle w:val="TableBodyTextcentre"/>
            </w:pPr>
            <w:r>
              <w:t>2</w:t>
            </w:r>
            <w:r w:rsidRPr="00B35D83">
              <w:t>%</w:t>
            </w:r>
          </w:p>
        </w:tc>
      </w:tr>
      <w:tr w:rsidR="00E06A60" w14:paraId="0A5396DF"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4C903960" w14:textId="77777777" w:rsidR="00B35D83" w:rsidRDefault="00B35D83" w:rsidP="00B35D83">
            <w:pPr>
              <w:pStyle w:val="TableHeading1"/>
            </w:pPr>
          </w:p>
        </w:tc>
        <w:tc>
          <w:tcPr>
            <w:tcW w:w="2835" w:type="dxa"/>
          </w:tcPr>
          <w:p w14:paraId="53F5E81F" w14:textId="67B43750" w:rsidR="00B35D83" w:rsidRPr="00B35D83" w:rsidRDefault="00115C89" w:rsidP="00B35D83">
            <w:pPr>
              <w:pStyle w:val="TableHeading1"/>
            </w:pPr>
            <w:r>
              <w:t>Moderately m</w:t>
            </w:r>
            <w:r w:rsidR="00B35D83" w:rsidRPr="00B35D83">
              <w:t>ale or female dominated</w:t>
            </w:r>
          </w:p>
        </w:tc>
        <w:tc>
          <w:tcPr>
            <w:tcW w:w="1985" w:type="dxa"/>
          </w:tcPr>
          <w:p w14:paraId="1BD6DBB5" w14:textId="77777777" w:rsidR="00B35D83" w:rsidRPr="00B35D83" w:rsidRDefault="00B35D83" w:rsidP="005B6FE2">
            <w:pPr>
              <w:pStyle w:val="TableBodyTextcentre"/>
            </w:pPr>
            <w:r>
              <w:t>2</w:t>
            </w:r>
            <w:r w:rsidRPr="00B35D83">
              <w:t>7%</w:t>
            </w:r>
          </w:p>
        </w:tc>
        <w:tc>
          <w:tcPr>
            <w:tcW w:w="1984" w:type="dxa"/>
          </w:tcPr>
          <w:p w14:paraId="1CB77E8E" w14:textId="77777777" w:rsidR="00B35D83" w:rsidRPr="00B35D83" w:rsidRDefault="00B35D83" w:rsidP="005B6FE2">
            <w:pPr>
              <w:pStyle w:val="TableBodyTextcentre"/>
            </w:pPr>
            <w:r>
              <w:t>3</w:t>
            </w:r>
            <w:r w:rsidRPr="00B35D83">
              <w:t>5%</w:t>
            </w:r>
          </w:p>
        </w:tc>
        <w:tc>
          <w:tcPr>
            <w:tcW w:w="947" w:type="dxa"/>
          </w:tcPr>
          <w:p w14:paraId="467ED238" w14:textId="77777777" w:rsidR="00B35D83" w:rsidRPr="00B35D83" w:rsidRDefault="00B35D83" w:rsidP="005B6FE2">
            <w:pPr>
              <w:pStyle w:val="TableBodyTextcentre"/>
            </w:pPr>
            <w:r>
              <w:t>8</w:t>
            </w:r>
            <w:r w:rsidRPr="00B35D83">
              <w:t>%</w:t>
            </w:r>
          </w:p>
        </w:tc>
      </w:tr>
      <w:tr w:rsidR="00B35D83" w14:paraId="7CEFA31B" w14:textId="77777777" w:rsidTr="00891965">
        <w:tc>
          <w:tcPr>
            <w:tcW w:w="1276" w:type="dxa"/>
            <w:vMerge/>
          </w:tcPr>
          <w:p w14:paraId="43CFAB66" w14:textId="77777777" w:rsidR="00B35D83" w:rsidRDefault="00B35D83" w:rsidP="00B35D83">
            <w:pPr>
              <w:pStyle w:val="TableHeading1"/>
            </w:pPr>
          </w:p>
        </w:tc>
        <w:tc>
          <w:tcPr>
            <w:tcW w:w="2835" w:type="dxa"/>
          </w:tcPr>
          <w:p w14:paraId="10EF3F59" w14:textId="77777777" w:rsidR="00B35D83" w:rsidRPr="00B35D83" w:rsidRDefault="00B35D83" w:rsidP="00B35D83">
            <w:pPr>
              <w:pStyle w:val="TableHeading1"/>
            </w:pPr>
            <w:r>
              <w:t>H</w:t>
            </w:r>
            <w:r w:rsidRPr="00B35D83">
              <w:t>ighly male or female dominated</w:t>
            </w:r>
          </w:p>
        </w:tc>
        <w:tc>
          <w:tcPr>
            <w:tcW w:w="1985" w:type="dxa"/>
          </w:tcPr>
          <w:p w14:paraId="455E0443" w14:textId="77777777" w:rsidR="00B35D83" w:rsidRPr="00B35D83" w:rsidRDefault="00B35D83" w:rsidP="005B6FE2">
            <w:pPr>
              <w:pStyle w:val="TableBodyTextcentre"/>
            </w:pPr>
            <w:r>
              <w:t>2</w:t>
            </w:r>
            <w:r w:rsidRPr="00B35D83">
              <w:t>7%</w:t>
            </w:r>
          </w:p>
        </w:tc>
        <w:tc>
          <w:tcPr>
            <w:tcW w:w="1984" w:type="dxa"/>
          </w:tcPr>
          <w:p w14:paraId="42D64A64" w14:textId="77777777" w:rsidR="00B35D83" w:rsidRPr="00B35D83" w:rsidRDefault="00B35D83" w:rsidP="005B6FE2">
            <w:pPr>
              <w:pStyle w:val="TableBodyTextcentre"/>
            </w:pPr>
            <w:r>
              <w:t>2</w:t>
            </w:r>
            <w:r w:rsidRPr="00B35D83">
              <w:t>6%</w:t>
            </w:r>
          </w:p>
        </w:tc>
        <w:tc>
          <w:tcPr>
            <w:tcW w:w="947" w:type="dxa"/>
          </w:tcPr>
          <w:p w14:paraId="31F0C62E" w14:textId="77777777" w:rsidR="00B35D83" w:rsidRPr="00B35D83" w:rsidRDefault="00B35D83" w:rsidP="005B6FE2">
            <w:pPr>
              <w:pStyle w:val="TableBodyTextcentre"/>
            </w:pPr>
            <w:r>
              <w:t>-</w:t>
            </w:r>
            <w:r w:rsidRPr="00B35D83">
              <w:t>1%</w:t>
            </w:r>
          </w:p>
        </w:tc>
      </w:tr>
      <w:tr w:rsidR="00E06A60" w14:paraId="0877DE8F"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10513F31" w14:textId="77777777" w:rsidR="00B35D83" w:rsidRDefault="00B35D83" w:rsidP="00B35D83">
            <w:pPr>
              <w:pStyle w:val="TableHeading1"/>
            </w:pPr>
          </w:p>
        </w:tc>
        <w:tc>
          <w:tcPr>
            <w:tcW w:w="2835" w:type="dxa"/>
          </w:tcPr>
          <w:p w14:paraId="17F2025C" w14:textId="77777777" w:rsidR="00B35D83" w:rsidRPr="00B35D83" w:rsidRDefault="00B35D83" w:rsidP="00B35D83">
            <w:pPr>
              <w:pStyle w:val="TableHeading1"/>
            </w:pPr>
            <w:r>
              <w:t>A</w:t>
            </w:r>
            <w:r w:rsidRPr="00B35D83">
              <w:t>lmost completely male or female dominated</w:t>
            </w:r>
          </w:p>
        </w:tc>
        <w:tc>
          <w:tcPr>
            <w:tcW w:w="1985" w:type="dxa"/>
          </w:tcPr>
          <w:p w14:paraId="3A5148CE" w14:textId="77777777" w:rsidR="00B35D83" w:rsidRPr="00B35D83" w:rsidRDefault="00B35D83" w:rsidP="005B6FE2">
            <w:pPr>
              <w:pStyle w:val="TableBodyTextcentre"/>
            </w:pPr>
            <w:r>
              <w:t>2</w:t>
            </w:r>
            <w:r w:rsidRPr="00B35D83">
              <w:t>6%</w:t>
            </w:r>
          </w:p>
        </w:tc>
        <w:tc>
          <w:tcPr>
            <w:tcW w:w="1984" w:type="dxa"/>
          </w:tcPr>
          <w:p w14:paraId="5B62E851" w14:textId="77777777" w:rsidR="00B35D83" w:rsidRPr="00B35D83" w:rsidRDefault="00B35D83" w:rsidP="005B6FE2">
            <w:pPr>
              <w:pStyle w:val="TableBodyTextcentre"/>
            </w:pPr>
            <w:r>
              <w:t>1</w:t>
            </w:r>
            <w:r w:rsidRPr="00B35D83">
              <w:t>8%</w:t>
            </w:r>
          </w:p>
        </w:tc>
        <w:tc>
          <w:tcPr>
            <w:tcW w:w="947" w:type="dxa"/>
          </w:tcPr>
          <w:p w14:paraId="7C775153" w14:textId="77777777" w:rsidR="00B35D83" w:rsidRPr="00B35D83" w:rsidRDefault="00B35D83" w:rsidP="005B6FE2">
            <w:pPr>
              <w:pStyle w:val="TableBodyTextcentre"/>
            </w:pPr>
            <w:r>
              <w:t>-</w:t>
            </w:r>
            <w:r w:rsidRPr="00B35D83">
              <w:t>8%</w:t>
            </w:r>
          </w:p>
        </w:tc>
      </w:tr>
      <w:tr w:rsidR="00B35D83" w14:paraId="67F93BA8" w14:textId="77777777" w:rsidTr="00891965">
        <w:tc>
          <w:tcPr>
            <w:tcW w:w="1276" w:type="dxa"/>
            <w:vMerge w:val="restart"/>
          </w:tcPr>
          <w:p w14:paraId="79A1BBBC" w14:textId="77777777" w:rsidR="00B35D83" w:rsidRPr="00B35D83" w:rsidRDefault="00B35D83" w:rsidP="00B35D83">
            <w:pPr>
              <w:pStyle w:val="TableHeading1"/>
            </w:pPr>
            <w:r>
              <w:t>2</w:t>
            </w:r>
            <w:r w:rsidRPr="00B35D83">
              <w:t>5 - 39</w:t>
            </w:r>
          </w:p>
        </w:tc>
        <w:tc>
          <w:tcPr>
            <w:tcW w:w="2835" w:type="dxa"/>
          </w:tcPr>
          <w:p w14:paraId="4CAC0672" w14:textId="77777777" w:rsidR="00B35D83" w:rsidRPr="00B35D83" w:rsidRDefault="00B35D83" w:rsidP="00B35D83">
            <w:pPr>
              <w:pStyle w:val="TableHeading1"/>
            </w:pPr>
            <w:r>
              <w:t>G</w:t>
            </w:r>
            <w:r w:rsidRPr="00B35D83">
              <w:t>ender balanced</w:t>
            </w:r>
          </w:p>
        </w:tc>
        <w:tc>
          <w:tcPr>
            <w:tcW w:w="1985" w:type="dxa"/>
          </w:tcPr>
          <w:p w14:paraId="7E8013A9" w14:textId="77777777" w:rsidR="00B35D83" w:rsidRPr="00B35D83" w:rsidRDefault="00B35D83" w:rsidP="005B6FE2">
            <w:pPr>
              <w:pStyle w:val="TableBodyTextcentre"/>
            </w:pPr>
            <w:r>
              <w:t>1</w:t>
            </w:r>
            <w:r w:rsidRPr="00B35D83">
              <w:t>9%</w:t>
            </w:r>
          </w:p>
        </w:tc>
        <w:tc>
          <w:tcPr>
            <w:tcW w:w="1984" w:type="dxa"/>
          </w:tcPr>
          <w:p w14:paraId="127F28D8" w14:textId="77777777" w:rsidR="00B35D83" w:rsidRPr="00B35D83" w:rsidRDefault="00B35D83" w:rsidP="005B6FE2">
            <w:pPr>
              <w:pStyle w:val="TableBodyTextcentre"/>
            </w:pPr>
            <w:r>
              <w:t>2</w:t>
            </w:r>
            <w:r w:rsidRPr="00B35D83">
              <w:t>2%</w:t>
            </w:r>
          </w:p>
        </w:tc>
        <w:tc>
          <w:tcPr>
            <w:tcW w:w="947" w:type="dxa"/>
          </w:tcPr>
          <w:p w14:paraId="334E900E" w14:textId="77777777" w:rsidR="00B35D83" w:rsidRPr="00B35D83" w:rsidRDefault="00B35D83" w:rsidP="005B6FE2">
            <w:pPr>
              <w:pStyle w:val="TableBodyTextcentre"/>
            </w:pPr>
            <w:r>
              <w:t>3</w:t>
            </w:r>
            <w:r w:rsidRPr="00B35D83">
              <w:t>%</w:t>
            </w:r>
          </w:p>
        </w:tc>
      </w:tr>
      <w:tr w:rsidR="00E06A60" w14:paraId="57CF5268"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5F727C50" w14:textId="77777777" w:rsidR="00B35D83" w:rsidRDefault="00B35D83" w:rsidP="00B35D83">
            <w:pPr>
              <w:pStyle w:val="TableHeading1"/>
            </w:pPr>
          </w:p>
        </w:tc>
        <w:tc>
          <w:tcPr>
            <w:tcW w:w="2835" w:type="dxa"/>
          </w:tcPr>
          <w:p w14:paraId="4617F290" w14:textId="76180DDF" w:rsidR="00B35D83" w:rsidRPr="00B35D83" w:rsidRDefault="00115C89" w:rsidP="00B35D83">
            <w:pPr>
              <w:pStyle w:val="TableHeading1"/>
            </w:pPr>
            <w:r>
              <w:t>Moderately</w:t>
            </w:r>
            <w:r w:rsidRPr="00115C89">
              <w:t xml:space="preserve"> </w:t>
            </w:r>
            <w:r>
              <w:t>m</w:t>
            </w:r>
            <w:r w:rsidR="00B35D83" w:rsidRPr="00B35D83">
              <w:t>ale or female dominated</w:t>
            </w:r>
          </w:p>
        </w:tc>
        <w:tc>
          <w:tcPr>
            <w:tcW w:w="1985" w:type="dxa"/>
          </w:tcPr>
          <w:p w14:paraId="1FC14E90" w14:textId="77777777" w:rsidR="00B35D83" w:rsidRPr="00B35D83" w:rsidRDefault="00B35D83" w:rsidP="005B6FE2">
            <w:pPr>
              <w:pStyle w:val="TableBodyTextcentre"/>
            </w:pPr>
            <w:r>
              <w:t>2</w:t>
            </w:r>
            <w:r w:rsidRPr="00B35D83">
              <w:t>7%</w:t>
            </w:r>
          </w:p>
        </w:tc>
        <w:tc>
          <w:tcPr>
            <w:tcW w:w="1984" w:type="dxa"/>
          </w:tcPr>
          <w:p w14:paraId="55EFB264" w14:textId="77777777" w:rsidR="00B35D83" w:rsidRPr="00B35D83" w:rsidRDefault="00B35D83" w:rsidP="005B6FE2">
            <w:pPr>
              <w:pStyle w:val="TableBodyTextcentre"/>
            </w:pPr>
            <w:r>
              <w:t>2</w:t>
            </w:r>
            <w:r w:rsidRPr="00B35D83">
              <w:t>7%</w:t>
            </w:r>
          </w:p>
        </w:tc>
        <w:tc>
          <w:tcPr>
            <w:tcW w:w="947" w:type="dxa"/>
          </w:tcPr>
          <w:p w14:paraId="679B9C7D" w14:textId="77777777" w:rsidR="00B35D83" w:rsidRPr="00B35D83" w:rsidRDefault="00B35D83" w:rsidP="005B6FE2">
            <w:pPr>
              <w:pStyle w:val="TableBodyTextcentre"/>
            </w:pPr>
            <w:r>
              <w:t>N</w:t>
            </w:r>
            <w:r w:rsidRPr="00B35D83">
              <w:t>o change</w:t>
            </w:r>
          </w:p>
        </w:tc>
      </w:tr>
      <w:tr w:rsidR="00B35D83" w14:paraId="23E44ADE" w14:textId="77777777" w:rsidTr="00891965">
        <w:tc>
          <w:tcPr>
            <w:tcW w:w="1276" w:type="dxa"/>
            <w:vMerge/>
          </w:tcPr>
          <w:p w14:paraId="4799484E" w14:textId="77777777" w:rsidR="00B35D83" w:rsidRDefault="00B35D83" w:rsidP="00B35D83">
            <w:pPr>
              <w:pStyle w:val="TableHeading1"/>
            </w:pPr>
          </w:p>
        </w:tc>
        <w:tc>
          <w:tcPr>
            <w:tcW w:w="2835" w:type="dxa"/>
          </w:tcPr>
          <w:p w14:paraId="5E77C116" w14:textId="77777777" w:rsidR="00B35D83" w:rsidRPr="00B35D83" w:rsidRDefault="00B35D83" w:rsidP="00B35D83">
            <w:pPr>
              <w:pStyle w:val="TableHeading1"/>
            </w:pPr>
            <w:r>
              <w:t>H</w:t>
            </w:r>
            <w:r w:rsidRPr="00B35D83">
              <w:t>ighly male or female dominated</w:t>
            </w:r>
          </w:p>
        </w:tc>
        <w:tc>
          <w:tcPr>
            <w:tcW w:w="1985" w:type="dxa"/>
          </w:tcPr>
          <w:p w14:paraId="33374049" w14:textId="77777777" w:rsidR="00B35D83" w:rsidRPr="00B35D83" w:rsidRDefault="00B35D83" w:rsidP="005B6FE2">
            <w:pPr>
              <w:pStyle w:val="TableBodyTextcentre"/>
            </w:pPr>
            <w:r>
              <w:t>2</w:t>
            </w:r>
            <w:r w:rsidRPr="00B35D83">
              <w:t>8%</w:t>
            </w:r>
          </w:p>
        </w:tc>
        <w:tc>
          <w:tcPr>
            <w:tcW w:w="1984" w:type="dxa"/>
          </w:tcPr>
          <w:p w14:paraId="69A9FB72" w14:textId="77777777" w:rsidR="00B35D83" w:rsidRPr="00B35D83" w:rsidRDefault="00B35D83" w:rsidP="005B6FE2">
            <w:pPr>
              <w:pStyle w:val="TableBodyTextcentre"/>
            </w:pPr>
            <w:r>
              <w:t>3</w:t>
            </w:r>
            <w:r w:rsidRPr="00B35D83">
              <w:t>0%</w:t>
            </w:r>
          </w:p>
        </w:tc>
        <w:tc>
          <w:tcPr>
            <w:tcW w:w="947" w:type="dxa"/>
          </w:tcPr>
          <w:p w14:paraId="392036D5" w14:textId="77777777" w:rsidR="00B35D83" w:rsidRPr="00B35D83" w:rsidRDefault="00B35D83" w:rsidP="005B6FE2">
            <w:pPr>
              <w:pStyle w:val="TableBodyTextcentre"/>
            </w:pPr>
            <w:r>
              <w:t>2</w:t>
            </w:r>
            <w:r w:rsidRPr="00B35D83">
              <w:t>%</w:t>
            </w:r>
          </w:p>
        </w:tc>
      </w:tr>
      <w:tr w:rsidR="00E06A60" w14:paraId="287E4684"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0818F70D" w14:textId="77777777" w:rsidR="00B35D83" w:rsidRDefault="00B35D83" w:rsidP="00B35D83">
            <w:pPr>
              <w:pStyle w:val="TableHeading1"/>
            </w:pPr>
          </w:p>
        </w:tc>
        <w:tc>
          <w:tcPr>
            <w:tcW w:w="2835" w:type="dxa"/>
          </w:tcPr>
          <w:p w14:paraId="40CA5D61" w14:textId="77777777" w:rsidR="00B35D83" w:rsidRPr="00B35D83" w:rsidRDefault="00B35D83" w:rsidP="00B35D83">
            <w:pPr>
              <w:pStyle w:val="TableHeading1"/>
            </w:pPr>
            <w:r>
              <w:t>A</w:t>
            </w:r>
            <w:r w:rsidRPr="00B35D83">
              <w:t>lmost completely male or female dominated</w:t>
            </w:r>
          </w:p>
        </w:tc>
        <w:tc>
          <w:tcPr>
            <w:tcW w:w="1985" w:type="dxa"/>
          </w:tcPr>
          <w:p w14:paraId="2E6D19CC" w14:textId="77777777" w:rsidR="00B35D83" w:rsidRPr="00B35D83" w:rsidRDefault="00B35D83" w:rsidP="005B6FE2">
            <w:pPr>
              <w:pStyle w:val="TableBodyTextcentre"/>
            </w:pPr>
            <w:r>
              <w:t>2</w:t>
            </w:r>
            <w:r w:rsidRPr="00B35D83">
              <w:t>5%</w:t>
            </w:r>
          </w:p>
        </w:tc>
        <w:tc>
          <w:tcPr>
            <w:tcW w:w="1984" w:type="dxa"/>
          </w:tcPr>
          <w:p w14:paraId="2A836C7F" w14:textId="77777777" w:rsidR="00B35D83" w:rsidRPr="00B35D83" w:rsidRDefault="00B35D83" w:rsidP="005B6FE2">
            <w:pPr>
              <w:pStyle w:val="TableBodyTextcentre"/>
            </w:pPr>
            <w:r>
              <w:t>2</w:t>
            </w:r>
            <w:r w:rsidRPr="00B35D83">
              <w:t>1%</w:t>
            </w:r>
          </w:p>
        </w:tc>
        <w:tc>
          <w:tcPr>
            <w:tcW w:w="947" w:type="dxa"/>
          </w:tcPr>
          <w:p w14:paraId="0EE5FF42" w14:textId="77777777" w:rsidR="00B35D83" w:rsidRPr="00B35D83" w:rsidRDefault="00B35D83" w:rsidP="005B6FE2">
            <w:pPr>
              <w:pStyle w:val="TableBodyTextcentre"/>
            </w:pPr>
            <w:r>
              <w:t>-</w:t>
            </w:r>
            <w:r w:rsidRPr="00B35D83">
              <w:t>4%</w:t>
            </w:r>
          </w:p>
        </w:tc>
      </w:tr>
      <w:tr w:rsidR="00B35D83" w14:paraId="65F5D670" w14:textId="77777777" w:rsidTr="00891965">
        <w:tc>
          <w:tcPr>
            <w:tcW w:w="1276" w:type="dxa"/>
            <w:vMerge w:val="restart"/>
          </w:tcPr>
          <w:p w14:paraId="0F6410FF" w14:textId="77777777" w:rsidR="00B35D83" w:rsidRPr="00B35D83" w:rsidRDefault="00B35D83" w:rsidP="00B35D83">
            <w:pPr>
              <w:pStyle w:val="TableHeading1"/>
            </w:pPr>
            <w:r>
              <w:t>4</w:t>
            </w:r>
            <w:r w:rsidRPr="00B35D83">
              <w:t>0 - 54</w:t>
            </w:r>
          </w:p>
        </w:tc>
        <w:tc>
          <w:tcPr>
            <w:tcW w:w="2835" w:type="dxa"/>
          </w:tcPr>
          <w:p w14:paraId="0CECAE5A" w14:textId="77777777" w:rsidR="00B35D83" w:rsidRPr="00B35D83" w:rsidRDefault="00B35D83" w:rsidP="00B35D83">
            <w:pPr>
              <w:pStyle w:val="TableHeading1"/>
            </w:pPr>
            <w:r>
              <w:t>G</w:t>
            </w:r>
            <w:r w:rsidRPr="00B35D83">
              <w:t>ender balanced</w:t>
            </w:r>
          </w:p>
        </w:tc>
        <w:tc>
          <w:tcPr>
            <w:tcW w:w="1985" w:type="dxa"/>
          </w:tcPr>
          <w:p w14:paraId="6EE97082" w14:textId="77777777" w:rsidR="00B35D83" w:rsidRPr="00B35D83" w:rsidRDefault="00B35D83" w:rsidP="005B6FE2">
            <w:pPr>
              <w:pStyle w:val="TableBodyTextcentre"/>
            </w:pPr>
            <w:r>
              <w:t>1</w:t>
            </w:r>
            <w:r w:rsidRPr="00B35D83">
              <w:t>5%</w:t>
            </w:r>
          </w:p>
        </w:tc>
        <w:tc>
          <w:tcPr>
            <w:tcW w:w="1984" w:type="dxa"/>
          </w:tcPr>
          <w:p w14:paraId="0C8E25D0" w14:textId="77777777" w:rsidR="00B35D83" w:rsidRPr="00B35D83" w:rsidRDefault="00B35D83" w:rsidP="005B6FE2">
            <w:pPr>
              <w:pStyle w:val="TableBodyTextcentre"/>
            </w:pPr>
            <w:r>
              <w:t>1</w:t>
            </w:r>
            <w:r w:rsidRPr="00B35D83">
              <w:t>8%</w:t>
            </w:r>
          </w:p>
        </w:tc>
        <w:tc>
          <w:tcPr>
            <w:tcW w:w="947" w:type="dxa"/>
          </w:tcPr>
          <w:p w14:paraId="444D5655" w14:textId="77777777" w:rsidR="00B35D83" w:rsidRPr="00B35D83" w:rsidRDefault="00B35D83" w:rsidP="005B6FE2">
            <w:pPr>
              <w:pStyle w:val="TableBodyTextcentre"/>
            </w:pPr>
            <w:r>
              <w:t>3</w:t>
            </w:r>
            <w:r w:rsidRPr="00B35D83">
              <w:t>%</w:t>
            </w:r>
          </w:p>
        </w:tc>
      </w:tr>
      <w:tr w:rsidR="00E06A60" w14:paraId="101F91C5"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2330858B" w14:textId="77777777" w:rsidR="00B35D83" w:rsidRDefault="00B35D83" w:rsidP="00B35D83">
            <w:pPr>
              <w:pStyle w:val="TableHeading1"/>
            </w:pPr>
          </w:p>
        </w:tc>
        <w:tc>
          <w:tcPr>
            <w:tcW w:w="2835" w:type="dxa"/>
          </w:tcPr>
          <w:p w14:paraId="177FECD5" w14:textId="71505EC5" w:rsidR="00B35D83" w:rsidRPr="00B35D83" w:rsidRDefault="00D94EFE" w:rsidP="00B35D83">
            <w:pPr>
              <w:pStyle w:val="TableHeading1"/>
            </w:pPr>
            <w:r>
              <w:t>Moderately</w:t>
            </w:r>
            <w:r w:rsidRPr="00D94EFE">
              <w:t xml:space="preserve"> </w:t>
            </w:r>
            <w:r>
              <w:t>m</w:t>
            </w:r>
            <w:r w:rsidR="00B35D83" w:rsidRPr="00B35D83">
              <w:t>ale or female dominated</w:t>
            </w:r>
          </w:p>
        </w:tc>
        <w:tc>
          <w:tcPr>
            <w:tcW w:w="1985" w:type="dxa"/>
          </w:tcPr>
          <w:p w14:paraId="21AD57DC" w14:textId="77777777" w:rsidR="00B35D83" w:rsidRPr="00B35D83" w:rsidRDefault="00B35D83" w:rsidP="005B6FE2">
            <w:pPr>
              <w:pStyle w:val="TableBodyTextcentre"/>
            </w:pPr>
            <w:r>
              <w:t>2</w:t>
            </w:r>
            <w:r w:rsidRPr="00B35D83">
              <w:t>7%</w:t>
            </w:r>
          </w:p>
        </w:tc>
        <w:tc>
          <w:tcPr>
            <w:tcW w:w="1984" w:type="dxa"/>
          </w:tcPr>
          <w:p w14:paraId="12105A68" w14:textId="77777777" w:rsidR="00B35D83" w:rsidRPr="00B35D83" w:rsidRDefault="00B35D83" w:rsidP="005B6FE2">
            <w:pPr>
              <w:pStyle w:val="TableBodyTextcentre"/>
            </w:pPr>
            <w:r>
              <w:t>2</w:t>
            </w:r>
            <w:r w:rsidRPr="00B35D83">
              <w:t>9%</w:t>
            </w:r>
          </w:p>
        </w:tc>
        <w:tc>
          <w:tcPr>
            <w:tcW w:w="947" w:type="dxa"/>
          </w:tcPr>
          <w:p w14:paraId="18690633" w14:textId="77777777" w:rsidR="00B35D83" w:rsidRPr="00B35D83" w:rsidRDefault="00B35D83" w:rsidP="005B6FE2">
            <w:pPr>
              <w:pStyle w:val="TableBodyTextcentre"/>
            </w:pPr>
            <w:r>
              <w:t>2</w:t>
            </w:r>
            <w:r w:rsidRPr="00B35D83">
              <w:t>%</w:t>
            </w:r>
          </w:p>
        </w:tc>
      </w:tr>
      <w:tr w:rsidR="00B35D83" w14:paraId="4206C698" w14:textId="77777777" w:rsidTr="00891965">
        <w:tc>
          <w:tcPr>
            <w:tcW w:w="1276" w:type="dxa"/>
            <w:vMerge/>
          </w:tcPr>
          <w:p w14:paraId="2627F1BC" w14:textId="77777777" w:rsidR="00B35D83" w:rsidRDefault="00B35D83" w:rsidP="00B35D83">
            <w:pPr>
              <w:pStyle w:val="TableHeading1"/>
            </w:pPr>
          </w:p>
        </w:tc>
        <w:tc>
          <w:tcPr>
            <w:tcW w:w="2835" w:type="dxa"/>
          </w:tcPr>
          <w:p w14:paraId="6571717E" w14:textId="77777777" w:rsidR="00B35D83" w:rsidRPr="00B35D83" w:rsidRDefault="00B35D83" w:rsidP="00B35D83">
            <w:pPr>
              <w:pStyle w:val="TableHeading1"/>
            </w:pPr>
            <w:r>
              <w:t>H</w:t>
            </w:r>
            <w:r w:rsidRPr="00B35D83">
              <w:t>ighly male or female dominated</w:t>
            </w:r>
          </w:p>
        </w:tc>
        <w:tc>
          <w:tcPr>
            <w:tcW w:w="1985" w:type="dxa"/>
          </w:tcPr>
          <w:p w14:paraId="4C1BD174" w14:textId="77777777" w:rsidR="00B35D83" w:rsidRPr="00B35D83" w:rsidRDefault="00B35D83" w:rsidP="005B6FE2">
            <w:pPr>
              <w:pStyle w:val="TableBodyTextcentre"/>
            </w:pPr>
            <w:r>
              <w:t>2</w:t>
            </w:r>
            <w:r w:rsidRPr="00B35D83">
              <w:t>8%</w:t>
            </w:r>
          </w:p>
        </w:tc>
        <w:tc>
          <w:tcPr>
            <w:tcW w:w="1984" w:type="dxa"/>
          </w:tcPr>
          <w:p w14:paraId="623F3172" w14:textId="77777777" w:rsidR="00B35D83" w:rsidRPr="00B35D83" w:rsidRDefault="00B35D83" w:rsidP="005B6FE2">
            <w:pPr>
              <w:pStyle w:val="TableBodyTextcentre"/>
            </w:pPr>
            <w:r>
              <w:t>2</w:t>
            </w:r>
            <w:r w:rsidRPr="00B35D83">
              <w:t>8%</w:t>
            </w:r>
          </w:p>
        </w:tc>
        <w:tc>
          <w:tcPr>
            <w:tcW w:w="947" w:type="dxa"/>
          </w:tcPr>
          <w:p w14:paraId="2D58C83E" w14:textId="77777777" w:rsidR="00B35D83" w:rsidRPr="00B35D83" w:rsidRDefault="00B35D83" w:rsidP="005B6FE2">
            <w:pPr>
              <w:pStyle w:val="TableBodyTextcentre"/>
            </w:pPr>
            <w:r>
              <w:t>N</w:t>
            </w:r>
            <w:r w:rsidRPr="00B35D83">
              <w:t>o change</w:t>
            </w:r>
          </w:p>
        </w:tc>
      </w:tr>
      <w:tr w:rsidR="00E06A60" w14:paraId="679BC16F"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18FD876B" w14:textId="77777777" w:rsidR="00B35D83" w:rsidRDefault="00B35D83" w:rsidP="00B35D83">
            <w:pPr>
              <w:pStyle w:val="TableHeading1"/>
            </w:pPr>
          </w:p>
        </w:tc>
        <w:tc>
          <w:tcPr>
            <w:tcW w:w="2835" w:type="dxa"/>
          </w:tcPr>
          <w:p w14:paraId="5140D150" w14:textId="77777777" w:rsidR="00B35D83" w:rsidRPr="00B35D83" w:rsidRDefault="00B35D83" w:rsidP="00B35D83">
            <w:pPr>
              <w:pStyle w:val="TableHeading1"/>
            </w:pPr>
            <w:r>
              <w:t>A</w:t>
            </w:r>
            <w:r w:rsidRPr="00B35D83">
              <w:t>lmost completely male or female dominated</w:t>
            </w:r>
          </w:p>
        </w:tc>
        <w:tc>
          <w:tcPr>
            <w:tcW w:w="1985" w:type="dxa"/>
          </w:tcPr>
          <w:p w14:paraId="3EAAC1CE" w14:textId="77777777" w:rsidR="00B35D83" w:rsidRPr="00B35D83" w:rsidRDefault="00B35D83" w:rsidP="005B6FE2">
            <w:pPr>
              <w:pStyle w:val="TableBodyTextcentre"/>
            </w:pPr>
            <w:r>
              <w:t>3</w:t>
            </w:r>
            <w:r w:rsidRPr="00B35D83">
              <w:t>0%</w:t>
            </w:r>
          </w:p>
        </w:tc>
        <w:tc>
          <w:tcPr>
            <w:tcW w:w="1984" w:type="dxa"/>
          </w:tcPr>
          <w:p w14:paraId="37D9CA36" w14:textId="77777777" w:rsidR="00B35D83" w:rsidRPr="00B35D83" w:rsidRDefault="00B35D83" w:rsidP="005B6FE2">
            <w:pPr>
              <w:pStyle w:val="TableBodyTextcentre"/>
            </w:pPr>
            <w:r>
              <w:t>2</w:t>
            </w:r>
            <w:r w:rsidRPr="00B35D83">
              <w:t>5%</w:t>
            </w:r>
          </w:p>
        </w:tc>
        <w:tc>
          <w:tcPr>
            <w:tcW w:w="947" w:type="dxa"/>
          </w:tcPr>
          <w:p w14:paraId="392F534F" w14:textId="77777777" w:rsidR="00B35D83" w:rsidRPr="00B35D83" w:rsidRDefault="00B35D83" w:rsidP="005B6FE2">
            <w:pPr>
              <w:pStyle w:val="TableBodyTextcentre"/>
            </w:pPr>
            <w:r>
              <w:t>-</w:t>
            </w:r>
            <w:r w:rsidRPr="00B35D83">
              <w:t>5%</w:t>
            </w:r>
          </w:p>
        </w:tc>
      </w:tr>
      <w:tr w:rsidR="00B35D83" w14:paraId="06F3C73C" w14:textId="77777777" w:rsidTr="00891965">
        <w:tc>
          <w:tcPr>
            <w:tcW w:w="1276" w:type="dxa"/>
            <w:vMerge w:val="restart"/>
          </w:tcPr>
          <w:p w14:paraId="5D58A0F4" w14:textId="77777777" w:rsidR="00B35D83" w:rsidRPr="00B35D83" w:rsidRDefault="00B35D83" w:rsidP="00B35D83">
            <w:pPr>
              <w:pStyle w:val="TableHeading1"/>
            </w:pPr>
            <w:r>
              <w:t>5</w:t>
            </w:r>
            <w:r w:rsidRPr="00B35D83">
              <w:t>5+</w:t>
            </w:r>
          </w:p>
        </w:tc>
        <w:tc>
          <w:tcPr>
            <w:tcW w:w="2835" w:type="dxa"/>
          </w:tcPr>
          <w:p w14:paraId="2C23A47B" w14:textId="77777777" w:rsidR="00B35D83" w:rsidRPr="00B35D83" w:rsidRDefault="00B35D83" w:rsidP="00B35D83">
            <w:pPr>
              <w:pStyle w:val="TableHeading1"/>
            </w:pPr>
            <w:r>
              <w:t>G</w:t>
            </w:r>
            <w:r w:rsidRPr="00B35D83">
              <w:t>ender balanced</w:t>
            </w:r>
          </w:p>
        </w:tc>
        <w:tc>
          <w:tcPr>
            <w:tcW w:w="1985" w:type="dxa"/>
          </w:tcPr>
          <w:p w14:paraId="6E69D57A" w14:textId="77777777" w:rsidR="00B35D83" w:rsidRPr="00B35D83" w:rsidRDefault="00B35D83" w:rsidP="005B6FE2">
            <w:pPr>
              <w:pStyle w:val="TableBodyTextcentre"/>
            </w:pPr>
            <w:r>
              <w:t>1</w:t>
            </w:r>
            <w:r w:rsidRPr="00B35D83">
              <w:t>2%</w:t>
            </w:r>
          </w:p>
        </w:tc>
        <w:tc>
          <w:tcPr>
            <w:tcW w:w="1984" w:type="dxa"/>
          </w:tcPr>
          <w:p w14:paraId="6D2F9E81" w14:textId="77777777" w:rsidR="00B35D83" w:rsidRPr="00B35D83" w:rsidRDefault="00B35D83" w:rsidP="005B6FE2">
            <w:pPr>
              <w:pStyle w:val="TableBodyTextcentre"/>
            </w:pPr>
            <w:r>
              <w:t>1</w:t>
            </w:r>
            <w:r w:rsidRPr="00B35D83">
              <w:t>5%</w:t>
            </w:r>
          </w:p>
        </w:tc>
        <w:tc>
          <w:tcPr>
            <w:tcW w:w="947" w:type="dxa"/>
          </w:tcPr>
          <w:p w14:paraId="56E0BE5D" w14:textId="77777777" w:rsidR="00B35D83" w:rsidRPr="00B35D83" w:rsidRDefault="00B35D83" w:rsidP="005B6FE2">
            <w:pPr>
              <w:pStyle w:val="TableBodyTextcentre"/>
            </w:pPr>
            <w:r>
              <w:t>3</w:t>
            </w:r>
            <w:r w:rsidRPr="00B35D83">
              <w:t>%</w:t>
            </w:r>
          </w:p>
        </w:tc>
      </w:tr>
      <w:tr w:rsidR="00E06A60" w14:paraId="77603D91"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512F0D48" w14:textId="77777777" w:rsidR="00B35D83" w:rsidRDefault="00B35D83" w:rsidP="00B35D83">
            <w:pPr>
              <w:pStyle w:val="TableHeading1"/>
            </w:pPr>
          </w:p>
        </w:tc>
        <w:tc>
          <w:tcPr>
            <w:tcW w:w="2835" w:type="dxa"/>
          </w:tcPr>
          <w:p w14:paraId="151D5DBF" w14:textId="433DBC86" w:rsidR="00B35D83" w:rsidRPr="00B35D83" w:rsidRDefault="00D94EFE" w:rsidP="00B35D83">
            <w:pPr>
              <w:pStyle w:val="TableHeading1"/>
            </w:pPr>
            <w:r>
              <w:t>Moderately</w:t>
            </w:r>
            <w:r w:rsidRPr="00D94EFE">
              <w:t xml:space="preserve"> </w:t>
            </w:r>
            <w:r>
              <w:t>m</w:t>
            </w:r>
            <w:r w:rsidR="00B35D83" w:rsidRPr="00B35D83">
              <w:t>ale or female dominated</w:t>
            </w:r>
          </w:p>
        </w:tc>
        <w:tc>
          <w:tcPr>
            <w:tcW w:w="1985" w:type="dxa"/>
          </w:tcPr>
          <w:p w14:paraId="22A23304" w14:textId="77777777" w:rsidR="00B35D83" w:rsidRPr="00B35D83" w:rsidRDefault="00B35D83" w:rsidP="005B6FE2">
            <w:pPr>
              <w:pStyle w:val="TableBodyTextcentre"/>
            </w:pPr>
            <w:r>
              <w:t>2</w:t>
            </w:r>
            <w:r w:rsidRPr="00B35D83">
              <w:t>5%</w:t>
            </w:r>
          </w:p>
        </w:tc>
        <w:tc>
          <w:tcPr>
            <w:tcW w:w="1984" w:type="dxa"/>
          </w:tcPr>
          <w:p w14:paraId="438BF6FF" w14:textId="77777777" w:rsidR="00B35D83" w:rsidRPr="00B35D83" w:rsidRDefault="00B35D83" w:rsidP="005B6FE2">
            <w:pPr>
              <w:pStyle w:val="TableBodyTextcentre"/>
            </w:pPr>
            <w:r>
              <w:t>2</w:t>
            </w:r>
            <w:r w:rsidRPr="00B35D83">
              <w:t>5%</w:t>
            </w:r>
          </w:p>
        </w:tc>
        <w:tc>
          <w:tcPr>
            <w:tcW w:w="947" w:type="dxa"/>
          </w:tcPr>
          <w:p w14:paraId="6B8F669B" w14:textId="77777777" w:rsidR="00B35D83" w:rsidRPr="00B35D83" w:rsidRDefault="00B35D83" w:rsidP="005B6FE2">
            <w:pPr>
              <w:pStyle w:val="TableBodyTextcentre"/>
            </w:pPr>
            <w:r>
              <w:t>N</w:t>
            </w:r>
            <w:r w:rsidRPr="00B35D83">
              <w:t>o change</w:t>
            </w:r>
          </w:p>
        </w:tc>
      </w:tr>
      <w:tr w:rsidR="00B35D83" w14:paraId="3C6510C4" w14:textId="77777777" w:rsidTr="00891965">
        <w:tc>
          <w:tcPr>
            <w:tcW w:w="1276" w:type="dxa"/>
            <w:vMerge/>
          </w:tcPr>
          <w:p w14:paraId="4226EE38" w14:textId="77777777" w:rsidR="00B35D83" w:rsidRDefault="00B35D83" w:rsidP="00B35D83">
            <w:pPr>
              <w:pStyle w:val="TableHeading1"/>
            </w:pPr>
          </w:p>
        </w:tc>
        <w:tc>
          <w:tcPr>
            <w:tcW w:w="2835" w:type="dxa"/>
          </w:tcPr>
          <w:p w14:paraId="6A8DAEA3" w14:textId="77777777" w:rsidR="00B35D83" w:rsidRPr="00B35D83" w:rsidRDefault="00B35D83" w:rsidP="00B35D83">
            <w:pPr>
              <w:pStyle w:val="TableHeading1"/>
            </w:pPr>
            <w:r>
              <w:t>H</w:t>
            </w:r>
            <w:r w:rsidRPr="00B35D83">
              <w:t>ighly male or female dominated</w:t>
            </w:r>
          </w:p>
        </w:tc>
        <w:tc>
          <w:tcPr>
            <w:tcW w:w="1985" w:type="dxa"/>
          </w:tcPr>
          <w:p w14:paraId="58718A51" w14:textId="77777777" w:rsidR="00B35D83" w:rsidRPr="00B35D83" w:rsidRDefault="00B35D83" w:rsidP="005B6FE2">
            <w:pPr>
              <w:pStyle w:val="TableBodyTextcentre"/>
            </w:pPr>
            <w:r>
              <w:t>2</w:t>
            </w:r>
            <w:r w:rsidRPr="00B35D83">
              <w:t>8%</w:t>
            </w:r>
          </w:p>
        </w:tc>
        <w:tc>
          <w:tcPr>
            <w:tcW w:w="1984" w:type="dxa"/>
          </w:tcPr>
          <w:p w14:paraId="16D41CDF" w14:textId="77777777" w:rsidR="00B35D83" w:rsidRPr="00B35D83" w:rsidRDefault="00B35D83" w:rsidP="005B6FE2">
            <w:pPr>
              <w:pStyle w:val="TableBodyTextcentre"/>
            </w:pPr>
            <w:r>
              <w:t>3</w:t>
            </w:r>
            <w:r w:rsidRPr="00B35D83">
              <w:t>0%</w:t>
            </w:r>
          </w:p>
        </w:tc>
        <w:tc>
          <w:tcPr>
            <w:tcW w:w="947" w:type="dxa"/>
          </w:tcPr>
          <w:p w14:paraId="62644983" w14:textId="77777777" w:rsidR="00B35D83" w:rsidRPr="00B35D83" w:rsidRDefault="00B35D83" w:rsidP="005B6FE2">
            <w:pPr>
              <w:pStyle w:val="TableBodyTextcentre"/>
            </w:pPr>
            <w:r>
              <w:t>2</w:t>
            </w:r>
            <w:r w:rsidRPr="00B35D83">
              <w:t>%</w:t>
            </w:r>
          </w:p>
        </w:tc>
      </w:tr>
      <w:tr w:rsidR="00E06A60" w14:paraId="52DB14A9" w14:textId="77777777" w:rsidTr="00891965">
        <w:trPr>
          <w:cnfStyle w:val="000000010000" w:firstRow="0" w:lastRow="0" w:firstColumn="0" w:lastColumn="0" w:oddVBand="0" w:evenVBand="0" w:oddHBand="0" w:evenHBand="1" w:firstRowFirstColumn="0" w:firstRowLastColumn="0" w:lastRowFirstColumn="0" w:lastRowLastColumn="0"/>
        </w:trPr>
        <w:tc>
          <w:tcPr>
            <w:tcW w:w="1276" w:type="dxa"/>
            <w:vMerge/>
          </w:tcPr>
          <w:p w14:paraId="0C40F171" w14:textId="77777777" w:rsidR="00B35D83" w:rsidRDefault="00B35D83" w:rsidP="00B35D83">
            <w:pPr>
              <w:pStyle w:val="TableHeading1"/>
            </w:pPr>
          </w:p>
        </w:tc>
        <w:tc>
          <w:tcPr>
            <w:tcW w:w="2835" w:type="dxa"/>
          </w:tcPr>
          <w:p w14:paraId="327B4568" w14:textId="77777777" w:rsidR="00B35D83" w:rsidRPr="00B35D83" w:rsidRDefault="00B35D83" w:rsidP="00B35D83">
            <w:pPr>
              <w:pStyle w:val="TableHeading1"/>
            </w:pPr>
            <w:r>
              <w:t>A</w:t>
            </w:r>
            <w:r w:rsidRPr="00B35D83">
              <w:t>lmost completely male or female dominated</w:t>
            </w:r>
          </w:p>
        </w:tc>
        <w:tc>
          <w:tcPr>
            <w:tcW w:w="1985" w:type="dxa"/>
          </w:tcPr>
          <w:p w14:paraId="3E2279F4" w14:textId="77777777" w:rsidR="00B35D83" w:rsidRPr="00B35D83" w:rsidRDefault="00B35D83" w:rsidP="005B6FE2">
            <w:pPr>
              <w:pStyle w:val="TableBodyTextcentre"/>
            </w:pPr>
            <w:r>
              <w:t>3</w:t>
            </w:r>
            <w:r w:rsidRPr="00B35D83">
              <w:t>5%</w:t>
            </w:r>
          </w:p>
        </w:tc>
        <w:tc>
          <w:tcPr>
            <w:tcW w:w="1984" w:type="dxa"/>
          </w:tcPr>
          <w:p w14:paraId="4BAD50F1" w14:textId="77777777" w:rsidR="00B35D83" w:rsidRPr="00B35D83" w:rsidRDefault="00B35D83" w:rsidP="005B6FE2">
            <w:pPr>
              <w:pStyle w:val="TableBodyTextcentre"/>
            </w:pPr>
            <w:r>
              <w:t>3</w:t>
            </w:r>
            <w:r w:rsidRPr="00B35D83">
              <w:t>0%</w:t>
            </w:r>
          </w:p>
        </w:tc>
        <w:tc>
          <w:tcPr>
            <w:tcW w:w="947" w:type="dxa"/>
          </w:tcPr>
          <w:p w14:paraId="53071C72" w14:textId="77777777" w:rsidR="00B35D83" w:rsidRPr="00B35D83" w:rsidRDefault="00B35D83" w:rsidP="005B6FE2">
            <w:pPr>
              <w:pStyle w:val="TableBodyTextcentre"/>
            </w:pPr>
            <w:r>
              <w:t>-</w:t>
            </w:r>
            <w:r w:rsidRPr="00B35D83">
              <w:t>5%</w:t>
            </w:r>
          </w:p>
        </w:tc>
      </w:tr>
    </w:tbl>
    <w:p w14:paraId="10B9C621" w14:textId="552602D8" w:rsidR="007E0DD2" w:rsidRDefault="00B35D83" w:rsidP="00A30D08">
      <w:pPr>
        <w:pStyle w:val="Source"/>
      </w:pPr>
      <w:r>
        <w:t>Source: ABS Census of Population and Housing, 2006 and 2021.</w:t>
      </w:r>
      <w:bookmarkStart w:id="18" w:name="_Toc198541249"/>
    </w:p>
    <w:p w14:paraId="38A312F8" w14:textId="3737DFBB" w:rsidR="55051529" w:rsidRDefault="00E42CBA" w:rsidP="00A90B1E">
      <w:pPr>
        <w:pStyle w:val="Heading1"/>
      </w:pPr>
      <w:bookmarkStart w:id="19" w:name="_Toc204596287"/>
      <w:r>
        <w:lastRenderedPageBreak/>
        <w:t>Part 2 Technical Detail: G</w:t>
      </w:r>
      <w:r w:rsidR="55051529">
        <w:t xml:space="preserve">ender </w:t>
      </w:r>
      <w:r>
        <w:t>P</w:t>
      </w:r>
      <w:r w:rsidR="55051529">
        <w:t xml:space="preserve">ay </w:t>
      </w:r>
      <w:r>
        <w:t>G</w:t>
      </w:r>
      <w:r w:rsidR="55051529">
        <w:t>ap</w:t>
      </w:r>
      <w:r>
        <w:t>s</w:t>
      </w:r>
      <w:bookmarkEnd w:id="18"/>
      <w:bookmarkEnd w:id="19"/>
    </w:p>
    <w:p w14:paraId="44348B1D" w14:textId="5990F283" w:rsidR="00512E3F" w:rsidRDefault="00B41E46" w:rsidP="00525A89">
      <w:pPr>
        <w:pStyle w:val="Heading2"/>
      </w:pPr>
      <w:bookmarkStart w:id="20" w:name="_Toc198541250"/>
      <w:bookmarkStart w:id="21" w:name="_Toc204596288"/>
      <w:r>
        <w:t xml:space="preserve">How the JSA gender pay gap measures complement those produced by </w:t>
      </w:r>
      <w:r w:rsidR="001657DE">
        <w:t>WGEA</w:t>
      </w:r>
      <w:r>
        <w:t xml:space="preserve"> and the </w:t>
      </w:r>
      <w:r w:rsidR="001657DE">
        <w:t>ABS</w:t>
      </w:r>
      <w:bookmarkEnd w:id="20"/>
      <w:bookmarkEnd w:id="21"/>
    </w:p>
    <w:p w14:paraId="36E55873" w14:textId="77777777" w:rsidR="00602DE5" w:rsidRDefault="00602DE5" w:rsidP="001657DE">
      <w:pPr>
        <w:pStyle w:val="Heading3"/>
      </w:pPr>
      <w:bookmarkStart w:id="22" w:name="_Toc204596289"/>
      <w:r w:rsidRPr="001657DE">
        <w:t>What are the similarities and differences in how WGEA and ABS report gender pay gaps?</w:t>
      </w:r>
      <w:bookmarkEnd w:id="22"/>
    </w:p>
    <w:p w14:paraId="3CE697CF" w14:textId="49D7FB4C" w:rsidR="00B41BEB" w:rsidRDefault="00130870" w:rsidP="00EC44BF">
      <w:pPr>
        <w:pStyle w:val="BodyText"/>
      </w:pPr>
      <w:r>
        <w:t xml:space="preserve">Australia is fortunate in having a range of </w:t>
      </w:r>
      <w:r w:rsidR="00702E03">
        <w:t xml:space="preserve">organisations that regularly collect and publish gender pay gap information, including the Workplace Gender Equality Agency (WGEA) and the Australian Bureau of Statistics (ABS). </w:t>
      </w:r>
      <w:r w:rsidR="00F9569B" w:rsidRPr="00F9569B">
        <w:rPr>
          <w:lang w:eastAsia="en-AU"/>
        </w:rPr>
        <w:t xml:space="preserve">A key difference in our gender pay gap analysis </w:t>
      </w:r>
      <w:r w:rsidR="000C3837">
        <w:t xml:space="preserve">in this study </w:t>
      </w:r>
      <w:r w:rsidR="00F9569B" w:rsidRPr="00F9569B">
        <w:rPr>
          <w:lang w:eastAsia="en-AU"/>
        </w:rPr>
        <w:t>is that it uses different data—</w:t>
      </w:r>
      <w:r w:rsidR="00E4194F">
        <w:t xml:space="preserve">integrated administrative and Census </w:t>
      </w:r>
      <w:r w:rsidR="00F9569B" w:rsidRPr="00F9569B">
        <w:rPr>
          <w:lang w:eastAsia="en-AU"/>
        </w:rPr>
        <w:t>data that is well suited to detailed occupational and intersectional analysis—to generate new insights</w:t>
      </w:r>
      <w:r w:rsidR="00FD666E">
        <w:rPr>
          <w:lang w:eastAsia="en-AU"/>
        </w:rPr>
        <w:t>.</w:t>
      </w:r>
    </w:p>
    <w:p w14:paraId="476043EF" w14:textId="12C687F4" w:rsidR="00E4194F" w:rsidRDefault="00E349E8" w:rsidP="00EC44BF">
      <w:pPr>
        <w:pStyle w:val="BodyText"/>
      </w:pPr>
      <w:r>
        <w:t>As the below table shows, this complements the existing high quality and more timely gender pay gap</w:t>
      </w:r>
      <w:r w:rsidR="00BA4D70">
        <w:t xml:space="preserve"> measures produced</w:t>
      </w:r>
      <w:r>
        <w:t xml:space="preserve"> </w:t>
      </w:r>
      <w:r w:rsidR="00BA4D70">
        <w:t>by WGEA and the ABS</w:t>
      </w:r>
      <w:r w:rsidR="00B41BEB">
        <w:t xml:space="preserve">, by focusing on data and analysis </w:t>
      </w:r>
      <w:r w:rsidR="00130870">
        <w:t>for very detailed occupations and demographic characteristics (e.g. for First Nations people</w:t>
      </w:r>
      <w:r w:rsidR="00D53ECD">
        <w:t>, based on their direct responses in Census data</w:t>
      </w:r>
      <w:r w:rsidR="00130870">
        <w:t>).</w:t>
      </w:r>
      <w:r w:rsidR="00D53ECD">
        <w:t xml:space="preserve"> The longitudinal linkages of person-level </w:t>
      </w:r>
      <w:r w:rsidR="00BF7B95">
        <w:t xml:space="preserve">administrative and Census </w:t>
      </w:r>
      <w:r w:rsidR="00D53ECD">
        <w:t xml:space="preserve">data </w:t>
      </w:r>
      <w:r w:rsidR="00FE33D1">
        <w:t xml:space="preserve">also </w:t>
      </w:r>
      <w:r w:rsidR="005019F2">
        <w:t>enable</w:t>
      </w:r>
      <w:r w:rsidR="00FE33D1">
        <w:t xml:space="preserve"> a range of unique analysis, including accumulated </w:t>
      </w:r>
      <w:r w:rsidR="00A92D17">
        <w:t>pay gaps</w:t>
      </w:r>
      <w:r w:rsidR="008D4F86">
        <w:t xml:space="preserve"> over time</w:t>
      </w:r>
      <w:r w:rsidR="00A92D17">
        <w:t>.</w:t>
      </w:r>
    </w:p>
    <w:p w14:paraId="4519F581" w14:textId="7A6D2EF8" w:rsidR="007559AB" w:rsidRDefault="007559AB" w:rsidP="0029120E">
      <w:pPr>
        <w:pStyle w:val="Caption"/>
        <w:spacing w:before="240"/>
      </w:pPr>
      <w:r>
        <w:t xml:space="preserve">Table </w:t>
      </w:r>
      <w:r w:rsidR="00E40547">
        <w:t>7</w:t>
      </w:r>
      <w:r>
        <w:t xml:space="preserve">: </w:t>
      </w:r>
      <w:r w:rsidR="0037347D">
        <w:t>JSA</w:t>
      </w:r>
      <w:r w:rsidR="00E06A60">
        <w:t xml:space="preserve"> </w:t>
      </w:r>
      <w:r w:rsidR="00933F09">
        <w:t>Gender Economic Equality Study</w:t>
      </w:r>
      <w:r w:rsidR="0037347D">
        <w:t>, WGEA, and ABS gender pay gap measures</w:t>
      </w:r>
    </w:p>
    <w:tbl>
      <w:tblPr>
        <w:tblStyle w:val="CustomTableoption1"/>
        <w:tblW w:w="9214" w:type="dxa"/>
        <w:tblLook w:val="04A0" w:firstRow="1" w:lastRow="0" w:firstColumn="1" w:lastColumn="0" w:noHBand="0" w:noVBand="1"/>
      </w:tblPr>
      <w:tblGrid>
        <w:gridCol w:w="1985"/>
        <w:gridCol w:w="2410"/>
        <w:gridCol w:w="2268"/>
        <w:gridCol w:w="2551"/>
      </w:tblGrid>
      <w:tr w:rsidR="00240AAD" w14:paraId="38F90B35" w14:textId="77777777" w:rsidTr="00F313E3">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85" w:type="dxa"/>
          </w:tcPr>
          <w:p w14:paraId="26C61ADB" w14:textId="77777777" w:rsidR="00D236B4" w:rsidRDefault="00D236B4" w:rsidP="007C7579">
            <w:pPr>
              <w:pStyle w:val="TableHeading1"/>
              <w:rPr>
                <w:lang w:eastAsia="en-AU"/>
              </w:rPr>
            </w:pPr>
          </w:p>
        </w:tc>
        <w:tc>
          <w:tcPr>
            <w:tcW w:w="2410" w:type="dxa"/>
          </w:tcPr>
          <w:p w14:paraId="190112B0" w14:textId="127F0961" w:rsidR="00D236B4" w:rsidRDefault="00BC5AAF" w:rsidP="007C7579">
            <w:pPr>
              <w:pStyle w:val="TableHeading1"/>
              <w:cnfStyle w:val="100000000000" w:firstRow="1" w:lastRow="0" w:firstColumn="0" w:lastColumn="0" w:oddVBand="0" w:evenVBand="0" w:oddHBand="0" w:evenHBand="0" w:firstRowFirstColumn="0" w:firstRowLastColumn="0" w:lastRowFirstColumn="0" w:lastRowLastColumn="0"/>
              <w:rPr>
                <w:lang w:eastAsia="en-AU"/>
              </w:rPr>
            </w:pPr>
            <w:r>
              <w:t>G</w:t>
            </w:r>
            <w:r w:rsidR="00D236B4">
              <w:t>ender pay gap measures</w:t>
            </w:r>
            <w:r>
              <w:t xml:space="preserve"> in this JSA study</w:t>
            </w:r>
          </w:p>
        </w:tc>
        <w:tc>
          <w:tcPr>
            <w:tcW w:w="2268" w:type="dxa"/>
          </w:tcPr>
          <w:p w14:paraId="59369638" w14:textId="295D6B7E" w:rsidR="00D236B4" w:rsidRDefault="00D236B4" w:rsidP="007C7579">
            <w:pPr>
              <w:pStyle w:val="TableHeading1"/>
              <w:cnfStyle w:val="100000000000" w:firstRow="1" w:lastRow="0" w:firstColumn="0" w:lastColumn="0" w:oddVBand="0" w:evenVBand="0" w:oddHBand="0" w:evenHBand="0" w:firstRowFirstColumn="0" w:firstRowLastColumn="0" w:lastRowFirstColumn="0" w:lastRowLastColumn="0"/>
              <w:rPr>
                <w:lang w:eastAsia="en-AU"/>
              </w:rPr>
            </w:pPr>
            <w:r>
              <w:t>WGEA g</w:t>
            </w:r>
            <w:r w:rsidRPr="00B21352">
              <w:t>ender pay gap measures</w:t>
            </w:r>
          </w:p>
        </w:tc>
        <w:tc>
          <w:tcPr>
            <w:tcW w:w="2551" w:type="dxa"/>
          </w:tcPr>
          <w:p w14:paraId="1E2DC999" w14:textId="156215A9" w:rsidR="00D236B4" w:rsidRDefault="00D236B4" w:rsidP="007C7579">
            <w:pPr>
              <w:pStyle w:val="TableHeading1"/>
              <w:cnfStyle w:val="100000000000" w:firstRow="1" w:lastRow="0" w:firstColumn="0" w:lastColumn="0" w:oddVBand="0" w:evenVBand="0" w:oddHBand="0" w:evenHBand="0" w:firstRowFirstColumn="0" w:firstRowLastColumn="0" w:lastRowFirstColumn="0" w:lastRowLastColumn="0"/>
              <w:rPr>
                <w:lang w:eastAsia="en-AU"/>
              </w:rPr>
            </w:pPr>
            <w:r>
              <w:t>ABS g</w:t>
            </w:r>
            <w:r w:rsidRPr="00B21352">
              <w:t>ender pay gap measures</w:t>
            </w:r>
          </w:p>
        </w:tc>
      </w:tr>
      <w:tr w:rsidR="00D236B4" w14:paraId="25E173CC" w14:textId="77777777" w:rsidTr="00F313E3">
        <w:trPr>
          <w:trHeight w:val="885"/>
        </w:trPr>
        <w:tc>
          <w:tcPr>
            <w:cnfStyle w:val="001000000000" w:firstRow="0" w:lastRow="0" w:firstColumn="1" w:lastColumn="0" w:oddVBand="0" w:evenVBand="0" w:oddHBand="0" w:evenHBand="0" w:firstRowFirstColumn="0" w:firstRowLastColumn="0" w:lastRowFirstColumn="0" w:lastRowLastColumn="0"/>
            <w:tcW w:w="1985" w:type="dxa"/>
          </w:tcPr>
          <w:p w14:paraId="452FB4D0" w14:textId="29A4AFD2" w:rsidR="00D236B4" w:rsidRDefault="00D236B4" w:rsidP="007C7579">
            <w:pPr>
              <w:pStyle w:val="TableHeading1"/>
              <w:rPr>
                <w:lang w:eastAsia="en-AU"/>
              </w:rPr>
            </w:pPr>
            <w:r>
              <w:t>Data source</w:t>
            </w:r>
          </w:p>
        </w:tc>
        <w:tc>
          <w:tcPr>
            <w:tcW w:w="2410" w:type="dxa"/>
          </w:tcPr>
          <w:p w14:paraId="5238711E" w14:textId="5CA418F8" w:rsidR="00D236B4" w:rsidRDefault="00D236B4" w:rsidP="007C7579">
            <w:pPr>
              <w:pStyle w:val="TableBodyText"/>
              <w:cnfStyle w:val="000000000000" w:firstRow="0" w:lastRow="0" w:firstColumn="0" w:lastColumn="0" w:oddVBand="0" w:evenVBand="0" w:oddHBand="0" w:evenHBand="0" w:firstRowFirstColumn="0" w:firstRowLastColumn="0" w:lastRowFirstColumn="0" w:lastRowLastColumn="0"/>
              <w:rPr>
                <w:lang w:eastAsia="en-AU"/>
              </w:rPr>
            </w:pPr>
            <w:r>
              <w:t xml:space="preserve">Person Linked Integrated Data Asset (PLIDA) - mainly tax data and Census data - including longitudinal linkages </w:t>
            </w:r>
          </w:p>
        </w:tc>
        <w:tc>
          <w:tcPr>
            <w:tcW w:w="2268" w:type="dxa"/>
          </w:tcPr>
          <w:p w14:paraId="5A5878C5" w14:textId="7450E3BA" w:rsidR="00D236B4" w:rsidRDefault="00D236B4" w:rsidP="007C7579">
            <w:pPr>
              <w:pStyle w:val="TableBodyText"/>
              <w:cnfStyle w:val="000000000000" w:firstRow="0" w:lastRow="0" w:firstColumn="0" w:lastColumn="0" w:oddVBand="0" w:evenVBand="0" w:oddHBand="0" w:evenHBand="0" w:firstRowFirstColumn="0" w:firstRowLastColumn="0" w:lastRowFirstColumn="0" w:lastRowLastColumn="0"/>
              <w:rPr>
                <w:lang w:eastAsia="en-AU"/>
              </w:rPr>
            </w:pPr>
            <w:r>
              <w:t>Annual reporting by employers</w:t>
            </w:r>
            <w:r w:rsidR="00E66057">
              <w:t xml:space="preserve"> to WGEA</w:t>
            </w:r>
          </w:p>
        </w:tc>
        <w:tc>
          <w:tcPr>
            <w:tcW w:w="2551" w:type="dxa"/>
          </w:tcPr>
          <w:p w14:paraId="0F1DF47D" w14:textId="00C3D943" w:rsidR="00D236B4" w:rsidRDefault="00E66057" w:rsidP="007C7579">
            <w:pPr>
              <w:pStyle w:val="TableBodyText"/>
              <w:cnfStyle w:val="000000000000" w:firstRow="0" w:lastRow="0" w:firstColumn="0" w:lastColumn="0" w:oddVBand="0" w:evenVBand="0" w:oddHBand="0" w:evenHBand="0" w:firstRowFirstColumn="0" w:firstRowLastColumn="0" w:lastRowFirstColumn="0" w:lastRowLastColumn="0"/>
              <w:rPr>
                <w:lang w:eastAsia="en-AU"/>
              </w:rPr>
            </w:pPr>
            <w:r>
              <w:t xml:space="preserve">ABS employer </w:t>
            </w:r>
            <w:r w:rsidR="00D236B4">
              <w:t>surveys</w:t>
            </w:r>
          </w:p>
        </w:tc>
      </w:tr>
      <w:tr w:rsidR="00240AAD" w14:paraId="0E645538" w14:textId="77777777" w:rsidTr="00F313E3">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985" w:type="dxa"/>
          </w:tcPr>
          <w:p w14:paraId="01981E09" w14:textId="74D89A20" w:rsidR="00B31622" w:rsidRPr="00B31622" w:rsidRDefault="00B31622" w:rsidP="007C7579">
            <w:pPr>
              <w:pStyle w:val="TableHeading1"/>
            </w:pPr>
            <w:r w:rsidRPr="00B31622">
              <w:t>Main focus of data and analysis</w:t>
            </w:r>
          </w:p>
        </w:tc>
        <w:tc>
          <w:tcPr>
            <w:tcW w:w="2410" w:type="dxa"/>
          </w:tcPr>
          <w:p w14:paraId="43C4FB70" w14:textId="3C14AA18" w:rsidR="00B31622" w:rsidRPr="00B31622" w:rsidRDefault="00B31622" w:rsidP="007C7579">
            <w:pPr>
              <w:pStyle w:val="TableBodyText"/>
              <w:cnfStyle w:val="000000010000" w:firstRow="0" w:lastRow="0" w:firstColumn="0" w:lastColumn="0" w:oddVBand="0" w:evenVBand="0" w:oddHBand="0" w:evenHBand="1" w:firstRowFirstColumn="0" w:firstRowLastColumn="0" w:lastRowFirstColumn="0" w:lastRowLastColumn="0"/>
            </w:pPr>
            <w:r w:rsidRPr="00B31622">
              <w:t>Very detailed occupation</w:t>
            </w:r>
            <w:r w:rsidR="00BC5AAF">
              <w:t>s</w:t>
            </w:r>
            <w:r w:rsidRPr="00B31622">
              <w:t xml:space="preserve"> and demographic characteristics (e.g. for First Nations people) </w:t>
            </w:r>
          </w:p>
        </w:tc>
        <w:tc>
          <w:tcPr>
            <w:tcW w:w="2268" w:type="dxa"/>
          </w:tcPr>
          <w:p w14:paraId="76EECC0E" w14:textId="2209C574" w:rsidR="00B31622" w:rsidRPr="00B31622" w:rsidRDefault="00B31622" w:rsidP="007C7579">
            <w:pPr>
              <w:pStyle w:val="TableBodyText"/>
              <w:cnfStyle w:val="000000010000" w:firstRow="0" w:lastRow="0" w:firstColumn="0" w:lastColumn="0" w:oddVBand="0" w:evenVBand="0" w:oddHBand="0" w:evenHBand="1" w:firstRowFirstColumn="0" w:firstRowLastColumn="0" w:lastRowFirstColumn="0" w:lastRowLastColumn="0"/>
            </w:pPr>
            <w:r w:rsidRPr="00B31622">
              <w:t>Industries and employer level information, including major groupings of occupations, including some age information</w:t>
            </w:r>
          </w:p>
        </w:tc>
        <w:tc>
          <w:tcPr>
            <w:tcW w:w="2551" w:type="dxa"/>
          </w:tcPr>
          <w:p w14:paraId="42172E9F" w14:textId="6BE8C902" w:rsidR="00B31622" w:rsidRPr="00B31622" w:rsidRDefault="00B31622" w:rsidP="007C7579">
            <w:pPr>
              <w:pStyle w:val="TableBodyText"/>
              <w:cnfStyle w:val="000000010000" w:firstRow="0" w:lastRow="0" w:firstColumn="0" w:lastColumn="0" w:oddVBand="0" w:evenVBand="0" w:oddHBand="0" w:evenHBand="1" w:firstRowFirstColumn="0" w:firstRowLastColumn="0" w:lastRowFirstColumn="0" w:lastRowLastColumn="0"/>
            </w:pPr>
            <w:r w:rsidRPr="00B31622">
              <w:t>Industries and major groupings of occupations, including some age information</w:t>
            </w:r>
          </w:p>
        </w:tc>
      </w:tr>
      <w:tr w:rsidR="00240AAD" w14:paraId="06EF3802" w14:textId="77777777" w:rsidTr="00F313E3">
        <w:trPr>
          <w:trHeight w:val="1185"/>
        </w:trPr>
        <w:tc>
          <w:tcPr>
            <w:cnfStyle w:val="001000000000" w:firstRow="0" w:lastRow="0" w:firstColumn="1" w:lastColumn="0" w:oddVBand="0" w:evenVBand="0" w:oddHBand="0" w:evenHBand="0" w:firstRowFirstColumn="0" w:firstRowLastColumn="0" w:lastRowFirstColumn="0" w:lastRowLastColumn="0"/>
            <w:tcW w:w="1985" w:type="dxa"/>
          </w:tcPr>
          <w:p w14:paraId="06F40FFC" w14:textId="7E4BEA2A" w:rsidR="00240AAD" w:rsidRDefault="00240AAD" w:rsidP="007C7579">
            <w:pPr>
              <w:pStyle w:val="TableHeading1"/>
            </w:pPr>
            <w:r w:rsidRPr="00240AAD">
              <w:t>Period(s) that pay reflects</w:t>
            </w:r>
          </w:p>
        </w:tc>
        <w:tc>
          <w:tcPr>
            <w:tcW w:w="2410" w:type="dxa"/>
          </w:tcPr>
          <w:p w14:paraId="5C15DC16" w14:textId="5E077DD9" w:rsidR="00240AAD" w:rsidRDefault="00240AAD" w:rsidP="007C7579">
            <w:pPr>
              <w:pStyle w:val="TableBodyText"/>
              <w:cnfStyle w:val="000000000000" w:firstRow="0" w:lastRow="0" w:firstColumn="0" w:lastColumn="0" w:oddVBand="0" w:evenVBand="0" w:oddHBand="0" w:evenHBand="0" w:firstRowFirstColumn="0" w:firstRowLastColumn="0" w:lastRowFirstColumn="0" w:lastRowLastColumn="0"/>
            </w:pPr>
            <w:r w:rsidRPr="00240AAD">
              <w:t>Annual amounts recorded in tax data from all employers and employment</w:t>
            </w:r>
          </w:p>
        </w:tc>
        <w:tc>
          <w:tcPr>
            <w:tcW w:w="2268" w:type="dxa"/>
          </w:tcPr>
          <w:p w14:paraId="4DA911E8" w14:textId="66DA5AA5" w:rsidR="00240AAD" w:rsidRDefault="00240AAD" w:rsidP="007C7579">
            <w:pPr>
              <w:pStyle w:val="TableBodyText"/>
              <w:cnfStyle w:val="000000000000" w:firstRow="0" w:lastRow="0" w:firstColumn="0" w:lastColumn="0" w:oddVBand="0" w:evenVBand="0" w:oddHBand="0" w:evenHBand="0" w:firstRowFirstColumn="0" w:firstRowLastColumn="0" w:lastRowFirstColumn="0" w:lastRowLastColumn="0"/>
            </w:pPr>
            <w:r w:rsidRPr="00240AAD">
              <w:t>Annualised amounts, using information provided directly by employers</w:t>
            </w:r>
          </w:p>
        </w:tc>
        <w:tc>
          <w:tcPr>
            <w:tcW w:w="2551" w:type="dxa"/>
          </w:tcPr>
          <w:p w14:paraId="6A20C9EB" w14:textId="0635F524" w:rsidR="00240AAD" w:rsidRDefault="00240AAD" w:rsidP="007C7579">
            <w:pPr>
              <w:pStyle w:val="TableBodyText"/>
              <w:cnfStyle w:val="000000000000" w:firstRow="0" w:lastRow="0" w:firstColumn="0" w:lastColumn="0" w:oddVBand="0" w:evenVBand="0" w:oddHBand="0" w:evenHBand="0" w:firstRowFirstColumn="0" w:firstRowLastColumn="0" w:lastRowFirstColumn="0" w:lastRowLastColumn="0"/>
            </w:pPr>
            <w:r w:rsidRPr="00240AAD">
              <w:t>Weekly and hourly amounts</w:t>
            </w:r>
          </w:p>
        </w:tc>
      </w:tr>
      <w:tr w:rsidR="00285B7C" w14:paraId="02585C6F" w14:textId="77777777" w:rsidTr="00F313E3">
        <w:trPr>
          <w:cnfStyle w:val="000000010000" w:firstRow="0" w:lastRow="0" w:firstColumn="0" w:lastColumn="0" w:oddVBand="0" w:evenVBand="0" w:oddHBand="0" w:evenHBand="1"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985" w:type="dxa"/>
          </w:tcPr>
          <w:p w14:paraId="3BA1BBEB" w14:textId="586C05C3" w:rsidR="00D236B4" w:rsidRDefault="00D236B4" w:rsidP="007C7579">
            <w:pPr>
              <w:pStyle w:val="TableHeading1"/>
              <w:rPr>
                <w:lang w:eastAsia="en-AU"/>
              </w:rPr>
            </w:pPr>
            <w:r>
              <w:t>Type(s) of pay</w:t>
            </w:r>
          </w:p>
        </w:tc>
        <w:tc>
          <w:tcPr>
            <w:tcW w:w="2410" w:type="dxa"/>
          </w:tcPr>
          <w:p w14:paraId="46B2ED41" w14:textId="7CF9FADD" w:rsidR="00D236B4" w:rsidRDefault="00D236B4" w:rsidP="007C7579">
            <w:pPr>
              <w:pStyle w:val="TableBodyText"/>
              <w:cnfStyle w:val="000000010000" w:firstRow="0" w:lastRow="0" w:firstColumn="0" w:lastColumn="0" w:oddVBand="0" w:evenVBand="0" w:oddHBand="0" w:evenHBand="1" w:firstRowFirstColumn="0" w:firstRowLastColumn="0" w:lastRowFirstColumn="0" w:lastRowLastColumn="0"/>
              <w:rPr>
                <w:lang w:eastAsia="en-AU"/>
              </w:rPr>
            </w:pPr>
            <w:r>
              <w:t xml:space="preserve">Total employment income, from tax data </w:t>
            </w:r>
          </w:p>
        </w:tc>
        <w:tc>
          <w:tcPr>
            <w:tcW w:w="2268" w:type="dxa"/>
          </w:tcPr>
          <w:p w14:paraId="5944AA02" w14:textId="6DD6E0C2" w:rsidR="00D236B4" w:rsidRDefault="00D236B4" w:rsidP="007C7579">
            <w:pPr>
              <w:pStyle w:val="TableBodyText"/>
              <w:cnfStyle w:val="000000010000" w:firstRow="0" w:lastRow="0" w:firstColumn="0" w:lastColumn="0" w:oddVBand="0" w:evenVBand="0" w:oddHBand="0" w:evenHBand="1" w:firstRowFirstColumn="0" w:firstRowLastColumn="0" w:lastRowFirstColumn="0" w:lastRowLastColumn="0"/>
              <w:rPr>
                <w:lang w:eastAsia="en-AU"/>
              </w:rPr>
            </w:pPr>
            <w:r>
              <w:t>Total pay and base/ordinary pay</w:t>
            </w:r>
          </w:p>
        </w:tc>
        <w:tc>
          <w:tcPr>
            <w:tcW w:w="2551" w:type="dxa"/>
          </w:tcPr>
          <w:p w14:paraId="3A3AEEEF" w14:textId="0BA780ED" w:rsidR="00D236B4" w:rsidRDefault="00D236B4" w:rsidP="007C7579">
            <w:pPr>
              <w:pStyle w:val="TableBodyText"/>
              <w:cnfStyle w:val="000000010000" w:firstRow="0" w:lastRow="0" w:firstColumn="0" w:lastColumn="0" w:oddVBand="0" w:evenVBand="0" w:oddHBand="0" w:evenHBand="1" w:firstRowFirstColumn="0" w:firstRowLastColumn="0" w:lastRowFirstColumn="0" w:lastRowLastColumn="0"/>
              <w:rPr>
                <w:lang w:eastAsia="en-AU"/>
              </w:rPr>
            </w:pPr>
            <w:r>
              <w:t>T</w:t>
            </w:r>
            <w:r w:rsidRPr="00202DE9">
              <w:t xml:space="preserve">otal </w:t>
            </w:r>
            <w:r>
              <w:t xml:space="preserve">pay </w:t>
            </w:r>
            <w:r w:rsidRPr="00202DE9">
              <w:t xml:space="preserve">and base/ordinary </w:t>
            </w:r>
            <w:r>
              <w:t>pay</w:t>
            </w:r>
          </w:p>
        </w:tc>
      </w:tr>
      <w:tr w:rsidR="00240AAD" w14:paraId="4453BB5D" w14:textId="77777777" w:rsidTr="00F313E3">
        <w:trPr>
          <w:trHeight w:val="586"/>
        </w:trPr>
        <w:tc>
          <w:tcPr>
            <w:cnfStyle w:val="001000000000" w:firstRow="0" w:lastRow="0" w:firstColumn="1" w:lastColumn="0" w:oddVBand="0" w:evenVBand="0" w:oddHBand="0" w:evenHBand="0" w:firstRowFirstColumn="0" w:firstRowLastColumn="0" w:lastRowFirstColumn="0" w:lastRowLastColumn="0"/>
            <w:tcW w:w="1985" w:type="dxa"/>
          </w:tcPr>
          <w:p w14:paraId="342894DD" w14:textId="0369B9B0" w:rsidR="00D236B4" w:rsidRDefault="00D236B4" w:rsidP="007C7579">
            <w:pPr>
              <w:pStyle w:val="TableHeading1"/>
              <w:rPr>
                <w:lang w:eastAsia="en-AU"/>
              </w:rPr>
            </w:pPr>
            <w:r>
              <w:t>W</w:t>
            </w:r>
            <w:r w:rsidRPr="005C772B">
              <w:t>orking arrangements and other related job characteristics</w:t>
            </w:r>
          </w:p>
        </w:tc>
        <w:tc>
          <w:tcPr>
            <w:tcW w:w="2410" w:type="dxa"/>
          </w:tcPr>
          <w:p w14:paraId="13E3A2A7" w14:textId="1373E2D5" w:rsidR="00D236B4" w:rsidRDefault="00D236B4" w:rsidP="007C7579">
            <w:pPr>
              <w:pStyle w:val="TableBodyText"/>
              <w:cnfStyle w:val="000000000000" w:firstRow="0" w:lastRow="0" w:firstColumn="0" w:lastColumn="0" w:oddVBand="0" w:evenVBand="0" w:oddHBand="0" w:evenHBand="0" w:firstRowFirstColumn="0" w:firstRowLastColumn="0" w:lastRowFirstColumn="0" w:lastRowLastColumn="0"/>
              <w:rPr>
                <w:lang w:eastAsia="en-AU"/>
              </w:rPr>
            </w:pPr>
            <w:r>
              <w:t>L</w:t>
            </w:r>
            <w:r w:rsidRPr="005C772B">
              <w:t>imited to hours of work</w:t>
            </w:r>
            <w:r>
              <w:t xml:space="preserve"> from Census</w:t>
            </w:r>
          </w:p>
        </w:tc>
        <w:tc>
          <w:tcPr>
            <w:tcW w:w="2268" w:type="dxa"/>
          </w:tcPr>
          <w:p w14:paraId="1EE39545" w14:textId="6EDB4A3C" w:rsidR="00D236B4" w:rsidRDefault="00D236B4" w:rsidP="007C7579">
            <w:pPr>
              <w:pStyle w:val="TableBodyText"/>
              <w:cnfStyle w:val="000000000000" w:firstRow="0" w:lastRow="0" w:firstColumn="0" w:lastColumn="0" w:oddVBand="0" w:evenVBand="0" w:oddHBand="0" w:evenHBand="0" w:firstRowFirstColumn="0" w:firstRowLastColumn="0" w:lastRowFirstColumn="0" w:lastRowLastColumn="0"/>
              <w:rPr>
                <w:lang w:eastAsia="en-AU"/>
              </w:rPr>
            </w:pPr>
            <w:r>
              <w:t xml:space="preserve">A range of </w:t>
            </w:r>
            <w:r w:rsidR="00112D14">
              <w:t>information to support more like-for-like comparisons</w:t>
            </w:r>
          </w:p>
        </w:tc>
        <w:tc>
          <w:tcPr>
            <w:tcW w:w="2551" w:type="dxa"/>
          </w:tcPr>
          <w:p w14:paraId="1BE23F2D" w14:textId="4F96379C" w:rsidR="00D236B4" w:rsidRDefault="00112D14" w:rsidP="007C7579">
            <w:pPr>
              <w:pStyle w:val="TableBodyText"/>
              <w:cnfStyle w:val="000000000000" w:firstRow="0" w:lastRow="0" w:firstColumn="0" w:lastColumn="0" w:oddVBand="0" w:evenVBand="0" w:oddHBand="0" w:evenHBand="0" w:firstRowFirstColumn="0" w:firstRowLastColumn="0" w:lastRowFirstColumn="0" w:lastRowLastColumn="0"/>
              <w:rPr>
                <w:lang w:eastAsia="en-AU"/>
              </w:rPr>
            </w:pPr>
            <w:r>
              <w:t>A</w:t>
            </w:r>
            <w:r w:rsidRPr="00112D14">
              <w:t xml:space="preserve"> range of information to support more like-for-like comparisons</w:t>
            </w:r>
          </w:p>
        </w:tc>
      </w:tr>
    </w:tbl>
    <w:p w14:paraId="55224BE3" w14:textId="42DAAD87" w:rsidR="001657DE" w:rsidRPr="005B5BFF" w:rsidRDefault="001657DE" w:rsidP="0029120E">
      <w:pPr>
        <w:pStyle w:val="Heading2"/>
        <w:spacing w:before="360"/>
      </w:pPr>
      <w:bookmarkStart w:id="23" w:name="_Toc204596290"/>
      <w:r>
        <w:lastRenderedPageBreak/>
        <w:t>Methodology</w:t>
      </w:r>
      <w:r w:rsidR="0050063A">
        <w:t xml:space="preserve"> used in this Study</w:t>
      </w:r>
      <w:bookmarkEnd w:id="23"/>
    </w:p>
    <w:p w14:paraId="479FA5FF" w14:textId="197DEA61" w:rsidR="0022298B" w:rsidRDefault="0022298B" w:rsidP="0022298B">
      <w:pPr>
        <w:pStyle w:val="Heading3"/>
      </w:pPr>
      <w:bookmarkStart w:id="24" w:name="_Toc204596291"/>
      <w:r>
        <w:t>Annualisation</w:t>
      </w:r>
      <w:bookmarkEnd w:id="24"/>
    </w:p>
    <w:p w14:paraId="42A1D908" w14:textId="5DDA7A33" w:rsidR="00942938" w:rsidRDefault="55051529" w:rsidP="00525A89">
      <w:pPr>
        <w:pStyle w:val="BodyText"/>
      </w:pPr>
      <w:r>
        <w:t xml:space="preserve">Our Study has leveraged </w:t>
      </w:r>
      <w:r w:rsidR="00C113DC">
        <w:t xml:space="preserve">personal income and </w:t>
      </w:r>
      <w:r>
        <w:t xml:space="preserve">PAYG </w:t>
      </w:r>
      <w:r w:rsidR="00C113DC">
        <w:t xml:space="preserve">tax </w:t>
      </w:r>
      <w:r>
        <w:t xml:space="preserve">data to </w:t>
      </w:r>
      <w:r w:rsidR="00074705">
        <w:t xml:space="preserve">produce </w:t>
      </w:r>
      <w:r w:rsidR="001004D8">
        <w:t>detaile</w:t>
      </w:r>
      <w:r w:rsidR="00E66057">
        <w:t>d</w:t>
      </w:r>
      <w:r w:rsidR="001004D8">
        <w:t xml:space="preserve"> occupation and </w:t>
      </w:r>
      <w:r>
        <w:t xml:space="preserve">intersectional gender pay gaps. This comes with </w:t>
      </w:r>
      <w:r w:rsidR="0022298B">
        <w:t xml:space="preserve">some </w:t>
      </w:r>
      <w:r>
        <w:t xml:space="preserve">limitations, as </w:t>
      </w:r>
      <w:r w:rsidR="00C113DC">
        <w:t>only limited '</w:t>
      </w:r>
      <w:r>
        <w:t>annualisation</w:t>
      </w:r>
      <w:r w:rsidR="00C113DC">
        <w:t>'</w:t>
      </w:r>
      <w:r>
        <w:t xml:space="preserve"> of the data is possible. Annualisation </w:t>
      </w:r>
      <w:r w:rsidR="00C113DC">
        <w:t xml:space="preserve">for gender pay gap analysis </w:t>
      </w:r>
      <w:r>
        <w:t xml:space="preserve">is </w:t>
      </w:r>
      <w:r w:rsidR="004620FB">
        <w:t xml:space="preserve">usually </w:t>
      </w:r>
      <w:r>
        <w:t>when the income of those who do not work full-time is adjusted to calculate their salary if they did work full time</w:t>
      </w:r>
      <w:r w:rsidR="008A764F">
        <w:t>, and to present this as an annual figure, in respect of an entire financial year</w:t>
      </w:r>
      <w:r>
        <w:t>. This allows for a like-for-like comparison against full time workers with those that work part time</w:t>
      </w:r>
      <w:r w:rsidR="00F8052C">
        <w:t xml:space="preserve">, </w:t>
      </w:r>
      <w:r w:rsidR="00AF77E5">
        <w:t xml:space="preserve">as well as </w:t>
      </w:r>
      <w:r w:rsidR="00F8052C">
        <w:t>people who worked for part of the year with people who worked for the whole of the year</w:t>
      </w:r>
      <w:r w:rsidR="00FD666E">
        <w:t>.</w:t>
      </w:r>
    </w:p>
    <w:p w14:paraId="4D904022" w14:textId="51781CF9" w:rsidR="55051529" w:rsidRDefault="55051529" w:rsidP="00525A89">
      <w:pPr>
        <w:pStyle w:val="BodyText"/>
      </w:pPr>
      <w:r>
        <w:t xml:space="preserve">This means the Study's gender pay gaps are calculated differently to those from the </w:t>
      </w:r>
      <w:hyperlink r:id="rId30">
        <w:r w:rsidRPr="16B4E0FE">
          <w:rPr>
            <w:rStyle w:val="Hyperlink"/>
          </w:rPr>
          <w:t>Workplace Gender Equality Agency</w:t>
        </w:r>
      </w:hyperlink>
      <w:r>
        <w:t>, who annualise their data</w:t>
      </w:r>
      <w:r w:rsidR="00AF77E5">
        <w:t xml:space="preserve"> both for different working hours and </w:t>
      </w:r>
      <w:r w:rsidR="00942938">
        <w:t xml:space="preserve">different periods of time through the year, while this </w:t>
      </w:r>
      <w:r w:rsidR="00071CB8">
        <w:t>S</w:t>
      </w:r>
      <w:r w:rsidR="00942938">
        <w:t xml:space="preserve">tudy has only been able to do the latter (which is why median hours worked data is included </w:t>
      </w:r>
      <w:r w:rsidR="00894105">
        <w:t>to provide important supporting context)</w:t>
      </w:r>
      <w:r>
        <w:t xml:space="preserve">. </w:t>
      </w:r>
      <w:r w:rsidR="0022298B">
        <w:t>See methodological summary below</w:t>
      </w:r>
      <w:r w:rsidR="00FD666E">
        <w:t>.</w:t>
      </w:r>
    </w:p>
    <w:p w14:paraId="2E43F846" w14:textId="77777777" w:rsidR="0022298B" w:rsidRPr="00533FE0" w:rsidRDefault="0022298B" w:rsidP="0022298B">
      <w:pPr>
        <w:pStyle w:val="Heading3"/>
      </w:pPr>
      <w:bookmarkStart w:id="25" w:name="_Toc204596292"/>
      <w:r>
        <w:t>Exclusion of self-employed and people with no income</w:t>
      </w:r>
      <w:bookmarkEnd w:id="25"/>
    </w:p>
    <w:p w14:paraId="009857D2" w14:textId="3BA18034" w:rsidR="0022298B" w:rsidRPr="00AD0BBC" w:rsidRDefault="0022298B" w:rsidP="0022298B">
      <w:pPr>
        <w:pStyle w:val="BodyText"/>
        <w:rPr>
          <w:rStyle w:val="Hyperlink"/>
        </w:rPr>
      </w:pPr>
      <w:r>
        <w:t>I</w:t>
      </w:r>
      <w:r w:rsidRPr="0022298B">
        <w:t xml:space="preserve">n our </w:t>
      </w:r>
      <w:r w:rsidR="00DE4566">
        <w:t xml:space="preserve">pay gap </w:t>
      </w:r>
      <w:r w:rsidRPr="0022298B">
        <w:t>calculations</w:t>
      </w:r>
      <w:r w:rsidR="00830E4E">
        <w:t>,</w:t>
      </w:r>
      <w:r w:rsidRPr="0022298B">
        <w:t xml:space="preserve"> we exclude people with nil/zero income because</w:t>
      </w:r>
      <w:r w:rsidR="00830E4E">
        <w:t xml:space="preserve"> $0 income values have the potential to skew the data. This aligns with other pay gap calculation approaches, such as WGEA's.</w:t>
      </w:r>
      <w:r w:rsidR="008A2CEC" w:rsidRPr="008A2CEC">
        <w:t xml:space="preserve"> </w:t>
      </w:r>
      <w:r w:rsidR="00AD0BBC">
        <w:fldChar w:fldCharType="begin"/>
      </w:r>
      <w:r w:rsidR="00AD0BBC">
        <w:instrText>HYPERLINK "https://www.wgea.gov.au/sites/default/files/documents/Private_Sector_Employer_Gender_Pay_Gap_Technical_Guide_2024.pdf"</w:instrText>
      </w:r>
      <w:r w:rsidR="00AD0BBC">
        <w:fldChar w:fldCharType="separate"/>
      </w:r>
      <w:r w:rsidR="00AD0BBC" w:rsidRPr="00AD0BBC">
        <w:rPr>
          <w:rStyle w:val="Hyperlink"/>
        </w:rPr>
        <w:t>Private Sector Employer Gender Pay Gap Technical Guide 2024</w:t>
      </w:r>
    </w:p>
    <w:p w14:paraId="6F6DC437" w14:textId="5BDAEACA" w:rsidR="0022298B" w:rsidRDefault="00AD0BBC" w:rsidP="0022298B">
      <w:pPr>
        <w:pStyle w:val="BodyText"/>
      </w:pPr>
      <w:r>
        <w:fldChar w:fldCharType="end"/>
      </w:r>
      <w:r w:rsidR="0022298B">
        <w:t xml:space="preserve">ATO </w:t>
      </w:r>
      <w:r w:rsidR="0022298B" w:rsidRPr="0022298B">
        <w:t>income tax return data, also does not capture all self-employed individuals which operate as a business and meeting the Personal Services Business Test. Business owners of this type submit a Company Tax Return and there is no requirement for them to report an occupation to the tax office.</w:t>
      </w:r>
    </w:p>
    <w:p w14:paraId="168B006A" w14:textId="3ABAA44E" w:rsidR="004E6E0B" w:rsidRDefault="004E6E0B" w:rsidP="004E6E0B">
      <w:pPr>
        <w:pStyle w:val="Heading3"/>
      </w:pPr>
      <w:bookmarkStart w:id="26" w:name="_Toc204596293"/>
      <w:r>
        <w:t xml:space="preserve">Occupations included </w:t>
      </w:r>
      <w:r w:rsidR="007B0DC2">
        <w:t>in pay gap analysis</w:t>
      </w:r>
      <w:bookmarkEnd w:id="26"/>
    </w:p>
    <w:p w14:paraId="5E6C5B07" w14:textId="6F4479F0" w:rsidR="00DF4D8F" w:rsidRDefault="00B22FA4" w:rsidP="004E6E0B">
      <w:pPr>
        <w:pStyle w:val="BodyText"/>
        <w:rPr>
          <w:lang w:eastAsia="en-AU"/>
        </w:rPr>
      </w:pPr>
      <w:r>
        <w:t xml:space="preserve">Not all ANZSCO 6-digit occupations were able to be analysed in this </w:t>
      </w:r>
      <w:r w:rsidRPr="004E6E0B">
        <w:rPr>
          <w:lang w:eastAsia="en-AU"/>
        </w:rPr>
        <w:t>Study</w:t>
      </w:r>
      <w:r>
        <w:t>. O</w:t>
      </w:r>
      <w:r w:rsidR="004E6E0B" w:rsidRPr="004E6E0B">
        <w:rPr>
          <w:lang w:eastAsia="en-AU"/>
        </w:rPr>
        <w:t xml:space="preserve">ccupations classified as 'not further defined'/'nfd', as well as those with a workforce size less than 1,000 employees were excluded from analysis. </w:t>
      </w:r>
      <w:r w:rsidR="002F3A7A">
        <w:t xml:space="preserve">Additionally, occupations that had </w:t>
      </w:r>
      <w:r w:rsidR="00F50E55">
        <w:t xml:space="preserve">no income for females (i.e., a 100% gender pay gap) were excluded from analysis. </w:t>
      </w:r>
      <w:r w:rsidR="004E6E0B" w:rsidRPr="004E6E0B">
        <w:rPr>
          <w:lang w:eastAsia="en-AU"/>
        </w:rPr>
        <w:t xml:space="preserve">This left a total of 688 ANZSCO 6-digit occupational </w:t>
      </w:r>
      <w:r w:rsidR="00626347">
        <w:t xml:space="preserve">median annual </w:t>
      </w:r>
      <w:r w:rsidR="004E6E0B" w:rsidRPr="004E6E0B">
        <w:rPr>
          <w:lang w:eastAsia="en-AU"/>
        </w:rPr>
        <w:t xml:space="preserve">gender pay gaps </w:t>
      </w:r>
      <w:r w:rsidR="00F50E55">
        <w:t xml:space="preserve">included </w:t>
      </w:r>
      <w:r w:rsidR="00F50E55" w:rsidRPr="004E6E0B">
        <w:rPr>
          <w:lang w:eastAsia="en-AU"/>
        </w:rPr>
        <w:t xml:space="preserve">in this </w:t>
      </w:r>
      <w:r w:rsidR="00F50E55">
        <w:t>Study</w:t>
      </w:r>
      <w:r w:rsidR="00FD666E">
        <w:rPr>
          <w:lang w:eastAsia="en-AU"/>
        </w:rPr>
        <w:t>.</w:t>
      </w:r>
    </w:p>
    <w:p w14:paraId="4F6AEDEE" w14:textId="6B3154D7" w:rsidR="0097707B" w:rsidRDefault="0097707B" w:rsidP="0097707B">
      <w:pPr>
        <w:pStyle w:val="Heading3"/>
      </w:pPr>
      <w:bookmarkStart w:id="27" w:name="_Toc204596294"/>
      <w:r>
        <w:t xml:space="preserve">Classifying </w:t>
      </w:r>
      <w:r w:rsidR="009C11BD">
        <w:t>'</w:t>
      </w:r>
      <w:r>
        <w:t>neutral</w:t>
      </w:r>
      <w:r w:rsidR="009C11BD">
        <w:t>'</w:t>
      </w:r>
      <w:r>
        <w:t xml:space="preserve"> gender pay gaps</w:t>
      </w:r>
      <w:bookmarkEnd w:id="27"/>
    </w:p>
    <w:p w14:paraId="50B4583C" w14:textId="4CC7D6A3" w:rsidR="009B371A" w:rsidRDefault="00F50E55" w:rsidP="004E6E0B">
      <w:pPr>
        <w:pStyle w:val="BodyText"/>
      </w:pPr>
      <w:r>
        <w:t xml:space="preserve">Aligning with </w:t>
      </w:r>
      <w:r w:rsidR="0090749B">
        <w:t xml:space="preserve">WGEA's approach, this Study classified a pay gap </w:t>
      </w:r>
      <w:r w:rsidR="00CC2029">
        <w:t>as being 'neutral' when it was 5% or below.</w:t>
      </w:r>
      <w:r>
        <w:t xml:space="preserve"> </w:t>
      </w:r>
      <w:r w:rsidR="004E6E0B" w:rsidRPr="004E6E0B">
        <w:rPr>
          <w:lang w:eastAsia="en-AU"/>
        </w:rPr>
        <w:t xml:space="preserve">2% of occupations had a median </w:t>
      </w:r>
      <w:r w:rsidR="00626347">
        <w:t>annual</w:t>
      </w:r>
      <w:r w:rsidR="004E6E0B" w:rsidRPr="004E6E0B">
        <w:rPr>
          <w:lang w:eastAsia="en-AU"/>
        </w:rPr>
        <w:t xml:space="preserve"> gender pay gap</w:t>
      </w:r>
      <w:r w:rsidR="00DD3E5C" w:rsidRPr="004E6E0B">
        <w:rPr>
          <w:lang w:eastAsia="en-AU"/>
        </w:rPr>
        <w:t xml:space="preserve"> </w:t>
      </w:r>
      <w:r w:rsidR="00DD3E5C">
        <w:t>equal to or</w:t>
      </w:r>
      <w:r w:rsidR="004E6E0B" w:rsidRPr="004E6E0B">
        <w:rPr>
          <w:lang w:eastAsia="en-AU"/>
        </w:rPr>
        <w:t xml:space="preserve"> less than 5%</w:t>
      </w:r>
      <w:r w:rsidR="00DF4D8F">
        <w:t xml:space="preserve"> </w:t>
      </w:r>
      <w:r w:rsidR="004E6E0B" w:rsidRPr="004E6E0B">
        <w:rPr>
          <w:lang w:eastAsia="en-AU"/>
        </w:rPr>
        <w:t>and were considered 'neutral' pay gaps</w:t>
      </w:r>
      <w:r w:rsidR="00DD3E5C">
        <w:t>,</w:t>
      </w:r>
      <w:r w:rsidR="004E6E0B" w:rsidRPr="004E6E0B">
        <w:rPr>
          <w:lang w:eastAsia="en-AU"/>
        </w:rPr>
        <w:t xml:space="preserve"> with two occupations having pay gaps in favour of women: Project Builders (-12.0%) and Earthmoving Plant Operators (-6.2%). These two occupations also had pay gaps in favour of women over a decade ago in 2010-11</w:t>
      </w:r>
      <w:r w:rsidR="00FD666E">
        <w:rPr>
          <w:lang w:eastAsia="en-AU"/>
        </w:rPr>
        <w:t>.</w:t>
      </w:r>
    </w:p>
    <w:p w14:paraId="09144556" w14:textId="56D2CE7C" w:rsidR="004E6E0B" w:rsidRDefault="002171DE" w:rsidP="004E6E0B">
      <w:pPr>
        <w:pStyle w:val="BodyText"/>
        <w:rPr>
          <w:lang w:eastAsia="en-AU"/>
        </w:rPr>
      </w:pPr>
      <w:r>
        <w:t xml:space="preserve">This Study </w:t>
      </w:r>
      <w:r w:rsidR="00085149">
        <w:t>does</w:t>
      </w:r>
      <w:r>
        <w:t xml:space="preserve"> not delve into these</w:t>
      </w:r>
      <w:r w:rsidR="00085149">
        <w:t xml:space="preserve"> occupational pay gaps in favour of women, but with Project Builders being a large employing occupation in a male dominated construction industry, </w:t>
      </w:r>
      <w:r w:rsidR="00192347">
        <w:t xml:space="preserve">further investigation into its </w:t>
      </w:r>
      <w:r w:rsidR="009C11BD">
        <w:t>pay gap being in favour of women is warranted</w:t>
      </w:r>
      <w:r w:rsidR="00FD666E">
        <w:t>.</w:t>
      </w:r>
    </w:p>
    <w:p w14:paraId="3A158CF6" w14:textId="7D445D07" w:rsidR="0022298B" w:rsidRDefault="0022298B" w:rsidP="0022298B">
      <w:pPr>
        <w:pStyle w:val="Heading3"/>
      </w:pPr>
      <w:bookmarkStart w:id="28" w:name="_Toc204596295"/>
      <w:r>
        <w:lastRenderedPageBreak/>
        <w:t>Occupational gender pay gaps over time</w:t>
      </w:r>
      <w:bookmarkEnd w:id="28"/>
    </w:p>
    <w:p w14:paraId="1B54E712" w14:textId="0994D702" w:rsidR="0022298B" w:rsidRDefault="0022298B" w:rsidP="0022298B">
      <w:pPr>
        <w:pStyle w:val="BodyText"/>
      </w:pPr>
      <w:r>
        <w:t xml:space="preserve">To assess changes in occupational </w:t>
      </w:r>
      <w:r w:rsidR="00903C4B">
        <w:t xml:space="preserve">median annual </w:t>
      </w:r>
      <w:r>
        <w:t xml:space="preserve">gender </w:t>
      </w:r>
      <w:r w:rsidRPr="00533FE0">
        <w:t xml:space="preserve">pay gaps over time, </w:t>
      </w:r>
      <w:r>
        <w:t>we</w:t>
      </w:r>
      <w:r w:rsidRPr="00533FE0">
        <w:t xml:space="preserve"> </w:t>
      </w:r>
      <w:r>
        <w:t xml:space="preserve">calculated gaps at four time points </w:t>
      </w:r>
      <w:r w:rsidRPr="00533FE0">
        <w:t>in 2010</w:t>
      </w:r>
      <w:r>
        <w:t>-11</w:t>
      </w:r>
      <w:r w:rsidRPr="00533FE0">
        <w:t>, 2013</w:t>
      </w:r>
      <w:r>
        <w:t>-14</w:t>
      </w:r>
      <w:r w:rsidRPr="00533FE0">
        <w:t>, 2016</w:t>
      </w:r>
      <w:r>
        <w:t>-17</w:t>
      </w:r>
      <w:r w:rsidRPr="00533FE0">
        <w:t xml:space="preserve"> and 2018</w:t>
      </w:r>
      <w:r>
        <w:t>-19</w:t>
      </w:r>
      <w:r w:rsidRPr="00533FE0">
        <w:t>.</w:t>
      </w:r>
      <w:r>
        <w:t xml:space="preserve"> As noted in the main paper, both the total workforce and occupational </w:t>
      </w:r>
      <w:r w:rsidRPr="00533FE0">
        <w:t>gender pay gap</w:t>
      </w:r>
      <w:r>
        <w:t>s</w:t>
      </w:r>
      <w:r w:rsidRPr="00533FE0">
        <w:t xml:space="preserve"> decreas</w:t>
      </w:r>
      <w:r>
        <w:t>ed over time. However, there was a slight increase in the number of occupations that</w:t>
      </w:r>
      <w:r w:rsidRPr="00533FE0">
        <w:t xml:space="preserve"> had a gender pay gap in favour of males</w:t>
      </w:r>
      <w:r>
        <w:t>. In 2010-11, 93</w:t>
      </w:r>
      <w:r w:rsidRPr="00533FE0">
        <w:t>%</w:t>
      </w:r>
      <w:r>
        <w:t xml:space="preserve"> of occupational gender pay gaps were in favour of males but in 2022-23 this increased to 98%</w:t>
      </w:r>
      <w:r w:rsidR="00FD666E">
        <w:t>.</w:t>
      </w:r>
    </w:p>
    <w:p w14:paraId="689324DA" w14:textId="58A9AFF6" w:rsidR="0022298B" w:rsidRDefault="0022298B" w:rsidP="0022298B">
      <w:pPr>
        <w:pStyle w:val="BodyText"/>
      </w:pPr>
      <w:r w:rsidRPr="00533FE0">
        <w:t xml:space="preserve">Many of the occupations that have </w:t>
      </w:r>
      <w:r>
        <w:t xml:space="preserve">seen </w:t>
      </w:r>
      <w:r w:rsidRPr="00533FE0">
        <w:t xml:space="preserve">the largest differences in gender pay gaps over this time are seasonal and/or highly casualised jobs, such as University Tutors, Out of School Hours Care Workers, and Fruit or Nut Pickers. </w:t>
      </w:r>
      <w:r>
        <w:t xml:space="preserve">Gender </w:t>
      </w:r>
      <w:r w:rsidR="008D738B">
        <w:t>p</w:t>
      </w:r>
      <w:r>
        <w:t xml:space="preserve">ay </w:t>
      </w:r>
      <w:r w:rsidR="008D738B">
        <w:t>g</w:t>
      </w:r>
      <w:r>
        <w:t xml:space="preserve">ap data is impacted by seasonality of some occupations because the workforce can rapidly increase or decrease, making it difficult to capture a representative picture of annual income. Regardless, JSA suggests in future work that large differences in gender pay gaps over time </w:t>
      </w:r>
      <w:r w:rsidRPr="00533FE0">
        <w:t>warrant further investigation.</w:t>
      </w:r>
    </w:p>
    <w:p w14:paraId="52CB0E19" w14:textId="6B14F09D" w:rsidR="0022298B" w:rsidRDefault="0022298B" w:rsidP="0022298B">
      <w:pPr>
        <w:pStyle w:val="Heading3"/>
      </w:pPr>
      <w:bookmarkStart w:id="29" w:name="_Toc204596296"/>
      <w:r>
        <w:t>10-year accumulated gender pay gaps</w:t>
      </w:r>
      <w:bookmarkEnd w:id="29"/>
    </w:p>
    <w:p w14:paraId="3DF226F1" w14:textId="3C152F44" w:rsidR="005379FF" w:rsidRPr="00533FE0" w:rsidRDefault="0022298B" w:rsidP="0022298B">
      <w:pPr>
        <w:pStyle w:val="BodyText"/>
      </w:pPr>
      <w:r>
        <w:t xml:space="preserve">We calculated our 10-year accumulated gender pay gap figures by </w:t>
      </w:r>
      <w:r w:rsidR="00AE2D83">
        <w:t>c</w:t>
      </w:r>
      <w:r w:rsidR="002D0769">
        <w:t>ollecting</w:t>
      </w:r>
      <w:r>
        <w:t xml:space="preserve"> </w:t>
      </w:r>
      <w:r w:rsidR="002D0769">
        <w:t>the</w:t>
      </w:r>
      <w:r w:rsidR="005379FF" w:rsidRPr="005379FF">
        <w:t xml:space="preserve"> annual combined income for 10 years for individuals who earned a non-zero income in each year</w:t>
      </w:r>
      <w:r w:rsidR="00660B9B">
        <w:t xml:space="preserve"> </w:t>
      </w:r>
      <w:r w:rsidR="005379FF" w:rsidRPr="005379FF">
        <w:t>for the 2010</w:t>
      </w:r>
      <w:r w:rsidR="00096AF3">
        <w:t>-11</w:t>
      </w:r>
      <w:r w:rsidR="005379FF" w:rsidRPr="005379FF">
        <w:t xml:space="preserve"> Cohort</w:t>
      </w:r>
      <w:r w:rsidR="002D0769">
        <w:t xml:space="preserve">. </w:t>
      </w:r>
      <w:r w:rsidR="00660B9B">
        <w:t xml:space="preserve">The median 10-year accumulated </w:t>
      </w:r>
      <w:r w:rsidR="00917D53">
        <w:t>income for an occupation was then compared to two male benchmarks: a</w:t>
      </w:r>
      <w:r w:rsidR="005379FF" w:rsidRPr="005379FF">
        <w:t>n 'ALL males' and 'non-CALD male' comparison.</w:t>
      </w:r>
      <w:r w:rsidR="005379FF">
        <w:t xml:space="preserve"> The non-CALD male benchmark is based on the CALD proxy</w:t>
      </w:r>
      <w:r w:rsidR="003539DD">
        <w:t xml:space="preserve"> outlined </w:t>
      </w:r>
      <w:r w:rsidR="0093505B">
        <w:t>earlier in this technical paper</w:t>
      </w:r>
      <w:r w:rsidR="005379FF">
        <w:t>.</w:t>
      </w:r>
    </w:p>
    <w:p w14:paraId="7923C019" w14:textId="0732B046" w:rsidR="0022298B" w:rsidRDefault="0022298B" w:rsidP="0022298B">
      <w:pPr>
        <w:pStyle w:val="BodyText"/>
      </w:pPr>
      <w:r>
        <w:t xml:space="preserve">One limitation </w:t>
      </w:r>
      <w:r w:rsidR="0093505B">
        <w:t>of this 10-</w:t>
      </w:r>
      <w:r w:rsidR="00096AF3">
        <w:t xml:space="preserve">year accumulated pay gap </w:t>
      </w:r>
      <w:r>
        <w:t xml:space="preserve">is that we only know the occupation of the 2010-11 cohort for </w:t>
      </w:r>
      <w:r w:rsidR="00096AF3">
        <w:t>the first</w:t>
      </w:r>
      <w:r>
        <w:t xml:space="preserve"> year</w:t>
      </w:r>
      <w:r w:rsidR="00096AF3">
        <w:t xml:space="preserve"> in the data</w:t>
      </w:r>
      <w:r>
        <w:t>, and as we follow them over time to calculate the accumulated 10-year gender pay gaps we cannot identify or monitor any occupation changes. Whil</w:t>
      </w:r>
      <w:r w:rsidR="00B93D8D">
        <w:t>e</w:t>
      </w:r>
      <w:r>
        <w:t xml:space="preserve"> </w:t>
      </w:r>
      <w:r w:rsidR="00A94BC6">
        <w:t xml:space="preserve">on one hand </w:t>
      </w:r>
      <w:r>
        <w:t>this could be considered a limitation</w:t>
      </w:r>
      <w:r w:rsidR="004D1888">
        <w:t>, particularly</w:t>
      </w:r>
      <w:r>
        <w:t xml:space="preserve"> if we were solely looking at occupational accumulated 10-year gender pay gaps, </w:t>
      </w:r>
      <w:r w:rsidR="00484F7C">
        <w:t xml:space="preserve">on the other hand it does have an </w:t>
      </w:r>
      <w:r>
        <w:t xml:space="preserve">advantage </w:t>
      </w:r>
      <w:r w:rsidR="00484F7C">
        <w:t xml:space="preserve">in </w:t>
      </w:r>
      <w:r>
        <w:t xml:space="preserve">automatically </w:t>
      </w:r>
      <w:r w:rsidR="00484F7C">
        <w:t xml:space="preserve">accounting for </w:t>
      </w:r>
      <w:r w:rsidRPr="00846852">
        <w:t>job mobility or career changes</w:t>
      </w:r>
      <w:r w:rsidR="00AB6C95">
        <w:t xml:space="preserve"> </w:t>
      </w:r>
      <w:r w:rsidR="008A1C96">
        <w:t>and highlights the long-term earnings experiences of people in those occupations</w:t>
      </w:r>
      <w:r>
        <w:t>. See the supplementary tables and analysis in the next section on findings in relation to this.</w:t>
      </w:r>
    </w:p>
    <w:p w14:paraId="6D8C9726" w14:textId="67126E92" w:rsidR="0035051F" w:rsidRDefault="008A1C96" w:rsidP="0022298B">
      <w:pPr>
        <w:pStyle w:val="BodyText"/>
      </w:pPr>
      <w:r>
        <w:t xml:space="preserve">A second limitation is that </w:t>
      </w:r>
      <w:r w:rsidR="0035051F">
        <w:t xml:space="preserve">some people, particularly women, may take more than a </w:t>
      </w:r>
      <w:r w:rsidR="009D52CB">
        <w:t xml:space="preserve">full financial </w:t>
      </w:r>
      <w:r w:rsidR="0035051F">
        <w:t>year</w:t>
      </w:r>
      <w:r w:rsidR="009D52CB">
        <w:t>'s worth</w:t>
      </w:r>
      <w:r w:rsidR="0035051F">
        <w:t xml:space="preserve"> of unpaid leave</w:t>
      </w:r>
      <w:r w:rsidR="00AC1C84">
        <w:t xml:space="preserve"> (thereby not having any </w:t>
      </w:r>
      <w:r w:rsidR="009E5387">
        <w:t>employment income in that financial year)</w:t>
      </w:r>
      <w:r w:rsidR="00376D63">
        <w:t xml:space="preserve"> and will therefore not be included in this analysis.</w:t>
      </w:r>
      <w:r w:rsidR="009E5387">
        <w:t xml:space="preserve"> However</w:t>
      </w:r>
      <w:r w:rsidR="00BF628B">
        <w:t>,</w:t>
      </w:r>
      <w:r w:rsidR="009E5387">
        <w:t xml:space="preserve"> this is </w:t>
      </w:r>
      <w:r w:rsidR="00BF628B">
        <w:t xml:space="preserve">a very small proportion of employed </w:t>
      </w:r>
      <w:r w:rsidR="009E5387">
        <w:t>people.</w:t>
      </w:r>
    </w:p>
    <w:p w14:paraId="3B12DDE6" w14:textId="755B6430" w:rsidR="0022298B" w:rsidRDefault="00D506CE" w:rsidP="0022298B">
      <w:pPr>
        <w:pStyle w:val="Heading3"/>
      </w:pPr>
      <w:bookmarkStart w:id="30" w:name="_Toc204596297"/>
      <w:r>
        <w:t>Occupational m</w:t>
      </w:r>
      <w:r w:rsidR="0022298B">
        <w:t xml:space="preserve">edian hours worked </w:t>
      </w:r>
      <w:r w:rsidR="00F07F1C">
        <w:t>gaps</w:t>
      </w:r>
      <w:bookmarkEnd w:id="30"/>
    </w:p>
    <w:p w14:paraId="279AF084" w14:textId="072A6150" w:rsidR="00536212" w:rsidRDefault="000552B0" w:rsidP="009C4985">
      <w:pPr>
        <w:pStyle w:val="BodyText"/>
      </w:pPr>
      <w:r>
        <w:t xml:space="preserve">Alongside occupational gender pay gaps, this Study </w:t>
      </w:r>
      <w:r w:rsidR="00D77C40">
        <w:t xml:space="preserve">also </w:t>
      </w:r>
      <w:r>
        <w:t xml:space="preserve">presents </w:t>
      </w:r>
      <w:r w:rsidR="00D77C40">
        <w:t>occupational median hours worked gaps for ANZSCO 6-digit occupations. This is to assist in interpreting pay gap data</w:t>
      </w:r>
      <w:r w:rsidR="006063F3">
        <w:t xml:space="preserve">, particularly related to </w:t>
      </w:r>
      <w:r w:rsidR="00A43127">
        <w:t>gender differences in working arrangements.</w:t>
      </w:r>
    </w:p>
    <w:p w14:paraId="7B02AB21" w14:textId="0574CBFD" w:rsidR="0022298B" w:rsidRPr="0022298B" w:rsidRDefault="0022298B" w:rsidP="009C4985">
      <w:pPr>
        <w:pStyle w:val="BodyText"/>
      </w:pPr>
      <w:r w:rsidRPr="005B0473">
        <w:t>Sometimes the</w:t>
      </w:r>
      <w:r w:rsidR="00293F37">
        <w:t>se</w:t>
      </w:r>
      <w:r w:rsidRPr="005B0473">
        <w:t xml:space="preserve"> differences are important for considering gender pay gaps</w:t>
      </w:r>
      <w:r w:rsidR="00536212">
        <w:t xml:space="preserve">, when trying to account for them in </w:t>
      </w:r>
      <w:r w:rsidRPr="0022298B">
        <w:t xml:space="preserve">‘like-for-like’ comparisons, </w:t>
      </w:r>
      <w:r w:rsidR="00C876F4">
        <w:t xml:space="preserve">but in other instances the gaps in earnings - including the gaps in working arrangements - are important for assessing gender economic inequality. For instance, this is why </w:t>
      </w:r>
      <w:r w:rsidRPr="0022298B">
        <w:t xml:space="preserve">our 10-year accumulated gender pay gaps </w:t>
      </w:r>
      <w:r w:rsidR="00C876F4">
        <w:t xml:space="preserve">are important, for understanding the accumulated differences in </w:t>
      </w:r>
      <w:r w:rsidR="005D1EC5">
        <w:t>income over time, based on the full range of factors that contribute to these differences</w:t>
      </w:r>
      <w:r w:rsidRPr="0022298B">
        <w:t>.</w:t>
      </w:r>
    </w:p>
    <w:p w14:paraId="5DD783D7" w14:textId="25BE2FA3" w:rsidR="0022298B" w:rsidRDefault="00223A4C" w:rsidP="0022298B">
      <w:pPr>
        <w:pStyle w:val="BodyText"/>
      </w:pPr>
      <w:r>
        <w:lastRenderedPageBreak/>
        <w:t>Occupational</w:t>
      </w:r>
      <w:r w:rsidR="0022298B">
        <w:t xml:space="preserve"> median hours worked </w:t>
      </w:r>
      <w:r>
        <w:t>gaps</w:t>
      </w:r>
      <w:r w:rsidR="0022298B">
        <w:t xml:space="preserve"> w</w:t>
      </w:r>
      <w:r>
        <w:t>ere</w:t>
      </w:r>
      <w:r w:rsidR="0022298B">
        <w:t xml:space="preserve"> calculated in this Study based off reported hours of work per the 2021 ABS Census. This was calculated using an averaged weighted approach, as individuals respond to the hours worked Census question by indicating a single number (i.e. 40 hours) of how much they worked in the past week</w:t>
      </w:r>
      <w:r w:rsidR="00FD666E">
        <w:t>.</w:t>
      </w:r>
    </w:p>
    <w:p w14:paraId="7A79E611" w14:textId="64FEC207" w:rsidR="005D1EC5" w:rsidRDefault="0022298B" w:rsidP="0022298B">
      <w:pPr>
        <w:pStyle w:val="BodyText"/>
      </w:pPr>
      <w:r>
        <w:t>It is important to note that</w:t>
      </w:r>
      <w:r w:rsidR="00720A2B">
        <w:t xml:space="preserve"> occupational</w:t>
      </w:r>
      <w:r>
        <w:t xml:space="preserve"> median hours worked in the 2021 Census could be impacted by various parts of Australia being in stages of COVID-19 lockdown at this time, and so median hours worked results related to occupations that were impacted by lockdowns need to be interpreted with caution</w:t>
      </w:r>
      <w:r w:rsidR="00FD666E">
        <w:t>.</w:t>
      </w:r>
    </w:p>
    <w:p w14:paraId="2FE9AD4B" w14:textId="195E880C" w:rsidR="0022298B" w:rsidRDefault="0022298B" w:rsidP="0022298B">
      <w:pPr>
        <w:pStyle w:val="BodyText"/>
      </w:pPr>
      <w:r>
        <w:t xml:space="preserve">However, median measures are less susceptible to these impacts, which are more likely to affect the high and low ends of the hours distribution. </w:t>
      </w:r>
      <w:r w:rsidRPr="00B95D23">
        <w:t xml:space="preserve">Also, </w:t>
      </w:r>
      <w:r w:rsidR="004333C3">
        <w:t xml:space="preserve">the </w:t>
      </w:r>
      <w:r w:rsidR="000E0D3A">
        <w:t>gaps</w:t>
      </w:r>
      <w:r w:rsidRPr="00B95D23">
        <w:t xml:space="preserve"> </w:t>
      </w:r>
      <w:r w:rsidR="00AD75DA">
        <w:t xml:space="preserve">between males and females </w:t>
      </w:r>
      <w:r w:rsidR="000E0D3A">
        <w:t>are</w:t>
      </w:r>
      <w:r w:rsidRPr="00B95D23">
        <w:t xml:space="preserve"> less likely to be impacted, given the impacts from lockdowns were more likely to be correlated occupation-level effects (that is, changes in the hours that people were working across the occupation, more than profound difference for males and females</w:t>
      </w:r>
      <w:r w:rsidR="00CD1677">
        <w:t>).</w:t>
      </w:r>
    </w:p>
    <w:p w14:paraId="32A9D616" w14:textId="7B06F732" w:rsidR="0022298B" w:rsidRDefault="000E0D3A" w:rsidP="0022298B">
      <w:pPr>
        <w:pStyle w:val="BodyText"/>
      </w:pPr>
      <w:r>
        <w:t>Occupational</w:t>
      </w:r>
      <w:r w:rsidR="00CD1677">
        <w:t xml:space="preserve"> </w:t>
      </w:r>
      <w:r w:rsidR="0022298B">
        <w:t xml:space="preserve">median hours worked </w:t>
      </w:r>
      <w:r>
        <w:t>gaps</w:t>
      </w:r>
      <w:r w:rsidR="008441AA">
        <w:t xml:space="preserve"> were</w:t>
      </w:r>
      <w:r w:rsidR="0022298B">
        <w:t xml:space="preserve"> calculated using same approach as gender pay gaps, with the difference between males and females median hours worked in an occupation expressed as a percentage of males' </w:t>
      </w:r>
      <w:r w:rsidR="00C050D2">
        <w:t xml:space="preserve">occupational </w:t>
      </w:r>
      <w:r w:rsidR="0022298B">
        <w:t>median hours worked. For example, if males worked 40 hours a week in an occupation, and females worked 38 hours, this would be expressed as a</w:t>
      </w:r>
      <w:r w:rsidR="008441AA">
        <w:t>n</w:t>
      </w:r>
      <w:r w:rsidR="0022298B">
        <w:t xml:space="preserve"> </w:t>
      </w:r>
      <w:r w:rsidR="00C050D2">
        <w:t xml:space="preserve">occupational </w:t>
      </w:r>
      <w:r w:rsidR="0022298B">
        <w:t xml:space="preserve">median hours worked </w:t>
      </w:r>
      <w:r w:rsidR="008441AA">
        <w:t xml:space="preserve">gap </w:t>
      </w:r>
      <w:r w:rsidR="0022298B">
        <w:t>of 5%.</w:t>
      </w:r>
    </w:p>
    <w:p w14:paraId="21969904" w14:textId="57DA24CC" w:rsidR="055C81ED" w:rsidRDefault="009F41CA" w:rsidP="0022298B">
      <w:pPr>
        <w:pStyle w:val="ListBullet"/>
        <w:tabs>
          <w:tab w:val="clear" w:pos="360"/>
        </w:tabs>
        <w:ind w:left="0" w:firstLine="0"/>
      </w:pPr>
      <w:r>
        <w:br w:type="page"/>
      </w:r>
    </w:p>
    <w:p w14:paraId="12ED162A" w14:textId="30646017" w:rsidR="0022298B" w:rsidRDefault="00BD1639" w:rsidP="00816111">
      <w:pPr>
        <w:pStyle w:val="Heading2"/>
      </w:pPr>
      <w:bookmarkStart w:id="31" w:name="_Toc204596298"/>
      <w:r>
        <w:lastRenderedPageBreak/>
        <w:t xml:space="preserve">Supplementary </w:t>
      </w:r>
      <w:r w:rsidR="0022298B">
        <w:t xml:space="preserve">tables and </w:t>
      </w:r>
      <w:r>
        <w:t>analysis</w:t>
      </w:r>
      <w:bookmarkEnd w:id="31"/>
    </w:p>
    <w:p w14:paraId="693F9E7B" w14:textId="5F3A00BB" w:rsidR="0022298B" w:rsidRDefault="0022298B" w:rsidP="0022298B">
      <w:pPr>
        <w:pStyle w:val="Heading3"/>
      </w:pPr>
      <w:bookmarkStart w:id="32" w:name="_Toc204596299"/>
      <w:r>
        <w:t>Headline gender pay gap ranges</w:t>
      </w:r>
      <w:bookmarkEnd w:id="32"/>
    </w:p>
    <w:p w14:paraId="4F8EEFC7" w14:textId="3E8F6E92" w:rsidR="0022298B" w:rsidRPr="007D6B36" w:rsidRDefault="0022298B" w:rsidP="0022298B">
      <w:pPr>
        <w:pStyle w:val="Caption"/>
      </w:pPr>
      <w:r w:rsidRPr="007D6B36">
        <w:t xml:space="preserve">Table </w:t>
      </w:r>
      <w:r w:rsidR="00E40547">
        <w:t>8</w:t>
      </w:r>
      <w:r w:rsidRPr="007D6B36">
        <w:t xml:space="preserve">: Range classifications of occupational </w:t>
      </w:r>
      <w:r>
        <w:t xml:space="preserve">median </w:t>
      </w:r>
      <w:r w:rsidR="008441AA">
        <w:t xml:space="preserve">annual </w:t>
      </w:r>
      <w:r w:rsidRPr="007D6B36">
        <w:t>gender pay gaps</w:t>
      </w:r>
    </w:p>
    <w:tbl>
      <w:tblPr>
        <w:tblStyle w:val="CustomTablebasic"/>
        <w:tblW w:w="0" w:type="auto"/>
        <w:tblLook w:val="04A0" w:firstRow="1" w:lastRow="0" w:firstColumn="1" w:lastColumn="0" w:noHBand="0" w:noVBand="1"/>
      </w:tblPr>
      <w:tblGrid>
        <w:gridCol w:w="5529"/>
        <w:gridCol w:w="1842"/>
        <w:gridCol w:w="1656"/>
      </w:tblGrid>
      <w:tr w:rsidR="0022298B" w14:paraId="57F233DF" w14:textId="77777777" w:rsidTr="00C050D2">
        <w:trPr>
          <w:cnfStyle w:val="100000000000" w:firstRow="1" w:lastRow="0" w:firstColumn="0" w:lastColumn="0" w:oddVBand="0" w:evenVBand="0" w:oddHBand="0" w:evenHBand="0" w:firstRowFirstColumn="0" w:firstRowLastColumn="0" w:lastRowFirstColumn="0" w:lastRowLastColumn="0"/>
        </w:trPr>
        <w:tc>
          <w:tcPr>
            <w:tcW w:w="5529" w:type="dxa"/>
          </w:tcPr>
          <w:p w14:paraId="39918F9E" w14:textId="4C6C25CC" w:rsidR="0022298B" w:rsidRPr="0022298B" w:rsidRDefault="0022298B" w:rsidP="0022298B">
            <w:pPr>
              <w:pStyle w:val="TableHeading1"/>
            </w:pPr>
            <w:r>
              <w:t xml:space="preserve">Occupational </w:t>
            </w:r>
            <w:r w:rsidR="00C050D2">
              <w:t xml:space="preserve">median annual </w:t>
            </w:r>
            <w:r>
              <w:t>gender pay gap range</w:t>
            </w:r>
          </w:p>
        </w:tc>
        <w:tc>
          <w:tcPr>
            <w:tcW w:w="1842" w:type="dxa"/>
          </w:tcPr>
          <w:p w14:paraId="203F7093" w14:textId="77777777" w:rsidR="0022298B" w:rsidRPr="0022298B" w:rsidRDefault="0022298B" w:rsidP="0022298B">
            <w:pPr>
              <w:pStyle w:val="TableHeading1"/>
            </w:pPr>
            <w:r>
              <w:t xml:space="preserve">ANZSCO 6-digit </w:t>
            </w:r>
            <w:r w:rsidRPr="0022298B">
              <w:t>Occupation count</w:t>
            </w:r>
          </w:p>
        </w:tc>
        <w:tc>
          <w:tcPr>
            <w:tcW w:w="1656" w:type="dxa"/>
          </w:tcPr>
          <w:p w14:paraId="3CCE7884" w14:textId="77777777" w:rsidR="0022298B" w:rsidRPr="0022298B" w:rsidRDefault="0022298B" w:rsidP="0022298B">
            <w:pPr>
              <w:pStyle w:val="TableHeading1"/>
            </w:pPr>
            <w:r>
              <w:t xml:space="preserve">ANZSCO 6-digit </w:t>
            </w:r>
            <w:r w:rsidRPr="0022298B">
              <w:t>Occupation %</w:t>
            </w:r>
          </w:p>
        </w:tc>
      </w:tr>
      <w:tr w:rsidR="0022298B" w14:paraId="7D93CB47" w14:textId="77777777" w:rsidTr="00C050D2">
        <w:tc>
          <w:tcPr>
            <w:tcW w:w="5529" w:type="dxa"/>
          </w:tcPr>
          <w:p w14:paraId="01BCDCA4" w14:textId="77777777" w:rsidR="0022298B" w:rsidRPr="0022298B" w:rsidRDefault="0022298B" w:rsidP="0022298B">
            <w:pPr>
              <w:pStyle w:val="TableBodyText"/>
            </w:pPr>
            <w:r>
              <w:t>G</w:t>
            </w:r>
            <w:r w:rsidRPr="0022298B">
              <w:t>ender pay gap above 35%</w:t>
            </w:r>
          </w:p>
        </w:tc>
        <w:tc>
          <w:tcPr>
            <w:tcW w:w="1842" w:type="dxa"/>
          </w:tcPr>
          <w:p w14:paraId="45691EE6" w14:textId="77777777" w:rsidR="0022298B" w:rsidRPr="0022298B" w:rsidRDefault="0022298B" w:rsidP="0022298B">
            <w:pPr>
              <w:pStyle w:val="TableBodyTextcentre"/>
            </w:pPr>
            <w:r>
              <w:t>28</w:t>
            </w:r>
          </w:p>
        </w:tc>
        <w:tc>
          <w:tcPr>
            <w:tcW w:w="1656" w:type="dxa"/>
          </w:tcPr>
          <w:p w14:paraId="6CD3348C" w14:textId="77777777" w:rsidR="0022298B" w:rsidRPr="0022298B" w:rsidRDefault="0022298B" w:rsidP="0022298B">
            <w:pPr>
              <w:pStyle w:val="TableBodyTextcentre"/>
            </w:pPr>
            <w:r>
              <w:t>4</w:t>
            </w:r>
            <w:r w:rsidRPr="0022298B">
              <w:t>%</w:t>
            </w:r>
          </w:p>
        </w:tc>
      </w:tr>
      <w:tr w:rsidR="0022298B" w14:paraId="2A817B71" w14:textId="77777777" w:rsidTr="00C050D2">
        <w:trPr>
          <w:cnfStyle w:val="000000010000" w:firstRow="0" w:lastRow="0" w:firstColumn="0" w:lastColumn="0" w:oddVBand="0" w:evenVBand="0" w:oddHBand="0" w:evenHBand="1" w:firstRowFirstColumn="0" w:firstRowLastColumn="0" w:lastRowFirstColumn="0" w:lastRowLastColumn="0"/>
        </w:trPr>
        <w:tc>
          <w:tcPr>
            <w:tcW w:w="5529" w:type="dxa"/>
          </w:tcPr>
          <w:p w14:paraId="29EA5CB4" w14:textId="77777777" w:rsidR="0022298B" w:rsidRPr="0022298B" w:rsidRDefault="0022298B" w:rsidP="0022298B">
            <w:pPr>
              <w:pStyle w:val="TableBodyText"/>
            </w:pPr>
            <w:r>
              <w:t>B</w:t>
            </w:r>
            <w:r w:rsidRPr="0022298B">
              <w:t>etween 30% and 35%</w:t>
            </w:r>
          </w:p>
        </w:tc>
        <w:tc>
          <w:tcPr>
            <w:tcW w:w="1842" w:type="dxa"/>
          </w:tcPr>
          <w:p w14:paraId="1EF32D40" w14:textId="77777777" w:rsidR="0022298B" w:rsidRPr="0022298B" w:rsidRDefault="0022298B" w:rsidP="0022298B">
            <w:pPr>
              <w:pStyle w:val="TableBodyTextcentre"/>
            </w:pPr>
            <w:r>
              <w:t>2</w:t>
            </w:r>
            <w:r w:rsidRPr="0022298B">
              <w:t>6</w:t>
            </w:r>
          </w:p>
        </w:tc>
        <w:tc>
          <w:tcPr>
            <w:tcW w:w="1656" w:type="dxa"/>
          </w:tcPr>
          <w:p w14:paraId="721BAB24" w14:textId="77777777" w:rsidR="0022298B" w:rsidRPr="0022298B" w:rsidRDefault="0022298B" w:rsidP="0022298B">
            <w:pPr>
              <w:pStyle w:val="TableBodyTextcentre"/>
            </w:pPr>
            <w:r>
              <w:t>4%</w:t>
            </w:r>
          </w:p>
        </w:tc>
      </w:tr>
      <w:tr w:rsidR="0022298B" w14:paraId="52735024" w14:textId="77777777" w:rsidTr="00C050D2">
        <w:tc>
          <w:tcPr>
            <w:tcW w:w="5529" w:type="dxa"/>
          </w:tcPr>
          <w:p w14:paraId="44695F2A" w14:textId="77777777" w:rsidR="0022298B" w:rsidRPr="0022298B" w:rsidRDefault="0022298B" w:rsidP="0022298B">
            <w:pPr>
              <w:pStyle w:val="TableBodyText"/>
            </w:pPr>
            <w:r>
              <w:t>B</w:t>
            </w:r>
            <w:r w:rsidRPr="0022298B">
              <w:t>etween 25% and 30%</w:t>
            </w:r>
          </w:p>
        </w:tc>
        <w:tc>
          <w:tcPr>
            <w:tcW w:w="1842" w:type="dxa"/>
          </w:tcPr>
          <w:p w14:paraId="1974A22E" w14:textId="77777777" w:rsidR="0022298B" w:rsidRPr="0022298B" w:rsidRDefault="0022298B" w:rsidP="0022298B">
            <w:pPr>
              <w:pStyle w:val="TableBodyTextcentre"/>
            </w:pPr>
            <w:r>
              <w:t>7</w:t>
            </w:r>
            <w:r w:rsidRPr="0022298B">
              <w:t>2</w:t>
            </w:r>
          </w:p>
        </w:tc>
        <w:tc>
          <w:tcPr>
            <w:tcW w:w="1656" w:type="dxa"/>
          </w:tcPr>
          <w:p w14:paraId="2A7E82F9" w14:textId="77777777" w:rsidR="0022298B" w:rsidRPr="0022298B" w:rsidRDefault="0022298B" w:rsidP="0022298B">
            <w:pPr>
              <w:pStyle w:val="TableBodyTextcentre"/>
            </w:pPr>
            <w:r>
              <w:t>1</w:t>
            </w:r>
            <w:r w:rsidRPr="0022298B">
              <w:t>1%</w:t>
            </w:r>
          </w:p>
        </w:tc>
      </w:tr>
      <w:tr w:rsidR="0022298B" w14:paraId="3661767C" w14:textId="77777777" w:rsidTr="00C050D2">
        <w:trPr>
          <w:cnfStyle w:val="000000010000" w:firstRow="0" w:lastRow="0" w:firstColumn="0" w:lastColumn="0" w:oddVBand="0" w:evenVBand="0" w:oddHBand="0" w:evenHBand="1" w:firstRowFirstColumn="0" w:firstRowLastColumn="0" w:lastRowFirstColumn="0" w:lastRowLastColumn="0"/>
        </w:trPr>
        <w:tc>
          <w:tcPr>
            <w:tcW w:w="5529" w:type="dxa"/>
          </w:tcPr>
          <w:p w14:paraId="2CD64C12" w14:textId="77777777" w:rsidR="0022298B" w:rsidRPr="0022298B" w:rsidRDefault="0022298B" w:rsidP="0022298B">
            <w:pPr>
              <w:pStyle w:val="TableBodyText"/>
            </w:pPr>
            <w:r>
              <w:t>B</w:t>
            </w:r>
            <w:r w:rsidRPr="0022298B">
              <w:t>etween 20% and 25%</w:t>
            </w:r>
          </w:p>
        </w:tc>
        <w:tc>
          <w:tcPr>
            <w:tcW w:w="1842" w:type="dxa"/>
          </w:tcPr>
          <w:p w14:paraId="343123F5" w14:textId="77777777" w:rsidR="0022298B" w:rsidRPr="0022298B" w:rsidRDefault="0022298B" w:rsidP="0022298B">
            <w:pPr>
              <w:pStyle w:val="TableBodyTextcentre"/>
            </w:pPr>
            <w:r>
              <w:t>10</w:t>
            </w:r>
            <w:r w:rsidRPr="0022298B">
              <w:t>6</w:t>
            </w:r>
          </w:p>
        </w:tc>
        <w:tc>
          <w:tcPr>
            <w:tcW w:w="1656" w:type="dxa"/>
          </w:tcPr>
          <w:p w14:paraId="5C3D4A8A" w14:textId="77777777" w:rsidR="0022298B" w:rsidRPr="0022298B" w:rsidRDefault="0022298B" w:rsidP="0022298B">
            <w:pPr>
              <w:pStyle w:val="TableBodyTextcentre"/>
            </w:pPr>
            <w:r>
              <w:t>1</w:t>
            </w:r>
            <w:r w:rsidRPr="0022298B">
              <w:t>5%</w:t>
            </w:r>
          </w:p>
        </w:tc>
      </w:tr>
      <w:tr w:rsidR="0022298B" w14:paraId="1E0B809C" w14:textId="77777777" w:rsidTr="00C050D2">
        <w:tc>
          <w:tcPr>
            <w:tcW w:w="5529" w:type="dxa"/>
          </w:tcPr>
          <w:p w14:paraId="540B5188" w14:textId="77777777" w:rsidR="0022298B" w:rsidRPr="0022298B" w:rsidRDefault="0022298B" w:rsidP="0022298B">
            <w:pPr>
              <w:pStyle w:val="TableBodyText"/>
            </w:pPr>
            <w:r>
              <w:t>B</w:t>
            </w:r>
            <w:r w:rsidRPr="0022298B">
              <w:t>etween 15% and 20%</w:t>
            </w:r>
          </w:p>
        </w:tc>
        <w:tc>
          <w:tcPr>
            <w:tcW w:w="1842" w:type="dxa"/>
          </w:tcPr>
          <w:p w14:paraId="5143AA1E" w14:textId="77777777" w:rsidR="0022298B" w:rsidRPr="0022298B" w:rsidRDefault="0022298B" w:rsidP="0022298B">
            <w:pPr>
              <w:pStyle w:val="TableBodyTextcentre"/>
            </w:pPr>
            <w:r>
              <w:t>18</w:t>
            </w:r>
            <w:r w:rsidRPr="0022298B">
              <w:t>7</w:t>
            </w:r>
          </w:p>
        </w:tc>
        <w:tc>
          <w:tcPr>
            <w:tcW w:w="1656" w:type="dxa"/>
          </w:tcPr>
          <w:p w14:paraId="2BE22754" w14:textId="77777777" w:rsidR="0022298B" w:rsidRPr="0022298B" w:rsidRDefault="0022298B" w:rsidP="0022298B">
            <w:pPr>
              <w:pStyle w:val="TableBodyTextcentre"/>
            </w:pPr>
            <w:r>
              <w:t>27</w:t>
            </w:r>
            <w:r w:rsidRPr="0022298B">
              <w:t>%</w:t>
            </w:r>
          </w:p>
        </w:tc>
      </w:tr>
      <w:tr w:rsidR="0022298B" w14:paraId="35E36A43" w14:textId="77777777" w:rsidTr="00C050D2">
        <w:trPr>
          <w:cnfStyle w:val="000000010000" w:firstRow="0" w:lastRow="0" w:firstColumn="0" w:lastColumn="0" w:oddVBand="0" w:evenVBand="0" w:oddHBand="0" w:evenHBand="1" w:firstRowFirstColumn="0" w:firstRowLastColumn="0" w:lastRowFirstColumn="0" w:lastRowLastColumn="0"/>
        </w:trPr>
        <w:tc>
          <w:tcPr>
            <w:tcW w:w="5529" w:type="dxa"/>
          </w:tcPr>
          <w:p w14:paraId="3A5191E7" w14:textId="77777777" w:rsidR="0022298B" w:rsidRPr="0022298B" w:rsidRDefault="0022298B" w:rsidP="0022298B">
            <w:pPr>
              <w:pStyle w:val="TableBodyText"/>
            </w:pPr>
            <w:r>
              <w:t>B</w:t>
            </w:r>
            <w:r w:rsidRPr="0022298B">
              <w:t>etween 10% and 15%</w:t>
            </w:r>
          </w:p>
        </w:tc>
        <w:tc>
          <w:tcPr>
            <w:tcW w:w="1842" w:type="dxa"/>
          </w:tcPr>
          <w:p w14:paraId="66570B5B" w14:textId="77777777" w:rsidR="0022298B" w:rsidRPr="0022298B" w:rsidRDefault="0022298B" w:rsidP="0022298B">
            <w:pPr>
              <w:pStyle w:val="TableBodyTextcentre"/>
            </w:pPr>
            <w:r>
              <w:t>167</w:t>
            </w:r>
          </w:p>
        </w:tc>
        <w:tc>
          <w:tcPr>
            <w:tcW w:w="1656" w:type="dxa"/>
          </w:tcPr>
          <w:p w14:paraId="345B83FE" w14:textId="77777777" w:rsidR="0022298B" w:rsidRPr="0022298B" w:rsidRDefault="0022298B" w:rsidP="0022298B">
            <w:pPr>
              <w:pStyle w:val="TableBodyTextcentre"/>
            </w:pPr>
            <w:r>
              <w:t>24</w:t>
            </w:r>
            <w:r w:rsidRPr="0022298B">
              <w:t>%</w:t>
            </w:r>
          </w:p>
        </w:tc>
      </w:tr>
      <w:tr w:rsidR="0022298B" w14:paraId="2C82CAD5" w14:textId="77777777" w:rsidTr="00C050D2">
        <w:tc>
          <w:tcPr>
            <w:tcW w:w="5529" w:type="dxa"/>
          </w:tcPr>
          <w:p w14:paraId="70704EA6" w14:textId="77777777" w:rsidR="0022298B" w:rsidRPr="0022298B" w:rsidRDefault="0022298B" w:rsidP="0022298B">
            <w:pPr>
              <w:pStyle w:val="TableBodyText"/>
            </w:pPr>
            <w:r>
              <w:t>B</w:t>
            </w:r>
            <w:r w:rsidRPr="0022298B">
              <w:t>etween 5 and 10%</w:t>
            </w:r>
          </w:p>
        </w:tc>
        <w:tc>
          <w:tcPr>
            <w:tcW w:w="1842" w:type="dxa"/>
          </w:tcPr>
          <w:p w14:paraId="1F862CFE" w14:textId="77777777" w:rsidR="0022298B" w:rsidRPr="0022298B" w:rsidRDefault="0022298B" w:rsidP="0022298B">
            <w:pPr>
              <w:pStyle w:val="TableBodyTextcentre"/>
            </w:pPr>
            <w:r>
              <w:t>8</w:t>
            </w:r>
            <w:r w:rsidRPr="0022298B">
              <w:t>4</w:t>
            </w:r>
          </w:p>
        </w:tc>
        <w:tc>
          <w:tcPr>
            <w:tcW w:w="1656" w:type="dxa"/>
          </w:tcPr>
          <w:p w14:paraId="7978DB52" w14:textId="77777777" w:rsidR="0022298B" w:rsidRPr="0022298B" w:rsidRDefault="0022298B" w:rsidP="0022298B">
            <w:pPr>
              <w:pStyle w:val="TableBodyTextcentre"/>
            </w:pPr>
            <w:r>
              <w:t>1</w:t>
            </w:r>
            <w:r w:rsidRPr="0022298B">
              <w:t>2%</w:t>
            </w:r>
          </w:p>
        </w:tc>
      </w:tr>
      <w:tr w:rsidR="0022298B" w14:paraId="2D0F47BB" w14:textId="77777777" w:rsidTr="00C050D2">
        <w:trPr>
          <w:cnfStyle w:val="000000010000" w:firstRow="0" w:lastRow="0" w:firstColumn="0" w:lastColumn="0" w:oddVBand="0" w:evenVBand="0" w:oddHBand="0" w:evenHBand="1" w:firstRowFirstColumn="0" w:firstRowLastColumn="0" w:lastRowFirstColumn="0" w:lastRowLastColumn="0"/>
        </w:trPr>
        <w:tc>
          <w:tcPr>
            <w:tcW w:w="5529" w:type="dxa"/>
          </w:tcPr>
          <w:p w14:paraId="30AC128A" w14:textId="77777777" w:rsidR="0022298B" w:rsidRPr="0022298B" w:rsidRDefault="0022298B" w:rsidP="0022298B">
            <w:pPr>
              <w:pStyle w:val="TableBodyText"/>
            </w:pPr>
            <w:r>
              <w:t>Gender pay</w:t>
            </w:r>
            <w:r w:rsidRPr="0022298B">
              <w:t xml:space="preserve"> gap 5% and below</w:t>
            </w:r>
          </w:p>
        </w:tc>
        <w:tc>
          <w:tcPr>
            <w:tcW w:w="1842" w:type="dxa"/>
          </w:tcPr>
          <w:p w14:paraId="545004B5" w14:textId="77777777" w:rsidR="0022298B" w:rsidRPr="0022298B" w:rsidRDefault="0022298B" w:rsidP="0022298B">
            <w:pPr>
              <w:pStyle w:val="TableBodyTextcentre"/>
            </w:pPr>
            <w:r>
              <w:t>1</w:t>
            </w:r>
            <w:r w:rsidRPr="0022298B">
              <w:t>8</w:t>
            </w:r>
          </w:p>
        </w:tc>
        <w:tc>
          <w:tcPr>
            <w:tcW w:w="1656" w:type="dxa"/>
          </w:tcPr>
          <w:p w14:paraId="1CD18606" w14:textId="77777777" w:rsidR="0022298B" w:rsidRPr="0022298B" w:rsidRDefault="0022298B" w:rsidP="0022298B">
            <w:pPr>
              <w:pStyle w:val="TableBodyTextcentre"/>
            </w:pPr>
            <w:r>
              <w:t>3</w:t>
            </w:r>
            <w:r w:rsidRPr="0022298B">
              <w:t>%</w:t>
            </w:r>
          </w:p>
        </w:tc>
      </w:tr>
    </w:tbl>
    <w:p w14:paraId="3E3FA993" w14:textId="07B630C1" w:rsidR="0022298B" w:rsidRDefault="0022298B" w:rsidP="0022298B">
      <w:pPr>
        <w:pStyle w:val="Source"/>
      </w:pPr>
      <w:r>
        <w:t xml:space="preserve">Source: </w:t>
      </w:r>
      <w:r w:rsidRPr="00B97286">
        <w:t>Person Level Integrated Data Asset (PLIDA), ABS DataLab. Findings based on use of PLIDA data.</w:t>
      </w:r>
    </w:p>
    <w:p w14:paraId="49662FFE" w14:textId="5D6E370E" w:rsidR="0022298B" w:rsidRDefault="0022298B" w:rsidP="0022298B">
      <w:pPr>
        <w:pStyle w:val="Source"/>
      </w:pPr>
      <w:r>
        <w:t>Note: For simplicity the ranges are labelled as "Between 30% and 35%" but this is actually "Greater than 30% but less than or equal to than 35%".</w:t>
      </w:r>
    </w:p>
    <w:p w14:paraId="04B80D2B" w14:textId="30451DC1" w:rsidR="0022298B" w:rsidRDefault="0022298B" w:rsidP="0022298B">
      <w:pPr>
        <w:pStyle w:val="Heading3"/>
      </w:pPr>
      <w:bookmarkStart w:id="33" w:name="_Toc204596300"/>
      <w:r>
        <w:t>Occupational gender pay gaps over time ranges</w:t>
      </w:r>
      <w:bookmarkEnd w:id="33"/>
    </w:p>
    <w:p w14:paraId="46C26B53" w14:textId="2A04BE4F" w:rsidR="0022298B" w:rsidRPr="00533FE0" w:rsidRDefault="0022298B" w:rsidP="0022298B">
      <w:pPr>
        <w:pStyle w:val="Caption"/>
      </w:pPr>
      <w:r w:rsidRPr="00533FE0">
        <w:t xml:space="preserve">Table </w:t>
      </w:r>
      <w:r w:rsidR="00E40547">
        <w:t>9</w:t>
      </w:r>
      <w:r w:rsidRPr="00533FE0">
        <w:t xml:space="preserve">: ANZSCO 6-digit occupational median </w:t>
      </w:r>
      <w:r w:rsidR="0095165A">
        <w:t xml:space="preserve">annual </w:t>
      </w:r>
      <w:r w:rsidRPr="00533FE0">
        <w:t>gender pay gaps by ranges, over time</w:t>
      </w:r>
    </w:p>
    <w:tbl>
      <w:tblPr>
        <w:tblStyle w:val="CustomTablebasic"/>
        <w:tblW w:w="0" w:type="auto"/>
        <w:tblLook w:val="04A0" w:firstRow="1" w:lastRow="0" w:firstColumn="1" w:lastColumn="0" w:noHBand="0" w:noVBand="1"/>
      </w:tblPr>
      <w:tblGrid>
        <w:gridCol w:w="4678"/>
        <w:gridCol w:w="2303"/>
        <w:gridCol w:w="2046"/>
      </w:tblGrid>
      <w:tr w:rsidR="0022298B" w14:paraId="6306210A" w14:textId="77777777" w:rsidTr="009D726E">
        <w:trPr>
          <w:cnfStyle w:val="100000000000" w:firstRow="1" w:lastRow="0" w:firstColumn="0" w:lastColumn="0" w:oddVBand="0" w:evenVBand="0" w:oddHBand="0" w:evenHBand="0" w:firstRowFirstColumn="0" w:firstRowLastColumn="0" w:lastRowFirstColumn="0" w:lastRowLastColumn="0"/>
        </w:trPr>
        <w:tc>
          <w:tcPr>
            <w:tcW w:w="4678" w:type="dxa"/>
          </w:tcPr>
          <w:p w14:paraId="2B9C204D" w14:textId="7E70EBC4" w:rsidR="0022298B" w:rsidRPr="0022298B" w:rsidRDefault="0022298B" w:rsidP="0022298B">
            <w:pPr>
              <w:pStyle w:val="TableHeading1"/>
            </w:pPr>
            <w:r w:rsidRPr="00533FE0">
              <w:t xml:space="preserve">Occupational </w:t>
            </w:r>
            <w:r w:rsidR="00C050D2">
              <w:t xml:space="preserve">median </w:t>
            </w:r>
            <w:r w:rsidR="00B75F1F">
              <w:t>annual</w:t>
            </w:r>
            <w:r w:rsidRPr="00533FE0">
              <w:t xml:space="preserve"> gender pay gap range</w:t>
            </w:r>
          </w:p>
        </w:tc>
        <w:tc>
          <w:tcPr>
            <w:tcW w:w="2303" w:type="dxa"/>
          </w:tcPr>
          <w:p w14:paraId="1F8FF8F3" w14:textId="77777777" w:rsidR="0022298B" w:rsidRPr="0022298B" w:rsidRDefault="0022298B" w:rsidP="0022298B">
            <w:pPr>
              <w:pStyle w:val="TableHeading1"/>
            </w:pPr>
            <w:r w:rsidRPr="00533FE0">
              <w:t>2010</w:t>
            </w:r>
            <w:r w:rsidRPr="0022298B">
              <w:t>-11 ANZSCO 6-digit Occupations (%)</w:t>
            </w:r>
          </w:p>
        </w:tc>
        <w:tc>
          <w:tcPr>
            <w:tcW w:w="0" w:type="auto"/>
          </w:tcPr>
          <w:p w14:paraId="714E46FC" w14:textId="55E2EE8D" w:rsidR="0022298B" w:rsidRPr="0022298B" w:rsidRDefault="0022298B" w:rsidP="0022298B">
            <w:pPr>
              <w:pStyle w:val="TableHeading1"/>
            </w:pPr>
            <w:r w:rsidRPr="00533FE0">
              <w:t>2022</w:t>
            </w:r>
            <w:r w:rsidRPr="0022298B">
              <w:t xml:space="preserve">-23 ANZSCO 6-digit Occupations </w:t>
            </w:r>
            <w:r w:rsidR="0095165A">
              <w:t>(</w:t>
            </w:r>
            <w:r w:rsidRPr="0022298B">
              <w:t>%</w:t>
            </w:r>
            <w:r w:rsidR="001B6A1A">
              <w:t>)</w:t>
            </w:r>
          </w:p>
        </w:tc>
      </w:tr>
      <w:tr w:rsidR="0022298B" w14:paraId="485150FA" w14:textId="77777777" w:rsidTr="009D726E">
        <w:tc>
          <w:tcPr>
            <w:tcW w:w="4678" w:type="dxa"/>
          </w:tcPr>
          <w:p w14:paraId="7D2E6142" w14:textId="77777777" w:rsidR="0022298B" w:rsidRPr="0022298B" w:rsidRDefault="0022298B" w:rsidP="0022298B">
            <w:pPr>
              <w:pStyle w:val="TableBodyText"/>
            </w:pPr>
            <w:r w:rsidRPr="00533FE0">
              <w:t xml:space="preserve">Gender pay </w:t>
            </w:r>
            <w:r w:rsidRPr="0022298B">
              <w:t>gap above 35%</w:t>
            </w:r>
          </w:p>
        </w:tc>
        <w:tc>
          <w:tcPr>
            <w:tcW w:w="2303" w:type="dxa"/>
          </w:tcPr>
          <w:p w14:paraId="77561F01" w14:textId="6BD9C8CC" w:rsidR="0022298B" w:rsidRPr="0022298B" w:rsidRDefault="0002472F" w:rsidP="0022298B">
            <w:pPr>
              <w:pStyle w:val="TableBodyTextcentre"/>
            </w:pPr>
            <w:r>
              <w:t>8</w:t>
            </w:r>
            <w:r w:rsidR="0022298B" w:rsidRPr="00533FE0">
              <w:t>%</w:t>
            </w:r>
          </w:p>
        </w:tc>
        <w:tc>
          <w:tcPr>
            <w:tcW w:w="2046" w:type="dxa"/>
          </w:tcPr>
          <w:p w14:paraId="3DF05749" w14:textId="77777777" w:rsidR="0022298B" w:rsidRPr="0022298B" w:rsidRDefault="0022298B" w:rsidP="0022298B">
            <w:pPr>
              <w:pStyle w:val="TableBodyTextcentre"/>
            </w:pPr>
            <w:r w:rsidRPr="00533FE0">
              <w:t>4%</w:t>
            </w:r>
          </w:p>
        </w:tc>
      </w:tr>
      <w:tr w:rsidR="0022298B" w14:paraId="592E1E62" w14:textId="77777777" w:rsidTr="009D726E">
        <w:trPr>
          <w:cnfStyle w:val="000000010000" w:firstRow="0" w:lastRow="0" w:firstColumn="0" w:lastColumn="0" w:oddVBand="0" w:evenVBand="0" w:oddHBand="0" w:evenHBand="1" w:firstRowFirstColumn="0" w:firstRowLastColumn="0" w:lastRowFirstColumn="0" w:lastRowLastColumn="0"/>
        </w:trPr>
        <w:tc>
          <w:tcPr>
            <w:tcW w:w="4678" w:type="dxa"/>
          </w:tcPr>
          <w:p w14:paraId="729C6F45" w14:textId="77777777" w:rsidR="0022298B" w:rsidRPr="0022298B" w:rsidRDefault="0022298B" w:rsidP="0022298B">
            <w:pPr>
              <w:pStyle w:val="TableBodyText"/>
            </w:pPr>
            <w:r w:rsidRPr="00533FE0">
              <w:t>Gender pay gap between 31</w:t>
            </w:r>
            <w:r w:rsidRPr="0022298B">
              <w:t>% and 35%</w:t>
            </w:r>
          </w:p>
        </w:tc>
        <w:tc>
          <w:tcPr>
            <w:tcW w:w="2303" w:type="dxa"/>
          </w:tcPr>
          <w:p w14:paraId="76658BD8" w14:textId="569C576E" w:rsidR="0022298B" w:rsidRPr="0022298B" w:rsidRDefault="00A42AAA" w:rsidP="0022298B">
            <w:pPr>
              <w:pStyle w:val="TableBodyTextcentre"/>
            </w:pPr>
            <w:r>
              <w:t>7</w:t>
            </w:r>
            <w:r w:rsidR="0022298B" w:rsidRPr="00533FE0">
              <w:t>%</w:t>
            </w:r>
          </w:p>
        </w:tc>
        <w:tc>
          <w:tcPr>
            <w:tcW w:w="0" w:type="auto"/>
          </w:tcPr>
          <w:p w14:paraId="30B2DF52" w14:textId="77777777" w:rsidR="0022298B" w:rsidRPr="0022298B" w:rsidRDefault="0022298B" w:rsidP="0022298B">
            <w:pPr>
              <w:pStyle w:val="TableBodyTextcentre"/>
            </w:pPr>
            <w:r w:rsidRPr="00533FE0">
              <w:t>4%</w:t>
            </w:r>
          </w:p>
        </w:tc>
      </w:tr>
      <w:tr w:rsidR="0022298B" w14:paraId="6410148D" w14:textId="77777777" w:rsidTr="009D726E">
        <w:tc>
          <w:tcPr>
            <w:tcW w:w="4678" w:type="dxa"/>
          </w:tcPr>
          <w:p w14:paraId="59508E62" w14:textId="77777777" w:rsidR="0022298B" w:rsidRPr="0022298B" w:rsidRDefault="0022298B" w:rsidP="0022298B">
            <w:pPr>
              <w:pStyle w:val="TableBodyText"/>
            </w:pPr>
            <w:r w:rsidRPr="00533FE0">
              <w:t>Gender pay gap between 26% and 30%</w:t>
            </w:r>
          </w:p>
        </w:tc>
        <w:tc>
          <w:tcPr>
            <w:tcW w:w="2303" w:type="dxa"/>
          </w:tcPr>
          <w:p w14:paraId="02733E51" w14:textId="254FDD50" w:rsidR="0022298B" w:rsidRPr="0022298B" w:rsidRDefault="008A4AD2" w:rsidP="0022298B">
            <w:pPr>
              <w:pStyle w:val="TableBodyTextcentre"/>
            </w:pPr>
            <w:r>
              <w:t>13</w:t>
            </w:r>
            <w:r w:rsidR="0022298B" w:rsidRPr="00533FE0">
              <w:t>%</w:t>
            </w:r>
          </w:p>
        </w:tc>
        <w:tc>
          <w:tcPr>
            <w:tcW w:w="0" w:type="auto"/>
          </w:tcPr>
          <w:p w14:paraId="1A2A4E71" w14:textId="77777777" w:rsidR="0022298B" w:rsidRPr="0022298B" w:rsidRDefault="0022298B" w:rsidP="0022298B">
            <w:pPr>
              <w:pStyle w:val="TableBodyTextcentre"/>
            </w:pPr>
            <w:r w:rsidRPr="00533FE0">
              <w:t>10%</w:t>
            </w:r>
          </w:p>
        </w:tc>
      </w:tr>
      <w:tr w:rsidR="0022298B" w14:paraId="5E3B582A" w14:textId="77777777" w:rsidTr="009D726E">
        <w:trPr>
          <w:cnfStyle w:val="000000010000" w:firstRow="0" w:lastRow="0" w:firstColumn="0" w:lastColumn="0" w:oddVBand="0" w:evenVBand="0" w:oddHBand="0" w:evenHBand="1" w:firstRowFirstColumn="0" w:firstRowLastColumn="0" w:lastRowFirstColumn="0" w:lastRowLastColumn="0"/>
        </w:trPr>
        <w:tc>
          <w:tcPr>
            <w:tcW w:w="4678" w:type="dxa"/>
          </w:tcPr>
          <w:p w14:paraId="57F14B59" w14:textId="77777777" w:rsidR="0022298B" w:rsidRPr="0022298B" w:rsidRDefault="0022298B" w:rsidP="0022298B">
            <w:pPr>
              <w:pStyle w:val="TableBodyText"/>
            </w:pPr>
            <w:r w:rsidRPr="00533FE0">
              <w:t>Gender pay</w:t>
            </w:r>
            <w:r w:rsidRPr="0022298B">
              <w:t xml:space="preserve"> gap between 21% and 25%</w:t>
            </w:r>
          </w:p>
        </w:tc>
        <w:tc>
          <w:tcPr>
            <w:tcW w:w="2303" w:type="dxa"/>
          </w:tcPr>
          <w:p w14:paraId="5EE48546" w14:textId="01796FF4" w:rsidR="0022298B" w:rsidRPr="0022298B" w:rsidRDefault="004B4D83" w:rsidP="0022298B">
            <w:pPr>
              <w:pStyle w:val="TableBodyTextcentre"/>
            </w:pPr>
            <w:r>
              <w:t>20</w:t>
            </w:r>
            <w:r w:rsidR="0022298B" w:rsidRPr="00533FE0">
              <w:t>%</w:t>
            </w:r>
          </w:p>
        </w:tc>
        <w:tc>
          <w:tcPr>
            <w:tcW w:w="0" w:type="auto"/>
          </w:tcPr>
          <w:p w14:paraId="7FD9B680" w14:textId="77777777" w:rsidR="0022298B" w:rsidRPr="0022298B" w:rsidRDefault="0022298B" w:rsidP="0022298B">
            <w:pPr>
              <w:pStyle w:val="TableBodyTextcentre"/>
            </w:pPr>
            <w:r w:rsidRPr="00533FE0">
              <w:t>16%</w:t>
            </w:r>
          </w:p>
        </w:tc>
      </w:tr>
      <w:tr w:rsidR="0022298B" w14:paraId="313B111C" w14:textId="77777777" w:rsidTr="009D726E">
        <w:tc>
          <w:tcPr>
            <w:tcW w:w="4678" w:type="dxa"/>
          </w:tcPr>
          <w:p w14:paraId="25B23347" w14:textId="77777777" w:rsidR="0022298B" w:rsidRPr="0022298B" w:rsidRDefault="0022298B" w:rsidP="0022298B">
            <w:pPr>
              <w:pStyle w:val="TableBodyText"/>
            </w:pPr>
            <w:r w:rsidRPr="00533FE0">
              <w:t>Gender pay gap between 16% and 20%</w:t>
            </w:r>
          </w:p>
        </w:tc>
        <w:tc>
          <w:tcPr>
            <w:tcW w:w="2303" w:type="dxa"/>
          </w:tcPr>
          <w:p w14:paraId="4065F379" w14:textId="18867BC5" w:rsidR="0022298B" w:rsidRPr="0022298B" w:rsidRDefault="00B6692C" w:rsidP="0022298B">
            <w:pPr>
              <w:pStyle w:val="TableBodyTextcentre"/>
            </w:pPr>
            <w:r>
              <w:t>22</w:t>
            </w:r>
            <w:r w:rsidR="0022298B" w:rsidRPr="00533FE0">
              <w:t>%</w:t>
            </w:r>
          </w:p>
        </w:tc>
        <w:tc>
          <w:tcPr>
            <w:tcW w:w="2046" w:type="dxa"/>
          </w:tcPr>
          <w:p w14:paraId="223A4A24" w14:textId="77777777" w:rsidR="0022298B" w:rsidRPr="0022298B" w:rsidRDefault="0022298B" w:rsidP="0022298B">
            <w:pPr>
              <w:pStyle w:val="TableBodyTextcentre"/>
            </w:pPr>
            <w:r w:rsidRPr="00533FE0">
              <w:t>27%</w:t>
            </w:r>
          </w:p>
        </w:tc>
      </w:tr>
      <w:tr w:rsidR="0022298B" w14:paraId="402738B2" w14:textId="77777777" w:rsidTr="009D726E">
        <w:trPr>
          <w:cnfStyle w:val="000000010000" w:firstRow="0" w:lastRow="0" w:firstColumn="0" w:lastColumn="0" w:oddVBand="0" w:evenVBand="0" w:oddHBand="0" w:evenHBand="1" w:firstRowFirstColumn="0" w:firstRowLastColumn="0" w:lastRowFirstColumn="0" w:lastRowLastColumn="0"/>
        </w:trPr>
        <w:tc>
          <w:tcPr>
            <w:tcW w:w="4678" w:type="dxa"/>
          </w:tcPr>
          <w:p w14:paraId="420C2455" w14:textId="77777777" w:rsidR="0022298B" w:rsidRPr="0022298B" w:rsidRDefault="0022298B" w:rsidP="0022298B">
            <w:pPr>
              <w:pStyle w:val="TableBodyText"/>
            </w:pPr>
            <w:r w:rsidRPr="00533FE0">
              <w:t xml:space="preserve">Gender pay </w:t>
            </w:r>
            <w:r w:rsidRPr="0022298B">
              <w:t>gap between 11% and 15%</w:t>
            </w:r>
          </w:p>
        </w:tc>
        <w:tc>
          <w:tcPr>
            <w:tcW w:w="2303" w:type="dxa"/>
          </w:tcPr>
          <w:p w14:paraId="66DA9D74" w14:textId="08412D8C" w:rsidR="0022298B" w:rsidRPr="0022298B" w:rsidRDefault="0022298B" w:rsidP="0022298B">
            <w:pPr>
              <w:pStyle w:val="TableBodyTextcentre"/>
            </w:pPr>
            <w:r w:rsidRPr="00533FE0">
              <w:t>1</w:t>
            </w:r>
            <w:r w:rsidR="00D76174">
              <w:t>3</w:t>
            </w:r>
            <w:r w:rsidRPr="00533FE0">
              <w:t>%</w:t>
            </w:r>
          </w:p>
        </w:tc>
        <w:tc>
          <w:tcPr>
            <w:tcW w:w="0" w:type="auto"/>
          </w:tcPr>
          <w:p w14:paraId="6BD75D67" w14:textId="77777777" w:rsidR="0022298B" w:rsidRPr="0022298B" w:rsidRDefault="0022298B" w:rsidP="0022298B">
            <w:pPr>
              <w:pStyle w:val="TableBodyTextcentre"/>
            </w:pPr>
            <w:r w:rsidRPr="00533FE0">
              <w:t>24%</w:t>
            </w:r>
          </w:p>
        </w:tc>
      </w:tr>
      <w:tr w:rsidR="0022298B" w14:paraId="1A2258F4" w14:textId="77777777" w:rsidTr="009D726E">
        <w:tc>
          <w:tcPr>
            <w:tcW w:w="4678" w:type="dxa"/>
          </w:tcPr>
          <w:p w14:paraId="3BB6DD4E" w14:textId="77777777" w:rsidR="0022298B" w:rsidRPr="0022298B" w:rsidRDefault="0022298B" w:rsidP="0022298B">
            <w:pPr>
              <w:pStyle w:val="TableBodyText"/>
            </w:pPr>
            <w:r w:rsidRPr="00533FE0">
              <w:t xml:space="preserve">Gender pay gap </w:t>
            </w:r>
            <w:r w:rsidRPr="0022298B">
              <w:t>between 6% and 10%</w:t>
            </w:r>
          </w:p>
        </w:tc>
        <w:tc>
          <w:tcPr>
            <w:tcW w:w="2303" w:type="dxa"/>
          </w:tcPr>
          <w:p w14:paraId="7154CE9A" w14:textId="401EC108" w:rsidR="0022298B" w:rsidRPr="0022298B" w:rsidRDefault="009A65B3" w:rsidP="0022298B">
            <w:pPr>
              <w:pStyle w:val="TableBodyTextcentre"/>
            </w:pPr>
            <w:r>
              <w:t>8</w:t>
            </w:r>
            <w:r w:rsidR="0022298B" w:rsidRPr="00533FE0">
              <w:t>%</w:t>
            </w:r>
          </w:p>
        </w:tc>
        <w:tc>
          <w:tcPr>
            <w:tcW w:w="2046" w:type="dxa"/>
          </w:tcPr>
          <w:p w14:paraId="5D86DEE8" w14:textId="77777777" w:rsidR="0022298B" w:rsidRPr="0022298B" w:rsidRDefault="0022298B" w:rsidP="0022298B">
            <w:pPr>
              <w:pStyle w:val="TableBodyTextcentre"/>
            </w:pPr>
            <w:r w:rsidRPr="00533FE0">
              <w:t>12%</w:t>
            </w:r>
          </w:p>
        </w:tc>
      </w:tr>
      <w:tr w:rsidR="0022298B" w14:paraId="6DC04596" w14:textId="77777777" w:rsidTr="009D726E">
        <w:trPr>
          <w:cnfStyle w:val="000000010000" w:firstRow="0" w:lastRow="0" w:firstColumn="0" w:lastColumn="0" w:oddVBand="0" w:evenVBand="0" w:oddHBand="0" w:evenHBand="1" w:firstRowFirstColumn="0" w:firstRowLastColumn="0" w:lastRowFirstColumn="0" w:lastRowLastColumn="0"/>
        </w:trPr>
        <w:tc>
          <w:tcPr>
            <w:tcW w:w="4678" w:type="dxa"/>
          </w:tcPr>
          <w:p w14:paraId="32BB46FB" w14:textId="77777777" w:rsidR="0022298B" w:rsidRPr="0022298B" w:rsidRDefault="0022298B" w:rsidP="0022298B">
            <w:pPr>
              <w:pStyle w:val="TableBodyText"/>
            </w:pPr>
            <w:r w:rsidRPr="00533FE0">
              <w:t>Gender pay gap 5% and below</w:t>
            </w:r>
          </w:p>
        </w:tc>
        <w:tc>
          <w:tcPr>
            <w:tcW w:w="2303" w:type="dxa"/>
          </w:tcPr>
          <w:p w14:paraId="559EE9D1" w14:textId="00FAE466" w:rsidR="0022298B" w:rsidRPr="0022298B" w:rsidRDefault="00872C77" w:rsidP="0022298B">
            <w:pPr>
              <w:pStyle w:val="TableBodyTextcentre"/>
            </w:pPr>
            <w:r>
              <w:t>8</w:t>
            </w:r>
            <w:r w:rsidR="0022298B" w:rsidRPr="00533FE0">
              <w:t>%</w:t>
            </w:r>
          </w:p>
        </w:tc>
        <w:tc>
          <w:tcPr>
            <w:tcW w:w="0" w:type="auto"/>
          </w:tcPr>
          <w:p w14:paraId="4C7CE093" w14:textId="77777777" w:rsidR="0022298B" w:rsidRPr="0022298B" w:rsidRDefault="0022298B" w:rsidP="0022298B">
            <w:pPr>
              <w:pStyle w:val="TableBodyTextcentre"/>
            </w:pPr>
            <w:r w:rsidRPr="00533FE0">
              <w:t>3%</w:t>
            </w:r>
          </w:p>
        </w:tc>
      </w:tr>
    </w:tbl>
    <w:p w14:paraId="539C1BBD" w14:textId="415A019F" w:rsidR="0022298B" w:rsidRDefault="0022298B" w:rsidP="0022298B">
      <w:pPr>
        <w:pStyle w:val="Source"/>
      </w:pPr>
      <w:r w:rsidRPr="00533FE0">
        <w:t>Source: Person Level Integrated Data Asset (PLIDA), ABS DataLab. Findings based on use of PLIDA data.</w:t>
      </w:r>
    </w:p>
    <w:p w14:paraId="7916C7AB" w14:textId="77777777" w:rsidR="0029120E" w:rsidRDefault="0029120E">
      <w:pPr>
        <w:spacing w:before="0" w:after="200" w:line="276" w:lineRule="auto"/>
        <w:rPr>
          <w:rFonts w:eastAsia="Times New Roman" w:cs="Arial"/>
          <w:b/>
          <w:color w:val="4B0985"/>
          <w:sz w:val="26"/>
          <w:szCs w:val="26"/>
          <w:lang w:eastAsia="en-AU"/>
        </w:rPr>
      </w:pPr>
      <w:bookmarkStart w:id="34" w:name="_Toc204596301"/>
      <w:r>
        <w:br w:type="page"/>
      </w:r>
    </w:p>
    <w:p w14:paraId="58598080" w14:textId="33116615" w:rsidR="0022298B" w:rsidRDefault="0022298B" w:rsidP="0022298B">
      <w:pPr>
        <w:pStyle w:val="Heading3"/>
      </w:pPr>
      <w:r>
        <w:lastRenderedPageBreak/>
        <w:t>10-year accumulated gender pay gap ranges</w:t>
      </w:r>
      <w:bookmarkEnd w:id="34"/>
    </w:p>
    <w:p w14:paraId="7CA39CCB" w14:textId="2AC0DDA2" w:rsidR="0022298B" w:rsidRDefault="0022298B" w:rsidP="0022298B">
      <w:pPr>
        <w:pStyle w:val="Caption"/>
      </w:pPr>
      <w:r>
        <w:t xml:space="preserve">Table </w:t>
      </w:r>
      <w:r w:rsidR="00E40547">
        <w:t>10</w:t>
      </w:r>
      <w:r>
        <w:t>: Distribution of ANZSCO 6-digit point in time and 10-year accumulative gender pay gaps</w:t>
      </w:r>
    </w:p>
    <w:tbl>
      <w:tblPr>
        <w:tblStyle w:val="CustomTablebasic"/>
        <w:tblW w:w="0" w:type="auto"/>
        <w:tblLook w:val="04A0" w:firstRow="1" w:lastRow="0" w:firstColumn="1" w:lastColumn="0" w:noHBand="0" w:noVBand="1"/>
      </w:tblPr>
      <w:tblGrid>
        <w:gridCol w:w="3009"/>
        <w:gridCol w:w="3009"/>
        <w:gridCol w:w="3009"/>
      </w:tblGrid>
      <w:tr w:rsidR="0022298B" w14:paraId="0BDDB481" w14:textId="77777777">
        <w:trPr>
          <w:cnfStyle w:val="100000000000" w:firstRow="1" w:lastRow="0" w:firstColumn="0" w:lastColumn="0" w:oddVBand="0" w:evenVBand="0" w:oddHBand="0" w:evenHBand="0" w:firstRowFirstColumn="0" w:firstRowLastColumn="0" w:lastRowFirstColumn="0" w:lastRowLastColumn="0"/>
        </w:trPr>
        <w:tc>
          <w:tcPr>
            <w:tcW w:w="3009" w:type="dxa"/>
          </w:tcPr>
          <w:p w14:paraId="2BC2FFF9" w14:textId="77777777" w:rsidR="0022298B" w:rsidRPr="0022298B" w:rsidRDefault="0022298B" w:rsidP="0022298B">
            <w:pPr>
              <w:pStyle w:val="TableHeading1"/>
            </w:pPr>
            <w:r>
              <w:t>Occupational gender pay gap range</w:t>
            </w:r>
          </w:p>
        </w:tc>
        <w:tc>
          <w:tcPr>
            <w:tcW w:w="3009" w:type="dxa"/>
          </w:tcPr>
          <w:p w14:paraId="72E2C068" w14:textId="7860B951" w:rsidR="0022298B" w:rsidRPr="0022298B" w:rsidRDefault="0022298B" w:rsidP="0022298B">
            <w:pPr>
              <w:pStyle w:val="TableHeading1"/>
            </w:pPr>
            <w:r>
              <w:t xml:space="preserve">Point in time </w:t>
            </w:r>
            <w:r w:rsidR="001B6A1A">
              <w:t xml:space="preserve">occupational </w:t>
            </w:r>
            <w:r>
              <w:t xml:space="preserve">median </w:t>
            </w:r>
            <w:r w:rsidR="001B6A1A">
              <w:t>annual</w:t>
            </w:r>
            <w:r w:rsidRPr="0022298B">
              <w:t xml:space="preserve"> gender pay gaps (%)</w:t>
            </w:r>
          </w:p>
        </w:tc>
        <w:tc>
          <w:tcPr>
            <w:tcW w:w="3009" w:type="dxa"/>
          </w:tcPr>
          <w:p w14:paraId="7FFC4486" w14:textId="77777777" w:rsidR="0022298B" w:rsidRPr="0022298B" w:rsidRDefault="0022298B" w:rsidP="0022298B">
            <w:pPr>
              <w:pStyle w:val="TableHeading1"/>
            </w:pPr>
            <w:r>
              <w:t>10-year accumulative occupation gender pay gaps (%)</w:t>
            </w:r>
          </w:p>
        </w:tc>
      </w:tr>
      <w:tr w:rsidR="0022298B" w14:paraId="41DFB90B" w14:textId="77777777">
        <w:tc>
          <w:tcPr>
            <w:tcW w:w="3009" w:type="dxa"/>
          </w:tcPr>
          <w:p w14:paraId="53627B06" w14:textId="77777777" w:rsidR="0022298B" w:rsidRPr="0022298B" w:rsidRDefault="0022298B" w:rsidP="0022298B">
            <w:pPr>
              <w:pStyle w:val="TableBodyText"/>
            </w:pPr>
            <w:r>
              <w:t>G</w:t>
            </w:r>
            <w:r w:rsidRPr="0022298B">
              <w:t>ender pay gap above 35%</w:t>
            </w:r>
          </w:p>
        </w:tc>
        <w:tc>
          <w:tcPr>
            <w:tcW w:w="3009" w:type="dxa"/>
          </w:tcPr>
          <w:p w14:paraId="04167DEF" w14:textId="77777777" w:rsidR="0022298B" w:rsidRPr="0022298B" w:rsidRDefault="0022298B" w:rsidP="0022298B">
            <w:pPr>
              <w:pStyle w:val="TableBodyTextcentre"/>
            </w:pPr>
            <w:r>
              <w:t>4</w:t>
            </w:r>
            <w:r w:rsidRPr="0022298B">
              <w:t>%</w:t>
            </w:r>
          </w:p>
        </w:tc>
        <w:tc>
          <w:tcPr>
            <w:tcW w:w="3009" w:type="dxa"/>
          </w:tcPr>
          <w:p w14:paraId="6DE9EAC0" w14:textId="77777777" w:rsidR="0022298B" w:rsidRPr="0022298B" w:rsidRDefault="0022298B" w:rsidP="0022298B">
            <w:pPr>
              <w:pStyle w:val="TableBodyTextcentre"/>
            </w:pPr>
            <w:r>
              <w:t>7%</w:t>
            </w:r>
          </w:p>
        </w:tc>
      </w:tr>
      <w:tr w:rsidR="0022298B" w14:paraId="22F24E8C" w14:textId="77777777">
        <w:trPr>
          <w:cnfStyle w:val="000000010000" w:firstRow="0" w:lastRow="0" w:firstColumn="0" w:lastColumn="0" w:oddVBand="0" w:evenVBand="0" w:oddHBand="0" w:evenHBand="1" w:firstRowFirstColumn="0" w:firstRowLastColumn="0" w:lastRowFirstColumn="0" w:lastRowLastColumn="0"/>
        </w:trPr>
        <w:tc>
          <w:tcPr>
            <w:tcW w:w="3009" w:type="dxa"/>
          </w:tcPr>
          <w:p w14:paraId="3ECAA70C" w14:textId="77777777" w:rsidR="0022298B" w:rsidRPr="0022298B" w:rsidRDefault="0022298B" w:rsidP="0022298B">
            <w:pPr>
              <w:pStyle w:val="TableBodyText"/>
            </w:pPr>
            <w:r>
              <w:t>B</w:t>
            </w:r>
            <w:r w:rsidRPr="0022298B">
              <w:t>etween 30% and 35%</w:t>
            </w:r>
          </w:p>
        </w:tc>
        <w:tc>
          <w:tcPr>
            <w:tcW w:w="3009" w:type="dxa"/>
          </w:tcPr>
          <w:p w14:paraId="7F775F35" w14:textId="77777777" w:rsidR="0022298B" w:rsidRPr="0022298B" w:rsidRDefault="0022298B" w:rsidP="0022298B">
            <w:pPr>
              <w:pStyle w:val="TableBodyTextcentre"/>
            </w:pPr>
            <w:r>
              <w:t>4%</w:t>
            </w:r>
          </w:p>
        </w:tc>
        <w:tc>
          <w:tcPr>
            <w:tcW w:w="3009" w:type="dxa"/>
          </w:tcPr>
          <w:p w14:paraId="218C6B04" w14:textId="77777777" w:rsidR="0022298B" w:rsidRPr="0022298B" w:rsidRDefault="0022298B" w:rsidP="0022298B">
            <w:pPr>
              <w:pStyle w:val="TableBodyTextcentre"/>
            </w:pPr>
            <w:r>
              <w:t>10%</w:t>
            </w:r>
          </w:p>
        </w:tc>
      </w:tr>
      <w:tr w:rsidR="0022298B" w14:paraId="52BB9A7B" w14:textId="77777777">
        <w:tc>
          <w:tcPr>
            <w:tcW w:w="3009" w:type="dxa"/>
          </w:tcPr>
          <w:p w14:paraId="44BC1F62" w14:textId="77777777" w:rsidR="0022298B" w:rsidRPr="0022298B" w:rsidRDefault="0022298B" w:rsidP="0022298B">
            <w:pPr>
              <w:pStyle w:val="TableBodyText"/>
            </w:pPr>
            <w:r>
              <w:t>B</w:t>
            </w:r>
            <w:r w:rsidRPr="0022298B">
              <w:t>etween 25% and 30%</w:t>
            </w:r>
          </w:p>
        </w:tc>
        <w:tc>
          <w:tcPr>
            <w:tcW w:w="3009" w:type="dxa"/>
          </w:tcPr>
          <w:p w14:paraId="000CDA3B" w14:textId="77777777" w:rsidR="0022298B" w:rsidRPr="0022298B" w:rsidRDefault="0022298B" w:rsidP="0022298B">
            <w:pPr>
              <w:pStyle w:val="TableBodyTextcentre"/>
            </w:pPr>
            <w:r>
              <w:t>1</w:t>
            </w:r>
            <w:r w:rsidRPr="0022298B">
              <w:t>1%</w:t>
            </w:r>
          </w:p>
        </w:tc>
        <w:tc>
          <w:tcPr>
            <w:tcW w:w="3009" w:type="dxa"/>
          </w:tcPr>
          <w:p w14:paraId="081CC4EE" w14:textId="77777777" w:rsidR="0022298B" w:rsidRPr="0022298B" w:rsidRDefault="0022298B" w:rsidP="0022298B">
            <w:pPr>
              <w:pStyle w:val="TableBodyTextcentre"/>
            </w:pPr>
            <w:r>
              <w:t>18%</w:t>
            </w:r>
          </w:p>
        </w:tc>
      </w:tr>
      <w:tr w:rsidR="0022298B" w14:paraId="2A508130" w14:textId="77777777">
        <w:trPr>
          <w:cnfStyle w:val="000000010000" w:firstRow="0" w:lastRow="0" w:firstColumn="0" w:lastColumn="0" w:oddVBand="0" w:evenVBand="0" w:oddHBand="0" w:evenHBand="1" w:firstRowFirstColumn="0" w:firstRowLastColumn="0" w:lastRowFirstColumn="0" w:lastRowLastColumn="0"/>
        </w:trPr>
        <w:tc>
          <w:tcPr>
            <w:tcW w:w="3009" w:type="dxa"/>
          </w:tcPr>
          <w:p w14:paraId="022234C7" w14:textId="77777777" w:rsidR="0022298B" w:rsidRPr="0022298B" w:rsidRDefault="0022298B" w:rsidP="0022298B">
            <w:pPr>
              <w:pStyle w:val="TableBodyText"/>
            </w:pPr>
            <w:r>
              <w:t>B</w:t>
            </w:r>
            <w:r w:rsidRPr="0022298B">
              <w:t>etween 20% and 25%</w:t>
            </w:r>
          </w:p>
        </w:tc>
        <w:tc>
          <w:tcPr>
            <w:tcW w:w="3009" w:type="dxa"/>
          </w:tcPr>
          <w:p w14:paraId="754F5A41" w14:textId="77777777" w:rsidR="0022298B" w:rsidRPr="0022298B" w:rsidRDefault="0022298B" w:rsidP="0022298B">
            <w:pPr>
              <w:pStyle w:val="TableBodyTextcentre"/>
            </w:pPr>
            <w:r>
              <w:t>1</w:t>
            </w:r>
            <w:r w:rsidRPr="0022298B">
              <w:t>5%</w:t>
            </w:r>
          </w:p>
        </w:tc>
        <w:tc>
          <w:tcPr>
            <w:tcW w:w="3009" w:type="dxa"/>
          </w:tcPr>
          <w:p w14:paraId="00467704" w14:textId="77777777" w:rsidR="0022298B" w:rsidRPr="0022298B" w:rsidRDefault="0022298B" w:rsidP="0022298B">
            <w:pPr>
              <w:pStyle w:val="TableBodyTextcentre"/>
            </w:pPr>
            <w:r>
              <w:t>28%</w:t>
            </w:r>
          </w:p>
        </w:tc>
      </w:tr>
      <w:tr w:rsidR="0022298B" w14:paraId="37CA9DAC" w14:textId="77777777">
        <w:tc>
          <w:tcPr>
            <w:tcW w:w="3009" w:type="dxa"/>
          </w:tcPr>
          <w:p w14:paraId="6D78D2C5" w14:textId="77777777" w:rsidR="0022298B" w:rsidRPr="0022298B" w:rsidRDefault="0022298B" w:rsidP="0022298B">
            <w:pPr>
              <w:pStyle w:val="TableBodyText"/>
            </w:pPr>
            <w:r>
              <w:t>B</w:t>
            </w:r>
            <w:r w:rsidRPr="0022298B">
              <w:t>etween 15% and 20%</w:t>
            </w:r>
          </w:p>
        </w:tc>
        <w:tc>
          <w:tcPr>
            <w:tcW w:w="3009" w:type="dxa"/>
          </w:tcPr>
          <w:p w14:paraId="4F3AD0F8" w14:textId="77777777" w:rsidR="0022298B" w:rsidRPr="0022298B" w:rsidRDefault="0022298B" w:rsidP="0022298B">
            <w:pPr>
              <w:pStyle w:val="TableBodyTextcentre"/>
            </w:pPr>
            <w:r>
              <w:t>27</w:t>
            </w:r>
            <w:r w:rsidRPr="0022298B">
              <w:t>%</w:t>
            </w:r>
          </w:p>
        </w:tc>
        <w:tc>
          <w:tcPr>
            <w:tcW w:w="3009" w:type="dxa"/>
          </w:tcPr>
          <w:p w14:paraId="1E6F883F" w14:textId="77777777" w:rsidR="0022298B" w:rsidRPr="0022298B" w:rsidRDefault="0022298B" w:rsidP="0022298B">
            <w:pPr>
              <w:pStyle w:val="TableBodyTextcentre"/>
            </w:pPr>
            <w:r>
              <w:t>21%</w:t>
            </w:r>
          </w:p>
        </w:tc>
      </w:tr>
      <w:tr w:rsidR="0022298B" w14:paraId="186CA7DD" w14:textId="77777777">
        <w:trPr>
          <w:cnfStyle w:val="000000010000" w:firstRow="0" w:lastRow="0" w:firstColumn="0" w:lastColumn="0" w:oddVBand="0" w:evenVBand="0" w:oddHBand="0" w:evenHBand="1" w:firstRowFirstColumn="0" w:firstRowLastColumn="0" w:lastRowFirstColumn="0" w:lastRowLastColumn="0"/>
        </w:trPr>
        <w:tc>
          <w:tcPr>
            <w:tcW w:w="3009" w:type="dxa"/>
          </w:tcPr>
          <w:p w14:paraId="730F9F94" w14:textId="77777777" w:rsidR="0022298B" w:rsidRPr="0022298B" w:rsidRDefault="0022298B" w:rsidP="0022298B">
            <w:pPr>
              <w:pStyle w:val="TableBodyText"/>
            </w:pPr>
            <w:r>
              <w:t>B</w:t>
            </w:r>
            <w:r w:rsidRPr="0022298B">
              <w:t>etween 10% and 15%</w:t>
            </w:r>
          </w:p>
        </w:tc>
        <w:tc>
          <w:tcPr>
            <w:tcW w:w="3009" w:type="dxa"/>
          </w:tcPr>
          <w:p w14:paraId="3969F7A3" w14:textId="77777777" w:rsidR="0022298B" w:rsidRPr="0022298B" w:rsidRDefault="0022298B" w:rsidP="0022298B">
            <w:pPr>
              <w:pStyle w:val="TableBodyTextcentre"/>
            </w:pPr>
            <w:r>
              <w:t>24</w:t>
            </w:r>
            <w:r w:rsidRPr="0022298B">
              <w:t>%</w:t>
            </w:r>
          </w:p>
        </w:tc>
        <w:tc>
          <w:tcPr>
            <w:tcW w:w="3009" w:type="dxa"/>
          </w:tcPr>
          <w:p w14:paraId="314E0042" w14:textId="77777777" w:rsidR="0022298B" w:rsidRPr="0022298B" w:rsidRDefault="0022298B" w:rsidP="0022298B">
            <w:pPr>
              <w:pStyle w:val="TableBodyTextcentre"/>
            </w:pPr>
            <w:r>
              <w:t>12%</w:t>
            </w:r>
          </w:p>
        </w:tc>
      </w:tr>
      <w:tr w:rsidR="0022298B" w14:paraId="7603DE35" w14:textId="77777777">
        <w:tc>
          <w:tcPr>
            <w:tcW w:w="3009" w:type="dxa"/>
          </w:tcPr>
          <w:p w14:paraId="1B70927E" w14:textId="77777777" w:rsidR="0022298B" w:rsidRPr="0022298B" w:rsidRDefault="0022298B" w:rsidP="0022298B">
            <w:pPr>
              <w:pStyle w:val="TableBodyText"/>
            </w:pPr>
            <w:r>
              <w:t>B</w:t>
            </w:r>
            <w:r w:rsidRPr="0022298B">
              <w:t>etween 5% and 10%</w:t>
            </w:r>
          </w:p>
        </w:tc>
        <w:tc>
          <w:tcPr>
            <w:tcW w:w="3009" w:type="dxa"/>
          </w:tcPr>
          <w:p w14:paraId="48B0B102" w14:textId="77777777" w:rsidR="0022298B" w:rsidRPr="0022298B" w:rsidRDefault="0022298B" w:rsidP="0022298B">
            <w:pPr>
              <w:pStyle w:val="TableBodyTextcentre"/>
            </w:pPr>
            <w:r>
              <w:t>1</w:t>
            </w:r>
            <w:r w:rsidRPr="0022298B">
              <w:t>2%</w:t>
            </w:r>
          </w:p>
        </w:tc>
        <w:tc>
          <w:tcPr>
            <w:tcW w:w="3009" w:type="dxa"/>
          </w:tcPr>
          <w:p w14:paraId="3D836D46" w14:textId="77777777" w:rsidR="0022298B" w:rsidRPr="0022298B" w:rsidRDefault="0022298B" w:rsidP="0022298B">
            <w:pPr>
              <w:pStyle w:val="TableBodyTextcentre"/>
            </w:pPr>
            <w:r>
              <w:t>5%</w:t>
            </w:r>
          </w:p>
        </w:tc>
      </w:tr>
      <w:tr w:rsidR="0022298B" w14:paraId="6332E3FE" w14:textId="77777777">
        <w:trPr>
          <w:cnfStyle w:val="000000010000" w:firstRow="0" w:lastRow="0" w:firstColumn="0" w:lastColumn="0" w:oddVBand="0" w:evenVBand="0" w:oddHBand="0" w:evenHBand="1" w:firstRowFirstColumn="0" w:firstRowLastColumn="0" w:lastRowFirstColumn="0" w:lastRowLastColumn="0"/>
        </w:trPr>
        <w:tc>
          <w:tcPr>
            <w:tcW w:w="3009" w:type="dxa"/>
          </w:tcPr>
          <w:p w14:paraId="0D7097E9" w14:textId="77777777" w:rsidR="0022298B" w:rsidRPr="0022298B" w:rsidRDefault="0022298B" w:rsidP="0022298B">
            <w:pPr>
              <w:pStyle w:val="TableBodyText"/>
            </w:pPr>
            <w:r>
              <w:t>Gender pay</w:t>
            </w:r>
            <w:r w:rsidRPr="0022298B">
              <w:t xml:space="preserve"> gap 5% and below</w:t>
            </w:r>
          </w:p>
        </w:tc>
        <w:tc>
          <w:tcPr>
            <w:tcW w:w="3009" w:type="dxa"/>
          </w:tcPr>
          <w:p w14:paraId="3380747A" w14:textId="77777777" w:rsidR="0022298B" w:rsidRPr="0022298B" w:rsidRDefault="0022298B" w:rsidP="0022298B">
            <w:pPr>
              <w:pStyle w:val="TableBodyTextcentre"/>
            </w:pPr>
            <w:r>
              <w:t>3</w:t>
            </w:r>
            <w:r w:rsidRPr="0022298B">
              <w:t>%</w:t>
            </w:r>
          </w:p>
        </w:tc>
        <w:tc>
          <w:tcPr>
            <w:tcW w:w="3009" w:type="dxa"/>
          </w:tcPr>
          <w:p w14:paraId="620133F3" w14:textId="77777777" w:rsidR="0022298B" w:rsidRPr="0022298B" w:rsidRDefault="0022298B" w:rsidP="0022298B">
            <w:pPr>
              <w:pStyle w:val="TableBodyTextcentre"/>
            </w:pPr>
            <w:r>
              <w:t>1%</w:t>
            </w:r>
          </w:p>
        </w:tc>
      </w:tr>
    </w:tbl>
    <w:p w14:paraId="1C641E72" w14:textId="0B1E3A20" w:rsidR="0022298B" w:rsidRDefault="0022298B" w:rsidP="0022298B">
      <w:pPr>
        <w:pStyle w:val="Source"/>
      </w:pPr>
      <w:r w:rsidRPr="00533FE0">
        <w:t>Source: Person Level Integrated Data Asset (PLIDA), ABS DataLab. Findings based on use of PLIDA data.</w:t>
      </w:r>
    </w:p>
    <w:p w14:paraId="10F7B127" w14:textId="29261AF5" w:rsidR="0022298B" w:rsidRDefault="0022298B" w:rsidP="0022298B">
      <w:pPr>
        <w:pStyle w:val="BodyText"/>
      </w:pPr>
      <w:r>
        <w:t xml:space="preserve">10-year gender pay gaps for ANZSCO 6-digit occupations show some similar trends to point in time pay gaps, with </w:t>
      </w:r>
      <w:r w:rsidR="00320BA4">
        <w:t>99</w:t>
      </w:r>
      <w:r>
        <w:t>% of occupations having a 10-year median gender pay gap in favour of males. However, typically 10-year occupational gender pay gaps are much larger. For example, the percentage of ANZSCO 6-digit occupations with a 10-year gender pay gap above 35% almost doubles when compared to occupational pay gaps at point in time (7% and 4% respectively)</w:t>
      </w:r>
      <w:r w:rsidR="00FD666E">
        <w:t>.</w:t>
      </w:r>
    </w:p>
    <w:p w14:paraId="0BF5D6F4" w14:textId="46BE0374" w:rsidR="0022298B" w:rsidRDefault="0022298B" w:rsidP="0022298B">
      <w:pPr>
        <w:pStyle w:val="BodyText"/>
      </w:pPr>
      <w:r>
        <w:t>Despite the methodological limitation above, JSA</w:t>
      </w:r>
      <w:r w:rsidRPr="00740250">
        <w:t xml:space="preserve"> recommends future analysis on these 10-year gender pay gaps at the ANZSCO 6-digit level to gather further occupational insights on gender economic equality across Australia's workforce</w:t>
      </w:r>
      <w:r>
        <w:t xml:space="preserve"> especially in occupations where we know there is long tenure</w:t>
      </w:r>
      <w:r w:rsidR="00FD666E">
        <w:t>.</w:t>
      </w:r>
    </w:p>
    <w:p w14:paraId="74D8E43B" w14:textId="5C448002" w:rsidR="00816111" w:rsidDel="00DC722B" w:rsidRDefault="0022298B" w:rsidP="0022298B">
      <w:pPr>
        <w:pStyle w:val="Heading3"/>
      </w:pPr>
      <w:bookmarkStart w:id="35" w:name="_Toc204596302"/>
      <w:r>
        <w:t>G</w:t>
      </w:r>
      <w:r w:rsidR="00B87789" w:rsidRPr="00B87789">
        <w:t xml:space="preserve">ender pay gaps and </w:t>
      </w:r>
      <w:r w:rsidR="00A61BF8">
        <w:t xml:space="preserve">occupational </w:t>
      </w:r>
      <w:r w:rsidR="00B87789" w:rsidRPr="00B87789">
        <w:t>m</w:t>
      </w:r>
      <w:r w:rsidR="007B58D9" w:rsidRPr="00B87789">
        <w:t xml:space="preserve">edian </w:t>
      </w:r>
      <w:r w:rsidR="007B58D9">
        <w:t>hours worked</w:t>
      </w:r>
      <w:r w:rsidR="00AB5A32">
        <w:t xml:space="preserve"> </w:t>
      </w:r>
      <w:r w:rsidR="00F862A5">
        <w:t>and pai</w:t>
      </w:r>
      <w:bookmarkEnd w:id="35"/>
      <w:r w:rsidR="004F2A69">
        <w:t>d</w:t>
      </w:r>
    </w:p>
    <w:p w14:paraId="60552008" w14:textId="269A6B35" w:rsidR="000254A3" w:rsidRDefault="00816111" w:rsidP="00876318">
      <w:pPr>
        <w:pStyle w:val="BodyText"/>
      </w:pPr>
      <w:r w:rsidDel="00DC722B">
        <w:t>There are many factors that drive gender pay gaps, and while it has been established that part-time work is a contributing factor, both Australian and international research has demonstrated repeatedly that the primary drivers of the gender pay gap are structural</w:t>
      </w:r>
      <w:r w:rsidR="000D39E1">
        <w:t>,</w:t>
      </w:r>
      <w:r w:rsidDel="00DC722B">
        <w:t xml:space="preserve"> not individual. Gender discrimination; years out of the workforce due to unpaid care and other work; gendered norms that drive career choice and reinforce gendered occupational segregation; and pay </w:t>
      </w:r>
      <w:r w:rsidRPr="003F45C7" w:rsidDel="00DC722B">
        <w:t xml:space="preserve">gaps </w:t>
      </w:r>
      <w:r w:rsidRPr="00816111" w:rsidDel="00DC722B">
        <w:rPr>
          <w:rStyle w:val="Characteritalic"/>
        </w:rPr>
        <w:t xml:space="preserve">within </w:t>
      </w:r>
      <w:r w:rsidRPr="003F45C7" w:rsidDel="00DC722B">
        <w:t>occupations</w:t>
      </w:r>
      <w:r w:rsidR="00457969">
        <w:t>—</w:t>
      </w:r>
      <w:r w:rsidDel="00DC722B">
        <w:t>even when males and females have the same qualifications and skills</w:t>
      </w:r>
      <w:r w:rsidR="00457969">
        <w:t>—</w:t>
      </w:r>
      <w:r w:rsidDel="00DC722B">
        <w:t xml:space="preserve">are most significant. </w:t>
      </w:r>
      <w:r w:rsidR="00D4732C">
        <w:t>Th</w:t>
      </w:r>
      <w:r w:rsidR="000254A3">
        <w:t>e</w:t>
      </w:r>
      <w:r w:rsidR="00D4732C">
        <w:t xml:space="preserve"> </w:t>
      </w:r>
      <w:r w:rsidDel="00DC722B">
        <w:t xml:space="preserve">gender pay gap drivers </w:t>
      </w:r>
      <w:r w:rsidR="000254A3">
        <w:t xml:space="preserve">are summarised </w:t>
      </w:r>
      <w:r w:rsidDel="00DC722B">
        <w:t xml:space="preserve">at the opening of Part 2 </w:t>
      </w:r>
      <w:r w:rsidR="00580856">
        <w:t>of</w:t>
      </w:r>
      <w:r w:rsidR="00580856" w:rsidDel="00DC722B">
        <w:t xml:space="preserve"> </w:t>
      </w:r>
      <w:r w:rsidDel="00DC722B">
        <w:t>th</w:t>
      </w:r>
      <w:r w:rsidR="000254A3">
        <w:t>e</w:t>
      </w:r>
      <w:r w:rsidDel="00DC722B">
        <w:t xml:space="preserve"> </w:t>
      </w:r>
      <w:r w:rsidR="000254A3">
        <w:t xml:space="preserve">main </w:t>
      </w:r>
      <w:r w:rsidDel="00DC722B">
        <w:t>paper</w:t>
      </w:r>
      <w:r w:rsidR="00FD666E">
        <w:t>.</w:t>
      </w:r>
    </w:p>
    <w:p w14:paraId="1EA62237" w14:textId="72090D6E" w:rsidR="00816111" w:rsidRDefault="00816111" w:rsidP="00876318">
      <w:pPr>
        <w:pStyle w:val="BodyText"/>
      </w:pPr>
      <w:r w:rsidDel="00DC722B">
        <w:t>Below we explore how controlling for gender differences in hours worked and paid for can assist in identifying occupations where pay gaps are notably high and driven by factors beyond patterns of work or part-time status.</w:t>
      </w:r>
    </w:p>
    <w:p w14:paraId="5B0859B4" w14:textId="40C7F214" w:rsidR="00451E28" w:rsidRDefault="00451E28" w:rsidP="0022298B">
      <w:pPr>
        <w:pStyle w:val="Heading4"/>
      </w:pPr>
      <w:r>
        <w:t>Supplementary analysis:</w:t>
      </w:r>
      <w:r w:rsidR="001644EC">
        <w:t xml:space="preserve"> </w:t>
      </w:r>
      <w:r w:rsidR="00152505">
        <w:t>'</w:t>
      </w:r>
      <w:r w:rsidR="008B51D9">
        <w:t>neutral</w:t>
      </w:r>
      <w:r w:rsidR="00152505">
        <w:t>'</w:t>
      </w:r>
      <w:r>
        <w:t xml:space="preserve"> </w:t>
      </w:r>
      <w:r w:rsidR="00361548">
        <w:t xml:space="preserve">occupational </w:t>
      </w:r>
      <w:r w:rsidR="00150039">
        <w:t xml:space="preserve">median </w:t>
      </w:r>
      <w:r>
        <w:t>hours worked</w:t>
      </w:r>
      <w:r w:rsidR="00DE4DCB">
        <w:t xml:space="preserve"> </w:t>
      </w:r>
      <w:r w:rsidR="008B2B91">
        <w:t xml:space="preserve">and </w:t>
      </w:r>
      <w:r w:rsidR="00361548">
        <w:t xml:space="preserve">occupational median annual </w:t>
      </w:r>
      <w:r w:rsidR="00F0052B">
        <w:t>gender pay gaps</w:t>
      </w:r>
    </w:p>
    <w:p w14:paraId="2060F65D" w14:textId="0091E6CB" w:rsidR="00580856" w:rsidRDefault="00496E41" w:rsidP="009C0EE2">
      <w:pPr>
        <w:pStyle w:val="BodyText"/>
      </w:pPr>
      <w:r>
        <w:t xml:space="preserve">To align with definitions of a 'neutral' gender pay gap, </w:t>
      </w:r>
      <w:r w:rsidR="00672650">
        <w:t>an</w:t>
      </w:r>
      <w:r>
        <w:t xml:space="preserve"> </w:t>
      </w:r>
      <w:r w:rsidR="00672650">
        <w:t>occupational</w:t>
      </w:r>
      <w:r>
        <w:t xml:space="preserve"> </w:t>
      </w:r>
      <w:r w:rsidR="004665AF">
        <w:t xml:space="preserve">median </w:t>
      </w:r>
      <w:r>
        <w:t xml:space="preserve">hours worked difference was considered neutral when </w:t>
      </w:r>
      <w:r w:rsidR="005F4981">
        <w:t xml:space="preserve">the percentage difference in </w:t>
      </w:r>
      <w:r w:rsidR="006245F3">
        <w:t xml:space="preserve">occupational </w:t>
      </w:r>
      <w:r w:rsidR="002E3C5B">
        <w:t xml:space="preserve">median </w:t>
      </w:r>
      <w:r w:rsidR="005F4981">
        <w:t xml:space="preserve">hours worked/paid between males and females was within the range of -5% to 5%. This </w:t>
      </w:r>
      <w:r w:rsidR="00A45CB9">
        <w:t>was classified as males and females working similar hours</w:t>
      </w:r>
      <w:r w:rsidR="001B63E5">
        <w:t>, in median terms</w:t>
      </w:r>
      <w:r w:rsidR="00FD666E">
        <w:t>.</w:t>
      </w:r>
    </w:p>
    <w:p w14:paraId="1BF9D631" w14:textId="1D4B9ED5" w:rsidR="00496E41" w:rsidRDefault="0055470A" w:rsidP="009C0EE2">
      <w:pPr>
        <w:pStyle w:val="BodyText"/>
      </w:pPr>
      <w:r>
        <w:lastRenderedPageBreak/>
        <w:t xml:space="preserve">Males and females were classified as having </w:t>
      </w:r>
      <w:r w:rsidR="00BD53DD">
        <w:t>less than half a day working difference in</w:t>
      </w:r>
      <w:r w:rsidR="002E3C5B">
        <w:t xml:space="preserve"> </w:t>
      </w:r>
      <w:r w:rsidR="006245F3">
        <w:t xml:space="preserve">occupational </w:t>
      </w:r>
      <w:r w:rsidR="002E3C5B">
        <w:t>median</w:t>
      </w:r>
      <w:r w:rsidR="00BD53DD">
        <w:t xml:space="preserve"> hours worked when the percentage difference was between 6% and 10%, equating to a time difference of 2 to 4 hours</w:t>
      </w:r>
      <w:r w:rsidR="00FD666E">
        <w:t>.</w:t>
      </w:r>
    </w:p>
    <w:p w14:paraId="799A8889" w14:textId="5BC2D1B1" w:rsidR="00EA1149" w:rsidRPr="0029120E" w:rsidRDefault="00EA1149" w:rsidP="0029120E">
      <w:pPr>
        <w:pStyle w:val="Caption"/>
        <w:spacing w:before="240"/>
      </w:pPr>
      <w:r>
        <w:t xml:space="preserve">Table </w:t>
      </w:r>
      <w:r w:rsidR="00E40547">
        <w:t>11</w:t>
      </w:r>
      <w:r>
        <w:t xml:space="preserve">: </w:t>
      </w:r>
      <w:r w:rsidR="00C325B3">
        <w:t>Occupational m</w:t>
      </w:r>
      <w:r w:rsidR="002E3C5B">
        <w:t>edian h</w:t>
      </w:r>
      <w:r>
        <w:t>ours worked differences between males and females across ANZSCO levels</w:t>
      </w:r>
    </w:p>
    <w:tbl>
      <w:tblPr>
        <w:tblStyle w:val="CustomTablebasic"/>
        <w:tblW w:w="0" w:type="auto"/>
        <w:tblLook w:val="04A0" w:firstRow="1" w:lastRow="0" w:firstColumn="1" w:lastColumn="0" w:noHBand="0" w:noVBand="1"/>
      </w:tblPr>
      <w:tblGrid>
        <w:gridCol w:w="1805"/>
        <w:gridCol w:w="1805"/>
        <w:gridCol w:w="1805"/>
        <w:gridCol w:w="1806"/>
        <w:gridCol w:w="1806"/>
      </w:tblGrid>
      <w:tr w:rsidR="00BB4E94" w14:paraId="422915C7" w14:textId="77777777" w:rsidTr="00C947A6">
        <w:trPr>
          <w:cnfStyle w:val="100000000000" w:firstRow="1" w:lastRow="0" w:firstColumn="0" w:lastColumn="0" w:oddVBand="0" w:evenVBand="0" w:oddHBand="0" w:evenHBand="0" w:firstRowFirstColumn="0" w:firstRowLastColumn="0" w:lastRowFirstColumn="0" w:lastRowLastColumn="0"/>
        </w:trPr>
        <w:tc>
          <w:tcPr>
            <w:tcW w:w="1805" w:type="dxa"/>
          </w:tcPr>
          <w:p w14:paraId="2DDAA65F" w14:textId="3477F1E8" w:rsidR="00BB4E94" w:rsidRDefault="006245F3" w:rsidP="00A132EE">
            <w:pPr>
              <w:pStyle w:val="TableBodyText"/>
            </w:pPr>
            <w:r>
              <w:t>Occupational m</w:t>
            </w:r>
            <w:r w:rsidR="00150039">
              <w:t>edian h</w:t>
            </w:r>
            <w:r w:rsidR="00BB4E94">
              <w:t>ours worked difference between males and females</w:t>
            </w:r>
          </w:p>
        </w:tc>
        <w:tc>
          <w:tcPr>
            <w:tcW w:w="1805" w:type="dxa"/>
          </w:tcPr>
          <w:p w14:paraId="382D605F" w14:textId="5CFF3526" w:rsidR="00BB4E94" w:rsidRDefault="00BB4E94" w:rsidP="00A132EE">
            <w:pPr>
              <w:pStyle w:val="TableBodyTextcentre"/>
            </w:pPr>
            <w:r>
              <w:t>ANZSCO 6-digit occupations (%)</w:t>
            </w:r>
          </w:p>
        </w:tc>
        <w:tc>
          <w:tcPr>
            <w:tcW w:w="1805" w:type="dxa"/>
          </w:tcPr>
          <w:p w14:paraId="3FD6ED3F" w14:textId="5FCDA922" w:rsidR="00BB4E94" w:rsidRDefault="00BB4E94" w:rsidP="00A132EE">
            <w:pPr>
              <w:pStyle w:val="TableBodyTextcentre"/>
            </w:pPr>
            <w:r>
              <w:t>ANZSCO 4-digit occupations (%)</w:t>
            </w:r>
          </w:p>
        </w:tc>
        <w:tc>
          <w:tcPr>
            <w:tcW w:w="1806" w:type="dxa"/>
          </w:tcPr>
          <w:p w14:paraId="33586C0B" w14:textId="2FA35380" w:rsidR="00BB4E94" w:rsidRDefault="00BB4E94" w:rsidP="00A132EE">
            <w:pPr>
              <w:pStyle w:val="TableBodyTextcentre"/>
            </w:pPr>
            <w:r>
              <w:t>ANZSCO 3-digit occupations (%)</w:t>
            </w:r>
          </w:p>
        </w:tc>
        <w:tc>
          <w:tcPr>
            <w:tcW w:w="1806" w:type="dxa"/>
          </w:tcPr>
          <w:p w14:paraId="6235B9E3" w14:textId="434E773F" w:rsidR="00BB4E94" w:rsidRDefault="00BB4E94" w:rsidP="00A132EE">
            <w:pPr>
              <w:pStyle w:val="TableBodyTextcentre"/>
            </w:pPr>
            <w:r>
              <w:t>ANZSCO 2-digit occupations (%)</w:t>
            </w:r>
          </w:p>
        </w:tc>
      </w:tr>
      <w:tr w:rsidR="00BB4E94" w14:paraId="0EB80FF7" w14:textId="77777777" w:rsidTr="00C947A6">
        <w:tc>
          <w:tcPr>
            <w:tcW w:w="1805" w:type="dxa"/>
          </w:tcPr>
          <w:p w14:paraId="3D3544BE" w14:textId="3B2DA0C3" w:rsidR="00BB4E94" w:rsidRDefault="00D97FCA" w:rsidP="00A132EE">
            <w:pPr>
              <w:pStyle w:val="TableBodyText"/>
            </w:pPr>
            <w:r>
              <w:t>Males and females working similar hours</w:t>
            </w:r>
          </w:p>
        </w:tc>
        <w:tc>
          <w:tcPr>
            <w:tcW w:w="1805" w:type="dxa"/>
          </w:tcPr>
          <w:p w14:paraId="3F9AF182" w14:textId="3FEAD1ED" w:rsidR="00BB4E94" w:rsidRDefault="00A132EE" w:rsidP="00A132EE">
            <w:pPr>
              <w:pStyle w:val="TableBodyTextcentre"/>
            </w:pPr>
            <w:r>
              <w:t>23%</w:t>
            </w:r>
          </w:p>
        </w:tc>
        <w:tc>
          <w:tcPr>
            <w:tcW w:w="1805" w:type="dxa"/>
          </w:tcPr>
          <w:p w14:paraId="362FE2D1" w14:textId="2F14777B" w:rsidR="00BB4E94" w:rsidRDefault="00A132EE" w:rsidP="00A132EE">
            <w:pPr>
              <w:pStyle w:val="TableBodyTextcentre"/>
            </w:pPr>
            <w:r>
              <w:t>58%</w:t>
            </w:r>
          </w:p>
        </w:tc>
        <w:tc>
          <w:tcPr>
            <w:tcW w:w="1806" w:type="dxa"/>
          </w:tcPr>
          <w:p w14:paraId="661D368D" w14:textId="028EA417" w:rsidR="00BB4E94" w:rsidRDefault="00401285" w:rsidP="00A132EE">
            <w:pPr>
              <w:pStyle w:val="TableBodyTextcentre"/>
            </w:pPr>
            <w:r>
              <w:t>66</w:t>
            </w:r>
            <w:r w:rsidR="003366B5">
              <w:t>%</w:t>
            </w:r>
          </w:p>
        </w:tc>
        <w:tc>
          <w:tcPr>
            <w:tcW w:w="1806" w:type="dxa"/>
          </w:tcPr>
          <w:p w14:paraId="09C2BC22" w14:textId="129CED8F" w:rsidR="00BB4E94" w:rsidRDefault="00522931" w:rsidP="00A132EE">
            <w:pPr>
              <w:pStyle w:val="TableBodyTextcentre"/>
            </w:pPr>
            <w:r>
              <w:t>55</w:t>
            </w:r>
            <w:r w:rsidR="00A02BDD">
              <w:t>%</w:t>
            </w:r>
          </w:p>
        </w:tc>
      </w:tr>
      <w:tr w:rsidR="00BB4E94" w14:paraId="7311359E" w14:textId="77777777" w:rsidTr="00C947A6">
        <w:trPr>
          <w:cnfStyle w:val="000000010000" w:firstRow="0" w:lastRow="0" w:firstColumn="0" w:lastColumn="0" w:oddVBand="0" w:evenVBand="0" w:oddHBand="0" w:evenHBand="1" w:firstRowFirstColumn="0" w:firstRowLastColumn="0" w:lastRowFirstColumn="0" w:lastRowLastColumn="0"/>
        </w:trPr>
        <w:tc>
          <w:tcPr>
            <w:tcW w:w="1805" w:type="dxa"/>
          </w:tcPr>
          <w:p w14:paraId="46491F44" w14:textId="14EF28BC" w:rsidR="00BB4E94" w:rsidRDefault="00D97FCA" w:rsidP="00A132EE">
            <w:pPr>
              <w:pStyle w:val="TableBodyText"/>
            </w:pPr>
            <w:r>
              <w:t>Less than half a working day difference</w:t>
            </w:r>
          </w:p>
        </w:tc>
        <w:tc>
          <w:tcPr>
            <w:tcW w:w="1805" w:type="dxa"/>
          </w:tcPr>
          <w:p w14:paraId="7E4157CE" w14:textId="0BA109DB" w:rsidR="00BB4E94" w:rsidRDefault="00A132EE" w:rsidP="00A132EE">
            <w:pPr>
              <w:pStyle w:val="TableBodyTextcentre"/>
            </w:pPr>
            <w:r>
              <w:t>37%</w:t>
            </w:r>
          </w:p>
        </w:tc>
        <w:tc>
          <w:tcPr>
            <w:tcW w:w="1805" w:type="dxa"/>
          </w:tcPr>
          <w:p w14:paraId="2BD26D74" w14:textId="65060F85" w:rsidR="00BB4E94" w:rsidRDefault="00A132EE" w:rsidP="00A132EE">
            <w:pPr>
              <w:pStyle w:val="TableBodyTextcentre"/>
            </w:pPr>
            <w:r>
              <w:t>7%</w:t>
            </w:r>
          </w:p>
        </w:tc>
        <w:tc>
          <w:tcPr>
            <w:tcW w:w="1806" w:type="dxa"/>
          </w:tcPr>
          <w:p w14:paraId="42BDB91B" w14:textId="7C1EA216" w:rsidR="00BB4E94" w:rsidRDefault="00145108" w:rsidP="00A132EE">
            <w:pPr>
              <w:pStyle w:val="TableBodyTextcentre"/>
            </w:pPr>
            <w:r>
              <w:t>8</w:t>
            </w:r>
            <w:r w:rsidR="003366B5">
              <w:t>%</w:t>
            </w:r>
          </w:p>
        </w:tc>
        <w:tc>
          <w:tcPr>
            <w:tcW w:w="1806" w:type="dxa"/>
          </w:tcPr>
          <w:p w14:paraId="037322F8" w14:textId="49D1189A" w:rsidR="00BB4E94" w:rsidRDefault="00016256" w:rsidP="00A132EE">
            <w:pPr>
              <w:pStyle w:val="TableBodyTextcentre"/>
            </w:pPr>
            <w:r>
              <w:t>1</w:t>
            </w:r>
            <w:r w:rsidR="00637230">
              <w:t>0</w:t>
            </w:r>
            <w:r w:rsidR="00A02BDD">
              <w:t>%</w:t>
            </w:r>
          </w:p>
        </w:tc>
      </w:tr>
      <w:tr w:rsidR="00BB4E94" w14:paraId="216AADE8" w14:textId="77777777" w:rsidTr="00C947A6">
        <w:tc>
          <w:tcPr>
            <w:tcW w:w="1805" w:type="dxa"/>
          </w:tcPr>
          <w:p w14:paraId="7642F112" w14:textId="05432D69" w:rsidR="00BB4E94" w:rsidRDefault="00D97FCA" w:rsidP="00A132EE">
            <w:pPr>
              <w:pStyle w:val="TableBodyText"/>
            </w:pPr>
            <w:r>
              <w:t>More than half a day working difference</w:t>
            </w:r>
          </w:p>
        </w:tc>
        <w:tc>
          <w:tcPr>
            <w:tcW w:w="1805" w:type="dxa"/>
          </w:tcPr>
          <w:p w14:paraId="0127375B" w14:textId="55166AA5" w:rsidR="00BB4E94" w:rsidRDefault="00A132EE" w:rsidP="00A132EE">
            <w:pPr>
              <w:pStyle w:val="TableBodyTextcentre"/>
            </w:pPr>
            <w:r>
              <w:t>40%</w:t>
            </w:r>
          </w:p>
        </w:tc>
        <w:tc>
          <w:tcPr>
            <w:tcW w:w="1805" w:type="dxa"/>
          </w:tcPr>
          <w:p w14:paraId="58833C41" w14:textId="46A352D0" w:rsidR="00BB4E94" w:rsidRDefault="00A132EE" w:rsidP="00A132EE">
            <w:pPr>
              <w:pStyle w:val="TableBodyTextcentre"/>
            </w:pPr>
            <w:r>
              <w:t>3</w:t>
            </w:r>
            <w:r w:rsidR="00641C77">
              <w:t>5</w:t>
            </w:r>
            <w:r>
              <w:t>%</w:t>
            </w:r>
          </w:p>
        </w:tc>
        <w:tc>
          <w:tcPr>
            <w:tcW w:w="1806" w:type="dxa"/>
          </w:tcPr>
          <w:p w14:paraId="3DAB6B2C" w14:textId="54C74DCE" w:rsidR="00BB4E94" w:rsidRDefault="00F43816" w:rsidP="00A132EE">
            <w:pPr>
              <w:pStyle w:val="TableBodyTextcentre"/>
            </w:pPr>
            <w:r>
              <w:t>2</w:t>
            </w:r>
            <w:r w:rsidR="00145108">
              <w:t>5</w:t>
            </w:r>
            <w:r>
              <w:t>%</w:t>
            </w:r>
          </w:p>
        </w:tc>
        <w:tc>
          <w:tcPr>
            <w:tcW w:w="1806" w:type="dxa"/>
          </w:tcPr>
          <w:p w14:paraId="743B48F4" w14:textId="1BC85029" w:rsidR="00BB4E94" w:rsidRDefault="00A02BDD" w:rsidP="00A132EE">
            <w:pPr>
              <w:pStyle w:val="TableBodyTextcentre"/>
            </w:pPr>
            <w:r>
              <w:t>3</w:t>
            </w:r>
            <w:r w:rsidR="00637230">
              <w:t>6</w:t>
            </w:r>
            <w:r>
              <w:t>%</w:t>
            </w:r>
          </w:p>
        </w:tc>
      </w:tr>
    </w:tbl>
    <w:p w14:paraId="471D219A" w14:textId="2A9D0A5F" w:rsidR="001F78ED" w:rsidRDefault="00BB4E94" w:rsidP="001F78ED">
      <w:pPr>
        <w:pStyle w:val="Source"/>
      </w:pPr>
      <w:r w:rsidRPr="00206093">
        <w:t>Source: ABS, Census of Population and Housing, 2021</w:t>
      </w:r>
      <w:r w:rsidR="00D97FCA">
        <w:t xml:space="preserve"> and Employee Earnings and Hours, 2021</w:t>
      </w:r>
      <w:r w:rsidR="00FD666E">
        <w:t>.</w:t>
      </w:r>
    </w:p>
    <w:p w14:paraId="12B2B35A" w14:textId="3B6B787E" w:rsidR="0022298B" w:rsidRPr="0022298B" w:rsidRDefault="001F78ED" w:rsidP="0022298B">
      <w:pPr>
        <w:pStyle w:val="Source"/>
      </w:pPr>
      <w:r w:rsidRPr="00206093">
        <w:t xml:space="preserve">Note: </w:t>
      </w:r>
      <w:r w:rsidR="00F43816">
        <w:t>Only</w:t>
      </w:r>
      <w:r w:rsidR="000374DA">
        <w:t xml:space="preserve"> occupations </w:t>
      </w:r>
      <w:r w:rsidR="00F43816">
        <w:t>that</w:t>
      </w:r>
      <w:r w:rsidR="000374DA">
        <w:t xml:space="preserve"> had</w:t>
      </w:r>
      <w:r w:rsidR="00F43816">
        <w:t xml:space="preserve"> both </w:t>
      </w:r>
      <w:r w:rsidR="000374DA">
        <w:t xml:space="preserve">males and females </w:t>
      </w:r>
      <w:r w:rsidR="002E3C5B">
        <w:t xml:space="preserve">median </w:t>
      </w:r>
      <w:r w:rsidR="000374DA">
        <w:t xml:space="preserve">hours worked </w:t>
      </w:r>
      <w:r w:rsidR="00F43816">
        <w:t>reported</w:t>
      </w:r>
      <w:r w:rsidR="000374DA">
        <w:t xml:space="preserve"> in the 2021 Census</w:t>
      </w:r>
      <w:r w:rsidRPr="00206093">
        <w:t xml:space="preserve"> </w:t>
      </w:r>
      <w:r w:rsidR="000374DA">
        <w:t>were included in</w:t>
      </w:r>
      <w:r w:rsidR="008E75AD">
        <w:t xml:space="preserve"> the</w:t>
      </w:r>
      <w:r w:rsidR="000374DA">
        <w:t xml:space="preserve"> analysis</w:t>
      </w:r>
      <w:r w:rsidR="00FD666E">
        <w:t xml:space="preserve">. </w:t>
      </w:r>
      <w:r w:rsidR="00142FDA">
        <w:t>Percentages may add up to over 100 due to rounding.</w:t>
      </w:r>
    </w:p>
    <w:p w14:paraId="6236570B" w14:textId="1F1BA8C1" w:rsidR="00B026AE" w:rsidRDefault="00B026AE" w:rsidP="0029120E">
      <w:pPr>
        <w:pStyle w:val="Caption"/>
        <w:spacing w:before="360"/>
      </w:pPr>
      <w:r>
        <w:t xml:space="preserve">Table </w:t>
      </w:r>
      <w:r w:rsidR="00E40547">
        <w:t>12</w:t>
      </w:r>
      <w:r>
        <w:t xml:space="preserve">: ANZSCO 4-digit occupations with neutral </w:t>
      </w:r>
      <w:r w:rsidR="00542A15">
        <w:t>occupational median</w:t>
      </w:r>
      <w:r>
        <w:t xml:space="preserve"> hours worked gaps</w:t>
      </w:r>
      <w:r w:rsidR="00143512">
        <w:t xml:space="preserve"> by segregation</w:t>
      </w:r>
      <w:r w:rsidR="005803F8">
        <w:t xml:space="preserve"> indicator</w:t>
      </w:r>
    </w:p>
    <w:tbl>
      <w:tblPr>
        <w:tblStyle w:val="CustomTablebasic"/>
        <w:tblW w:w="0" w:type="auto"/>
        <w:tblLook w:val="04A0" w:firstRow="1" w:lastRow="0" w:firstColumn="1" w:lastColumn="0" w:noHBand="0" w:noVBand="1"/>
      </w:tblPr>
      <w:tblGrid>
        <w:gridCol w:w="5812"/>
        <w:gridCol w:w="3215"/>
      </w:tblGrid>
      <w:tr w:rsidR="004931CE" w14:paraId="33F33070" w14:textId="77777777" w:rsidTr="00B23A09">
        <w:trPr>
          <w:cnfStyle w:val="100000000000" w:firstRow="1" w:lastRow="0" w:firstColumn="0" w:lastColumn="0" w:oddVBand="0" w:evenVBand="0" w:oddHBand="0" w:evenHBand="0" w:firstRowFirstColumn="0" w:firstRowLastColumn="0" w:lastRowFirstColumn="0" w:lastRowLastColumn="0"/>
        </w:trPr>
        <w:tc>
          <w:tcPr>
            <w:tcW w:w="5812" w:type="dxa"/>
          </w:tcPr>
          <w:p w14:paraId="533B205D" w14:textId="094F0385" w:rsidR="004931CE" w:rsidRDefault="004931CE" w:rsidP="009B6181">
            <w:pPr>
              <w:pStyle w:val="TableBodyText"/>
            </w:pPr>
            <w:r>
              <w:t xml:space="preserve">Gender segregation </w:t>
            </w:r>
            <w:r w:rsidR="00F0052B">
              <w:t>intensity</w:t>
            </w:r>
          </w:p>
        </w:tc>
        <w:tc>
          <w:tcPr>
            <w:tcW w:w="3215" w:type="dxa"/>
          </w:tcPr>
          <w:p w14:paraId="1E556BB9" w14:textId="643089FA" w:rsidR="004931CE" w:rsidRDefault="004931CE" w:rsidP="009B6181">
            <w:pPr>
              <w:pStyle w:val="TableBodyTextcentre"/>
            </w:pPr>
            <w:r>
              <w:t>ANZSCO 4-digit occupation</w:t>
            </w:r>
            <w:r w:rsidR="0058450F">
              <w:t>s</w:t>
            </w:r>
            <w:r>
              <w:t xml:space="preserve"> with a neutral </w:t>
            </w:r>
            <w:r w:rsidR="00542A15">
              <w:t>occupational</w:t>
            </w:r>
            <w:r>
              <w:t xml:space="preserve"> </w:t>
            </w:r>
            <w:r w:rsidR="00542A15">
              <w:t xml:space="preserve">median </w:t>
            </w:r>
            <w:r>
              <w:t>hours worked gap</w:t>
            </w:r>
            <w:r w:rsidR="00CE46C5">
              <w:t xml:space="preserve"> (%)</w:t>
            </w:r>
          </w:p>
        </w:tc>
      </w:tr>
      <w:tr w:rsidR="004931CE" w14:paraId="5E615D58" w14:textId="77777777" w:rsidTr="00B23A09">
        <w:tc>
          <w:tcPr>
            <w:tcW w:w="5812" w:type="dxa"/>
          </w:tcPr>
          <w:p w14:paraId="13961168" w14:textId="531BF819" w:rsidR="004931CE" w:rsidRDefault="004931CE" w:rsidP="009B6181">
            <w:pPr>
              <w:pStyle w:val="TableBodyText"/>
            </w:pPr>
            <w:r>
              <w:t>Gender balanced</w:t>
            </w:r>
          </w:p>
        </w:tc>
        <w:tc>
          <w:tcPr>
            <w:tcW w:w="3215" w:type="dxa"/>
          </w:tcPr>
          <w:p w14:paraId="7F2678A7" w14:textId="0A84D0EF" w:rsidR="004931CE" w:rsidRDefault="00965B5B" w:rsidP="009B6181">
            <w:pPr>
              <w:pStyle w:val="TableBodyTextcentre"/>
            </w:pPr>
            <w:r>
              <w:t>6</w:t>
            </w:r>
            <w:r w:rsidR="007E1768">
              <w:t>5</w:t>
            </w:r>
            <w:r>
              <w:t>%</w:t>
            </w:r>
          </w:p>
        </w:tc>
      </w:tr>
      <w:tr w:rsidR="004931CE" w14:paraId="0D3EE4CF" w14:textId="77777777" w:rsidTr="00B23A09">
        <w:trPr>
          <w:cnfStyle w:val="000000010000" w:firstRow="0" w:lastRow="0" w:firstColumn="0" w:lastColumn="0" w:oddVBand="0" w:evenVBand="0" w:oddHBand="0" w:evenHBand="1" w:firstRowFirstColumn="0" w:firstRowLastColumn="0" w:lastRowFirstColumn="0" w:lastRowLastColumn="0"/>
        </w:trPr>
        <w:tc>
          <w:tcPr>
            <w:tcW w:w="5812" w:type="dxa"/>
          </w:tcPr>
          <w:p w14:paraId="5846E11F" w14:textId="75864E8B" w:rsidR="004931CE" w:rsidRDefault="00F55846" w:rsidP="009B6181">
            <w:pPr>
              <w:pStyle w:val="TableBodyText"/>
            </w:pPr>
            <w:r>
              <w:t>Moderately f</w:t>
            </w:r>
            <w:r w:rsidR="004931CE">
              <w:t>emale or male dominated</w:t>
            </w:r>
          </w:p>
        </w:tc>
        <w:tc>
          <w:tcPr>
            <w:tcW w:w="3215" w:type="dxa"/>
          </w:tcPr>
          <w:p w14:paraId="32373F2D" w14:textId="7B9A514F" w:rsidR="004931CE" w:rsidRDefault="00965B5B" w:rsidP="009B6181">
            <w:pPr>
              <w:pStyle w:val="TableBodyTextcentre"/>
            </w:pPr>
            <w:r>
              <w:t>6</w:t>
            </w:r>
            <w:r w:rsidR="003D3F50">
              <w:t>1</w:t>
            </w:r>
            <w:r>
              <w:t>%</w:t>
            </w:r>
          </w:p>
        </w:tc>
      </w:tr>
      <w:tr w:rsidR="004931CE" w14:paraId="1BE1CD1F" w14:textId="77777777" w:rsidTr="00B23A09">
        <w:tc>
          <w:tcPr>
            <w:tcW w:w="5812" w:type="dxa"/>
          </w:tcPr>
          <w:p w14:paraId="40DC906C" w14:textId="39EEA19F" w:rsidR="004931CE" w:rsidRDefault="004931CE" w:rsidP="009B6181">
            <w:pPr>
              <w:pStyle w:val="TableBodyText"/>
            </w:pPr>
            <w:r>
              <w:t>Highly female or male dominated</w:t>
            </w:r>
          </w:p>
        </w:tc>
        <w:tc>
          <w:tcPr>
            <w:tcW w:w="3215" w:type="dxa"/>
          </w:tcPr>
          <w:p w14:paraId="689D540D" w14:textId="3684798A" w:rsidR="004931CE" w:rsidRDefault="00703961" w:rsidP="009B6181">
            <w:pPr>
              <w:pStyle w:val="TableBodyTextcentre"/>
            </w:pPr>
            <w:r>
              <w:t>4</w:t>
            </w:r>
            <w:r w:rsidR="00074AAE">
              <w:t>7</w:t>
            </w:r>
            <w:r>
              <w:t>%</w:t>
            </w:r>
          </w:p>
        </w:tc>
      </w:tr>
      <w:tr w:rsidR="004931CE" w14:paraId="76998128" w14:textId="77777777" w:rsidTr="00B23A09">
        <w:trPr>
          <w:cnfStyle w:val="000000010000" w:firstRow="0" w:lastRow="0" w:firstColumn="0" w:lastColumn="0" w:oddVBand="0" w:evenVBand="0" w:oddHBand="0" w:evenHBand="1" w:firstRowFirstColumn="0" w:firstRowLastColumn="0" w:lastRowFirstColumn="0" w:lastRowLastColumn="0"/>
        </w:trPr>
        <w:tc>
          <w:tcPr>
            <w:tcW w:w="5812" w:type="dxa"/>
          </w:tcPr>
          <w:p w14:paraId="4086D389" w14:textId="28BDB011" w:rsidR="004931CE" w:rsidRDefault="004931CE" w:rsidP="009B6181">
            <w:pPr>
              <w:pStyle w:val="TableBodyText"/>
            </w:pPr>
            <w:r>
              <w:t>Almost completely female or male dominated</w:t>
            </w:r>
          </w:p>
        </w:tc>
        <w:tc>
          <w:tcPr>
            <w:tcW w:w="3215" w:type="dxa"/>
          </w:tcPr>
          <w:p w14:paraId="0F6E0E3B" w14:textId="399F2AF9" w:rsidR="004931CE" w:rsidRDefault="00477CAD" w:rsidP="009B6181">
            <w:pPr>
              <w:pStyle w:val="TableBodyTextcentre"/>
            </w:pPr>
            <w:r>
              <w:t>62</w:t>
            </w:r>
            <w:r w:rsidR="009B6181">
              <w:t>%</w:t>
            </w:r>
          </w:p>
        </w:tc>
      </w:tr>
    </w:tbl>
    <w:p w14:paraId="773FC3F7" w14:textId="6496860C" w:rsidR="0022298B" w:rsidRPr="0022298B" w:rsidRDefault="009B6181" w:rsidP="0022298B">
      <w:pPr>
        <w:pStyle w:val="Source"/>
      </w:pPr>
      <w:r w:rsidRPr="00206093">
        <w:t>Source: ABS, Census of Population and Housing, 2021</w:t>
      </w:r>
      <w:r w:rsidR="004F2A69">
        <w:t>.</w:t>
      </w:r>
    </w:p>
    <w:p w14:paraId="53BBF46C" w14:textId="32CFE736" w:rsidR="00CE46C5" w:rsidRDefault="00CE46C5" w:rsidP="0029120E">
      <w:pPr>
        <w:pStyle w:val="Caption"/>
        <w:spacing w:before="360"/>
      </w:pPr>
      <w:r>
        <w:t xml:space="preserve">Table </w:t>
      </w:r>
      <w:r w:rsidR="00086056">
        <w:t>1</w:t>
      </w:r>
      <w:r w:rsidR="00E40547">
        <w:t>3</w:t>
      </w:r>
      <w:r>
        <w:t xml:space="preserve">: Count of ANZSCO 4-digit occupations with neutral </w:t>
      </w:r>
      <w:r w:rsidR="00542A15">
        <w:t xml:space="preserve">occupational median </w:t>
      </w:r>
      <w:r>
        <w:t>hours worked gaps by skill level</w:t>
      </w:r>
    </w:p>
    <w:tbl>
      <w:tblPr>
        <w:tblStyle w:val="CustomTablebasic"/>
        <w:tblW w:w="9047" w:type="dxa"/>
        <w:tblLook w:val="04A0" w:firstRow="1" w:lastRow="0" w:firstColumn="1" w:lastColumn="0" w:noHBand="0" w:noVBand="1"/>
      </w:tblPr>
      <w:tblGrid>
        <w:gridCol w:w="2977"/>
        <w:gridCol w:w="6070"/>
      </w:tblGrid>
      <w:tr w:rsidR="00CE46C5" w14:paraId="22BD9050" w14:textId="77777777" w:rsidTr="00542A15">
        <w:trPr>
          <w:cnfStyle w:val="100000000000" w:firstRow="1" w:lastRow="0" w:firstColumn="0" w:lastColumn="0" w:oddVBand="0" w:evenVBand="0" w:oddHBand="0" w:evenHBand="0" w:firstRowFirstColumn="0" w:firstRowLastColumn="0" w:lastRowFirstColumn="0" w:lastRowLastColumn="0"/>
          <w:trHeight w:val="412"/>
        </w:trPr>
        <w:tc>
          <w:tcPr>
            <w:tcW w:w="2977" w:type="dxa"/>
          </w:tcPr>
          <w:p w14:paraId="537BA321" w14:textId="7C847710" w:rsidR="00CE46C5" w:rsidRDefault="00CE46C5" w:rsidP="00542A15">
            <w:pPr>
              <w:pStyle w:val="TableBodyText"/>
            </w:pPr>
            <w:r>
              <w:t xml:space="preserve">Skill </w:t>
            </w:r>
            <w:r w:rsidR="00542A15">
              <w:t>L</w:t>
            </w:r>
            <w:r>
              <w:t>evel</w:t>
            </w:r>
          </w:p>
        </w:tc>
        <w:tc>
          <w:tcPr>
            <w:tcW w:w="6070" w:type="dxa"/>
          </w:tcPr>
          <w:p w14:paraId="492E0227" w14:textId="12B32334" w:rsidR="00CE46C5" w:rsidRDefault="00CE46C5" w:rsidP="000D40B7">
            <w:pPr>
              <w:pStyle w:val="TableBodyTextcentre"/>
            </w:pPr>
            <w:r>
              <w:t xml:space="preserve">ANZSCO 4-digit occupations with a </w:t>
            </w:r>
            <w:r w:rsidR="002E3C5B">
              <w:t xml:space="preserve">neutral </w:t>
            </w:r>
            <w:r w:rsidR="0058450F">
              <w:t>occupational median hours</w:t>
            </w:r>
            <w:r>
              <w:t xml:space="preserve"> worked gap (%)</w:t>
            </w:r>
          </w:p>
        </w:tc>
      </w:tr>
      <w:tr w:rsidR="00CE46C5" w14:paraId="4806CD8F" w14:textId="77777777" w:rsidTr="00542A15">
        <w:trPr>
          <w:trHeight w:val="412"/>
        </w:trPr>
        <w:tc>
          <w:tcPr>
            <w:tcW w:w="2977" w:type="dxa"/>
          </w:tcPr>
          <w:p w14:paraId="5D5617EA" w14:textId="19789FDD" w:rsidR="00CE46C5" w:rsidRDefault="003F6CAF" w:rsidP="00542A15">
            <w:pPr>
              <w:pStyle w:val="TableBodyText"/>
            </w:pPr>
            <w:r>
              <w:t xml:space="preserve">Skill Level </w:t>
            </w:r>
            <w:r w:rsidR="00A45CB9">
              <w:t>1</w:t>
            </w:r>
          </w:p>
        </w:tc>
        <w:tc>
          <w:tcPr>
            <w:tcW w:w="6070" w:type="dxa"/>
          </w:tcPr>
          <w:p w14:paraId="4AE05774" w14:textId="1C54943E" w:rsidR="00CE46C5" w:rsidRDefault="00FD6C50" w:rsidP="000D40B7">
            <w:pPr>
              <w:pStyle w:val="TableBodyTextcentre"/>
            </w:pPr>
            <w:r>
              <w:t>7</w:t>
            </w:r>
            <w:r w:rsidR="002F1ED2">
              <w:t>2</w:t>
            </w:r>
            <w:r>
              <w:t>%</w:t>
            </w:r>
          </w:p>
        </w:tc>
      </w:tr>
      <w:tr w:rsidR="00CE46C5" w14:paraId="66438EBB" w14:textId="77777777" w:rsidTr="00542A15">
        <w:trPr>
          <w:cnfStyle w:val="000000010000" w:firstRow="0" w:lastRow="0" w:firstColumn="0" w:lastColumn="0" w:oddVBand="0" w:evenVBand="0" w:oddHBand="0" w:evenHBand="1" w:firstRowFirstColumn="0" w:firstRowLastColumn="0" w:lastRowFirstColumn="0" w:lastRowLastColumn="0"/>
          <w:trHeight w:val="412"/>
        </w:trPr>
        <w:tc>
          <w:tcPr>
            <w:tcW w:w="2977" w:type="dxa"/>
          </w:tcPr>
          <w:p w14:paraId="4808C07D" w14:textId="766BCA7E" w:rsidR="00CE46C5" w:rsidRDefault="003F6CAF" w:rsidP="00542A15">
            <w:pPr>
              <w:pStyle w:val="TableBodyText"/>
            </w:pPr>
            <w:r>
              <w:t>S</w:t>
            </w:r>
            <w:r w:rsidRPr="003F6CAF">
              <w:t xml:space="preserve">kill Level </w:t>
            </w:r>
            <w:r w:rsidR="00CE46C5">
              <w:t>2</w:t>
            </w:r>
          </w:p>
        </w:tc>
        <w:tc>
          <w:tcPr>
            <w:tcW w:w="6070" w:type="dxa"/>
          </w:tcPr>
          <w:p w14:paraId="12CD5793" w14:textId="35F6EF7F" w:rsidR="00CE46C5" w:rsidRDefault="00AA2986" w:rsidP="000D40B7">
            <w:pPr>
              <w:pStyle w:val="TableBodyTextcentre"/>
            </w:pPr>
            <w:r>
              <w:t>69%</w:t>
            </w:r>
          </w:p>
        </w:tc>
      </w:tr>
      <w:tr w:rsidR="00CE46C5" w14:paraId="08E7A04A" w14:textId="77777777" w:rsidTr="00542A15">
        <w:trPr>
          <w:trHeight w:val="412"/>
        </w:trPr>
        <w:tc>
          <w:tcPr>
            <w:tcW w:w="2977" w:type="dxa"/>
          </w:tcPr>
          <w:p w14:paraId="48C79C23" w14:textId="5A9E3262" w:rsidR="00CE46C5" w:rsidRDefault="003F6CAF" w:rsidP="00542A15">
            <w:pPr>
              <w:pStyle w:val="TableBodyText"/>
            </w:pPr>
            <w:r>
              <w:t>S</w:t>
            </w:r>
            <w:r w:rsidRPr="003F6CAF">
              <w:t xml:space="preserve">kill Level </w:t>
            </w:r>
            <w:r w:rsidR="00CE46C5">
              <w:t>3</w:t>
            </w:r>
          </w:p>
        </w:tc>
        <w:tc>
          <w:tcPr>
            <w:tcW w:w="6070" w:type="dxa"/>
          </w:tcPr>
          <w:p w14:paraId="2CBDBC63" w14:textId="2F7D7CD7" w:rsidR="00CE46C5" w:rsidRDefault="002133D3" w:rsidP="000D40B7">
            <w:pPr>
              <w:pStyle w:val="TableBodyTextcentre"/>
            </w:pPr>
            <w:r>
              <w:t>50%</w:t>
            </w:r>
          </w:p>
        </w:tc>
      </w:tr>
      <w:tr w:rsidR="00CE46C5" w14:paraId="17FEC948" w14:textId="77777777" w:rsidTr="00542A15">
        <w:trPr>
          <w:cnfStyle w:val="000000010000" w:firstRow="0" w:lastRow="0" w:firstColumn="0" w:lastColumn="0" w:oddVBand="0" w:evenVBand="0" w:oddHBand="0" w:evenHBand="1" w:firstRowFirstColumn="0" w:firstRowLastColumn="0" w:lastRowFirstColumn="0" w:lastRowLastColumn="0"/>
          <w:trHeight w:val="412"/>
        </w:trPr>
        <w:tc>
          <w:tcPr>
            <w:tcW w:w="2977" w:type="dxa"/>
          </w:tcPr>
          <w:p w14:paraId="38FCDC46" w14:textId="51DCA8ED" w:rsidR="00CE46C5" w:rsidRDefault="003F6CAF" w:rsidP="00542A15">
            <w:pPr>
              <w:pStyle w:val="TableBodyText"/>
            </w:pPr>
            <w:r>
              <w:t>S</w:t>
            </w:r>
            <w:r w:rsidRPr="003F6CAF">
              <w:t xml:space="preserve">kill Level </w:t>
            </w:r>
            <w:r w:rsidR="00CE46C5">
              <w:t>4</w:t>
            </w:r>
          </w:p>
        </w:tc>
        <w:tc>
          <w:tcPr>
            <w:tcW w:w="6070" w:type="dxa"/>
          </w:tcPr>
          <w:p w14:paraId="579B3568" w14:textId="1842BCFE" w:rsidR="00CE46C5" w:rsidRDefault="002133D3" w:rsidP="000D40B7">
            <w:pPr>
              <w:pStyle w:val="TableBodyTextcentre"/>
            </w:pPr>
            <w:r>
              <w:t>54%</w:t>
            </w:r>
          </w:p>
        </w:tc>
      </w:tr>
      <w:tr w:rsidR="00CE46C5" w14:paraId="27386E26" w14:textId="77777777" w:rsidTr="00542A15">
        <w:trPr>
          <w:trHeight w:val="412"/>
        </w:trPr>
        <w:tc>
          <w:tcPr>
            <w:tcW w:w="2977" w:type="dxa"/>
          </w:tcPr>
          <w:p w14:paraId="545456E6" w14:textId="2BC1E2B1" w:rsidR="00CE46C5" w:rsidRDefault="003F6CAF" w:rsidP="00542A15">
            <w:pPr>
              <w:pStyle w:val="TableBodyText"/>
            </w:pPr>
            <w:r>
              <w:t>S</w:t>
            </w:r>
            <w:r w:rsidRPr="003F6CAF">
              <w:t xml:space="preserve">kill Level </w:t>
            </w:r>
            <w:r w:rsidR="00CE46C5">
              <w:t>5</w:t>
            </w:r>
          </w:p>
        </w:tc>
        <w:tc>
          <w:tcPr>
            <w:tcW w:w="6070" w:type="dxa"/>
          </w:tcPr>
          <w:p w14:paraId="42969E01" w14:textId="6FE31A3F" w:rsidR="00CE46C5" w:rsidRDefault="00087A0F" w:rsidP="000D40B7">
            <w:pPr>
              <w:pStyle w:val="TableBodyTextcentre"/>
            </w:pPr>
            <w:r>
              <w:t>31</w:t>
            </w:r>
            <w:r w:rsidR="000D40B7">
              <w:t>%</w:t>
            </w:r>
          </w:p>
        </w:tc>
      </w:tr>
    </w:tbl>
    <w:p w14:paraId="47962917" w14:textId="5DEB00CB" w:rsidR="000A7149" w:rsidRPr="000A7149" w:rsidRDefault="000D40B7" w:rsidP="0022298B">
      <w:pPr>
        <w:pStyle w:val="Source"/>
      </w:pPr>
      <w:r w:rsidRPr="00206093">
        <w:t>Source: ABS, Census of Population and Housing, 2021</w:t>
      </w:r>
      <w:r w:rsidR="004F2A69">
        <w:t>.</w:t>
      </w:r>
    </w:p>
    <w:p w14:paraId="6212F35F" w14:textId="14D32925" w:rsidR="00816F6B" w:rsidRPr="00816F6B" w:rsidDel="00DC722B" w:rsidRDefault="008B2B91" w:rsidP="0022298B">
      <w:pPr>
        <w:pStyle w:val="Heading4"/>
      </w:pPr>
      <w:r>
        <w:lastRenderedPageBreak/>
        <w:t>Supplementary an</w:t>
      </w:r>
      <w:r w:rsidR="008B2517">
        <w:t xml:space="preserve">alysis: pay gaps </w:t>
      </w:r>
      <w:r w:rsidR="00816F6B" w:rsidRPr="00816F6B" w:rsidDel="00DC722B">
        <w:t>where males and females work full time and similar hours</w:t>
      </w:r>
    </w:p>
    <w:p w14:paraId="77E04DE7" w14:textId="27D9D4EA" w:rsidR="005A15F8" w:rsidRDefault="00816F6B" w:rsidP="00816F6B">
      <w:pPr>
        <w:pStyle w:val="BodyText"/>
      </w:pPr>
      <w:r w:rsidRPr="00816F6B" w:rsidDel="00DC722B">
        <w:t>To control for differences between males' and females' hours worked in an occupation when analysing our more detailed occupational pay gap data, an analysis on the most recent Census (2021) showed that at the ANZSCO 6-digit level, there were 155 occupations (23%) where males and females worked similar hours. At the ANZSCO 4-digit level this is slightly higher at 58%</w:t>
      </w:r>
      <w:r w:rsidR="004F2A69">
        <w:t>.</w:t>
      </w:r>
    </w:p>
    <w:p w14:paraId="0C0F6EF6" w14:textId="537F6290" w:rsidR="00816F6B" w:rsidRPr="00816F6B" w:rsidDel="00DC722B" w:rsidRDefault="00816F6B" w:rsidP="00816F6B">
      <w:pPr>
        <w:pStyle w:val="BodyText"/>
      </w:pPr>
      <w:r w:rsidRPr="00816F6B" w:rsidDel="00DC722B">
        <w:t>At the ANZSCO 3-digit level, based on similar hours paid 2021 data from the Employee Earnings and Hours (EEH) Survey, males and females work similar hours in 69% of occupations. In fact, in the 12 years from 2012 to 2023 there has been males and females are increasingly working similar hours and the spotlight changing patterns of hours worked and paid below gives more information including how patterns change across age cohorts at the ANZSCO 2-digit level</w:t>
      </w:r>
      <w:r w:rsidR="004F2A69">
        <w:t>.</w:t>
      </w:r>
    </w:p>
    <w:p w14:paraId="472098FA" w14:textId="18516784" w:rsidR="00816F6B" w:rsidRPr="00816F6B" w:rsidDel="00DC722B" w:rsidRDefault="00816F6B" w:rsidP="0029120E">
      <w:pPr>
        <w:pStyle w:val="Caption"/>
        <w:spacing w:before="240"/>
      </w:pPr>
      <w:r w:rsidRPr="00816F6B" w:rsidDel="00DC722B">
        <w:t xml:space="preserve">Table </w:t>
      </w:r>
      <w:r w:rsidR="00086056">
        <w:t>1</w:t>
      </w:r>
      <w:r w:rsidR="00E40547">
        <w:t>4</w:t>
      </w:r>
      <w:r w:rsidRPr="00816F6B" w:rsidDel="00DC722B">
        <w:t xml:space="preserve">: </w:t>
      </w:r>
      <w:r w:rsidR="00CD0149">
        <w:t>Occupational median h</w:t>
      </w:r>
      <w:r w:rsidRPr="00816F6B" w:rsidDel="00DC722B">
        <w:t xml:space="preserve">ours worked </w:t>
      </w:r>
      <w:r w:rsidR="00050BC6">
        <w:t>gaps</w:t>
      </w:r>
      <w:r w:rsidRPr="00816F6B" w:rsidDel="00DC722B">
        <w:t xml:space="preserve"> by ANZSCO 6-digit occupations</w:t>
      </w:r>
    </w:p>
    <w:tbl>
      <w:tblPr>
        <w:tblStyle w:val="CustomTablebasic"/>
        <w:tblW w:w="0" w:type="auto"/>
        <w:tblLook w:val="04A0" w:firstRow="1" w:lastRow="0" w:firstColumn="1" w:lastColumn="0" w:noHBand="0" w:noVBand="1"/>
      </w:tblPr>
      <w:tblGrid>
        <w:gridCol w:w="4253"/>
        <w:gridCol w:w="2387"/>
        <w:gridCol w:w="2387"/>
      </w:tblGrid>
      <w:tr w:rsidR="00816F6B" w:rsidDel="00DC722B" w14:paraId="132EE457" w14:textId="77777777">
        <w:trPr>
          <w:cnfStyle w:val="100000000000" w:firstRow="1" w:lastRow="0" w:firstColumn="0" w:lastColumn="0" w:oddVBand="0" w:evenVBand="0" w:oddHBand="0" w:evenHBand="0" w:firstRowFirstColumn="0" w:firstRowLastColumn="0" w:lastRowFirstColumn="0" w:lastRowLastColumn="0"/>
        </w:trPr>
        <w:tc>
          <w:tcPr>
            <w:tcW w:w="4253" w:type="dxa"/>
          </w:tcPr>
          <w:p w14:paraId="48997ED8" w14:textId="6C466E40" w:rsidR="00816F6B" w:rsidRPr="00816F6B" w:rsidDel="00DC722B" w:rsidRDefault="00CD0149" w:rsidP="00816F6B">
            <w:pPr>
              <w:pStyle w:val="TableHeading1"/>
            </w:pPr>
            <w:r>
              <w:t>Occupational median h</w:t>
            </w:r>
            <w:r w:rsidR="00816F6B" w:rsidRPr="00816F6B" w:rsidDel="00DC722B">
              <w:t>ours worked difference between males and females</w:t>
            </w:r>
          </w:p>
        </w:tc>
        <w:tc>
          <w:tcPr>
            <w:tcW w:w="2387" w:type="dxa"/>
          </w:tcPr>
          <w:p w14:paraId="43A3FE02" w14:textId="77777777" w:rsidR="00816F6B" w:rsidRPr="00816F6B" w:rsidDel="00DC722B" w:rsidRDefault="00816F6B" w:rsidP="00816F6B">
            <w:pPr>
              <w:pStyle w:val="TableHeading1"/>
            </w:pPr>
            <w:r w:rsidRPr="00816F6B" w:rsidDel="00DC722B">
              <w:t>ANZSCO 6-digit occupation count</w:t>
            </w:r>
          </w:p>
        </w:tc>
        <w:tc>
          <w:tcPr>
            <w:tcW w:w="2387" w:type="dxa"/>
          </w:tcPr>
          <w:p w14:paraId="05546EE4" w14:textId="77777777" w:rsidR="00816F6B" w:rsidRPr="00816F6B" w:rsidDel="00DC722B" w:rsidRDefault="00816F6B" w:rsidP="00816F6B">
            <w:pPr>
              <w:pStyle w:val="TableHeading1"/>
            </w:pPr>
            <w:r w:rsidRPr="00816F6B" w:rsidDel="00DC722B">
              <w:t>ANZSCO 6-digit occupation count (%)</w:t>
            </w:r>
          </w:p>
        </w:tc>
      </w:tr>
      <w:tr w:rsidR="00816F6B" w:rsidDel="00DC722B" w14:paraId="2C2F0D58" w14:textId="77777777">
        <w:tc>
          <w:tcPr>
            <w:tcW w:w="4253" w:type="dxa"/>
          </w:tcPr>
          <w:p w14:paraId="08FAAA56" w14:textId="77777777" w:rsidR="00816F6B" w:rsidRPr="00816F6B" w:rsidDel="00DC722B" w:rsidRDefault="00816F6B" w:rsidP="00816F6B">
            <w:pPr>
              <w:pStyle w:val="TableHeading1"/>
            </w:pPr>
            <w:r w:rsidRPr="00816F6B" w:rsidDel="00DC722B">
              <w:t xml:space="preserve">Males and females work similar hours </w:t>
            </w:r>
          </w:p>
        </w:tc>
        <w:tc>
          <w:tcPr>
            <w:tcW w:w="2387" w:type="dxa"/>
          </w:tcPr>
          <w:p w14:paraId="136558B9" w14:textId="77777777" w:rsidR="00816F6B" w:rsidRPr="00816F6B" w:rsidDel="00DC722B" w:rsidRDefault="00816F6B" w:rsidP="00816F6B">
            <w:pPr>
              <w:pStyle w:val="TableBodyTextcentre"/>
            </w:pPr>
            <w:r w:rsidRPr="00816F6B" w:rsidDel="00DC722B">
              <w:t>155</w:t>
            </w:r>
          </w:p>
        </w:tc>
        <w:tc>
          <w:tcPr>
            <w:tcW w:w="2387" w:type="dxa"/>
          </w:tcPr>
          <w:p w14:paraId="32095C84" w14:textId="77777777" w:rsidR="00816F6B" w:rsidRPr="00816F6B" w:rsidDel="00DC722B" w:rsidRDefault="00816F6B" w:rsidP="00816F6B">
            <w:pPr>
              <w:pStyle w:val="TableBodyTextcentre"/>
            </w:pPr>
            <w:r w:rsidRPr="00816F6B" w:rsidDel="00DC722B">
              <w:t>23%</w:t>
            </w:r>
          </w:p>
        </w:tc>
      </w:tr>
      <w:tr w:rsidR="00816F6B" w:rsidDel="00DC722B" w14:paraId="2066325E" w14:textId="77777777">
        <w:trPr>
          <w:cnfStyle w:val="000000010000" w:firstRow="0" w:lastRow="0" w:firstColumn="0" w:lastColumn="0" w:oddVBand="0" w:evenVBand="0" w:oddHBand="0" w:evenHBand="1" w:firstRowFirstColumn="0" w:firstRowLastColumn="0" w:lastRowFirstColumn="0" w:lastRowLastColumn="0"/>
        </w:trPr>
        <w:tc>
          <w:tcPr>
            <w:tcW w:w="4253" w:type="dxa"/>
          </w:tcPr>
          <w:p w14:paraId="241FB732" w14:textId="77777777" w:rsidR="00816F6B" w:rsidRPr="00816F6B" w:rsidDel="00DC722B" w:rsidRDefault="00816F6B" w:rsidP="00816F6B">
            <w:pPr>
              <w:pStyle w:val="TableHeading1"/>
            </w:pPr>
            <w:r w:rsidRPr="00816F6B" w:rsidDel="00DC722B">
              <w:t>Half a workday difference between males and females </w:t>
            </w:r>
          </w:p>
        </w:tc>
        <w:tc>
          <w:tcPr>
            <w:tcW w:w="2387" w:type="dxa"/>
          </w:tcPr>
          <w:p w14:paraId="6FC3C4EA" w14:textId="77777777" w:rsidR="00816F6B" w:rsidRPr="00816F6B" w:rsidDel="00DC722B" w:rsidRDefault="00816F6B" w:rsidP="00816F6B">
            <w:pPr>
              <w:pStyle w:val="TableBodyTextcentre"/>
            </w:pPr>
            <w:r w:rsidRPr="00816F6B" w:rsidDel="00DC722B">
              <w:t>252</w:t>
            </w:r>
          </w:p>
        </w:tc>
        <w:tc>
          <w:tcPr>
            <w:tcW w:w="2387" w:type="dxa"/>
          </w:tcPr>
          <w:p w14:paraId="44663759" w14:textId="77777777" w:rsidR="00816F6B" w:rsidRPr="00816F6B" w:rsidDel="00DC722B" w:rsidRDefault="00816F6B" w:rsidP="00816F6B">
            <w:pPr>
              <w:pStyle w:val="TableBodyTextcentre"/>
            </w:pPr>
            <w:r w:rsidRPr="00816F6B" w:rsidDel="00DC722B">
              <w:t>37%</w:t>
            </w:r>
          </w:p>
        </w:tc>
      </w:tr>
      <w:tr w:rsidR="00816F6B" w:rsidDel="00DC722B" w14:paraId="46ED050B" w14:textId="77777777">
        <w:tc>
          <w:tcPr>
            <w:tcW w:w="4253" w:type="dxa"/>
          </w:tcPr>
          <w:p w14:paraId="0BA6FC3F" w14:textId="77777777" w:rsidR="00816F6B" w:rsidRPr="00816F6B" w:rsidDel="00DC722B" w:rsidRDefault="00816F6B" w:rsidP="00816F6B">
            <w:pPr>
              <w:pStyle w:val="TableHeading1"/>
            </w:pPr>
            <w:r w:rsidRPr="00816F6B" w:rsidDel="00DC722B">
              <w:t>Over half a workday but less than a full workday difference between males and females </w:t>
            </w:r>
          </w:p>
        </w:tc>
        <w:tc>
          <w:tcPr>
            <w:tcW w:w="2387" w:type="dxa"/>
          </w:tcPr>
          <w:p w14:paraId="2027A3ED" w14:textId="77777777" w:rsidR="00816F6B" w:rsidRPr="00816F6B" w:rsidDel="00DC722B" w:rsidRDefault="00816F6B" w:rsidP="00816F6B">
            <w:pPr>
              <w:pStyle w:val="TableBodyTextcentre"/>
            </w:pPr>
            <w:r w:rsidRPr="00816F6B" w:rsidDel="00DC722B">
              <w:t>228</w:t>
            </w:r>
          </w:p>
        </w:tc>
        <w:tc>
          <w:tcPr>
            <w:tcW w:w="2387" w:type="dxa"/>
          </w:tcPr>
          <w:p w14:paraId="2BC886ED" w14:textId="77777777" w:rsidR="00816F6B" w:rsidRPr="00816F6B" w:rsidDel="00DC722B" w:rsidRDefault="00816F6B" w:rsidP="00816F6B">
            <w:pPr>
              <w:pStyle w:val="TableBodyTextcentre"/>
            </w:pPr>
            <w:r w:rsidRPr="00816F6B" w:rsidDel="00DC722B">
              <w:t>33%</w:t>
            </w:r>
          </w:p>
        </w:tc>
      </w:tr>
      <w:tr w:rsidR="00816F6B" w:rsidDel="00DC722B" w14:paraId="7BDB37AF" w14:textId="77777777">
        <w:trPr>
          <w:cnfStyle w:val="000000010000" w:firstRow="0" w:lastRow="0" w:firstColumn="0" w:lastColumn="0" w:oddVBand="0" w:evenVBand="0" w:oddHBand="0" w:evenHBand="1" w:firstRowFirstColumn="0" w:firstRowLastColumn="0" w:lastRowFirstColumn="0" w:lastRowLastColumn="0"/>
        </w:trPr>
        <w:tc>
          <w:tcPr>
            <w:tcW w:w="4253" w:type="dxa"/>
          </w:tcPr>
          <w:p w14:paraId="0DE753C3" w14:textId="77777777" w:rsidR="00816F6B" w:rsidRPr="00816F6B" w:rsidDel="00DC722B" w:rsidRDefault="00816F6B" w:rsidP="00816F6B">
            <w:pPr>
              <w:pStyle w:val="TableHeading1"/>
            </w:pPr>
            <w:r w:rsidRPr="00816F6B" w:rsidDel="00DC722B">
              <w:t>More than a workday difference between males and females </w:t>
            </w:r>
          </w:p>
        </w:tc>
        <w:tc>
          <w:tcPr>
            <w:tcW w:w="2387" w:type="dxa"/>
          </w:tcPr>
          <w:p w14:paraId="7E850E5E" w14:textId="77777777" w:rsidR="00816F6B" w:rsidRPr="00816F6B" w:rsidDel="00DC722B" w:rsidRDefault="00816F6B" w:rsidP="00816F6B">
            <w:pPr>
              <w:pStyle w:val="TableBodyTextcentre"/>
            </w:pPr>
            <w:r w:rsidRPr="00816F6B" w:rsidDel="00DC722B">
              <w:t>50</w:t>
            </w:r>
          </w:p>
        </w:tc>
        <w:tc>
          <w:tcPr>
            <w:tcW w:w="2387" w:type="dxa"/>
          </w:tcPr>
          <w:p w14:paraId="518524A2" w14:textId="77777777" w:rsidR="00816F6B" w:rsidRPr="00816F6B" w:rsidDel="00DC722B" w:rsidRDefault="00816F6B" w:rsidP="00816F6B">
            <w:pPr>
              <w:pStyle w:val="TableBodyTextcentre"/>
            </w:pPr>
            <w:r w:rsidRPr="00816F6B" w:rsidDel="00DC722B">
              <w:t>7%</w:t>
            </w:r>
          </w:p>
        </w:tc>
      </w:tr>
    </w:tbl>
    <w:p w14:paraId="23F436CD" w14:textId="77777777" w:rsidR="00816F6B" w:rsidRPr="00816F6B" w:rsidDel="00DC722B" w:rsidRDefault="00816F6B" w:rsidP="00816F6B">
      <w:pPr>
        <w:pStyle w:val="Source"/>
      </w:pPr>
      <w:r w:rsidRPr="00816F6B" w:rsidDel="00DC722B">
        <w:t>Source: ABS, Census of Population and Housing, 2021.</w:t>
      </w:r>
    </w:p>
    <w:p w14:paraId="6AE7249F" w14:textId="5DEFCCF0" w:rsidR="00816F6B" w:rsidRPr="00816F6B" w:rsidDel="00DC722B" w:rsidRDefault="00816F6B" w:rsidP="00816F6B">
      <w:pPr>
        <w:pStyle w:val="Source"/>
      </w:pPr>
      <w:r w:rsidRPr="00816F6B" w:rsidDel="00DC722B">
        <w:t xml:space="preserve">Note: 3 of the 688 occupations analysed had no female </w:t>
      </w:r>
      <w:r w:rsidR="00CD0149">
        <w:t xml:space="preserve">occupational median </w:t>
      </w:r>
      <w:r w:rsidRPr="00816F6B" w:rsidDel="00DC722B">
        <w:t>hours worked recorded in the 2021 Census and so were excluded from analysis.</w:t>
      </w:r>
    </w:p>
    <w:p w14:paraId="46BBFCDF" w14:textId="2F359104" w:rsidR="003B4151" w:rsidRDefault="00816F6B" w:rsidP="0029120E">
      <w:pPr>
        <w:pStyle w:val="BodyText"/>
        <w:spacing w:before="240"/>
      </w:pPr>
      <w:r w:rsidRPr="00816F6B" w:rsidDel="00DC722B">
        <w:t>When adding a 'full</w:t>
      </w:r>
      <w:r w:rsidR="00CD0149">
        <w:t>-</w:t>
      </w:r>
      <w:r w:rsidRPr="00816F6B" w:rsidDel="00DC722B">
        <w:t>time equivalent' lens and focusing only on occupations where males and females are working 35 hours or more a week</w:t>
      </w:r>
      <w:r w:rsidR="003B4151">
        <w:t>,</w:t>
      </w:r>
      <w:r w:rsidRPr="00816F6B" w:rsidDel="00DC722B">
        <w:t xml:space="preserve"> as per the ABS </w:t>
      </w:r>
      <w:r w:rsidR="003B4151">
        <w:t>threshold</w:t>
      </w:r>
      <w:r w:rsidRPr="00816F6B" w:rsidDel="00DC722B">
        <w:t>, there are 109 ANZSCO 6-digit occupations where males and females work similar hours</w:t>
      </w:r>
      <w:r w:rsidR="004F2A69">
        <w:t>.</w:t>
      </w:r>
    </w:p>
    <w:p w14:paraId="4074D2E9" w14:textId="0F5F5B88" w:rsidR="00816F6B" w:rsidRPr="00816F6B" w:rsidDel="00DC722B" w:rsidRDefault="00816F6B" w:rsidP="00816F6B">
      <w:pPr>
        <w:pStyle w:val="BodyText"/>
      </w:pPr>
      <w:r w:rsidRPr="00816F6B" w:rsidDel="00DC722B">
        <w:t xml:space="preserve">Of particular interest is the female dominated occupation of Obstetrician and Gynaecologists. This is a high skilled, female dominated occupation that essentially has a 0% </w:t>
      </w:r>
      <w:r w:rsidR="0072335C">
        <w:t>occupational median</w:t>
      </w:r>
      <w:r w:rsidRPr="00816F6B" w:rsidDel="00DC722B">
        <w:t xml:space="preserve"> hours worked </w:t>
      </w:r>
      <w:r w:rsidR="005B58B9">
        <w:t>gap</w:t>
      </w:r>
      <w:r w:rsidRPr="00816F6B" w:rsidDel="00DC722B">
        <w:t>, but the gender pay gap is still very high at 22.6%</w:t>
      </w:r>
      <w:r w:rsidR="004F2A69">
        <w:t>.</w:t>
      </w:r>
    </w:p>
    <w:p w14:paraId="5CCC04E4" w14:textId="3AA98A2F" w:rsidR="00816F6B" w:rsidRPr="00816F6B" w:rsidDel="00DC722B" w:rsidRDefault="00816F6B" w:rsidP="00816F6B">
      <w:pPr>
        <w:pStyle w:val="BodyText"/>
      </w:pPr>
      <w:r w:rsidRPr="00816F6B" w:rsidDel="00DC722B">
        <w:t xml:space="preserve">Other notably high </w:t>
      </w:r>
      <w:r w:rsidR="00506C71">
        <w:t xml:space="preserve">occupational median annual </w:t>
      </w:r>
      <w:r w:rsidRPr="00816F6B" w:rsidDel="00DC722B">
        <w:t>gender pay gaps in this sample of 109 full-time equivalent working similar hours include:</w:t>
      </w:r>
    </w:p>
    <w:p w14:paraId="19E48D46" w14:textId="367DA9F4" w:rsidR="00816F6B" w:rsidRPr="00816F6B" w:rsidDel="00DC722B" w:rsidRDefault="00816F6B" w:rsidP="00816F6B">
      <w:pPr>
        <w:pStyle w:val="ListBullet"/>
        <w:numPr>
          <w:ilvl w:val="0"/>
          <w:numId w:val="3"/>
        </w:numPr>
      </w:pPr>
      <w:r w:rsidRPr="00816F6B" w:rsidDel="00DC722B">
        <w:t>Scaffolders</w:t>
      </w:r>
      <w:r w:rsidR="008B2D81">
        <w:t xml:space="preserve"> have an</w:t>
      </w:r>
      <w:r w:rsidRPr="00816F6B" w:rsidDel="00DC722B">
        <w:t xml:space="preserve"> </w:t>
      </w:r>
      <w:r w:rsidR="00506C71">
        <w:t>occu</w:t>
      </w:r>
      <w:r w:rsidR="008B2D81">
        <w:t xml:space="preserve">pational median annual </w:t>
      </w:r>
      <w:r w:rsidRPr="00816F6B" w:rsidDel="00DC722B">
        <w:t xml:space="preserve">gender pay gap of 41.4%, despite </w:t>
      </w:r>
      <w:r w:rsidR="005B58B9">
        <w:t xml:space="preserve">only a </w:t>
      </w:r>
      <w:r w:rsidRPr="00816F6B" w:rsidDel="00DC722B">
        <w:t xml:space="preserve">4% </w:t>
      </w:r>
      <w:r w:rsidR="008B2D81">
        <w:t xml:space="preserve">occupational median </w:t>
      </w:r>
      <w:r w:rsidRPr="00816F6B" w:rsidDel="00DC722B">
        <w:t xml:space="preserve">hours worked </w:t>
      </w:r>
      <w:r w:rsidR="005B58B9">
        <w:t>gap</w:t>
      </w:r>
      <w:r w:rsidR="008F0699">
        <w:t>.</w:t>
      </w:r>
    </w:p>
    <w:p w14:paraId="700C863A" w14:textId="344C1D49" w:rsidR="00816F6B" w:rsidRPr="00816F6B" w:rsidDel="00DC722B" w:rsidRDefault="00816F6B" w:rsidP="00816F6B">
      <w:pPr>
        <w:pStyle w:val="ListBullet"/>
        <w:numPr>
          <w:ilvl w:val="0"/>
          <w:numId w:val="3"/>
        </w:numPr>
      </w:pPr>
      <w:r w:rsidRPr="00816F6B" w:rsidDel="00DC722B">
        <w:t>Air Traffic Controllers</w:t>
      </w:r>
      <w:r w:rsidR="008B2D81">
        <w:t xml:space="preserve"> have an</w:t>
      </w:r>
      <w:r w:rsidRPr="00816F6B" w:rsidDel="00DC722B">
        <w:t xml:space="preserve"> </w:t>
      </w:r>
      <w:r w:rsidR="008B2D81">
        <w:t>occupational median annual</w:t>
      </w:r>
      <w:r w:rsidRPr="00816F6B" w:rsidDel="00DC722B">
        <w:t xml:space="preserve"> gender pay gap of 34.7%, with </w:t>
      </w:r>
      <w:r w:rsidR="009E7D12">
        <w:t xml:space="preserve">a </w:t>
      </w:r>
      <w:r w:rsidRPr="00816F6B" w:rsidDel="00DC722B">
        <w:t xml:space="preserve">1% </w:t>
      </w:r>
      <w:r w:rsidR="008B2D81">
        <w:t xml:space="preserve">occupational median </w:t>
      </w:r>
      <w:r w:rsidRPr="00816F6B" w:rsidDel="00DC722B">
        <w:t xml:space="preserve">hours worked </w:t>
      </w:r>
      <w:r w:rsidR="009E7D12">
        <w:t>gap</w:t>
      </w:r>
      <w:r w:rsidR="008F0699">
        <w:t>.</w:t>
      </w:r>
    </w:p>
    <w:p w14:paraId="2B864A12" w14:textId="14EB9CA9" w:rsidR="00816F6B" w:rsidRPr="00816F6B" w:rsidDel="00DC722B" w:rsidRDefault="00816F6B" w:rsidP="00816F6B">
      <w:pPr>
        <w:pStyle w:val="ListBullet"/>
        <w:numPr>
          <w:ilvl w:val="0"/>
          <w:numId w:val="3"/>
        </w:numPr>
      </w:pPr>
      <w:r w:rsidRPr="00816F6B" w:rsidDel="00DC722B">
        <w:t>Aircraft Maintenance Engineer (Mechanical) where females work 1.2 hours longer per week than males, with a</w:t>
      </w:r>
      <w:r w:rsidR="002F62DB">
        <w:t>n</w:t>
      </w:r>
      <w:r w:rsidRPr="00816F6B" w:rsidDel="00DC722B">
        <w:t xml:space="preserve"> </w:t>
      </w:r>
      <w:r w:rsidR="008B2D81">
        <w:t xml:space="preserve">occupational median annual </w:t>
      </w:r>
      <w:r w:rsidRPr="00816F6B" w:rsidDel="00DC722B">
        <w:t>gender pay gap of 22.3%.</w:t>
      </w:r>
    </w:p>
    <w:p w14:paraId="59D456B3" w14:textId="7220F116" w:rsidR="00816F6B" w:rsidRPr="00816F6B" w:rsidDel="00DC722B" w:rsidRDefault="00816F6B" w:rsidP="00816F6B">
      <w:pPr>
        <w:pStyle w:val="ListBullet"/>
        <w:numPr>
          <w:ilvl w:val="0"/>
          <w:numId w:val="3"/>
        </w:numPr>
      </w:pPr>
      <w:r w:rsidRPr="00816F6B" w:rsidDel="00DC722B">
        <w:lastRenderedPageBreak/>
        <w:t xml:space="preserve">Miners, where females work </w:t>
      </w:r>
      <w:r w:rsidR="000411DA">
        <w:t>2.</w:t>
      </w:r>
      <w:r w:rsidRPr="00816F6B">
        <w:t>1</w:t>
      </w:r>
      <w:r w:rsidRPr="00816F6B" w:rsidDel="00DC722B">
        <w:t xml:space="preserve"> hours longer per week than males,</w:t>
      </w:r>
      <w:r w:rsidRPr="00816F6B">
        <w:t xml:space="preserve"> </w:t>
      </w:r>
      <w:r w:rsidR="008B2D81">
        <w:t>have an occupational median annual</w:t>
      </w:r>
      <w:r w:rsidRPr="00816F6B" w:rsidDel="00DC722B">
        <w:t xml:space="preserve"> gender pay gap of 19.8%</w:t>
      </w:r>
      <w:r w:rsidR="004F2A69">
        <w:t>.</w:t>
      </w:r>
    </w:p>
    <w:p w14:paraId="420EF9C7" w14:textId="4F55F1C5" w:rsidR="00816F6B" w:rsidRDefault="00816F6B" w:rsidP="00816F6B">
      <w:pPr>
        <w:pStyle w:val="ListBullet"/>
        <w:numPr>
          <w:ilvl w:val="0"/>
          <w:numId w:val="3"/>
        </w:numPr>
      </w:pPr>
      <w:r w:rsidRPr="00816F6B" w:rsidDel="00DC722B">
        <w:t xml:space="preserve">The top 20 largest </w:t>
      </w:r>
      <w:r w:rsidR="008B2D81">
        <w:t xml:space="preserve">occupational median annual </w:t>
      </w:r>
      <w:r w:rsidRPr="00816F6B" w:rsidDel="00DC722B">
        <w:t xml:space="preserve">pay gaps in this category are also presented in </w:t>
      </w:r>
      <w:r w:rsidR="00725B8F">
        <w:t>T</w:t>
      </w:r>
      <w:r w:rsidRPr="00816F6B" w:rsidDel="00DC722B">
        <w:t xml:space="preserve">able </w:t>
      </w:r>
      <w:r w:rsidR="00725B8F">
        <w:t>1</w:t>
      </w:r>
      <w:r w:rsidR="00056DAE">
        <w:t>5</w:t>
      </w:r>
      <w:r w:rsidR="00725B8F">
        <w:t xml:space="preserve"> </w:t>
      </w:r>
      <w:r w:rsidR="0030558B">
        <w:t>below</w:t>
      </w:r>
      <w:r w:rsidRPr="00816F6B" w:rsidDel="00DC722B">
        <w:t>.</w:t>
      </w:r>
    </w:p>
    <w:p w14:paraId="28D124FC" w14:textId="3D76FB57" w:rsidR="0030558B" w:rsidRPr="00933F09" w:rsidRDefault="0030558B" w:rsidP="00FD7702">
      <w:pPr>
        <w:pStyle w:val="Caption"/>
        <w:rPr>
          <w:rStyle w:val="Characterbold"/>
          <w:b/>
        </w:rPr>
      </w:pPr>
      <w:r w:rsidRPr="00933F09">
        <w:rPr>
          <w:rStyle w:val="Characterbold"/>
          <w:b/>
        </w:rPr>
        <w:t>Table</w:t>
      </w:r>
      <w:r w:rsidR="00C309E5" w:rsidRPr="00933F09">
        <w:rPr>
          <w:rStyle w:val="Characterbold"/>
          <w:b/>
        </w:rPr>
        <w:t xml:space="preserve"> 1</w:t>
      </w:r>
      <w:r w:rsidR="00E40547" w:rsidRPr="00933F09">
        <w:rPr>
          <w:rStyle w:val="Characterbold"/>
          <w:b/>
        </w:rPr>
        <w:t>5</w:t>
      </w:r>
      <w:r w:rsidRPr="00933F09">
        <w:rPr>
          <w:rStyle w:val="Characterbold"/>
          <w:b/>
        </w:rPr>
        <w:t>: Top 20 largest occupational median annual gender pay gaps for ANZSCO 6-digit occupations with neutral occupational median hours worked gaps, and full-time equivalent hours for both males and females</w:t>
      </w:r>
    </w:p>
    <w:tbl>
      <w:tblPr>
        <w:tblStyle w:val="CustomTablebasic"/>
        <w:tblW w:w="0" w:type="auto"/>
        <w:tblLook w:val="04A0" w:firstRow="1" w:lastRow="0" w:firstColumn="1" w:lastColumn="0" w:noHBand="0" w:noVBand="1"/>
      </w:tblPr>
      <w:tblGrid>
        <w:gridCol w:w="2268"/>
        <w:gridCol w:w="1418"/>
        <w:gridCol w:w="1984"/>
        <w:gridCol w:w="1418"/>
        <w:gridCol w:w="1939"/>
      </w:tblGrid>
      <w:tr w:rsidR="0029120E" w14:paraId="6876D7B3" w14:textId="77777777" w:rsidTr="0029120E">
        <w:trPr>
          <w:cnfStyle w:val="100000000000" w:firstRow="1" w:lastRow="0" w:firstColumn="0" w:lastColumn="0" w:oddVBand="0" w:evenVBand="0" w:oddHBand="0" w:evenHBand="0" w:firstRowFirstColumn="0" w:firstRowLastColumn="0" w:lastRowFirstColumn="0" w:lastRowLastColumn="0"/>
        </w:trPr>
        <w:tc>
          <w:tcPr>
            <w:tcW w:w="2268" w:type="dxa"/>
          </w:tcPr>
          <w:p w14:paraId="7A84B0B5" w14:textId="77777777" w:rsidR="0030558B" w:rsidRPr="0030558B" w:rsidRDefault="0030558B" w:rsidP="0030558B">
            <w:pPr>
              <w:pStyle w:val="TableHeading1"/>
            </w:pPr>
            <w:r w:rsidRPr="0030558B">
              <w:t>ANZSCO 6-digit occupation</w:t>
            </w:r>
          </w:p>
        </w:tc>
        <w:tc>
          <w:tcPr>
            <w:tcW w:w="1418" w:type="dxa"/>
          </w:tcPr>
          <w:p w14:paraId="4F7C15CD" w14:textId="77777777" w:rsidR="0030558B" w:rsidRPr="0030558B" w:rsidRDefault="0030558B" w:rsidP="0030558B">
            <w:pPr>
              <w:pStyle w:val="TableHeading1"/>
            </w:pPr>
            <w:r>
              <w:t>O</w:t>
            </w:r>
            <w:r w:rsidRPr="0030558B">
              <w:t>ccupational median hours worked gap (%)</w:t>
            </w:r>
          </w:p>
        </w:tc>
        <w:tc>
          <w:tcPr>
            <w:tcW w:w="1984" w:type="dxa"/>
          </w:tcPr>
          <w:p w14:paraId="665D31A9" w14:textId="77777777" w:rsidR="0030558B" w:rsidRPr="0030558B" w:rsidRDefault="0030558B" w:rsidP="0030558B">
            <w:pPr>
              <w:pStyle w:val="TableHeading1"/>
            </w:pPr>
            <w:r>
              <w:t>2</w:t>
            </w:r>
            <w:r w:rsidRPr="0030558B">
              <w:t>022-23 Occupational median annual gender pay gap (%)</w:t>
            </w:r>
          </w:p>
        </w:tc>
        <w:tc>
          <w:tcPr>
            <w:tcW w:w="1418" w:type="dxa"/>
          </w:tcPr>
          <w:p w14:paraId="20471895" w14:textId="77777777" w:rsidR="0030558B" w:rsidRPr="0030558B" w:rsidRDefault="0030558B" w:rsidP="0030558B">
            <w:pPr>
              <w:pStyle w:val="TableHeading1"/>
            </w:pPr>
            <w:r>
              <w:t xml:space="preserve">Skill </w:t>
            </w:r>
            <w:r w:rsidRPr="0030558B">
              <w:t>Level</w:t>
            </w:r>
          </w:p>
        </w:tc>
        <w:tc>
          <w:tcPr>
            <w:tcW w:w="1939" w:type="dxa"/>
          </w:tcPr>
          <w:p w14:paraId="6286CD17" w14:textId="77777777" w:rsidR="0030558B" w:rsidRPr="0030558B" w:rsidRDefault="0030558B" w:rsidP="0030558B">
            <w:pPr>
              <w:pStyle w:val="TableHeading1"/>
            </w:pPr>
            <w:r>
              <w:t xml:space="preserve">Gender segregation </w:t>
            </w:r>
            <w:r w:rsidRPr="0030558B">
              <w:t>intensity</w:t>
            </w:r>
          </w:p>
        </w:tc>
      </w:tr>
      <w:tr w:rsidR="0030558B" w14:paraId="6BA45047" w14:textId="77777777" w:rsidTr="0029120E">
        <w:tc>
          <w:tcPr>
            <w:tcW w:w="2268" w:type="dxa"/>
          </w:tcPr>
          <w:p w14:paraId="323DE0E5" w14:textId="77777777" w:rsidR="0030558B" w:rsidRPr="0030558B" w:rsidRDefault="0030558B" w:rsidP="0030558B">
            <w:pPr>
              <w:pStyle w:val="TableBodyText"/>
            </w:pPr>
            <w:r>
              <w:t>Scaffolder</w:t>
            </w:r>
          </w:p>
        </w:tc>
        <w:tc>
          <w:tcPr>
            <w:tcW w:w="1418" w:type="dxa"/>
          </w:tcPr>
          <w:p w14:paraId="0AE97621" w14:textId="77777777" w:rsidR="0030558B" w:rsidRPr="0030558B" w:rsidRDefault="0030558B" w:rsidP="0030558B">
            <w:pPr>
              <w:pStyle w:val="TableBodyTextcentre"/>
            </w:pPr>
            <w:r>
              <w:t>4%</w:t>
            </w:r>
          </w:p>
        </w:tc>
        <w:tc>
          <w:tcPr>
            <w:tcW w:w="1984" w:type="dxa"/>
          </w:tcPr>
          <w:p w14:paraId="396587A9" w14:textId="77777777" w:rsidR="0030558B" w:rsidRPr="0030558B" w:rsidRDefault="0030558B" w:rsidP="0030558B">
            <w:pPr>
              <w:pStyle w:val="TableBodyTextcentre"/>
            </w:pPr>
            <w:r>
              <w:t>41.4%</w:t>
            </w:r>
          </w:p>
        </w:tc>
        <w:tc>
          <w:tcPr>
            <w:tcW w:w="1418" w:type="dxa"/>
          </w:tcPr>
          <w:p w14:paraId="071236AA" w14:textId="77777777" w:rsidR="0030558B" w:rsidRPr="0030558B" w:rsidRDefault="0030558B" w:rsidP="0030558B">
            <w:pPr>
              <w:pStyle w:val="TableBodyTextcentre"/>
            </w:pPr>
            <w:r>
              <w:t>S</w:t>
            </w:r>
            <w:r w:rsidRPr="0030558B">
              <w:t>kill Level 4</w:t>
            </w:r>
          </w:p>
        </w:tc>
        <w:tc>
          <w:tcPr>
            <w:tcW w:w="1939" w:type="dxa"/>
          </w:tcPr>
          <w:p w14:paraId="60C7CA2F" w14:textId="77777777" w:rsidR="0030558B" w:rsidRPr="0030558B" w:rsidRDefault="0030558B" w:rsidP="0030558B">
            <w:pPr>
              <w:pStyle w:val="TableBodyText"/>
            </w:pPr>
            <w:r>
              <w:t>Almost completely male dominated</w:t>
            </w:r>
          </w:p>
        </w:tc>
      </w:tr>
      <w:tr w:rsidR="0029120E" w14:paraId="745D938D"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19A8A084" w14:textId="77777777" w:rsidR="0030558B" w:rsidRPr="0030558B" w:rsidRDefault="0030558B" w:rsidP="0030558B">
            <w:pPr>
              <w:pStyle w:val="TableBodyText"/>
            </w:pPr>
            <w:r>
              <w:t>Steel Fixer</w:t>
            </w:r>
          </w:p>
        </w:tc>
        <w:tc>
          <w:tcPr>
            <w:tcW w:w="1418" w:type="dxa"/>
          </w:tcPr>
          <w:p w14:paraId="7522B101" w14:textId="77777777" w:rsidR="0030558B" w:rsidRPr="0030558B" w:rsidRDefault="0030558B" w:rsidP="0030558B">
            <w:pPr>
              <w:pStyle w:val="TableBodyTextcentre"/>
            </w:pPr>
            <w:r>
              <w:t>4%</w:t>
            </w:r>
          </w:p>
        </w:tc>
        <w:tc>
          <w:tcPr>
            <w:tcW w:w="1984" w:type="dxa"/>
          </w:tcPr>
          <w:p w14:paraId="4EED7763" w14:textId="77777777" w:rsidR="0030558B" w:rsidRPr="0030558B" w:rsidRDefault="0030558B" w:rsidP="0030558B">
            <w:pPr>
              <w:pStyle w:val="TableBodyTextcentre"/>
            </w:pPr>
            <w:r>
              <w:t>41.0%</w:t>
            </w:r>
          </w:p>
        </w:tc>
        <w:tc>
          <w:tcPr>
            <w:tcW w:w="1418" w:type="dxa"/>
          </w:tcPr>
          <w:p w14:paraId="0709ECE8" w14:textId="77777777" w:rsidR="0030558B" w:rsidRPr="0030558B" w:rsidRDefault="0030558B" w:rsidP="0030558B">
            <w:pPr>
              <w:pStyle w:val="TableBodyTextcentre"/>
            </w:pPr>
            <w:r>
              <w:t>S</w:t>
            </w:r>
            <w:r w:rsidRPr="0030558B">
              <w:t>kill Level 4</w:t>
            </w:r>
          </w:p>
        </w:tc>
        <w:tc>
          <w:tcPr>
            <w:tcW w:w="1939" w:type="dxa"/>
          </w:tcPr>
          <w:p w14:paraId="22D22EE4" w14:textId="77777777" w:rsidR="0030558B" w:rsidRPr="0030558B" w:rsidRDefault="0030558B" w:rsidP="0030558B">
            <w:pPr>
              <w:pStyle w:val="TableBodyText"/>
            </w:pPr>
            <w:r>
              <w:t>Almost completely male dominated</w:t>
            </w:r>
          </w:p>
        </w:tc>
      </w:tr>
      <w:tr w:rsidR="0030558B" w14:paraId="772F4230" w14:textId="77777777" w:rsidTr="0029120E">
        <w:tc>
          <w:tcPr>
            <w:tcW w:w="2268" w:type="dxa"/>
          </w:tcPr>
          <w:p w14:paraId="44F2874D" w14:textId="77777777" w:rsidR="0030558B" w:rsidRPr="0030558B" w:rsidRDefault="0030558B" w:rsidP="0030558B">
            <w:pPr>
              <w:pStyle w:val="TableBodyText"/>
            </w:pPr>
            <w:r>
              <w:t>Regional Education Manager</w:t>
            </w:r>
          </w:p>
        </w:tc>
        <w:tc>
          <w:tcPr>
            <w:tcW w:w="1418" w:type="dxa"/>
          </w:tcPr>
          <w:p w14:paraId="273D7136" w14:textId="77777777" w:rsidR="0030558B" w:rsidRPr="0030558B" w:rsidRDefault="0030558B" w:rsidP="0030558B">
            <w:pPr>
              <w:pStyle w:val="TableBodyTextcentre"/>
            </w:pPr>
            <w:r>
              <w:t>5%</w:t>
            </w:r>
          </w:p>
        </w:tc>
        <w:tc>
          <w:tcPr>
            <w:tcW w:w="1984" w:type="dxa"/>
          </w:tcPr>
          <w:p w14:paraId="7B2CEF18" w14:textId="77777777" w:rsidR="0030558B" w:rsidRPr="0030558B" w:rsidRDefault="0030558B" w:rsidP="0030558B">
            <w:pPr>
              <w:pStyle w:val="TableBodyTextcentre"/>
            </w:pPr>
            <w:r>
              <w:t>35.4%</w:t>
            </w:r>
          </w:p>
        </w:tc>
        <w:tc>
          <w:tcPr>
            <w:tcW w:w="1418" w:type="dxa"/>
          </w:tcPr>
          <w:p w14:paraId="05DD5AB1" w14:textId="77777777" w:rsidR="0030558B" w:rsidRPr="0030558B" w:rsidRDefault="0030558B" w:rsidP="0030558B">
            <w:pPr>
              <w:pStyle w:val="TableBodyTextcentre"/>
            </w:pPr>
            <w:r>
              <w:t>S</w:t>
            </w:r>
            <w:r w:rsidRPr="0030558B">
              <w:t>kill Level 1</w:t>
            </w:r>
          </w:p>
        </w:tc>
        <w:tc>
          <w:tcPr>
            <w:tcW w:w="1939" w:type="dxa"/>
          </w:tcPr>
          <w:p w14:paraId="17ECEC3B" w14:textId="77777777" w:rsidR="0030558B" w:rsidRPr="0030558B" w:rsidRDefault="0030558B" w:rsidP="0030558B">
            <w:pPr>
              <w:pStyle w:val="TableBodyText"/>
            </w:pPr>
            <w:r>
              <w:t>Moderately f</w:t>
            </w:r>
            <w:r w:rsidRPr="0030558B">
              <w:t>emale dominated</w:t>
            </w:r>
          </w:p>
        </w:tc>
      </w:tr>
      <w:tr w:rsidR="0029120E" w14:paraId="7BED22D6"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6B0B1276" w14:textId="77777777" w:rsidR="0030558B" w:rsidRPr="0030558B" w:rsidRDefault="0030558B" w:rsidP="0030558B">
            <w:pPr>
              <w:pStyle w:val="TableBodyText"/>
            </w:pPr>
            <w:r>
              <w:t>Air Traffic Controller</w:t>
            </w:r>
          </w:p>
        </w:tc>
        <w:tc>
          <w:tcPr>
            <w:tcW w:w="1418" w:type="dxa"/>
          </w:tcPr>
          <w:p w14:paraId="22D02FC8" w14:textId="77777777" w:rsidR="0030558B" w:rsidRPr="0030558B" w:rsidRDefault="0030558B" w:rsidP="0030558B">
            <w:pPr>
              <w:pStyle w:val="TableBodyTextcentre"/>
            </w:pPr>
            <w:r>
              <w:t>1%</w:t>
            </w:r>
          </w:p>
        </w:tc>
        <w:tc>
          <w:tcPr>
            <w:tcW w:w="1984" w:type="dxa"/>
          </w:tcPr>
          <w:p w14:paraId="27C5C953" w14:textId="77777777" w:rsidR="0030558B" w:rsidRPr="0030558B" w:rsidRDefault="0030558B" w:rsidP="0030558B">
            <w:pPr>
              <w:pStyle w:val="TableBodyTextcentre"/>
            </w:pPr>
            <w:r>
              <w:t>34.7%</w:t>
            </w:r>
          </w:p>
        </w:tc>
        <w:tc>
          <w:tcPr>
            <w:tcW w:w="1418" w:type="dxa"/>
          </w:tcPr>
          <w:p w14:paraId="69C93B6F" w14:textId="77777777" w:rsidR="0030558B" w:rsidRPr="0030558B" w:rsidRDefault="0030558B" w:rsidP="0030558B">
            <w:pPr>
              <w:pStyle w:val="TableBodyTextcentre"/>
            </w:pPr>
            <w:r>
              <w:t>S</w:t>
            </w:r>
            <w:r w:rsidRPr="0030558B">
              <w:t>kill Level 1</w:t>
            </w:r>
          </w:p>
        </w:tc>
        <w:tc>
          <w:tcPr>
            <w:tcW w:w="1939" w:type="dxa"/>
          </w:tcPr>
          <w:p w14:paraId="67F9F9B2" w14:textId="77777777" w:rsidR="0030558B" w:rsidRPr="0030558B" w:rsidRDefault="0030558B" w:rsidP="0030558B">
            <w:pPr>
              <w:pStyle w:val="TableBodyText"/>
            </w:pPr>
            <w:r>
              <w:t>Highly male dominated</w:t>
            </w:r>
          </w:p>
        </w:tc>
      </w:tr>
      <w:tr w:rsidR="0030558B" w14:paraId="38845BD8" w14:textId="77777777" w:rsidTr="0029120E">
        <w:tc>
          <w:tcPr>
            <w:tcW w:w="2268" w:type="dxa"/>
          </w:tcPr>
          <w:p w14:paraId="535E71A3" w14:textId="77777777" w:rsidR="0030558B" w:rsidRPr="0030558B" w:rsidRDefault="0030558B" w:rsidP="0030558B">
            <w:pPr>
              <w:pStyle w:val="TableBodyText"/>
            </w:pPr>
            <w:r>
              <w:t>Property Manager</w:t>
            </w:r>
          </w:p>
        </w:tc>
        <w:tc>
          <w:tcPr>
            <w:tcW w:w="1418" w:type="dxa"/>
          </w:tcPr>
          <w:p w14:paraId="693A6AD4" w14:textId="77777777" w:rsidR="0030558B" w:rsidRPr="0030558B" w:rsidRDefault="0030558B" w:rsidP="0030558B">
            <w:pPr>
              <w:pStyle w:val="TableBodyTextcentre"/>
            </w:pPr>
            <w:r>
              <w:t>4%</w:t>
            </w:r>
          </w:p>
        </w:tc>
        <w:tc>
          <w:tcPr>
            <w:tcW w:w="1984" w:type="dxa"/>
          </w:tcPr>
          <w:p w14:paraId="01214772" w14:textId="77777777" w:rsidR="0030558B" w:rsidRPr="0030558B" w:rsidRDefault="0030558B" w:rsidP="0030558B">
            <w:pPr>
              <w:pStyle w:val="TableBodyTextcentre"/>
            </w:pPr>
            <w:r>
              <w:t>31.7%</w:t>
            </w:r>
          </w:p>
        </w:tc>
        <w:tc>
          <w:tcPr>
            <w:tcW w:w="1418" w:type="dxa"/>
          </w:tcPr>
          <w:p w14:paraId="74BEA0A0" w14:textId="77777777" w:rsidR="0030558B" w:rsidRPr="0030558B" w:rsidRDefault="0030558B" w:rsidP="0030558B">
            <w:pPr>
              <w:pStyle w:val="TableBodyTextcentre"/>
            </w:pPr>
            <w:r>
              <w:t>S</w:t>
            </w:r>
            <w:r w:rsidRPr="0030558B">
              <w:t>kill Level 3</w:t>
            </w:r>
          </w:p>
        </w:tc>
        <w:tc>
          <w:tcPr>
            <w:tcW w:w="1939" w:type="dxa"/>
          </w:tcPr>
          <w:p w14:paraId="50250D84" w14:textId="77777777" w:rsidR="0030558B" w:rsidRPr="0030558B" w:rsidRDefault="0030558B" w:rsidP="0030558B">
            <w:pPr>
              <w:pStyle w:val="TableBodyText"/>
            </w:pPr>
            <w:r>
              <w:t>Moderately f</w:t>
            </w:r>
            <w:r w:rsidRPr="0030558B">
              <w:t>emale dominated</w:t>
            </w:r>
          </w:p>
        </w:tc>
      </w:tr>
      <w:tr w:rsidR="0029120E" w14:paraId="651E583B"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48C42D9B" w14:textId="77777777" w:rsidR="0030558B" w:rsidRPr="0030558B" w:rsidRDefault="0030558B" w:rsidP="0030558B">
            <w:pPr>
              <w:pStyle w:val="TableBodyText"/>
            </w:pPr>
            <w:r>
              <w:t>Brewery Worker</w:t>
            </w:r>
          </w:p>
        </w:tc>
        <w:tc>
          <w:tcPr>
            <w:tcW w:w="1418" w:type="dxa"/>
          </w:tcPr>
          <w:p w14:paraId="29167FBB" w14:textId="77777777" w:rsidR="0030558B" w:rsidRPr="0030558B" w:rsidRDefault="0030558B" w:rsidP="0030558B">
            <w:pPr>
              <w:pStyle w:val="TableBodyTextcentre"/>
            </w:pPr>
            <w:r>
              <w:t>4%</w:t>
            </w:r>
          </w:p>
        </w:tc>
        <w:tc>
          <w:tcPr>
            <w:tcW w:w="1984" w:type="dxa"/>
          </w:tcPr>
          <w:p w14:paraId="5F2EFC67" w14:textId="77777777" w:rsidR="0030558B" w:rsidRPr="0030558B" w:rsidRDefault="0030558B" w:rsidP="0030558B">
            <w:pPr>
              <w:pStyle w:val="TableBodyTextcentre"/>
            </w:pPr>
            <w:r>
              <w:t>31.3%</w:t>
            </w:r>
          </w:p>
        </w:tc>
        <w:tc>
          <w:tcPr>
            <w:tcW w:w="1418" w:type="dxa"/>
          </w:tcPr>
          <w:p w14:paraId="2895E299" w14:textId="77777777" w:rsidR="0030558B" w:rsidRPr="0030558B" w:rsidRDefault="0030558B" w:rsidP="0030558B">
            <w:pPr>
              <w:pStyle w:val="TableBodyTextcentre"/>
            </w:pPr>
            <w:r>
              <w:t>S</w:t>
            </w:r>
            <w:r w:rsidRPr="0030558B">
              <w:t>kill Level 5</w:t>
            </w:r>
          </w:p>
        </w:tc>
        <w:tc>
          <w:tcPr>
            <w:tcW w:w="1939" w:type="dxa"/>
          </w:tcPr>
          <w:p w14:paraId="1922BFA2" w14:textId="77777777" w:rsidR="0030558B" w:rsidRPr="0030558B" w:rsidRDefault="0030558B" w:rsidP="0030558B">
            <w:pPr>
              <w:pStyle w:val="TableBodyText"/>
            </w:pPr>
            <w:r>
              <w:t xml:space="preserve">Almost completely male </w:t>
            </w:r>
            <w:r w:rsidRPr="0030558B">
              <w:t>dominated</w:t>
            </w:r>
          </w:p>
        </w:tc>
      </w:tr>
      <w:tr w:rsidR="0030558B" w14:paraId="72BF5AF1" w14:textId="77777777" w:rsidTr="0029120E">
        <w:tc>
          <w:tcPr>
            <w:tcW w:w="2268" w:type="dxa"/>
          </w:tcPr>
          <w:p w14:paraId="582BB9FB" w14:textId="77777777" w:rsidR="0030558B" w:rsidRPr="0030558B" w:rsidRDefault="0030558B" w:rsidP="0030558B">
            <w:pPr>
              <w:pStyle w:val="TableBodyText"/>
            </w:pPr>
            <w:r>
              <w:t>Statistical Clerk</w:t>
            </w:r>
          </w:p>
        </w:tc>
        <w:tc>
          <w:tcPr>
            <w:tcW w:w="1418" w:type="dxa"/>
          </w:tcPr>
          <w:p w14:paraId="208AB744" w14:textId="77777777" w:rsidR="0030558B" w:rsidRPr="0030558B" w:rsidRDefault="0030558B" w:rsidP="0030558B">
            <w:pPr>
              <w:pStyle w:val="TableBodyTextcentre"/>
            </w:pPr>
            <w:r>
              <w:t>4%</w:t>
            </w:r>
          </w:p>
        </w:tc>
        <w:tc>
          <w:tcPr>
            <w:tcW w:w="1984" w:type="dxa"/>
          </w:tcPr>
          <w:p w14:paraId="04A56075" w14:textId="77777777" w:rsidR="0030558B" w:rsidRPr="0030558B" w:rsidRDefault="0030558B" w:rsidP="0030558B">
            <w:pPr>
              <w:pStyle w:val="TableBodyTextcentre"/>
            </w:pPr>
            <w:r>
              <w:t>28.8%</w:t>
            </w:r>
          </w:p>
        </w:tc>
        <w:tc>
          <w:tcPr>
            <w:tcW w:w="1418" w:type="dxa"/>
          </w:tcPr>
          <w:p w14:paraId="5772172F" w14:textId="77777777" w:rsidR="0030558B" w:rsidRPr="0030558B" w:rsidRDefault="0030558B" w:rsidP="0030558B">
            <w:pPr>
              <w:pStyle w:val="TableBodyTextcentre"/>
            </w:pPr>
            <w:r>
              <w:t>S</w:t>
            </w:r>
            <w:r w:rsidRPr="0030558B">
              <w:t>kill Level 4</w:t>
            </w:r>
          </w:p>
        </w:tc>
        <w:tc>
          <w:tcPr>
            <w:tcW w:w="1939" w:type="dxa"/>
          </w:tcPr>
          <w:p w14:paraId="4EF04622" w14:textId="77777777" w:rsidR="0030558B" w:rsidRPr="0030558B" w:rsidRDefault="0030558B" w:rsidP="0030558B">
            <w:pPr>
              <w:pStyle w:val="TableBodyText"/>
            </w:pPr>
            <w:r>
              <w:t>Moderately f</w:t>
            </w:r>
            <w:r w:rsidRPr="0030558B">
              <w:t>emale dominated</w:t>
            </w:r>
          </w:p>
        </w:tc>
      </w:tr>
      <w:tr w:rsidR="0029120E" w14:paraId="3C73B238"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3210D287" w14:textId="77777777" w:rsidR="0030558B" w:rsidRPr="0030558B" w:rsidRDefault="0030558B" w:rsidP="0030558B">
            <w:pPr>
              <w:pStyle w:val="TableBodyText"/>
            </w:pPr>
            <w:r>
              <w:t>Machine Operators nec</w:t>
            </w:r>
          </w:p>
        </w:tc>
        <w:tc>
          <w:tcPr>
            <w:tcW w:w="1418" w:type="dxa"/>
          </w:tcPr>
          <w:p w14:paraId="4A694C00" w14:textId="77777777" w:rsidR="0030558B" w:rsidRPr="0030558B" w:rsidRDefault="0030558B" w:rsidP="0030558B">
            <w:pPr>
              <w:pStyle w:val="TableBodyTextcentre"/>
            </w:pPr>
            <w:r>
              <w:t>3%</w:t>
            </w:r>
          </w:p>
        </w:tc>
        <w:tc>
          <w:tcPr>
            <w:tcW w:w="1984" w:type="dxa"/>
          </w:tcPr>
          <w:p w14:paraId="4495765D" w14:textId="77777777" w:rsidR="0030558B" w:rsidRPr="0030558B" w:rsidRDefault="0030558B" w:rsidP="0030558B">
            <w:pPr>
              <w:pStyle w:val="TableBodyTextcentre"/>
            </w:pPr>
            <w:r>
              <w:t>27.2%</w:t>
            </w:r>
          </w:p>
        </w:tc>
        <w:tc>
          <w:tcPr>
            <w:tcW w:w="1418" w:type="dxa"/>
          </w:tcPr>
          <w:p w14:paraId="34EAA9DF" w14:textId="77777777" w:rsidR="0030558B" w:rsidRPr="0030558B" w:rsidRDefault="0030558B" w:rsidP="0030558B">
            <w:pPr>
              <w:pStyle w:val="TableBodyTextcentre"/>
            </w:pPr>
            <w:r>
              <w:t>S</w:t>
            </w:r>
            <w:r w:rsidRPr="0030558B">
              <w:t>kill Level 4</w:t>
            </w:r>
          </w:p>
        </w:tc>
        <w:tc>
          <w:tcPr>
            <w:tcW w:w="1939" w:type="dxa"/>
          </w:tcPr>
          <w:p w14:paraId="2983B2EB" w14:textId="77777777" w:rsidR="0030558B" w:rsidRPr="0030558B" w:rsidRDefault="0030558B" w:rsidP="0030558B">
            <w:pPr>
              <w:pStyle w:val="TableBodyText"/>
            </w:pPr>
            <w:r>
              <w:t>Highly male dominated</w:t>
            </w:r>
          </w:p>
        </w:tc>
      </w:tr>
      <w:tr w:rsidR="0030558B" w14:paraId="34901DFD" w14:textId="77777777" w:rsidTr="0029120E">
        <w:tc>
          <w:tcPr>
            <w:tcW w:w="2268" w:type="dxa"/>
          </w:tcPr>
          <w:p w14:paraId="3D88E7CF" w14:textId="77777777" w:rsidR="0030558B" w:rsidRPr="0030558B" w:rsidRDefault="0030558B" w:rsidP="0030558B">
            <w:pPr>
              <w:pStyle w:val="TableBodyText"/>
            </w:pPr>
            <w:r>
              <w:t>Telecommunications Cable Jointer</w:t>
            </w:r>
          </w:p>
        </w:tc>
        <w:tc>
          <w:tcPr>
            <w:tcW w:w="1418" w:type="dxa"/>
          </w:tcPr>
          <w:p w14:paraId="4831C564" w14:textId="77777777" w:rsidR="0030558B" w:rsidRPr="0030558B" w:rsidRDefault="0030558B" w:rsidP="0030558B">
            <w:pPr>
              <w:pStyle w:val="TableBodyTextcentre"/>
            </w:pPr>
            <w:r>
              <w:t>0%</w:t>
            </w:r>
          </w:p>
        </w:tc>
        <w:tc>
          <w:tcPr>
            <w:tcW w:w="1984" w:type="dxa"/>
          </w:tcPr>
          <w:p w14:paraId="386E7B53" w14:textId="77777777" w:rsidR="0030558B" w:rsidRPr="0030558B" w:rsidRDefault="0030558B" w:rsidP="0030558B">
            <w:pPr>
              <w:pStyle w:val="TableBodyTextcentre"/>
            </w:pPr>
            <w:r>
              <w:t>26.1%</w:t>
            </w:r>
          </w:p>
        </w:tc>
        <w:tc>
          <w:tcPr>
            <w:tcW w:w="1418" w:type="dxa"/>
          </w:tcPr>
          <w:p w14:paraId="017DEB82" w14:textId="77777777" w:rsidR="0030558B" w:rsidRPr="0030558B" w:rsidRDefault="0030558B" w:rsidP="0030558B">
            <w:pPr>
              <w:pStyle w:val="TableBodyTextcentre"/>
            </w:pPr>
            <w:r>
              <w:t>S</w:t>
            </w:r>
            <w:r w:rsidRPr="0030558B">
              <w:t>kill Level 3</w:t>
            </w:r>
          </w:p>
        </w:tc>
        <w:tc>
          <w:tcPr>
            <w:tcW w:w="1939" w:type="dxa"/>
          </w:tcPr>
          <w:p w14:paraId="56C09139" w14:textId="77777777" w:rsidR="0030558B" w:rsidRPr="0030558B" w:rsidRDefault="0030558B" w:rsidP="0030558B">
            <w:pPr>
              <w:pStyle w:val="TableBodyText"/>
            </w:pPr>
            <w:r>
              <w:t>Almost completely male dominated</w:t>
            </w:r>
          </w:p>
        </w:tc>
      </w:tr>
      <w:tr w:rsidR="0029120E" w14:paraId="1E7AD4FD"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17DB2F88" w14:textId="77777777" w:rsidR="0030558B" w:rsidRPr="0030558B" w:rsidRDefault="0030558B" w:rsidP="0030558B">
            <w:pPr>
              <w:pStyle w:val="TableBodyText"/>
            </w:pPr>
            <w:r>
              <w:t>Chemical Plant Operator</w:t>
            </w:r>
          </w:p>
        </w:tc>
        <w:tc>
          <w:tcPr>
            <w:tcW w:w="1418" w:type="dxa"/>
          </w:tcPr>
          <w:p w14:paraId="4EBB25DC" w14:textId="77777777" w:rsidR="0030558B" w:rsidRPr="0030558B" w:rsidRDefault="0030558B" w:rsidP="0030558B">
            <w:pPr>
              <w:pStyle w:val="TableBodyTextcentre"/>
            </w:pPr>
            <w:r>
              <w:t>3%</w:t>
            </w:r>
          </w:p>
        </w:tc>
        <w:tc>
          <w:tcPr>
            <w:tcW w:w="1984" w:type="dxa"/>
          </w:tcPr>
          <w:p w14:paraId="7CA83E43" w14:textId="77777777" w:rsidR="0030558B" w:rsidRPr="0030558B" w:rsidRDefault="0030558B" w:rsidP="0030558B">
            <w:pPr>
              <w:pStyle w:val="TableBodyTextcentre"/>
            </w:pPr>
            <w:r>
              <w:t>25.7%</w:t>
            </w:r>
          </w:p>
        </w:tc>
        <w:tc>
          <w:tcPr>
            <w:tcW w:w="1418" w:type="dxa"/>
          </w:tcPr>
          <w:p w14:paraId="5D698C45" w14:textId="77777777" w:rsidR="0030558B" w:rsidRPr="0030558B" w:rsidRDefault="0030558B" w:rsidP="0030558B">
            <w:pPr>
              <w:pStyle w:val="TableBodyTextcentre"/>
            </w:pPr>
            <w:r>
              <w:t>S</w:t>
            </w:r>
            <w:r w:rsidRPr="0030558B">
              <w:t>kill Level 3</w:t>
            </w:r>
          </w:p>
        </w:tc>
        <w:tc>
          <w:tcPr>
            <w:tcW w:w="1939" w:type="dxa"/>
          </w:tcPr>
          <w:p w14:paraId="35371DB1" w14:textId="77777777" w:rsidR="0030558B" w:rsidRPr="0030558B" w:rsidRDefault="0030558B" w:rsidP="0030558B">
            <w:pPr>
              <w:pStyle w:val="TableBodyText"/>
            </w:pPr>
            <w:r>
              <w:t>Almost completely male dominated</w:t>
            </w:r>
          </w:p>
        </w:tc>
      </w:tr>
      <w:tr w:rsidR="0030558B" w14:paraId="7E272335" w14:textId="77777777" w:rsidTr="0029120E">
        <w:tc>
          <w:tcPr>
            <w:tcW w:w="2268" w:type="dxa"/>
          </w:tcPr>
          <w:p w14:paraId="69499E89" w14:textId="77777777" w:rsidR="0030558B" w:rsidRPr="0030558B" w:rsidRDefault="0030558B" w:rsidP="0030558B">
            <w:pPr>
              <w:pStyle w:val="TableBodyText"/>
            </w:pPr>
            <w:r>
              <w:t>Transport Conductor</w:t>
            </w:r>
          </w:p>
        </w:tc>
        <w:tc>
          <w:tcPr>
            <w:tcW w:w="1418" w:type="dxa"/>
          </w:tcPr>
          <w:p w14:paraId="4853E98D" w14:textId="77777777" w:rsidR="0030558B" w:rsidRPr="0030558B" w:rsidRDefault="0030558B" w:rsidP="0030558B">
            <w:pPr>
              <w:pStyle w:val="TableBodyTextcentre"/>
            </w:pPr>
            <w:r>
              <w:t>5%</w:t>
            </w:r>
          </w:p>
        </w:tc>
        <w:tc>
          <w:tcPr>
            <w:tcW w:w="1984" w:type="dxa"/>
          </w:tcPr>
          <w:p w14:paraId="5633A2C2" w14:textId="77777777" w:rsidR="0030558B" w:rsidRPr="0030558B" w:rsidRDefault="0030558B" w:rsidP="0030558B">
            <w:pPr>
              <w:pStyle w:val="TableBodyTextcentre"/>
            </w:pPr>
            <w:r>
              <w:t>25.2%</w:t>
            </w:r>
          </w:p>
        </w:tc>
        <w:tc>
          <w:tcPr>
            <w:tcW w:w="1418" w:type="dxa"/>
          </w:tcPr>
          <w:p w14:paraId="15F7D2D5" w14:textId="77777777" w:rsidR="0030558B" w:rsidRPr="0030558B" w:rsidRDefault="0030558B" w:rsidP="0030558B">
            <w:pPr>
              <w:pStyle w:val="TableBodyTextcentre"/>
            </w:pPr>
            <w:r>
              <w:t>S</w:t>
            </w:r>
            <w:r w:rsidRPr="0030558B">
              <w:t>kill Level 5</w:t>
            </w:r>
          </w:p>
        </w:tc>
        <w:tc>
          <w:tcPr>
            <w:tcW w:w="1939" w:type="dxa"/>
          </w:tcPr>
          <w:p w14:paraId="5F5FED80" w14:textId="77777777" w:rsidR="0030558B" w:rsidRPr="0030558B" w:rsidRDefault="0030558B" w:rsidP="0030558B">
            <w:pPr>
              <w:pStyle w:val="TableBodyText"/>
            </w:pPr>
            <w:r>
              <w:t>Moderately m</w:t>
            </w:r>
            <w:r w:rsidRPr="0030558B">
              <w:t>ale dominated</w:t>
            </w:r>
          </w:p>
        </w:tc>
      </w:tr>
      <w:tr w:rsidR="0029120E" w14:paraId="7A9694F8"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3E7EB50B" w14:textId="77777777" w:rsidR="0030558B" w:rsidRPr="0030558B" w:rsidRDefault="0030558B" w:rsidP="0030558B">
            <w:pPr>
              <w:pStyle w:val="TableBodyText"/>
            </w:pPr>
            <w:r>
              <w:t>Metal Engineering Process Worker</w:t>
            </w:r>
          </w:p>
        </w:tc>
        <w:tc>
          <w:tcPr>
            <w:tcW w:w="1418" w:type="dxa"/>
          </w:tcPr>
          <w:p w14:paraId="1DF44C87" w14:textId="77777777" w:rsidR="0030558B" w:rsidRPr="0030558B" w:rsidRDefault="0030558B" w:rsidP="0030558B">
            <w:pPr>
              <w:pStyle w:val="TableBodyTextcentre"/>
            </w:pPr>
            <w:r>
              <w:t>1%</w:t>
            </w:r>
          </w:p>
        </w:tc>
        <w:tc>
          <w:tcPr>
            <w:tcW w:w="1984" w:type="dxa"/>
          </w:tcPr>
          <w:p w14:paraId="40288F3D" w14:textId="77777777" w:rsidR="0030558B" w:rsidRPr="0030558B" w:rsidRDefault="0030558B" w:rsidP="0030558B">
            <w:pPr>
              <w:pStyle w:val="TableBodyTextcentre"/>
            </w:pPr>
            <w:r>
              <w:t>23.7%</w:t>
            </w:r>
          </w:p>
        </w:tc>
        <w:tc>
          <w:tcPr>
            <w:tcW w:w="1418" w:type="dxa"/>
          </w:tcPr>
          <w:p w14:paraId="6F0BF9D7" w14:textId="77777777" w:rsidR="0030558B" w:rsidRPr="0030558B" w:rsidRDefault="0030558B" w:rsidP="0030558B">
            <w:pPr>
              <w:pStyle w:val="TableBodyTextcentre"/>
            </w:pPr>
            <w:r>
              <w:t>S</w:t>
            </w:r>
            <w:r w:rsidRPr="0030558B">
              <w:t>kill Level 5</w:t>
            </w:r>
          </w:p>
        </w:tc>
        <w:tc>
          <w:tcPr>
            <w:tcW w:w="1939" w:type="dxa"/>
          </w:tcPr>
          <w:p w14:paraId="397C8F6A" w14:textId="77777777" w:rsidR="0030558B" w:rsidRPr="0030558B" w:rsidRDefault="0030558B" w:rsidP="0030558B">
            <w:pPr>
              <w:pStyle w:val="TableBodyText"/>
            </w:pPr>
            <w:r>
              <w:t>Almost completely male dominated</w:t>
            </w:r>
          </w:p>
        </w:tc>
      </w:tr>
      <w:tr w:rsidR="0030558B" w14:paraId="6C454082" w14:textId="77777777" w:rsidTr="0029120E">
        <w:tc>
          <w:tcPr>
            <w:tcW w:w="2268" w:type="dxa"/>
          </w:tcPr>
          <w:p w14:paraId="7DDDE886" w14:textId="77777777" w:rsidR="0030558B" w:rsidRPr="0030558B" w:rsidRDefault="0030558B" w:rsidP="0030558B">
            <w:pPr>
              <w:pStyle w:val="TableBodyText"/>
            </w:pPr>
            <w:r>
              <w:t>Obstetrician and Gynaecologist</w:t>
            </w:r>
          </w:p>
        </w:tc>
        <w:tc>
          <w:tcPr>
            <w:tcW w:w="1418" w:type="dxa"/>
          </w:tcPr>
          <w:p w14:paraId="452E5564" w14:textId="77777777" w:rsidR="0030558B" w:rsidRPr="0030558B" w:rsidRDefault="0030558B" w:rsidP="0030558B">
            <w:pPr>
              <w:pStyle w:val="TableBodyTextcentre"/>
            </w:pPr>
            <w:r>
              <w:t>0%</w:t>
            </w:r>
          </w:p>
        </w:tc>
        <w:tc>
          <w:tcPr>
            <w:tcW w:w="1984" w:type="dxa"/>
          </w:tcPr>
          <w:p w14:paraId="1D8EA8C9" w14:textId="77777777" w:rsidR="0030558B" w:rsidRPr="0030558B" w:rsidRDefault="0030558B" w:rsidP="0030558B">
            <w:pPr>
              <w:pStyle w:val="TableBodyTextcentre"/>
            </w:pPr>
            <w:r>
              <w:t>22.6%</w:t>
            </w:r>
          </w:p>
        </w:tc>
        <w:tc>
          <w:tcPr>
            <w:tcW w:w="1418" w:type="dxa"/>
          </w:tcPr>
          <w:p w14:paraId="04EDD721" w14:textId="77777777" w:rsidR="0030558B" w:rsidRPr="0030558B" w:rsidRDefault="0030558B" w:rsidP="0030558B">
            <w:pPr>
              <w:pStyle w:val="TableBodyTextcentre"/>
            </w:pPr>
            <w:r>
              <w:t>S</w:t>
            </w:r>
            <w:r w:rsidRPr="0030558B">
              <w:t>kill Level 1</w:t>
            </w:r>
          </w:p>
        </w:tc>
        <w:tc>
          <w:tcPr>
            <w:tcW w:w="1939" w:type="dxa"/>
          </w:tcPr>
          <w:p w14:paraId="3362B1A1" w14:textId="77777777" w:rsidR="0030558B" w:rsidRPr="0030558B" w:rsidRDefault="0030558B" w:rsidP="0030558B">
            <w:pPr>
              <w:pStyle w:val="TableBodyText"/>
            </w:pPr>
            <w:r>
              <w:t>Moderately f</w:t>
            </w:r>
            <w:r w:rsidRPr="0030558B">
              <w:t>emale dominated</w:t>
            </w:r>
          </w:p>
        </w:tc>
      </w:tr>
      <w:tr w:rsidR="0029120E" w14:paraId="4D6FC8C3"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37C89EF5" w14:textId="77777777" w:rsidR="0030558B" w:rsidRPr="0030558B" w:rsidRDefault="0030558B" w:rsidP="0030558B">
            <w:pPr>
              <w:pStyle w:val="TableBodyText"/>
            </w:pPr>
            <w:r>
              <w:t>Aircraft Maintenance Engineer (Mecha</w:t>
            </w:r>
            <w:r w:rsidRPr="0030558B">
              <w:t>nical)</w:t>
            </w:r>
          </w:p>
        </w:tc>
        <w:tc>
          <w:tcPr>
            <w:tcW w:w="1418" w:type="dxa"/>
          </w:tcPr>
          <w:p w14:paraId="2686EDDA" w14:textId="77777777" w:rsidR="0030558B" w:rsidRPr="0030558B" w:rsidRDefault="0030558B" w:rsidP="0030558B">
            <w:pPr>
              <w:pStyle w:val="TableBodyTextcentre"/>
            </w:pPr>
            <w:r>
              <w:t>3%</w:t>
            </w:r>
          </w:p>
        </w:tc>
        <w:tc>
          <w:tcPr>
            <w:tcW w:w="1984" w:type="dxa"/>
          </w:tcPr>
          <w:p w14:paraId="215F9DA9" w14:textId="77777777" w:rsidR="0030558B" w:rsidRPr="0030558B" w:rsidRDefault="0030558B" w:rsidP="0030558B">
            <w:pPr>
              <w:pStyle w:val="TableBodyTextcentre"/>
            </w:pPr>
            <w:r>
              <w:t>22.3%</w:t>
            </w:r>
          </w:p>
        </w:tc>
        <w:tc>
          <w:tcPr>
            <w:tcW w:w="1418" w:type="dxa"/>
          </w:tcPr>
          <w:p w14:paraId="6C303196" w14:textId="77777777" w:rsidR="0030558B" w:rsidRPr="0030558B" w:rsidRDefault="0030558B" w:rsidP="0030558B">
            <w:pPr>
              <w:pStyle w:val="TableBodyTextcentre"/>
            </w:pPr>
            <w:r>
              <w:t>S</w:t>
            </w:r>
            <w:r w:rsidRPr="0030558B">
              <w:t>kill Level 3</w:t>
            </w:r>
          </w:p>
        </w:tc>
        <w:tc>
          <w:tcPr>
            <w:tcW w:w="1939" w:type="dxa"/>
          </w:tcPr>
          <w:p w14:paraId="0FEB357D" w14:textId="77777777" w:rsidR="0030558B" w:rsidRPr="0030558B" w:rsidRDefault="0030558B" w:rsidP="0030558B">
            <w:pPr>
              <w:pStyle w:val="TableBodyText"/>
            </w:pPr>
            <w:r>
              <w:t>Almost completely male dominated</w:t>
            </w:r>
          </w:p>
        </w:tc>
      </w:tr>
      <w:tr w:rsidR="0030558B" w14:paraId="5E7EB890" w14:textId="77777777" w:rsidTr="0029120E">
        <w:tc>
          <w:tcPr>
            <w:tcW w:w="2268" w:type="dxa"/>
          </w:tcPr>
          <w:p w14:paraId="5475BE33" w14:textId="77777777" w:rsidR="0030558B" w:rsidRPr="0030558B" w:rsidRDefault="0030558B" w:rsidP="0030558B">
            <w:pPr>
              <w:pStyle w:val="TableBodyText"/>
            </w:pPr>
            <w:r>
              <w:t>Transport Operations Inspector</w:t>
            </w:r>
          </w:p>
        </w:tc>
        <w:tc>
          <w:tcPr>
            <w:tcW w:w="1418" w:type="dxa"/>
          </w:tcPr>
          <w:p w14:paraId="440E90CE" w14:textId="77777777" w:rsidR="0030558B" w:rsidRPr="0030558B" w:rsidRDefault="0030558B" w:rsidP="0030558B">
            <w:pPr>
              <w:pStyle w:val="TableBodyTextcentre"/>
            </w:pPr>
            <w:r>
              <w:t>1%</w:t>
            </w:r>
          </w:p>
        </w:tc>
        <w:tc>
          <w:tcPr>
            <w:tcW w:w="1984" w:type="dxa"/>
          </w:tcPr>
          <w:p w14:paraId="7DD60659" w14:textId="77777777" w:rsidR="0030558B" w:rsidRPr="0030558B" w:rsidRDefault="0030558B" w:rsidP="0030558B">
            <w:pPr>
              <w:pStyle w:val="TableBodyTextcentre"/>
            </w:pPr>
            <w:r>
              <w:t>21.9%</w:t>
            </w:r>
          </w:p>
        </w:tc>
        <w:tc>
          <w:tcPr>
            <w:tcW w:w="1418" w:type="dxa"/>
          </w:tcPr>
          <w:p w14:paraId="16BE8A88" w14:textId="77777777" w:rsidR="0030558B" w:rsidRPr="0030558B" w:rsidRDefault="0030558B" w:rsidP="0030558B">
            <w:pPr>
              <w:pStyle w:val="TableBodyTextcentre"/>
            </w:pPr>
            <w:r>
              <w:t>S</w:t>
            </w:r>
            <w:r w:rsidRPr="0030558B">
              <w:t>kill Level 4</w:t>
            </w:r>
          </w:p>
        </w:tc>
        <w:tc>
          <w:tcPr>
            <w:tcW w:w="1939" w:type="dxa"/>
          </w:tcPr>
          <w:p w14:paraId="26D5432C" w14:textId="77777777" w:rsidR="0030558B" w:rsidRPr="0030558B" w:rsidRDefault="0030558B" w:rsidP="0030558B">
            <w:pPr>
              <w:pStyle w:val="TableBodyText"/>
            </w:pPr>
            <w:r>
              <w:t xml:space="preserve">Moderately </w:t>
            </w:r>
            <w:r w:rsidRPr="0030558B">
              <w:t>male dominated</w:t>
            </w:r>
          </w:p>
        </w:tc>
      </w:tr>
      <w:tr w:rsidR="0029120E" w14:paraId="0E68336A" w14:textId="77777777" w:rsidTr="0029120E">
        <w:trPr>
          <w:cnfStyle w:val="000000010000" w:firstRow="0" w:lastRow="0" w:firstColumn="0" w:lastColumn="0" w:oddVBand="0" w:evenVBand="0" w:oddHBand="0" w:evenHBand="1" w:firstRowFirstColumn="0" w:firstRowLastColumn="0" w:lastRowFirstColumn="0" w:lastRowLastColumn="0"/>
        </w:trPr>
        <w:tc>
          <w:tcPr>
            <w:tcW w:w="2268" w:type="dxa"/>
          </w:tcPr>
          <w:p w14:paraId="3E7B5463" w14:textId="77777777" w:rsidR="0030558B" w:rsidRPr="0030558B" w:rsidRDefault="0030558B" w:rsidP="0030558B">
            <w:pPr>
              <w:pStyle w:val="TableBodyText"/>
            </w:pPr>
            <w:r>
              <w:t>Mining Support Worker</w:t>
            </w:r>
          </w:p>
        </w:tc>
        <w:tc>
          <w:tcPr>
            <w:tcW w:w="1418" w:type="dxa"/>
          </w:tcPr>
          <w:p w14:paraId="1C613F45" w14:textId="77777777" w:rsidR="0030558B" w:rsidRPr="0030558B" w:rsidRDefault="0030558B" w:rsidP="0030558B">
            <w:pPr>
              <w:pStyle w:val="TableBodyTextcentre"/>
            </w:pPr>
            <w:r>
              <w:t>2%</w:t>
            </w:r>
          </w:p>
        </w:tc>
        <w:tc>
          <w:tcPr>
            <w:tcW w:w="1984" w:type="dxa"/>
          </w:tcPr>
          <w:p w14:paraId="59C503B8" w14:textId="77777777" w:rsidR="0030558B" w:rsidRPr="0030558B" w:rsidRDefault="0030558B" w:rsidP="0030558B">
            <w:pPr>
              <w:pStyle w:val="TableBodyTextcentre"/>
            </w:pPr>
            <w:r>
              <w:t>21.5%</w:t>
            </w:r>
          </w:p>
        </w:tc>
        <w:tc>
          <w:tcPr>
            <w:tcW w:w="1418" w:type="dxa"/>
          </w:tcPr>
          <w:p w14:paraId="762C98E2" w14:textId="77777777" w:rsidR="0030558B" w:rsidRPr="0030558B" w:rsidRDefault="0030558B" w:rsidP="0030558B">
            <w:pPr>
              <w:pStyle w:val="TableBodyTextcentre"/>
            </w:pPr>
            <w:r>
              <w:t>S</w:t>
            </w:r>
            <w:r w:rsidRPr="0030558B">
              <w:t>kill Level 5</w:t>
            </w:r>
          </w:p>
        </w:tc>
        <w:tc>
          <w:tcPr>
            <w:tcW w:w="1939" w:type="dxa"/>
          </w:tcPr>
          <w:p w14:paraId="27F21DA6" w14:textId="77777777" w:rsidR="0030558B" w:rsidRPr="0030558B" w:rsidRDefault="0030558B" w:rsidP="0030558B">
            <w:pPr>
              <w:pStyle w:val="TableBodyText"/>
            </w:pPr>
            <w:r>
              <w:t xml:space="preserve">Highly male </w:t>
            </w:r>
            <w:r w:rsidRPr="0030558B">
              <w:t>dominated</w:t>
            </w:r>
          </w:p>
        </w:tc>
      </w:tr>
      <w:tr w:rsidR="0030558B" w14:paraId="0E52BA14" w14:textId="77777777" w:rsidTr="0029120E">
        <w:tc>
          <w:tcPr>
            <w:tcW w:w="2268" w:type="dxa"/>
          </w:tcPr>
          <w:p w14:paraId="4E890F45" w14:textId="77777777" w:rsidR="0030558B" w:rsidRPr="0030558B" w:rsidRDefault="0030558B" w:rsidP="0030558B">
            <w:pPr>
              <w:pStyle w:val="TableBodyText"/>
            </w:pPr>
            <w:r>
              <w:t>Locksmith</w:t>
            </w:r>
          </w:p>
        </w:tc>
        <w:tc>
          <w:tcPr>
            <w:tcW w:w="1418" w:type="dxa"/>
          </w:tcPr>
          <w:p w14:paraId="7B1BB8E2" w14:textId="77777777" w:rsidR="0030558B" w:rsidRPr="0030558B" w:rsidRDefault="0030558B" w:rsidP="0030558B">
            <w:pPr>
              <w:pStyle w:val="TableBodyTextcentre"/>
            </w:pPr>
            <w:r>
              <w:t>2%</w:t>
            </w:r>
          </w:p>
        </w:tc>
        <w:tc>
          <w:tcPr>
            <w:tcW w:w="1984" w:type="dxa"/>
          </w:tcPr>
          <w:p w14:paraId="7190A8BD" w14:textId="77777777" w:rsidR="0030558B" w:rsidRPr="0030558B" w:rsidRDefault="0030558B" w:rsidP="0030558B">
            <w:pPr>
              <w:pStyle w:val="TableBodyTextcentre"/>
            </w:pPr>
            <w:r>
              <w:t>20.7%</w:t>
            </w:r>
          </w:p>
        </w:tc>
        <w:tc>
          <w:tcPr>
            <w:tcW w:w="1418" w:type="dxa"/>
          </w:tcPr>
          <w:p w14:paraId="55A65791" w14:textId="77777777" w:rsidR="0030558B" w:rsidRPr="0030558B" w:rsidRDefault="0030558B" w:rsidP="0030558B">
            <w:pPr>
              <w:pStyle w:val="TableBodyTextcentre"/>
            </w:pPr>
            <w:r>
              <w:t>S</w:t>
            </w:r>
            <w:r w:rsidRPr="0030558B">
              <w:t>kill Level 3</w:t>
            </w:r>
          </w:p>
        </w:tc>
        <w:tc>
          <w:tcPr>
            <w:tcW w:w="1939" w:type="dxa"/>
          </w:tcPr>
          <w:p w14:paraId="697A27B8" w14:textId="77777777" w:rsidR="0030558B" w:rsidRPr="0030558B" w:rsidRDefault="0030558B" w:rsidP="0030558B">
            <w:pPr>
              <w:pStyle w:val="TableBodyText"/>
            </w:pPr>
            <w:r>
              <w:t>Almost completely male dominated</w:t>
            </w:r>
          </w:p>
        </w:tc>
      </w:tr>
    </w:tbl>
    <w:p w14:paraId="16B94AE3" w14:textId="77777777" w:rsidR="0030558B" w:rsidRPr="0030558B" w:rsidRDefault="0030558B" w:rsidP="009D2EAC">
      <w:pPr>
        <w:pStyle w:val="Source"/>
      </w:pPr>
      <w:r w:rsidRPr="0030558B">
        <w:t>Source: Person Level Integrated Data Asset (PLIDA), ABS DataLab. Findings based on use of PLIDA data. ABS, Census of Population and Housing, 2021.</w:t>
      </w:r>
    </w:p>
    <w:p w14:paraId="1D767167" w14:textId="545D902F" w:rsidR="008B2517" w:rsidRPr="00816F6B" w:rsidDel="00DC722B" w:rsidRDefault="008B2517" w:rsidP="0022298B">
      <w:pPr>
        <w:pStyle w:val="Heading4"/>
      </w:pPr>
      <w:r>
        <w:lastRenderedPageBreak/>
        <w:t>Supplementary analysis: changing patterns of median hours worked and paid 2012-2</w:t>
      </w:r>
      <w:r w:rsidR="00D722C0">
        <w:t>023</w:t>
      </w:r>
    </w:p>
    <w:p w14:paraId="365BD04D" w14:textId="2207DFB6" w:rsidR="003B4151" w:rsidRDefault="00D722C0" w:rsidP="00D722C0">
      <w:pPr>
        <w:pStyle w:val="BodyText"/>
      </w:pPr>
      <w:r>
        <w:t xml:space="preserve">In addition to the above 2021 </w:t>
      </w:r>
      <w:r w:rsidR="00664217">
        <w:t>C</w:t>
      </w:r>
      <w:r>
        <w:t xml:space="preserve">ensus analysis, this </w:t>
      </w:r>
      <w:r w:rsidR="00664217">
        <w:t>S</w:t>
      </w:r>
      <w:r>
        <w:t xml:space="preserve">tudy also sourced ABS custom data from the Employee Earnings and Hours (EEH) survey to explore changing patterns of hours worked and paid. </w:t>
      </w:r>
      <w:r w:rsidR="0074078A">
        <w:t xml:space="preserve">We used the same median hours worked difference and time conversions methodology as for the </w:t>
      </w:r>
      <w:r w:rsidR="005151A4">
        <w:t>C</w:t>
      </w:r>
      <w:r w:rsidR="0074078A">
        <w:t>ensus analysis</w:t>
      </w:r>
      <w:r w:rsidR="004F2A69">
        <w:t>.</w:t>
      </w:r>
    </w:p>
    <w:p w14:paraId="7CC49F9E" w14:textId="1B33ACAE" w:rsidR="00D722C0" w:rsidRPr="00D722C0" w:rsidDel="00DC722B" w:rsidRDefault="00D722C0" w:rsidP="00D722C0">
      <w:pPr>
        <w:pStyle w:val="BodyText"/>
      </w:pPr>
      <w:r>
        <w:t>We found that w</w:t>
      </w:r>
      <w:r w:rsidRPr="00D722C0" w:rsidDel="00DC722B">
        <w:t>hen looking at the difference in hours paid between males and females from 2012-2023, there is an increasing trend in the number of ANZSCO 3-digit occupations males and females working similar hours</w:t>
      </w:r>
      <w:r w:rsidRPr="00D722C0">
        <w:t xml:space="preserve">. </w:t>
      </w:r>
      <w:r w:rsidRPr="00D722C0" w:rsidDel="00DC722B">
        <w:t xml:space="preserve">For example, if males had a 5% </w:t>
      </w:r>
      <w:r w:rsidR="008B2D81">
        <w:t>occupational</w:t>
      </w:r>
      <w:r w:rsidRPr="00D722C0" w:rsidDel="00DC722B">
        <w:t xml:space="preserve"> </w:t>
      </w:r>
      <w:r w:rsidRPr="00D722C0">
        <w:t xml:space="preserve">median </w:t>
      </w:r>
      <w:r w:rsidRPr="00D722C0" w:rsidDel="00DC722B">
        <w:t xml:space="preserve">hours paid gap in their favour, they would be paid an equivalent of 2 hours more than their female counterparts in that occupation. The below analysis indicates that in approximately 2 </w:t>
      </w:r>
      <w:r w:rsidR="003B4151">
        <w:t xml:space="preserve">out </w:t>
      </w:r>
      <w:r w:rsidRPr="00D722C0" w:rsidDel="00DC722B">
        <w:t xml:space="preserve">of </w:t>
      </w:r>
      <w:r w:rsidR="003B4151">
        <w:t xml:space="preserve">every </w:t>
      </w:r>
      <w:r w:rsidRPr="00D722C0" w:rsidDel="00DC722B">
        <w:t>3 occupations, males and females work similar hours</w:t>
      </w:r>
      <w:r w:rsidR="00F51410">
        <w:t>, in median terms</w:t>
      </w:r>
      <w:r w:rsidRPr="00D722C0" w:rsidDel="00DC722B">
        <w:t>.</w:t>
      </w:r>
    </w:p>
    <w:p w14:paraId="1E2C728D" w14:textId="1DB95B3F" w:rsidR="00D722C0" w:rsidRPr="00D722C0" w:rsidDel="00DC722B" w:rsidRDefault="00D722C0" w:rsidP="0029120E">
      <w:pPr>
        <w:pStyle w:val="Caption"/>
        <w:spacing w:before="240"/>
      </w:pPr>
      <w:r w:rsidRPr="00D722C0" w:rsidDel="00DC722B">
        <w:t xml:space="preserve">Figure </w:t>
      </w:r>
      <w:r w:rsidR="00EE165C">
        <w:t>3</w:t>
      </w:r>
      <w:r w:rsidRPr="00D722C0" w:rsidDel="00DC722B">
        <w:t>: Percentage of ANZSCO 3-digit occupations where males and females are working the same hours, based on hours paid data</w:t>
      </w:r>
    </w:p>
    <w:p w14:paraId="2A335255" w14:textId="3DDEB980" w:rsidR="00D722C0" w:rsidRPr="00D722C0" w:rsidDel="00DC722B" w:rsidRDefault="00D722C0" w:rsidP="00D722C0">
      <w:pPr>
        <w:pStyle w:val="TableHeading1"/>
      </w:pPr>
      <w:r w:rsidRPr="00D722C0" w:rsidDel="00DC722B">
        <w:rPr>
          <w:noProof/>
        </w:rPr>
        <w:drawing>
          <wp:inline distT="0" distB="0" distL="0" distR="0" wp14:anchorId="3A30ADF3" wp14:editId="40279EA0">
            <wp:extent cx="5486400" cy="3200400"/>
            <wp:effectExtent l="0" t="0" r="0" b="0"/>
            <wp:docPr id="1020824282" name="Chart 1" descr="This is a line chart visually representing the analysis above and below"/>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DEA48D2" w14:textId="77777777" w:rsidR="00D722C0" w:rsidRPr="00D722C0" w:rsidDel="00DC722B" w:rsidRDefault="00D722C0" w:rsidP="00D722C0">
      <w:pPr>
        <w:pStyle w:val="Source"/>
      </w:pPr>
      <w:r w:rsidRPr="00D722C0" w:rsidDel="00DC722B">
        <w:t>Source: ABS, Employee Earnings and Hours, 2012 to 2023.</w:t>
      </w:r>
    </w:p>
    <w:p w14:paraId="01C23F87" w14:textId="3B8BE411" w:rsidR="00F51410" w:rsidRDefault="00D722C0" w:rsidP="001C5E38">
      <w:pPr>
        <w:pStyle w:val="BodyText"/>
        <w:spacing w:before="240"/>
      </w:pPr>
      <w:r w:rsidRPr="00D722C0" w:rsidDel="00DC722B">
        <w:t xml:space="preserve">We know that patterns of work vary over the life course, and so we investigated differences in </w:t>
      </w:r>
      <w:r w:rsidR="00877942">
        <w:t xml:space="preserve">occupational median </w:t>
      </w:r>
      <w:r w:rsidRPr="00D722C0" w:rsidDel="00DC722B">
        <w:t>hour paid by age cohort using the same ABS custom data as above but at the ANZSCO 2-digit level</w:t>
      </w:r>
      <w:r w:rsidR="004F2A69">
        <w:t>.</w:t>
      </w:r>
    </w:p>
    <w:p w14:paraId="6FF84DC5" w14:textId="1E80D235" w:rsidR="00D722C0" w:rsidRPr="00D722C0" w:rsidDel="00DC722B" w:rsidRDefault="00D722C0" w:rsidP="00D722C0">
      <w:pPr>
        <w:pStyle w:val="BodyText"/>
      </w:pPr>
      <w:r w:rsidRPr="00D722C0" w:rsidDel="00DC722B">
        <w:t>We found that workers of primary working age (25-39 year old cohort and 40-54 year old cohort) have the lowest hours paid gaps between males and females. We also found that the</w:t>
      </w:r>
      <w:r w:rsidR="00DC2D7B">
        <w:t xml:space="preserve"> median </w:t>
      </w:r>
      <w:r w:rsidRPr="00D722C0" w:rsidDel="00DC722B">
        <w:t>hours paid gaps are largest at early and later life stages, with the largest difference in hours paid being between males and females in the 20-24 year old cohort (3</w:t>
      </w:r>
      <w:r w:rsidR="00EC6C15">
        <w:t>2</w:t>
      </w:r>
      <w:r w:rsidRPr="00D722C0" w:rsidDel="00DC722B">
        <w:t>%), followed by those over 55 years old (16% hours paid gap)</w:t>
      </w:r>
      <w:r w:rsidR="004F2A69">
        <w:t>.</w:t>
      </w:r>
    </w:p>
    <w:p w14:paraId="4CC34746" w14:textId="77777777" w:rsidR="0029120E" w:rsidRDefault="0029120E">
      <w:pPr>
        <w:spacing w:before="0" w:after="200" w:line="276" w:lineRule="auto"/>
        <w:rPr>
          <w:b/>
          <w:bCs/>
          <w:color w:val="012749"/>
          <w:sz w:val="18"/>
          <w:szCs w:val="18"/>
        </w:rPr>
      </w:pPr>
      <w:r>
        <w:br w:type="page"/>
      </w:r>
    </w:p>
    <w:p w14:paraId="23CC6239" w14:textId="7BE55081" w:rsidR="00D722C0" w:rsidRDefault="00D722C0" w:rsidP="00A4190B">
      <w:pPr>
        <w:pStyle w:val="Caption"/>
      </w:pPr>
      <w:r w:rsidRPr="00D722C0" w:rsidDel="00DC722B">
        <w:lastRenderedPageBreak/>
        <w:t xml:space="preserve">Table </w:t>
      </w:r>
      <w:r w:rsidR="00C309E5">
        <w:t>1</w:t>
      </w:r>
      <w:r w:rsidR="00E40547">
        <w:t>6</w:t>
      </w:r>
      <w:r w:rsidRPr="00D722C0" w:rsidDel="00DC722B">
        <w:t xml:space="preserve">: </w:t>
      </w:r>
      <w:r w:rsidR="001C6198">
        <w:t>M</w:t>
      </w:r>
      <w:r w:rsidR="00DC2D7B">
        <w:t>edian</w:t>
      </w:r>
      <w:r w:rsidRPr="00D722C0" w:rsidDel="00DC722B">
        <w:t xml:space="preserve"> hours paid </w:t>
      </w:r>
      <w:r w:rsidR="001C6198">
        <w:t xml:space="preserve">gaps </w:t>
      </w:r>
      <w:r w:rsidRPr="00D722C0" w:rsidDel="00DC722B">
        <w:t>(%) by age cohort for ANZSCO 2-digit occupations</w:t>
      </w:r>
    </w:p>
    <w:tbl>
      <w:tblPr>
        <w:tblStyle w:val="CustomTablebasic"/>
        <w:tblW w:w="0" w:type="auto"/>
        <w:tblLook w:val="04A0" w:firstRow="1" w:lastRow="0" w:firstColumn="1" w:lastColumn="0" w:noHBand="0" w:noVBand="1"/>
      </w:tblPr>
      <w:tblGrid>
        <w:gridCol w:w="1843"/>
        <w:gridCol w:w="1418"/>
        <w:gridCol w:w="1417"/>
        <w:gridCol w:w="1701"/>
        <w:gridCol w:w="2648"/>
      </w:tblGrid>
      <w:tr w:rsidR="00F80BA1" w:rsidRPr="00D470D1" w14:paraId="460A42D2" w14:textId="77777777" w:rsidTr="005151A4">
        <w:trPr>
          <w:cnfStyle w:val="100000000000" w:firstRow="1" w:lastRow="0" w:firstColumn="0" w:lastColumn="0" w:oddVBand="0" w:evenVBand="0" w:oddHBand="0" w:evenHBand="0" w:firstRowFirstColumn="0" w:firstRowLastColumn="0" w:lastRowFirstColumn="0" w:lastRowLastColumn="0"/>
        </w:trPr>
        <w:tc>
          <w:tcPr>
            <w:tcW w:w="1843" w:type="dxa"/>
          </w:tcPr>
          <w:p w14:paraId="33CAAA64" w14:textId="77777777" w:rsidR="00630322" w:rsidRPr="00630322" w:rsidRDefault="00630322" w:rsidP="00630322">
            <w:pPr>
              <w:pStyle w:val="TableHeading1"/>
            </w:pPr>
            <w:r>
              <w:t>Age cohort</w:t>
            </w:r>
          </w:p>
        </w:tc>
        <w:tc>
          <w:tcPr>
            <w:tcW w:w="1418" w:type="dxa"/>
          </w:tcPr>
          <w:p w14:paraId="00F78716" w14:textId="04282295" w:rsidR="00630322" w:rsidRPr="00630322" w:rsidRDefault="00630322" w:rsidP="00630322">
            <w:pPr>
              <w:pStyle w:val="TableHeading1"/>
            </w:pPr>
            <w:r>
              <w:t xml:space="preserve">Male </w:t>
            </w:r>
            <w:r w:rsidRPr="00630322">
              <w:t>median hours paid</w:t>
            </w:r>
          </w:p>
        </w:tc>
        <w:tc>
          <w:tcPr>
            <w:tcW w:w="1417" w:type="dxa"/>
          </w:tcPr>
          <w:p w14:paraId="330618C8" w14:textId="401781A5" w:rsidR="00630322" w:rsidRPr="00630322" w:rsidRDefault="00630322" w:rsidP="00630322">
            <w:pPr>
              <w:pStyle w:val="TableHeading1"/>
            </w:pPr>
            <w:r>
              <w:t>Female median hours paid</w:t>
            </w:r>
          </w:p>
        </w:tc>
        <w:tc>
          <w:tcPr>
            <w:tcW w:w="1701" w:type="dxa"/>
          </w:tcPr>
          <w:p w14:paraId="0BF17692" w14:textId="6E35A508" w:rsidR="00630322" w:rsidRPr="00630322" w:rsidRDefault="001C6198" w:rsidP="00630322">
            <w:pPr>
              <w:pStyle w:val="TableHeading1"/>
            </w:pPr>
            <w:r>
              <w:t>M</w:t>
            </w:r>
            <w:r w:rsidR="006864CD">
              <w:t xml:space="preserve">edian </w:t>
            </w:r>
            <w:r w:rsidR="00630322">
              <w:t>hours paid</w:t>
            </w:r>
            <w:r>
              <w:t xml:space="preserve"> gap</w:t>
            </w:r>
            <w:r w:rsidR="00630322">
              <w:t xml:space="preserve"> (%)</w:t>
            </w:r>
          </w:p>
        </w:tc>
        <w:tc>
          <w:tcPr>
            <w:tcW w:w="2648" w:type="dxa"/>
          </w:tcPr>
          <w:p w14:paraId="495E69B6" w14:textId="77777777" w:rsidR="00630322" w:rsidRPr="00630322" w:rsidRDefault="00630322" w:rsidP="00630322">
            <w:pPr>
              <w:pStyle w:val="TableHeading1"/>
            </w:pPr>
            <w:r>
              <w:t>Number of ANZSCO</w:t>
            </w:r>
            <w:r w:rsidRPr="00630322">
              <w:t xml:space="preserve"> 2-digit occupations where males and females work similar hours</w:t>
            </w:r>
          </w:p>
        </w:tc>
      </w:tr>
      <w:tr w:rsidR="00630322" w:rsidRPr="00D470D1" w14:paraId="5A879139" w14:textId="77777777" w:rsidTr="005151A4">
        <w:tc>
          <w:tcPr>
            <w:tcW w:w="1843" w:type="dxa"/>
          </w:tcPr>
          <w:p w14:paraId="12B25067" w14:textId="77777777" w:rsidR="00630322" w:rsidRPr="00630322" w:rsidRDefault="00630322" w:rsidP="00630322">
            <w:pPr>
              <w:pStyle w:val="TableHeading1"/>
            </w:pPr>
            <w:r>
              <w:t>20 - 24 year olds</w:t>
            </w:r>
          </w:p>
        </w:tc>
        <w:tc>
          <w:tcPr>
            <w:tcW w:w="1418" w:type="dxa"/>
          </w:tcPr>
          <w:p w14:paraId="5DC33849" w14:textId="27610ADB" w:rsidR="00630322" w:rsidRPr="00630322" w:rsidRDefault="00630322" w:rsidP="00630322">
            <w:pPr>
              <w:pStyle w:val="TableBodyTextcentre"/>
            </w:pPr>
            <w:r>
              <w:t>37.</w:t>
            </w:r>
            <w:r w:rsidR="00830D69">
              <w:t>0</w:t>
            </w:r>
          </w:p>
        </w:tc>
        <w:tc>
          <w:tcPr>
            <w:tcW w:w="1417" w:type="dxa"/>
          </w:tcPr>
          <w:p w14:paraId="2553438E" w14:textId="5B4DC9B4" w:rsidR="00630322" w:rsidRPr="00630322" w:rsidRDefault="00630322" w:rsidP="00630322">
            <w:pPr>
              <w:pStyle w:val="TableBodyTextcentre"/>
            </w:pPr>
            <w:r>
              <w:t>2</w:t>
            </w:r>
            <w:r w:rsidR="00B03613">
              <w:t>5</w:t>
            </w:r>
            <w:r>
              <w:t>.0</w:t>
            </w:r>
          </w:p>
        </w:tc>
        <w:tc>
          <w:tcPr>
            <w:tcW w:w="1701" w:type="dxa"/>
          </w:tcPr>
          <w:p w14:paraId="06535BCE" w14:textId="116AF99D" w:rsidR="00630322" w:rsidRPr="00630322" w:rsidRDefault="00EC6C15" w:rsidP="00630322">
            <w:pPr>
              <w:pStyle w:val="TableBodyTextcentre"/>
            </w:pPr>
            <w:r>
              <w:t>32</w:t>
            </w:r>
            <w:r w:rsidR="00630322">
              <w:t>%</w:t>
            </w:r>
          </w:p>
        </w:tc>
        <w:tc>
          <w:tcPr>
            <w:tcW w:w="2648" w:type="dxa"/>
          </w:tcPr>
          <w:p w14:paraId="46F5B0AC" w14:textId="7B42D070" w:rsidR="00630322" w:rsidRPr="00630322" w:rsidRDefault="009A6697" w:rsidP="00630322">
            <w:pPr>
              <w:pStyle w:val="TableBodyTextcentre"/>
            </w:pPr>
            <w:r>
              <w:t>44</w:t>
            </w:r>
            <w:r w:rsidR="00630322">
              <w:t>%</w:t>
            </w:r>
          </w:p>
        </w:tc>
      </w:tr>
      <w:tr w:rsidR="00F80BA1" w:rsidRPr="00D470D1" w14:paraId="0C6B9235" w14:textId="77777777" w:rsidTr="005151A4">
        <w:trPr>
          <w:cnfStyle w:val="000000010000" w:firstRow="0" w:lastRow="0" w:firstColumn="0" w:lastColumn="0" w:oddVBand="0" w:evenVBand="0" w:oddHBand="0" w:evenHBand="1" w:firstRowFirstColumn="0" w:firstRowLastColumn="0" w:lastRowFirstColumn="0" w:lastRowLastColumn="0"/>
        </w:trPr>
        <w:tc>
          <w:tcPr>
            <w:tcW w:w="1843" w:type="dxa"/>
          </w:tcPr>
          <w:p w14:paraId="1DDB1046" w14:textId="77777777" w:rsidR="00630322" w:rsidRPr="00630322" w:rsidRDefault="00630322" w:rsidP="00630322">
            <w:pPr>
              <w:pStyle w:val="TableHeading1"/>
            </w:pPr>
            <w:r>
              <w:t>25 - 39 year olds</w:t>
            </w:r>
          </w:p>
        </w:tc>
        <w:tc>
          <w:tcPr>
            <w:tcW w:w="1418" w:type="dxa"/>
          </w:tcPr>
          <w:p w14:paraId="780C1BBA" w14:textId="77777777" w:rsidR="00630322" w:rsidRPr="00630322" w:rsidRDefault="00630322" w:rsidP="00630322">
            <w:pPr>
              <w:pStyle w:val="TableBodyTextcentre"/>
            </w:pPr>
            <w:r>
              <w:t>38.0</w:t>
            </w:r>
          </w:p>
        </w:tc>
        <w:tc>
          <w:tcPr>
            <w:tcW w:w="1417" w:type="dxa"/>
          </w:tcPr>
          <w:p w14:paraId="0390A7A9" w14:textId="77777777" w:rsidR="00630322" w:rsidRPr="00630322" w:rsidRDefault="00630322" w:rsidP="00630322">
            <w:pPr>
              <w:pStyle w:val="TableBodyTextcentre"/>
            </w:pPr>
            <w:r>
              <w:t>35.0</w:t>
            </w:r>
          </w:p>
        </w:tc>
        <w:tc>
          <w:tcPr>
            <w:tcW w:w="1701" w:type="dxa"/>
          </w:tcPr>
          <w:p w14:paraId="5F7C9FE3" w14:textId="77777777" w:rsidR="00630322" w:rsidRPr="00630322" w:rsidRDefault="00630322" w:rsidP="00630322">
            <w:pPr>
              <w:pStyle w:val="TableBodyTextcentre"/>
            </w:pPr>
            <w:r>
              <w:t>8</w:t>
            </w:r>
            <w:r w:rsidRPr="00630322">
              <w:t>%</w:t>
            </w:r>
          </w:p>
        </w:tc>
        <w:tc>
          <w:tcPr>
            <w:tcW w:w="2648" w:type="dxa"/>
          </w:tcPr>
          <w:p w14:paraId="4B0EA8B9" w14:textId="44B6A78A" w:rsidR="00630322" w:rsidRPr="00630322" w:rsidRDefault="00B3321F" w:rsidP="00630322">
            <w:pPr>
              <w:pStyle w:val="TableBodyTextcentre"/>
            </w:pPr>
            <w:r>
              <w:t>48</w:t>
            </w:r>
            <w:r w:rsidR="00630322">
              <w:t>%</w:t>
            </w:r>
          </w:p>
        </w:tc>
      </w:tr>
      <w:tr w:rsidR="00630322" w:rsidRPr="00D470D1" w14:paraId="31FD3A10" w14:textId="77777777" w:rsidTr="005151A4">
        <w:tc>
          <w:tcPr>
            <w:tcW w:w="1843" w:type="dxa"/>
          </w:tcPr>
          <w:p w14:paraId="15D4BC4B" w14:textId="77777777" w:rsidR="00630322" w:rsidRPr="00630322" w:rsidRDefault="00630322" w:rsidP="00630322">
            <w:pPr>
              <w:pStyle w:val="TableHeading1"/>
            </w:pPr>
            <w:r>
              <w:t>40 - 54 year olds</w:t>
            </w:r>
          </w:p>
        </w:tc>
        <w:tc>
          <w:tcPr>
            <w:tcW w:w="1418" w:type="dxa"/>
          </w:tcPr>
          <w:p w14:paraId="1D485633" w14:textId="77777777" w:rsidR="00630322" w:rsidRPr="00630322" w:rsidRDefault="00630322" w:rsidP="00630322">
            <w:pPr>
              <w:pStyle w:val="TableBodyTextcentre"/>
            </w:pPr>
            <w:r>
              <w:t>38.0</w:t>
            </w:r>
          </w:p>
        </w:tc>
        <w:tc>
          <w:tcPr>
            <w:tcW w:w="1417" w:type="dxa"/>
          </w:tcPr>
          <w:p w14:paraId="7B1FAAE8" w14:textId="77777777" w:rsidR="00630322" w:rsidRPr="00630322" w:rsidRDefault="00630322" w:rsidP="00630322">
            <w:pPr>
              <w:pStyle w:val="TableBodyTextcentre"/>
            </w:pPr>
            <w:r>
              <w:t>35.0</w:t>
            </w:r>
          </w:p>
        </w:tc>
        <w:tc>
          <w:tcPr>
            <w:tcW w:w="1701" w:type="dxa"/>
          </w:tcPr>
          <w:p w14:paraId="08EC71F5" w14:textId="77777777" w:rsidR="00630322" w:rsidRPr="00630322" w:rsidRDefault="00630322" w:rsidP="00630322">
            <w:pPr>
              <w:pStyle w:val="TableBodyTextcentre"/>
            </w:pPr>
            <w:r>
              <w:t>8%</w:t>
            </w:r>
          </w:p>
        </w:tc>
        <w:tc>
          <w:tcPr>
            <w:tcW w:w="2648" w:type="dxa"/>
          </w:tcPr>
          <w:p w14:paraId="71DC783A" w14:textId="268234B0" w:rsidR="00630322" w:rsidRPr="00630322" w:rsidRDefault="005B6FC2" w:rsidP="00630322">
            <w:pPr>
              <w:pStyle w:val="TableBodyTextcentre"/>
            </w:pPr>
            <w:r>
              <w:t>46</w:t>
            </w:r>
            <w:r w:rsidR="00630322">
              <w:t>%</w:t>
            </w:r>
          </w:p>
        </w:tc>
      </w:tr>
      <w:tr w:rsidR="00F80BA1" w:rsidRPr="00D470D1" w14:paraId="1901B0CE" w14:textId="77777777" w:rsidTr="005151A4">
        <w:trPr>
          <w:cnfStyle w:val="000000010000" w:firstRow="0" w:lastRow="0" w:firstColumn="0" w:lastColumn="0" w:oddVBand="0" w:evenVBand="0" w:oddHBand="0" w:evenHBand="1" w:firstRowFirstColumn="0" w:firstRowLastColumn="0" w:lastRowFirstColumn="0" w:lastRowLastColumn="0"/>
        </w:trPr>
        <w:tc>
          <w:tcPr>
            <w:tcW w:w="1843" w:type="dxa"/>
          </w:tcPr>
          <w:p w14:paraId="5AA94E5A" w14:textId="77777777" w:rsidR="00630322" w:rsidRPr="00630322" w:rsidRDefault="00630322" w:rsidP="00630322">
            <w:pPr>
              <w:pStyle w:val="TableHeading1"/>
            </w:pPr>
            <w:r>
              <w:t>55+ year olds</w:t>
            </w:r>
          </w:p>
        </w:tc>
        <w:tc>
          <w:tcPr>
            <w:tcW w:w="1418" w:type="dxa"/>
          </w:tcPr>
          <w:p w14:paraId="2C2FCB08" w14:textId="77777777" w:rsidR="00630322" w:rsidRPr="00630322" w:rsidRDefault="00630322" w:rsidP="00630322">
            <w:pPr>
              <w:pStyle w:val="TableBodyTextcentre"/>
            </w:pPr>
            <w:r>
              <w:t>38.0</w:t>
            </w:r>
          </w:p>
        </w:tc>
        <w:tc>
          <w:tcPr>
            <w:tcW w:w="1417" w:type="dxa"/>
          </w:tcPr>
          <w:p w14:paraId="408CC0CE" w14:textId="77777777" w:rsidR="00630322" w:rsidRPr="00630322" w:rsidRDefault="00630322" w:rsidP="00630322">
            <w:pPr>
              <w:pStyle w:val="TableBodyTextcentre"/>
            </w:pPr>
            <w:r>
              <w:t>32.0</w:t>
            </w:r>
          </w:p>
        </w:tc>
        <w:tc>
          <w:tcPr>
            <w:tcW w:w="1701" w:type="dxa"/>
          </w:tcPr>
          <w:p w14:paraId="72CD82F0" w14:textId="77777777" w:rsidR="00630322" w:rsidRPr="00630322" w:rsidRDefault="00630322" w:rsidP="00630322">
            <w:pPr>
              <w:pStyle w:val="TableBodyTextcentre"/>
            </w:pPr>
            <w:r>
              <w:t>16%</w:t>
            </w:r>
          </w:p>
        </w:tc>
        <w:tc>
          <w:tcPr>
            <w:tcW w:w="2648" w:type="dxa"/>
          </w:tcPr>
          <w:p w14:paraId="512524CD" w14:textId="0A365D70" w:rsidR="00630322" w:rsidRPr="00630322" w:rsidRDefault="00683392" w:rsidP="00630322">
            <w:pPr>
              <w:pStyle w:val="TableBodyTextcentre"/>
            </w:pPr>
            <w:r>
              <w:t>61</w:t>
            </w:r>
            <w:r w:rsidR="00630322">
              <w:t>%</w:t>
            </w:r>
          </w:p>
        </w:tc>
      </w:tr>
      <w:tr w:rsidR="00630322" w:rsidRPr="00D470D1" w14:paraId="6E52ABE2" w14:textId="77777777" w:rsidTr="005151A4">
        <w:tc>
          <w:tcPr>
            <w:tcW w:w="1843" w:type="dxa"/>
          </w:tcPr>
          <w:p w14:paraId="70E88AA0" w14:textId="77777777" w:rsidR="00630322" w:rsidRPr="00630322" w:rsidRDefault="00630322" w:rsidP="00630322">
            <w:pPr>
              <w:pStyle w:val="TableHeading1"/>
              <w:rPr>
                <w:rStyle w:val="Characterbold"/>
              </w:rPr>
            </w:pPr>
            <w:r w:rsidRPr="00E23452">
              <w:rPr>
                <w:rStyle w:val="Characterbold"/>
              </w:rPr>
              <w:t>Total population</w:t>
            </w:r>
          </w:p>
        </w:tc>
        <w:tc>
          <w:tcPr>
            <w:tcW w:w="1418" w:type="dxa"/>
          </w:tcPr>
          <w:p w14:paraId="241B1A62" w14:textId="77777777" w:rsidR="00630322" w:rsidRPr="00630322" w:rsidRDefault="00630322" w:rsidP="00630322">
            <w:pPr>
              <w:pStyle w:val="TableBodyTextcentre"/>
              <w:rPr>
                <w:rStyle w:val="Characterbold"/>
              </w:rPr>
            </w:pPr>
            <w:r>
              <w:rPr>
                <w:rStyle w:val="Characterbold"/>
              </w:rPr>
              <w:t>38.0</w:t>
            </w:r>
          </w:p>
        </w:tc>
        <w:tc>
          <w:tcPr>
            <w:tcW w:w="1417" w:type="dxa"/>
          </w:tcPr>
          <w:p w14:paraId="3ECFD7A0" w14:textId="33300CF8" w:rsidR="00630322" w:rsidRPr="00630322" w:rsidRDefault="00630322" w:rsidP="00630322">
            <w:pPr>
              <w:pStyle w:val="TableBodyTextcentre"/>
              <w:rPr>
                <w:rStyle w:val="Characterbold"/>
              </w:rPr>
            </w:pPr>
            <w:r>
              <w:rPr>
                <w:rStyle w:val="Characterbold"/>
              </w:rPr>
              <w:t>32.</w:t>
            </w:r>
            <w:r w:rsidR="00EB57B2">
              <w:rPr>
                <w:rStyle w:val="Characterbold"/>
              </w:rPr>
              <w:t>0</w:t>
            </w:r>
          </w:p>
        </w:tc>
        <w:tc>
          <w:tcPr>
            <w:tcW w:w="1701" w:type="dxa"/>
          </w:tcPr>
          <w:p w14:paraId="468FED8A" w14:textId="3B68E1E4" w:rsidR="00630322" w:rsidRPr="00630322" w:rsidRDefault="00630322" w:rsidP="00630322">
            <w:pPr>
              <w:pStyle w:val="TableBodyTextcentre"/>
              <w:rPr>
                <w:rStyle w:val="Characterbold"/>
              </w:rPr>
            </w:pPr>
            <w:r>
              <w:rPr>
                <w:rStyle w:val="Characterbold"/>
              </w:rPr>
              <w:t>1</w:t>
            </w:r>
            <w:r w:rsidR="00625B91">
              <w:rPr>
                <w:rStyle w:val="Characterbold"/>
              </w:rPr>
              <w:t>6</w:t>
            </w:r>
            <w:r>
              <w:rPr>
                <w:rStyle w:val="Characterbold"/>
              </w:rPr>
              <w:t>%</w:t>
            </w:r>
          </w:p>
        </w:tc>
        <w:tc>
          <w:tcPr>
            <w:tcW w:w="2648" w:type="dxa"/>
          </w:tcPr>
          <w:p w14:paraId="1A98ADDD" w14:textId="662AA1B8" w:rsidR="00630322" w:rsidRPr="00630322" w:rsidRDefault="00BD6F67" w:rsidP="00630322">
            <w:pPr>
              <w:pStyle w:val="TableBodyTextcentre"/>
              <w:rPr>
                <w:rStyle w:val="Characterbold"/>
              </w:rPr>
            </w:pPr>
            <w:r>
              <w:rPr>
                <w:rStyle w:val="Characterbold"/>
              </w:rPr>
              <w:t>55</w:t>
            </w:r>
            <w:r w:rsidR="00630322">
              <w:rPr>
                <w:rStyle w:val="Characterbold"/>
              </w:rPr>
              <w:t>%</w:t>
            </w:r>
          </w:p>
        </w:tc>
      </w:tr>
    </w:tbl>
    <w:p w14:paraId="254F9501" w14:textId="34D68626" w:rsidR="008747EF" w:rsidRDefault="00D722C0" w:rsidP="007E0DD2">
      <w:pPr>
        <w:pStyle w:val="Source"/>
        <w:rPr>
          <w:lang w:eastAsia="en-AU"/>
        </w:rPr>
      </w:pPr>
      <w:r w:rsidRPr="00D722C0" w:rsidDel="00DC722B">
        <w:t>Source: ABS, Employee Earnings and Hours, 2021</w:t>
      </w:r>
      <w:r w:rsidR="006156FD">
        <w:t>.</w:t>
      </w:r>
    </w:p>
    <w:p w14:paraId="3BF1E7BF" w14:textId="10725DC6" w:rsidR="007A1284" w:rsidRDefault="007A1284">
      <w:pPr>
        <w:spacing w:before="0" w:after="200" w:line="276" w:lineRule="auto"/>
        <w:rPr>
          <w:lang w:eastAsia="en-AU"/>
        </w:rPr>
      </w:pPr>
      <w:r>
        <w:rPr>
          <w:lang w:eastAsia="en-AU"/>
        </w:rPr>
        <w:br w:type="page"/>
      </w:r>
    </w:p>
    <w:p w14:paraId="214600DA" w14:textId="0FB50FDC" w:rsidR="00354653" w:rsidRDefault="00354653" w:rsidP="00354653">
      <w:pPr>
        <w:pStyle w:val="Heading1"/>
      </w:pPr>
      <w:bookmarkStart w:id="36" w:name="_Toc200534039"/>
      <w:bookmarkStart w:id="37" w:name="_Toc204327076"/>
      <w:bookmarkStart w:id="38" w:name="_Toc204596303"/>
      <w:r>
        <w:lastRenderedPageBreak/>
        <w:t>Reference List</w:t>
      </w:r>
      <w:bookmarkEnd w:id="36"/>
      <w:bookmarkEnd w:id="37"/>
      <w:bookmarkEnd w:id="38"/>
    </w:p>
    <w:p w14:paraId="77673BE3" w14:textId="77777777" w:rsidR="00757C69" w:rsidRDefault="00BE2F6E" w:rsidP="00757C69">
      <w:pPr>
        <w:pStyle w:val="BodyText"/>
      </w:pPr>
      <w:r>
        <w:t>ABS (</w:t>
      </w:r>
      <w:r w:rsidR="00D853CF" w:rsidRPr="00A66F00">
        <w:t>Australian Bureau of Statistics</w:t>
      </w:r>
      <w:r>
        <w:t>)</w:t>
      </w:r>
      <w:r w:rsidR="00D853CF" w:rsidRPr="00A66F00">
        <w:t xml:space="preserve"> (2020) </w:t>
      </w:r>
      <w:hyperlink r:id="rId32" w:history="1">
        <w:r w:rsidR="00757C69" w:rsidRPr="003D03FC">
          <w:rPr>
            <w:rStyle w:val="Hyperlink"/>
          </w:rPr>
          <w:t xml:space="preserve">Standard for </w:t>
        </w:r>
        <w:r w:rsidR="00757C69">
          <w:rPr>
            <w:rStyle w:val="Hyperlink"/>
          </w:rPr>
          <w:t>s</w:t>
        </w:r>
        <w:r w:rsidR="00757C69" w:rsidRPr="003D03FC">
          <w:rPr>
            <w:rStyle w:val="Hyperlink"/>
          </w:rPr>
          <w:t xml:space="preserve">ex, </w:t>
        </w:r>
        <w:r w:rsidR="00757C69">
          <w:rPr>
            <w:rStyle w:val="Hyperlink"/>
          </w:rPr>
          <w:t>g</w:t>
        </w:r>
        <w:r w:rsidR="00757C69" w:rsidRPr="003D03FC">
          <w:rPr>
            <w:rStyle w:val="Hyperlink"/>
          </w:rPr>
          <w:t xml:space="preserve">ender, </w:t>
        </w:r>
        <w:r w:rsidR="00757C69">
          <w:rPr>
            <w:rStyle w:val="Hyperlink"/>
          </w:rPr>
          <w:t>v</w:t>
        </w:r>
        <w:r w:rsidR="00757C69" w:rsidRPr="003D03FC">
          <w:rPr>
            <w:rStyle w:val="Hyperlink"/>
          </w:rPr>
          <w:t xml:space="preserve">ariations of </w:t>
        </w:r>
        <w:r w:rsidR="00757C69">
          <w:rPr>
            <w:rStyle w:val="Hyperlink"/>
          </w:rPr>
          <w:t>s</w:t>
        </w:r>
        <w:r w:rsidR="00757C69" w:rsidRPr="003D03FC">
          <w:rPr>
            <w:rStyle w:val="Hyperlink"/>
          </w:rPr>
          <w:t xml:space="preserve">ex </w:t>
        </w:r>
        <w:r w:rsidR="00757C69">
          <w:rPr>
            <w:rStyle w:val="Hyperlink"/>
          </w:rPr>
          <w:t>c</w:t>
        </w:r>
        <w:r w:rsidR="00757C69" w:rsidRPr="003D03FC">
          <w:rPr>
            <w:rStyle w:val="Hyperlink"/>
          </w:rPr>
          <w:t xml:space="preserve">haracteristics and </w:t>
        </w:r>
        <w:r w:rsidR="00757C69">
          <w:rPr>
            <w:rStyle w:val="Hyperlink"/>
          </w:rPr>
          <w:t>s</w:t>
        </w:r>
        <w:r w:rsidR="00757C69" w:rsidRPr="003D03FC">
          <w:rPr>
            <w:rStyle w:val="Hyperlink"/>
          </w:rPr>
          <w:t xml:space="preserve">exual </w:t>
        </w:r>
        <w:r w:rsidR="00757C69">
          <w:rPr>
            <w:rStyle w:val="Hyperlink"/>
          </w:rPr>
          <w:t>o</w:t>
        </w:r>
        <w:r w:rsidR="00757C69" w:rsidRPr="003D03FC">
          <w:rPr>
            <w:rStyle w:val="Hyperlink"/>
          </w:rPr>
          <w:t xml:space="preserve">rientation </w:t>
        </w:r>
        <w:r w:rsidR="00757C69">
          <w:rPr>
            <w:rStyle w:val="Hyperlink"/>
          </w:rPr>
          <w:t>v</w:t>
        </w:r>
        <w:r w:rsidR="00757C69" w:rsidRPr="003D03FC">
          <w:rPr>
            <w:rStyle w:val="Hyperlink"/>
          </w:rPr>
          <w:t>ariables</w:t>
        </w:r>
      </w:hyperlink>
      <w:r w:rsidR="00757C69">
        <w:t>,</w:t>
      </w:r>
      <w:r w:rsidR="00757C69" w:rsidRPr="00A66F00">
        <w:t xml:space="preserve"> </w:t>
      </w:r>
      <w:r w:rsidR="00757C69">
        <w:t>ABS Website, a</w:t>
      </w:r>
      <w:r w:rsidR="00757C69" w:rsidRPr="00A66F00">
        <w:t>ccessed January 2025</w:t>
      </w:r>
    </w:p>
    <w:p w14:paraId="4E71705F" w14:textId="77777777" w:rsidR="00757C69" w:rsidRDefault="00D853CF" w:rsidP="00757C69">
      <w:pPr>
        <w:pStyle w:val="BodyText"/>
      </w:pPr>
      <w:r>
        <w:t xml:space="preserve">ABS (2024) </w:t>
      </w:r>
      <w:hyperlink r:id="rId33">
        <w:r w:rsidRPr="16B4E0FE">
          <w:rPr>
            <w:rStyle w:val="Hyperlink"/>
          </w:rPr>
          <w:t>ABS releases first ever e</w:t>
        </w:r>
        <w:bookmarkStart w:id="39" w:name="_Hlt204594862"/>
        <w:r w:rsidRPr="16B4E0FE">
          <w:rPr>
            <w:rStyle w:val="Hyperlink"/>
          </w:rPr>
          <w:t>s</w:t>
        </w:r>
        <w:bookmarkEnd w:id="39"/>
        <w:r w:rsidRPr="16B4E0FE">
          <w:rPr>
            <w:rStyle w:val="Hyperlink"/>
          </w:rPr>
          <w:t>timates of LGBTI+ Australians</w:t>
        </w:r>
      </w:hyperlink>
      <w:r w:rsidR="00757C69">
        <w:t>, ABS Website, accessed February 2025</w:t>
      </w:r>
    </w:p>
    <w:p w14:paraId="70F0BE8E" w14:textId="77777777" w:rsidR="00757C69" w:rsidRDefault="00D853CF" w:rsidP="00757C69">
      <w:pPr>
        <w:pStyle w:val="BodyText"/>
      </w:pPr>
      <w:r>
        <w:t xml:space="preserve">ABS (2022) </w:t>
      </w:r>
      <w:hyperlink r:id="rId34">
        <w:r w:rsidRPr="16B4E0FE">
          <w:rPr>
            <w:rStyle w:val="Hyperlink"/>
          </w:rPr>
          <w:t>ABS s</w:t>
        </w:r>
        <w:bookmarkStart w:id="40" w:name="_Hlt204594955"/>
        <w:r w:rsidRPr="16B4E0FE">
          <w:rPr>
            <w:rStyle w:val="Hyperlink"/>
          </w:rPr>
          <w:t>t</w:t>
        </w:r>
        <w:bookmarkEnd w:id="40"/>
        <w:r w:rsidRPr="16B4E0FE">
          <w:rPr>
            <w:rStyle w:val="Hyperlink"/>
          </w:rPr>
          <w:t>atement on 2021 Census non-binary sex count</w:t>
        </w:r>
      </w:hyperlink>
      <w:r w:rsidR="00757C69">
        <w:t>, ABS Website, accessed January 2025</w:t>
      </w:r>
      <w:r w:rsidR="00757C69" w:rsidRPr="006C6D43">
        <w:t xml:space="preserve"> </w:t>
      </w:r>
    </w:p>
    <w:p w14:paraId="5ECB49D1" w14:textId="77777777" w:rsidR="00757C69" w:rsidRDefault="00757C69" w:rsidP="00757C69">
      <w:pPr>
        <w:pStyle w:val="BodyText"/>
      </w:pPr>
      <w:r>
        <w:t xml:space="preserve">(AWEI) Australian Workplace Equality Index (2022) </w:t>
      </w:r>
      <w:hyperlink r:id="rId35" w:history="1">
        <w:r w:rsidRPr="0091461C">
          <w:rPr>
            <w:rStyle w:val="Hyperlink"/>
          </w:rPr>
          <w:t>Workplace experiences of LGBTQ women &amp; people perceived as women</w:t>
        </w:r>
      </w:hyperlink>
      <w:r>
        <w:t>, Practice Points Edition 7, AWEI, accessed July 2025.</w:t>
      </w:r>
    </w:p>
    <w:p w14:paraId="37DBB70F" w14:textId="77777777" w:rsidR="00757C69" w:rsidRDefault="00757C69" w:rsidP="00757C69">
      <w:pPr>
        <w:pStyle w:val="BodyText"/>
      </w:pPr>
      <w:r>
        <w:t xml:space="preserve">FECCA (Federation of Ethnic Communities Councils of Australia) (2020) </w:t>
      </w:r>
      <w:hyperlink r:id="rId36" w:history="1">
        <w:r w:rsidRPr="000C060F">
          <w:rPr>
            <w:rStyle w:val="Hyperlink"/>
          </w:rPr>
          <w:t>I</w:t>
        </w:r>
        <w:r>
          <w:rPr>
            <w:rStyle w:val="Hyperlink"/>
          </w:rPr>
          <w:t>f we don't count it … it doesn't count: toward consistent national data collection and reporting on cultural, ethnic and linguistic diversity,</w:t>
        </w:r>
      </w:hyperlink>
      <w:r>
        <w:t xml:space="preserve"> FECCA Issues Paper, accessed February 2025</w:t>
      </w:r>
    </w:p>
    <w:p w14:paraId="030A9604" w14:textId="5B50B679" w:rsidR="00757C69" w:rsidRDefault="00757C69" w:rsidP="00757C69">
      <w:pPr>
        <w:pStyle w:val="BodyText"/>
      </w:pPr>
      <w:r>
        <w:t xml:space="preserve">Statistics Canada (2021) </w:t>
      </w:r>
      <w:hyperlink r:id="rId37" w:history="1">
        <w:r w:rsidRPr="00785179">
          <w:rPr>
            <w:rStyle w:val="Hyperlink"/>
          </w:rPr>
          <w:t>2021 census of population</w:t>
        </w:r>
      </w:hyperlink>
      <w:r>
        <w:t>, Statistics Canada, Canadian Government, accessed February 2025</w:t>
      </w:r>
      <w:r w:rsidR="004F2A69">
        <w:t>.</w:t>
      </w:r>
    </w:p>
    <w:p w14:paraId="0FD0D583" w14:textId="1FE84BBA" w:rsidR="00063C86" w:rsidRDefault="00D17974" w:rsidP="008A1C84">
      <w:pPr>
        <w:pStyle w:val="BodyText"/>
      </w:pPr>
      <w:r>
        <w:t xml:space="preserve">Stats NZ (Statistics New Zealand) (2015) </w:t>
      </w:r>
      <w:hyperlink r:id="rId38" w:history="1">
        <w:r w:rsidRPr="00E568D5">
          <w:rPr>
            <w:rStyle w:val="Hyperlink"/>
          </w:rPr>
          <w:t>Annual report of Statistics New Zealand for the year ended 30 June 2015</w:t>
        </w:r>
      </w:hyperlink>
      <w:r>
        <w:t>, Stats NZ, New Zealand Government, accessed February 2025</w:t>
      </w:r>
      <w:r w:rsidR="004F2A69">
        <w:t>.</w:t>
      </w:r>
    </w:p>
    <w:sectPr w:rsidR="00063C86" w:rsidSect="000F5CD2">
      <w:footerReference w:type="first" r:id="rId39"/>
      <w:pgSz w:w="11907" w:h="16839" w:code="9"/>
      <w:pgMar w:top="1270" w:right="1440" w:bottom="1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A412" w14:textId="77777777" w:rsidR="00701FE0" w:rsidRDefault="00701FE0" w:rsidP="00E12845">
      <w:pPr>
        <w:spacing w:before="0" w:after="0"/>
      </w:pPr>
      <w:r>
        <w:separator/>
      </w:r>
    </w:p>
  </w:endnote>
  <w:endnote w:type="continuationSeparator" w:id="0">
    <w:p w14:paraId="63521703" w14:textId="77777777" w:rsidR="00701FE0" w:rsidRDefault="00701FE0" w:rsidP="00E12845">
      <w:pPr>
        <w:spacing w:before="0" w:after="0"/>
      </w:pPr>
      <w:r>
        <w:continuationSeparator/>
      </w:r>
    </w:p>
  </w:endnote>
  <w:endnote w:type="continuationNotice" w:id="1">
    <w:p w14:paraId="2B231FF3" w14:textId="77777777" w:rsidR="00701FE0" w:rsidRDefault="00701F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25F47467" w14:textId="2BB1B00C" w:rsidR="00BA4D1C" w:rsidRDefault="00BA4D1C">
        <w:pPr>
          <w:pStyle w:val="Footer"/>
        </w:pPr>
        <w:r w:rsidRPr="00835A0D">
          <w:t>Jobs and Skills Australia –</w:t>
        </w:r>
        <w:r>
          <w:t xml:space="preserve"> </w:t>
        </w:r>
        <w:fldSimple w:instr="STYLEREF  Title  \* MERGEFORMAT">
          <w:r w:rsidR="000879D6">
            <w:rPr>
              <w:noProof/>
            </w:rPr>
            <w:t>New Perspectives on Old Problems</w:t>
          </w:r>
        </w:fldSimple>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76C3F14E" w14:textId="145F83BE" w:rsidR="000F5CD2" w:rsidRDefault="000F5CD2">
        <w:pPr>
          <w:pStyle w:val="Footer"/>
        </w:pPr>
        <w:r w:rsidRPr="00835A0D">
          <w:t>Jobs and Skills Australia –</w:t>
        </w:r>
        <w:r>
          <w:t xml:space="preserve"> </w:t>
        </w:r>
        <w:fldSimple w:instr="STYLEREF  Title  \* MERGEFORMAT">
          <w:r w:rsidR="000879D6">
            <w:rPr>
              <w:noProof/>
            </w:rPr>
            <w:t>New Perspectives on Old Problems</w:t>
          </w:r>
        </w:fldSimple>
        <w:r w:rsidRPr="00A67B12">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3EF8DC05" w14:textId="2A03A2DC" w:rsidR="00A67B12" w:rsidRPr="00576BAF" w:rsidRDefault="00A67B12" w:rsidP="00576BAF">
        <w:pPr>
          <w:pStyle w:val="Footer"/>
        </w:pPr>
        <w:r w:rsidRPr="00835A0D">
          <w:t>Jobs and Skills Australia –</w:t>
        </w:r>
        <w:r>
          <w:t xml:space="preserve"> </w:t>
        </w:r>
        <w:fldSimple w:instr="STYLEREF  Title  \* MERGEFORMAT">
          <w:r w:rsidR="000879D6">
            <w:rPr>
              <w:noProof/>
            </w:rPr>
            <w:t>New Perspectives on Old Problems</w:t>
          </w:r>
        </w:fldSimple>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402F"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63F4" w14:textId="77777777" w:rsidR="00701FE0" w:rsidRDefault="00701FE0" w:rsidP="00E12845">
      <w:pPr>
        <w:spacing w:before="0" w:after="0"/>
      </w:pPr>
      <w:r>
        <w:separator/>
      </w:r>
    </w:p>
  </w:footnote>
  <w:footnote w:type="continuationSeparator" w:id="0">
    <w:p w14:paraId="142AFFC7" w14:textId="77777777" w:rsidR="00701FE0" w:rsidRDefault="00701FE0" w:rsidP="00E12845">
      <w:pPr>
        <w:spacing w:before="0" w:after="0"/>
      </w:pPr>
      <w:r>
        <w:continuationSeparator/>
      </w:r>
    </w:p>
  </w:footnote>
  <w:footnote w:type="continuationNotice" w:id="1">
    <w:p w14:paraId="1CDBD0B3" w14:textId="77777777" w:rsidR="00701FE0" w:rsidRDefault="00701F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79F" w14:textId="77777777" w:rsidR="00A67B12" w:rsidRPr="0030592C" w:rsidRDefault="00A67B12" w:rsidP="00A67B12">
    <w:pPr>
      <w:pStyle w:val="Header"/>
    </w:pPr>
  </w:p>
  <w:p w14:paraId="2D467890"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7A80" w14:textId="77777777"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541CB6"/>
    <w:multiLevelType w:val="hybridMultilevel"/>
    <w:tmpl w:val="43AA1B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D149CB"/>
    <w:multiLevelType w:val="hybridMultilevel"/>
    <w:tmpl w:val="5A944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0C415FF"/>
    <w:multiLevelType w:val="multilevel"/>
    <w:tmpl w:val="113457F2"/>
    <w:numStyleLink w:val="Headingsmaster"/>
  </w:abstractNum>
  <w:abstractNum w:abstractNumId="18" w15:restartNumberingAfterBreak="0">
    <w:nsid w:val="311066B6"/>
    <w:multiLevelType w:val="multilevel"/>
    <w:tmpl w:val="113457F2"/>
    <w:numStyleLink w:val="Headingsmaster"/>
  </w:abstractNum>
  <w:abstractNum w:abstractNumId="19" w15:restartNumberingAfterBreak="0">
    <w:nsid w:val="34666B61"/>
    <w:multiLevelType w:val="multilevel"/>
    <w:tmpl w:val="113457F2"/>
    <w:numStyleLink w:val="Headingsmaster"/>
  </w:abstractNum>
  <w:abstractNum w:abstractNumId="20" w15:restartNumberingAfterBreak="0">
    <w:nsid w:val="36B75813"/>
    <w:multiLevelType w:val="multilevel"/>
    <w:tmpl w:val="0D96AACA"/>
    <w:numStyleLink w:val="AppendixHeadingmaster"/>
  </w:abstractNum>
  <w:abstractNum w:abstractNumId="21" w15:restartNumberingAfterBreak="0">
    <w:nsid w:val="3C9723CF"/>
    <w:multiLevelType w:val="multilevel"/>
    <w:tmpl w:val="56043EA4"/>
    <w:numStyleLink w:val="TableListBulletmaster"/>
  </w:abstractNum>
  <w:abstractNum w:abstractNumId="22" w15:restartNumberingAfterBreak="0">
    <w:nsid w:val="3C9F68FB"/>
    <w:multiLevelType w:val="multilevel"/>
    <w:tmpl w:val="113457F2"/>
    <w:numStyleLink w:val="Headingsmaster"/>
  </w:abstractNum>
  <w:abstractNum w:abstractNumId="23" w15:restartNumberingAfterBreak="0">
    <w:nsid w:val="3D3020BB"/>
    <w:multiLevelType w:val="hybridMultilevel"/>
    <w:tmpl w:val="5D26F0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4D764C"/>
    <w:multiLevelType w:val="multilevel"/>
    <w:tmpl w:val="EAA2F742"/>
    <w:numStyleLink w:val="TableListNumbermaster"/>
  </w:abstractNum>
  <w:abstractNum w:abstractNumId="26" w15:restartNumberingAfterBreak="0">
    <w:nsid w:val="4FC56FC6"/>
    <w:multiLevelType w:val="hybridMultilevel"/>
    <w:tmpl w:val="8DA2F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910100"/>
    <w:multiLevelType w:val="multilevel"/>
    <w:tmpl w:val="113457F2"/>
    <w:numStyleLink w:val="Headingsmaster"/>
  </w:abstractNum>
  <w:abstractNum w:abstractNumId="28" w15:restartNumberingAfterBreak="0">
    <w:nsid w:val="51F55EB9"/>
    <w:multiLevelType w:val="multilevel"/>
    <w:tmpl w:val="4E5A4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32D74CC"/>
    <w:multiLevelType w:val="multilevel"/>
    <w:tmpl w:val="0D96AACA"/>
    <w:numStyleLink w:val="AppendixHeadingmaster"/>
  </w:abstractNum>
  <w:abstractNum w:abstractNumId="32"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59CA"/>
    <w:multiLevelType w:val="multilevel"/>
    <w:tmpl w:val="9F703E2E"/>
    <w:numStyleLink w:val="ListBulletmaster"/>
  </w:abstractNum>
  <w:abstractNum w:abstractNumId="34" w15:restartNumberingAfterBreak="0">
    <w:nsid w:val="6B4C12B8"/>
    <w:multiLevelType w:val="multilevel"/>
    <w:tmpl w:val="113457F2"/>
    <w:numStyleLink w:val="Headingsmaster"/>
  </w:abstractNum>
  <w:abstractNum w:abstractNumId="35" w15:restartNumberingAfterBreak="0">
    <w:nsid w:val="6C025340"/>
    <w:multiLevelType w:val="hybridMultilevel"/>
    <w:tmpl w:val="0FBE3E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C3F031A"/>
    <w:multiLevelType w:val="multilevel"/>
    <w:tmpl w:val="A1224394"/>
    <w:numStyleLink w:val="ListLegalmaster"/>
  </w:abstractNum>
  <w:abstractNum w:abstractNumId="37" w15:restartNumberingAfterBreak="0">
    <w:nsid w:val="79F8707D"/>
    <w:multiLevelType w:val="multilevel"/>
    <w:tmpl w:val="A1224394"/>
    <w:numStyleLink w:val="ListLegalmaster"/>
  </w:abstractNum>
  <w:abstractNum w:abstractNumId="38" w15:restartNumberingAfterBreak="0">
    <w:nsid w:val="7D6D1012"/>
    <w:multiLevelType w:val="multilevel"/>
    <w:tmpl w:val="EAA2F742"/>
    <w:numStyleLink w:val="TableListNumbermaster"/>
  </w:abstractNum>
  <w:abstractNum w:abstractNumId="39" w15:restartNumberingAfterBreak="0">
    <w:nsid w:val="7D881735"/>
    <w:multiLevelType w:val="multilevel"/>
    <w:tmpl w:val="113457F2"/>
    <w:numStyleLink w:val="Headingsmaster"/>
  </w:abstractNum>
  <w:num w:numId="1" w16cid:durableId="328336156">
    <w:abstractNumId w:val="3"/>
  </w:num>
  <w:num w:numId="2" w16cid:durableId="290287643">
    <w:abstractNumId w:val="8"/>
  </w:num>
  <w:num w:numId="3" w16cid:durableId="1869679674">
    <w:abstractNumId w:val="32"/>
  </w:num>
  <w:num w:numId="4" w16cid:durableId="2032871560">
    <w:abstractNumId w:val="15"/>
  </w:num>
  <w:num w:numId="5" w16cid:durableId="310910324">
    <w:abstractNumId w:val="29"/>
  </w:num>
  <w:num w:numId="6" w16cid:durableId="753476416">
    <w:abstractNumId w:val="11"/>
  </w:num>
  <w:num w:numId="7" w16cid:durableId="1790736337">
    <w:abstractNumId w:val="24"/>
  </w:num>
  <w:num w:numId="8" w16cid:durableId="1926304350">
    <w:abstractNumId w:val="5"/>
  </w:num>
  <w:num w:numId="9" w16cid:durableId="107823657">
    <w:abstractNumId w:val="13"/>
  </w:num>
  <w:num w:numId="10" w16cid:durableId="874537139">
    <w:abstractNumId w:val="33"/>
  </w:num>
  <w:num w:numId="11" w16cid:durableId="1930505832">
    <w:abstractNumId w:val="37"/>
  </w:num>
  <w:num w:numId="12" w16cid:durableId="1552837590">
    <w:abstractNumId w:val="21"/>
  </w:num>
  <w:num w:numId="13" w16cid:durableId="1136530311">
    <w:abstractNumId w:val="25"/>
  </w:num>
  <w:num w:numId="14" w16cid:durableId="2035225280">
    <w:abstractNumId w:val="4"/>
  </w:num>
  <w:num w:numId="15" w16cid:durableId="2057582421">
    <w:abstractNumId w:val="36"/>
  </w:num>
  <w:num w:numId="16" w16cid:durableId="1320232845">
    <w:abstractNumId w:val="1"/>
  </w:num>
  <w:num w:numId="17" w16cid:durableId="1249077048">
    <w:abstractNumId w:val="10"/>
  </w:num>
  <w:num w:numId="18" w16cid:durableId="734856478">
    <w:abstractNumId w:val="38"/>
  </w:num>
  <w:num w:numId="19" w16cid:durableId="963854149">
    <w:abstractNumId w:val="0"/>
  </w:num>
  <w:num w:numId="20" w16cid:durableId="1106776213">
    <w:abstractNumId w:val="26"/>
  </w:num>
  <w:num w:numId="21" w16cid:durableId="990136829">
    <w:abstractNumId w:val="23"/>
  </w:num>
  <w:num w:numId="22" w16cid:durableId="1950045772">
    <w:abstractNumId w:val="30"/>
  </w:num>
  <w:num w:numId="23" w16cid:durableId="1722048815">
    <w:abstractNumId w:val="2"/>
  </w:num>
  <w:num w:numId="24" w16cid:durableId="759377971">
    <w:abstractNumId w:val="9"/>
  </w:num>
  <w:num w:numId="25" w16cid:durableId="1858039008">
    <w:abstractNumId w:val="34"/>
  </w:num>
  <w:num w:numId="26" w16cid:durableId="1409770210">
    <w:abstractNumId w:val="31"/>
  </w:num>
  <w:num w:numId="27" w16cid:durableId="2062821214">
    <w:abstractNumId w:val="27"/>
  </w:num>
  <w:num w:numId="28" w16cid:durableId="618410884">
    <w:abstractNumId w:val="39"/>
  </w:num>
  <w:num w:numId="29" w16cid:durableId="1221482542">
    <w:abstractNumId w:val="14"/>
  </w:num>
  <w:num w:numId="30" w16cid:durableId="2087678997">
    <w:abstractNumId w:val="12"/>
  </w:num>
  <w:num w:numId="31" w16cid:durableId="1742405919">
    <w:abstractNumId w:val="20"/>
    <w:lvlOverride w:ilvl="0">
      <w:lvl w:ilvl="0">
        <w:start w:val="1"/>
        <w:numFmt w:val="upperLetter"/>
        <w:lvlText w:val="Appendix %1"/>
        <w:lvlJc w:val="left"/>
        <w:pPr>
          <w:ind w:left="2268" w:hanging="2268"/>
        </w:pPr>
      </w:lvl>
    </w:lvlOverride>
  </w:num>
  <w:num w:numId="32" w16cid:durableId="411391810">
    <w:abstractNumId w:val="22"/>
  </w:num>
  <w:num w:numId="33" w16cid:durableId="1442914095">
    <w:abstractNumId w:val="7"/>
  </w:num>
  <w:num w:numId="34" w16cid:durableId="691956747">
    <w:abstractNumId w:val="19"/>
  </w:num>
  <w:num w:numId="35" w16cid:durableId="1156337329">
    <w:abstractNumId w:val="17"/>
  </w:num>
  <w:num w:numId="36" w16cid:durableId="1349261214">
    <w:abstractNumId w:val="18"/>
  </w:num>
  <w:num w:numId="37" w16cid:durableId="10790551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2235150">
    <w:abstractNumId w:val="35"/>
  </w:num>
  <w:num w:numId="39" w16cid:durableId="808211862">
    <w:abstractNumId w:val="6"/>
  </w:num>
  <w:num w:numId="40" w16cid:durableId="77328227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465900"/>
    <w:rsid w:val="00000070"/>
    <w:rsid w:val="00000284"/>
    <w:rsid w:val="00001A2E"/>
    <w:rsid w:val="00002984"/>
    <w:rsid w:val="00003413"/>
    <w:rsid w:val="00003A6F"/>
    <w:rsid w:val="00003C06"/>
    <w:rsid w:val="00004340"/>
    <w:rsid w:val="00004409"/>
    <w:rsid w:val="0000458D"/>
    <w:rsid w:val="00004687"/>
    <w:rsid w:val="00004C88"/>
    <w:rsid w:val="0000507E"/>
    <w:rsid w:val="0000509A"/>
    <w:rsid w:val="000051A5"/>
    <w:rsid w:val="000051C7"/>
    <w:rsid w:val="00005624"/>
    <w:rsid w:val="00005EAD"/>
    <w:rsid w:val="00005ECE"/>
    <w:rsid w:val="00006178"/>
    <w:rsid w:val="000061F7"/>
    <w:rsid w:val="0000672F"/>
    <w:rsid w:val="00007096"/>
    <w:rsid w:val="00007433"/>
    <w:rsid w:val="000077E6"/>
    <w:rsid w:val="00010AFD"/>
    <w:rsid w:val="00010BC1"/>
    <w:rsid w:val="0001119B"/>
    <w:rsid w:val="00011665"/>
    <w:rsid w:val="00011B45"/>
    <w:rsid w:val="00011D0D"/>
    <w:rsid w:val="00011DBF"/>
    <w:rsid w:val="00012167"/>
    <w:rsid w:val="0001365E"/>
    <w:rsid w:val="00013D63"/>
    <w:rsid w:val="0001480F"/>
    <w:rsid w:val="00014A31"/>
    <w:rsid w:val="00014D41"/>
    <w:rsid w:val="000157D1"/>
    <w:rsid w:val="00015F91"/>
    <w:rsid w:val="00016150"/>
    <w:rsid w:val="00016256"/>
    <w:rsid w:val="0001629E"/>
    <w:rsid w:val="000166B3"/>
    <w:rsid w:val="0001725B"/>
    <w:rsid w:val="00017872"/>
    <w:rsid w:val="000179BD"/>
    <w:rsid w:val="000206DE"/>
    <w:rsid w:val="00020EF3"/>
    <w:rsid w:val="00020F7A"/>
    <w:rsid w:val="000219F6"/>
    <w:rsid w:val="00022BD3"/>
    <w:rsid w:val="00023219"/>
    <w:rsid w:val="00023B38"/>
    <w:rsid w:val="000242C6"/>
    <w:rsid w:val="0002437F"/>
    <w:rsid w:val="000246A1"/>
    <w:rsid w:val="0002472F"/>
    <w:rsid w:val="00024B30"/>
    <w:rsid w:val="00024F46"/>
    <w:rsid w:val="000254A3"/>
    <w:rsid w:val="00025EFA"/>
    <w:rsid w:val="000268BB"/>
    <w:rsid w:val="0002694A"/>
    <w:rsid w:val="000269C2"/>
    <w:rsid w:val="00027198"/>
    <w:rsid w:val="0002738A"/>
    <w:rsid w:val="00027709"/>
    <w:rsid w:val="00030064"/>
    <w:rsid w:val="00030CD6"/>
    <w:rsid w:val="00031B58"/>
    <w:rsid w:val="00031E04"/>
    <w:rsid w:val="00032B95"/>
    <w:rsid w:val="00033342"/>
    <w:rsid w:val="0003345E"/>
    <w:rsid w:val="000334AE"/>
    <w:rsid w:val="000336CF"/>
    <w:rsid w:val="00033B2A"/>
    <w:rsid w:val="000341BA"/>
    <w:rsid w:val="000342A0"/>
    <w:rsid w:val="000344F9"/>
    <w:rsid w:val="00034E71"/>
    <w:rsid w:val="0003528A"/>
    <w:rsid w:val="000362A7"/>
    <w:rsid w:val="00037101"/>
    <w:rsid w:val="000372F9"/>
    <w:rsid w:val="000374DA"/>
    <w:rsid w:val="000374F5"/>
    <w:rsid w:val="000379B6"/>
    <w:rsid w:val="00037F22"/>
    <w:rsid w:val="000401AE"/>
    <w:rsid w:val="000411DA"/>
    <w:rsid w:val="00041691"/>
    <w:rsid w:val="000419F4"/>
    <w:rsid w:val="00041B44"/>
    <w:rsid w:val="0004220A"/>
    <w:rsid w:val="00042544"/>
    <w:rsid w:val="00042DC2"/>
    <w:rsid w:val="00043970"/>
    <w:rsid w:val="0004497B"/>
    <w:rsid w:val="00044C39"/>
    <w:rsid w:val="0004523D"/>
    <w:rsid w:val="00045347"/>
    <w:rsid w:val="00046547"/>
    <w:rsid w:val="0004686D"/>
    <w:rsid w:val="00046F76"/>
    <w:rsid w:val="00047302"/>
    <w:rsid w:val="00047B63"/>
    <w:rsid w:val="00050BC6"/>
    <w:rsid w:val="000512DD"/>
    <w:rsid w:val="0005156C"/>
    <w:rsid w:val="00051941"/>
    <w:rsid w:val="0005385A"/>
    <w:rsid w:val="00054C80"/>
    <w:rsid w:val="00054F8B"/>
    <w:rsid w:val="000552B0"/>
    <w:rsid w:val="00055368"/>
    <w:rsid w:val="00055EE8"/>
    <w:rsid w:val="00056523"/>
    <w:rsid w:val="00056DAE"/>
    <w:rsid w:val="00057244"/>
    <w:rsid w:val="000573CE"/>
    <w:rsid w:val="00057B00"/>
    <w:rsid w:val="00057B92"/>
    <w:rsid w:val="0006022E"/>
    <w:rsid w:val="000603BD"/>
    <w:rsid w:val="000603E7"/>
    <w:rsid w:val="00060757"/>
    <w:rsid w:val="000609F6"/>
    <w:rsid w:val="000612E1"/>
    <w:rsid w:val="0006193A"/>
    <w:rsid w:val="00061B58"/>
    <w:rsid w:val="00061D64"/>
    <w:rsid w:val="00061F08"/>
    <w:rsid w:val="00062329"/>
    <w:rsid w:val="00062551"/>
    <w:rsid w:val="00062854"/>
    <w:rsid w:val="00063B52"/>
    <w:rsid w:val="00063C86"/>
    <w:rsid w:val="00063C95"/>
    <w:rsid w:val="00063CD8"/>
    <w:rsid w:val="00063DEF"/>
    <w:rsid w:val="00063ECD"/>
    <w:rsid w:val="00065111"/>
    <w:rsid w:val="000656B3"/>
    <w:rsid w:val="00066617"/>
    <w:rsid w:val="00066833"/>
    <w:rsid w:val="00066B58"/>
    <w:rsid w:val="0006705F"/>
    <w:rsid w:val="00067629"/>
    <w:rsid w:val="00067A54"/>
    <w:rsid w:val="00067A77"/>
    <w:rsid w:val="00067BD4"/>
    <w:rsid w:val="00070C40"/>
    <w:rsid w:val="00070FE5"/>
    <w:rsid w:val="00071B22"/>
    <w:rsid w:val="00071CB8"/>
    <w:rsid w:val="00071FA9"/>
    <w:rsid w:val="00072547"/>
    <w:rsid w:val="00072BCD"/>
    <w:rsid w:val="00072FDB"/>
    <w:rsid w:val="00073167"/>
    <w:rsid w:val="000734D6"/>
    <w:rsid w:val="00074699"/>
    <w:rsid w:val="00074705"/>
    <w:rsid w:val="00074775"/>
    <w:rsid w:val="00074AAE"/>
    <w:rsid w:val="00075662"/>
    <w:rsid w:val="0007581E"/>
    <w:rsid w:val="000758B0"/>
    <w:rsid w:val="00075A5F"/>
    <w:rsid w:val="00075DDF"/>
    <w:rsid w:val="00076498"/>
    <w:rsid w:val="00076B73"/>
    <w:rsid w:val="00076FD3"/>
    <w:rsid w:val="000803B6"/>
    <w:rsid w:val="0008061E"/>
    <w:rsid w:val="000807B8"/>
    <w:rsid w:val="0008089F"/>
    <w:rsid w:val="00080E43"/>
    <w:rsid w:val="00080EC9"/>
    <w:rsid w:val="00080EE1"/>
    <w:rsid w:val="00081779"/>
    <w:rsid w:val="0008202E"/>
    <w:rsid w:val="000827E6"/>
    <w:rsid w:val="000828E6"/>
    <w:rsid w:val="000835FC"/>
    <w:rsid w:val="00083E38"/>
    <w:rsid w:val="00085149"/>
    <w:rsid w:val="00085189"/>
    <w:rsid w:val="00085446"/>
    <w:rsid w:val="00086056"/>
    <w:rsid w:val="00086297"/>
    <w:rsid w:val="000865BA"/>
    <w:rsid w:val="000865F5"/>
    <w:rsid w:val="000872F0"/>
    <w:rsid w:val="00087589"/>
    <w:rsid w:val="00087805"/>
    <w:rsid w:val="000879D6"/>
    <w:rsid w:val="00087A0F"/>
    <w:rsid w:val="00087D85"/>
    <w:rsid w:val="000918BA"/>
    <w:rsid w:val="00092745"/>
    <w:rsid w:val="00093021"/>
    <w:rsid w:val="00093963"/>
    <w:rsid w:val="00093995"/>
    <w:rsid w:val="00093B08"/>
    <w:rsid w:val="00093D6C"/>
    <w:rsid w:val="000942E4"/>
    <w:rsid w:val="00094777"/>
    <w:rsid w:val="0009487F"/>
    <w:rsid w:val="00094CDE"/>
    <w:rsid w:val="00094D18"/>
    <w:rsid w:val="00094E6B"/>
    <w:rsid w:val="00095547"/>
    <w:rsid w:val="00095A30"/>
    <w:rsid w:val="00095FD9"/>
    <w:rsid w:val="0009644B"/>
    <w:rsid w:val="0009675E"/>
    <w:rsid w:val="00096AF3"/>
    <w:rsid w:val="00096DFC"/>
    <w:rsid w:val="000970EB"/>
    <w:rsid w:val="00097D69"/>
    <w:rsid w:val="000A0850"/>
    <w:rsid w:val="000A0BA3"/>
    <w:rsid w:val="000A17F4"/>
    <w:rsid w:val="000A17FE"/>
    <w:rsid w:val="000A22AA"/>
    <w:rsid w:val="000A22FA"/>
    <w:rsid w:val="000A2B10"/>
    <w:rsid w:val="000A3438"/>
    <w:rsid w:val="000A35EA"/>
    <w:rsid w:val="000A383A"/>
    <w:rsid w:val="000A46CD"/>
    <w:rsid w:val="000A4B92"/>
    <w:rsid w:val="000A4BB1"/>
    <w:rsid w:val="000A4D2F"/>
    <w:rsid w:val="000A4E0D"/>
    <w:rsid w:val="000A53F7"/>
    <w:rsid w:val="000A59EA"/>
    <w:rsid w:val="000A65E5"/>
    <w:rsid w:val="000A7149"/>
    <w:rsid w:val="000A73F4"/>
    <w:rsid w:val="000A77B4"/>
    <w:rsid w:val="000A7C41"/>
    <w:rsid w:val="000A7DFC"/>
    <w:rsid w:val="000A7E75"/>
    <w:rsid w:val="000B07D1"/>
    <w:rsid w:val="000B0A6F"/>
    <w:rsid w:val="000B1C1C"/>
    <w:rsid w:val="000B1FC3"/>
    <w:rsid w:val="000B2683"/>
    <w:rsid w:val="000B296C"/>
    <w:rsid w:val="000B316E"/>
    <w:rsid w:val="000B3491"/>
    <w:rsid w:val="000B379D"/>
    <w:rsid w:val="000B3BA5"/>
    <w:rsid w:val="000B3F44"/>
    <w:rsid w:val="000B462E"/>
    <w:rsid w:val="000B4AFA"/>
    <w:rsid w:val="000B5016"/>
    <w:rsid w:val="000B51A4"/>
    <w:rsid w:val="000B56AB"/>
    <w:rsid w:val="000B5849"/>
    <w:rsid w:val="000B6C95"/>
    <w:rsid w:val="000B728F"/>
    <w:rsid w:val="000B7E5E"/>
    <w:rsid w:val="000C005F"/>
    <w:rsid w:val="000C060F"/>
    <w:rsid w:val="000C0745"/>
    <w:rsid w:val="000C0DF4"/>
    <w:rsid w:val="000C1FE7"/>
    <w:rsid w:val="000C24CA"/>
    <w:rsid w:val="000C2C3C"/>
    <w:rsid w:val="000C3837"/>
    <w:rsid w:val="000C3E1F"/>
    <w:rsid w:val="000C4380"/>
    <w:rsid w:val="000C43FF"/>
    <w:rsid w:val="000C451C"/>
    <w:rsid w:val="000C4926"/>
    <w:rsid w:val="000C4DB2"/>
    <w:rsid w:val="000C5713"/>
    <w:rsid w:val="000C593E"/>
    <w:rsid w:val="000C5BD9"/>
    <w:rsid w:val="000C629D"/>
    <w:rsid w:val="000C62D9"/>
    <w:rsid w:val="000C672D"/>
    <w:rsid w:val="000C71B5"/>
    <w:rsid w:val="000C78B7"/>
    <w:rsid w:val="000C7C95"/>
    <w:rsid w:val="000D02FA"/>
    <w:rsid w:val="000D053F"/>
    <w:rsid w:val="000D066D"/>
    <w:rsid w:val="000D16CE"/>
    <w:rsid w:val="000D1B4A"/>
    <w:rsid w:val="000D1CCB"/>
    <w:rsid w:val="000D23BB"/>
    <w:rsid w:val="000D2574"/>
    <w:rsid w:val="000D25A9"/>
    <w:rsid w:val="000D29A6"/>
    <w:rsid w:val="000D3119"/>
    <w:rsid w:val="000D3197"/>
    <w:rsid w:val="000D383B"/>
    <w:rsid w:val="000D39E1"/>
    <w:rsid w:val="000D39F2"/>
    <w:rsid w:val="000D3B4E"/>
    <w:rsid w:val="000D40B7"/>
    <w:rsid w:val="000D4711"/>
    <w:rsid w:val="000D481C"/>
    <w:rsid w:val="000D5B1A"/>
    <w:rsid w:val="000D63BF"/>
    <w:rsid w:val="000D6871"/>
    <w:rsid w:val="000D6E5B"/>
    <w:rsid w:val="000D765D"/>
    <w:rsid w:val="000D7B62"/>
    <w:rsid w:val="000D7D16"/>
    <w:rsid w:val="000E01F0"/>
    <w:rsid w:val="000E042A"/>
    <w:rsid w:val="000E0D3A"/>
    <w:rsid w:val="000E0EEB"/>
    <w:rsid w:val="000E1050"/>
    <w:rsid w:val="000E2017"/>
    <w:rsid w:val="000E2261"/>
    <w:rsid w:val="000E24BA"/>
    <w:rsid w:val="000E2CAB"/>
    <w:rsid w:val="000E310A"/>
    <w:rsid w:val="000E3898"/>
    <w:rsid w:val="000E3FAF"/>
    <w:rsid w:val="000E42E8"/>
    <w:rsid w:val="000E6EA8"/>
    <w:rsid w:val="000E6F32"/>
    <w:rsid w:val="000E6FA0"/>
    <w:rsid w:val="000E7CF7"/>
    <w:rsid w:val="000F0931"/>
    <w:rsid w:val="000F0F9E"/>
    <w:rsid w:val="000F10D6"/>
    <w:rsid w:val="000F1629"/>
    <w:rsid w:val="000F1674"/>
    <w:rsid w:val="000F18B9"/>
    <w:rsid w:val="000F1B06"/>
    <w:rsid w:val="000F219F"/>
    <w:rsid w:val="000F2746"/>
    <w:rsid w:val="000F2785"/>
    <w:rsid w:val="000F289B"/>
    <w:rsid w:val="000F2C29"/>
    <w:rsid w:val="000F3016"/>
    <w:rsid w:val="000F33D2"/>
    <w:rsid w:val="000F362A"/>
    <w:rsid w:val="000F3CE2"/>
    <w:rsid w:val="000F3DB1"/>
    <w:rsid w:val="000F3E78"/>
    <w:rsid w:val="000F48AC"/>
    <w:rsid w:val="000F48EC"/>
    <w:rsid w:val="000F4F36"/>
    <w:rsid w:val="000F512C"/>
    <w:rsid w:val="000F519C"/>
    <w:rsid w:val="000F5B05"/>
    <w:rsid w:val="000F5BFC"/>
    <w:rsid w:val="000F5CD2"/>
    <w:rsid w:val="000F6986"/>
    <w:rsid w:val="000F6DBE"/>
    <w:rsid w:val="000F723D"/>
    <w:rsid w:val="000F74DF"/>
    <w:rsid w:val="000F7625"/>
    <w:rsid w:val="001004D8"/>
    <w:rsid w:val="00101223"/>
    <w:rsid w:val="001012CF"/>
    <w:rsid w:val="001033C4"/>
    <w:rsid w:val="0010390F"/>
    <w:rsid w:val="00103C3E"/>
    <w:rsid w:val="00103E37"/>
    <w:rsid w:val="00104436"/>
    <w:rsid w:val="00104750"/>
    <w:rsid w:val="00104883"/>
    <w:rsid w:val="0010502D"/>
    <w:rsid w:val="001057A3"/>
    <w:rsid w:val="001062D9"/>
    <w:rsid w:val="00106E26"/>
    <w:rsid w:val="001077E8"/>
    <w:rsid w:val="00107D67"/>
    <w:rsid w:val="00107E3C"/>
    <w:rsid w:val="00107F29"/>
    <w:rsid w:val="00107FC4"/>
    <w:rsid w:val="0011099D"/>
    <w:rsid w:val="00110B00"/>
    <w:rsid w:val="00110B15"/>
    <w:rsid w:val="00110D11"/>
    <w:rsid w:val="00112D14"/>
    <w:rsid w:val="001133FB"/>
    <w:rsid w:val="001134AC"/>
    <w:rsid w:val="001137D6"/>
    <w:rsid w:val="00114589"/>
    <w:rsid w:val="00114C68"/>
    <w:rsid w:val="00114E52"/>
    <w:rsid w:val="00115506"/>
    <w:rsid w:val="001156AC"/>
    <w:rsid w:val="001157DD"/>
    <w:rsid w:val="00115AFA"/>
    <w:rsid w:val="00115C89"/>
    <w:rsid w:val="00115E35"/>
    <w:rsid w:val="001167F6"/>
    <w:rsid w:val="00116CE3"/>
    <w:rsid w:val="00116FD3"/>
    <w:rsid w:val="001171DA"/>
    <w:rsid w:val="00117415"/>
    <w:rsid w:val="0012072F"/>
    <w:rsid w:val="0012073B"/>
    <w:rsid w:val="00120F65"/>
    <w:rsid w:val="00121950"/>
    <w:rsid w:val="00121A23"/>
    <w:rsid w:val="00121C7B"/>
    <w:rsid w:val="00122188"/>
    <w:rsid w:val="00122CC5"/>
    <w:rsid w:val="00123B3B"/>
    <w:rsid w:val="001243A3"/>
    <w:rsid w:val="0012502F"/>
    <w:rsid w:val="00125531"/>
    <w:rsid w:val="001260BD"/>
    <w:rsid w:val="001261E0"/>
    <w:rsid w:val="00126244"/>
    <w:rsid w:val="0012645C"/>
    <w:rsid w:val="00126E02"/>
    <w:rsid w:val="001270F4"/>
    <w:rsid w:val="00127367"/>
    <w:rsid w:val="0012787B"/>
    <w:rsid w:val="00127B10"/>
    <w:rsid w:val="00127C91"/>
    <w:rsid w:val="00127F9F"/>
    <w:rsid w:val="00127FB5"/>
    <w:rsid w:val="001306FC"/>
    <w:rsid w:val="00130870"/>
    <w:rsid w:val="00131129"/>
    <w:rsid w:val="001313F6"/>
    <w:rsid w:val="00131C8E"/>
    <w:rsid w:val="001322FF"/>
    <w:rsid w:val="00132F87"/>
    <w:rsid w:val="001332F4"/>
    <w:rsid w:val="001336B4"/>
    <w:rsid w:val="00133DE3"/>
    <w:rsid w:val="001346A4"/>
    <w:rsid w:val="001346AE"/>
    <w:rsid w:val="0013494F"/>
    <w:rsid w:val="00134A4D"/>
    <w:rsid w:val="00134B0B"/>
    <w:rsid w:val="001353C9"/>
    <w:rsid w:val="0013556F"/>
    <w:rsid w:val="0013660D"/>
    <w:rsid w:val="001368D3"/>
    <w:rsid w:val="0013699B"/>
    <w:rsid w:val="00136AB7"/>
    <w:rsid w:val="001371C0"/>
    <w:rsid w:val="00137308"/>
    <w:rsid w:val="001374F1"/>
    <w:rsid w:val="00137E20"/>
    <w:rsid w:val="00137E55"/>
    <w:rsid w:val="001404EE"/>
    <w:rsid w:val="00140BD2"/>
    <w:rsid w:val="00140C1D"/>
    <w:rsid w:val="00140DF6"/>
    <w:rsid w:val="00141394"/>
    <w:rsid w:val="00142F60"/>
    <w:rsid w:val="00142FDA"/>
    <w:rsid w:val="001430B0"/>
    <w:rsid w:val="00143512"/>
    <w:rsid w:val="001444B2"/>
    <w:rsid w:val="00144AC7"/>
    <w:rsid w:val="00144B56"/>
    <w:rsid w:val="00145108"/>
    <w:rsid w:val="001464DA"/>
    <w:rsid w:val="00146592"/>
    <w:rsid w:val="001472AE"/>
    <w:rsid w:val="00147CA3"/>
    <w:rsid w:val="00150039"/>
    <w:rsid w:val="00150630"/>
    <w:rsid w:val="00151363"/>
    <w:rsid w:val="001514E3"/>
    <w:rsid w:val="00151AB8"/>
    <w:rsid w:val="00151DBB"/>
    <w:rsid w:val="00151FA9"/>
    <w:rsid w:val="00152505"/>
    <w:rsid w:val="0015289E"/>
    <w:rsid w:val="00152943"/>
    <w:rsid w:val="001543A4"/>
    <w:rsid w:val="00154DED"/>
    <w:rsid w:val="001550F8"/>
    <w:rsid w:val="00155510"/>
    <w:rsid w:val="00156E6F"/>
    <w:rsid w:val="001571E0"/>
    <w:rsid w:val="00157538"/>
    <w:rsid w:val="00157796"/>
    <w:rsid w:val="00157BD3"/>
    <w:rsid w:val="00160132"/>
    <w:rsid w:val="001604D3"/>
    <w:rsid w:val="00160849"/>
    <w:rsid w:val="00160AFA"/>
    <w:rsid w:val="00160BB8"/>
    <w:rsid w:val="00160D3F"/>
    <w:rsid w:val="0016207D"/>
    <w:rsid w:val="00162ADF"/>
    <w:rsid w:val="00162AEB"/>
    <w:rsid w:val="00163087"/>
    <w:rsid w:val="00163468"/>
    <w:rsid w:val="001635F1"/>
    <w:rsid w:val="00163CC8"/>
    <w:rsid w:val="001644EC"/>
    <w:rsid w:val="001646B9"/>
    <w:rsid w:val="001646CD"/>
    <w:rsid w:val="001657DE"/>
    <w:rsid w:val="00165B95"/>
    <w:rsid w:val="001661D8"/>
    <w:rsid w:val="00166DC3"/>
    <w:rsid w:val="00167A5B"/>
    <w:rsid w:val="0017010C"/>
    <w:rsid w:val="00170A89"/>
    <w:rsid w:val="00171FF4"/>
    <w:rsid w:val="00172538"/>
    <w:rsid w:val="0017315F"/>
    <w:rsid w:val="0017349C"/>
    <w:rsid w:val="00173BC2"/>
    <w:rsid w:val="00173D41"/>
    <w:rsid w:val="0017481C"/>
    <w:rsid w:val="00174A93"/>
    <w:rsid w:val="001752D5"/>
    <w:rsid w:val="001754E9"/>
    <w:rsid w:val="001758B4"/>
    <w:rsid w:val="00175E35"/>
    <w:rsid w:val="0017654F"/>
    <w:rsid w:val="001766B0"/>
    <w:rsid w:val="00176D50"/>
    <w:rsid w:val="0017746E"/>
    <w:rsid w:val="00180236"/>
    <w:rsid w:val="00180909"/>
    <w:rsid w:val="00180A6B"/>
    <w:rsid w:val="00181032"/>
    <w:rsid w:val="0018116A"/>
    <w:rsid w:val="00181537"/>
    <w:rsid w:val="001820CB"/>
    <w:rsid w:val="00183054"/>
    <w:rsid w:val="001831EC"/>
    <w:rsid w:val="001840A1"/>
    <w:rsid w:val="00184ED2"/>
    <w:rsid w:val="0018523C"/>
    <w:rsid w:val="0018551B"/>
    <w:rsid w:val="0018598B"/>
    <w:rsid w:val="00186429"/>
    <w:rsid w:val="0018678B"/>
    <w:rsid w:val="001873F9"/>
    <w:rsid w:val="00187844"/>
    <w:rsid w:val="00187BDA"/>
    <w:rsid w:val="00187C6F"/>
    <w:rsid w:val="00187E9B"/>
    <w:rsid w:val="00191B31"/>
    <w:rsid w:val="00192347"/>
    <w:rsid w:val="001926B4"/>
    <w:rsid w:val="00192E1E"/>
    <w:rsid w:val="00192FD7"/>
    <w:rsid w:val="00194707"/>
    <w:rsid w:val="00195FCB"/>
    <w:rsid w:val="00196728"/>
    <w:rsid w:val="00197747"/>
    <w:rsid w:val="001978F7"/>
    <w:rsid w:val="001A0534"/>
    <w:rsid w:val="001A09ED"/>
    <w:rsid w:val="001A0AAE"/>
    <w:rsid w:val="001A0D55"/>
    <w:rsid w:val="001A0E92"/>
    <w:rsid w:val="001A1206"/>
    <w:rsid w:val="001A1709"/>
    <w:rsid w:val="001A1BC8"/>
    <w:rsid w:val="001A1F8D"/>
    <w:rsid w:val="001A1FEA"/>
    <w:rsid w:val="001A299A"/>
    <w:rsid w:val="001A2D69"/>
    <w:rsid w:val="001A32B5"/>
    <w:rsid w:val="001A3B2F"/>
    <w:rsid w:val="001A537B"/>
    <w:rsid w:val="001A7119"/>
    <w:rsid w:val="001A7C56"/>
    <w:rsid w:val="001A7E36"/>
    <w:rsid w:val="001B0A75"/>
    <w:rsid w:val="001B1304"/>
    <w:rsid w:val="001B1317"/>
    <w:rsid w:val="001B1771"/>
    <w:rsid w:val="001B1B9B"/>
    <w:rsid w:val="001B1D60"/>
    <w:rsid w:val="001B2527"/>
    <w:rsid w:val="001B2D17"/>
    <w:rsid w:val="001B3059"/>
    <w:rsid w:val="001B32E7"/>
    <w:rsid w:val="001B3DF4"/>
    <w:rsid w:val="001B4999"/>
    <w:rsid w:val="001B57AE"/>
    <w:rsid w:val="001B5EBF"/>
    <w:rsid w:val="001B63E5"/>
    <w:rsid w:val="001B68FF"/>
    <w:rsid w:val="001B6A1A"/>
    <w:rsid w:val="001B74C2"/>
    <w:rsid w:val="001B75A0"/>
    <w:rsid w:val="001B781A"/>
    <w:rsid w:val="001C00D4"/>
    <w:rsid w:val="001C04E9"/>
    <w:rsid w:val="001C0751"/>
    <w:rsid w:val="001C095A"/>
    <w:rsid w:val="001C1AAB"/>
    <w:rsid w:val="001C1CF7"/>
    <w:rsid w:val="001C26BF"/>
    <w:rsid w:val="001C3371"/>
    <w:rsid w:val="001C3BEF"/>
    <w:rsid w:val="001C4183"/>
    <w:rsid w:val="001C42E9"/>
    <w:rsid w:val="001C4A00"/>
    <w:rsid w:val="001C5284"/>
    <w:rsid w:val="001C52BC"/>
    <w:rsid w:val="001C5449"/>
    <w:rsid w:val="001C550F"/>
    <w:rsid w:val="001C570B"/>
    <w:rsid w:val="001C57AD"/>
    <w:rsid w:val="001C5B6F"/>
    <w:rsid w:val="001C5E38"/>
    <w:rsid w:val="001C6198"/>
    <w:rsid w:val="001C6573"/>
    <w:rsid w:val="001C6A5E"/>
    <w:rsid w:val="001C6ACA"/>
    <w:rsid w:val="001C6FC2"/>
    <w:rsid w:val="001C755F"/>
    <w:rsid w:val="001C7F2C"/>
    <w:rsid w:val="001D06A7"/>
    <w:rsid w:val="001D0D0F"/>
    <w:rsid w:val="001D12C3"/>
    <w:rsid w:val="001D132D"/>
    <w:rsid w:val="001D1E20"/>
    <w:rsid w:val="001D21F3"/>
    <w:rsid w:val="001D27C7"/>
    <w:rsid w:val="001D281B"/>
    <w:rsid w:val="001D2A50"/>
    <w:rsid w:val="001D2EFB"/>
    <w:rsid w:val="001D2F63"/>
    <w:rsid w:val="001D40BD"/>
    <w:rsid w:val="001D450D"/>
    <w:rsid w:val="001D4721"/>
    <w:rsid w:val="001D48BE"/>
    <w:rsid w:val="001D519D"/>
    <w:rsid w:val="001D5FB4"/>
    <w:rsid w:val="001D63DE"/>
    <w:rsid w:val="001D665C"/>
    <w:rsid w:val="001D6CFB"/>
    <w:rsid w:val="001E064E"/>
    <w:rsid w:val="001E09E2"/>
    <w:rsid w:val="001E2355"/>
    <w:rsid w:val="001E236F"/>
    <w:rsid w:val="001E2DC6"/>
    <w:rsid w:val="001E3535"/>
    <w:rsid w:val="001E3B3B"/>
    <w:rsid w:val="001E52CE"/>
    <w:rsid w:val="001E59E3"/>
    <w:rsid w:val="001E5F69"/>
    <w:rsid w:val="001E6449"/>
    <w:rsid w:val="001E6884"/>
    <w:rsid w:val="001E7D76"/>
    <w:rsid w:val="001E7F13"/>
    <w:rsid w:val="001F00AA"/>
    <w:rsid w:val="001F126E"/>
    <w:rsid w:val="001F1880"/>
    <w:rsid w:val="001F2D31"/>
    <w:rsid w:val="001F2EFE"/>
    <w:rsid w:val="001F40B9"/>
    <w:rsid w:val="001F424E"/>
    <w:rsid w:val="001F45D2"/>
    <w:rsid w:val="001F4605"/>
    <w:rsid w:val="001F4AE1"/>
    <w:rsid w:val="001F51AE"/>
    <w:rsid w:val="001F5EDA"/>
    <w:rsid w:val="001F5FF3"/>
    <w:rsid w:val="001F5FF4"/>
    <w:rsid w:val="001F60C9"/>
    <w:rsid w:val="001F6ACD"/>
    <w:rsid w:val="001F6EC2"/>
    <w:rsid w:val="001F7051"/>
    <w:rsid w:val="001F74FE"/>
    <w:rsid w:val="001F78ED"/>
    <w:rsid w:val="001F7B8A"/>
    <w:rsid w:val="00200ABE"/>
    <w:rsid w:val="00200D08"/>
    <w:rsid w:val="00200DC9"/>
    <w:rsid w:val="00200E7E"/>
    <w:rsid w:val="002011E3"/>
    <w:rsid w:val="00201209"/>
    <w:rsid w:val="0020139C"/>
    <w:rsid w:val="002013F2"/>
    <w:rsid w:val="0020246C"/>
    <w:rsid w:val="00202B24"/>
    <w:rsid w:val="00202B50"/>
    <w:rsid w:val="00202DE9"/>
    <w:rsid w:val="00202F53"/>
    <w:rsid w:val="00202F90"/>
    <w:rsid w:val="00203867"/>
    <w:rsid w:val="0020395B"/>
    <w:rsid w:val="00203A15"/>
    <w:rsid w:val="00203BC1"/>
    <w:rsid w:val="00203FDB"/>
    <w:rsid w:val="0020407A"/>
    <w:rsid w:val="00204460"/>
    <w:rsid w:val="00204FC8"/>
    <w:rsid w:val="0020512C"/>
    <w:rsid w:val="0020568D"/>
    <w:rsid w:val="00206093"/>
    <w:rsid w:val="002065F0"/>
    <w:rsid w:val="00206CCB"/>
    <w:rsid w:val="0020766D"/>
    <w:rsid w:val="00207CE9"/>
    <w:rsid w:val="00210502"/>
    <w:rsid w:val="0021114B"/>
    <w:rsid w:val="00211AE3"/>
    <w:rsid w:val="00212174"/>
    <w:rsid w:val="00212647"/>
    <w:rsid w:val="00212D33"/>
    <w:rsid w:val="002133D3"/>
    <w:rsid w:val="00213754"/>
    <w:rsid w:val="002139E1"/>
    <w:rsid w:val="002148F8"/>
    <w:rsid w:val="00214C53"/>
    <w:rsid w:val="0021549A"/>
    <w:rsid w:val="00215502"/>
    <w:rsid w:val="002162D7"/>
    <w:rsid w:val="00216751"/>
    <w:rsid w:val="00216787"/>
    <w:rsid w:val="00216A4C"/>
    <w:rsid w:val="00216D1A"/>
    <w:rsid w:val="002171DE"/>
    <w:rsid w:val="00217635"/>
    <w:rsid w:val="00221A3C"/>
    <w:rsid w:val="002221F5"/>
    <w:rsid w:val="002228F7"/>
    <w:rsid w:val="0022298B"/>
    <w:rsid w:val="00223330"/>
    <w:rsid w:val="00223A4C"/>
    <w:rsid w:val="00223B73"/>
    <w:rsid w:val="0022467A"/>
    <w:rsid w:val="00224B37"/>
    <w:rsid w:val="00224E8C"/>
    <w:rsid w:val="002262A0"/>
    <w:rsid w:val="00226730"/>
    <w:rsid w:val="00226827"/>
    <w:rsid w:val="0022734A"/>
    <w:rsid w:val="002279BB"/>
    <w:rsid w:val="002279C9"/>
    <w:rsid w:val="00227D16"/>
    <w:rsid w:val="002302D1"/>
    <w:rsid w:val="002304B8"/>
    <w:rsid w:val="00230918"/>
    <w:rsid w:val="0023097C"/>
    <w:rsid w:val="00230C0F"/>
    <w:rsid w:val="002311A4"/>
    <w:rsid w:val="0023135B"/>
    <w:rsid w:val="00231C9E"/>
    <w:rsid w:val="002326F4"/>
    <w:rsid w:val="00232DA2"/>
    <w:rsid w:val="00233318"/>
    <w:rsid w:val="00233323"/>
    <w:rsid w:val="00233558"/>
    <w:rsid w:val="002335F9"/>
    <w:rsid w:val="00233AD7"/>
    <w:rsid w:val="0023404C"/>
    <w:rsid w:val="00234660"/>
    <w:rsid w:val="00234B2E"/>
    <w:rsid w:val="00234EFC"/>
    <w:rsid w:val="00235B23"/>
    <w:rsid w:val="002360D0"/>
    <w:rsid w:val="0023657A"/>
    <w:rsid w:val="0023754A"/>
    <w:rsid w:val="0024020E"/>
    <w:rsid w:val="002406A3"/>
    <w:rsid w:val="00240AAD"/>
    <w:rsid w:val="00240C3B"/>
    <w:rsid w:val="00241524"/>
    <w:rsid w:val="00241AB2"/>
    <w:rsid w:val="002430BA"/>
    <w:rsid w:val="00243F37"/>
    <w:rsid w:val="0024479E"/>
    <w:rsid w:val="00244BCA"/>
    <w:rsid w:val="00244C41"/>
    <w:rsid w:val="00244D4F"/>
    <w:rsid w:val="0024528C"/>
    <w:rsid w:val="00245A23"/>
    <w:rsid w:val="00246393"/>
    <w:rsid w:val="00246E45"/>
    <w:rsid w:val="0024747E"/>
    <w:rsid w:val="002475EF"/>
    <w:rsid w:val="002478DA"/>
    <w:rsid w:val="00247B20"/>
    <w:rsid w:val="002509F4"/>
    <w:rsid w:val="00250AD8"/>
    <w:rsid w:val="00251282"/>
    <w:rsid w:val="0025144D"/>
    <w:rsid w:val="0025155F"/>
    <w:rsid w:val="00251FEE"/>
    <w:rsid w:val="00252345"/>
    <w:rsid w:val="00252464"/>
    <w:rsid w:val="00252858"/>
    <w:rsid w:val="00252CEA"/>
    <w:rsid w:val="00253077"/>
    <w:rsid w:val="00253394"/>
    <w:rsid w:val="00253424"/>
    <w:rsid w:val="002534AC"/>
    <w:rsid w:val="00253686"/>
    <w:rsid w:val="00254029"/>
    <w:rsid w:val="00254126"/>
    <w:rsid w:val="00254238"/>
    <w:rsid w:val="00254635"/>
    <w:rsid w:val="00254EFF"/>
    <w:rsid w:val="002550F4"/>
    <w:rsid w:val="002554C5"/>
    <w:rsid w:val="00255A15"/>
    <w:rsid w:val="00255C68"/>
    <w:rsid w:val="0025631D"/>
    <w:rsid w:val="0025639D"/>
    <w:rsid w:val="00256DA1"/>
    <w:rsid w:val="00257881"/>
    <w:rsid w:val="002578E7"/>
    <w:rsid w:val="00257AAD"/>
    <w:rsid w:val="00257FB3"/>
    <w:rsid w:val="00260A7A"/>
    <w:rsid w:val="0026193F"/>
    <w:rsid w:val="002620F2"/>
    <w:rsid w:val="002624D4"/>
    <w:rsid w:val="00263035"/>
    <w:rsid w:val="00264252"/>
    <w:rsid w:val="00264819"/>
    <w:rsid w:val="00265CA3"/>
    <w:rsid w:val="00266000"/>
    <w:rsid w:val="0026709F"/>
    <w:rsid w:val="00267572"/>
    <w:rsid w:val="00267A2C"/>
    <w:rsid w:val="00267A8B"/>
    <w:rsid w:val="00267FDE"/>
    <w:rsid w:val="0027019C"/>
    <w:rsid w:val="002709CE"/>
    <w:rsid w:val="002717CA"/>
    <w:rsid w:val="00271E15"/>
    <w:rsid w:val="00272811"/>
    <w:rsid w:val="002731B8"/>
    <w:rsid w:val="0027325F"/>
    <w:rsid w:val="002736B5"/>
    <w:rsid w:val="002739A1"/>
    <w:rsid w:val="002742C4"/>
    <w:rsid w:val="002744F4"/>
    <w:rsid w:val="00274685"/>
    <w:rsid w:val="00274711"/>
    <w:rsid w:val="00274D66"/>
    <w:rsid w:val="0027547F"/>
    <w:rsid w:val="002757C9"/>
    <w:rsid w:val="00275857"/>
    <w:rsid w:val="00275AC1"/>
    <w:rsid w:val="00275C24"/>
    <w:rsid w:val="00276706"/>
    <w:rsid w:val="00276A7F"/>
    <w:rsid w:val="00276DCD"/>
    <w:rsid w:val="00277B35"/>
    <w:rsid w:val="00277B9E"/>
    <w:rsid w:val="00277EE4"/>
    <w:rsid w:val="0028012B"/>
    <w:rsid w:val="00280A6C"/>
    <w:rsid w:val="00281136"/>
    <w:rsid w:val="002813E7"/>
    <w:rsid w:val="00281D65"/>
    <w:rsid w:val="002824D7"/>
    <w:rsid w:val="00283208"/>
    <w:rsid w:val="00283884"/>
    <w:rsid w:val="0028423F"/>
    <w:rsid w:val="0028539D"/>
    <w:rsid w:val="00285B0F"/>
    <w:rsid w:val="00285B7C"/>
    <w:rsid w:val="00285FBF"/>
    <w:rsid w:val="00286C44"/>
    <w:rsid w:val="00286E1C"/>
    <w:rsid w:val="00286EA4"/>
    <w:rsid w:val="00287DB5"/>
    <w:rsid w:val="00287E3E"/>
    <w:rsid w:val="0029120E"/>
    <w:rsid w:val="0029121E"/>
    <w:rsid w:val="00291313"/>
    <w:rsid w:val="0029170C"/>
    <w:rsid w:val="002917CD"/>
    <w:rsid w:val="00292E1E"/>
    <w:rsid w:val="00292F42"/>
    <w:rsid w:val="00293724"/>
    <w:rsid w:val="0029373C"/>
    <w:rsid w:val="00293F37"/>
    <w:rsid w:val="00294BF5"/>
    <w:rsid w:val="00295CEE"/>
    <w:rsid w:val="00296239"/>
    <w:rsid w:val="00296BD4"/>
    <w:rsid w:val="00296E56"/>
    <w:rsid w:val="00297255"/>
    <w:rsid w:val="00297425"/>
    <w:rsid w:val="00297F94"/>
    <w:rsid w:val="002A0255"/>
    <w:rsid w:val="002A03CB"/>
    <w:rsid w:val="002A0647"/>
    <w:rsid w:val="002A13A9"/>
    <w:rsid w:val="002A1456"/>
    <w:rsid w:val="002A167D"/>
    <w:rsid w:val="002A2DC6"/>
    <w:rsid w:val="002A3ACB"/>
    <w:rsid w:val="002A448B"/>
    <w:rsid w:val="002A4BF9"/>
    <w:rsid w:val="002A50F4"/>
    <w:rsid w:val="002A51E7"/>
    <w:rsid w:val="002A52E0"/>
    <w:rsid w:val="002A54C8"/>
    <w:rsid w:val="002A5686"/>
    <w:rsid w:val="002A59B1"/>
    <w:rsid w:val="002A6689"/>
    <w:rsid w:val="002A7531"/>
    <w:rsid w:val="002A7DC5"/>
    <w:rsid w:val="002B0284"/>
    <w:rsid w:val="002B06C2"/>
    <w:rsid w:val="002B08A9"/>
    <w:rsid w:val="002B08F6"/>
    <w:rsid w:val="002B1B27"/>
    <w:rsid w:val="002B1EDA"/>
    <w:rsid w:val="002B2461"/>
    <w:rsid w:val="002B2590"/>
    <w:rsid w:val="002B333C"/>
    <w:rsid w:val="002B356F"/>
    <w:rsid w:val="002B3953"/>
    <w:rsid w:val="002B3BCD"/>
    <w:rsid w:val="002B4086"/>
    <w:rsid w:val="002B443A"/>
    <w:rsid w:val="002B455E"/>
    <w:rsid w:val="002B4632"/>
    <w:rsid w:val="002B5B89"/>
    <w:rsid w:val="002B6519"/>
    <w:rsid w:val="002B7521"/>
    <w:rsid w:val="002B752A"/>
    <w:rsid w:val="002B7A1E"/>
    <w:rsid w:val="002B7DAD"/>
    <w:rsid w:val="002B7FCE"/>
    <w:rsid w:val="002C0842"/>
    <w:rsid w:val="002C25CE"/>
    <w:rsid w:val="002C3361"/>
    <w:rsid w:val="002C33D7"/>
    <w:rsid w:val="002C3B76"/>
    <w:rsid w:val="002C3E5C"/>
    <w:rsid w:val="002C4993"/>
    <w:rsid w:val="002C4A98"/>
    <w:rsid w:val="002C5072"/>
    <w:rsid w:val="002C52C8"/>
    <w:rsid w:val="002C5B83"/>
    <w:rsid w:val="002C6DE9"/>
    <w:rsid w:val="002C7118"/>
    <w:rsid w:val="002D04AD"/>
    <w:rsid w:val="002D0584"/>
    <w:rsid w:val="002D0769"/>
    <w:rsid w:val="002D09D9"/>
    <w:rsid w:val="002D0B96"/>
    <w:rsid w:val="002D13E1"/>
    <w:rsid w:val="002D18F8"/>
    <w:rsid w:val="002D1972"/>
    <w:rsid w:val="002D1B6C"/>
    <w:rsid w:val="002D26B5"/>
    <w:rsid w:val="002D2DF4"/>
    <w:rsid w:val="002D2E20"/>
    <w:rsid w:val="002D3B93"/>
    <w:rsid w:val="002D4E33"/>
    <w:rsid w:val="002D4EC9"/>
    <w:rsid w:val="002D4FB3"/>
    <w:rsid w:val="002D526A"/>
    <w:rsid w:val="002D55E2"/>
    <w:rsid w:val="002D5DD0"/>
    <w:rsid w:val="002D5E38"/>
    <w:rsid w:val="002D5EBC"/>
    <w:rsid w:val="002D6111"/>
    <w:rsid w:val="002D6A35"/>
    <w:rsid w:val="002D6B52"/>
    <w:rsid w:val="002D6D8C"/>
    <w:rsid w:val="002D7311"/>
    <w:rsid w:val="002D76B2"/>
    <w:rsid w:val="002E0057"/>
    <w:rsid w:val="002E03F3"/>
    <w:rsid w:val="002E04D3"/>
    <w:rsid w:val="002E0BB2"/>
    <w:rsid w:val="002E0CE5"/>
    <w:rsid w:val="002E0E89"/>
    <w:rsid w:val="002E16B6"/>
    <w:rsid w:val="002E19D3"/>
    <w:rsid w:val="002E1C74"/>
    <w:rsid w:val="002E2BD0"/>
    <w:rsid w:val="002E3706"/>
    <w:rsid w:val="002E37F4"/>
    <w:rsid w:val="002E3943"/>
    <w:rsid w:val="002E3AC1"/>
    <w:rsid w:val="002E3C5B"/>
    <w:rsid w:val="002E43BB"/>
    <w:rsid w:val="002E505D"/>
    <w:rsid w:val="002E577F"/>
    <w:rsid w:val="002E5BAA"/>
    <w:rsid w:val="002E5BBB"/>
    <w:rsid w:val="002E6354"/>
    <w:rsid w:val="002E67C8"/>
    <w:rsid w:val="002E67E7"/>
    <w:rsid w:val="002E687E"/>
    <w:rsid w:val="002E7144"/>
    <w:rsid w:val="002F0CFE"/>
    <w:rsid w:val="002F17AE"/>
    <w:rsid w:val="002F1ED2"/>
    <w:rsid w:val="002F3A7A"/>
    <w:rsid w:val="002F4213"/>
    <w:rsid w:val="002F4532"/>
    <w:rsid w:val="002F48F5"/>
    <w:rsid w:val="002F4E3D"/>
    <w:rsid w:val="002F5299"/>
    <w:rsid w:val="002F5382"/>
    <w:rsid w:val="002F6237"/>
    <w:rsid w:val="002F62DB"/>
    <w:rsid w:val="002F658B"/>
    <w:rsid w:val="002F6692"/>
    <w:rsid w:val="002F66E3"/>
    <w:rsid w:val="002F6E9A"/>
    <w:rsid w:val="002F70AA"/>
    <w:rsid w:val="003000EE"/>
    <w:rsid w:val="0030050F"/>
    <w:rsid w:val="00300713"/>
    <w:rsid w:val="00300F41"/>
    <w:rsid w:val="003010A6"/>
    <w:rsid w:val="003016D3"/>
    <w:rsid w:val="00301867"/>
    <w:rsid w:val="00301F6A"/>
    <w:rsid w:val="00302D89"/>
    <w:rsid w:val="00302E2A"/>
    <w:rsid w:val="003030F6"/>
    <w:rsid w:val="003033B9"/>
    <w:rsid w:val="00303927"/>
    <w:rsid w:val="00304093"/>
    <w:rsid w:val="003043EF"/>
    <w:rsid w:val="003044D7"/>
    <w:rsid w:val="003049BA"/>
    <w:rsid w:val="00304B7B"/>
    <w:rsid w:val="003050E7"/>
    <w:rsid w:val="00305560"/>
    <w:rsid w:val="0030558B"/>
    <w:rsid w:val="0030592C"/>
    <w:rsid w:val="00305B23"/>
    <w:rsid w:val="00305B4E"/>
    <w:rsid w:val="00306EAA"/>
    <w:rsid w:val="0030724D"/>
    <w:rsid w:val="00307477"/>
    <w:rsid w:val="0030776B"/>
    <w:rsid w:val="00307C4B"/>
    <w:rsid w:val="003102AC"/>
    <w:rsid w:val="00311A69"/>
    <w:rsid w:val="0031285C"/>
    <w:rsid w:val="003132F2"/>
    <w:rsid w:val="003136A5"/>
    <w:rsid w:val="00313E33"/>
    <w:rsid w:val="003141D9"/>
    <w:rsid w:val="00314429"/>
    <w:rsid w:val="0031493E"/>
    <w:rsid w:val="00315A30"/>
    <w:rsid w:val="003161E4"/>
    <w:rsid w:val="00316AFD"/>
    <w:rsid w:val="00316DA6"/>
    <w:rsid w:val="0031716F"/>
    <w:rsid w:val="00317380"/>
    <w:rsid w:val="003202C7"/>
    <w:rsid w:val="00320926"/>
    <w:rsid w:val="00320B21"/>
    <w:rsid w:val="00320BA4"/>
    <w:rsid w:val="00320E28"/>
    <w:rsid w:val="00321271"/>
    <w:rsid w:val="0032185B"/>
    <w:rsid w:val="0032212F"/>
    <w:rsid w:val="00322362"/>
    <w:rsid w:val="003223B8"/>
    <w:rsid w:val="003226EA"/>
    <w:rsid w:val="00322C89"/>
    <w:rsid w:val="00323647"/>
    <w:rsid w:val="00323771"/>
    <w:rsid w:val="00323D81"/>
    <w:rsid w:val="003247FC"/>
    <w:rsid w:val="00324B2E"/>
    <w:rsid w:val="00324FC9"/>
    <w:rsid w:val="00324FCE"/>
    <w:rsid w:val="003254F1"/>
    <w:rsid w:val="003271BD"/>
    <w:rsid w:val="003278E5"/>
    <w:rsid w:val="00327ACC"/>
    <w:rsid w:val="00327EA4"/>
    <w:rsid w:val="00331234"/>
    <w:rsid w:val="00331E35"/>
    <w:rsid w:val="003337F6"/>
    <w:rsid w:val="003344B1"/>
    <w:rsid w:val="00334777"/>
    <w:rsid w:val="00334EAB"/>
    <w:rsid w:val="00335B78"/>
    <w:rsid w:val="003362CB"/>
    <w:rsid w:val="0033634C"/>
    <w:rsid w:val="00336465"/>
    <w:rsid w:val="00336519"/>
    <w:rsid w:val="0033667E"/>
    <w:rsid w:val="003366B5"/>
    <w:rsid w:val="00337228"/>
    <w:rsid w:val="00337418"/>
    <w:rsid w:val="0033798E"/>
    <w:rsid w:val="003402D0"/>
    <w:rsid w:val="00341CD7"/>
    <w:rsid w:val="00343213"/>
    <w:rsid w:val="00343681"/>
    <w:rsid w:val="00343703"/>
    <w:rsid w:val="00343E93"/>
    <w:rsid w:val="00344BD8"/>
    <w:rsid w:val="00345685"/>
    <w:rsid w:val="00345B7F"/>
    <w:rsid w:val="00345E5A"/>
    <w:rsid w:val="00345FEF"/>
    <w:rsid w:val="00346018"/>
    <w:rsid w:val="0035051F"/>
    <w:rsid w:val="00350C19"/>
    <w:rsid w:val="00351B72"/>
    <w:rsid w:val="00351EE3"/>
    <w:rsid w:val="00352195"/>
    <w:rsid w:val="003524D3"/>
    <w:rsid w:val="00352A46"/>
    <w:rsid w:val="003531B8"/>
    <w:rsid w:val="00353490"/>
    <w:rsid w:val="003534E7"/>
    <w:rsid w:val="003539DD"/>
    <w:rsid w:val="00354653"/>
    <w:rsid w:val="00355334"/>
    <w:rsid w:val="00356638"/>
    <w:rsid w:val="00356A7E"/>
    <w:rsid w:val="003572CB"/>
    <w:rsid w:val="003573B1"/>
    <w:rsid w:val="00357506"/>
    <w:rsid w:val="00357970"/>
    <w:rsid w:val="00360086"/>
    <w:rsid w:val="003601C1"/>
    <w:rsid w:val="003603E8"/>
    <w:rsid w:val="003606CD"/>
    <w:rsid w:val="0036071A"/>
    <w:rsid w:val="00360EA0"/>
    <w:rsid w:val="00360EF5"/>
    <w:rsid w:val="00361548"/>
    <w:rsid w:val="003615F7"/>
    <w:rsid w:val="003618FE"/>
    <w:rsid w:val="003627DD"/>
    <w:rsid w:val="003633EE"/>
    <w:rsid w:val="00363BF6"/>
    <w:rsid w:val="003640E1"/>
    <w:rsid w:val="00364139"/>
    <w:rsid w:val="003650B3"/>
    <w:rsid w:val="003656BD"/>
    <w:rsid w:val="003656F1"/>
    <w:rsid w:val="00365B28"/>
    <w:rsid w:val="003660B3"/>
    <w:rsid w:val="00366AAD"/>
    <w:rsid w:val="00367B0A"/>
    <w:rsid w:val="0037051B"/>
    <w:rsid w:val="003716EF"/>
    <w:rsid w:val="00372108"/>
    <w:rsid w:val="00372AA9"/>
    <w:rsid w:val="00373452"/>
    <w:rsid w:val="0037347D"/>
    <w:rsid w:val="00373E89"/>
    <w:rsid w:val="0037534A"/>
    <w:rsid w:val="00375626"/>
    <w:rsid w:val="00376759"/>
    <w:rsid w:val="00376D63"/>
    <w:rsid w:val="00380947"/>
    <w:rsid w:val="0038113A"/>
    <w:rsid w:val="00383A33"/>
    <w:rsid w:val="00383C25"/>
    <w:rsid w:val="00383EFC"/>
    <w:rsid w:val="00384297"/>
    <w:rsid w:val="00384433"/>
    <w:rsid w:val="00384DA2"/>
    <w:rsid w:val="00384E02"/>
    <w:rsid w:val="0038541D"/>
    <w:rsid w:val="003864EC"/>
    <w:rsid w:val="003868F4"/>
    <w:rsid w:val="00386CD6"/>
    <w:rsid w:val="00386F0A"/>
    <w:rsid w:val="0038708A"/>
    <w:rsid w:val="0038789B"/>
    <w:rsid w:val="00387FBC"/>
    <w:rsid w:val="003909E9"/>
    <w:rsid w:val="00390A66"/>
    <w:rsid w:val="00390D9A"/>
    <w:rsid w:val="00390DBC"/>
    <w:rsid w:val="00390F75"/>
    <w:rsid w:val="003914CA"/>
    <w:rsid w:val="003918A1"/>
    <w:rsid w:val="003918FD"/>
    <w:rsid w:val="00392310"/>
    <w:rsid w:val="0039283B"/>
    <w:rsid w:val="00392960"/>
    <w:rsid w:val="00393423"/>
    <w:rsid w:val="00393C43"/>
    <w:rsid w:val="003941BB"/>
    <w:rsid w:val="003943AC"/>
    <w:rsid w:val="00395053"/>
    <w:rsid w:val="00395F9A"/>
    <w:rsid w:val="00396898"/>
    <w:rsid w:val="00396CA8"/>
    <w:rsid w:val="0039745E"/>
    <w:rsid w:val="003975F2"/>
    <w:rsid w:val="00397F2F"/>
    <w:rsid w:val="003A168E"/>
    <w:rsid w:val="003A224F"/>
    <w:rsid w:val="003A2BF0"/>
    <w:rsid w:val="003A2EA6"/>
    <w:rsid w:val="003A4189"/>
    <w:rsid w:val="003A4C0C"/>
    <w:rsid w:val="003A5097"/>
    <w:rsid w:val="003A5E89"/>
    <w:rsid w:val="003A67EE"/>
    <w:rsid w:val="003A78C0"/>
    <w:rsid w:val="003A7FC3"/>
    <w:rsid w:val="003B06D8"/>
    <w:rsid w:val="003B1352"/>
    <w:rsid w:val="003B1E48"/>
    <w:rsid w:val="003B224E"/>
    <w:rsid w:val="003B2612"/>
    <w:rsid w:val="003B274F"/>
    <w:rsid w:val="003B3943"/>
    <w:rsid w:val="003B4151"/>
    <w:rsid w:val="003B480C"/>
    <w:rsid w:val="003B489E"/>
    <w:rsid w:val="003B4DE4"/>
    <w:rsid w:val="003B4E58"/>
    <w:rsid w:val="003B5BE5"/>
    <w:rsid w:val="003B5F3E"/>
    <w:rsid w:val="003B63B2"/>
    <w:rsid w:val="003B652A"/>
    <w:rsid w:val="003B6F31"/>
    <w:rsid w:val="003C0184"/>
    <w:rsid w:val="003C1BAA"/>
    <w:rsid w:val="003C2159"/>
    <w:rsid w:val="003C2160"/>
    <w:rsid w:val="003C2367"/>
    <w:rsid w:val="003C326F"/>
    <w:rsid w:val="003C32C6"/>
    <w:rsid w:val="003C3C74"/>
    <w:rsid w:val="003C3EC2"/>
    <w:rsid w:val="003C3F2B"/>
    <w:rsid w:val="003C4566"/>
    <w:rsid w:val="003C497C"/>
    <w:rsid w:val="003C655D"/>
    <w:rsid w:val="003C6C96"/>
    <w:rsid w:val="003C7246"/>
    <w:rsid w:val="003C793B"/>
    <w:rsid w:val="003D02C4"/>
    <w:rsid w:val="003D03FC"/>
    <w:rsid w:val="003D1521"/>
    <w:rsid w:val="003D153D"/>
    <w:rsid w:val="003D1F5F"/>
    <w:rsid w:val="003D2B56"/>
    <w:rsid w:val="003D2E4E"/>
    <w:rsid w:val="003D2F14"/>
    <w:rsid w:val="003D3F50"/>
    <w:rsid w:val="003D4ECE"/>
    <w:rsid w:val="003D5739"/>
    <w:rsid w:val="003D5984"/>
    <w:rsid w:val="003D5B25"/>
    <w:rsid w:val="003D5DA9"/>
    <w:rsid w:val="003D5F05"/>
    <w:rsid w:val="003D6132"/>
    <w:rsid w:val="003D6336"/>
    <w:rsid w:val="003D6442"/>
    <w:rsid w:val="003D69E2"/>
    <w:rsid w:val="003D6B5E"/>
    <w:rsid w:val="003D75B9"/>
    <w:rsid w:val="003D7F6A"/>
    <w:rsid w:val="003E0BFD"/>
    <w:rsid w:val="003E1D62"/>
    <w:rsid w:val="003E206A"/>
    <w:rsid w:val="003E208F"/>
    <w:rsid w:val="003E23E9"/>
    <w:rsid w:val="003E265F"/>
    <w:rsid w:val="003E335D"/>
    <w:rsid w:val="003E34D2"/>
    <w:rsid w:val="003E4122"/>
    <w:rsid w:val="003E42E7"/>
    <w:rsid w:val="003E43D8"/>
    <w:rsid w:val="003E49BF"/>
    <w:rsid w:val="003E51AF"/>
    <w:rsid w:val="003E52DF"/>
    <w:rsid w:val="003E552B"/>
    <w:rsid w:val="003E5EA6"/>
    <w:rsid w:val="003E61EE"/>
    <w:rsid w:val="003E67F5"/>
    <w:rsid w:val="003E6856"/>
    <w:rsid w:val="003E7384"/>
    <w:rsid w:val="003E7C14"/>
    <w:rsid w:val="003F064C"/>
    <w:rsid w:val="003F0805"/>
    <w:rsid w:val="003F09F0"/>
    <w:rsid w:val="003F0B9B"/>
    <w:rsid w:val="003F0DD8"/>
    <w:rsid w:val="003F1D7A"/>
    <w:rsid w:val="003F212D"/>
    <w:rsid w:val="003F2E14"/>
    <w:rsid w:val="003F3291"/>
    <w:rsid w:val="003F3496"/>
    <w:rsid w:val="003F3AEA"/>
    <w:rsid w:val="003F51B3"/>
    <w:rsid w:val="003F56AD"/>
    <w:rsid w:val="003F56F4"/>
    <w:rsid w:val="003F603C"/>
    <w:rsid w:val="003F6192"/>
    <w:rsid w:val="003F685D"/>
    <w:rsid w:val="003F6B90"/>
    <w:rsid w:val="003F6CAF"/>
    <w:rsid w:val="003F6E2F"/>
    <w:rsid w:val="003F7169"/>
    <w:rsid w:val="003F78A5"/>
    <w:rsid w:val="004007BC"/>
    <w:rsid w:val="00401285"/>
    <w:rsid w:val="00402E7E"/>
    <w:rsid w:val="00403922"/>
    <w:rsid w:val="00403FB4"/>
    <w:rsid w:val="004063C8"/>
    <w:rsid w:val="0040651B"/>
    <w:rsid w:val="0040688D"/>
    <w:rsid w:val="00406F2E"/>
    <w:rsid w:val="00407179"/>
    <w:rsid w:val="004072C8"/>
    <w:rsid w:val="0040743F"/>
    <w:rsid w:val="004076A1"/>
    <w:rsid w:val="00407C88"/>
    <w:rsid w:val="00407D25"/>
    <w:rsid w:val="00407FD3"/>
    <w:rsid w:val="004112C3"/>
    <w:rsid w:val="004123ED"/>
    <w:rsid w:val="0041287C"/>
    <w:rsid w:val="00412B2F"/>
    <w:rsid w:val="00412DD5"/>
    <w:rsid w:val="00413044"/>
    <w:rsid w:val="0041393E"/>
    <w:rsid w:val="00413976"/>
    <w:rsid w:val="00413A35"/>
    <w:rsid w:val="00413D8F"/>
    <w:rsid w:val="00413DC2"/>
    <w:rsid w:val="004141A3"/>
    <w:rsid w:val="004148C0"/>
    <w:rsid w:val="00414C5A"/>
    <w:rsid w:val="00415FFF"/>
    <w:rsid w:val="00416096"/>
    <w:rsid w:val="00416D19"/>
    <w:rsid w:val="00417123"/>
    <w:rsid w:val="004173B7"/>
    <w:rsid w:val="0041755F"/>
    <w:rsid w:val="00417A45"/>
    <w:rsid w:val="004200FC"/>
    <w:rsid w:val="004210B6"/>
    <w:rsid w:val="004212A1"/>
    <w:rsid w:val="00421307"/>
    <w:rsid w:val="00421BAB"/>
    <w:rsid w:val="00421C08"/>
    <w:rsid w:val="004226F9"/>
    <w:rsid w:val="00423CA7"/>
    <w:rsid w:val="00423DA3"/>
    <w:rsid w:val="00424B32"/>
    <w:rsid w:val="00424BAF"/>
    <w:rsid w:val="00425960"/>
    <w:rsid w:val="00425963"/>
    <w:rsid w:val="00426215"/>
    <w:rsid w:val="00426DBF"/>
    <w:rsid w:val="00427313"/>
    <w:rsid w:val="0042776C"/>
    <w:rsid w:val="00427A38"/>
    <w:rsid w:val="004314FC"/>
    <w:rsid w:val="004315DB"/>
    <w:rsid w:val="0043179C"/>
    <w:rsid w:val="00432141"/>
    <w:rsid w:val="0043229B"/>
    <w:rsid w:val="004322F5"/>
    <w:rsid w:val="0043296D"/>
    <w:rsid w:val="004331E8"/>
    <w:rsid w:val="004333C3"/>
    <w:rsid w:val="00433961"/>
    <w:rsid w:val="00433C8D"/>
    <w:rsid w:val="004343C0"/>
    <w:rsid w:val="00434481"/>
    <w:rsid w:val="004345B3"/>
    <w:rsid w:val="00434ACE"/>
    <w:rsid w:val="00435F88"/>
    <w:rsid w:val="00436D24"/>
    <w:rsid w:val="00436FFD"/>
    <w:rsid w:val="00437302"/>
    <w:rsid w:val="00437427"/>
    <w:rsid w:val="004379E9"/>
    <w:rsid w:val="00437B39"/>
    <w:rsid w:val="00437E2F"/>
    <w:rsid w:val="004409AA"/>
    <w:rsid w:val="004415AB"/>
    <w:rsid w:val="004417D9"/>
    <w:rsid w:val="0044184F"/>
    <w:rsid w:val="00441AA8"/>
    <w:rsid w:val="00441FC7"/>
    <w:rsid w:val="004421CC"/>
    <w:rsid w:val="004429FE"/>
    <w:rsid w:val="00442C2B"/>
    <w:rsid w:val="00442FFF"/>
    <w:rsid w:val="0044340C"/>
    <w:rsid w:val="004438F0"/>
    <w:rsid w:val="00443D91"/>
    <w:rsid w:val="00444B03"/>
    <w:rsid w:val="00444B69"/>
    <w:rsid w:val="00445218"/>
    <w:rsid w:val="00445C87"/>
    <w:rsid w:val="00445E27"/>
    <w:rsid w:val="004463D7"/>
    <w:rsid w:val="004464FC"/>
    <w:rsid w:val="00446519"/>
    <w:rsid w:val="00446BB1"/>
    <w:rsid w:val="00447180"/>
    <w:rsid w:val="004473EF"/>
    <w:rsid w:val="00447862"/>
    <w:rsid w:val="00447FC7"/>
    <w:rsid w:val="004512F4"/>
    <w:rsid w:val="00451E28"/>
    <w:rsid w:val="004520C9"/>
    <w:rsid w:val="0045221E"/>
    <w:rsid w:val="004523EC"/>
    <w:rsid w:val="004527AC"/>
    <w:rsid w:val="00452A9D"/>
    <w:rsid w:val="004538C7"/>
    <w:rsid w:val="0045399C"/>
    <w:rsid w:val="00453BEA"/>
    <w:rsid w:val="00454022"/>
    <w:rsid w:val="00454518"/>
    <w:rsid w:val="00454A4E"/>
    <w:rsid w:val="00454B02"/>
    <w:rsid w:val="004553AD"/>
    <w:rsid w:val="00455750"/>
    <w:rsid w:val="00455910"/>
    <w:rsid w:val="00455BB3"/>
    <w:rsid w:val="00455BBF"/>
    <w:rsid w:val="00457861"/>
    <w:rsid w:val="00457969"/>
    <w:rsid w:val="00457CAF"/>
    <w:rsid w:val="00461359"/>
    <w:rsid w:val="0046158D"/>
    <w:rsid w:val="00462033"/>
    <w:rsid w:val="004620FB"/>
    <w:rsid w:val="00462DAE"/>
    <w:rsid w:val="00463B31"/>
    <w:rsid w:val="00464EBF"/>
    <w:rsid w:val="004654FC"/>
    <w:rsid w:val="0046550B"/>
    <w:rsid w:val="00465522"/>
    <w:rsid w:val="004656CD"/>
    <w:rsid w:val="00465900"/>
    <w:rsid w:val="00465955"/>
    <w:rsid w:val="00466563"/>
    <w:rsid w:val="004665AF"/>
    <w:rsid w:val="004666BD"/>
    <w:rsid w:val="004667C5"/>
    <w:rsid w:val="00466B4C"/>
    <w:rsid w:val="00467016"/>
    <w:rsid w:val="00467791"/>
    <w:rsid w:val="0047021A"/>
    <w:rsid w:val="0047023C"/>
    <w:rsid w:val="004702A8"/>
    <w:rsid w:val="00470C78"/>
    <w:rsid w:val="00470CA4"/>
    <w:rsid w:val="00470CE4"/>
    <w:rsid w:val="004714FB"/>
    <w:rsid w:val="0047188C"/>
    <w:rsid w:val="00471EFB"/>
    <w:rsid w:val="00472CED"/>
    <w:rsid w:val="00473A3F"/>
    <w:rsid w:val="00473E2C"/>
    <w:rsid w:val="00475038"/>
    <w:rsid w:val="004752EC"/>
    <w:rsid w:val="00475689"/>
    <w:rsid w:val="004757BA"/>
    <w:rsid w:val="00475A67"/>
    <w:rsid w:val="0047660A"/>
    <w:rsid w:val="0047691A"/>
    <w:rsid w:val="00476B15"/>
    <w:rsid w:val="00476B8A"/>
    <w:rsid w:val="00477CAD"/>
    <w:rsid w:val="00477DC8"/>
    <w:rsid w:val="00480111"/>
    <w:rsid w:val="0048015D"/>
    <w:rsid w:val="00480D0C"/>
    <w:rsid w:val="004810F2"/>
    <w:rsid w:val="004819B0"/>
    <w:rsid w:val="00482037"/>
    <w:rsid w:val="004822D6"/>
    <w:rsid w:val="00482C89"/>
    <w:rsid w:val="00482CB4"/>
    <w:rsid w:val="00482E2F"/>
    <w:rsid w:val="00482FDD"/>
    <w:rsid w:val="0048329B"/>
    <w:rsid w:val="004832B9"/>
    <w:rsid w:val="00483B41"/>
    <w:rsid w:val="00483BA6"/>
    <w:rsid w:val="004840A2"/>
    <w:rsid w:val="00484E09"/>
    <w:rsid w:val="00484F7C"/>
    <w:rsid w:val="0048529B"/>
    <w:rsid w:val="00485388"/>
    <w:rsid w:val="00485902"/>
    <w:rsid w:val="00486277"/>
    <w:rsid w:val="004863D3"/>
    <w:rsid w:val="0048649C"/>
    <w:rsid w:val="004869CD"/>
    <w:rsid w:val="00486E2D"/>
    <w:rsid w:val="00487758"/>
    <w:rsid w:val="004879A4"/>
    <w:rsid w:val="00487EA5"/>
    <w:rsid w:val="00487F7E"/>
    <w:rsid w:val="00490ECE"/>
    <w:rsid w:val="00490ED3"/>
    <w:rsid w:val="00490F2A"/>
    <w:rsid w:val="00491076"/>
    <w:rsid w:val="0049152B"/>
    <w:rsid w:val="004916A8"/>
    <w:rsid w:val="00491A97"/>
    <w:rsid w:val="004928F1"/>
    <w:rsid w:val="0049309D"/>
    <w:rsid w:val="004931CE"/>
    <w:rsid w:val="0049342C"/>
    <w:rsid w:val="004936F5"/>
    <w:rsid w:val="00494052"/>
    <w:rsid w:val="00494752"/>
    <w:rsid w:val="00495083"/>
    <w:rsid w:val="00495227"/>
    <w:rsid w:val="004953B4"/>
    <w:rsid w:val="00495B64"/>
    <w:rsid w:val="00495D2D"/>
    <w:rsid w:val="00495FD6"/>
    <w:rsid w:val="004969B9"/>
    <w:rsid w:val="004969F3"/>
    <w:rsid w:val="00496E41"/>
    <w:rsid w:val="00496EE7"/>
    <w:rsid w:val="0049754C"/>
    <w:rsid w:val="004977A5"/>
    <w:rsid w:val="004A02C5"/>
    <w:rsid w:val="004A106A"/>
    <w:rsid w:val="004A11C0"/>
    <w:rsid w:val="004A1456"/>
    <w:rsid w:val="004A158E"/>
    <w:rsid w:val="004A1667"/>
    <w:rsid w:val="004A2243"/>
    <w:rsid w:val="004A2346"/>
    <w:rsid w:val="004A24A7"/>
    <w:rsid w:val="004A2950"/>
    <w:rsid w:val="004A2C47"/>
    <w:rsid w:val="004A3076"/>
    <w:rsid w:val="004A36B4"/>
    <w:rsid w:val="004A37CA"/>
    <w:rsid w:val="004A3888"/>
    <w:rsid w:val="004A39C2"/>
    <w:rsid w:val="004A39D0"/>
    <w:rsid w:val="004A436F"/>
    <w:rsid w:val="004A4477"/>
    <w:rsid w:val="004A5C0C"/>
    <w:rsid w:val="004A69CF"/>
    <w:rsid w:val="004A6B76"/>
    <w:rsid w:val="004A7927"/>
    <w:rsid w:val="004B0107"/>
    <w:rsid w:val="004B076E"/>
    <w:rsid w:val="004B1256"/>
    <w:rsid w:val="004B1AE5"/>
    <w:rsid w:val="004B2435"/>
    <w:rsid w:val="004B34A2"/>
    <w:rsid w:val="004B422B"/>
    <w:rsid w:val="004B4236"/>
    <w:rsid w:val="004B4357"/>
    <w:rsid w:val="004B4D83"/>
    <w:rsid w:val="004B53D1"/>
    <w:rsid w:val="004B5A6F"/>
    <w:rsid w:val="004B5C5E"/>
    <w:rsid w:val="004B6580"/>
    <w:rsid w:val="004B6DD8"/>
    <w:rsid w:val="004B7765"/>
    <w:rsid w:val="004B7816"/>
    <w:rsid w:val="004C0023"/>
    <w:rsid w:val="004C0791"/>
    <w:rsid w:val="004C0A44"/>
    <w:rsid w:val="004C0AB7"/>
    <w:rsid w:val="004C0AE0"/>
    <w:rsid w:val="004C11CF"/>
    <w:rsid w:val="004C1672"/>
    <w:rsid w:val="004C1C0B"/>
    <w:rsid w:val="004C22F7"/>
    <w:rsid w:val="004C2D7F"/>
    <w:rsid w:val="004C2F9C"/>
    <w:rsid w:val="004C3088"/>
    <w:rsid w:val="004C3AB2"/>
    <w:rsid w:val="004C5C7B"/>
    <w:rsid w:val="004C5CA4"/>
    <w:rsid w:val="004C5F2D"/>
    <w:rsid w:val="004C60AE"/>
    <w:rsid w:val="004C6600"/>
    <w:rsid w:val="004C668D"/>
    <w:rsid w:val="004C6744"/>
    <w:rsid w:val="004C6795"/>
    <w:rsid w:val="004C7241"/>
    <w:rsid w:val="004C7276"/>
    <w:rsid w:val="004C738D"/>
    <w:rsid w:val="004C7AB3"/>
    <w:rsid w:val="004D07CF"/>
    <w:rsid w:val="004D156F"/>
    <w:rsid w:val="004D17D0"/>
    <w:rsid w:val="004D1888"/>
    <w:rsid w:val="004D1B48"/>
    <w:rsid w:val="004D1C1C"/>
    <w:rsid w:val="004D2374"/>
    <w:rsid w:val="004D2A76"/>
    <w:rsid w:val="004D2CB3"/>
    <w:rsid w:val="004D339B"/>
    <w:rsid w:val="004D3CB9"/>
    <w:rsid w:val="004D3D3C"/>
    <w:rsid w:val="004D440D"/>
    <w:rsid w:val="004D45EB"/>
    <w:rsid w:val="004D4B39"/>
    <w:rsid w:val="004D4E77"/>
    <w:rsid w:val="004D5194"/>
    <w:rsid w:val="004D56B1"/>
    <w:rsid w:val="004D58A7"/>
    <w:rsid w:val="004D7508"/>
    <w:rsid w:val="004D787F"/>
    <w:rsid w:val="004D7EB2"/>
    <w:rsid w:val="004D7F07"/>
    <w:rsid w:val="004E08CA"/>
    <w:rsid w:val="004E0A1D"/>
    <w:rsid w:val="004E0D0F"/>
    <w:rsid w:val="004E0DAF"/>
    <w:rsid w:val="004E15F8"/>
    <w:rsid w:val="004E1978"/>
    <w:rsid w:val="004E209F"/>
    <w:rsid w:val="004E2962"/>
    <w:rsid w:val="004E2B82"/>
    <w:rsid w:val="004E2F22"/>
    <w:rsid w:val="004E3630"/>
    <w:rsid w:val="004E38D4"/>
    <w:rsid w:val="004E3B11"/>
    <w:rsid w:val="004E42BE"/>
    <w:rsid w:val="004E50DC"/>
    <w:rsid w:val="004E522B"/>
    <w:rsid w:val="004E52D8"/>
    <w:rsid w:val="004E566F"/>
    <w:rsid w:val="004E5952"/>
    <w:rsid w:val="004E59EB"/>
    <w:rsid w:val="004E5A05"/>
    <w:rsid w:val="004E5C8D"/>
    <w:rsid w:val="004E6897"/>
    <w:rsid w:val="004E6917"/>
    <w:rsid w:val="004E6E0B"/>
    <w:rsid w:val="004E79A0"/>
    <w:rsid w:val="004E7C0A"/>
    <w:rsid w:val="004F0212"/>
    <w:rsid w:val="004F03FF"/>
    <w:rsid w:val="004F07C2"/>
    <w:rsid w:val="004F0873"/>
    <w:rsid w:val="004F1C66"/>
    <w:rsid w:val="004F2102"/>
    <w:rsid w:val="004F228E"/>
    <w:rsid w:val="004F2A69"/>
    <w:rsid w:val="004F2A8D"/>
    <w:rsid w:val="004F37C2"/>
    <w:rsid w:val="004F3D5D"/>
    <w:rsid w:val="004F476D"/>
    <w:rsid w:val="004F5B7E"/>
    <w:rsid w:val="004F5DD2"/>
    <w:rsid w:val="004F6394"/>
    <w:rsid w:val="004F69CD"/>
    <w:rsid w:val="004F6DB4"/>
    <w:rsid w:val="004F6F8D"/>
    <w:rsid w:val="004F710E"/>
    <w:rsid w:val="004F7433"/>
    <w:rsid w:val="005001C0"/>
    <w:rsid w:val="005002B4"/>
    <w:rsid w:val="0050063A"/>
    <w:rsid w:val="005008A8"/>
    <w:rsid w:val="005010D2"/>
    <w:rsid w:val="005012B2"/>
    <w:rsid w:val="00501929"/>
    <w:rsid w:val="005019F2"/>
    <w:rsid w:val="00501E92"/>
    <w:rsid w:val="00503945"/>
    <w:rsid w:val="00503EA3"/>
    <w:rsid w:val="00504335"/>
    <w:rsid w:val="0050448E"/>
    <w:rsid w:val="00504F73"/>
    <w:rsid w:val="0050540B"/>
    <w:rsid w:val="00505873"/>
    <w:rsid w:val="005058B7"/>
    <w:rsid w:val="00505BAE"/>
    <w:rsid w:val="00506B40"/>
    <w:rsid w:val="00506C71"/>
    <w:rsid w:val="00507497"/>
    <w:rsid w:val="0050782E"/>
    <w:rsid w:val="00507F29"/>
    <w:rsid w:val="00510668"/>
    <w:rsid w:val="005106C4"/>
    <w:rsid w:val="005106F3"/>
    <w:rsid w:val="005107D6"/>
    <w:rsid w:val="00510CE3"/>
    <w:rsid w:val="005110B2"/>
    <w:rsid w:val="005113F0"/>
    <w:rsid w:val="0051155A"/>
    <w:rsid w:val="00511FEA"/>
    <w:rsid w:val="00512250"/>
    <w:rsid w:val="0051247C"/>
    <w:rsid w:val="00512B15"/>
    <w:rsid w:val="00512E3F"/>
    <w:rsid w:val="0051428F"/>
    <w:rsid w:val="00514A4E"/>
    <w:rsid w:val="00515152"/>
    <w:rsid w:val="005151A4"/>
    <w:rsid w:val="005152B2"/>
    <w:rsid w:val="005157F9"/>
    <w:rsid w:val="0051588A"/>
    <w:rsid w:val="00515C31"/>
    <w:rsid w:val="00515F50"/>
    <w:rsid w:val="005167FA"/>
    <w:rsid w:val="00517725"/>
    <w:rsid w:val="00517A82"/>
    <w:rsid w:val="00517B67"/>
    <w:rsid w:val="005213F0"/>
    <w:rsid w:val="0052152B"/>
    <w:rsid w:val="005217F7"/>
    <w:rsid w:val="00521C85"/>
    <w:rsid w:val="0052260D"/>
    <w:rsid w:val="00522931"/>
    <w:rsid w:val="00522BDF"/>
    <w:rsid w:val="0052356D"/>
    <w:rsid w:val="00523B80"/>
    <w:rsid w:val="0052401C"/>
    <w:rsid w:val="00524774"/>
    <w:rsid w:val="00524A0B"/>
    <w:rsid w:val="00524B65"/>
    <w:rsid w:val="00524EAD"/>
    <w:rsid w:val="00525193"/>
    <w:rsid w:val="005259D8"/>
    <w:rsid w:val="00525A89"/>
    <w:rsid w:val="00525C2D"/>
    <w:rsid w:val="005264C2"/>
    <w:rsid w:val="00526DCE"/>
    <w:rsid w:val="00527515"/>
    <w:rsid w:val="00530014"/>
    <w:rsid w:val="005301E1"/>
    <w:rsid w:val="005312E9"/>
    <w:rsid w:val="005314A0"/>
    <w:rsid w:val="00531A53"/>
    <w:rsid w:val="00531BF1"/>
    <w:rsid w:val="00531BFC"/>
    <w:rsid w:val="00532493"/>
    <w:rsid w:val="005326EB"/>
    <w:rsid w:val="00532885"/>
    <w:rsid w:val="00533E88"/>
    <w:rsid w:val="00534246"/>
    <w:rsid w:val="00534259"/>
    <w:rsid w:val="00535ADE"/>
    <w:rsid w:val="00536212"/>
    <w:rsid w:val="00536ADD"/>
    <w:rsid w:val="005371BE"/>
    <w:rsid w:val="0053762C"/>
    <w:rsid w:val="005379FF"/>
    <w:rsid w:val="00537C1F"/>
    <w:rsid w:val="00541107"/>
    <w:rsid w:val="0054188B"/>
    <w:rsid w:val="00542A15"/>
    <w:rsid w:val="005431B4"/>
    <w:rsid w:val="00543AB0"/>
    <w:rsid w:val="005440ED"/>
    <w:rsid w:val="0054454E"/>
    <w:rsid w:val="00544654"/>
    <w:rsid w:val="00544CE1"/>
    <w:rsid w:val="00544EC5"/>
    <w:rsid w:val="00545AD8"/>
    <w:rsid w:val="00545C45"/>
    <w:rsid w:val="005464E3"/>
    <w:rsid w:val="0054656F"/>
    <w:rsid w:val="0054681B"/>
    <w:rsid w:val="0054686A"/>
    <w:rsid w:val="00546ED4"/>
    <w:rsid w:val="005474E0"/>
    <w:rsid w:val="00547911"/>
    <w:rsid w:val="00547BDB"/>
    <w:rsid w:val="00550089"/>
    <w:rsid w:val="005503EC"/>
    <w:rsid w:val="005506BF"/>
    <w:rsid w:val="00551016"/>
    <w:rsid w:val="0055103D"/>
    <w:rsid w:val="005511A6"/>
    <w:rsid w:val="0055179E"/>
    <w:rsid w:val="00552FA5"/>
    <w:rsid w:val="00553049"/>
    <w:rsid w:val="00553156"/>
    <w:rsid w:val="005531C6"/>
    <w:rsid w:val="005536AE"/>
    <w:rsid w:val="00553866"/>
    <w:rsid w:val="00553EE1"/>
    <w:rsid w:val="00553FF3"/>
    <w:rsid w:val="00554257"/>
    <w:rsid w:val="0055436A"/>
    <w:rsid w:val="0055470A"/>
    <w:rsid w:val="00554742"/>
    <w:rsid w:val="005548C4"/>
    <w:rsid w:val="00554B23"/>
    <w:rsid w:val="00555540"/>
    <w:rsid w:val="00556331"/>
    <w:rsid w:val="0055648D"/>
    <w:rsid w:val="00556653"/>
    <w:rsid w:val="00556F11"/>
    <w:rsid w:val="00557F45"/>
    <w:rsid w:val="0056000C"/>
    <w:rsid w:val="005601C5"/>
    <w:rsid w:val="00560564"/>
    <w:rsid w:val="00560B9D"/>
    <w:rsid w:val="00561238"/>
    <w:rsid w:val="00563314"/>
    <w:rsid w:val="005638D1"/>
    <w:rsid w:val="00563E08"/>
    <w:rsid w:val="005640EE"/>
    <w:rsid w:val="0056488B"/>
    <w:rsid w:val="00564A9F"/>
    <w:rsid w:val="00564F2F"/>
    <w:rsid w:val="00565188"/>
    <w:rsid w:val="005658F0"/>
    <w:rsid w:val="00565BF4"/>
    <w:rsid w:val="00566207"/>
    <w:rsid w:val="0056675E"/>
    <w:rsid w:val="00566A42"/>
    <w:rsid w:val="00566F2C"/>
    <w:rsid w:val="00567322"/>
    <w:rsid w:val="005676D9"/>
    <w:rsid w:val="00567919"/>
    <w:rsid w:val="00567B2D"/>
    <w:rsid w:val="00567EE5"/>
    <w:rsid w:val="005701FE"/>
    <w:rsid w:val="0057040B"/>
    <w:rsid w:val="005705D3"/>
    <w:rsid w:val="00570DA2"/>
    <w:rsid w:val="00570DA5"/>
    <w:rsid w:val="0057110B"/>
    <w:rsid w:val="005712AE"/>
    <w:rsid w:val="005713CB"/>
    <w:rsid w:val="00571799"/>
    <w:rsid w:val="00571B30"/>
    <w:rsid w:val="00572540"/>
    <w:rsid w:val="005726BF"/>
    <w:rsid w:val="00572CF7"/>
    <w:rsid w:val="0057311A"/>
    <w:rsid w:val="0057355B"/>
    <w:rsid w:val="0057395D"/>
    <w:rsid w:val="005746D5"/>
    <w:rsid w:val="005748EB"/>
    <w:rsid w:val="005754AC"/>
    <w:rsid w:val="005756CF"/>
    <w:rsid w:val="00575DC6"/>
    <w:rsid w:val="00576763"/>
    <w:rsid w:val="00576BAF"/>
    <w:rsid w:val="0057739D"/>
    <w:rsid w:val="005776C4"/>
    <w:rsid w:val="00577A02"/>
    <w:rsid w:val="00577BB5"/>
    <w:rsid w:val="00577E28"/>
    <w:rsid w:val="00580017"/>
    <w:rsid w:val="005803F8"/>
    <w:rsid w:val="005806D3"/>
    <w:rsid w:val="00580856"/>
    <w:rsid w:val="00581DEC"/>
    <w:rsid w:val="0058240B"/>
    <w:rsid w:val="00584245"/>
    <w:rsid w:val="0058450F"/>
    <w:rsid w:val="00584EB2"/>
    <w:rsid w:val="00585DD9"/>
    <w:rsid w:val="00585F0A"/>
    <w:rsid w:val="005860BF"/>
    <w:rsid w:val="0058670A"/>
    <w:rsid w:val="00586F6C"/>
    <w:rsid w:val="00587318"/>
    <w:rsid w:val="00587345"/>
    <w:rsid w:val="0058797E"/>
    <w:rsid w:val="00587D55"/>
    <w:rsid w:val="00590032"/>
    <w:rsid w:val="005906A5"/>
    <w:rsid w:val="00590B46"/>
    <w:rsid w:val="00590B84"/>
    <w:rsid w:val="00590F21"/>
    <w:rsid w:val="0059118B"/>
    <w:rsid w:val="005911D3"/>
    <w:rsid w:val="00592C0C"/>
    <w:rsid w:val="00592C67"/>
    <w:rsid w:val="00592DB9"/>
    <w:rsid w:val="00592E48"/>
    <w:rsid w:val="00592F09"/>
    <w:rsid w:val="005930F5"/>
    <w:rsid w:val="00593ED7"/>
    <w:rsid w:val="00594304"/>
    <w:rsid w:val="00594D07"/>
    <w:rsid w:val="005953A9"/>
    <w:rsid w:val="0059582B"/>
    <w:rsid w:val="00595E80"/>
    <w:rsid w:val="00595FA3"/>
    <w:rsid w:val="005960F7"/>
    <w:rsid w:val="00596337"/>
    <w:rsid w:val="005966B4"/>
    <w:rsid w:val="0059689F"/>
    <w:rsid w:val="00596C65"/>
    <w:rsid w:val="00597443"/>
    <w:rsid w:val="005976DB"/>
    <w:rsid w:val="00597B37"/>
    <w:rsid w:val="005A00AA"/>
    <w:rsid w:val="005A09E5"/>
    <w:rsid w:val="005A0AC0"/>
    <w:rsid w:val="005A1202"/>
    <w:rsid w:val="005A15F8"/>
    <w:rsid w:val="005A1847"/>
    <w:rsid w:val="005A1984"/>
    <w:rsid w:val="005A1A86"/>
    <w:rsid w:val="005A20F7"/>
    <w:rsid w:val="005A213E"/>
    <w:rsid w:val="005A243F"/>
    <w:rsid w:val="005A25C6"/>
    <w:rsid w:val="005A2D3E"/>
    <w:rsid w:val="005A3004"/>
    <w:rsid w:val="005A3B46"/>
    <w:rsid w:val="005A4522"/>
    <w:rsid w:val="005A5391"/>
    <w:rsid w:val="005A5708"/>
    <w:rsid w:val="005A6068"/>
    <w:rsid w:val="005A6095"/>
    <w:rsid w:val="005A6B36"/>
    <w:rsid w:val="005A6EB7"/>
    <w:rsid w:val="005A6F9E"/>
    <w:rsid w:val="005A7367"/>
    <w:rsid w:val="005A7AA8"/>
    <w:rsid w:val="005A7E8D"/>
    <w:rsid w:val="005B016B"/>
    <w:rsid w:val="005B0473"/>
    <w:rsid w:val="005B058C"/>
    <w:rsid w:val="005B0CFF"/>
    <w:rsid w:val="005B0FB7"/>
    <w:rsid w:val="005B1551"/>
    <w:rsid w:val="005B1656"/>
    <w:rsid w:val="005B16F7"/>
    <w:rsid w:val="005B2EB0"/>
    <w:rsid w:val="005B2EFC"/>
    <w:rsid w:val="005B31B1"/>
    <w:rsid w:val="005B380E"/>
    <w:rsid w:val="005B58B9"/>
    <w:rsid w:val="005B593E"/>
    <w:rsid w:val="005B59ED"/>
    <w:rsid w:val="005B5ABE"/>
    <w:rsid w:val="005B5BFF"/>
    <w:rsid w:val="005B5E58"/>
    <w:rsid w:val="005B6048"/>
    <w:rsid w:val="005B6383"/>
    <w:rsid w:val="005B6A04"/>
    <w:rsid w:val="005B6A5E"/>
    <w:rsid w:val="005B6FC2"/>
    <w:rsid w:val="005B6FE2"/>
    <w:rsid w:val="005B7DE0"/>
    <w:rsid w:val="005C0156"/>
    <w:rsid w:val="005C0678"/>
    <w:rsid w:val="005C0EB4"/>
    <w:rsid w:val="005C116D"/>
    <w:rsid w:val="005C23ED"/>
    <w:rsid w:val="005C25EB"/>
    <w:rsid w:val="005C2C5F"/>
    <w:rsid w:val="005C2D9F"/>
    <w:rsid w:val="005C34FF"/>
    <w:rsid w:val="005C41C8"/>
    <w:rsid w:val="005C4521"/>
    <w:rsid w:val="005C45BE"/>
    <w:rsid w:val="005C49CF"/>
    <w:rsid w:val="005C513D"/>
    <w:rsid w:val="005C55D2"/>
    <w:rsid w:val="005C5A54"/>
    <w:rsid w:val="005C5B6A"/>
    <w:rsid w:val="005C682D"/>
    <w:rsid w:val="005C74AE"/>
    <w:rsid w:val="005C772B"/>
    <w:rsid w:val="005C78CB"/>
    <w:rsid w:val="005C7C0C"/>
    <w:rsid w:val="005C7CE6"/>
    <w:rsid w:val="005D002E"/>
    <w:rsid w:val="005D0AAF"/>
    <w:rsid w:val="005D13B9"/>
    <w:rsid w:val="005D13C8"/>
    <w:rsid w:val="005D1CB0"/>
    <w:rsid w:val="005D1EC5"/>
    <w:rsid w:val="005D2B4E"/>
    <w:rsid w:val="005D2D13"/>
    <w:rsid w:val="005D30FC"/>
    <w:rsid w:val="005D3ACE"/>
    <w:rsid w:val="005D453B"/>
    <w:rsid w:val="005D4982"/>
    <w:rsid w:val="005D54A4"/>
    <w:rsid w:val="005D54FE"/>
    <w:rsid w:val="005D5558"/>
    <w:rsid w:val="005D6942"/>
    <w:rsid w:val="005D70A0"/>
    <w:rsid w:val="005D7132"/>
    <w:rsid w:val="005D73CD"/>
    <w:rsid w:val="005D7EB0"/>
    <w:rsid w:val="005E13A5"/>
    <w:rsid w:val="005E14B6"/>
    <w:rsid w:val="005E1C92"/>
    <w:rsid w:val="005E1E46"/>
    <w:rsid w:val="005E1EEC"/>
    <w:rsid w:val="005E1F89"/>
    <w:rsid w:val="005E26EF"/>
    <w:rsid w:val="005E2DBC"/>
    <w:rsid w:val="005E3566"/>
    <w:rsid w:val="005E39FE"/>
    <w:rsid w:val="005E47FB"/>
    <w:rsid w:val="005E49E9"/>
    <w:rsid w:val="005E4DB9"/>
    <w:rsid w:val="005E4EB4"/>
    <w:rsid w:val="005E509B"/>
    <w:rsid w:val="005E52CF"/>
    <w:rsid w:val="005E543D"/>
    <w:rsid w:val="005E57C9"/>
    <w:rsid w:val="005E60CF"/>
    <w:rsid w:val="005E69DB"/>
    <w:rsid w:val="005E7A1C"/>
    <w:rsid w:val="005E7C80"/>
    <w:rsid w:val="005F0A79"/>
    <w:rsid w:val="005F0CEC"/>
    <w:rsid w:val="005F0F4F"/>
    <w:rsid w:val="005F17F3"/>
    <w:rsid w:val="005F1FD5"/>
    <w:rsid w:val="005F2375"/>
    <w:rsid w:val="005F2F88"/>
    <w:rsid w:val="005F4981"/>
    <w:rsid w:val="005F50B1"/>
    <w:rsid w:val="005F5378"/>
    <w:rsid w:val="005F642F"/>
    <w:rsid w:val="005F6AE7"/>
    <w:rsid w:val="005F6C9A"/>
    <w:rsid w:val="005F7A59"/>
    <w:rsid w:val="005F7AA4"/>
    <w:rsid w:val="00600004"/>
    <w:rsid w:val="006000AC"/>
    <w:rsid w:val="006002AD"/>
    <w:rsid w:val="0060030A"/>
    <w:rsid w:val="006009D9"/>
    <w:rsid w:val="00600B39"/>
    <w:rsid w:val="0060168D"/>
    <w:rsid w:val="00601C45"/>
    <w:rsid w:val="00601D77"/>
    <w:rsid w:val="006029C8"/>
    <w:rsid w:val="00602C81"/>
    <w:rsid w:val="00602DE5"/>
    <w:rsid w:val="00602E35"/>
    <w:rsid w:val="00603579"/>
    <w:rsid w:val="00603B26"/>
    <w:rsid w:val="00604319"/>
    <w:rsid w:val="006058DF"/>
    <w:rsid w:val="00605F18"/>
    <w:rsid w:val="0060618B"/>
    <w:rsid w:val="006063F3"/>
    <w:rsid w:val="0060781A"/>
    <w:rsid w:val="00607890"/>
    <w:rsid w:val="00610172"/>
    <w:rsid w:val="00610F11"/>
    <w:rsid w:val="00611776"/>
    <w:rsid w:val="006118D9"/>
    <w:rsid w:val="00612183"/>
    <w:rsid w:val="006122E4"/>
    <w:rsid w:val="00612821"/>
    <w:rsid w:val="00612DFF"/>
    <w:rsid w:val="0061504F"/>
    <w:rsid w:val="00615200"/>
    <w:rsid w:val="006153CB"/>
    <w:rsid w:val="006156B4"/>
    <w:rsid w:val="006156FD"/>
    <w:rsid w:val="006159D3"/>
    <w:rsid w:val="00616555"/>
    <w:rsid w:val="006167F7"/>
    <w:rsid w:val="00616F89"/>
    <w:rsid w:val="006174E1"/>
    <w:rsid w:val="00617F73"/>
    <w:rsid w:val="00617FAB"/>
    <w:rsid w:val="006208A3"/>
    <w:rsid w:val="0062099D"/>
    <w:rsid w:val="006209F7"/>
    <w:rsid w:val="0062112E"/>
    <w:rsid w:val="006212F1"/>
    <w:rsid w:val="00621BD4"/>
    <w:rsid w:val="006225F2"/>
    <w:rsid w:val="00622F37"/>
    <w:rsid w:val="00623682"/>
    <w:rsid w:val="006245F3"/>
    <w:rsid w:val="00624631"/>
    <w:rsid w:val="00624C62"/>
    <w:rsid w:val="006250C5"/>
    <w:rsid w:val="006254BD"/>
    <w:rsid w:val="00625B91"/>
    <w:rsid w:val="00626347"/>
    <w:rsid w:val="00627510"/>
    <w:rsid w:val="00627667"/>
    <w:rsid w:val="006278A2"/>
    <w:rsid w:val="00627A88"/>
    <w:rsid w:val="00630322"/>
    <w:rsid w:val="00630362"/>
    <w:rsid w:val="006309B6"/>
    <w:rsid w:val="00630AD4"/>
    <w:rsid w:val="00630E4C"/>
    <w:rsid w:val="00631725"/>
    <w:rsid w:val="00631A6E"/>
    <w:rsid w:val="00631FDD"/>
    <w:rsid w:val="00632653"/>
    <w:rsid w:val="006328AE"/>
    <w:rsid w:val="00632F84"/>
    <w:rsid w:val="006333E3"/>
    <w:rsid w:val="006335D6"/>
    <w:rsid w:val="00633E25"/>
    <w:rsid w:val="00633E2F"/>
    <w:rsid w:val="00634124"/>
    <w:rsid w:val="00634164"/>
    <w:rsid w:val="00634D7E"/>
    <w:rsid w:val="006357C9"/>
    <w:rsid w:val="006358A0"/>
    <w:rsid w:val="006366E1"/>
    <w:rsid w:val="00636A4E"/>
    <w:rsid w:val="00636AD5"/>
    <w:rsid w:val="00636C9D"/>
    <w:rsid w:val="00637230"/>
    <w:rsid w:val="00637DA1"/>
    <w:rsid w:val="00640BA9"/>
    <w:rsid w:val="00640F8F"/>
    <w:rsid w:val="00641B00"/>
    <w:rsid w:val="00641C77"/>
    <w:rsid w:val="00641DFF"/>
    <w:rsid w:val="00642E7B"/>
    <w:rsid w:val="00642F82"/>
    <w:rsid w:val="006433A5"/>
    <w:rsid w:val="00643484"/>
    <w:rsid w:val="00643673"/>
    <w:rsid w:val="006442C1"/>
    <w:rsid w:val="00644713"/>
    <w:rsid w:val="00645978"/>
    <w:rsid w:val="00645EC5"/>
    <w:rsid w:val="0064603C"/>
    <w:rsid w:val="006461D6"/>
    <w:rsid w:val="006466DD"/>
    <w:rsid w:val="00646CDE"/>
    <w:rsid w:val="00646FF7"/>
    <w:rsid w:val="00647410"/>
    <w:rsid w:val="00647ACB"/>
    <w:rsid w:val="006505C5"/>
    <w:rsid w:val="006508BC"/>
    <w:rsid w:val="006509E4"/>
    <w:rsid w:val="00652019"/>
    <w:rsid w:val="0065204F"/>
    <w:rsid w:val="0065226A"/>
    <w:rsid w:val="0065292A"/>
    <w:rsid w:val="006534D9"/>
    <w:rsid w:val="00653DD3"/>
    <w:rsid w:val="00653EA6"/>
    <w:rsid w:val="006540F4"/>
    <w:rsid w:val="0065516E"/>
    <w:rsid w:val="00655D32"/>
    <w:rsid w:val="006565EE"/>
    <w:rsid w:val="0065720A"/>
    <w:rsid w:val="00657384"/>
    <w:rsid w:val="00657A3A"/>
    <w:rsid w:val="006606BC"/>
    <w:rsid w:val="00660A92"/>
    <w:rsid w:val="00660B9B"/>
    <w:rsid w:val="00660D5F"/>
    <w:rsid w:val="00661705"/>
    <w:rsid w:val="0066192C"/>
    <w:rsid w:val="006622AD"/>
    <w:rsid w:val="006635FC"/>
    <w:rsid w:val="00663C30"/>
    <w:rsid w:val="00663E7E"/>
    <w:rsid w:val="00664217"/>
    <w:rsid w:val="0066427D"/>
    <w:rsid w:val="0066538E"/>
    <w:rsid w:val="00665A3E"/>
    <w:rsid w:val="00665B23"/>
    <w:rsid w:val="0066618C"/>
    <w:rsid w:val="00666201"/>
    <w:rsid w:val="00666624"/>
    <w:rsid w:val="006667A4"/>
    <w:rsid w:val="00666CDC"/>
    <w:rsid w:val="00666D71"/>
    <w:rsid w:val="0066709A"/>
    <w:rsid w:val="0066749B"/>
    <w:rsid w:val="00667A12"/>
    <w:rsid w:val="00667D5C"/>
    <w:rsid w:val="00670134"/>
    <w:rsid w:val="006701BF"/>
    <w:rsid w:val="00670232"/>
    <w:rsid w:val="006722C0"/>
    <w:rsid w:val="00672650"/>
    <w:rsid w:val="00672DF3"/>
    <w:rsid w:val="006737A2"/>
    <w:rsid w:val="006738E2"/>
    <w:rsid w:val="006746D8"/>
    <w:rsid w:val="00674975"/>
    <w:rsid w:val="00674EAF"/>
    <w:rsid w:val="0067535E"/>
    <w:rsid w:val="00676129"/>
    <w:rsid w:val="006765FD"/>
    <w:rsid w:val="006769D2"/>
    <w:rsid w:val="00676A9D"/>
    <w:rsid w:val="00676DF0"/>
    <w:rsid w:val="0067755F"/>
    <w:rsid w:val="006803FB"/>
    <w:rsid w:val="00680A03"/>
    <w:rsid w:val="00681120"/>
    <w:rsid w:val="006815CE"/>
    <w:rsid w:val="006819D3"/>
    <w:rsid w:val="006823C6"/>
    <w:rsid w:val="00682BE1"/>
    <w:rsid w:val="00682DF4"/>
    <w:rsid w:val="00683392"/>
    <w:rsid w:val="0068371F"/>
    <w:rsid w:val="00684B61"/>
    <w:rsid w:val="0068549F"/>
    <w:rsid w:val="006855C5"/>
    <w:rsid w:val="00685C50"/>
    <w:rsid w:val="00686262"/>
    <w:rsid w:val="0068646C"/>
    <w:rsid w:val="006864CD"/>
    <w:rsid w:val="00686DDB"/>
    <w:rsid w:val="006871B3"/>
    <w:rsid w:val="006872BF"/>
    <w:rsid w:val="0069066D"/>
    <w:rsid w:val="006907E0"/>
    <w:rsid w:val="00690867"/>
    <w:rsid w:val="00690B2A"/>
    <w:rsid w:val="00690D5C"/>
    <w:rsid w:val="006925CC"/>
    <w:rsid w:val="00692BC2"/>
    <w:rsid w:val="00693222"/>
    <w:rsid w:val="00693D71"/>
    <w:rsid w:val="00693E87"/>
    <w:rsid w:val="0069456D"/>
    <w:rsid w:val="006945E6"/>
    <w:rsid w:val="00695167"/>
    <w:rsid w:val="0069517C"/>
    <w:rsid w:val="00695D5A"/>
    <w:rsid w:val="006968F3"/>
    <w:rsid w:val="00696F29"/>
    <w:rsid w:val="00697324"/>
    <w:rsid w:val="00697AB8"/>
    <w:rsid w:val="006A03A8"/>
    <w:rsid w:val="006A0A80"/>
    <w:rsid w:val="006A0DD1"/>
    <w:rsid w:val="006A10D5"/>
    <w:rsid w:val="006A1CE8"/>
    <w:rsid w:val="006A2117"/>
    <w:rsid w:val="006A28D5"/>
    <w:rsid w:val="006A2975"/>
    <w:rsid w:val="006A2ECD"/>
    <w:rsid w:val="006A338E"/>
    <w:rsid w:val="006A3430"/>
    <w:rsid w:val="006A40BB"/>
    <w:rsid w:val="006A41B1"/>
    <w:rsid w:val="006A451C"/>
    <w:rsid w:val="006A47E0"/>
    <w:rsid w:val="006A4D3F"/>
    <w:rsid w:val="006A4FFC"/>
    <w:rsid w:val="006A594A"/>
    <w:rsid w:val="006A6DAD"/>
    <w:rsid w:val="006A6E29"/>
    <w:rsid w:val="006B0139"/>
    <w:rsid w:val="006B079D"/>
    <w:rsid w:val="006B0EC8"/>
    <w:rsid w:val="006B1DFD"/>
    <w:rsid w:val="006B25B2"/>
    <w:rsid w:val="006B277B"/>
    <w:rsid w:val="006B37A4"/>
    <w:rsid w:val="006B396A"/>
    <w:rsid w:val="006B4A5C"/>
    <w:rsid w:val="006B4BFA"/>
    <w:rsid w:val="006B58A7"/>
    <w:rsid w:val="006B5DDA"/>
    <w:rsid w:val="006B672D"/>
    <w:rsid w:val="006B6AFA"/>
    <w:rsid w:val="006B6C54"/>
    <w:rsid w:val="006B72CC"/>
    <w:rsid w:val="006B74B8"/>
    <w:rsid w:val="006B77A7"/>
    <w:rsid w:val="006C04C5"/>
    <w:rsid w:val="006C05E8"/>
    <w:rsid w:val="006C1920"/>
    <w:rsid w:val="006C1F53"/>
    <w:rsid w:val="006C250B"/>
    <w:rsid w:val="006C355A"/>
    <w:rsid w:val="006C377A"/>
    <w:rsid w:val="006C3FF3"/>
    <w:rsid w:val="006C426F"/>
    <w:rsid w:val="006C44C0"/>
    <w:rsid w:val="006C4982"/>
    <w:rsid w:val="006C4E12"/>
    <w:rsid w:val="006C4E45"/>
    <w:rsid w:val="006C52F6"/>
    <w:rsid w:val="006C554D"/>
    <w:rsid w:val="006C5DB4"/>
    <w:rsid w:val="006C6D43"/>
    <w:rsid w:val="006C6E72"/>
    <w:rsid w:val="006C6F84"/>
    <w:rsid w:val="006C712B"/>
    <w:rsid w:val="006C7536"/>
    <w:rsid w:val="006C7AC5"/>
    <w:rsid w:val="006D0147"/>
    <w:rsid w:val="006D0755"/>
    <w:rsid w:val="006D0F4D"/>
    <w:rsid w:val="006D1486"/>
    <w:rsid w:val="006D1A1A"/>
    <w:rsid w:val="006D24AC"/>
    <w:rsid w:val="006D26D8"/>
    <w:rsid w:val="006D28B6"/>
    <w:rsid w:val="006D2DCB"/>
    <w:rsid w:val="006D2EB5"/>
    <w:rsid w:val="006D2ECA"/>
    <w:rsid w:val="006D3711"/>
    <w:rsid w:val="006D3EFF"/>
    <w:rsid w:val="006D3F1A"/>
    <w:rsid w:val="006D407D"/>
    <w:rsid w:val="006D4485"/>
    <w:rsid w:val="006D473D"/>
    <w:rsid w:val="006D4950"/>
    <w:rsid w:val="006D4D79"/>
    <w:rsid w:val="006D54B0"/>
    <w:rsid w:val="006D6C49"/>
    <w:rsid w:val="006D6D70"/>
    <w:rsid w:val="006D72EA"/>
    <w:rsid w:val="006D7D9F"/>
    <w:rsid w:val="006D7F74"/>
    <w:rsid w:val="006E0401"/>
    <w:rsid w:val="006E0404"/>
    <w:rsid w:val="006E08B1"/>
    <w:rsid w:val="006E1005"/>
    <w:rsid w:val="006E10AF"/>
    <w:rsid w:val="006E13AB"/>
    <w:rsid w:val="006E1486"/>
    <w:rsid w:val="006E2127"/>
    <w:rsid w:val="006E25B9"/>
    <w:rsid w:val="006E2DA6"/>
    <w:rsid w:val="006E34A4"/>
    <w:rsid w:val="006E3C2C"/>
    <w:rsid w:val="006E3EE9"/>
    <w:rsid w:val="006E43E9"/>
    <w:rsid w:val="006E43F1"/>
    <w:rsid w:val="006E48BB"/>
    <w:rsid w:val="006E4F12"/>
    <w:rsid w:val="006E4F37"/>
    <w:rsid w:val="006E56E1"/>
    <w:rsid w:val="006E59BE"/>
    <w:rsid w:val="006E5FE7"/>
    <w:rsid w:val="006E6928"/>
    <w:rsid w:val="006E6D2C"/>
    <w:rsid w:val="006E71A6"/>
    <w:rsid w:val="006E76CF"/>
    <w:rsid w:val="006E78AD"/>
    <w:rsid w:val="006E7931"/>
    <w:rsid w:val="006F01FE"/>
    <w:rsid w:val="006F0281"/>
    <w:rsid w:val="006F10E8"/>
    <w:rsid w:val="006F143E"/>
    <w:rsid w:val="006F14B8"/>
    <w:rsid w:val="006F197C"/>
    <w:rsid w:val="006F1CCF"/>
    <w:rsid w:val="006F1E8B"/>
    <w:rsid w:val="006F2CDF"/>
    <w:rsid w:val="006F441F"/>
    <w:rsid w:val="006F4D98"/>
    <w:rsid w:val="006F4EEB"/>
    <w:rsid w:val="006F533B"/>
    <w:rsid w:val="006F5682"/>
    <w:rsid w:val="006F5E5E"/>
    <w:rsid w:val="006F6A74"/>
    <w:rsid w:val="006F7037"/>
    <w:rsid w:val="006F7EA7"/>
    <w:rsid w:val="00700131"/>
    <w:rsid w:val="00701FE0"/>
    <w:rsid w:val="007023D7"/>
    <w:rsid w:val="0070287C"/>
    <w:rsid w:val="00702E03"/>
    <w:rsid w:val="007030B6"/>
    <w:rsid w:val="00703961"/>
    <w:rsid w:val="00703A25"/>
    <w:rsid w:val="00703A96"/>
    <w:rsid w:val="00704891"/>
    <w:rsid w:val="00705100"/>
    <w:rsid w:val="00705201"/>
    <w:rsid w:val="007053A5"/>
    <w:rsid w:val="007065B7"/>
    <w:rsid w:val="0070671C"/>
    <w:rsid w:val="007068E6"/>
    <w:rsid w:val="00706A82"/>
    <w:rsid w:val="00706D2D"/>
    <w:rsid w:val="00707AF0"/>
    <w:rsid w:val="00707EB2"/>
    <w:rsid w:val="00710358"/>
    <w:rsid w:val="007108D4"/>
    <w:rsid w:val="007110A0"/>
    <w:rsid w:val="0071169E"/>
    <w:rsid w:val="00711931"/>
    <w:rsid w:val="00711C12"/>
    <w:rsid w:val="00711D3B"/>
    <w:rsid w:val="00712549"/>
    <w:rsid w:val="0071317A"/>
    <w:rsid w:val="00713506"/>
    <w:rsid w:val="007136AD"/>
    <w:rsid w:val="007138F7"/>
    <w:rsid w:val="00713DB8"/>
    <w:rsid w:val="00713FF8"/>
    <w:rsid w:val="00715BF2"/>
    <w:rsid w:val="007167AA"/>
    <w:rsid w:val="0071687F"/>
    <w:rsid w:val="00716FA9"/>
    <w:rsid w:val="0071757A"/>
    <w:rsid w:val="007179FF"/>
    <w:rsid w:val="007200DD"/>
    <w:rsid w:val="00720A2B"/>
    <w:rsid w:val="00720C3B"/>
    <w:rsid w:val="007215C2"/>
    <w:rsid w:val="00721C43"/>
    <w:rsid w:val="0072335C"/>
    <w:rsid w:val="007234DF"/>
    <w:rsid w:val="00723E1A"/>
    <w:rsid w:val="00723E40"/>
    <w:rsid w:val="0072410F"/>
    <w:rsid w:val="0072427C"/>
    <w:rsid w:val="00724301"/>
    <w:rsid w:val="007247AF"/>
    <w:rsid w:val="00724DEC"/>
    <w:rsid w:val="00724FCC"/>
    <w:rsid w:val="00725491"/>
    <w:rsid w:val="00725A94"/>
    <w:rsid w:val="00725B8F"/>
    <w:rsid w:val="00725B9E"/>
    <w:rsid w:val="00725C1B"/>
    <w:rsid w:val="0072623D"/>
    <w:rsid w:val="0072676B"/>
    <w:rsid w:val="00726ADC"/>
    <w:rsid w:val="00726B55"/>
    <w:rsid w:val="0072777B"/>
    <w:rsid w:val="00727C05"/>
    <w:rsid w:val="00727F42"/>
    <w:rsid w:val="007301C2"/>
    <w:rsid w:val="007306BC"/>
    <w:rsid w:val="00730B16"/>
    <w:rsid w:val="0073157A"/>
    <w:rsid w:val="0073177A"/>
    <w:rsid w:val="00731859"/>
    <w:rsid w:val="007322BD"/>
    <w:rsid w:val="00732448"/>
    <w:rsid w:val="00732DB1"/>
    <w:rsid w:val="00733BEA"/>
    <w:rsid w:val="00733D97"/>
    <w:rsid w:val="00734228"/>
    <w:rsid w:val="00734D42"/>
    <w:rsid w:val="007358BA"/>
    <w:rsid w:val="00735B41"/>
    <w:rsid w:val="00735F13"/>
    <w:rsid w:val="00737ED0"/>
    <w:rsid w:val="00740066"/>
    <w:rsid w:val="00740321"/>
    <w:rsid w:val="00740546"/>
    <w:rsid w:val="0074078A"/>
    <w:rsid w:val="007407B3"/>
    <w:rsid w:val="007407BE"/>
    <w:rsid w:val="007410A8"/>
    <w:rsid w:val="007411A6"/>
    <w:rsid w:val="00741FFC"/>
    <w:rsid w:val="0074210F"/>
    <w:rsid w:val="00743004"/>
    <w:rsid w:val="007433EF"/>
    <w:rsid w:val="007436F4"/>
    <w:rsid w:val="00743A88"/>
    <w:rsid w:val="00744382"/>
    <w:rsid w:val="00744772"/>
    <w:rsid w:val="00744999"/>
    <w:rsid w:val="00744AC6"/>
    <w:rsid w:val="00745001"/>
    <w:rsid w:val="00745487"/>
    <w:rsid w:val="00745861"/>
    <w:rsid w:val="00745BD0"/>
    <w:rsid w:val="00746064"/>
    <w:rsid w:val="007468F7"/>
    <w:rsid w:val="00747D82"/>
    <w:rsid w:val="007505B6"/>
    <w:rsid w:val="00750B6B"/>
    <w:rsid w:val="00750F61"/>
    <w:rsid w:val="00750FBD"/>
    <w:rsid w:val="0075148F"/>
    <w:rsid w:val="007515D4"/>
    <w:rsid w:val="00751667"/>
    <w:rsid w:val="00751D95"/>
    <w:rsid w:val="0075201E"/>
    <w:rsid w:val="0075216C"/>
    <w:rsid w:val="00752B27"/>
    <w:rsid w:val="00753285"/>
    <w:rsid w:val="00753389"/>
    <w:rsid w:val="00753BE5"/>
    <w:rsid w:val="00753CF3"/>
    <w:rsid w:val="00754230"/>
    <w:rsid w:val="0075443A"/>
    <w:rsid w:val="00754EE8"/>
    <w:rsid w:val="007559AB"/>
    <w:rsid w:val="00755A65"/>
    <w:rsid w:val="007571D9"/>
    <w:rsid w:val="00757C69"/>
    <w:rsid w:val="00757E0E"/>
    <w:rsid w:val="0075E3E0"/>
    <w:rsid w:val="0076009A"/>
    <w:rsid w:val="0076068C"/>
    <w:rsid w:val="00760B23"/>
    <w:rsid w:val="00761442"/>
    <w:rsid w:val="0076190F"/>
    <w:rsid w:val="00762100"/>
    <w:rsid w:val="00762C95"/>
    <w:rsid w:val="00762F60"/>
    <w:rsid w:val="0076326F"/>
    <w:rsid w:val="00763DF8"/>
    <w:rsid w:val="007645A5"/>
    <w:rsid w:val="00764D30"/>
    <w:rsid w:val="007650D2"/>
    <w:rsid w:val="00765837"/>
    <w:rsid w:val="00765C77"/>
    <w:rsid w:val="00765D59"/>
    <w:rsid w:val="007665C8"/>
    <w:rsid w:val="00766B15"/>
    <w:rsid w:val="00766D3B"/>
    <w:rsid w:val="007675E5"/>
    <w:rsid w:val="0077031C"/>
    <w:rsid w:val="00771AC7"/>
    <w:rsid w:val="00771B3B"/>
    <w:rsid w:val="00771CE0"/>
    <w:rsid w:val="00773912"/>
    <w:rsid w:val="00773A9F"/>
    <w:rsid w:val="00773AA2"/>
    <w:rsid w:val="00773CA0"/>
    <w:rsid w:val="00774028"/>
    <w:rsid w:val="0077416D"/>
    <w:rsid w:val="007742C1"/>
    <w:rsid w:val="007742E5"/>
    <w:rsid w:val="0077462F"/>
    <w:rsid w:val="00774AEE"/>
    <w:rsid w:val="00774D65"/>
    <w:rsid w:val="00775D04"/>
    <w:rsid w:val="00775E60"/>
    <w:rsid w:val="00776050"/>
    <w:rsid w:val="007764CF"/>
    <w:rsid w:val="00776A1A"/>
    <w:rsid w:val="00776AFE"/>
    <w:rsid w:val="00777328"/>
    <w:rsid w:val="00777664"/>
    <w:rsid w:val="007778F2"/>
    <w:rsid w:val="00777E3D"/>
    <w:rsid w:val="00780321"/>
    <w:rsid w:val="00780D01"/>
    <w:rsid w:val="00780D9E"/>
    <w:rsid w:val="00780F21"/>
    <w:rsid w:val="00780FDA"/>
    <w:rsid w:val="00781081"/>
    <w:rsid w:val="007819E8"/>
    <w:rsid w:val="00781CAF"/>
    <w:rsid w:val="00781FBA"/>
    <w:rsid w:val="00782041"/>
    <w:rsid w:val="00782FCB"/>
    <w:rsid w:val="007831DB"/>
    <w:rsid w:val="00783A84"/>
    <w:rsid w:val="00783BA9"/>
    <w:rsid w:val="007840A3"/>
    <w:rsid w:val="00784284"/>
    <w:rsid w:val="007842D4"/>
    <w:rsid w:val="0078435A"/>
    <w:rsid w:val="00785674"/>
    <w:rsid w:val="00785AB3"/>
    <w:rsid w:val="00785E57"/>
    <w:rsid w:val="007860EA"/>
    <w:rsid w:val="00786BC9"/>
    <w:rsid w:val="00786F1F"/>
    <w:rsid w:val="007872E6"/>
    <w:rsid w:val="007873DC"/>
    <w:rsid w:val="007877F6"/>
    <w:rsid w:val="00787F07"/>
    <w:rsid w:val="00790190"/>
    <w:rsid w:val="00790354"/>
    <w:rsid w:val="007908EA"/>
    <w:rsid w:val="00790B6F"/>
    <w:rsid w:val="007918F7"/>
    <w:rsid w:val="00791A72"/>
    <w:rsid w:val="007921B4"/>
    <w:rsid w:val="007924EE"/>
    <w:rsid w:val="00792AEF"/>
    <w:rsid w:val="00793650"/>
    <w:rsid w:val="00793B94"/>
    <w:rsid w:val="00794772"/>
    <w:rsid w:val="00794A85"/>
    <w:rsid w:val="00794BE7"/>
    <w:rsid w:val="007950D9"/>
    <w:rsid w:val="007961E3"/>
    <w:rsid w:val="007961F6"/>
    <w:rsid w:val="00796497"/>
    <w:rsid w:val="007968F2"/>
    <w:rsid w:val="00796A25"/>
    <w:rsid w:val="00797233"/>
    <w:rsid w:val="00797980"/>
    <w:rsid w:val="007A0136"/>
    <w:rsid w:val="007A0935"/>
    <w:rsid w:val="007A0D6F"/>
    <w:rsid w:val="007A11E9"/>
    <w:rsid w:val="007A1284"/>
    <w:rsid w:val="007A171C"/>
    <w:rsid w:val="007A18B6"/>
    <w:rsid w:val="007A1CA6"/>
    <w:rsid w:val="007A1CDD"/>
    <w:rsid w:val="007A1DFC"/>
    <w:rsid w:val="007A1EC2"/>
    <w:rsid w:val="007A22B0"/>
    <w:rsid w:val="007A2469"/>
    <w:rsid w:val="007A25A4"/>
    <w:rsid w:val="007A27C0"/>
    <w:rsid w:val="007A2A89"/>
    <w:rsid w:val="007A3ADB"/>
    <w:rsid w:val="007A3DAF"/>
    <w:rsid w:val="007A5AE5"/>
    <w:rsid w:val="007A5B19"/>
    <w:rsid w:val="007A5BBA"/>
    <w:rsid w:val="007A5CB0"/>
    <w:rsid w:val="007A6542"/>
    <w:rsid w:val="007A69CB"/>
    <w:rsid w:val="007A6C97"/>
    <w:rsid w:val="007A6F27"/>
    <w:rsid w:val="007A6FEF"/>
    <w:rsid w:val="007A71D6"/>
    <w:rsid w:val="007A7F16"/>
    <w:rsid w:val="007B05CF"/>
    <w:rsid w:val="007B0DC2"/>
    <w:rsid w:val="007B3138"/>
    <w:rsid w:val="007B31A5"/>
    <w:rsid w:val="007B31C8"/>
    <w:rsid w:val="007B365F"/>
    <w:rsid w:val="007B39C9"/>
    <w:rsid w:val="007B4BCA"/>
    <w:rsid w:val="007B4D3D"/>
    <w:rsid w:val="007B515D"/>
    <w:rsid w:val="007B53F1"/>
    <w:rsid w:val="007B58D9"/>
    <w:rsid w:val="007B5E12"/>
    <w:rsid w:val="007B6017"/>
    <w:rsid w:val="007B615E"/>
    <w:rsid w:val="007B63B3"/>
    <w:rsid w:val="007B6A76"/>
    <w:rsid w:val="007B6A80"/>
    <w:rsid w:val="007B7407"/>
    <w:rsid w:val="007B7D10"/>
    <w:rsid w:val="007C093C"/>
    <w:rsid w:val="007C0990"/>
    <w:rsid w:val="007C0B34"/>
    <w:rsid w:val="007C18A8"/>
    <w:rsid w:val="007C18C1"/>
    <w:rsid w:val="007C1962"/>
    <w:rsid w:val="007C1A44"/>
    <w:rsid w:val="007C2CD3"/>
    <w:rsid w:val="007C305B"/>
    <w:rsid w:val="007C38FA"/>
    <w:rsid w:val="007C3C2D"/>
    <w:rsid w:val="007C3F84"/>
    <w:rsid w:val="007C41BA"/>
    <w:rsid w:val="007C4E44"/>
    <w:rsid w:val="007C5AAB"/>
    <w:rsid w:val="007C6CAF"/>
    <w:rsid w:val="007C6EAE"/>
    <w:rsid w:val="007C7033"/>
    <w:rsid w:val="007C7579"/>
    <w:rsid w:val="007C7678"/>
    <w:rsid w:val="007C7814"/>
    <w:rsid w:val="007C7FED"/>
    <w:rsid w:val="007D04B2"/>
    <w:rsid w:val="007D1613"/>
    <w:rsid w:val="007D1BD2"/>
    <w:rsid w:val="007D2FF6"/>
    <w:rsid w:val="007D31CB"/>
    <w:rsid w:val="007D31D3"/>
    <w:rsid w:val="007D3808"/>
    <w:rsid w:val="007D3852"/>
    <w:rsid w:val="007D3BA8"/>
    <w:rsid w:val="007D3E45"/>
    <w:rsid w:val="007D3F74"/>
    <w:rsid w:val="007D4086"/>
    <w:rsid w:val="007D4215"/>
    <w:rsid w:val="007D455D"/>
    <w:rsid w:val="007D4F4B"/>
    <w:rsid w:val="007D5E99"/>
    <w:rsid w:val="007D5F4A"/>
    <w:rsid w:val="007D791D"/>
    <w:rsid w:val="007E0841"/>
    <w:rsid w:val="007E0AD0"/>
    <w:rsid w:val="007E0DD2"/>
    <w:rsid w:val="007E0FB1"/>
    <w:rsid w:val="007E1609"/>
    <w:rsid w:val="007E1768"/>
    <w:rsid w:val="007E17D5"/>
    <w:rsid w:val="007E1C09"/>
    <w:rsid w:val="007E21AE"/>
    <w:rsid w:val="007E2331"/>
    <w:rsid w:val="007E24AE"/>
    <w:rsid w:val="007E262E"/>
    <w:rsid w:val="007E2BC6"/>
    <w:rsid w:val="007E2CCA"/>
    <w:rsid w:val="007E2E6C"/>
    <w:rsid w:val="007E30EE"/>
    <w:rsid w:val="007E3225"/>
    <w:rsid w:val="007E350B"/>
    <w:rsid w:val="007E3733"/>
    <w:rsid w:val="007E484F"/>
    <w:rsid w:val="007E4A4C"/>
    <w:rsid w:val="007E4C54"/>
    <w:rsid w:val="007E4DB3"/>
    <w:rsid w:val="007E4DE6"/>
    <w:rsid w:val="007E551A"/>
    <w:rsid w:val="007E5979"/>
    <w:rsid w:val="007E5EC2"/>
    <w:rsid w:val="007E7113"/>
    <w:rsid w:val="007E71E1"/>
    <w:rsid w:val="007E796F"/>
    <w:rsid w:val="007F01E4"/>
    <w:rsid w:val="007F0934"/>
    <w:rsid w:val="007F0A00"/>
    <w:rsid w:val="007F109B"/>
    <w:rsid w:val="007F1AB7"/>
    <w:rsid w:val="007F1FF3"/>
    <w:rsid w:val="007F202A"/>
    <w:rsid w:val="007F2655"/>
    <w:rsid w:val="007F277C"/>
    <w:rsid w:val="007F2B51"/>
    <w:rsid w:val="007F33A0"/>
    <w:rsid w:val="007F35C1"/>
    <w:rsid w:val="007F485F"/>
    <w:rsid w:val="007F4EC2"/>
    <w:rsid w:val="007F58E4"/>
    <w:rsid w:val="007F6261"/>
    <w:rsid w:val="007F6487"/>
    <w:rsid w:val="007F667D"/>
    <w:rsid w:val="007F69BB"/>
    <w:rsid w:val="007F7187"/>
    <w:rsid w:val="007F7EFB"/>
    <w:rsid w:val="007F7F54"/>
    <w:rsid w:val="0080097B"/>
    <w:rsid w:val="00800FA9"/>
    <w:rsid w:val="00801470"/>
    <w:rsid w:val="0080199C"/>
    <w:rsid w:val="00801FFB"/>
    <w:rsid w:val="008024CA"/>
    <w:rsid w:val="00804B2A"/>
    <w:rsid w:val="008053EC"/>
    <w:rsid w:val="00805AC5"/>
    <w:rsid w:val="00805BD7"/>
    <w:rsid w:val="00806115"/>
    <w:rsid w:val="008063D3"/>
    <w:rsid w:val="00806831"/>
    <w:rsid w:val="00806F2C"/>
    <w:rsid w:val="008074DA"/>
    <w:rsid w:val="00807578"/>
    <w:rsid w:val="00810084"/>
    <w:rsid w:val="008109E3"/>
    <w:rsid w:val="008111F4"/>
    <w:rsid w:val="00811356"/>
    <w:rsid w:val="00813600"/>
    <w:rsid w:val="00813BE0"/>
    <w:rsid w:val="008140D6"/>
    <w:rsid w:val="00814172"/>
    <w:rsid w:val="008153C2"/>
    <w:rsid w:val="008158B9"/>
    <w:rsid w:val="008158C4"/>
    <w:rsid w:val="00815FD3"/>
    <w:rsid w:val="00816111"/>
    <w:rsid w:val="0081617F"/>
    <w:rsid w:val="00816DA1"/>
    <w:rsid w:val="00816F6B"/>
    <w:rsid w:val="008170B2"/>
    <w:rsid w:val="008171A5"/>
    <w:rsid w:val="00817376"/>
    <w:rsid w:val="00817738"/>
    <w:rsid w:val="00817782"/>
    <w:rsid w:val="00817B1A"/>
    <w:rsid w:val="008201D2"/>
    <w:rsid w:val="0082097F"/>
    <w:rsid w:val="00820C70"/>
    <w:rsid w:val="00820D9E"/>
    <w:rsid w:val="00820E5E"/>
    <w:rsid w:val="00821322"/>
    <w:rsid w:val="0082152E"/>
    <w:rsid w:val="00821E0F"/>
    <w:rsid w:val="00821F3A"/>
    <w:rsid w:val="008229C0"/>
    <w:rsid w:val="00823254"/>
    <w:rsid w:val="00824416"/>
    <w:rsid w:val="00824579"/>
    <w:rsid w:val="00824A92"/>
    <w:rsid w:val="0082538B"/>
    <w:rsid w:val="008258A4"/>
    <w:rsid w:val="0082671E"/>
    <w:rsid w:val="00826755"/>
    <w:rsid w:val="008267DC"/>
    <w:rsid w:val="00826DFF"/>
    <w:rsid w:val="00827997"/>
    <w:rsid w:val="00830B31"/>
    <w:rsid w:val="00830D69"/>
    <w:rsid w:val="00830E4E"/>
    <w:rsid w:val="00832373"/>
    <w:rsid w:val="00832AA1"/>
    <w:rsid w:val="00832E5C"/>
    <w:rsid w:val="008331A3"/>
    <w:rsid w:val="00833B39"/>
    <w:rsid w:val="00835156"/>
    <w:rsid w:val="008351FA"/>
    <w:rsid w:val="008354C7"/>
    <w:rsid w:val="00835697"/>
    <w:rsid w:val="00835A0D"/>
    <w:rsid w:val="008364A9"/>
    <w:rsid w:val="00836A37"/>
    <w:rsid w:val="00840416"/>
    <w:rsid w:val="008408DA"/>
    <w:rsid w:val="00840BB7"/>
    <w:rsid w:val="00842B9D"/>
    <w:rsid w:val="00842E35"/>
    <w:rsid w:val="008430CC"/>
    <w:rsid w:val="00843220"/>
    <w:rsid w:val="008438F4"/>
    <w:rsid w:val="008441AA"/>
    <w:rsid w:val="008441D4"/>
    <w:rsid w:val="008446A3"/>
    <w:rsid w:val="008461A4"/>
    <w:rsid w:val="00846852"/>
    <w:rsid w:val="00847224"/>
    <w:rsid w:val="008479CE"/>
    <w:rsid w:val="00847F49"/>
    <w:rsid w:val="00850AE0"/>
    <w:rsid w:val="00850F30"/>
    <w:rsid w:val="0085126A"/>
    <w:rsid w:val="00851562"/>
    <w:rsid w:val="00851986"/>
    <w:rsid w:val="00851A66"/>
    <w:rsid w:val="008533D5"/>
    <w:rsid w:val="0085348D"/>
    <w:rsid w:val="00853643"/>
    <w:rsid w:val="008536D5"/>
    <w:rsid w:val="00853ADB"/>
    <w:rsid w:val="00853AE7"/>
    <w:rsid w:val="00853F78"/>
    <w:rsid w:val="00854EFF"/>
    <w:rsid w:val="00856A26"/>
    <w:rsid w:val="00857275"/>
    <w:rsid w:val="00857865"/>
    <w:rsid w:val="00857E08"/>
    <w:rsid w:val="00857FA8"/>
    <w:rsid w:val="0086019B"/>
    <w:rsid w:val="0086039B"/>
    <w:rsid w:val="00860A57"/>
    <w:rsid w:val="00860E06"/>
    <w:rsid w:val="008611F7"/>
    <w:rsid w:val="008613F8"/>
    <w:rsid w:val="008618C7"/>
    <w:rsid w:val="0086198B"/>
    <w:rsid w:val="00861F8F"/>
    <w:rsid w:val="00862AEC"/>
    <w:rsid w:val="00862FE8"/>
    <w:rsid w:val="008639BF"/>
    <w:rsid w:val="00864ED2"/>
    <w:rsid w:val="008656D3"/>
    <w:rsid w:val="008663DA"/>
    <w:rsid w:val="00866E47"/>
    <w:rsid w:val="00867356"/>
    <w:rsid w:val="00867AB2"/>
    <w:rsid w:val="00867D2A"/>
    <w:rsid w:val="008702A1"/>
    <w:rsid w:val="008711E7"/>
    <w:rsid w:val="0087155E"/>
    <w:rsid w:val="008718A5"/>
    <w:rsid w:val="008729D8"/>
    <w:rsid w:val="00872C77"/>
    <w:rsid w:val="00872FC6"/>
    <w:rsid w:val="00873375"/>
    <w:rsid w:val="00873A8D"/>
    <w:rsid w:val="00874062"/>
    <w:rsid w:val="008747EF"/>
    <w:rsid w:val="00874A6F"/>
    <w:rsid w:val="00875B8E"/>
    <w:rsid w:val="00875D20"/>
    <w:rsid w:val="008761E1"/>
    <w:rsid w:val="00876318"/>
    <w:rsid w:val="00876B91"/>
    <w:rsid w:val="00876F81"/>
    <w:rsid w:val="0087759F"/>
    <w:rsid w:val="00877942"/>
    <w:rsid w:val="00877FC3"/>
    <w:rsid w:val="00880601"/>
    <w:rsid w:val="0088094E"/>
    <w:rsid w:val="00880B50"/>
    <w:rsid w:val="00881A17"/>
    <w:rsid w:val="00881B17"/>
    <w:rsid w:val="00881C3E"/>
    <w:rsid w:val="00882B62"/>
    <w:rsid w:val="00882D38"/>
    <w:rsid w:val="00882E70"/>
    <w:rsid w:val="008838D8"/>
    <w:rsid w:val="008840BC"/>
    <w:rsid w:val="008843BD"/>
    <w:rsid w:val="0088455F"/>
    <w:rsid w:val="00885B5C"/>
    <w:rsid w:val="008862B9"/>
    <w:rsid w:val="00886EE0"/>
    <w:rsid w:val="0089014A"/>
    <w:rsid w:val="0089060C"/>
    <w:rsid w:val="00891965"/>
    <w:rsid w:val="00891E50"/>
    <w:rsid w:val="0089201B"/>
    <w:rsid w:val="00892178"/>
    <w:rsid w:val="00892746"/>
    <w:rsid w:val="008937B8"/>
    <w:rsid w:val="00893D85"/>
    <w:rsid w:val="00893E3D"/>
    <w:rsid w:val="0089408D"/>
    <w:rsid w:val="00894105"/>
    <w:rsid w:val="00894996"/>
    <w:rsid w:val="00894E84"/>
    <w:rsid w:val="008950C0"/>
    <w:rsid w:val="008950C2"/>
    <w:rsid w:val="008950F0"/>
    <w:rsid w:val="00895632"/>
    <w:rsid w:val="00895BF0"/>
    <w:rsid w:val="00895E18"/>
    <w:rsid w:val="0089653F"/>
    <w:rsid w:val="008965FF"/>
    <w:rsid w:val="0089686D"/>
    <w:rsid w:val="008969C5"/>
    <w:rsid w:val="00896E41"/>
    <w:rsid w:val="008A0041"/>
    <w:rsid w:val="008A04C0"/>
    <w:rsid w:val="008A051E"/>
    <w:rsid w:val="008A0F6B"/>
    <w:rsid w:val="008A12BB"/>
    <w:rsid w:val="008A1608"/>
    <w:rsid w:val="008A19E4"/>
    <w:rsid w:val="008A1C84"/>
    <w:rsid w:val="008A1C96"/>
    <w:rsid w:val="008A1D53"/>
    <w:rsid w:val="008A20D1"/>
    <w:rsid w:val="008A22BF"/>
    <w:rsid w:val="008A230D"/>
    <w:rsid w:val="008A2380"/>
    <w:rsid w:val="008A2625"/>
    <w:rsid w:val="008A2A1E"/>
    <w:rsid w:val="008A2AA8"/>
    <w:rsid w:val="008A2B1F"/>
    <w:rsid w:val="008A2CEC"/>
    <w:rsid w:val="008A384A"/>
    <w:rsid w:val="008A38D5"/>
    <w:rsid w:val="008A39AC"/>
    <w:rsid w:val="008A3A5B"/>
    <w:rsid w:val="008A41E4"/>
    <w:rsid w:val="008A457A"/>
    <w:rsid w:val="008A473B"/>
    <w:rsid w:val="008A4AD2"/>
    <w:rsid w:val="008A4CAD"/>
    <w:rsid w:val="008A53DF"/>
    <w:rsid w:val="008A56A3"/>
    <w:rsid w:val="008A5C67"/>
    <w:rsid w:val="008A64AB"/>
    <w:rsid w:val="008A7115"/>
    <w:rsid w:val="008A764F"/>
    <w:rsid w:val="008A7AAC"/>
    <w:rsid w:val="008B001D"/>
    <w:rsid w:val="008B1A43"/>
    <w:rsid w:val="008B21E8"/>
    <w:rsid w:val="008B2517"/>
    <w:rsid w:val="008B2987"/>
    <w:rsid w:val="008B2B91"/>
    <w:rsid w:val="008B2D81"/>
    <w:rsid w:val="008B3275"/>
    <w:rsid w:val="008B365A"/>
    <w:rsid w:val="008B3D12"/>
    <w:rsid w:val="008B3D48"/>
    <w:rsid w:val="008B4B97"/>
    <w:rsid w:val="008B51D9"/>
    <w:rsid w:val="008B553D"/>
    <w:rsid w:val="008B5C74"/>
    <w:rsid w:val="008B61C1"/>
    <w:rsid w:val="008B6917"/>
    <w:rsid w:val="008B7AAA"/>
    <w:rsid w:val="008B7FA2"/>
    <w:rsid w:val="008C079A"/>
    <w:rsid w:val="008C131B"/>
    <w:rsid w:val="008C1527"/>
    <w:rsid w:val="008C18F2"/>
    <w:rsid w:val="008C195A"/>
    <w:rsid w:val="008C1D80"/>
    <w:rsid w:val="008C1FE1"/>
    <w:rsid w:val="008C24A6"/>
    <w:rsid w:val="008C2C4D"/>
    <w:rsid w:val="008C2D9D"/>
    <w:rsid w:val="008C397C"/>
    <w:rsid w:val="008C3D8A"/>
    <w:rsid w:val="008C475A"/>
    <w:rsid w:val="008C486A"/>
    <w:rsid w:val="008C546A"/>
    <w:rsid w:val="008C5618"/>
    <w:rsid w:val="008C5B52"/>
    <w:rsid w:val="008C6011"/>
    <w:rsid w:val="008C6A30"/>
    <w:rsid w:val="008C6DF5"/>
    <w:rsid w:val="008C7503"/>
    <w:rsid w:val="008C7E7B"/>
    <w:rsid w:val="008D09A3"/>
    <w:rsid w:val="008D1D6E"/>
    <w:rsid w:val="008D1DCF"/>
    <w:rsid w:val="008D2112"/>
    <w:rsid w:val="008D2E58"/>
    <w:rsid w:val="008D3755"/>
    <w:rsid w:val="008D3BA6"/>
    <w:rsid w:val="008D3CC1"/>
    <w:rsid w:val="008D3FD9"/>
    <w:rsid w:val="008D4DEC"/>
    <w:rsid w:val="008D4F86"/>
    <w:rsid w:val="008D5115"/>
    <w:rsid w:val="008D5162"/>
    <w:rsid w:val="008D51D3"/>
    <w:rsid w:val="008D5770"/>
    <w:rsid w:val="008D6114"/>
    <w:rsid w:val="008D629A"/>
    <w:rsid w:val="008D62E9"/>
    <w:rsid w:val="008D7069"/>
    <w:rsid w:val="008D72F7"/>
    <w:rsid w:val="008D738B"/>
    <w:rsid w:val="008D767A"/>
    <w:rsid w:val="008D7F28"/>
    <w:rsid w:val="008E08F2"/>
    <w:rsid w:val="008E0EDA"/>
    <w:rsid w:val="008E138E"/>
    <w:rsid w:val="008E1443"/>
    <w:rsid w:val="008E1462"/>
    <w:rsid w:val="008E275C"/>
    <w:rsid w:val="008E2C2A"/>
    <w:rsid w:val="008E2CC9"/>
    <w:rsid w:val="008E38E5"/>
    <w:rsid w:val="008E3CD9"/>
    <w:rsid w:val="008E42DB"/>
    <w:rsid w:val="008E5769"/>
    <w:rsid w:val="008E673E"/>
    <w:rsid w:val="008E67C3"/>
    <w:rsid w:val="008E70F0"/>
    <w:rsid w:val="008E73AE"/>
    <w:rsid w:val="008E747F"/>
    <w:rsid w:val="008E75AD"/>
    <w:rsid w:val="008F0699"/>
    <w:rsid w:val="008F158B"/>
    <w:rsid w:val="008F15F4"/>
    <w:rsid w:val="008F2267"/>
    <w:rsid w:val="008F2326"/>
    <w:rsid w:val="008F25B9"/>
    <w:rsid w:val="008F28A1"/>
    <w:rsid w:val="008F35E1"/>
    <w:rsid w:val="008F382F"/>
    <w:rsid w:val="008F39AB"/>
    <w:rsid w:val="008F4B50"/>
    <w:rsid w:val="008F527A"/>
    <w:rsid w:val="008F540B"/>
    <w:rsid w:val="008F58AF"/>
    <w:rsid w:val="008F627F"/>
    <w:rsid w:val="008F6DFC"/>
    <w:rsid w:val="008F78D1"/>
    <w:rsid w:val="009005E2"/>
    <w:rsid w:val="00900949"/>
    <w:rsid w:val="00900E92"/>
    <w:rsid w:val="00900FA0"/>
    <w:rsid w:val="00901128"/>
    <w:rsid w:val="009014C0"/>
    <w:rsid w:val="0090175F"/>
    <w:rsid w:val="009017A6"/>
    <w:rsid w:val="00902440"/>
    <w:rsid w:val="00902876"/>
    <w:rsid w:val="00902D27"/>
    <w:rsid w:val="00903C4B"/>
    <w:rsid w:val="00903DF3"/>
    <w:rsid w:val="009040C1"/>
    <w:rsid w:val="00904A67"/>
    <w:rsid w:val="009050E2"/>
    <w:rsid w:val="0090621B"/>
    <w:rsid w:val="00907021"/>
    <w:rsid w:val="0090749B"/>
    <w:rsid w:val="009076EA"/>
    <w:rsid w:val="00907A6B"/>
    <w:rsid w:val="009103D0"/>
    <w:rsid w:val="00910B9B"/>
    <w:rsid w:val="009111F9"/>
    <w:rsid w:val="00911327"/>
    <w:rsid w:val="00911397"/>
    <w:rsid w:val="00911602"/>
    <w:rsid w:val="00912167"/>
    <w:rsid w:val="0091269A"/>
    <w:rsid w:val="00912FBC"/>
    <w:rsid w:val="00913948"/>
    <w:rsid w:val="009144E2"/>
    <w:rsid w:val="00914DC9"/>
    <w:rsid w:val="0091505B"/>
    <w:rsid w:val="00915332"/>
    <w:rsid w:val="009168EC"/>
    <w:rsid w:val="00916B13"/>
    <w:rsid w:val="00916E52"/>
    <w:rsid w:val="009170CE"/>
    <w:rsid w:val="00917241"/>
    <w:rsid w:val="00917C8D"/>
    <w:rsid w:val="00917CA4"/>
    <w:rsid w:val="00917D53"/>
    <w:rsid w:val="009209E7"/>
    <w:rsid w:val="00920D57"/>
    <w:rsid w:val="00921711"/>
    <w:rsid w:val="009217CD"/>
    <w:rsid w:val="009225E7"/>
    <w:rsid w:val="0092265F"/>
    <w:rsid w:val="009227D1"/>
    <w:rsid w:val="00922CCC"/>
    <w:rsid w:val="00922D69"/>
    <w:rsid w:val="00922DB2"/>
    <w:rsid w:val="009231D3"/>
    <w:rsid w:val="00923859"/>
    <w:rsid w:val="00923E40"/>
    <w:rsid w:val="00924056"/>
    <w:rsid w:val="009241C1"/>
    <w:rsid w:val="00924A82"/>
    <w:rsid w:val="00924E76"/>
    <w:rsid w:val="00924EB3"/>
    <w:rsid w:val="00924EB4"/>
    <w:rsid w:val="0092583E"/>
    <w:rsid w:val="00925B7A"/>
    <w:rsid w:val="00925D48"/>
    <w:rsid w:val="0092646D"/>
    <w:rsid w:val="00927493"/>
    <w:rsid w:val="009279DF"/>
    <w:rsid w:val="00927E41"/>
    <w:rsid w:val="0093056F"/>
    <w:rsid w:val="00930FDA"/>
    <w:rsid w:val="00931EFE"/>
    <w:rsid w:val="0093210C"/>
    <w:rsid w:val="00933166"/>
    <w:rsid w:val="00933D68"/>
    <w:rsid w:val="00933F09"/>
    <w:rsid w:val="0093412A"/>
    <w:rsid w:val="00934265"/>
    <w:rsid w:val="009343AB"/>
    <w:rsid w:val="00934A1A"/>
    <w:rsid w:val="0093505B"/>
    <w:rsid w:val="009366FF"/>
    <w:rsid w:val="009369E9"/>
    <w:rsid w:val="00936AE6"/>
    <w:rsid w:val="00936FD7"/>
    <w:rsid w:val="009372F2"/>
    <w:rsid w:val="009408D4"/>
    <w:rsid w:val="00940C7E"/>
    <w:rsid w:val="00941195"/>
    <w:rsid w:val="009416FE"/>
    <w:rsid w:val="00941AD8"/>
    <w:rsid w:val="00941B7F"/>
    <w:rsid w:val="00941C6A"/>
    <w:rsid w:val="00941CAA"/>
    <w:rsid w:val="00941F52"/>
    <w:rsid w:val="009422CC"/>
    <w:rsid w:val="0094281C"/>
    <w:rsid w:val="00942938"/>
    <w:rsid w:val="00942DFB"/>
    <w:rsid w:val="00942E20"/>
    <w:rsid w:val="009431D1"/>
    <w:rsid w:val="00943385"/>
    <w:rsid w:val="00943508"/>
    <w:rsid w:val="00944CD7"/>
    <w:rsid w:val="009455F3"/>
    <w:rsid w:val="00945C3E"/>
    <w:rsid w:val="00945CD4"/>
    <w:rsid w:val="009460B2"/>
    <w:rsid w:val="00946685"/>
    <w:rsid w:val="00946FF5"/>
    <w:rsid w:val="009470DC"/>
    <w:rsid w:val="009472BE"/>
    <w:rsid w:val="0094768F"/>
    <w:rsid w:val="009504D7"/>
    <w:rsid w:val="009508E1"/>
    <w:rsid w:val="00950A04"/>
    <w:rsid w:val="0095113C"/>
    <w:rsid w:val="0095165A"/>
    <w:rsid w:val="00951A4B"/>
    <w:rsid w:val="0095234D"/>
    <w:rsid w:val="00952421"/>
    <w:rsid w:val="009558CB"/>
    <w:rsid w:val="009562E7"/>
    <w:rsid w:val="009574A1"/>
    <w:rsid w:val="0096022C"/>
    <w:rsid w:val="00960710"/>
    <w:rsid w:val="00961A58"/>
    <w:rsid w:val="00961F18"/>
    <w:rsid w:val="009627E8"/>
    <w:rsid w:val="00962BD3"/>
    <w:rsid w:val="009631CA"/>
    <w:rsid w:val="00963607"/>
    <w:rsid w:val="0096401A"/>
    <w:rsid w:val="009640AC"/>
    <w:rsid w:val="0096427B"/>
    <w:rsid w:val="009643B2"/>
    <w:rsid w:val="009649EC"/>
    <w:rsid w:val="009656E6"/>
    <w:rsid w:val="00965AB2"/>
    <w:rsid w:val="00965B5B"/>
    <w:rsid w:val="00966003"/>
    <w:rsid w:val="009663F3"/>
    <w:rsid w:val="009663F9"/>
    <w:rsid w:val="00966D0D"/>
    <w:rsid w:val="00970068"/>
    <w:rsid w:val="00970473"/>
    <w:rsid w:val="00970BEF"/>
    <w:rsid w:val="00970D7D"/>
    <w:rsid w:val="00970F41"/>
    <w:rsid w:val="00971150"/>
    <w:rsid w:val="009712A5"/>
    <w:rsid w:val="00972376"/>
    <w:rsid w:val="00973317"/>
    <w:rsid w:val="0097378A"/>
    <w:rsid w:val="00974305"/>
    <w:rsid w:val="00974BD1"/>
    <w:rsid w:val="00975008"/>
    <w:rsid w:val="0097516C"/>
    <w:rsid w:val="00975623"/>
    <w:rsid w:val="0097590A"/>
    <w:rsid w:val="00976ED4"/>
    <w:rsid w:val="0097707B"/>
    <w:rsid w:val="0097753C"/>
    <w:rsid w:val="00977A76"/>
    <w:rsid w:val="00977AE7"/>
    <w:rsid w:val="009803E2"/>
    <w:rsid w:val="009807D9"/>
    <w:rsid w:val="00980CD1"/>
    <w:rsid w:val="00980FB6"/>
    <w:rsid w:val="00980FE7"/>
    <w:rsid w:val="009813BB"/>
    <w:rsid w:val="009814F5"/>
    <w:rsid w:val="00981D79"/>
    <w:rsid w:val="00982A54"/>
    <w:rsid w:val="00982BF9"/>
    <w:rsid w:val="00983084"/>
    <w:rsid w:val="0098312D"/>
    <w:rsid w:val="00983EB0"/>
    <w:rsid w:val="009845ED"/>
    <w:rsid w:val="00984B2A"/>
    <w:rsid w:val="00984C8A"/>
    <w:rsid w:val="0098508D"/>
    <w:rsid w:val="009858DC"/>
    <w:rsid w:val="0098656D"/>
    <w:rsid w:val="009866CD"/>
    <w:rsid w:val="00986797"/>
    <w:rsid w:val="009879AD"/>
    <w:rsid w:val="00987E40"/>
    <w:rsid w:val="0099010D"/>
    <w:rsid w:val="00990690"/>
    <w:rsid w:val="009907F2"/>
    <w:rsid w:val="00990E58"/>
    <w:rsid w:val="00990FC0"/>
    <w:rsid w:val="00991367"/>
    <w:rsid w:val="00991543"/>
    <w:rsid w:val="00991914"/>
    <w:rsid w:val="009921FC"/>
    <w:rsid w:val="009926BC"/>
    <w:rsid w:val="0099297A"/>
    <w:rsid w:val="00994481"/>
    <w:rsid w:val="009947F5"/>
    <w:rsid w:val="0099517E"/>
    <w:rsid w:val="00995C2F"/>
    <w:rsid w:val="00996BF5"/>
    <w:rsid w:val="00996EE3"/>
    <w:rsid w:val="00997156"/>
    <w:rsid w:val="00997462"/>
    <w:rsid w:val="00997C06"/>
    <w:rsid w:val="00997E30"/>
    <w:rsid w:val="009A073C"/>
    <w:rsid w:val="009A092B"/>
    <w:rsid w:val="009A0C72"/>
    <w:rsid w:val="009A1058"/>
    <w:rsid w:val="009A221C"/>
    <w:rsid w:val="009A244C"/>
    <w:rsid w:val="009A2DF7"/>
    <w:rsid w:val="009A33FD"/>
    <w:rsid w:val="009A343F"/>
    <w:rsid w:val="009A439F"/>
    <w:rsid w:val="009A450B"/>
    <w:rsid w:val="009A4CDD"/>
    <w:rsid w:val="009A546F"/>
    <w:rsid w:val="009A5D48"/>
    <w:rsid w:val="009A60FD"/>
    <w:rsid w:val="009A65B3"/>
    <w:rsid w:val="009A6697"/>
    <w:rsid w:val="009A6B77"/>
    <w:rsid w:val="009A7105"/>
    <w:rsid w:val="009A755C"/>
    <w:rsid w:val="009B0406"/>
    <w:rsid w:val="009B0A12"/>
    <w:rsid w:val="009B0EAF"/>
    <w:rsid w:val="009B121C"/>
    <w:rsid w:val="009B18F1"/>
    <w:rsid w:val="009B1DCD"/>
    <w:rsid w:val="009B1EAC"/>
    <w:rsid w:val="009B275E"/>
    <w:rsid w:val="009B3208"/>
    <w:rsid w:val="009B3541"/>
    <w:rsid w:val="009B371A"/>
    <w:rsid w:val="009B3C47"/>
    <w:rsid w:val="009B42CB"/>
    <w:rsid w:val="009B4A56"/>
    <w:rsid w:val="009B500A"/>
    <w:rsid w:val="009B5A48"/>
    <w:rsid w:val="009B6181"/>
    <w:rsid w:val="009B6214"/>
    <w:rsid w:val="009B652D"/>
    <w:rsid w:val="009B679A"/>
    <w:rsid w:val="009B67F0"/>
    <w:rsid w:val="009B6838"/>
    <w:rsid w:val="009B6A7B"/>
    <w:rsid w:val="009B74F1"/>
    <w:rsid w:val="009B759A"/>
    <w:rsid w:val="009C07F8"/>
    <w:rsid w:val="009C08CB"/>
    <w:rsid w:val="009C0A0B"/>
    <w:rsid w:val="009C0EE2"/>
    <w:rsid w:val="009C0FAB"/>
    <w:rsid w:val="009C10B2"/>
    <w:rsid w:val="009C11BD"/>
    <w:rsid w:val="009C1DA3"/>
    <w:rsid w:val="009C20B2"/>
    <w:rsid w:val="009C2421"/>
    <w:rsid w:val="009C244F"/>
    <w:rsid w:val="009C2C07"/>
    <w:rsid w:val="009C2E07"/>
    <w:rsid w:val="009C31E2"/>
    <w:rsid w:val="009C3336"/>
    <w:rsid w:val="009C3B02"/>
    <w:rsid w:val="009C3CE4"/>
    <w:rsid w:val="009C47BD"/>
    <w:rsid w:val="009C4985"/>
    <w:rsid w:val="009C4C03"/>
    <w:rsid w:val="009C4C45"/>
    <w:rsid w:val="009C6580"/>
    <w:rsid w:val="009C6915"/>
    <w:rsid w:val="009C6ABF"/>
    <w:rsid w:val="009C6EA0"/>
    <w:rsid w:val="009C6FF0"/>
    <w:rsid w:val="009C711B"/>
    <w:rsid w:val="009C7FD3"/>
    <w:rsid w:val="009D00FF"/>
    <w:rsid w:val="009D0209"/>
    <w:rsid w:val="009D11AA"/>
    <w:rsid w:val="009D170E"/>
    <w:rsid w:val="009D2761"/>
    <w:rsid w:val="009D285B"/>
    <w:rsid w:val="009D2EAC"/>
    <w:rsid w:val="009D30D4"/>
    <w:rsid w:val="009D31A5"/>
    <w:rsid w:val="009D3799"/>
    <w:rsid w:val="009D426E"/>
    <w:rsid w:val="009D4C5A"/>
    <w:rsid w:val="009D50F0"/>
    <w:rsid w:val="009D525A"/>
    <w:rsid w:val="009D52CB"/>
    <w:rsid w:val="009D5776"/>
    <w:rsid w:val="009D5EA1"/>
    <w:rsid w:val="009D6598"/>
    <w:rsid w:val="009D6C33"/>
    <w:rsid w:val="009D726E"/>
    <w:rsid w:val="009D7CB5"/>
    <w:rsid w:val="009D7E4D"/>
    <w:rsid w:val="009E0527"/>
    <w:rsid w:val="009E07EF"/>
    <w:rsid w:val="009E0860"/>
    <w:rsid w:val="009E0895"/>
    <w:rsid w:val="009E0F09"/>
    <w:rsid w:val="009E1115"/>
    <w:rsid w:val="009E1367"/>
    <w:rsid w:val="009E2CB8"/>
    <w:rsid w:val="009E3534"/>
    <w:rsid w:val="009E4BED"/>
    <w:rsid w:val="009E5387"/>
    <w:rsid w:val="009E61A1"/>
    <w:rsid w:val="009E7132"/>
    <w:rsid w:val="009E7D12"/>
    <w:rsid w:val="009F0190"/>
    <w:rsid w:val="009F0356"/>
    <w:rsid w:val="009F0467"/>
    <w:rsid w:val="009F04B3"/>
    <w:rsid w:val="009F0C0B"/>
    <w:rsid w:val="009F1AA9"/>
    <w:rsid w:val="009F2014"/>
    <w:rsid w:val="009F27A2"/>
    <w:rsid w:val="009F28B9"/>
    <w:rsid w:val="009F2AD1"/>
    <w:rsid w:val="009F30B8"/>
    <w:rsid w:val="009F33CE"/>
    <w:rsid w:val="009F3B7E"/>
    <w:rsid w:val="009F4162"/>
    <w:rsid w:val="009F41A3"/>
    <w:rsid w:val="009F41CA"/>
    <w:rsid w:val="009F4508"/>
    <w:rsid w:val="009F48BE"/>
    <w:rsid w:val="009F4ED9"/>
    <w:rsid w:val="009F51F1"/>
    <w:rsid w:val="009F5288"/>
    <w:rsid w:val="009F53CE"/>
    <w:rsid w:val="009F5457"/>
    <w:rsid w:val="009F56D9"/>
    <w:rsid w:val="009F62DE"/>
    <w:rsid w:val="009F6307"/>
    <w:rsid w:val="009F64A9"/>
    <w:rsid w:val="009F6BB7"/>
    <w:rsid w:val="009F6C4A"/>
    <w:rsid w:val="009F6F10"/>
    <w:rsid w:val="009F76C4"/>
    <w:rsid w:val="009F7A55"/>
    <w:rsid w:val="009F7DE4"/>
    <w:rsid w:val="00A0032C"/>
    <w:rsid w:val="00A00B63"/>
    <w:rsid w:val="00A00C7F"/>
    <w:rsid w:val="00A0296B"/>
    <w:rsid w:val="00A02BDD"/>
    <w:rsid w:val="00A03A33"/>
    <w:rsid w:val="00A03DBE"/>
    <w:rsid w:val="00A04233"/>
    <w:rsid w:val="00A044AE"/>
    <w:rsid w:val="00A04AB4"/>
    <w:rsid w:val="00A063B0"/>
    <w:rsid w:val="00A063F7"/>
    <w:rsid w:val="00A06408"/>
    <w:rsid w:val="00A078B3"/>
    <w:rsid w:val="00A07BD5"/>
    <w:rsid w:val="00A10D94"/>
    <w:rsid w:val="00A1138E"/>
    <w:rsid w:val="00A11BAD"/>
    <w:rsid w:val="00A12404"/>
    <w:rsid w:val="00A12EA4"/>
    <w:rsid w:val="00A132EE"/>
    <w:rsid w:val="00A13812"/>
    <w:rsid w:val="00A1398E"/>
    <w:rsid w:val="00A13E82"/>
    <w:rsid w:val="00A1478F"/>
    <w:rsid w:val="00A1562A"/>
    <w:rsid w:val="00A15710"/>
    <w:rsid w:val="00A15877"/>
    <w:rsid w:val="00A16AEE"/>
    <w:rsid w:val="00A16B77"/>
    <w:rsid w:val="00A16D8F"/>
    <w:rsid w:val="00A17957"/>
    <w:rsid w:val="00A20248"/>
    <w:rsid w:val="00A205C8"/>
    <w:rsid w:val="00A20866"/>
    <w:rsid w:val="00A21069"/>
    <w:rsid w:val="00A2131E"/>
    <w:rsid w:val="00A220CC"/>
    <w:rsid w:val="00A22593"/>
    <w:rsid w:val="00A229AF"/>
    <w:rsid w:val="00A22E53"/>
    <w:rsid w:val="00A2399E"/>
    <w:rsid w:val="00A2402E"/>
    <w:rsid w:val="00A24301"/>
    <w:rsid w:val="00A244D2"/>
    <w:rsid w:val="00A257C1"/>
    <w:rsid w:val="00A262C6"/>
    <w:rsid w:val="00A2658D"/>
    <w:rsid w:val="00A269FB"/>
    <w:rsid w:val="00A273D4"/>
    <w:rsid w:val="00A27AE3"/>
    <w:rsid w:val="00A303CB"/>
    <w:rsid w:val="00A30661"/>
    <w:rsid w:val="00A309F3"/>
    <w:rsid w:val="00A30D08"/>
    <w:rsid w:val="00A314EB"/>
    <w:rsid w:val="00A31964"/>
    <w:rsid w:val="00A31CF8"/>
    <w:rsid w:val="00A3275C"/>
    <w:rsid w:val="00A33259"/>
    <w:rsid w:val="00A336FA"/>
    <w:rsid w:val="00A338C7"/>
    <w:rsid w:val="00A33E0D"/>
    <w:rsid w:val="00A341E1"/>
    <w:rsid w:val="00A342DD"/>
    <w:rsid w:val="00A34498"/>
    <w:rsid w:val="00A34D41"/>
    <w:rsid w:val="00A35CF7"/>
    <w:rsid w:val="00A371DC"/>
    <w:rsid w:val="00A371DD"/>
    <w:rsid w:val="00A37C28"/>
    <w:rsid w:val="00A40960"/>
    <w:rsid w:val="00A40D4D"/>
    <w:rsid w:val="00A412D8"/>
    <w:rsid w:val="00A4190B"/>
    <w:rsid w:val="00A41E49"/>
    <w:rsid w:val="00A42448"/>
    <w:rsid w:val="00A42AAA"/>
    <w:rsid w:val="00A42D00"/>
    <w:rsid w:val="00A43001"/>
    <w:rsid w:val="00A430D4"/>
    <w:rsid w:val="00A43127"/>
    <w:rsid w:val="00A43BA6"/>
    <w:rsid w:val="00A43D0E"/>
    <w:rsid w:val="00A441F3"/>
    <w:rsid w:val="00A445AA"/>
    <w:rsid w:val="00A454A0"/>
    <w:rsid w:val="00A454F1"/>
    <w:rsid w:val="00A4574F"/>
    <w:rsid w:val="00A45CB9"/>
    <w:rsid w:val="00A45D59"/>
    <w:rsid w:val="00A46070"/>
    <w:rsid w:val="00A460AF"/>
    <w:rsid w:val="00A47D4B"/>
    <w:rsid w:val="00A5039B"/>
    <w:rsid w:val="00A5063F"/>
    <w:rsid w:val="00A508F6"/>
    <w:rsid w:val="00A50DD0"/>
    <w:rsid w:val="00A510D1"/>
    <w:rsid w:val="00A51C1C"/>
    <w:rsid w:val="00A53428"/>
    <w:rsid w:val="00A534F7"/>
    <w:rsid w:val="00A53A31"/>
    <w:rsid w:val="00A540C3"/>
    <w:rsid w:val="00A54427"/>
    <w:rsid w:val="00A54C2A"/>
    <w:rsid w:val="00A54D79"/>
    <w:rsid w:val="00A552C1"/>
    <w:rsid w:val="00A55B8A"/>
    <w:rsid w:val="00A55D16"/>
    <w:rsid w:val="00A56001"/>
    <w:rsid w:val="00A56913"/>
    <w:rsid w:val="00A56CBD"/>
    <w:rsid w:val="00A56FB1"/>
    <w:rsid w:val="00A574BC"/>
    <w:rsid w:val="00A60A61"/>
    <w:rsid w:val="00A614DB"/>
    <w:rsid w:val="00A619AA"/>
    <w:rsid w:val="00A61BF8"/>
    <w:rsid w:val="00A61F01"/>
    <w:rsid w:val="00A6214F"/>
    <w:rsid w:val="00A62250"/>
    <w:rsid w:val="00A62F2B"/>
    <w:rsid w:val="00A630E5"/>
    <w:rsid w:val="00A632B2"/>
    <w:rsid w:val="00A6374F"/>
    <w:rsid w:val="00A63B7F"/>
    <w:rsid w:val="00A63C57"/>
    <w:rsid w:val="00A64208"/>
    <w:rsid w:val="00A646AB"/>
    <w:rsid w:val="00A64A14"/>
    <w:rsid w:val="00A65092"/>
    <w:rsid w:val="00A65240"/>
    <w:rsid w:val="00A65952"/>
    <w:rsid w:val="00A65D1C"/>
    <w:rsid w:val="00A66B6E"/>
    <w:rsid w:val="00A66F00"/>
    <w:rsid w:val="00A67019"/>
    <w:rsid w:val="00A67247"/>
    <w:rsid w:val="00A675A4"/>
    <w:rsid w:val="00A67B12"/>
    <w:rsid w:val="00A67C97"/>
    <w:rsid w:val="00A70B32"/>
    <w:rsid w:val="00A70F0A"/>
    <w:rsid w:val="00A7168E"/>
    <w:rsid w:val="00A729B1"/>
    <w:rsid w:val="00A72D94"/>
    <w:rsid w:val="00A7330B"/>
    <w:rsid w:val="00A7419D"/>
    <w:rsid w:val="00A749BE"/>
    <w:rsid w:val="00A74AF6"/>
    <w:rsid w:val="00A74B57"/>
    <w:rsid w:val="00A74FBB"/>
    <w:rsid w:val="00A75B87"/>
    <w:rsid w:val="00A75D38"/>
    <w:rsid w:val="00A75F6C"/>
    <w:rsid w:val="00A76040"/>
    <w:rsid w:val="00A76127"/>
    <w:rsid w:val="00A76265"/>
    <w:rsid w:val="00A76383"/>
    <w:rsid w:val="00A771DB"/>
    <w:rsid w:val="00A772A9"/>
    <w:rsid w:val="00A8000C"/>
    <w:rsid w:val="00A8021A"/>
    <w:rsid w:val="00A80594"/>
    <w:rsid w:val="00A80992"/>
    <w:rsid w:val="00A80A06"/>
    <w:rsid w:val="00A80F92"/>
    <w:rsid w:val="00A81A85"/>
    <w:rsid w:val="00A82296"/>
    <w:rsid w:val="00A828CB"/>
    <w:rsid w:val="00A82EA5"/>
    <w:rsid w:val="00A833D3"/>
    <w:rsid w:val="00A83CAE"/>
    <w:rsid w:val="00A83E40"/>
    <w:rsid w:val="00A8447F"/>
    <w:rsid w:val="00A844D7"/>
    <w:rsid w:val="00A85F15"/>
    <w:rsid w:val="00A860A3"/>
    <w:rsid w:val="00A86E38"/>
    <w:rsid w:val="00A86FE0"/>
    <w:rsid w:val="00A87992"/>
    <w:rsid w:val="00A87BDC"/>
    <w:rsid w:val="00A90B1E"/>
    <w:rsid w:val="00A9129C"/>
    <w:rsid w:val="00A91A0B"/>
    <w:rsid w:val="00A91A28"/>
    <w:rsid w:val="00A92A35"/>
    <w:rsid w:val="00A92D17"/>
    <w:rsid w:val="00A947D2"/>
    <w:rsid w:val="00A9480B"/>
    <w:rsid w:val="00A94BC6"/>
    <w:rsid w:val="00A94FF2"/>
    <w:rsid w:val="00A951B3"/>
    <w:rsid w:val="00A95323"/>
    <w:rsid w:val="00A95D08"/>
    <w:rsid w:val="00A96381"/>
    <w:rsid w:val="00A96806"/>
    <w:rsid w:val="00A969BF"/>
    <w:rsid w:val="00A969C8"/>
    <w:rsid w:val="00A97C40"/>
    <w:rsid w:val="00A97EF9"/>
    <w:rsid w:val="00AA06D3"/>
    <w:rsid w:val="00AA0994"/>
    <w:rsid w:val="00AA0C79"/>
    <w:rsid w:val="00AA0EA5"/>
    <w:rsid w:val="00AA0FA7"/>
    <w:rsid w:val="00AA1260"/>
    <w:rsid w:val="00AA1268"/>
    <w:rsid w:val="00AA12A2"/>
    <w:rsid w:val="00AA14EA"/>
    <w:rsid w:val="00AA2986"/>
    <w:rsid w:val="00AA34BB"/>
    <w:rsid w:val="00AA3AAE"/>
    <w:rsid w:val="00AA5023"/>
    <w:rsid w:val="00AA53FD"/>
    <w:rsid w:val="00AA5442"/>
    <w:rsid w:val="00AA5E09"/>
    <w:rsid w:val="00AA5F36"/>
    <w:rsid w:val="00AA620F"/>
    <w:rsid w:val="00AA653D"/>
    <w:rsid w:val="00AA66B5"/>
    <w:rsid w:val="00AA6B36"/>
    <w:rsid w:val="00AA6CDE"/>
    <w:rsid w:val="00AA73EC"/>
    <w:rsid w:val="00AB024A"/>
    <w:rsid w:val="00AB0D9A"/>
    <w:rsid w:val="00AB1B1D"/>
    <w:rsid w:val="00AB1C2D"/>
    <w:rsid w:val="00AB2397"/>
    <w:rsid w:val="00AB2AE4"/>
    <w:rsid w:val="00AB2B18"/>
    <w:rsid w:val="00AB3B2F"/>
    <w:rsid w:val="00AB3B69"/>
    <w:rsid w:val="00AB400B"/>
    <w:rsid w:val="00AB4381"/>
    <w:rsid w:val="00AB46D1"/>
    <w:rsid w:val="00AB5A32"/>
    <w:rsid w:val="00AB5B72"/>
    <w:rsid w:val="00AB6C95"/>
    <w:rsid w:val="00AB6DF8"/>
    <w:rsid w:val="00AB6EAC"/>
    <w:rsid w:val="00AC0053"/>
    <w:rsid w:val="00AC06D7"/>
    <w:rsid w:val="00AC0C77"/>
    <w:rsid w:val="00AC1AA3"/>
    <w:rsid w:val="00AC1C5A"/>
    <w:rsid w:val="00AC1C84"/>
    <w:rsid w:val="00AC2935"/>
    <w:rsid w:val="00AC2C5A"/>
    <w:rsid w:val="00AC2CDB"/>
    <w:rsid w:val="00AC2D3F"/>
    <w:rsid w:val="00AC2DA9"/>
    <w:rsid w:val="00AC2E03"/>
    <w:rsid w:val="00AC33C3"/>
    <w:rsid w:val="00AC35C4"/>
    <w:rsid w:val="00AC366E"/>
    <w:rsid w:val="00AC3DDF"/>
    <w:rsid w:val="00AC42E1"/>
    <w:rsid w:val="00AC45CC"/>
    <w:rsid w:val="00AC47FF"/>
    <w:rsid w:val="00AC513C"/>
    <w:rsid w:val="00AC51AB"/>
    <w:rsid w:val="00AC53C4"/>
    <w:rsid w:val="00AC6137"/>
    <w:rsid w:val="00AC628F"/>
    <w:rsid w:val="00AC6F39"/>
    <w:rsid w:val="00AC70F3"/>
    <w:rsid w:val="00AC780D"/>
    <w:rsid w:val="00AD08A6"/>
    <w:rsid w:val="00AD0BBC"/>
    <w:rsid w:val="00AD0C63"/>
    <w:rsid w:val="00AD1053"/>
    <w:rsid w:val="00AD10C3"/>
    <w:rsid w:val="00AD115E"/>
    <w:rsid w:val="00AD13F3"/>
    <w:rsid w:val="00AD1B18"/>
    <w:rsid w:val="00AD2519"/>
    <w:rsid w:val="00AD26E0"/>
    <w:rsid w:val="00AD2AA2"/>
    <w:rsid w:val="00AD2B9B"/>
    <w:rsid w:val="00AD375E"/>
    <w:rsid w:val="00AD51A0"/>
    <w:rsid w:val="00AD539A"/>
    <w:rsid w:val="00AD54DF"/>
    <w:rsid w:val="00AD562F"/>
    <w:rsid w:val="00AD580D"/>
    <w:rsid w:val="00AD5930"/>
    <w:rsid w:val="00AD60D7"/>
    <w:rsid w:val="00AD632E"/>
    <w:rsid w:val="00AD6C79"/>
    <w:rsid w:val="00AD6E20"/>
    <w:rsid w:val="00AD7068"/>
    <w:rsid w:val="00AD7093"/>
    <w:rsid w:val="00AD72CE"/>
    <w:rsid w:val="00AD7584"/>
    <w:rsid w:val="00AD75DA"/>
    <w:rsid w:val="00AD76CF"/>
    <w:rsid w:val="00AD78FD"/>
    <w:rsid w:val="00AD7DD5"/>
    <w:rsid w:val="00AE0185"/>
    <w:rsid w:val="00AE078F"/>
    <w:rsid w:val="00AE0C5B"/>
    <w:rsid w:val="00AE1A6B"/>
    <w:rsid w:val="00AE1AFB"/>
    <w:rsid w:val="00AE241F"/>
    <w:rsid w:val="00AE25D9"/>
    <w:rsid w:val="00AE2718"/>
    <w:rsid w:val="00AE2B99"/>
    <w:rsid w:val="00AE2D83"/>
    <w:rsid w:val="00AE3645"/>
    <w:rsid w:val="00AE375D"/>
    <w:rsid w:val="00AE480F"/>
    <w:rsid w:val="00AE49CE"/>
    <w:rsid w:val="00AE51EA"/>
    <w:rsid w:val="00AE5203"/>
    <w:rsid w:val="00AE55DF"/>
    <w:rsid w:val="00AE57E4"/>
    <w:rsid w:val="00AE5A34"/>
    <w:rsid w:val="00AE6B32"/>
    <w:rsid w:val="00AE6E60"/>
    <w:rsid w:val="00AE74D1"/>
    <w:rsid w:val="00AE7765"/>
    <w:rsid w:val="00AE79AF"/>
    <w:rsid w:val="00AF2200"/>
    <w:rsid w:val="00AF25B2"/>
    <w:rsid w:val="00AF298E"/>
    <w:rsid w:val="00AF2C77"/>
    <w:rsid w:val="00AF2D68"/>
    <w:rsid w:val="00AF3103"/>
    <w:rsid w:val="00AF3216"/>
    <w:rsid w:val="00AF3877"/>
    <w:rsid w:val="00AF3CC7"/>
    <w:rsid w:val="00AF4022"/>
    <w:rsid w:val="00AF4427"/>
    <w:rsid w:val="00AF44EF"/>
    <w:rsid w:val="00AF4ACA"/>
    <w:rsid w:val="00AF5096"/>
    <w:rsid w:val="00AF5CCC"/>
    <w:rsid w:val="00AF5D2D"/>
    <w:rsid w:val="00AF5F03"/>
    <w:rsid w:val="00AF6275"/>
    <w:rsid w:val="00AF6311"/>
    <w:rsid w:val="00AF6F48"/>
    <w:rsid w:val="00AF7608"/>
    <w:rsid w:val="00AF77E5"/>
    <w:rsid w:val="00AF7C41"/>
    <w:rsid w:val="00B000A2"/>
    <w:rsid w:val="00B00A3E"/>
    <w:rsid w:val="00B011E1"/>
    <w:rsid w:val="00B0143C"/>
    <w:rsid w:val="00B01500"/>
    <w:rsid w:val="00B018F7"/>
    <w:rsid w:val="00B0227F"/>
    <w:rsid w:val="00B0237B"/>
    <w:rsid w:val="00B026AE"/>
    <w:rsid w:val="00B02E0D"/>
    <w:rsid w:val="00B03334"/>
    <w:rsid w:val="00B03613"/>
    <w:rsid w:val="00B039D7"/>
    <w:rsid w:val="00B04147"/>
    <w:rsid w:val="00B04219"/>
    <w:rsid w:val="00B04C8E"/>
    <w:rsid w:val="00B05075"/>
    <w:rsid w:val="00B053C5"/>
    <w:rsid w:val="00B0690F"/>
    <w:rsid w:val="00B0708D"/>
    <w:rsid w:val="00B10B25"/>
    <w:rsid w:val="00B10E61"/>
    <w:rsid w:val="00B1135F"/>
    <w:rsid w:val="00B118B2"/>
    <w:rsid w:val="00B11DB6"/>
    <w:rsid w:val="00B12B30"/>
    <w:rsid w:val="00B12F52"/>
    <w:rsid w:val="00B13A1A"/>
    <w:rsid w:val="00B13B06"/>
    <w:rsid w:val="00B14155"/>
    <w:rsid w:val="00B14161"/>
    <w:rsid w:val="00B14348"/>
    <w:rsid w:val="00B1479F"/>
    <w:rsid w:val="00B15100"/>
    <w:rsid w:val="00B151F9"/>
    <w:rsid w:val="00B15532"/>
    <w:rsid w:val="00B15F31"/>
    <w:rsid w:val="00B15FB4"/>
    <w:rsid w:val="00B16E10"/>
    <w:rsid w:val="00B17119"/>
    <w:rsid w:val="00B17759"/>
    <w:rsid w:val="00B177D2"/>
    <w:rsid w:val="00B17969"/>
    <w:rsid w:val="00B20386"/>
    <w:rsid w:val="00B20769"/>
    <w:rsid w:val="00B207CC"/>
    <w:rsid w:val="00B21352"/>
    <w:rsid w:val="00B214CA"/>
    <w:rsid w:val="00B2167D"/>
    <w:rsid w:val="00B217C8"/>
    <w:rsid w:val="00B21D4F"/>
    <w:rsid w:val="00B221E6"/>
    <w:rsid w:val="00B22431"/>
    <w:rsid w:val="00B2265B"/>
    <w:rsid w:val="00B22FA4"/>
    <w:rsid w:val="00B23167"/>
    <w:rsid w:val="00B23A09"/>
    <w:rsid w:val="00B23D1A"/>
    <w:rsid w:val="00B23D46"/>
    <w:rsid w:val="00B2491F"/>
    <w:rsid w:val="00B25644"/>
    <w:rsid w:val="00B256D0"/>
    <w:rsid w:val="00B25C41"/>
    <w:rsid w:val="00B260BB"/>
    <w:rsid w:val="00B26290"/>
    <w:rsid w:val="00B26B65"/>
    <w:rsid w:val="00B2701A"/>
    <w:rsid w:val="00B27227"/>
    <w:rsid w:val="00B27760"/>
    <w:rsid w:val="00B27B95"/>
    <w:rsid w:val="00B300A3"/>
    <w:rsid w:val="00B304F4"/>
    <w:rsid w:val="00B3099E"/>
    <w:rsid w:val="00B309EE"/>
    <w:rsid w:val="00B30F7C"/>
    <w:rsid w:val="00B30FAA"/>
    <w:rsid w:val="00B311A5"/>
    <w:rsid w:val="00B31622"/>
    <w:rsid w:val="00B317AF"/>
    <w:rsid w:val="00B31D77"/>
    <w:rsid w:val="00B320F0"/>
    <w:rsid w:val="00B32702"/>
    <w:rsid w:val="00B3296C"/>
    <w:rsid w:val="00B32B83"/>
    <w:rsid w:val="00B32BAA"/>
    <w:rsid w:val="00B32C0E"/>
    <w:rsid w:val="00B3321F"/>
    <w:rsid w:val="00B332CC"/>
    <w:rsid w:val="00B337FE"/>
    <w:rsid w:val="00B34CE9"/>
    <w:rsid w:val="00B356E7"/>
    <w:rsid w:val="00B35D83"/>
    <w:rsid w:val="00B3715F"/>
    <w:rsid w:val="00B37166"/>
    <w:rsid w:val="00B377E7"/>
    <w:rsid w:val="00B37B59"/>
    <w:rsid w:val="00B41BEB"/>
    <w:rsid w:val="00B41E46"/>
    <w:rsid w:val="00B42160"/>
    <w:rsid w:val="00B426AC"/>
    <w:rsid w:val="00B42AF7"/>
    <w:rsid w:val="00B42B34"/>
    <w:rsid w:val="00B4491F"/>
    <w:rsid w:val="00B4502E"/>
    <w:rsid w:val="00B45466"/>
    <w:rsid w:val="00B459E0"/>
    <w:rsid w:val="00B45AB8"/>
    <w:rsid w:val="00B45C38"/>
    <w:rsid w:val="00B46CAE"/>
    <w:rsid w:val="00B479CD"/>
    <w:rsid w:val="00B500F5"/>
    <w:rsid w:val="00B503BF"/>
    <w:rsid w:val="00B503C0"/>
    <w:rsid w:val="00B5047A"/>
    <w:rsid w:val="00B505F6"/>
    <w:rsid w:val="00B50698"/>
    <w:rsid w:val="00B50720"/>
    <w:rsid w:val="00B50821"/>
    <w:rsid w:val="00B50FE1"/>
    <w:rsid w:val="00B51345"/>
    <w:rsid w:val="00B5136A"/>
    <w:rsid w:val="00B513D7"/>
    <w:rsid w:val="00B518CA"/>
    <w:rsid w:val="00B51A08"/>
    <w:rsid w:val="00B51F90"/>
    <w:rsid w:val="00B52702"/>
    <w:rsid w:val="00B527C0"/>
    <w:rsid w:val="00B52C5B"/>
    <w:rsid w:val="00B53908"/>
    <w:rsid w:val="00B545BE"/>
    <w:rsid w:val="00B54633"/>
    <w:rsid w:val="00B54CBD"/>
    <w:rsid w:val="00B56924"/>
    <w:rsid w:val="00B56C47"/>
    <w:rsid w:val="00B57AD4"/>
    <w:rsid w:val="00B57D49"/>
    <w:rsid w:val="00B604AF"/>
    <w:rsid w:val="00B605CB"/>
    <w:rsid w:val="00B60C17"/>
    <w:rsid w:val="00B60D9A"/>
    <w:rsid w:val="00B60E2A"/>
    <w:rsid w:val="00B60F96"/>
    <w:rsid w:val="00B612AE"/>
    <w:rsid w:val="00B61D26"/>
    <w:rsid w:val="00B61F64"/>
    <w:rsid w:val="00B620D8"/>
    <w:rsid w:val="00B62A07"/>
    <w:rsid w:val="00B62AFE"/>
    <w:rsid w:val="00B62EB6"/>
    <w:rsid w:val="00B64B58"/>
    <w:rsid w:val="00B65396"/>
    <w:rsid w:val="00B65743"/>
    <w:rsid w:val="00B6692C"/>
    <w:rsid w:val="00B6728A"/>
    <w:rsid w:val="00B67422"/>
    <w:rsid w:val="00B674F2"/>
    <w:rsid w:val="00B67A67"/>
    <w:rsid w:val="00B708B8"/>
    <w:rsid w:val="00B70A74"/>
    <w:rsid w:val="00B716C6"/>
    <w:rsid w:val="00B71FCD"/>
    <w:rsid w:val="00B72269"/>
    <w:rsid w:val="00B723A7"/>
    <w:rsid w:val="00B72554"/>
    <w:rsid w:val="00B73D8A"/>
    <w:rsid w:val="00B73E50"/>
    <w:rsid w:val="00B74938"/>
    <w:rsid w:val="00B751CE"/>
    <w:rsid w:val="00B75466"/>
    <w:rsid w:val="00B7571D"/>
    <w:rsid w:val="00B75762"/>
    <w:rsid w:val="00B759DE"/>
    <w:rsid w:val="00B75D4D"/>
    <w:rsid w:val="00B75F1F"/>
    <w:rsid w:val="00B76315"/>
    <w:rsid w:val="00B7666E"/>
    <w:rsid w:val="00B76792"/>
    <w:rsid w:val="00B76B86"/>
    <w:rsid w:val="00B76B8E"/>
    <w:rsid w:val="00B77E13"/>
    <w:rsid w:val="00B77ECF"/>
    <w:rsid w:val="00B804D0"/>
    <w:rsid w:val="00B809C4"/>
    <w:rsid w:val="00B80FE9"/>
    <w:rsid w:val="00B81ADE"/>
    <w:rsid w:val="00B8284C"/>
    <w:rsid w:val="00B82888"/>
    <w:rsid w:val="00B82EB1"/>
    <w:rsid w:val="00B83239"/>
    <w:rsid w:val="00B83D4A"/>
    <w:rsid w:val="00B8473C"/>
    <w:rsid w:val="00B84A58"/>
    <w:rsid w:val="00B84AA7"/>
    <w:rsid w:val="00B84C60"/>
    <w:rsid w:val="00B85806"/>
    <w:rsid w:val="00B85BB9"/>
    <w:rsid w:val="00B85E05"/>
    <w:rsid w:val="00B86337"/>
    <w:rsid w:val="00B86A3A"/>
    <w:rsid w:val="00B86DB3"/>
    <w:rsid w:val="00B87789"/>
    <w:rsid w:val="00B90D9C"/>
    <w:rsid w:val="00B90FA3"/>
    <w:rsid w:val="00B91601"/>
    <w:rsid w:val="00B9291D"/>
    <w:rsid w:val="00B92D88"/>
    <w:rsid w:val="00B9348C"/>
    <w:rsid w:val="00B93681"/>
    <w:rsid w:val="00B93925"/>
    <w:rsid w:val="00B93D8D"/>
    <w:rsid w:val="00B93E38"/>
    <w:rsid w:val="00B94152"/>
    <w:rsid w:val="00B94547"/>
    <w:rsid w:val="00B94969"/>
    <w:rsid w:val="00B95D23"/>
    <w:rsid w:val="00B95E6B"/>
    <w:rsid w:val="00B96396"/>
    <w:rsid w:val="00B968CC"/>
    <w:rsid w:val="00B96B14"/>
    <w:rsid w:val="00B9734D"/>
    <w:rsid w:val="00B97A13"/>
    <w:rsid w:val="00BA1700"/>
    <w:rsid w:val="00BA1942"/>
    <w:rsid w:val="00BA21F4"/>
    <w:rsid w:val="00BA309D"/>
    <w:rsid w:val="00BA3334"/>
    <w:rsid w:val="00BA38C5"/>
    <w:rsid w:val="00BA3DB6"/>
    <w:rsid w:val="00BA427B"/>
    <w:rsid w:val="00BA47D5"/>
    <w:rsid w:val="00BA4D17"/>
    <w:rsid w:val="00BA4D1C"/>
    <w:rsid w:val="00BA4D70"/>
    <w:rsid w:val="00BA577C"/>
    <w:rsid w:val="00BA5EEB"/>
    <w:rsid w:val="00BA6146"/>
    <w:rsid w:val="00BA65E5"/>
    <w:rsid w:val="00BA7375"/>
    <w:rsid w:val="00BA7CFF"/>
    <w:rsid w:val="00BA7E38"/>
    <w:rsid w:val="00BB06B8"/>
    <w:rsid w:val="00BB117D"/>
    <w:rsid w:val="00BB1515"/>
    <w:rsid w:val="00BB18B5"/>
    <w:rsid w:val="00BB2151"/>
    <w:rsid w:val="00BB23E1"/>
    <w:rsid w:val="00BB3523"/>
    <w:rsid w:val="00BB3781"/>
    <w:rsid w:val="00BB3A57"/>
    <w:rsid w:val="00BB45CD"/>
    <w:rsid w:val="00BB4E94"/>
    <w:rsid w:val="00BB5009"/>
    <w:rsid w:val="00BB53FC"/>
    <w:rsid w:val="00BB5F79"/>
    <w:rsid w:val="00BB5FB3"/>
    <w:rsid w:val="00BB71FF"/>
    <w:rsid w:val="00BC0065"/>
    <w:rsid w:val="00BC0B99"/>
    <w:rsid w:val="00BC1110"/>
    <w:rsid w:val="00BC1B34"/>
    <w:rsid w:val="00BC215B"/>
    <w:rsid w:val="00BC26AB"/>
    <w:rsid w:val="00BC2AD6"/>
    <w:rsid w:val="00BC2D2C"/>
    <w:rsid w:val="00BC2FB0"/>
    <w:rsid w:val="00BC3396"/>
    <w:rsid w:val="00BC4374"/>
    <w:rsid w:val="00BC4B5A"/>
    <w:rsid w:val="00BC5AAF"/>
    <w:rsid w:val="00BC5AC8"/>
    <w:rsid w:val="00BC5DBD"/>
    <w:rsid w:val="00BC62B1"/>
    <w:rsid w:val="00BC691C"/>
    <w:rsid w:val="00BC7EFD"/>
    <w:rsid w:val="00BD0A7E"/>
    <w:rsid w:val="00BD0CF3"/>
    <w:rsid w:val="00BD120B"/>
    <w:rsid w:val="00BD1639"/>
    <w:rsid w:val="00BD1657"/>
    <w:rsid w:val="00BD1AC3"/>
    <w:rsid w:val="00BD221A"/>
    <w:rsid w:val="00BD29B5"/>
    <w:rsid w:val="00BD3101"/>
    <w:rsid w:val="00BD31D4"/>
    <w:rsid w:val="00BD32F4"/>
    <w:rsid w:val="00BD39EF"/>
    <w:rsid w:val="00BD4B29"/>
    <w:rsid w:val="00BD5057"/>
    <w:rsid w:val="00BD53DD"/>
    <w:rsid w:val="00BD5C91"/>
    <w:rsid w:val="00BD6A7F"/>
    <w:rsid w:val="00BD6F67"/>
    <w:rsid w:val="00BD6FB9"/>
    <w:rsid w:val="00BD6FEB"/>
    <w:rsid w:val="00BD7304"/>
    <w:rsid w:val="00BD797C"/>
    <w:rsid w:val="00BD7A32"/>
    <w:rsid w:val="00BD7DC5"/>
    <w:rsid w:val="00BE0DC0"/>
    <w:rsid w:val="00BE0DFC"/>
    <w:rsid w:val="00BE13B4"/>
    <w:rsid w:val="00BE1C6E"/>
    <w:rsid w:val="00BE2992"/>
    <w:rsid w:val="00BE2F6E"/>
    <w:rsid w:val="00BE3551"/>
    <w:rsid w:val="00BE3E72"/>
    <w:rsid w:val="00BE4136"/>
    <w:rsid w:val="00BE4156"/>
    <w:rsid w:val="00BE4774"/>
    <w:rsid w:val="00BE5998"/>
    <w:rsid w:val="00BE6B74"/>
    <w:rsid w:val="00BE7440"/>
    <w:rsid w:val="00BE7548"/>
    <w:rsid w:val="00BF0314"/>
    <w:rsid w:val="00BF0390"/>
    <w:rsid w:val="00BF0923"/>
    <w:rsid w:val="00BF0E94"/>
    <w:rsid w:val="00BF1056"/>
    <w:rsid w:val="00BF1D87"/>
    <w:rsid w:val="00BF21CD"/>
    <w:rsid w:val="00BF2903"/>
    <w:rsid w:val="00BF4E45"/>
    <w:rsid w:val="00BF4E9D"/>
    <w:rsid w:val="00BF4FDD"/>
    <w:rsid w:val="00BF628B"/>
    <w:rsid w:val="00BF76A5"/>
    <w:rsid w:val="00BF7A58"/>
    <w:rsid w:val="00BF7ACF"/>
    <w:rsid w:val="00BF7B95"/>
    <w:rsid w:val="00C0061D"/>
    <w:rsid w:val="00C00AF3"/>
    <w:rsid w:val="00C011F1"/>
    <w:rsid w:val="00C0187F"/>
    <w:rsid w:val="00C01E68"/>
    <w:rsid w:val="00C02F27"/>
    <w:rsid w:val="00C03C27"/>
    <w:rsid w:val="00C04227"/>
    <w:rsid w:val="00C04881"/>
    <w:rsid w:val="00C04D49"/>
    <w:rsid w:val="00C050D2"/>
    <w:rsid w:val="00C05DFC"/>
    <w:rsid w:val="00C062E4"/>
    <w:rsid w:val="00C0660E"/>
    <w:rsid w:val="00C0664A"/>
    <w:rsid w:val="00C06705"/>
    <w:rsid w:val="00C06FD8"/>
    <w:rsid w:val="00C0735E"/>
    <w:rsid w:val="00C07671"/>
    <w:rsid w:val="00C0785E"/>
    <w:rsid w:val="00C07A38"/>
    <w:rsid w:val="00C07C1D"/>
    <w:rsid w:val="00C106F8"/>
    <w:rsid w:val="00C10733"/>
    <w:rsid w:val="00C10933"/>
    <w:rsid w:val="00C10A6B"/>
    <w:rsid w:val="00C10D53"/>
    <w:rsid w:val="00C11207"/>
    <w:rsid w:val="00C113DC"/>
    <w:rsid w:val="00C120CC"/>
    <w:rsid w:val="00C12F26"/>
    <w:rsid w:val="00C130CE"/>
    <w:rsid w:val="00C13883"/>
    <w:rsid w:val="00C13FE9"/>
    <w:rsid w:val="00C14147"/>
    <w:rsid w:val="00C1435F"/>
    <w:rsid w:val="00C15369"/>
    <w:rsid w:val="00C15660"/>
    <w:rsid w:val="00C15D5E"/>
    <w:rsid w:val="00C16676"/>
    <w:rsid w:val="00C16F17"/>
    <w:rsid w:val="00C17112"/>
    <w:rsid w:val="00C176C3"/>
    <w:rsid w:val="00C1779C"/>
    <w:rsid w:val="00C20582"/>
    <w:rsid w:val="00C20644"/>
    <w:rsid w:val="00C2076B"/>
    <w:rsid w:val="00C208D5"/>
    <w:rsid w:val="00C20919"/>
    <w:rsid w:val="00C20B14"/>
    <w:rsid w:val="00C20E8B"/>
    <w:rsid w:val="00C2113C"/>
    <w:rsid w:val="00C21618"/>
    <w:rsid w:val="00C216EF"/>
    <w:rsid w:val="00C21C0E"/>
    <w:rsid w:val="00C21E0A"/>
    <w:rsid w:val="00C2250B"/>
    <w:rsid w:val="00C22753"/>
    <w:rsid w:val="00C23C7A"/>
    <w:rsid w:val="00C2455D"/>
    <w:rsid w:val="00C2629A"/>
    <w:rsid w:val="00C26A64"/>
    <w:rsid w:val="00C26AC3"/>
    <w:rsid w:val="00C26C36"/>
    <w:rsid w:val="00C26FEF"/>
    <w:rsid w:val="00C27EEB"/>
    <w:rsid w:val="00C30024"/>
    <w:rsid w:val="00C30165"/>
    <w:rsid w:val="00C309E5"/>
    <w:rsid w:val="00C312E4"/>
    <w:rsid w:val="00C323EF"/>
    <w:rsid w:val="00C32422"/>
    <w:rsid w:val="00C325B3"/>
    <w:rsid w:val="00C326F3"/>
    <w:rsid w:val="00C32BD2"/>
    <w:rsid w:val="00C32D1A"/>
    <w:rsid w:val="00C343D2"/>
    <w:rsid w:val="00C34755"/>
    <w:rsid w:val="00C35261"/>
    <w:rsid w:val="00C35CC3"/>
    <w:rsid w:val="00C35EC0"/>
    <w:rsid w:val="00C360AF"/>
    <w:rsid w:val="00C364D6"/>
    <w:rsid w:val="00C36F14"/>
    <w:rsid w:val="00C4000C"/>
    <w:rsid w:val="00C403E0"/>
    <w:rsid w:val="00C404BB"/>
    <w:rsid w:val="00C40B5C"/>
    <w:rsid w:val="00C4123F"/>
    <w:rsid w:val="00C41409"/>
    <w:rsid w:val="00C414ED"/>
    <w:rsid w:val="00C428E4"/>
    <w:rsid w:val="00C42AF4"/>
    <w:rsid w:val="00C42E2F"/>
    <w:rsid w:val="00C436C4"/>
    <w:rsid w:val="00C43DC0"/>
    <w:rsid w:val="00C443E9"/>
    <w:rsid w:val="00C4441F"/>
    <w:rsid w:val="00C44A22"/>
    <w:rsid w:val="00C46446"/>
    <w:rsid w:val="00C477F9"/>
    <w:rsid w:val="00C47CA2"/>
    <w:rsid w:val="00C47E77"/>
    <w:rsid w:val="00C50019"/>
    <w:rsid w:val="00C50148"/>
    <w:rsid w:val="00C50864"/>
    <w:rsid w:val="00C50EF4"/>
    <w:rsid w:val="00C50F3A"/>
    <w:rsid w:val="00C51053"/>
    <w:rsid w:val="00C5156F"/>
    <w:rsid w:val="00C518AB"/>
    <w:rsid w:val="00C52D85"/>
    <w:rsid w:val="00C530BC"/>
    <w:rsid w:val="00C532E2"/>
    <w:rsid w:val="00C53915"/>
    <w:rsid w:val="00C543CC"/>
    <w:rsid w:val="00C54B69"/>
    <w:rsid w:val="00C55199"/>
    <w:rsid w:val="00C55348"/>
    <w:rsid w:val="00C55940"/>
    <w:rsid w:val="00C55AE9"/>
    <w:rsid w:val="00C55CB5"/>
    <w:rsid w:val="00C55CC5"/>
    <w:rsid w:val="00C57A78"/>
    <w:rsid w:val="00C57B63"/>
    <w:rsid w:val="00C6001A"/>
    <w:rsid w:val="00C6016A"/>
    <w:rsid w:val="00C60365"/>
    <w:rsid w:val="00C604AE"/>
    <w:rsid w:val="00C6069E"/>
    <w:rsid w:val="00C60981"/>
    <w:rsid w:val="00C609DE"/>
    <w:rsid w:val="00C60F44"/>
    <w:rsid w:val="00C619D6"/>
    <w:rsid w:val="00C61AC0"/>
    <w:rsid w:val="00C61CCE"/>
    <w:rsid w:val="00C631BF"/>
    <w:rsid w:val="00C637AE"/>
    <w:rsid w:val="00C64DCA"/>
    <w:rsid w:val="00C64FE6"/>
    <w:rsid w:val="00C6583E"/>
    <w:rsid w:val="00C65F68"/>
    <w:rsid w:val="00C66100"/>
    <w:rsid w:val="00C673E9"/>
    <w:rsid w:val="00C67EF8"/>
    <w:rsid w:val="00C703A5"/>
    <w:rsid w:val="00C7065F"/>
    <w:rsid w:val="00C7121A"/>
    <w:rsid w:val="00C7129E"/>
    <w:rsid w:val="00C71ADD"/>
    <w:rsid w:val="00C71ECA"/>
    <w:rsid w:val="00C72318"/>
    <w:rsid w:val="00C72481"/>
    <w:rsid w:val="00C73899"/>
    <w:rsid w:val="00C73C5C"/>
    <w:rsid w:val="00C744DE"/>
    <w:rsid w:val="00C74E41"/>
    <w:rsid w:val="00C7509A"/>
    <w:rsid w:val="00C75390"/>
    <w:rsid w:val="00C75629"/>
    <w:rsid w:val="00C763D5"/>
    <w:rsid w:val="00C7641C"/>
    <w:rsid w:val="00C76581"/>
    <w:rsid w:val="00C76FE1"/>
    <w:rsid w:val="00C77165"/>
    <w:rsid w:val="00C77C67"/>
    <w:rsid w:val="00C77F22"/>
    <w:rsid w:val="00C8063D"/>
    <w:rsid w:val="00C80D77"/>
    <w:rsid w:val="00C8153F"/>
    <w:rsid w:val="00C81D7D"/>
    <w:rsid w:val="00C82C9C"/>
    <w:rsid w:val="00C82F43"/>
    <w:rsid w:val="00C83670"/>
    <w:rsid w:val="00C8390A"/>
    <w:rsid w:val="00C8411F"/>
    <w:rsid w:val="00C84268"/>
    <w:rsid w:val="00C8456B"/>
    <w:rsid w:val="00C8510E"/>
    <w:rsid w:val="00C854E4"/>
    <w:rsid w:val="00C856A6"/>
    <w:rsid w:val="00C863A9"/>
    <w:rsid w:val="00C86533"/>
    <w:rsid w:val="00C86824"/>
    <w:rsid w:val="00C875AC"/>
    <w:rsid w:val="00C876F4"/>
    <w:rsid w:val="00C9038E"/>
    <w:rsid w:val="00C91096"/>
    <w:rsid w:val="00C91196"/>
    <w:rsid w:val="00C91608"/>
    <w:rsid w:val="00C91669"/>
    <w:rsid w:val="00C919F8"/>
    <w:rsid w:val="00C91AE9"/>
    <w:rsid w:val="00C92414"/>
    <w:rsid w:val="00C92C86"/>
    <w:rsid w:val="00C9319B"/>
    <w:rsid w:val="00C93617"/>
    <w:rsid w:val="00C93DB2"/>
    <w:rsid w:val="00C94647"/>
    <w:rsid w:val="00C947A6"/>
    <w:rsid w:val="00C948E5"/>
    <w:rsid w:val="00C97185"/>
    <w:rsid w:val="00C9740F"/>
    <w:rsid w:val="00C97416"/>
    <w:rsid w:val="00C978AB"/>
    <w:rsid w:val="00CA067C"/>
    <w:rsid w:val="00CA06B7"/>
    <w:rsid w:val="00CA0A1F"/>
    <w:rsid w:val="00CA0CF6"/>
    <w:rsid w:val="00CA0E0D"/>
    <w:rsid w:val="00CA1865"/>
    <w:rsid w:val="00CA2058"/>
    <w:rsid w:val="00CA2BAC"/>
    <w:rsid w:val="00CA2EAA"/>
    <w:rsid w:val="00CA2F4E"/>
    <w:rsid w:val="00CA3B6F"/>
    <w:rsid w:val="00CA4CA0"/>
    <w:rsid w:val="00CA539A"/>
    <w:rsid w:val="00CA61F2"/>
    <w:rsid w:val="00CA65C4"/>
    <w:rsid w:val="00CA71D0"/>
    <w:rsid w:val="00CA7879"/>
    <w:rsid w:val="00CA7E20"/>
    <w:rsid w:val="00CB0241"/>
    <w:rsid w:val="00CB0451"/>
    <w:rsid w:val="00CB0C15"/>
    <w:rsid w:val="00CB0E4C"/>
    <w:rsid w:val="00CB0EA3"/>
    <w:rsid w:val="00CB11FF"/>
    <w:rsid w:val="00CB1682"/>
    <w:rsid w:val="00CB1C48"/>
    <w:rsid w:val="00CB1E38"/>
    <w:rsid w:val="00CB3966"/>
    <w:rsid w:val="00CB41AB"/>
    <w:rsid w:val="00CB49B1"/>
    <w:rsid w:val="00CB4C70"/>
    <w:rsid w:val="00CB4D00"/>
    <w:rsid w:val="00CB577E"/>
    <w:rsid w:val="00CB696C"/>
    <w:rsid w:val="00CB7256"/>
    <w:rsid w:val="00CB764A"/>
    <w:rsid w:val="00CC0044"/>
    <w:rsid w:val="00CC020B"/>
    <w:rsid w:val="00CC056B"/>
    <w:rsid w:val="00CC0CC4"/>
    <w:rsid w:val="00CC0FA9"/>
    <w:rsid w:val="00CC1480"/>
    <w:rsid w:val="00CC2029"/>
    <w:rsid w:val="00CC2321"/>
    <w:rsid w:val="00CC2E81"/>
    <w:rsid w:val="00CC3096"/>
    <w:rsid w:val="00CC3439"/>
    <w:rsid w:val="00CC3B3D"/>
    <w:rsid w:val="00CC3E15"/>
    <w:rsid w:val="00CC4377"/>
    <w:rsid w:val="00CC4693"/>
    <w:rsid w:val="00CC4B30"/>
    <w:rsid w:val="00CC5000"/>
    <w:rsid w:val="00CC53EB"/>
    <w:rsid w:val="00CC559C"/>
    <w:rsid w:val="00CC56CF"/>
    <w:rsid w:val="00CC599C"/>
    <w:rsid w:val="00CC6046"/>
    <w:rsid w:val="00CC6102"/>
    <w:rsid w:val="00CC6A6F"/>
    <w:rsid w:val="00CC6CBC"/>
    <w:rsid w:val="00CC6CF5"/>
    <w:rsid w:val="00CC7662"/>
    <w:rsid w:val="00CC782D"/>
    <w:rsid w:val="00CC7E8C"/>
    <w:rsid w:val="00CD0149"/>
    <w:rsid w:val="00CD0599"/>
    <w:rsid w:val="00CD0BF6"/>
    <w:rsid w:val="00CD0FF0"/>
    <w:rsid w:val="00CD1488"/>
    <w:rsid w:val="00CD1677"/>
    <w:rsid w:val="00CD19D6"/>
    <w:rsid w:val="00CD1BD7"/>
    <w:rsid w:val="00CD1EE8"/>
    <w:rsid w:val="00CD2B9F"/>
    <w:rsid w:val="00CD2F11"/>
    <w:rsid w:val="00CD34D5"/>
    <w:rsid w:val="00CD3AD5"/>
    <w:rsid w:val="00CD3F98"/>
    <w:rsid w:val="00CD41F4"/>
    <w:rsid w:val="00CD4677"/>
    <w:rsid w:val="00CD46B4"/>
    <w:rsid w:val="00CD49B8"/>
    <w:rsid w:val="00CD4D00"/>
    <w:rsid w:val="00CD587D"/>
    <w:rsid w:val="00CD5C10"/>
    <w:rsid w:val="00CD69E7"/>
    <w:rsid w:val="00CD75C2"/>
    <w:rsid w:val="00CD798A"/>
    <w:rsid w:val="00CE0165"/>
    <w:rsid w:val="00CE0747"/>
    <w:rsid w:val="00CE0F50"/>
    <w:rsid w:val="00CE26F5"/>
    <w:rsid w:val="00CE2865"/>
    <w:rsid w:val="00CE2A22"/>
    <w:rsid w:val="00CE2D4B"/>
    <w:rsid w:val="00CE2DA0"/>
    <w:rsid w:val="00CE323A"/>
    <w:rsid w:val="00CE344C"/>
    <w:rsid w:val="00CE4166"/>
    <w:rsid w:val="00CE46C5"/>
    <w:rsid w:val="00CE49B6"/>
    <w:rsid w:val="00CE54C0"/>
    <w:rsid w:val="00CE57AA"/>
    <w:rsid w:val="00CE57DE"/>
    <w:rsid w:val="00CE65B3"/>
    <w:rsid w:val="00CE6851"/>
    <w:rsid w:val="00CE6C12"/>
    <w:rsid w:val="00CE6D46"/>
    <w:rsid w:val="00CE7875"/>
    <w:rsid w:val="00CF07AC"/>
    <w:rsid w:val="00CF0813"/>
    <w:rsid w:val="00CF145F"/>
    <w:rsid w:val="00CF1910"/>
    <w:rsid w:val="00CF19DD"/>
    <w:rsid w:val="00CF1A90"/>
    <w:rsid w:val="00CF2438"/>
    <w:rsid w:val="00CF30EE"/>
    <w:rsid w:val="00CF3672"/>
    <w:rsid w:val="00CF43FC"/>
    <w:rsid w:val="00CF47A7"/>
    <w:rsid w:val="00CF4E3E"/>
    <w:rsid w:val="00CF4F83"/>
    <w:rsid w:val="00CF52BC"/>
    <w:rsid w:val="00CF5317"/>
    <w:rsid w:val="00CF5389"/>
    <w:rsid w:val="00CF60EE"/>
    <w:rsid w:val="00CF676A"/>
    <w:rsid w:val="00CF6974"/>
    <w:rsid w:val="00CF6DAA"/>
    <w:rsid w:val="00CF711D"/>
    <w:rsid w:val="00CF71B8"/>
    <w:rsid w:val="00CF7300"/>
    <w:rsid w:val="00CF74EB"/>
    <w:rsid w:val="00CF7AE2"/>
    <w:rsid w:val="00CF7AFE"/>
    <w:rsid w:val="00D00437"/>
    <w:rsid w:val="00D00595"/>
    <w:rsid w:val="00D009CE"/>
    <w:rsid w:val="00D013D1"/>
    <w:rsid w:val="00D01FC0"/>
    <w:rsid w:val="00D02E9B"/>
    <w:rsid w:val="00D0315D"/>
    <w:rsid w:val="00D03984"/>
    <w:rsid w:val="00D03ACA"/>
    <w:rsid w:val="00D03FDB"/>
    <w:rsid w:val="00D049D9"/>
    <w:rsid w:val="00D04ABC"/>
    <w:rsid w:val="00D05190"/>
    <w:rsid w:val="00D051FC"/>
    <w:rsid w:val="00D0561A"/>
    <w:rsid w:val="00D05AC7"/>
    <w:rsid w:val="00D061BF"/>
    <w:rsid w:val="00D064E2"/>
    <w:rsid w:val="00D06CA0"/>
    <w:rsid w:val="00D070FF"/>
    <w:rsid w:val="00D07226"/>
    <w:rsid w:val="00D0739E"/>
    <w:rsid w:val="00D079E7"/>
    <w:rsid w:val="00D100F7"/>
    <w:rsid w:val="00D101C9"/>
    <w:rsid w:val="00D10558"/>
    <w:rsid w:val="00D10CB5"/>
    <w:rsid w:val="00D115BA"/>
    <w:rsid w:val="00D11F5B"/>
    <w:rsid w:val="00D11FDF"/>
    <w:rsid w:val="00D129C3"/>
    <w:rsid w:val="00D12D0B"/>
    <w:rsid w:val="00D1317E"/>
    <w:rsid w:val="00D14057"/>
    <w:rsid w:val="00D140AC"/>
    <w:rsid w:val="00D141C4"/>
    <w:rsid w:val="00D142F4"/>
    <w:rsid w:val="00D15034"/>
    <w:rsid w:val="00D157DD"/>
    <w:rsid w:val="00D16003"/>
    <w:rsid w:val="00D170E7"/>
    <w:rsid w:val="00D17413"/>
    <w:rsid w:val="00D17938"/>
    <w:rsid w:val="00D17974"/>
    <w:rsid w:val="00D17FAF"/>
    <w:rsid w:val="00D1CEFB"/>
    <w:rsid w:val="00D204EC"/>
    <w:rsid w:val="00D20EA5"/>
    <w:rsid w:val="00D21035"/>
    <w:rsid w:val="00D21BA7"/>
    <w:rsid w:val="00D21C83"/>
    <w:rsid w:val="00D220D1"/>
    <w:rsid w:val="00D22A3A"/>
    <w:rsid w:val="00D231B2"/>
    <w:rsid w:val="00D23210"/>
    <w:rsid w:val="00D236B4"/>
    <w:rsid w:val="00D23708"/>
    <w:rsid w:val="00D23770"/>
    <w:rsid w:val="00D237F7"/>
    <w:rsid w:val="00D23BDC"/>
    <w:rsid w:val="00D24042"/>
    <w:rsid w:val="00D244DA"/>
    <w:rsid w:val="00D24A31"/>
    <w:rsid w:val="00D25C1B"/>
    <w:rsid w:val="00D270D7"/>
    <w:rsid w:val="00D2767C"/>
    <w:rsid w:val="00D27AFB"/>
    <w:rsid w:val="00D27C00"/>
    <w:rsid w:val="00D27C0C"/>
    <w:rsid w:val="00D27CF6"/>
    <w:rsid w:val="00D27F17"/>
    <w:rsid w:val="00D30491"/>
    <w:rsid w:val="00D32F3C"/>
    <w:rsid w:val="00D32FA1"/>
    <w:rsid w:val="00D330E6"/>
    <w:rsid w:val="00D333EA"/>
    <w:rsid w:val="00D33BDF"/>
    <w:rsid w:val="00D33C9D"/>
    <w:rsid w:val="00D35808"/>
    <w:rsid w:val="00D35834"/>
    <w:rsid w:val="00D35A16"/>
    <w:rsid w:val="00D35F0C"/>
    <w:rsid w:val="00D362DD"/>
    <w:rsid w:val="00D366E3"/>
    <w:rsid w:val="00D36DA4"/>
    <w:rsid w:val="00D37342"/>
    <w:rsid w:val="00D3757E"/>
    <w:rsid w:val="00D376E0"/>
    <w:rsid w:val="00D37869"/>
    <w:rsid w:val="00D40057"/>
    <w:rsid w:val="00D412E4"/>
    <w:rsid w:val="00D41615"/>
    <w:rsid w:val="00D4163B"/>
    <w:rsid w:val="00D41720"/>
    <w:rsid w:val="00D41B3D"/>
    <w:rsid w:val="00D4210C"/>
    <w:rsid w:val="00D428FB"/>
    <w:rsid w:val="00D42F9A"/>
    <w:rsid w:val="00D43857"/>
    <w:rsid w:val="00D43A45"/>
    <w:rsid w:val="00D449CA"/>
    <w:rsid w:val="00D44BFF"/>
    <w:rsid w:val="00D44D2E"/>
    <w:rsid w:val="00D44FAE"/>
    <w:rsid w:val="00D450E9"/>
    <w:rsid w:val="00D4533C"/>
    <w:rsid w:val="00D4567A"/>
    <w:rsid w:val="00D45B52"/>
    <w:rsid w:val="00D45BE0"/>
    <w:rsid w:val="00D45E13"/>
    <w:rsid w:val="00D45E2F"/>
    <w:rsid w:val="00D46C4E"/>
    <w:rsid w:val="00D46D0B"/>
    <w:rsid w:val="00D4732C"/>
    <w:rsid w:val="00D479E9"/>
    <w:rsid w:val="00D50195"/>
    <w:rsid w:val="00D504A5"/>
    <w:rsid w:val="00D506CE"/>
    <w:rsid w:val="00D5174A"/>
    <w:rsid w:val="00D5174E"/>
    <w:rsid w:val="00D51EDC"/>
    <w:rsid w:val="00D523CD"/>
    <w:rsid w:val="00D529EB"/>
    <w:rsid w:val="00D52A84"/>
    <w:rsid w:val="00D52FA0"/>
    <w:rsid w:val="00D53019"/>
    <w:rsid w:val="00D531E8"/>
    <w:rsid w:val="00D53CA4"/>
    <w:rsid w:val="00D53ECD"/>
    <w:rsid w:val="00D54A61"/>
    <w:rsid w:val="00D54C5F"/>
    <w:rsid w:val="00D55106"/>
    <w:rsid w:val="00D55527"/>
    <w:rsid w:val="00D55E71"/>
    <w:rsid w:val="00D55EEA"/>
    <w:rsid w:val="00D57376"/>
    <w:rsid w:val="00D577D2"/>
    <w:rsid w:val="00D57D27"/>
    <w:rsid w:val="00D57E07"/>
    <w:rsid w:val="00D60067"/>
    <w:rsid w:val="00D60146"/>
    <w:rsid w:val="00D60B0E"/>
    <w:rsid w:val="00D6139D"/>
    <w:rsid w:val="00D6185A"/>
    <w:rsid w:val="00D618CB"/>
    <w:rsid w:val="00D61AD9"/>
    <w:rsid w:val="00D62D03"/>
    <w:rsid w:val="00D63819"/>
    <w:rsid w:val="00D63BF7"/>
    <w:rsid w:val="00D64C18"/>
    <w:rsid w:val="00D64F9C"/>
    <w:rsid w:val="00D659FD"/>
    <w:rsid w:val="00D661B7"/>
    <w:rsid w:val="00D665E1"/>
    <w:rsid w:val="00D673E2"/>
    <w:rsid w:val="00D67B41"/>
    <w:rsid w:val="00D711D9"/>
    <w:rsid w:val="00D7131C"/>
    <w:rsid w:val="00D722C0"/>
    <w:rsid w:val="00D72364"/>
    <w:rsid w:val="00D726AB"/>
    <w:rsid w:val="00D72D55"/>
    <w:rsid w:val="00D73557"/>
    <w:rsid w:val="00D73F6C"/>
    <w:rsid w:val="00D74255"/>
    <w:rsid w:val="00D746E0"/>
    <w:rsid w:val="00D7596F"/>
    <w:rsid w:val="00D76174"/>
    <w:rsid w:val="00D7633C"/>
    <w:rsid w:val="00D76D1C"/>
    <w:rsid w:val="00D77AB4"/>
    <w:rsid w:val="00D77C40"/>
    <w:rsid w:val="00D77F3F"/>
    <w:rsid w:val="00D80458"/>
    <w:rsid w:val="00D80E70"/>
    <w:rsid w:val="00D815FF"/>
    <w:rsid w:val="00D819BE"/>
    <w:rsid w:val="00D824BB"/>
    <w:rsid w:val="00D82838"/>
    <w:rsid w:val="00D82D44"/>
    <w:rsid w:val="00D83BB2"/>
    <w:rsid w:val="00D83E96"/>
    <w:rsid w:val="00D84057"/>
    <w:rsid w:val="00D842E2"/>
    <w:rsid w:val="00D845A2"/>
    <w:rsid w:val="00D84680"/>
    <w:rsid w:val="00D853CF"/>
    <w:rsid w:val="00D85A45"/>
    <w:rsid w:val="00D85B6D"/>
    <w:rsid w:val="00D865AD"/>
    <w:rsid w:val="00D86E99"/>
    <w:rsid w:val="00D87937"/>
    <w:rsid w:val="00D9006D"/>
    <w:rsid w:val="00D9032C"/>
    <w:rsid w:val="00D9037A"/>
    <w:rsid w:val="00D90EF4"/>
    <w:rsid w:val="00D916C6"/>
    <w:rsid w:val="00D91A0D"/>
    <w:rsid w:val="00D9259B"/>
    <w:rsid w:val="00D92686"/>
    <w:rsid w:val="00D9307A"/>
    <w:rsid w:val="00D93959"/>
    <w:rsid w:val="00D9420F"/>
    <w:rsid w:val="00D94EFE"/>
    <w:rsid w:val="00D94FEC"/>
    <w:rsid w:val="00D9509E"/>
    <w:rsid w:val="00D951E9"/>
    <w:rsid w:val="00D957BE"/>
    <w:rsid w:val="00D95B9D"/>
    <w:rsid w:val="00D95CE9"/>
    <w:rsid w:val="00D95ED9"/>
    <w:rsid w:val="00D962BA"/>
    <w:rsid w:val="00D967D0"/>
    <w:rsid w:val="00D96CD0"/>
    <w:rsid w:val="00D975FB"/>
    <w:rsid w:val="00D976B9"/>
    <w:rsid w:val="00D97721"/>
    <w:rsid w:val="00D9787C"/>
    <w:rsid w:val="00D97FCA"/>
    <w:rsid w:val="00DA0C87"/>
    <w:rsid w:val="00DA112F"/>
    <w:rsid w:val="00DA1602"/>
    <w:rsid w:val="00DA1E9D"/>
    <w:rsid w:val="00DA1F09"/>
    <w:rsid w:val="00DA22DC"/>
    <w:rsid w:val="00DA2C29"/>
    <w:rsid w:val="00DA31B5"/>
    <w:rsid w:val="00DA395C"/>
    <w:rsid w:val="00DA3A09"/>
    <w:rsid w:val="00DA3DCE"/>
    <w:rsid w:val="00DA4021"/>
    <w:rsid w:val="00DA41AA"/>
    <w:rsid w:val="00DA471D"/>
    <w:rsid w:val="00DA5685"/>
    <w:rsid w:val="00DA5D72"/>
    <w:rsid w:val="00DA5F4D"/>
    <w:rsid w:val="00DA63B4"/>
    <w:rsid w:val="00DA6AEC"/>
    <w:rsid w:val="00DA721A"/>
    <w:rsid w:val="00DA74E8"/>
    <w:rsid w:val="00DA7DF3"/>
    <w:rsid w:val="00DB0CCB"/>
    <w:rsid w:val="00DB1191"/>
    <w:rsid w:val="00DB1321"/>
    <w:rsid w:val="00DB1636"/>
    <w:rsid w:val="00DB183F"/>
    <w:rsid w:val="00DB1967"/>
    <w:rsid w:val="00DB20C8"/>
    <w:rsid w:val="00DB210D"/>
    <w:rsid w:val="00DB2216"/>
    <w:rsid w:val="00DB24AB"/>
    <w:rsid w:val="00DB288D"/>
    <w:rsid w:val="00DB28AE"/>
    <w:rsid w:val="00DB3AF2"/>
    <w:rsid w:val="00DB4063"/>
    <w:rsid w:val="00DB40B7"/>
    <w:rsid w:val="00DB4F8D"/>
    <w:rsid w:val="00DB52EC"/>
    <w:rsid w:val="00DB536A"/>
    <w:rsid w:val="00DB5763"/>
    <w:rsid w:val="00DB587F"/>
    <w:rsid w:val="00DB5CB9"/>
    <w:rsid w:val="00DB6B80"/>
    <w:rsid w:val="00DB70E0"/>
    <w:rsid w:val="00DB7701"/>
    <w:rsid w:val="00DB7875"/>
    <w:rsid w:val="00DB7C41"/>
    <w:rsid w:val="00DB7CB1"/>
    <w:rsid w:val="00DC0028"/>
    <w:rsid w:val="00DC18BD"/>
    <w:rsid w:val="00DC1BFA"/>
    <w:rsid w:val="00DC215F"/>
    <w:rsid w:val="00DC2D7B"/>
    <w:rsid w:val="00DC3022"/>
    <w:rsid w:val="00DC31E1"/>
    <w:rsid w:val="00DC41A1"/>
    <w:rsid w:val="00DC4E82"/>
    <w:rsid w:val="00DC560D"/>
    <w:rsid w:val="00DC5A0A"/>
    <w:rsid w:val="00DC6934"/>
    <w:rsid w:val="00DC6B07"/>
    <w:rsid w:val="00DC6D89"/>
    <w:rsid w:val="00DC7882"/>
    <w:rsid w:val="00DD0378"/>
    <w:rsid w:val="00DD1471"/>
    <w:rsid w:val="00DD1478"/>
    <w:rsid w:val="00DD17FF"/>
    <w:rsid w:val="00DD1B27"/>
    <w:rsid w:val="00DD1EF6"/>
    <w:rsid w:val="00DD2A24"/>
    <w:rsid w:val="00DD2AF5"/>
    <w:rsid w:val="00DD2EEF"/>
    <w:rsid w:val="00DD330C"/>
    <w:rsid w:val="00DD34CE"/>
    <w:rsid w:val="00DD35E1"/>
    <w:rsid w:val="00DD3AD2"/>
    <w:rsid w:val="00DD3B6B"/>
    <w:rsid w:val="00DD3BF5"/>
    <w:rsid w:val="00DD3E5C"/>
    <w:rsid w:val="00DD4609"/>
    <w:rsid w:val="00DD4850"/>
    <w:rsid w:val="00DD4B4B"/>
    <w:rsid w:val="00DD4E9F"/>
    <w:rsid w:val="00DD5620"/>
    <w:rsid w:val="00DD591D"/>
    <w:rsid w:val="00DD5D15"/>
    <w:rsid w:val="00DD6484"/>
    <w:rsid w:val="00DD72C3"/>
    <w:rsid w:val="00DD74CA"/>
    <w:rsid w:val="00DE0194"/>
    <w:rsid w:val="00DE05D1"/>
    <w:rsid w:val="00DE0698"/>
    <w:rsid w:val="00DE0DC6"/>
    <w:rsid w:val="00DE16D7"/>
    <w:rsid w:val="00DE1B04"/>
    <w:rsid w:val="00DE1E2E"/>
    <w:rsid w:val="00DE23E7"/>
    <w:rsid w:val="00DE2606"/>
    <w:rsid w:val="00DE28DF"/>
    <w:rsid w:val="00DE2959"/>
    <w:rsid w:val="00DE2A64"/>
    <w:rsid w:val="00DE2B78"/>
    <w:rsid w:val="00DE31A9"/>
    <w:rsid w:val="00DE3322"/>
    <w:rsid w:val="00DE4566"/>
    <w:rsid w:val="00DE4DCB"/>
    <w:rsid w:val="00DE4E46"/>
    <w:rsid w:val="00DE5DEF"/>
    <w:rsid w:val="00DE60CF"/>
    <w:rsid w:val="00DE6640"/>
    <w:rsid w:val="00DE6AC1"/>
    <w:rsid w:val="00DE6E8E"/>
    <w:rsid w:val="00DE6EB0"/>
    <w:rsid w:val="00DE72C2"/>
    <w:rsid w:val="00DE7DAC"/>
    <w:rsid w:val="00DE7DE5"/>
    <w:rsid w:val="00DF0D08"/>
    <w:rsid w:val="00DF0FCA"/>
    <w:rsid w:val="00DF10DF"/>
    <w:rsid w:val="00DF166A"/>
    <w:rsid w:val="00DF1768"/>
    <w:rsid w:val="00DF1D53"/>
    <w:rsid w:val="00DF1D80"/>
    <w:rsid w:val="00DF2143"/>
    <w:rsid w:val="00DF2305"/>
    <w:rsid w:val="00DF2585"/>
    <w:rsid w:val="00DF2A91"/>
    <w:rsid w:val="00DF2EA3"/>
    <w:rsid w:val="00DF310D"/>
    <w:rsid w:val="00DF370F"/>
    <w:rsid w:val="00DF465E"/>
    <w:rsid w:val="00DF499A"/>
    <w:rsid w:val="00DF4D8F"/>
    <w:rsid w:val="00DF567E"/>
    <w:rsid w:val="00DF5841"/>
    <w:rsid w:val="00DF5B52"/>
    <w:rsid w:val="00DF5BFA"/>
    <w:rsid w:val="00DF628A"/>
    <w:rsid w:val="00DF652C"/>
    <w:rsid w:val="00DF67FA"/>
    <w:rsid w:val="00DF68A9"/>
    <w:rsid w:val="00DF6D3E"/>
    <w:rsid w:val="00DF76F2"/>
    <w:rsid w:val="00E00131"/>
    <w:rsid w:val="00E00197"/>
    <w:rsid w:val="00E00C95"/>
    <w:rsid w:val="00E0101A"/>
    <w:rsid w:val="00E01577"/>
    <w:rsid w:val="00E03B0F"/>
    <w:rsid w:val="00E03C45"/>
    <w:rsid w:val="00E03FE3"/>
    <w:rsid w:val="00E043A4"/>
    <w:rsid w:val="00E04699"/>
    <w:rsid w:val="00E04769"/>
    <w:rsid w:val="00E05668"/>
    <w:rsid w:val="00E0607E"/>
    <w:rsid w:val="00E066BF"/>
    <w:rsid w:val="00E06A60"/>
    <w:rsid w:val="00E10CE8"/>
    <w:rsid w:val="00E11497"/>
    <w:rsid w:val="00E116B0"/>
    <w:rsid w:val="00E11EC9"/>
    <w:rsid w:val="00E12477"/>
    <w:rsid w:val="00E12845"/>
    <w:rsid w:val="00E1295E"/>
    <w:rsid w:val="00E12CCD"/>
    <w:rsid w:val="00E1361F"/>
    <w:rsid w:val="00E13BFD"/>
    <w:rsid w:val="00E13FD2"/>
    <w:rsid w:val="00E1428C"/>
    <w:rsid w:val="00E14641"/>
    <w:rsid w:val="00E14770"/>
    <w:rsid w:val="00E147C3"/>
    <w:rsid w:val="00E14F36"/>
    <w:rsid w:val="00E14FFC"/>
    <w:rsid w:val="00E1554E"/>
    <w:rsid w:val="00E15A29"/>
    <w:rsid w:val="00E15AB4"/>
    <w:rsid w:val="00E15E15"/>
    <w:rsid w:val="00E16C87"/>
    <w:rsid w:val="00E21547"/>
    <w:rsid w:val="00E218C2"/>
    <w:rsid w:val="00E21ADE"/>
    <w:rsid w:val="00E21C77"/>
    <w:rsid w:val="00E22204"/>
    <w:rsid w:val="00E22363"/>
    <w:rsid w:val="00E2272D"/>
    <w:rsid w:val="00E22F10"/>
    <w:rsid w:val="00E232D6"/>
    <w:rsid w:val="00E236EE"/>
    <w:rsid w:val="00E23C2C"/>
    <w:rsid w:val="00E24219"/>
    <w:rsid w:val="00E24240"/>
    <w:rsid w:val="00E244F3"/>
    <w:rsid w:val="00E24AC0"/>
    <w:rsid w:val="00E24B40"/>
    <w:rsid w:val="00E24FEB"/>
    <w:rsid w:val="00E25192"/>
    <w:rsid w:val="00E25A55"/>
    <w:rsid w:val="00E25D4F"/>
    <w:rsid w:val="00E2606C"/>
    <w:rsid w:val="00E2617A"/>
    <w:rsid w:val="00E262D1"/>
    <w:rsid w:val="00E26406"/>
    <w:rsid w:val="00E26A73"/>
    <w:rsid w:val="00E26AE9"/>
    <w:rsid w:val="00E26C8E"/>
    <w:rsid w:val="00E26D19"/>
    <w:rsid w:val="00E2708A"/>
    <w:rsid w:val="00E2778E"/>
    <w:rsid w:val="00E27E50"/>
    <w:rsid w:val="00E304C9"/>
    <w:rsid w:val="00E30A34"/>
    <w:rsid w:val="00E3114F"/>
    <w:rsid w:val="00E3262D"/>
    <w:rsid w:val="00E327B2"/>
    <w:rsid w:val="00E32896"/>
    <w:rsid w:val="00E32E76"/>
    <w:rsid w:val="00E3431C"/>
    <w:rsid w:val="00E349E8"/>
    <w:rsid w:val="00E34B93"/>
    <w:rsid w:val="00E34C5D"/>
    <w:rsid w:val="00E35468"/>
    <w:rsid w:val="00E354F0"/>
    <w:rsid w:val="00E357CE"/>
    <w:rsid w:val="00E35C0F"/>
    <w:rsid w:val="00E35D17"/>
    <w:rsid w:val="00E362BF"/>
    <w:rsid w:val="00E366B3"/>
    <w:rsid w:val="00E37A37"/>
    <w:rsid w:val="00E37E73"/>
    <w:rsid w:val="00E404D1"/>
    <w:rsid w:val="00E40547"/>
    <w:rsid w:val="00E40DDF"/>
    <w:rsid w:val="00E410FB"/>
    <w:rsid w:val="00E412F7"/>
    <w:rsid w:val="00E4194F"/>
    <w:rsid w:val="00E41998"/>
    <w:rsid w:val="00E41DA7"/>
    <w:rsid w:val="00E41E09"/>
    <w:rsid w:val="00E429DD"/>
    <w:rsid w:val="00E42CBA"/>
    <w:rsid w:val="00E43500"/>
    <w:rsid w:val="00E43A61"/>
    <w:rsid w:val="00E443F7"/>
    <w:rsid w:val="00E44874"/>
    <w:rsid w:val="00E44DD8"/>
    <w:rsid w:val="00E45514"/>
    <w:rsid w:val="00E46CE2"/>
    <w:rsid w:val="00E46CF6"/>
    <w:rsid w:val="00E4707A"/>
    <w:rsid w:val="00E47A31"/>
    <w:rsid w:val="00E51064"/>
    <w:rsid w:val="00E51070"/>
    <w:rsid w:val="00E52128"/>
    <w:rsid w:val="00E52514"/>
    <w:rsid w:val="00E52695"/>
    <w:rsid w:val="00E52804"/>
    <w:rsid w:val="00E5284A"/>
    <w:rsid w:val="00E52A0F"/>
    <w:rsid w:val="00E52A7F"/>
    <w:rsid w:val="00E534D3"/>
    <w:rsid w:val="00E53536"/>
    <w:rsid w:val="00E53CE2"/>
    <w:rsid w:val="00E54387"/>
    <w:rsid w:val="00E54B9F"/>
    <w:rsid w:val="00E54E59"/>
    <w:rsid w:val="00E552F5"/>
    <w:rsid w:val="00E554C3"/>
    <w:rsid w:val="00E55517"/>
    <w:rsid w:val="00E5681F"/>
    <w:rsid w:val="00E57245"/>
    <w:rsid w:val="00E60495"/>
    <w:rsid w:val="00E60616"/>
    <w:rsid w:val="00E60646"/>
    <w:rsid w:val="00E60832"/>
    <w:rsid w:val="00E60C9B"/>
    <w:rsid w:val="00E60F32"/>
    <w:rsid w:val="00E61493"/>
    <w:rsid w:val="00E61C67"/>
    <w:rsid w:val="00E61CF2"/>
    <w:rsid w:val="00E61FC3"/>
    <w:rsid w:val="00E62D1E"/>
    <w:rsid w:val="00E63168"/>
    <w:rsid w:val="00E634E3"/>
    <w:rsid w:val="00E64284"/>
    <w:rsid w:val="00E64309"/>
    <w:rsid w:val="00E65BED"/>
    <w:rsid w:val="00E66057"/>
    <w:rsid w:val="00E66931"/>
    <w:rsid w:val="00E66A10"/>
    <w:rsid w:val="00E66F51"/>
    <w:rsid w:val="00E673E4"/>
    <w:rsid w:val="00E67DF5"/>
    <w:rsid w:val="00E70554"/>
    <w:rsid w:val="00E7149B"/>
    <w:rsid w:val="00E71A66"/>
    <w:rsid w:val="00E71BC2"/>
    <w:rsid w:val="00E72279"/>
    <w:rsid w:val="00E72491"/>
    <w:rsid w:val="00E72FFF"/>
    <w:rsid w:val="00E734CB"/>
    <w:rsid w:val="00E737CC"/>
    <w:rsid w:val="00E7397E"/>
    <w:rsid w:val="00E73B7F"/>
    <w:rsid w:val="00E73F79"/>
    <w:rsid w:val="00E74807"/>
    <w:rsid w:val="00E74956"/>
    <w:rsid w:val="00E74D47"/>
    <w:rsid w:val="00E74FF7"/>
    <w:rsid w:val="00E7534F"/>
    <w:rsid w:val="00E7601F"/>
    <w:rsid w:val="00E76164"/>
    <w:rsid w:val="00E7669E"/>
    <w:rsid w:val="00E76BB5"/>
    <w:rsid w:val="00E77519"/>
    <w:rsid w:val="00E77B5D"/>
    <w:rsid w:val="00E80083"/>
    <w:rsid w:val="00E8073B"/>
    <w:rsid w:val="00E80938"/>
    <w:rsid w:val="00E80AFF"/>
    <w:rsid w:val="00E814D7"/>
    <w:rsid w:val="00E8176A"/>
    <w:rsid w:val="00E817F6"/>
    <w:rsid w:val="00E81B59"/>
    <w:rsid w:val="00E826D9"/>
    <w:rsid w:val="00E82E59"/>
    <w:rsid w:val="00E83196"/>
    <w:rsid w:val="00E8349B"/>
    <w:rsid w:val="00E834C7"/>
    <w:rsid w:val="00E835C4"/>
    <w:rsid w:val="00E839E8"/>
    <w:rsid w:val="00E83D07"/>
    <w:rsid w:val="00E84229"/>
    <w:rsid w:val="00E854FF"/>
    <w:rsid w:val="00E85CF8"/>
    <w:rsid w:val="00E86CC1"/>
    <w:rsid w:val="00E86EAF"/>
    <w:rsid w:val="00E87771"/>
    <w:rsid w:val="00E87ABF"/>
    <w:rsid w:val="00E87EEC"/>
    <w:rsid w:val="00E90781"/>
    <w:rsid w:val="00E90EB0"/>
    <w:rsid w:val="00E914C1"/>
    <w:rsid w:val="00E91852"/>
    <w:rsid w:val="00E919FC"/>
    <w:rsid w:val="00E91AA1"/>
    <w:rsid w:val="00E91AF4"/>
    <w:rsid w:val="00E91B52"/>
    <w:rsid w:val="00E92024"/>
    <w:rsid w:val="00E924CF"/>
    <w:rsid w:val="00E929AC"/>
    <w:rsid w:val="00E93EB3"/>
    <w:rsid w:val="00E943BD"/>
    <w:rsid w:val="00E94B87"/>
    <w:rsid w:val="00E950C1"/>
    <w:rsid w:val="00E9519B"/>
    <w:rsid w:val="00E9626C"/>
    <w:rsid w:val="00E964CA"/>
    <w:rsid w:val="00E96F15"/>
    <w:rsid w:val="00E96F47"/>
    <w:rsid w:val="00E9718D"/>
    <w:rsid w:val="00E9750E"/>
    <w:rsid w:val="00EA08E9"/>
    <w:rsid w:val="00EA0CE4"/>
    <w:rsid w:val="00EA1149"/>
    <w:rsid w:val="00EA1501"/>
    <w:rsid w:val="00EA1D6A"/>
    <w:rsid w:val="00EA1FC3"/>
    <w:rsid w:val="00EA258A"/>
    <w:rsid w:val="00EA2DAE"/>
    <w:rsid w:val="00EA2DD2"/>
    <w:rsid w:val="00EA33D0"/>
    <w:rsid w:val="00EA3774"/>
    <w:rsid w:val="00EA37FA"/>
    <w:rsid w:val="00EA40EF"/>
    <w:rsid w:val="00EA449E"/>
    <w:rsid w:val="00EA4CDC"/>
    <w:rsid w:val="00EA4DDC"/>
    <w:rsid w:val="00EA4FB8"/>
    <w:rsid w:val="00EA591F"/>
    <w:rsid w:val="00EA5EC7"/>
    <w:rsid w:val="00EA5F28"/>
    <w:rsid w:val="00EA6BD3"/>
    <w:rsid w:val="00EA6CE1"/>
    <w:rsid w:val="00EA6D0C"/>
    <w:rsid w:val="00EA7579"/>
    <w:rsid w:val="00EA7B79"/>
    <w:rsid w:val="00EB0406"/>
    <w:rsid w:val="00EB07B9"/>
    <w:rsid w:val="00EB0F01"/>
    <w:rsid w:val="00EB21C8"/>
    <w:rsid w:val="00EB233C"/>
    <w:rsid w:val="00EB2373"/>
    <w:rsid w:val="00EB25D4"/>
    <w:rsid w:val="00EB2811"/>
    <w:rsid w:val="00EB2E02"/>
    <w:rsid w:val="00EB308E"/>
    <w:rsid w:val="00EB326F"/>
    <w:rsid w:val="00EB328D"/>
    <w:rsid w:val="00EB39D7"/>
    <w:rsid w:val="00EB4637"/>
    <w:rsid w:val="00EB4B84"/>
    <w:rsid w:val="00EB531B"/>
    <w:rsid w:val="00EB57B2"/>
    <w:rsid w:val="00EB5E06"/>
    <w:rsid w:val="00EB601C"/>
    <w:rsid w:val="00EB6902"/>
    <w:rsid w:val="00EB6C39"/>
    <w:rsid w:val="00EB7143"/>
    <w:rsid w:val="00EB71DB"/>
    <w:rsid w:val="00EB7862"/>
    <w:rsid w:val="00EB7D2A"/>
    <w:rsid w:val="00EC0D93"/>
    <w:rsid w:val="00EC0FA3"/>
    <w:rsid w:val="00EC10BD"/>
    <w:rsid w:val="00EC2697"/>
    <w:rsid w:val="00EC2E8B"/>
    <w:rsid w:val="00EC37B9"/>
    <w:rsid w:val="00EC44BF"/>
    <w:rsid w:val="00EC47C5"/>
    <w:rsid w:val="00EC4C5F"/>
    <w:rsid w:val="00EC53E9"/>
    <w:rsid w:val="00EC5C49"/>
    <w:rsid w:val="00EC6C15"/>
    <w:rsid w:val="00EC6FD2"/>
    <w:rsid w:val="00EC73D4"/>
    <w:rsid w:val="00EC747F"/>
    <w:rsid w:val="00ED047A"/>
    <w:rsid w:val="00ED06C9"/>
    <w:rsid w:val="00ED0714"/>
    <w:rsid w:val="00ED123D"/>
    <w:rsid w:val="00ED15CF"/>
    <w:rsid w:val="00ED1916"/>
    <w:rsid w:val="00ED1ACB"/>
    <w:rsid w:val="00ED1D37"/>
    <w:rsid w:val="00ED1DE7"/>
    <w:rsid w:val="00ED248B"/>
    <w:rsid w:val="00ED2C01"/>
    <w:rsid w:val="00ED33BC"/>
    <w:rsid w:val="00ED37EF"/>
    <w:rsid w:val="00ED39C9"/>
    <w:rsid w:val="00ED3ABB"/>
    <w:rsid w:val="00ED42C6"/>
    <w:rsid w:val="00ED4449"/>
    <w:rsid w:val="00ED4A5A"/>
    <w:rsid w:val="00ED4EBB"/>
    <w:rsid w:val="00ED5053"/>
    <w:rsid w:val="00ED596F"/>
    <w:rsid w:val="00ED66AF"/>
    <w:rsid w:val="00ED6AC9"/>
    <w:rsid w:val="00ED709D"/>
    <w:rsid w:val="00ED74A0"/>
    <w:rsid w:val="00ED74D5"/>
    <w:rsid w:val="00ED7C29"/>
    <w:rsid w:val="00EE0102"/>
    <w:rsid w:val="00EE0363"/>
    <w:rsid w:val="00EE0BD2"/>
    <w:rsid w:val="00EE165C"/>
    <w:rsid w:val="00EE1B10"/>
    <w:rsid w:val="00EE2558"/>
    <w:rsid w:val="00EE2811"/>
    <w:rsid w:val="00EE2D5F"/>
    <w:rsid w:val="00EE2FF2"/>
    <w:rsid w:val="00EE39FC"/>
    <w:rsid w:val="00EE43F7"/>
    <w:rsid w:val="00EE4458"/>
    <w:rsid w:val="00EE60A6"/>
    <w:rsid w:val="00EE6186"/>
    <w:rsid w:val="00EE67C9"/>
    <w:rsid w:val="00EE6FC8"/>
    <w:rsid w:val="00EE7021"/>
    <w:rsid w:val="00EE74EF"/>
    <w:rsid w:val="00EE7970"/>
    <w:rsid w:val="00EF03A4"/>
    <w:rsid w:val="00EF14C8"/>
    <w:rsid w:val="00EF35F6"/>
    <w:rsid w:val="00EF38ED"/>
    <w:rsid w:val="00EF4680"/>
    <w:rsid w:val="00EF4CDB"/>
    <w:rsid w:val="00EF4F05"/>
    <w:rsid w:val="00EF543A"/>
    <w:rsid w:val="00EF573B"/>
    <w:rsid w:val="00EF5885"/>
    <w:rsid w:val="00EF5E03"/>
    <w:rsid w:val="00EF6BA2"/>
    <w:rsid w:val="00EF73FC"/>
    <w:rsid w:val="00EF76B0"/>
    <w:rsid w:val="00EF78BC"/>
    <w:rsid w:val="00EF7AC5"/>
    <w:rsid w:val="00F0052B"/>
    <w:rsid w:val="00F00750"/>
    <w:rsid w:val="00F00CEC"/>
    <w:rsid w:val="00F010D5"/>
    <w:rsid w:val="00F015B4"/>
    <w:rsid w:val="00F01A25"/>
    <w:rsid w:val="00F01B5B"/>
    <w:rsid w:val="00F02108"/>
    <w:rsid w:val="00F02324"/>
    <w:rsid w:val="00F024D2"/>
    <w:rsid w:val="00F025A6"/>
    <w:rsid w:val="00F025F7"/>
    <w:rsid w:val="00F0264E"/>
    <w:rsid w:val="00F03135"/>
    <w:rsid w:val="00F0321E"/>
    <w:rsid w:val="00F04013"/>
    <w:rsid w:val="00F04F3A"/>
    <w:rsid w:val="00F04FA4"/>
    <w:rsid w:val="00F05245"/>
    <w:rsid w:val="00F06AA9"/>
    <w:rsid w:val="00F06B63"/>
    <w:rsid w:val="00F075D6"/>
    <w:rsid w:val="00F07628"/>
    <w:rsid w:val="00F079C8"/>
    <w:rsid w:val="00F07F1C"/>
    <w:rsid w:val="00F10587"/>
    <w:rsid w:val="00F10CEC"/>
    <w:rsid w:val="00F1118C"/>
    <w:rsid w:val="00F1343F"/>
    <w:rsid w:val="00F13EF9"/>
    <w:rsid w:val="00F140F1"/>
    <w:rsid w:val="00F14A8C"/>
    <w:rsid w:val="00F15017"/>
    <w:rsid w:val="00F150F9"/>
    <w:rsid w:val="00F1550E"/>
    <w:rsid w:val="00F1560B"/>
    <w:rsid w:val="00F15631"/>
    <w:rsid w:val="00F158B7"/>
    <w:rsid w:val="00F16062"/>
    <w:rsid w:val="00F16B23"/>
    <w:rsid w:val="00F17ADB"/>
    <w:rsid w:val="00F20B66"/>
    <w:rsid w:val="00F21781"/>
    <w:rsid w:val="00F21956"/>
    <w:rsid w:val="00F21C20"/>
    <w:rsid w:val="00F23E37"/>
    <w:rsid w:val="00F2454A"/>
    <w:rsid w:val="00F24DB2"/>
    <w:rsid w:val="00F259AC"/>
    <w:rsid w:val="00F25A9D"/>
    <w:rsid w:val="00F2689D"/>
    <w:rsid w:val="00F2713E"/>
    <w:rsid w:val="00F273AE"/>
    <w:rsid w:val="00F27602"/>
    <w:rsid w:val="00F27756"/>
    <w:rsid w:val="00F27865"/>
    <w:rsid w:val="00F279C5"/>
    <w:rsid w:val="00F3020E"/>
    <w:rsid w:val="00F3026F"/>
    <w:rsid w:val="00F30754"/>
    <w:rsid w:val="00F30DC7"/>
    <w:rsid w:val="00F313E3"/>
    <w:rsid w:val="00F31718"/>
    <w:rsid w:val="00F31821"/>
    <w:rsid w:val="00F31AF4"/>
    <w:rsid w:val="00F32274"/>
    <w:rsid w:val="00F3279B"/>
    <w:rsid w:val="00F32810"/>
    <w:rsid w:val="00F33B11"/>
    <w:rsid w:val="00F33DE4"/>
    <w:rsid w:val="00F350F5"/>
    <w:rsid w:val="00F35252"/>
    <w:rsid w:val="00F35493"/>
    <w:rsid w:val="00F356DA"/>
    <w:rsid w:val="00F357D1"/>
    <w:rsid w:val="00F359BB"/>
    <w:rsid w:val="00F365AD"/>
    <w:rsid w:val="00F36ACD"/>
    <w:rsid w:val="00F375E1"/>
    <w:rsid w:val="00F408F6"/>
    <w:rsid w:val="00F409AA"/>
    <w:rsid w:val="00F40B97"/>
    <w:rsid w:val="00F4121F"/>
    <w:rsid w:val="00F41641"/>
    <w:rsid w:val="00F418FF"/>
    <w:rsid w:val="00F4227E"/>
    <w:rsid w:val="00F42291"/>
    <w:rsid w:val="00F42F27"/>
    <w:rsid w:val="00F43816"/>
    <w:rsid w:val="00F43841"/>
    <w:rsid w:val="00F439FF"/>
    <w:rsid w:val="00F43BA7"/>
    <w:rsid w:val="00F4416B"/>
    <w:rsid w:val="00F44592"/>
    <w:rsid w:val="00F4490B"/>
    <w:rsid w:val="00F44CA4"/>
    <w:rsid w:val="00F45137"/>
    <w:rsid w:val="00F4524A"/>
    <w:rsid w:val="00F45569"/>
    <w:rsid w:val="00F467BA"/>
    <w:rsid w:val="00F46807"/>
    <w:rsid w:val="00F47F39"/>
    <w:rsid w:val="00F50954"/>
    <w:rsid w:val="00F50AD7"/>
    <w:rsid w:val="00F50E55"/>
    <w:rsid w:val="00F51410"/>
    <w:rsid w:val="00F51436"/>
    <w:rsid w:val="00F523FA"/>
    <w:rsid w:val="00F524AF"/>
    <w:rsid w:val="00F5273A"/>
    <w:rsid w:val="00F52D4D"/>
    <w:rsid w:val="00F52EF7"/>
    <w:rsid w:val="00F53107"/>
    <w:rsid w:val="00F553C1"/>
    <w:rsid w:val="00F55846"/>
    <w:rsid w:val="00F55BDB"/>
    <w:rsid w:val="00F55EA1"/>
    <w:rsid w:val="00F56C9C"/>
    <w:rsid w:val="00F57178"/>
    <w:rsid w:val="00F57515"/>
    <w:rsid w:val="00F603B6"/>
    <w:rsid w:val="00F608BD"/>
    <w:rsid w:val="00F6113D"/>
    <w:rsid w:val="00F613C7"/>
    <w:rsid w:val="00F61639"/>
    <w:rsid w:val="00F61B0A"/>
    <w:rsid w:val="00F61F8B"/>
    <w:rsid w:val="00F62531"/>
    <w:rsid w:val="00F63654"/>
    <w:rsid w:val="00F63C7A"/>
    <w:rsid w:val="00F64BCB"/>
    <w:rsid w:val="00F6528B"/>
    <w:rsid w:val="00F65A9A"/>
    <w:rsid w:val="00F65D89"/>
    <w:rsid w:val="00F6617E"/>
    <w:rsid w:val="00F664D7"/>
    <w:rsid w:val="00F66C65"/>
    <w:rsid w:val="00F67BBC"/>
    <w:rsid w:val="00F70C31"/>
    <w:rsid w:val="00F71E85"/>
    <w:rsid w:val="00F72763"/>
    <w:rsid w:val="00F728C6"/>
    <w:rsid w:val="00F72E6C"/>
    <w:rsid w:val="00F737FE"/>
    <w:rsid w:val="00F750D6"/>
    <w:rsid w:val="00F75195"/>
    <w:rsid w:val="00F75404"/>
    <w:rsid w:val="00F75834"/>
    <w:rsid w:val="00F7588A"/>
    <w:rsid w:val="00F75A70"/>
    <w:rsid w:val="00F75B49"/>
    <w:rsid w:val="00F75B68"/>
    <w:rsid w:val="00F75C92"/>
    <w:rsid w:val="00F762FB"/>
    <w:rsid w:val="00F76411"/>
    <w:rsid w:val="00F77641"/>
    <w:rsid w:val="00F77875"/>
    <w:rsid w:val="00F8052C"/>
    <w:rsid w:val="00F805C3"/>
    <w:rsid w:val="00F80BA1"/>
    <w:rsid w:val="00F80BA2"/>
    <w:rsid w:val="00F81FD1"/>
    <w:rsid w:val="00F82979"/>
    <w:rsid w:val="00F8324C"/>
    <w:rsid w:val="00F834E6"/>
    <w:rsid w:val="00F83556"/>
    <w:rsid w:val="00F8361C"/>
    <w:rsid w:val="00F84134"/>
    <w:rsid w:val="00F84277"/>
    <w:rsid w:val="00F862A5"/>
    <w:rsid w:val="00F86864"/>
    <w:rsid w:val="00F86952"/>
    <w:rsid w:val="00F86A4E"/>
    <w:rsid w:val="00F86CFA"/>
    <w:rsid w:val="00F87A5B"/>
    <w:rsid w:val="00F9048B"/>
    <w:rsid w:val="00F909C6"/>
    <w:rsid w:val="00F90D48"/>
    <w:rsid w:val="00F90E0A"/>
    <w:rsid w:val="00F91AF2"/>
    <w:rsid w:val="00F927D9"/>
    <w:rsid w:val="00F92E87"/>
    <w:rsid w:val="00F93306"/>
    <w:rsid w:val="00F9368E"/>
    <w:rsid w:val="00F9429C"/>
    <w:rsid w:val="00F947E8"/>
    <w:rsid w:val="00F95576"/>
    <w:rsid w:val="00F9569B"/>
    <w:rsid w:val="00F9687D"/>
    <w:rsid w:val="00F96AEA"/>
    <w:rsid w:val="00F96D4D"/>
    <w:rsid w:val="00F97A74"/>
    <w:rsid w:val="00FA1033"/>
    <w:rsid w:val="00FA155A"/>
    <w:rsid w:val="00FA1DEB"/>
    <w:rsid w:val="00FA2228"/>
    <w:rsid w:val="00FA24E1"/>
    <w:rsid w:val="00FA261E"/>
    <w:rsid w:val="00FA289C"/>
    <w:rsid w:val="00FA2924"/>
    <w:rsid w:val="00FA33B1"/>
    <w:rsid w:val="00FA4047"/>
    <w:rsid w:val="00FA41DB"/>
    <w:rsid w:val="00FA4557"/>
    <w:rsid w:val="00FA45CA"/>
    <w:rsid w:val="00FA46AB"/>
    <w:rsid w:val="00FA5D7A"/>
    <w:rsid w:val="00FA607E"/>
    <w:rsid w:val="00FA61A7"/>
    <w:rsid w:val="00FA625B"/>
    <w:rsid w:val="00FA6349"/>
    <w:rsid w:val="00FA642E"/>
    <w:rsid w:val="00FA673A"/>
    <w:rsid w:val="00FA708A"/>
    <w:rsid w:val="00FA7A3C"/>
    <w:rsid w:val="00FB015F"/>
    <w:rsid w:val="00FB0275"/>
    <w:rsid w:val="00FB0EE0"/>
    <w:rsid w:val="00FB0FD3"/>
    <w:rsid w:val="00FB10A2"/>
    <w:rsid w:val="00FB18AB"/>
    <w:rsid w:val="00FB1DD1"/>
    <w:rsid w:val="00FB2040"/>
    <w:rsid w:val="00FB2183"/>
    <w:rsid w:val="00FB2642"/>
    <w:rsid w:val="00FB27F5"/>
    <w:rsid w:val="00FB292C"/>
    <w:rsid w:val="00FB30C8"/>
    <w:rsid w:val="00FB30F4"/>
    <w:rsid w:val="00FB32C3"/>
    <w:rsid w:val="00FB3ADC"/>
    <w:rsid w:val="00FB4E9E"/>
    <w:rsid w:val="00FB6136"/>
    <w:rsid w:val="00FB6F79"/>
    <w:rsid w:val="00FB70C3"/>
    <w:rsid w:val="00FB77E7"/>
    <w:rsid w:val="00FB7B65"/>
    <w:rsid w:val="00FC0D54"/>
    <w:rsid w:val="00FC0E00"/>
    <w:rsid w:val="00FC1A95"/>
    <w:rsid w:val="00FC1BD4"/>
    <w:rsid w:val="00FC2242"/>
    <w:rsid w:val="00FC2481"/>
    <w:rsid w:val="00FC2D59"/>
    <w:rsid w:val="00FC3045"/>
    <w:rsid w:val="00FC33F2"/>
    <w:rsid w:val="00FC348E"/>
    <w:rsid w:val="00FC4611"/>
    <w:rsid w:val="00FC4856"/>
    <w:rsid w:val="00FC4919"/>
    <w:rsid w:val="00FC4E57"/>
    <w:rsid w:val="00FC5043"/>
    <w:rsid w:val="00FC556D"/>
    <w:rsid w:val="00FC590C"/>
    <w:rsid w:val="00FC6BB4"/>
    <w:rsid w:val="00FC6C39"/>
    <w:rsid w:val="00FC7118"/>
    <w:rsid w:val="00FC71CE"/>
    <w:rsid w:val="00FC728C"/>
    <w:rsid w:val="00FC7D94"/>
    <w:rsid w:val="00FD0477"/>
    <w:rsid w:val="00FD0982"/>
    <w:rsid w:val="00FD20E6"/>
    <w:rsid w:val="00FD2846"/>
    <w:rsid w:val="00FD2C0B"/>
    <w:rsid w:val="00FD38FF"/>
    <w:rsid w:val="00FD3EE1"/>
    <w:rsid w:val="00FD5226"/>
    <w:rsid w:val="00FD5D99"/>
    <w:rsid w:val="00FD666E"/>
    <w:rsid w:val="00FD6818"/>
    <w:rsid w:val="00FD6C50"/>
    <w:rsid w:val="00FD6F94"/>
    <w:rsid w:val="00FD7702"/>
    <w:rsid w:val="00FD7853"/>
    <w:rsid w:val="00FD7F98"/>
    <w:rsid w:val="00FE02E2"/>
    <w:rsid w:val="00FE036A"/>
    <w:rsid w:val="00FE0754"/>
    <w:rsid w:val="00FE11A4"/>
    <w:rsid w:val="00FE1763"/>
    <w:rsid w:val="00FE1BD0"/>
    <w:rsid w:val="00FE250F"/>
    <w:rsid w:val="00FE2A26"/>
    <w:rsid w:val="00FE2E1A"/>
    <w:rsid w:val="00FE2F37"/>
    <w:rsid w:val="00FE33D1"/>
    <w:rsid w:val="00FE34FD"/>
    <w:rsid w:val="00FE3562"/>
    <w:rsid w:val="00FE3C70"/>
    <w:rsid w:val="00FE528A"/>
    <w:rsid w:val="00FE5AAE"/>
    <w:rsid w:val="00FE5CAA"/>
    <w:rsid w:val="00FE6BE2"/>
    <w:rsid w:val="00FE6C73"/>
    <w:rsid w:val="00FE704C"/>
    <w:rsid w:val="00FE7677"/>
    <w:rsid w:val="00FF0587"/>
    <w:rsid w:val="00FF0FD5"/>
    <w:rsid w:val="00FF15B6"/>
    <w:rsid w:val="00FF173A"/>
    <w:rsid w:val="00FF1DB1"/>
    <w:rsid w:val="00FF2620"/>
    <w:rsid w:val="00FF29DC"/>
    <w:rsid w:val="00FF2DB0"/>
    <w:rsid w:val="00FF2E09"/>
    <w:rsid w:val="00FF3271"/>
    <w:rsid w:val="00FF390A"/>
    <w:rsid w:val="00FF3988"/>
    <w:rsid w:val="00FF3C1F"/>
    <w:rsid w:val="00FF3C86"/>
    <w:rsid w:val="00FF3F97"/>
    <w:rsid w:val="00FF4479"/>
    <w:rsid w:val="00FF4985"/>
    <w:rsid w:val="00FF4CA8"/>
    <w:rsid w:val="00FF51A3"/>
    <w:rsid w:val="00FF53E2"/>
    <w:rsid w:val="00FF559C"/>
    <w:rsid w:val="00FF5F04"/>
    <w:rsid w:val="00FF6071"/>
    <w:rsid w:val="00FF6456"/>
    <w:rsid w:val="00FF69E1"/>
    <w:rsid w:val="00FF71D2"/>
    <w:rsid w:val="00FF7663"/>
    <w:rsid w:val="00FF7D7F"/>
    <w:rsid w:val="011F8842"/>
    <w:rsid w:val="01689BC6"/>
    <w:rsid w:val="017D72C1"/>
    <w:rsid w:val="0242C5EE"/>
    <w:rsid w:val="024ADC98"/>
    <w:rsid w:val="02E61B59"/>
    <w:rsid w:val="0344C10C"/>
    <w:rsid w:val="03B5E215"/>
    <w:rsid w:val="03BCCD0E"/>
    <w:rsid w:val="03E9A88F"/>
    <w:rsid w:val="04173BDA"/>
    <w:rsid w:val="041A5541"/>
    <w:rsid w:val="042ECCBA"/>
    <w:rsid w:val="04C5E58E"/>
    <w:rsid w:val="050A2438"/>
    <w:rsid w:val="05319E2D"/>
    <w:rsid w:val="055C81ED"/>
    <w:rsid w:val="061196BC"/>
    <w:rsid w:val="06F70969"/>
    <w:rsid w:val="07B280D3"/>
    <w:rsid w:val="07F8033D"/>
    <w:rsid w:val="086D55B9"/>
    <w:rsid w:val="09556944"/>
    <w:rsid w:val="0984B4FB"/>
    <w:rsid w:val="0989F497"/>
    <w:rsid w:val="0992B04C"/>
    <w:rsid w:val="0AC33386"/>
    <w:rsid w:val="0AC8FE1E"/>
    <w:rsid w:val="0B5813F7"/>
    <w:rsid w:val="0C55AFEF"/>
    <w:rsid w:val="0C755637"/>
    <w:rsid w:val="0CEEA492"/>
    <w:rsid w:val="0D495A8D"/>
    <w:rsid w:val="0D5C3A0E"/>
    <w:rsid w:val="0E0805DE"/>
    <w:rsid w:val="0E214CA6"/>
    <w:rsid w:val="0EF33A50"/>
    <w:rsid w:val="0F78C2B6"/>
    <w:rsid w:val="100B96D4"/>
    <w:rsid w:val="10C9708D"/>
    <w:rsid w:val="10E05FA2"/>
    <w:rsid w:val="10FD953D"/>
    <w:rsid w:val="1169C9FE"/>
    <w:rsid w:val="11E51557"/>
    <w:rsid w:val="11EB5C07"/>
    <w:rsid w:val="11F6B842"/>
    <w:rsid w:val="120E9265"/>
    <w:rsid w:val="121781ED"/>
    <w:rsid w:val="13415B3E"/>
    <w:rsid w:val="13DBA19A"/>
    <w:rsid w:val="141FECDA"/>
    <w:rsid w:val="1615B569"/>
    <w:rsid w:val="162C21DD"/>
    <w:rsid w:val="166913F9"/>
    <w:rsid w:val="167CBFC3"/>
    <w:rsid w:val="16B4E0FE"/>
    <w:rsid w:val="16E83732"/>
    <w:rsid w:val="16FD328C"/>
    <w:rsid w:val="17667349"/>
    <w:rsid w:val="17AF3C87"/>
    <w:rsid w:val="17D2AA75"/>
    <w:rsid w:val="17E291A9"/>
    <w:rsid w:val="1805F82D"/>
    <w:rsid w:val="1912C8B8"/>
    <w:rsid w:val="1942FA4F"/>
    <w:rsid w:val="19F5EF77"/>
    <w:rsid w:val="1B1DB95B"/>
    <w:rsid w:val="1B9DDE8D"/>
    <w:rsid w:val="1BFA503B"/>
    <w:rsid w:val="1C3A7F92"/>
    <w:rsid w:val="1C698E07"/>
    <w:rsid w:val="1CA52174"/>
    <w:rsid w:val="1D289ACB"/>
    <w:rsid w:val="1E00F677"/>
    <w:rsid w:val="1EE8F94A"/>
    <w:rsid w:val="1EEA3303"/>
    <w:rsid w:val="1F0131BE"/>
    <w:rsid w:val="1F5E88D9"/>
    <w:rsid w:val="1FAB02E1"/>
    <w:rsid w:val="2054DFBA"/>
    <w:rsid w:val="2104450B"/>
    <w:rsid w:val="23A72497"/>
    <w:rsid w:val="23E322ED"/>
    <w:rsid w:val="25F430F7"/>
    <w:rsid w:val="26453304"/>
    <w:rsid w:val="26A7B9D3"/>
    <w:rsid w:val="26DF8BEC"/>
    <w:rsid w:val="27BC2DD3"/>
    <w:rsid w:val="27F2ED2F"/>
    <w:rsid w:val="28993FA2"/>
    <w:rsid w:val="28E871E8"/>
    <w:rsid w:val="293E703D"/>
    <w:rsid w:val="29471ED7"/>
    <w:rsid w:val="29A06FDD"/>
    <w:rsid w:val="29E20385"/>
    <w:rsid w:val="29E998E9"/>
    <w:rsid w:val="2A9CF1ED"/>
    <w:rsid w:val="2CCADBB0"/>
    <w:rsid w:val="2DC9CFA3"/>
    <w:rsid w:val="2E5942D0"/>
    <w:rsid w:val="2EFA5CD8"/>
    <w:rsid w:val="30A5E371"/>
    <w:rsid w:val="30ACDB99"/>
    <w:rsid w:val="33112536"/>
    <w:rsid w:val="33B465A7"/>
    <w:rsid w:val="3516DDAA"/>
    <w:rsid w:val="359E4164"/>
    <w:rsid w:val="35B0197A"/>
    <w:rsid w:val="35CEABBB"/>
    <w:rsid w:val="3624592D"/>
    <w:rsid w:val="36B767B5"/>
    <w:rsid w:val="38141250"/>
    <w:rsid w:val="383A6CE5"/>
    <w:rsid w:val="389825D9"/>
    <w:rsid w:val="389E208E"/>
    <w:rsid w:val="38D85341"/>
    <w:rsid w:val="38F4F415"/>
    <w:rsid w:val="3900F83D"/>
    <w:rsid w:val="39A617AF"/>
    <w:rsid w:val="39C2A91D"/>
    <w:rsid w:val="3A23012F"/>
    <w:rsid w:val="3A29470E"/>
    <w:rsid w:val="3AAA943F"/>
    <w:rsid w:val="3C0F7A5B"/>
    <w:rsid w:val="3C2101F5"/>
    <w:rsid w:val="3C767C35"/>
    <w:rsid w:val="3C83BB88"/>
    <w:rsid w:val="3CA1EE05"/>
    <w:rsid w:val="3D08A4AC"/>
    <w:rsid w:val="3D1476B6"/>
    <w:rsid w:val="3DD5E560"/>
    <w:rsid w:val="3EE413D0"/>
    <w:rsid w:val="3F28B1E0"/>
    <w:rsid w:val="3FA34654"/>
    <w:rsid w:val="3FB060C3"/>
    <w:rsid w:val="3FBDFE40"/>
    <w:rsid w:val="407CDACD"/>
    <w:rsid w:val="40B68DDF"/>
    <w:rsid w:val="40C5B35B"/>
    <w:rsid w:val="41186C52"/>
    <w:rsid w:val="41338E84"/>
    <w:rsid w:val="41D26186"/>
    <w:rsid w:val="42134D15"/>
    <w:rsid w:val="427B2C1F"/>
    <w:rsid w:val="428C92D8"/>
    <w:rsid w:val="42C8924C"/>
    <w:rsid w:val="434E04B4"/>
    <w:rsid w:val="43656502"/>
    <w:rsid w:val="43E3010A"/>
    <w:rsid w:val="44759147"/>
    <w:rsid w:val="44BF344F"/>
    <w:rsid w:val="44F7BFE2"/>
    <w:rsid w:val="4542AE8D"/>
    <w:rsid w:val="4687FC46"/>
    <w:rsid w:val="46C7E63D"/>
    <w:rsid w:val="47729D0C"/>
    <w:rsid w:val="47783860"/>
    <w:rsid w:val="478F23FE"/>
    <w:rsid w:val="47CD7BCA"/>
    <w:rsid w:val="48221C5A"/>
    <w:rsid w:val="48859BB9"/>
    <w:rsid w:val="4984ADC1"/>
    <w:rsid w:val="49C16DFC"/>
    <w:rsid w:val="49E82786"/>
    <w:rsid w:val="4A7EC32F"/>
    <w:rsid w:val="4B2ABCB4"/>
    <w:rsid w:val="4B5A3D71"/>
    <w:rsid w:val="4B7CC8F2"/>
    <w:rsid w:val="4C269789"/>
    <w:rsid w:val="4C6432A4"/>
    <w:rsid w:val="4C90F1B7"/>
    <w:rsid w:val="4EFE2C63"/>
    <w:rsid w:val="4F67569B"/>
    <w:rsid w:val="5096B623"/>
    <w:rsid w:val="5183BBF1"/>
    <w:rsid w:val="519AF8F4"/>
    <w:rsid w:val="52074FD0"/>
    <w:rsid w:val="520FA9FA"/>
    <w:rsid w:val="52227C8D"/>
    <w:rsid w:val="524F2A0C"/>
    <w:rsid w:val="525F8485"/>
    <w:rsid w:val="5329F7F2"/>
    <w:rsid w:val="544F45BE"/>
    <w:rsid w:val="55051529"/>
    <w:rsid w:val="55B40416"/>
    <w:rsid w:val="55EF31C5"/>
    <w:rsid w:val="5667C464"/>
    <w:rsid w:val="57281145"/>
    <w:rsid w:val="57458702"/>
    <w:rsid w:val="575F676B"/>
    <w:rsid w:val="57AB76A2"/>
    <w:rsid w:val="57D9AAF0"/>
    <w:rsid w:val="583606A9"/>
    <w:rsid w:val="5858F0F9"/>
    <w:rsid w:val="58616106"/>
    <w:rsid w:val="5A2C3AA4"/>
    <w:rsid w:val="5B1DD9F7"/>
    <w:rsid w:val="5B469B46"/>
    <w:rsid w:val="5B815189"/>
    <w:rsid w:val="5B953845"/>
    <w:rsid w:val="5C3F25BD"/>
    <w:rsid w:val="5C97BAAD"/>
    <w:rsid w:val="5CC261A4"/>
    <w:rsid w:val="5CDAB7D1"/>
    <w:rsid w:val="5D994032"/>
    <w:rsid w:val="5DC49518"/>
    <w:rsid w:val="5E6EEF05"/>
    <w:rsid w:val="5E82D537"/>
    <w:rsid w:val="5F1739CF"/>
    <w:rsid w:val="60F580BF"/>
    <w:rsid w:val="615F0122"/>
    <w:rsid w:val="617551DB"/>
    <w:rsid w:val="61CE4404"/>
    <w:rsid w:val="61DA48A3"/>
    <w:rsid w:val="61F491D7"/>
    <w:rsid w:val="621773BF"/>
    <w:rsid w:val="6306EDAC"/>
    <w:rsid w:val="63EA2C61"/>
    <w:rsid w:val="646C4ACD"/>
    <w:rsid w:val="66049137"/>
    <w:rsid w:val="681792B0"/>
    <w:rsid w:val="6B7E64C6"/>
    <w:rsid w:val="6B8AC766"/>
    <w:rsid w:val="6BA5F10F"/>
    <w:rsid w:val="6C68648D"/>
    <w:rsid w:val="6CB21296"/>
    <w:rsid w:val="6DAF3D65"/>
    <w:rsid w:val="6DE19823"/>
    <w:rsid w:val="6E771EA9"/>
    <w:rsid w:val="6E84E85A"/>
    <w:rsid w:val="6EDEC2B9"/>
    <w:rsid w:val="6F741A8D"/>
    <w:rsid w:val="70011765"/>
    <w:rsid w:val="7164CD47"/>
    <w:rsid w:val="7216FC44"/>
    <w:rsid w:val="7221883D"/>
    <w:rsid w:val="72605AFA"/>
    <w:rsid w:val="72CE7A6F"/>
    <w:rsid w:val="73672D67"/>
    <w:rsid w:val="7367F59E"/>
    <w:rsid w:val="74F456CB"/>
    <w:rsid w:val="7501853D"/>
    <w:rsid w:val="75B1B97F"/>
    <w:rsid w:val="75C7CCF0"/>
    <w:rsid w:val="75F6270D"/>
    <w:rsid w:val="7650D492"/>
    <w:rsid w:val="767C5DDC"/>
    <w:rsid w:val="76F975A4"/>
    <w:rsid w:val="77712506"/>
    <w:rsid w:val="77D6CF6D"/>
    <w:rsid w:val="781512E3"/>
    <w:rsid w:val="786B578A"/>
    <w:rsid w:val="792E6265"/>
    <w:rsid w:val="79C20F19"/>
    <w:rsid w:val="7A526258"/>
    <w:rsid w:val="7B16D70F"/>
    <w:rsid w:val="7B2F5873"/>
    <w:rsid w:val="7B3C80F0"/>
    <w:rsid w:val="7BECDDF3"/>
    <w:rsid w:val="7D0D501E"/>
    <w:rsid w:val="7D32F424"/>
    <w:rsid w:val="7D3EC2E4"/>
    <w:rsid w:val="7D6344F1"/>
    <w:rsid w:val="7E40DF6C"/>
    <w:rsid w:val="7FCEBB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1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9C4985"/>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9C4985"/>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9C4985"/>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C4985"/>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C4985"/>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C4985"/>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9C4985"/>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C49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985"/>
    <w:rPr>
      <w:rFonts w:ascii="Tahoma" w:hAnsi="Tahoma" w:cs="Tahoma"/>
      <w:sz w:val="16"/>
      <w:szCs w:val="16"/>
      <w:lang w:val="en-AU"/>
    </w:rPr>
  </w:style>
  <w:style w:type="paragraph" w:styleId="ListBullet">
    <w:name w:val="List Bullet"/>
    <w:basedOn w:val="Normal"/>
    <w:uiPriority w:val="4"/>
    <w:qFormat/>
    <w:rsid w:val="009C4985"/>
    <w:pPr>
      <w:numPr>
        <w:numId w:val="10"/>
      </w:numPr>
      <w:spacing w:before="120" w:after="120" w:line="276" w:lineRule="auto"/>
    </w:pPr>
    <w:rPr>
      <w:rFonts w:eastAsia="Times New Roman" w:cs="Times New Roman"/>
      <w:szCs w:val="24"/>
      <w:lang w:eastAsia="en-GB"/>
    </w:rPr>
  </w:style>
  <w:style w:type="numbering" w:customStyle="1" w:styleId="ListBulletmaster">
    <w:name w:val="List Bullet (master)"/>
    <w:rsid w:val="009C4985"/>
    <w:pPr>
      <w:numPr>
        <w:numId w:val="3"/>
      </w:numPr>
    </w:pPr>
  </w:style>
  <w:style w:type="paragraph" w:styleId="ListBullet2">
    <w:name w:val="List Bullet 2"/>
    <w:basedOn w:val="Normal"/>
    <w:uiPriority w:val="4"/>
    <w:qFormat/>
    <w:rsid w:val="009C4985"/>
    <w:pPr>
      <w:numPr>
        <w:ilvl w:val="1"/>
        <w:numId w:val="10"/>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9C4985"/>
    <w:pPr>
      <w:numPr>
        <w:ilvl w:val="2"/>
        <w:numId w:val="10"/>
      </w:numPr>
      <w:spacing w:before="120" w:after="120" w:line="276" w:lineRule="auto"/>
    </w:pPr>
    <w:rPr>
      <w:rFonts w:eastAsia="Times New Roman" w:cs="Times New Roman"/>
      <w:szCs w:val="24"/>
      <w:lang w:eastAsia="en-GB"/>
    </w:rPr>
  </w:style>
  <w:style w:type="numbering" w:customStyle="1" w:styleId="ListNumbermaster">
    <w:name w:val="List Number (master)"/>
    <w:rsid w:val="009C4985"/>
    <w:pPr>
      <w:numPr>
        <w:numId w:val="4"/>
      </w:numPr>
    </w:pPr>
  </w:style>
  <w:style w:type="paragraph" w:styleId="ListNumber2">
    <w:name w:val="List Number 2"/>
    <w:basedOn w:val="Normal"/>
    <w:uiPriority w:val="5"/>
    <w:qFormat/>
    <w:rsid w:val="009C4985"/>
    <w:pPr>
      <w:numPr>
        <w:ilvl w:val="1"/>
        <w:numId w:val="8"/>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9C4985"/>
    <w:pPr>
      <w:numPr>
        <w:ilvl w:val="2"/>
        <w:numId w:val="8"/>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9C4985"/>
    <w:pPr>
      <w:numPr>
        <w:numId w:val="8"/>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9C4985"/>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9C4985"/>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9C4985"/>
    <w:pPr>
      <w:numPr>
        <w:numId w:val="24"/>
      </w:numPr>
      <w:spacing w:before="80" w:after="80"/>
    </w:pPr>
    <w:rPr>
      <w:rFonts w:eastAsia="Times New Roman" w:cs="Times New Roman"/>
      <w:bCs/>
      <w:sz w:val="20"/>
      <w:szCs w:val="24"/>
      <w:lang w:eastAsia="en-GB"/>
    </w:rPr>
  </w:style>
  <w:style w:type="numbering" w:customStyle="1" w:styleId="TableListBulletmaster">
    <w:name w:val="Table List Bullet (master)"/>
    <w:rsid w:val="009C4985"/>
    <w:pPr>
      <w:numPr>
        <w:numId w:val="5"/>
      </w:numPr>
    </w:pPr>
  </w:style>
  <w:style w:type="paragraph" w:customStyle="1" w:styleId="TableListBullet2">
    <w:name w:val="Table List Bullet 2"/>
    <w:basedOn w:val="TableListBullet"/>
    <w:uiPriority w:val="15"/>
    <w:qFormat/>
    <w:rsid w:val="009C4985"/>
    <w:pPr>
      <w:numPr>
        <w:ilvl w:val="1"/>
      </w:numPr>
    </w:pPr>
  </w:style>
  <w:style w:type="paragraph" w:customStyle="1" w:styleId="TableListNumber">
    <w:name w:val="Table List Number"/>
    <w:basedOn w:val="Normal"/>
    <w:uiPriority w:val="15"/>
    <w:qFormat/>
    <w:rsid w:val="009C4985"/>
    <w:pPr>
      <w:numPr>
        <w:numId w:val="23"/>
      </w:numPr>
      <w:spacing w:before="80" w:after="80"/>
    </w:pPr>
    <w:rPr>
      <w:rFonts w:eastAsia="Times New Roman" w:cs="Times New Roman"/>
      <w:bCs/>
      <w:sz w:val="20"/>
      <w:szCs w:val="24"/>
      <w:lang w:eastAsia="en-GB"/>
    </w:rPr>
  </w:style>
  <w:style w:type="numbering" w:customStyle="1" w:styleId="TableListNumbermaster">
    <w:name w:val="Table List Number (master)"/>
    <w:rsid w:val="009C4985"/>
    <w:pPr>
      <w:numPr>
        <w:numId w:val="6"/>
      </w:numPr>
    </w:pPr>
  </w:style>
  <w:style w:type="paragraph" w:customStyle="1" w:styleId="TableListNumber2">
    <w:name w:val="Table List Number 2"/>
    <w:basedOn w:val="TableListNumber"/>
    <w:uiPriority w:val="15"/>
    <w:qFormat/>
    <w:rsid w:val="009C4985"/>
    <w:pPr>
      <w:numPr>
        <w:ilvl w:val="1"/>
      </w:numPr>
    </w:pPr>
  </w:style>
  <w:style w:type="paragraph" w:customStyle="1" w:styleId="TableBodyText">
    <w:name w:val="Table Body Text"/>
    <w:basedOn w:val="Normal"/>
    <w:uiPriority w:val="14"/>
    <w:qFormat/>
    <w:rsid w:val="009C4985"/>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9C4985"/>
    <w:pPr>
      <w:spacing w:before="20" w:after="20"/>
    </w:pPr>
    <w:rPr>
      <w:sz w:val="15"/>
    </w:rPr>
  </w:style>
  <w:style w:type="character" w:customStyle="1" w:styleId="Characterbold">
    <w:name w:val="Character (bold)"/>
    <w:basedOn w:val="DefaultParagraphFont"/>
    <w:uiPriority w:val="2"/>
    <w:qFormat/>
    <w:rsid w:val="009C4985"/>
    <w:rPr>
      <w:b/>
      <w:lang w:val="en-AU"/>
    </w:rPr>
  </w:style>
  <w:style w:type="character" w:customStyle="1" w:styleId="Characteritalic">
    <w:name w:val="Character (italic)"/>
    <w:basedOn w:val="DefaultParagraphFont"/>
    <w:uiPriority w:val="2"/>
    <w:qFormat/>
    <w:rsid w:val="009C4985"/>
    <w:rPr>
      <w:i/>
      <w:lang w:val="en-AU"/>
    </w:rPr>
  </w:style>
  <w:style w:type="character" w:customStyle="1" w:styleId="Charactersubscript">
    <w:name w:val="Character (subscript)"/>
    <w:basedOn w:val="DefaultParagraphFont"/>
    <w:uiPriority w:val="3"/>
    <w:qFormat/>
    <w:rsid w:val="009C4985"/>
    <w:rPr>
      <w:vertAlign w:val="subscript"/>
      <w:lang w:val="en-AU"/>
    </w:rPr>
  </w:style>
  <w:style w:type="character" w:customStyle="1" w:styleId="Charactersuperscript">
    <w:name w:val="Character (superscript)"/>
    <w:basedOn w:val="DefaultParagraphFont"/>
    <w:uiPriority w:val="3"/>
    <w:qFormat/>
    <w:rsid w:val="009C4985"/>
    <w:rPr>
      <w:vertAlign w:val="superscript"/>
      <w:lang w:val="en-AU"/>
    </w:rPr>
  </w:style>
  <w:style w:type="paragraph" w:styleId="ListParagraph">
    <w:name w:val="List Paragraph"/>
    <w:basedOn w:val="Normal"/>
    <w:uiPriority w:val="99"/>
    <w:semiHidden/>
    <w:qFormat/>
    <w:rsid w:val="009C4985"/>
    <w:pPr>
      <w:ind w:left="720"/>
      <w:contextualSpacing/>
    </w:pPr>
  </w:style>
  <w:style w:type="character" w:customStyle="1" w:styleId="Heading1Char">
    <w:name w:val="Heading 1 Char"/>
    <w:basedOn w:val="DefaultParagraphFont"/>
    <w:link w:val="Heading1"/>
    <w:uiPriority w:val="9"/>
    <w:rsid w:val="009C4985"/>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9C4985"/>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C4985"/>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C4985"/>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C4985"/>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C4985"/>
    <w:pPr>
      <w:keepNext w:val="0"/>
      <w:numPr>
        <w:numId w:val="26"/>
      </w:numPr>
      <w:tabs>
        <w:tab w:val="left" w:pos="2268"/>
      </w:tabs>
      <w:suppressAutoHyphens/>
      <w:spacing w:after="800"/>
    </w:pPr>
    <w:rPr>
      <w:szCs w:val="30"/>
    </w:rPr>
  </w:style>
  <w:style w:type="numbering" w:customStyle="1" w:styleId="AppendixHeadingmaster">
    <w:name w:val="Appendix Heading (master)"/>
    <w:uiPriority w:val="99"/>
    <w:rsid w:val="009C4985"/>
    <w:pPr>
      <w:numPr>
        <w:numId w:val="1"/>
      </w:numPr>
    </w:pPr>
  </w:style>
  <w:style w:type="paragraph" w:styleId="BodyText">
    <w:name w:val="Body Text"/>
    <w:basedOn w:val="Normal"/>
    <w:link w:val="BodyTextChar"/>
    <w:qFormat/>
    <w:rsid w:val="009C4985"/>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9C4985"/>
    <w:rPr>
      <w:rFonts w:ascii="Arial" w:hAnsi="Arial"/>
      <w:sz w:val="22"/>
      <w:lang w:val="en-AU"/>
    </w:rPr>
  </w:style>
  <w:style w:type="paragraph" w:customStyle="1" w:styleId="AppendixHeading2">
    <w:name w:val="Appendix Heading 2"/>
    <w:basedOn w:val="AppendixHeading1"/>
    <w:next w:val="BodyText"/>
    <w:uiPriority w:val="11"/>
    <w:qFormat/>
    <w:rsid w:val="009C498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9C4985"/>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9C4985"/>
    <w:pPr>
      <w:spacing w:after="0"/>
    </w:pPr>
  </w:style>
  <w:style w:type="numbering" w:customStyle="1" w:styleId="Headingsmaster">
    <w:name w:val="Headings (master)"/>
    <w:uiPriority w:val="99"/>
    <w:rsid w:val="009C4985"/>
    <w:pPr>
      <w:numPr>
        <w:numId w:val="2"/>
      </w:numPr>
    </w:pPr>
  </w:style>
  <w:style w:type="paragraph" w:customStyle="1" w:styleId="Image">
    <w:name w:val="Image"/>
    <w:basedOn w:val="Normal"/>
    <w:next w:val="BodyText"/>
    <w:uiPriority w:val="19"/>
    <w:qFormat/>
    <w:rsid w:val="009C4985"/>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9C4985"/>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9C4985"/>
    <w:pPr>
      <w:spacing w:line="200" w:lineRule="atLeast"/>
    </w:pPr>
    <w:rPr>
      <w:sz w:val="17"/>
    </w:rPr>
  </w:style>
  <w:style w:type="paragraph" w:customStyle="1" w:styleId="TableBodyTextright">
    <w:name w:val="Table Body Text (right)"/>
    <w:basedOn w:val="TableBodyText"/>
    <w:uiPriority w:val="14"/>
    <w:qFormat/>
    <w:rsid w:val="009C4985"/>
    <w:pPr>
      <w:jc w:val="right"/>
    </w:pPr>
  </w:style>
  <w:style w:type="table" w:styleId="TableGrid">
    <w:name w:val="Table Grid"/>
    <w:basedOn w:val="TableNormal"/>
    <w:uiPriority w:val="59"/>
    <w:locked/>
    <w:rsid w:val="009C4985"/>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9C4985"/>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9C4985"/>
    <w:rPr>
      <w:rFonts w:ascii="Arial" w:hAnsi="Arial"/>
      <w:i/>
      <w:iCs/>
      <w:color w:val="0F2532"/>
      <w:sz w:val="22"/>
      <w:lang w:val="en-AU"/>
    </w:rPr>
  </w:style>
  <w:style w:type="paragraph" w:styleId="Header">
    <w:name w:val="header"/>
    <w:basedOn w:val="Normal"/>
    <w:link w:val="HeaderChar"/>
    <w:uiPriority w:val="24"/>
    <w:rsid w:val="009C4985"/>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rsid w:val="009C4985"/>
    <w:rPr>
      <w:rFonts w:ascii="Arial" w:hAnsi="Arial"/>
      <w:sz w:val="16"/>
      <w:lang w:val="en-AU"/>
    </w:rPr>
  </w:style>
  <w:style w:type="paragraph" w:styleId="Footer">
    <w:name w:val="footer"/>
    <w:basedOn w:val="Normal"/>
    <w:link w:val="FooterChar"/>
    <w:uiPriority w:val="24"/>
    <w:semiHidden/>
    <w:rsid w:val="009C4985"/>
    <w:pPr>
      <w:tabs>
        <w:tab w:val="right" w:pos="14629"/>
      </w:tabs>
      <w:spacing w:line="276" w:lineRule="auto"/>
    </w:pPr>
    <w:rPr>
      <w:sz w:val="16"/>
    </w:rPr>
  </w:style>
  <w:style w:type="character" w:customStyle="1" w:styleId="FooterChar">
    <w:name w:val="Footer Char"/>
    <w:basedOn w:val="DefaultParagraphFont"/>
    <w:link w:val="Footer"/>
    <w:uiPriority w:val="24"/>
    <w:semiHidden/>
    <w:rsid w:val="009C4985"/>
    <w:rPr>
      <w:rFonts w:ascii="Arial" w:hAnsi="Arial"/>
      <w:sz w:val="16"/>
      <w:lang w:val="en-AU"/>
    </w:rPr>
  </w:style>
  <w:style w:type="character" w:styleId="PageNumber">
    <w:name w:val="page number"/>
    <w:basedOn w:val="DefaultParagraphFont"/>
    <w:uiPriority w:val="24"/>
    <w:semiHidden/>
    <w:rsid w:val="009C4985"/>
    <w:rPr>
      <w:lang w:val="en-AU"/>
    </w:rPr>
  </w:style>
  <w:style w:type="table" w:styleId="LightShading">
    <w:name w:val="Light Shading"/>
    <w:basedOn w:val="TableNormal"/>
    <w:uiPriority w:val="60"/>
    <w:locked/>
    <w:rsid w:val="009C49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C4985"/>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9C4985"/>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9C4985"/>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9C4985"/>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9C4985"/>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9C4985"/>
    <w:pPr>
      <w:numPr>
        <w:numId w:val="7"/>
      </w:numPr>
    </w:pPr>
  </w:style>
  <w:style w:type="paragraph" w:styleId="TOCHeading">
    <w:name w:val="TOC Heading"/>
    <w:basedOn w:val="Heading1"/>
    <w:next w:val="Normal"/>
    <w:uiPriority w:val="24"/>
    <w:rsid w:val="009C4985"/>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9C4985"/>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9C4985"/>
    <w:pPr>
      <w:tabs>
        <w:tab w:val="right" w:leader="dot" w:pos="9017"/>
      </w:tabs>
      <w:spacing w:after="100" w:line="276" w:lineRule="auto"/>
      <w:ind w:right="851"/>
    </w:pPr>
    <w:rPr>
      <w:b/>
    </w:rPr>
  </w:style>
  <w:style w:type="character" w:styleId="Hyperlink">
    <w:name w:val="Hyperlink"/>
    <w:basedOn w:val="DefaultParagraphFont"/>
    <w:uiPriority w:val="99"/>
    <w:qFormat/>
    <w:rsid w:val="009C4985"/>
    <w:rPr>
      <w:color w:val="215E9E"/>
      <w:u w:val="single"/>
    </w:rPr>
  </w:style>
  <w:style w:type="paragraph" w:styleId="TOC3">
    <w:name w:val="toc 3"/>
    <w:basedOn w:val="Normal"/>
    <w:next w:val="Normal"/>
    <w:autoRedefine/>
    <w:uiPriority w:val="39"/>
    <w:rsid w:val="009C4985"/>
    <w:pPr>
      <w:tabs>
        <w:tab w:val="right" w:leader="dot" w:pos="9017"/>
      </w:tabs>
      <w:spacing w:after="100" w:line="276" w:lineRule="auto"/>
      <w:ind w:right="851"/>
    </w:pPr>
  </w:style>
  <w:style w:type="paragraph" w:styleId="Caption">
    <w:name w:val="caption"/>
    <w:basedOn w:val="Normal"/>
    <w:next w:val="BodyText"/>
    <w:uiPriority w:val="22"/>
    <w:rsid w:val="009C4985"/>
    <w:pPr>
      <w:spacing w:before="120" w:line="276" w:lineRule="auto"/>
    </w:pPr>
    <w:rPr>
      <w:b/>
      <w:bCs/>
      <w:color w:val="012749"/>
      <w:sz w:val="18"/>
      <w:szCs w:val="18"/>
    </w:rPr>
  </w:style>
  <w:style w:type="paragraph" w:customStyle="1" w:styleId="Footerlandscape">
    <w:name w:val="Footer (landscape)"/>
    <w:basedOn w:val="Footer"/>
    <w:uiPriority w:val="24"/>
    <w:semiHidden/>
    <w:rsid w:val="009C4985"/>
    <w:pPr>
      <w:tabs>
        <w:tab w:val="right" w:pos="13608"/>
      </w:tabs>
    </w:pPr>
  </w:style>
  <w:style w:type="paragraph" w:customStyle="1" w:styleId="Headerlandscape">
    <w:name w:val="Header (landscape)"/>
    <w:basedOn w:val="Header"/>
    <w:uiPriority w:val="24"/>
    <w:semiHidden/>
    <w:rsid w:val="009C4985"/>
    <w:pPr>
      <w:tabs>
        <w:tab w:val="clear" w:pos="9360"/>
        <w:tab w:val="right" w:pos="13608"/>
      </w:tabs>
    </w:pPr>
  </w:style>
  <w:style w:type="paragraph" w:customStyle="1" w:styleId="ListLegal">
    <w:name w:val="List Legal"/>
    <w:basedOn w:val="ListNumber"/>
    <w:uiPriority w:val="8"/>
    <w:semiHidden/>
    <w:qFormat/>
    <w:rsid w:val="009C4985"/>
    <w:pPr>
      <w:numPr>
        <w:numId w:val="11"/>
      </w:numPr>
    </w:pPr>
  </w:style>
  <w:style w:type="numbering" w:customStyle="1" w:styleId="ListLegalmaster">
    <w:name w:val="List Legal (master)"/>
    <w:uiPriority w:val="99"/>
    <w:rsid w:val="009C4985"/>
    <w:pPr>
      <w:numPr>
        <w:numId w:val="9"/>
      </w:numPr>
    </w:pPr>
  </w:style>
  <w:style w:type="paragraph" w:customStyle="1" w:styleId="ListLegal2">
    <w:name w:val="List Legal 2"/>
    <w:basedOn w:val="ListNumber2"/>
    <w:uiPriority w:val="8"/>
    <w:semiHidden/>
    <w:qFormat/>
    <w:rsid w:val="009C4985"/>
    <w:pPr>
      <w:numPr>
        <w:numId w:val="11"/>
      </w:numPr>
      <w:tabs>
        <w:tab w:val="left" w:pos="1077"/>
      </w:tabs>
    </w:pPr>
  </w:style>
  <w:style w:type="paragraph" w:customStyle="1" w:styleId="ListLegal3">
    <w:name w:val="List Legal 3"/>
    <w:basedOn w:val="ListLegal2"/>
    <w:uiPriority w:val="8"/>
    <w:semiHidden/>
    <w:qFormat/>
    <w:rsid w:val="009C4985"/>
    <w:pPr>
      <w:numPr>
        <w:ilvl w:val="2"/>
      </w:numPr>
      <w:tabs>
        <w:tab w:val="clear" w:pos="1077"/>
        <w:tab w:val="left" w:pos="1435"/>
      </w:tabs>
    </w:pPr>
  </w:style>
  <w:style w:type="paragraph" w:customStyle="1" w:styleId="DocumentDetails">
    <w:name w:val="Document Details"/>
    <w:basedOn w:val="Normal"/>
    <w:next w:val="BodyText"/>
    <w:uiPriority w:val="24"/>
    <w:rsid w:val="009C4985"/>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9C4985"/>
    <w:pPr>
      <w:spacing w:before="0" w:after="0" w:line="240" w:lineRule="auto"/>
    </w:pPr>
    <w:rPr>
      <w:sz w:val="2"/>
    </w:rPr>
  </w:style>
  <w:style w:type="character" w:customStyle="1" w:styleId="Characteryellowhighlight">
    <w:name w:val="Character (yellow highlight)"/>
    <w:basedOn w:val="DefaultParagraphFont"/>
    <w:uiPriority w:val="2"/>
    <w:semiHidden/>
    <w:qFormat/>
    <w:rsid w:val="009C4985"/>
    <w:rPr>
      <w:bdr w:val="none" w:sz="0" w:space="0" w:color="auto"/>
      <w:shd w:val="clear" w:color="auto" w:fill="FFFF00"/>
      <w:lang w:val="en-AU"/>
    </w:rPr>
  </w:style>
  <w:style w:type="paragraph" w:styleId="TableofFigures">
    <w:name w:val="table of figures"/>
    <w:basedOn w:val="Normal"/>
    <w:next w:val="Normal"/>
    <w:uiPriority w:val="39"/>
    <w:semiHidden/>
    <w:rsid w:val="009C4985"/>
    <w:pPr>
      <w:spacing w:after="100" w:line="276" w:lineRule="auto"/>
      <w:ind w:right="851"/>
    </w:pPr>
  </w:style>
  <w:style w:type="paragraph" w:customStyle="1" w:styleId="BodyTextindent">
    <w:name w:val="Body Text (indent)"/>
    <w:basedOn w:val="BodyText"/>
    <w:semiHidden/>
    <w:qFormat/>
    <w:rsid w:val="009C4985"/>
    <w:pPr>
      <w:ind w:left="357"/>
    </w:pPr>
  </w:style>
  <w:style w:type="paragraph" w:customStyle="1" w:styleId="BodyTextindent2">
    <w:name w:val="Body Text (indent 2)"/>
    <w:basedOn w:val="BodyText"/>
    <w:uiPriority w:val="1"/>
    <w:semiHidden/>
    <w:qFormat/>
    <w:rsid w:val="009C4985"/>
    <w:pPr>
      <w:ind w:left="714"/>
    </w:pPr>
  </w:style>
  <w:style w:type="paragraph" w:customStyle="1" w:styleId="BodyTextindent3">
    <w:name w:val="Body Text (indent 3)"/>
    <w:basedOn w:val="BodyText"/>
    <w:uiPriority w:val="1"/>
    <w:semiHidden/>
    <w:qFormat/>
    <w:rsid w:val="009C4985"/>
    <w:pPr>
      <w:ind w:left="1077"/>
    </w:pPr>
  </w:style>
  <w:style w:type="character" w:customStyle="1" w:styleId="Charactersourcecode">
    <w:name w:val="Character (source code)"/>
    <w:basedOn w:val="DefaultParagraphFont"/>
    <w:uiPriority w:val="3"/>
    <w:semiHidden/>
    <w:qFormat/>
    <w:rsid w:val="009C4985"/>
    <w:rPr>
      <w:rFonts w:ascii="Courier New" w:hAnsi="Courier New"/>
    </w:rPr>
  </w:style>
  <w:style w:type="paragraph" w:customStyle="1" w:styleId="EndNoteBibliography">
    <w:name w:val="EndNote Bibliography"/>
    <w:basedOn w:val="BodyText"/>
    <w:link w:val="EndNoteBibliographyChar"/>
    <w:uiPriority w:val="23"/>
    <w:semiHidden/>
    <w:rsid w:val="009C4985"/>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4985"/>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9C4985"/>
    <w:pPr>
      <w:spacing w:before="120" w:after="120"/>
    </w:pPr>
    <w:rPr>
      <w:rFonts w:cs="Calibri"/>
      <w:i/>
      <w:noProof/>
      <w:sz w:val="22"/>
    </w:rPr>
  </w:style>
  <w:style w:type="character" w:customStyle="1" w:styleId="EndNoteBibliographyTitleChar4">
    <w:name w:val="EndNote Bibliography Title Char4"/>
    <w:basedOn w:val="BodyTextChar"/>
    <w:link w:val="EndNoteBibliographyTitle"/>
    <w:uiPriority w:val="23"/>
    <w:semiHidden/>
    <w:rsid w:val="009C4985"/>
    <w:rPr>
      <w:rFonts w:ascii="Arial" w:eastAsia="Times New Roman" w:hAnsi="Arial" w:cs="Calibri"/>
      <w:b/>
      <w:bCs/>
      <w:i/>
      <w:noProof/>
      <w:color w:val="4B0985"/>
      <w:sz w:val="22"/>
      <w:szCs w:val="32"/>
      <w:lang w:val="en-AU" w:eastAsia="en-AU"/>
    </w:rPr>
  </w:style>
  <w:style w:type="character" w:styleId="PlaceholderText">
    <w:name w:val="Placeholder Text"/>
    <w:basedOn w:val="DefaultParagraphFont"/>
    <w:uiPriority w:val="99"/>
    <w:rsid w:val="009C4985"/>
    <w:rPr>
      <w:color w:val="C00000"/>
    </w:rPr>
  </w:style>
  <w:style w:type="paragraph" w:styleId="TOC4">
    <w:name w:val="toc 4"/>
    <w:basedOn w:val="TOC1"/>
    <w:next w:val="Normal"/>
    <w:autoRedefine/>
    <w:uiPriority w:val="39"/>
    <w:rsid w:val="009C4985"/>
    <w:pPr>
      <w:tabs>
        <w:tab w:val="left" w:pos="1418"/>
      </w:tabs>
    </w:pPr>
    <w:rPr>
      <w:noProof/>
    </w:rPr>
  </w:style>
  <w:style w:type="paragraph" w:customStyle="1" w:styleId="BodyTextindent4">
    <w:name w:val="Body Text (indent 4)"/>
    <w:basedOn w:val="BodyText"/>
    <w:uiPriority w:val="1"/>
    <w:semiHidden/>
    <w:qFormat/>
    <w:rsid w:val="009C4985"/>
    <w:pPr>
      <w:ind w:left="1435"/>
    </w:pPr>
  </w:style>
  <w:style w:type="paragraph" w:styleId="FootnoteText">
    <w:name w:val="footnote text"/>
    <w:basedOn w:val="Normal"/>
    <w:link w:val="FootnoteTextChar"/>
    <w:uiPriority w:val="99"/>
    <w:semiHidden/>
    <w:rsid w:val="009C4985"/>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9C4985"/>
    <w:rPr>
      <w:rFonts w:ascii="Arial" w:hAnsi="Arial"/>
      <w:sz w:val="18"/>
      <w:lang w:val="en-AU"/>
    </w:rPr>
  </w:style>
  <w:style w:type="character" w:styleId="FootnoteReference">
    <w:name w:val="footnote reference"/>
    <w:basedOn w:val="DefaultParagraphFont"/>
    <w:uiPriority w:val="99"/>
    <w:semiHidden/>
    <w:rsid w:val="009C4985"/>
    <w:rPr>
      <w:vertAlign w:val="superscript"/>
    </w:rPr>
  </w:style>
  <w:style w:type="table" w:customStyle="1" w:styleId="CustomTableoption1">
    <w:name w:val="Custom Table (option 1)"/>
    <w:basedOn w:val="TableNormal"/>
    <w:uiPriority w:val="99"/>
    <w:rsid w:val="009C4985"/>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9C4985"/>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9C4985"/>
    <w:pPr>
      <w:spacing w:after="6000"/>
    </w:pPr>
    <w:rPr>
      <w:sz w:val="96"/>
    </w:rPr>
  </w:style>
  <w:style w:type="table" w:customStyle="1" w:styleId="CustomTableplaceholder">
    <w:name w:val="Custom Table (placeholder)"/>
    <w:basedOn w:val="TableNormal"/>
    <w:uiPriority w:val="99"/>
    <w:rsid w:val="009C4985"/>
    <w:pPr>
      <w:spacing w:after="0" w:line="240" w:lineRule="auto"/>
    </w:pPr>
    <w:rPr>
      <w:rFonts w:ascii="Arial" w:hAnsi="Arial"/>
    </w:rPr>
    <w:tblPr/>
  </w:style>
  <w:style w:type="paragraph" w:styleId="Signature">
    <w:name w:val="Signature"/>
    <w:basedOn w:val="Normal"/>
    <w:link w:val="SignatureChar"/>
    <w:uiPriority w:val="23"/>
    <w:semiHidden/>
    <w:rsid w:val="009C4985"/>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C4985"/>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9C498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9C4985"/>
    <w:rPr>
      <w:b/>
      <w:i/>
    </w:rPr>
  </w:style>
  <w:style w:type="table" w:styleId="PlainTable4">
    <w:name w:val="Plain Table 4"/>
    <w:basedOn w:val="TableNormal"/>
    <w:uiPriority w:val="44"/>
    <w:locked/>
    <w:rsid w:val="009C4985"/>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C4985"/>
    <w:rPr>
      <w:color w:val="605E5C"/>
      <w:shd w:val="clear" w:color="auto" w:fill="E1DFDD"/>
    </w:rPr>
  </w:style>
  <w:style w:type="table" w:customStyle="1" w:styleId="CustomTablestandard">
    <w:name w:val="Custom Table (standard)"/>
    <w:basedOn w:val="TableNormal"/>
    <w:uiPriority w:val="99"/>
    <w:locked/>
    <w:rsid w:val="009C4985"/>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9C4985"/>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9C4985"/>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9C4985"/>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9C4985"/>
    <w:pPr>
      <w:jc w:val="center"/>
    </w:pPr>
    <w:rPr>
      <w:color w:val="FFFFFF" w:themeColor="background1"/>
    </w:rPr>
  </w:style>
  <w:style w:type="paragraph" w:customStyle="1" w:styleId="TableHeading1right">
    <w:name w:val="Table Heading 1 (right)"/>
    <w:basedOn w:val="TableHeading1"/>
    <w:uiPriority w:val="13"/>
    <w:qFormat/>
    <w:rsid w:val="009C4985"/>
    <w:pPr>
      <w:jc w:val="right"/>
    </w:pPr>
    <w:rPr>
      <w:color w:val="FFFFFF" w:themeColor="background1"/>
    </w:rPr>
  </w:style>
  <w:style w:type="paragraph" w:customStyle="1" w:styleId="TableBodyTextcentre">
    <w:name w:val="Table Body Text (centre)"/>
    <w:basedOn w:val="TableBodyText"/>
    <w:uiPriority w:val="14"/>
    <w:qFormat/>
    <w:rsid w:val="009C4985"/>
    <w:pPr>
      <w:jc w:val="center"/>
    </w:pPr>
  </w:style>
  <w:style w:type="character" w:customStyle="1" w:styleId="Heading6Char">
    <w:name w:val="Heading 6 Char"/>
    <w:basedOn w:val="DefaultParagraphFont"/>
    <w:link w:val="Heading6"/>
    <w:uiPriority w:val="9"/>
    <w:semiHidden/>
    <w:rsid w:val="009C4985"/>
    <w:rPr>
      <w:rFonts w:ascii="Arial" w:eastAsiaTheme="majorEastAsia" w:hAnsi="Arial" w:cstheme="majorBidi"/>
      <w:color w:val="4B0885"/>
      <w:sz w:val="19"/>
      <w:lang w:val="en-AU"/>
    </w:rPr>
  </w:style>
  <w:style w:type="paragraph" w:customStyle="1" w:styleId="Quotelarge">
    <w:name w:val="Quote (large)"/>
    <w:basedOn w:val="Quote"/>
    <w:uiPriority w:val="18"/>
    <w:qFormat/>
    <w:rsid w:val="009C4985"/>
    <w:rPr>
      <w:color w:val="4B0885"/>
      <w:sz w:val="28"/>
    </w:rPr>
  </w:style>
  <w:style w:type="paragraph" w:customStyle="1" w:styleId="BoxHeading">
    <w:name w:val="Box Heading"/>
    <w:basedOn w:val="BodyText"/>
    <w:uiPriority w:val="16"/>
    <w:qFormat/>
    <w:rsid w:val="009C4985"/>
    <w:pPr>
      <w:keepNext/>
    </w:pPr>
    <w:rPr>
      <w:b/>
      <w:color w:val="2F005F"/>
      <w:sz w:val="23"/>
      <w:lang w:eastAsia="en-GB"/>
    </w:rPr>
  </w:style>
  <w:style w:type="table" w:customStyle="1" w:styleId="CustomTablepulloutbox2">
    <w:name w:val="Custom Table (pullout box 2)"/>
    <w:basedOn w:val="CustomTablepulloutbox"/>
    <w:uiPriority w:val="99"/>
    <w:rsid w:val="009C4985"/>
    <w:tblPr/>
    <w:tcPr>
      <w:shd w:val="clear" w:color="auto" w:fill="E0D1F5"/>
    </w:tcPr>
  </w:style>
  <w:style w:type="paragraph" w:styleId="NormalWeb">
    <w:name w:val="Normal (Web)"/>
    <w:basedOn w:val="Normal"/>
    <w:uiPriority w:val="99"/>
    <w:semiHidden/>
    <w:rsid w:val="00875B8E"/>
    <w:rPr>
      <w:rFonts w:ascii="Times New Roman" w:hAnsi="Times New Roman" w:cs="Times New Roman"/>
      <w:sz w:val="24"/>
      <w:szCs w:val="24"/>
    </w:rPr>
  </w:style>
  <w:style w:type="character" w:styleId="FollowedHyperlink">
    <w:name w:val="FollowedHyperlink"/>
    <w:basedOn w:val="DefaultParagraphFont"/>
    <w:uiPriority w:val="99"/>
    <w:semiHidden/>
    <w:rsid w:val="005A6095"/>
    <w:rPr>
      <w:color w:val="800080" w:themeColor="followedHyperlink"/>
      <w:u w:val="single"/>
    </w:rPr>
  </w:style>
  <w:style w:type="character" w:styleId="CommentReference">
    <w:name w:val="annotation reference"/>
    <w:basedOn w:val="DefaultParagraphFont"/>
    <w:uiPriority w:val="99"/>
    <w:semiHidden/>
    <w:rsid w:val="00D72D55"/>
    <w:rPr>
      <w:sz w:val="16"/>
      <w:szCs w:val="16"/>
    </w:rPr>
  </w:style>
  <w:style w:type="paragraph" w:styleId="CommentText">
    <w:name w:val="annotation text"/>
    <w:basedOn w:val="Normal"/>
    <w:link w:val="CommentTextChar"/>
    <w:uiPriority w:val="99"/>
    <w:rsid w:val="00D72D55"/>
    <w:rPr>
      <w:sz w:val="20"/>
    </w:rPr>
  </w:style>
  <w:style w:type="character" w:customStyle="1" w:styleId="CommentTextChar">
    <w:name w:val="Comment Text Char"/>
    <w:basedOn w:val="DefaultParagraphFont"/>
    <w:link w:val="CommentText"/>
    <w:uiPriority w:val="99"/>
    <w:rsid w:val="00D72D55"/>
    <w:rPr>
      <w:rFonts w:ascii="Arial" w:hAnsi="Arial"/>
      <w:lang w:val="en-AU"/>
    </w:rPr>
  </w:style>
  <w:style w:type="paragraph" w:styleId="CommentSubject">
    <w:name w:val="annotation subject"/>
    <w:basedOn w:val="CommentText"/>
    <w:next w:val="CommentText"/>
    <w:link w:val="CommentSubjectChar"/>
    <w:uiPriority w:val="99"/>
    <w:semiHidden/>
    <w:rsid w:val="00D72D55"/>
    <w:rPr>
      <w:b/>
      <w:bCs/>
    </w:rPr>
  </w:style>
  <w:style w:type="character" w:customStyle="1" w:styleId="CommentSubjectChar">
    <w:name w:val="Comment Subject Char"/>
    <w:basedOn w:val="CommentTextChar"/>
    <w:link w:val="CommentSubject"/>
    <w:uiPriority w:val="99"/>
    <w:semiHidden/>
    <w:rsid w:val="00D72D55"/>
    <w:rPr>
      <w:rFonts w:ascii="Arial" w:hAnsi="Arial"/>
      <w:b/>
      <w:bCs/>
      <w:lang w:val="en-AU"/>
    </w:rPr>
  </w:style>
  <w:style w:type="character" w:styleId="Mention">
    <w:name w:val="Mention"/>
    <w:basedOn w:val="DefaultParagraphFont"/>
    <w:uiPriority w:val="99"/>
    <w:unhideWhenUsed/>
    <w:rsid w:val="00B5136A"/>
    <w:rPr>
      <w:color w:val="2B579A"/>
      <w:shd w:val="clear" w:color="auto" w:fill="E1DFDD"/>
    </w:rPr>
  </w:style>
  <w:style w:type="table" w:styleId="GridTable5Dark-Accent1">
    <w:name w:val="Grid Table 5 Dark Accent 1"/>
    <w:basedOn w:val="TableNormal"/>
    <w:uiPriority w:val="50"/>
    <w:locked/>
    <w:rsid w:val="001C52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1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29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29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29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29C4" w:themeFill="accent1"/>
      </w:tcPr>
    </w:tblStylePr>
    <w:tblStylePr w:type="band1Vert">
      <w:tblPr/>
      <w:tcPr>
        <w:shd w:val="clear" w:color="auto" w:fill="C2A4EC" w:themeFill="accent1" w:themeFillTint="66"/>
      </w:tcPr>
    </w:tblStylePr>
    <w:tblStylePr w:type="band1Horz">
      <w:tblPr/>
      <w:tcPr>
        <w:shd w:val="clear" w:color="auto" w:fill="C2A4EC" w:themeFill="accent1" w:themeFillTint="66"/>
      </w:tcPr>
    </w:tblStylePr>
  </w:style>
  <w:style w:type="paragraph" w:styleId="Revision">
    <w:name w:val="Revision"/>
    <w:hidden/>
    <w:uiPriority w:val="99"/>
    <w:semiHidden/>
    <w:rsid w:val="00CA71D0"/>
    <w:pPr>
      <w:spacing w:after="0" w:line="240" w:lineRule="auto"/>
    </w:pPr>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16">
      <w:bodyDiv w:val="1"/>
      <w:marLeft w:val="0"/>
      <w:marRight w:val="0"/>
      <w:marTop w:val="0"/>
      <w:marBottom w:val="0"/>
      <w:divBdr>
        <w:top w:val="none" w:sz="0" w:space="0" w:color="auto"/>
        <w:left w:val="none" w:sz="0" w:space="0" w:color="auto"/>
        <w:bottom w:val="none" w:sz="0" w:space="0" w:color="auto"/>
        <w:right w:val="none" w:sz="0" w:space="0" w:color="auto"/>
      </w:divBdr>
      <w:divsChild>
        <w:div w:id="768745274">
          <w:marLeft w:val="0"/>
          <w:marRight w:val="0"/>
          <w:marTop w:val="0"/>
          <w:marBottom w:val="0"/>
          <w:divBdr>
            <w:top w:val="none" w:sz="0" w:space="0" w:color="auto"/>
            <w:left w:val="none" w:sz="0" w:space="0" w:color="auto"/>
            <w:bottom w:val="none" w:sz="0" w:space="0" w:color="auto"/>
            <w:right w:val="none" w:sz="0" w:space="0" w:color="auto"/>
          </w:divBdr>
        </w:div>
        <w:div w:id="939334691">
          <w:marLeft w:val="0"/>
          <w:marRight w:val="0"/>
          <w:marTop w:val="0"/>
          <w:marBottom w:val="0"/>
          <w:divBdr>
            <w:top w:val="none" w:sz="0" w:space="0" w:color="auto"/>
            <w:left w:val="none" w:sz="0" w:space="0" w:color="auto"/>
            <w:bottom w:val="none" w:sz="0" w:space="0" w:color="auto"/>
            <w:right w:val="none" w:sz="0" w:space="0" w:color="auto"/>
          </w:divBdr>
        </w:div>
        <w:div w:id="941692168">
          <w:marLeft w:val="0"/>
          <w:marRight w:val="0"/>
          <w:marTop w:val="0"/>
          <w:marBottom w:val="0"/>
          <w:divBdr>
            <w:top w:val="none" w:sz="0" w:space="0" w:color="auto"/>
            <w:left w:val="none" w:sz="0" w:space="0" w:color="auto"/>
            <w:bottom w:val="none" w:sz="0" w:space="0" w:color="auto"/>
            <w:right w:val="none" w:sz="0" w:space="0" w:color="auto"/>
          </w:divBdr>
        </w:div>
        <w:div w:id="1425421163">
          <w:marLeft w:val="0"/>
          <w:marRight w:val="0"/>
          <w:marTop w:val="0"/>
          <w:marBottom w:val="0"/>
          <w:divBdr>
            <w:top w:val="none" w:sz="0" w:space="0" w:color="auto"/>
            <w:left w:val="none" w:sz="0" w:space="0" w:color="auto"/>
            <w:bottom w:val="none" w:sz="0" w:space="0" w:color="auto"/>
            <w:right w:val="none" w:sz="0" w:space="0" w:color="auto"/>
          </w:divBdr>
        </w:div>
        <w:div w:id="1722286721">
          <w:marLeft w:val="0"/>
          <w:marRight w:val="0"/>
          <w:marTop w:val="0"/>
          <w:marBottom w:val="0"/>
          <w:divBdr>
            <w:top w:val="none" w:sz="0" w:space="0" w:color="auto"/>
            <w:left w:val="none" w:sz="0" w:space="0" w:color="auto"/>
            <w:bottom w:val="none" w:sz="0" w:space="0" w:color="auto"/>
            <w:right w:val="none" w:sz="0" w:space="0" w:color="auto"/>
          </w:divBdr>
        </w:div>
        <w:div w:id="1880046154">
          <w:marLeft w:val="0"/>
          <w:marRight w:val="0"/>
          <w:marTop w:val="0"/>
          <w:marBottom w:val="0"/>
          <w:divBdr>
            <w:top w:val="none" w:sz="0" w:space="0" w:color="auto"/>
            <w:left w:val="none" w:sz="0" w:space="0" w:color="auto"/>
            <w:bottom w:val="none" w:sz="0" w:space="0" w:color="auto"/>
            <w:right w:val="none" w:sz="0" w:space="0" w:color="auto"/>
          </w:divBdr>
        </w:div>
      </w:divsChild>
    </w:div>
    <w:div w:id="41176303">
      <w:bodyDiv w:val="1"/>
      <w:marLeft w:val="0"/>
      <w:marRight w:val="0"/>
      <w:marTop w:val="0"/>
      <w:marBottom w:val="0"/>
      <w:divBdr>
        <w:top w:val="none" w:sz="0" w:space="0" w:color="auto"/>
        <w:left w:val="none" w:sz="0" w:space="0" w:color="auto"/>
        <w:bottom w:val="none" w:sz="0" w:space="0" w:color="auto"/>
        <w:right w:val="none" w:sz="0" w:space="0" w:color="auto"/>
      </w:divBdr>
    </w:div>
    <w:div w:id="45030702">
      <w:bodyDiv w:val="1"/>
      <w:marLeft w:val="0"/>
      <w:marRight w:val="0"/>
      <w:marTop w:val="0"/>
      <w:marBottom w:val="0"/>
      <w:divBdr>
        <w:top w:val="none" w:sz="0" w:space="0" w:color="auto"/>
        <w:left w:val="none" w:sz="0" w:space="0" w:color="auto"/>
        <w:bottom w:val="none" w:sz="0" w:space="0" w:color="auto"/>
        <w:right w:val="none" w:sz="0" w:space="0" w:color="auto"/>
      </w:divBdr>
      <w:divsChild>
        <w:div w:id="1674451482">
          <w:marLeft w:val="0"/>
          <w:marRight w:val="0"/>
          <w:marTop w:val="0"/>
          <w:marBottom w:val="0"/>
          <w:divBdr>
            <w:top w:val="none" w:sz="0" w:space="0" w:color="auto"/>
            <w:left w:val="none" w:sz="0" w:space="0" w:color="auto"/>
            <w:bottom w:val="none" w:sz="0" w:space="0" w:color="auto"/>
            <w:right w:val="none" w:sz="0" w:space="0" w:color="auto"/>
          </w:divBdr>
        </w:div>
        <w:div w:id="1766265077">
          <w:marLeft w:val="0"/>
          <w:marRight w:val="0"/>
          <w:marTop w:val="0"/>
          <w:marBottom w:val="0"/>
          <w:divBdr>
            <w:top w:val="none" w:sz="0" w:space="0" w:color="auto"/>
            <w:left w:val="none" w:sz="0" w:space="0" w:color="auto"/>
            <w:bottom w:val="none" w:sz="0" w:space="0" w:color="auto"/>
            <w:right w:val="none" w:sz="0" w:space="0" w:color="auto"/>
          </w:divBdr>
        </w:div>
        <w:div w:id="1944923785">
          <w:marLeft w:val="0"/>
          <w:marRight w:val="0"/>
          <w:marTop w:val="0"/>
          <w:marBottom w:val="0"/>
          <w:divBdr>
            <w:top w:val="none" w:sz="0" w:space="0" w:color="auto"/>
            <w:left w:val="none" w:sz="0" w:space="0" w:color="auto"/>
            <w:bottom w:val="none" w:sz="0" w:space="0" w:color="auto"/>
            <w:right w:val="none" w:sz="0" w:space="0" w:color="auto"/>
          </w:divBdr>
        </w:div>
      </w:divsChild>
    </w:div>
    <w:div w:id="358971165">
      <w:bodyDiv w:val="1"/>
      <w:marLeft w:val="0"/>
      <w:marRight w:val="0"/>
      <w:marTop w:val="0"/>
      <w:marBottom w:val="0"/>
      <w:divBdr>
        <w:top w:val="none" w:sz="0" w:space="0" w:color="auto"/>
        <w:left w:val="none" w:sz="0" w:space="0" w:color="auto"/>
        <w:bottom w:val="none" w:sz="0" w:space="0" w:color="auto"/>
        <w:right w:val="none" w:sz="0" w:space="0" w:color="auto"/>
      </w:divBdr>
    </w:div>
    <w:div w:id="439102897">
      <w:bodyDiv w:val="1"/>
      <w:marLeft w:val="0"/>
      <w:marRight w:val="0"/>
      <w:marTop w:val="0"/>
      <w:marBottom w:val="0"/>
      <w:divBdr>
        <w:top w:val="none" w:sz="0" w:space="0" w:color="auto"/>
        <w:left w:val="none" w:sz="0" w:space="0" w:color="auto"/>
        <w:bottom w:val="none" w:sz="0" w:space="0" w:color="auto"/>
        <w:right w:val="none" w:sz="0" w:space="0" w:color="auto"/>
      </w:divBdr>
    </w:div>
    <w:div w:id="441607018">
      <w:bodyDiv w:val="1"/>
      <w:marLeft w:val="0"/>
      <w:marRight w:val="0"/>
      <w:marTop w:val="0"/>
      <w:marBottom w:val="0"/>
      <w:divBdr>
        <w:top w:val="none" w:sz="0" w:space="0" w:color="auto"/>
        <w:left w:val="none" w:sz="0" w:space="0" w:color="auto"/>
        <w:bottom w:val="none" w:sz="0" w:space="0" w:color="auto"/>
        <w:right w:val="none" w:sz="0" w:space="0" w:color="auto"/>
      </w:divBdr>
      <w:divsChild>
        <w:div w:id="93524936">
          <w:marLeft w:val="0"/>
          <w:marRight w:val="0"/>
          <w:marTop w:val="0"/>
          <w:marBottom w:val="0"/>
          <w:divBdr>
            <w:top w:val="none" w:sz="0" w:space="0" w:color="auto"/>
            <w:left w:val="none" w:sz="0" w:space="0" w:color="auto"/>
            <w:bottom w:val="none" w:sz="0" w:space="0" w:color="auto"/>
            <w:right w:val="none" w:sz="0" w:space="0" w:color="auto"/>
          </w:divBdr>
        </w:div>
        <w:div w:id="1795098247">
          <w:marLeft w:val="0"/>
          <w:marRight w:val="0"/>
          <w:marTop w:val="0"/>
          <w:marBottom w:val="0"/>
          <w:divBdr>
            <w:top w:val="none" w:sz="0" w:space="0" w:color="auto"/>
            <w:left w:val="none" w:sz="0" w:space="0" w:color="auto"/>
            <w:bottom w:val="none" w:sz="0" w:space="0" w:color="auto"/>
            <w:right w:val="none" w:sz="0" w:space="0" w:color="auto"/>
          </w:divBdr>
        </w:div>
        <w:div w:id="2048987860">
          <w:marLeft w:val="0"/>
          <w:marRight w:val="0"/>
          <w:marTop w:val="0"/>
          <w:marBottom w:val="0"/>
          <w:divBdr>
            <w:top w:val="none" w:sz="0" w:space="0" w:color="auto"/>
            <w:left w:val="none" w:sz="0" w:space="0" w:color="auto"/>
            <w:bottom w:val="none" w:sz="0" w:space="0" w:color="auto"/>
            <w:right w:val="none" w:sz="0" w:space="0" w:color="auto"/>
          </w:divBdr>
        </w:div>
        <w:div w:id="2062560446">
          <w:marLeft w:val="0"/>
          <w:marRight w:val="0"/>
          <w:marTop w:val="0"/>
          <w:marBottom w:val="0"/>
          <w:divBdr>
            <w:top w:val="none" w:sz="0" w:space="0" w:color="auto"/>
            <w:left w:val="none" w:sz="0" w:space="0" w:color="auto"/>
            <w:bottom w:val="none" w:sz="0" w:space="0" w:color="auto"/>
            <w:right w:val="none" w:sz="0" w:space="0" w:color="auto"/>
          </w:divBdr>
        </w:div>
      </w:divsChild>
    </w:div>
    <w:div w:id="452479700">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598147712">
      <w:bodyDiv w:val="1"/>
      <w:marLeft w:val="0"/>
      <w:marRight w:val="0"/>
      <w:marTop w:val="0"/>
      <w:marBottom w:val="0"/>
      <w:divBdr>
        <w:top w:val="none" w:sz="0" w:space="0" w:color="auto"/>
        <w:left w:val="none" w:sz="0" w:space="0" w:color="auto"/>
        <w:bottom w:val="none" w:sz="0" w:space="0" w:color="auto"/>
        <w:right w:val="none" w:sz="0" w:space="0" w:color="auto"/>
      </w:divBdr>
      <w:divsChild>
        <w:div w:id="497229633">
          <w:marLeft w:val="0"/>
          <w:marRight w:val="0"/>
          <w:marTop w:val="0"/>
          <w:marBottom w:val="0"/>
          <w:divBdr>
            <w:top w:val="none" w:sz="0" w:space="0" w:color="auto"/>
            <w:left w:val="none" w:sz="0" w:space="0" w:color="auto"/>
            <w:bottom w:val="none" w:sz="0" w:space="0" w:color="auto"/>
            <w:right w:val="none" w:sz="0" w:space="0" w:color="auto"/>
          </w:divBdr>
        </w:div>
      </w:divsChild>
    </w:div>
    <w:div w:id="611981414">
      <w:bodyDiv w:val="1"/>
      <w:marLeft w:val="0"/>
      <w:marRight w:val="0"/>
      <w:marTop w:val="0"/>
      <w:marBottom w:val="0"/>
      <w:divBdr>
        <w:top w:val="none" w:sz="0" w:space="0" w:color="auto"/>
        <w:left w:val="none" w:sz="0" w:space="0" w:color="auto"/>
        <w:bottom w:val="none" w:sz="0" w:space="0" w:color="auto"/>
        <w:right w:val="none" w:sz="0" w:space="0" w:color="auto"/>
      </w:divBdr>
      <w:divsChild>
        <w:div w:id="360472852">
          <w:marLeft w:val="0"/>
          <w:marRight w:val="0"/>
          <w:marTop w:val="0"/>
          <w:marBottom w:val="0"/>
          <w:divBdr>
            <w:top w:val="none" w:sz="0" w:space="0" w:color="auto"/>
            <w:left w:val="none" w:sz="0" w:space="0" w:color="auto"/>
            <w:bottom w:val="none" w:sz="0" w:space="0" w:color="auto"/>
            <w:right w:val="none" w:sz="0" w:space="0" w:color="auto"/>
          </w:divBdr>
        </w:div>
        <w:div w:id="406273466">
          <w:marLeft w:val="0"/>
          <w:marRight w:val="0"/>
          <w:marTop w:val="0"/>
          <w:marBottom w:val="0"/>
          <w:divBdr>
            <w:top w:val="none" w:sz="0" w:space="0" w:color="auto"/>
            <w:left w:val="none" w:sz="0" w:space="0" w:color="auto"/>
            <w:bottom w:val="none" w:sz="0" w:space="0" w:color="auto"/>
            <w:right w:val="none" w:sz="0" w:space="0" w:color="auto"/>
          </w:divBdr>
        </w:div>
        <w:div w:id="723411128">
          <w:marLeft w:val="0"/>
          <w:marRight w:val="0"/>
          <w:marTop w:val="0"/>
          <w:marBottom w:val="0"/>
          <w:divBdr>
            <w:top w:val="none" w:sz="0" w:space="0" w:color="auto"/>
            <w:left w:val="none" w:sz="0" w:space="0" w:color="auto"/>
            <w:bottom w:val="none" w:sz="0" w:space="0" w:color="auto"/>
            <w:right w:val="none" w:sz="0" w:space="0" w:color="auto"/>
          </w:divBdr>
        </w:div>
        <w:div w:id="1847398782">
          <w:marLeft w:val="0"/>
          <w:marRight w:val="0"/>
          <w:marTop w:val="0"/>
          <w:marBottom w:val="0"/>
          <w:divBdr>
            <w:top w:val="none" w:sz="0" w:space="0" w:color="auto"/>
            <w:left w:val="none" w:sz="0" w:space="0" w:color="auto"/>
            <w:bottom w:val="none" w:sz="0" w:space="0" w:color="auto"/>
            <w:right w:val="none" w:sz="0" w:space="0" w:color="auto"/>
          </w:divBdr>
        </w:div>
      </w:divsChild>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790442848">
      <w:bodyDiv w:val="1"/>
      <w:marLeft w:val="0"/>
      <w:marRight w:val="0"/>
      <w:marTop w:val="0"/>
      <w:marBottom w:val="0"/>
      <w:divBdr>
        <w:top w:val="none" w:sz="0" w:space="0" w:color="auto"/>
        <w:left w:val="none" w:sz="0" w:space="0" w:color="auto"/>
        <w:bottom w:val="none" w:sz="0" w:space="0" w:color="auto"/>
        <w:right w:val="none" w:sz="0" w:space="0" w:color="auto"/>
      </w:divBdr>
      <w:divsChild>
        <w:div w:id="622347215">
          <w:marLeft w:val="0"/>
          <w:marRight w:val="0"/>
          <w:marTop w:val="0"/>
          <w:marBottom w:val="0"/>
          <w:divBdr>
            <w:top w:val="none" w:sz="0" w:space="0" w:color="auto"/>
            <w:left w:val="none" w:sz="0" w:space="0" w:color="auto"/>
            <w:bottom w:val="none" w:sz="0" w:space="0" w:color="auto"/>
            <w:right w:val="none" w:sz="0" w:space="0" w:color="auto"/>
          </w:divBdr>
        </w:div>
        <w:div w:id="1607806326">
          <w:marLeft w:val="0"/>
          <w:marRight w:val="0"/>
          <w:marTop w:val="0"/>
          <w:marBottom w:val="0"/>
          <w:divBdr>
            <w:top w:val="none" w:sz="0" w:space="0" w:color="auto"/>
            <w:left w:val="none" w:sz="0" w:space="0" w:color="auto"/>
            <w:bottom w:val="none" w:sz="0" w:space="0" w:color="auto"/>
            <w:right w:val="none" w:sz="0" w:space="0" w:color="auto"/>
          </w:divBdr>
        </w:div>
        <w:div w:id="1623418738">
          <w:marLeft w:val="0"/>
          <w:marRight w:val="0"/>
          <w:marTop w:val="0"/>
          <w:marBottom w:val="0"/>
          <w:divBdr>
            <w:top w:val="none" w:sz="0" w:space="0" w:color="auto"/>
            <w:left w:val="none" w:sz="0" w:space="0" w:color="auto"/>
            <w:bottom w:val="none" w:sz="0" w:space="0" w:color="auto"/>
            <w:right w:val="none" w:sz="0" w:space="0" w:color="auto"/>
          </w:divBdr>
        </w:div>
        <w:div w:id="1895702236">
          <w:marLeft w:val="0"/>
          <w:marRight w:val="0"/>
          <w:marTop w:val="0"/>
          <w:marBottom w:val="0"/>
          <w:divBdr>
            <w:top w:val="none" w:sz="0" w:space="0" w:color="auto"/>
            <w:left w:val="none" w:sz="0" w:space="0" w:color="auto"/>
            <w:bottom w:val="none" w:sz="0" w:space="0" w:color="auto"/>
            <w:right w:val="none" w:sz="0" w:space="0" w:color="auto"/>
          </w:divBdr>
        </w:div>
      </w:divsChild>
    </w:div>
    <w:div w:id="840781625">
      <w:bodyDiv w:val="1"/>
      <w:marLeft w:val="0"/>
      <w:marRight w:val="0"/>
      <w:marTop w:val="0"/>
      <w:marBottom w:val="0"/>
      <w:divBdr>
        <w:top w:val="none" w:sz="0" w:space="0" w:color="auto"/>
        <w:left w:val="none" w:sz="0" w:space="0" w:color="auto"/>
        <w:bottom w:val="none" w:sz="0" w:space="0" w:color="auto"/>
        <w:right w:val="none" w:sz="0" w:space="0" w:color="auto"/>
      </w:divBdr>
      <w:divsChild>
        <w:div w:id="1883979952">
          <w:marLeft w:val="0"/>
          <w:marRight w:val="0"/>
          <w:marTop w:val="0"/>
          <w:marBottom w:val="0"/>
          <w:divBdr>
            <w:top w:val="none" w:sz="0" w:space="0" w:color="auto"/>
            <w:left w:val="none" w:sz="0" w:space="0" w:color="auto"/>
            <w:bottom w:val="none" w:sz="0" w:space="0" w:color="auto"/>
            <w:right w:val="none" w:sz="0" w:space="0" w:color="auto"/>
          </w:divBdr>
          <w:divsChild>
            <w:div w:id="178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6218">
      <w:bodyDiv w:val="1"/>
      <w:marLeft w:val="0"/>
      <w:marRight w:val="0"/>
      <w:marTop w:val="0"/>
      <w:marBottom w:val="0"/>
      <w:divBdr>
        <w:top w:val="none" w:sz="0" w:space="0" w:color="auto"/>
        <w:left w:val="none" w:sz="0" w:space="0" w:color="auto"/>
        <w:bottom w:val="none" w:sz="0" w:space="0" w:color="auto"/>
        <w:right w:val="none" w:sz="0" w:space="0" w:color="auto"/>
      </w:divBdr>
    </w:div>
    <w:div w:id="87886349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911692646">
      <w:bodyDiv w:val="1"/>
      <w:marLeft w:val="0"/>
      <w:marRight w:val="0"/>
      <w:marTop w:val="0"/>
      <w:marBottom w:val="0"/>
      <w:divBdr>
        <w:top w:val="none" w:sz="0" w:space="0" w:color="auto"/>
        <w:left w:val="none" w:sz="0" w:space="0" w:color="auto"/>
        <w:bottom w:val="none" w:sz="0" w:space="0" w:color="auto"/>
        <w:right w:val="none" w:sz="0" w:space="0" w:color="auto"/>
      </w:divBdr>
      <w:divsChild>
        <w:div w:id="550926636">
          <w:marLeft w:val="0"/>
          <w:marRight w:val="0"/>
          <w:marTop w:val="0"/>
          <w:marBottom w:val="0"/>
          <w:divBdr>
            <w:top w:val="none" w:sz="0" w:space="0" w:color="auto"/>
            <w:left w:val="none" w:sz="0" w:space="0" w:color="auto"/>
            <w:bottom w:val="none" w:sz="0" w:space="0" w:color="auto"/>
            <w:right w:val="none" w:sz="0" w:space="0" w:color="auto"/>
          </w:divBdr>
        </w:div>
      </w:divsChild>
    </w:div>
    <w:div w:id="1004212789">
      <w:bodyDiv w:val="1"/>
      <w:marLeft w:val="0"/>
      <w:marRight w:val="0"/>
      <w:marTop w:val="0"/>
      <w:marBottom w:val="0"/>
      <w:divBdr>
        <w:top w:val="none" w:sz="0" w:space="0" w:color="auto"/>
        <w:left w:val="none" w:sz="0" w:space="0" w:color="auto"/>
        <w:bottom w:val="none" w:sz="0" w:space="0" w:color="auto"/>
        <w:right w:val="none" w:sz="0" w:space="0" w:color="auto"/>
      </w:divBdr>
      <w:divsChild>
        <w:div w:id="116870883">
          <w:marLeft w:val="0"/>
          <w:marRight w:val="0"/>
          <w:marTop w:val="0"/>
          <w:marBottom w:val="0"/>
          <w:divBdr>
            <w:top w:val="none" w:sz="0" w:space="0" w:color="auto"/>
            <w:left w:val="none" w:sz="0" w:space="0" w:color="auto"/>
            <w:bottom w:val="none" w:sz="0" w:space="0" w:color="auto"/>
            <w:right w:val="none" w:sz="0" w:space="0" w:color="auto"/>
          </w:divBdr>
        </w:div>
        <w:div w:id="1735884272">
          <w:marLeft w:val="0"/>
          <w:marRight w:val="0"/>
          <w:marTop w:val="0"/>
          <w:marBottom w:val="0"/>
          <w:divBdr>
            <w:top w:val="none" w:sz="0" w:space="0" w:color="auto"/>
            <w:left w:val="none" w:sz="0" w:space="0" w:color="auto"/>
            <w:bottom w:val="none" w:sz="0" w:space="0" w:color="auto"/>
            <w:right w:val="none" w:sz="0" w:space="0" w:color="auto"/>
          </w:divBdr>
          <w:divsChild>
            <w:div w:id="1751534510">
              <w:marLeft w:val="-75"/>
              <w:marRight w:val="0"/>
              <w:marTop w:val="30"/>
              <w:marBottom w:val="30"/>
              <w:divBdr>
                <w:top w:val="none" w:sz="0" w:space="0" w:color="auto"/>
                <w:left w:val="none" w:sz="0" w:space="0" w:color="auto"/>
                <w:bottom w:val="none" w:sz="0" w:space="0" w:color="auto"/>
                <w:right w:val="none" w:sz="0" w:space="0" w:color="auto"/>
              </w:divBdr>
              <w:divsChild>
                <w:div w:id="248733186">
                  <w:marLeft w:val="0"/>
                  <w:marRight w:val="0"/>
                  <w:marTop w:val="0"/>
                  <w:marBottom w:val="0"/>
                  <w:divBdr>
                    <w:top w:val="none" w:sz="0" w:space="0" w:color="auto"/>
                    <w:left w:val="none" w:sz="0" w:space="0" w:color="auto"/>
                    <w:bottom w:val="none" w:sz="0" w:space="0" w:color="auto"/>
                    <w:right w:val="none" w:sz="0" w:space="0" w:color="auto"/>
                  </w:divBdr>
                  <w:divsChild>
                    <w:div w:id="1653563612">
                      <w:marLeft w:val="0"/>
                      <w:marRight w:val="0"/>
                      <w:marTop w:val="0"/>
                      <w:marBottom w:val="0"/>
                      <w:divBdr>
                        <w:top w:val="none" w:sz="0" w:space="0" w:color="auto"/>
                        <w:left w:val="none" w:sz="0" w:space="0" w:color="auto"/>
                        <w:bottom w:val="none" w:sz="0" w:space="0" w:color="auto"/>
                        <w:right w:val="none" w:sz="0" w:space="0" w:color="auto"/>
                      </w:divBdr>
                    </w:div>
                  </w:divsChild>
                </w:div>
                <w:div w:id="352267025">
                  <w:marLeft w:val="0"/>
                  <w:marRight w:val="0"/>
                  <w:marTop w:val="0"/>
                  <w:marBottom w:val="0"/>
                  <w:divBdr>
                    <w:top w:val="none" w:sz="0" w:space="0" w:color="auto"/>
                    <w:left w:val="none" w:sz="0" w:space="0" w:color="auto"/>
                    <w:bottom w:val="none" w:sz="0" w:space="0" w:color="auto"/>
                    <w:right w:val="none" w:sz="0" w:space="0" w:color="auto"/>
                  </w:divBdr>
                  <w:divsChild>
                    <w:div w:id="1061518972">
                      <w:marLeft w:val="0"/>
                      <w:marRight w:val="0"/>
                      <w:marTop w:val="0"/>
                      <w:marBottom w:val="0"/>
                      <w:divBdr>
                        <w:top w:val="none" w:sz="0" w:space="0" w:color="auto"/>
                        <w:left w:val="none" w:sz="0" w:space="0" w:color="auto"/>
                        <w:bottom w:val="none" w:sz="0" w:space="0" w:color="auto"/>
                        <w:right w:val="none" w:sz="0" w:space="0" w:color="auto"/>
                      </w:divBdr>
                    </w:div>
                  </w:divsChild>
                </w:div>
                <w:div w:id="439109282">
                  <w:marLeft w:val="0"/>
                  <w:marRight w:val="0"/>
                  <w:marTop w:val="0"/>
                  <w:marBottom w:val="0"/>
                  <w:divBdr>
                    <w:top w:val="none" w:sz="0" w:space="0" w:color="auto"/>
                    <w:left w:val="none" w:sz="0" w:space="0" w:color="auto"/>
                    <w:bottom w:val="none" w:sz="0" w:space="0" w:color="auto"/>
                    <w:right w:val="none" w:sz="0" w:space="0" w:color="auto"/>
                  </w:divBdr>
                  <w:divsChild>
                    <w:div w:id="388966837">
                      <w:marLeft w:val="0"/>
                      <w:marRight w:val="0"/>
                      <w:marTop w:val="0"/>
                      <w:marBottom w:val="0"/>
                      <w:divBdr>
                        <w:top w:val="none" w:sz="0" w:space="0" w:color="auto"/>
                        <w:left w:val="none" w:sz="0" w:space="0" w:color="auto"/>
                        <w:bottom w:val="none" w:sz="0" w:space="0" w:color="auto"/>
                        <w:right w:val="none" w:sz="0" w:space="0" w:color="auto"/>
                      </w:divBdr>
                    </w:div>
                  </w:divsChild>
                </w:div>
                <w:div w:id="501051332">
                  <w:marLeft w:val="0"/>
                  <w:marRight w:val="0"/>
                  <w:marTop w:val="0"/>
                  <w:marBottom w:val="0"/>
                  <w:divBdr>
                    <w:top w:val="none" w:sz="0" w:space="0" w:color="auto"/>
                    <w:left w:val="none" w:sz="0" w:space="0" w:color="auto"/>
                    <w:bottom w:val="none" w:sz="0" w:space="0" w:color="auto"/>
                    <w:right w:val="none" w:sz="0" w:space="0" w:color="auto"/>
                  </w:divBdr>
                  <w:divsChild>
                    <w:div w:id="1067070371">
                      <w:marLeft w:val="0"/>
                      <w:marRight w:val="0"/>
                      <w:marTop w:val="0"/>
                      <w:marBottom w:val="0"/>
                      <w:divBdr>
                        <w:top w:val="none" w:sz="0" w:space="0" w:color="auto"/>
                        <w:left w:val="none" w:sz="0" w:space="0" w:color="auto"/>
                        <w:bottom w:val="none" w:sz="0" w:space="0" w:color="auto"/>
                        <w:right w:val="none" w:sz="0" w:space="0" w:color="auto"/>
                      </w:divBdr>
                    </w:div>
                  </w:divsChild>
                </w:div>
                <w:div w:id="601568488">
                  <w:marLeft w:val="0"/>
                  <w:marRight w:val="0"/>
                  <w:marTop w:val="0"/>
                  <w:marBottom w:val="0"/>
                  <w:divBdr>
                    <w:top w:val="none" w:sz="0" w:space="0" w:color="auto"/>
                    <w:left w:val="none" w:sz="0" w:space="0" w:color="auto"/>
                    <w:bottom w:val="none" w:sz="0" w:space="0" w:color="auto"/>
                    <w:right w:val="none" w:sz="0" w:space="0" w:color="auto"/>
                  </w:divBdr>
                  <w:divsChild>
                    <w:div w:id="610817461">
                      <w:marLeft w:val="0"/>
                      <w:marRight w:val="0"/>
                      <w:marTop w:val="0"/>
                      <w:marBottom w:val="0"/>
                      <w:divBdr>
                        <w:top w:val="none" w:sz="0" w:space="0" w:color="auto"/>
                        <w:left w:val="none" w:sz="0" w:space="0" w:color="auto"/>
                        <w:bottom w:val="none" w:sz="0" w:space="0" w:color="auto"/>
                        <w:right w:val="none" w:sz="0" w:space="0" w:color="auto"/>
                      </w:divBdr>
                    </w:div>
                  </w:divsChild>
                </w:div>
                <w:div w:id="698698061">
                  <w:marLeft w:val="0"/>
                  <w:marRight w:val="0"/>
                  <w:marTop w:val="0"/>
                  <w:marBottom w:val="0"/>
                  <w:divBdr>
                    <w:top w:val="none" w:sz="0" w:space="0" w:color="auto"/>
                    <w:left w:val="none" w:sz="0" w:space="0" w:color="auto"/>
                    <w:bottom w:val="none" w:sz="0" w:space="0" w:color="auto"/>
                    <w:right w:val="none" w:sz="0" w:space="0" w:color="auto"/>
                  </w:divBdr>
                  <w:divsChild>
                    <w:div w:id="1713964107">
                      <w:marLeft w:val="0"/>
                      <w:marRight w:val="0"/>
                      <w:marTop w:val="0"/>
                      <w:marBottom w:val="0"/>
                      <w:divBdr>
                        <w:top w:val="none" w:sz="0" w:space="0" w:color="auto"/>
                        <w:left w:val="none" w:sz="0" w:space="0" w:color="auto"/>
                        <w:bottom w:val="none" w:sz="0" w:space="0" w:color="auto"/>
                        <w:right w:val="none" w:sz="0" w:space="0" w:color="auto"/>
                      </w:divBdr>
                    </w:div>
                  </w:divsChild>
                </w:div>
                <w:div w:id="724138105">
                  <w:marLeft w:val="0"/>
                  <w:marRight w:val="0"/>
                  <w:marTop w:val="0"/>
                  <w:marBottom w:val="0"/>
                  <w:divBdr>
                    <w:top w:val="none" w:sz="0" w:space="0" w:color="auto"/>
                    <w:left w:val="none" w:sz="0" w:space="0" w:color="auto"/>
                    <w:bottom w:val="none" w:sz="0" w:space="0" w:color="auto"/>
                    <w:right w:val="none" w:sz="0" w:space="0" w:color="auto"/>
                  </w:divBdr>
                  <w:divsChild>
                    <w:div w:id="925842447">
                      <w:marLeft w:val="0"/>
                      <w:marRight w:val="0"/>
                      <w:marTop w:val="0"/>
                      <w:marBottom w:val="0"/>
                      <w:divBdr>
                        <w:top w:val="none" w:sz="0" w:space="0" w:color="auto"/>
                        <w:left w:val="none" w:sz="0" w:space="0" w:color="auto"/>
                        <w:bottom w:val="none" w:sz="0" w:space="0" w:color="auto"/>
                        <w:right w:val="none" w:sz="0" w:space="0" w:color="auto"/>
                      </w:divBdr>
                    </w:div>
                  </w:divsChild>
                </w:div>
                <w:div w:id="735205836">
                  <w:marLeft w:val="0"/>
                  <w:marRight w:val="0"/>
                  <w:marTop w:val="0"/>
                  <w:marBottom w:val="0"/>
                  <w:divBdr>
                    <w:top w:val="none" w:sz="0" w:space="0" w:color="auto"/>
                    <w:left w:val="none" w:sz="0" w:space="0" w:color="auto"/>
                    <w:bottom w:val="none" w:sz="0" w:space="0" w:color="auto"/>
                    <w:right w:val="none" w:sz="0" w:space="0" w:color="auto"/>
                  </w:divBdr>
                  <w:divsChild>
                    <w:div w:id="2044283590">
                      <w:marLeft w:val="0"/>
                      <w:marRight w:val="0"/>
                      <w:marTop w:val="0"/>
                      <w:marBottom w:val="0"/>
                      <w:divBdr>
                        <w:top w:val="none" w:sz="0" w:space="0" w:color="auto"/>
                        <w:left w:val="none" w:sz="0" w:space="0" w:color="auto"/>
                        <w:bottom w:val="none" w:sz="0" w:space="0" w:color="auto"/>
                        <w:right w:val="none" w:sz="0" w:space="0" w:color="auto"/>
                      </w:divBdr>
                    </w:div>
                  </w:divsChild>
                </w:div>
                <w:div w:id="763846166">
                  <w:marLeft w:val="0"/>
                  <w:marRight w:val="0"/>
                  <w:marTop w:val="0"/>
                  <w:marBottom w:val="0"/>
                  <w:divBdr>
                    <w:top w:val="none" w:sz="0" w:space="0" w:color="auto"/>
                    <w:left w:val="none" w:sz="0" w:space="0" w:color="auto"/>
                    <w:bottom w:val="none" w:sz="0" w:space="0" w:color="auto"/>
                    <w:right w:val="none" w:sz="0" w:space="0" w:color="auto"/>
                  </w:divBdr>
                  <w:divsChild>
                    <w:div w:id="383139605">
                      <w:marLeft w:val="0"/>
                      <w:marRight w:val="0"/>
                      <w:marTop w:val="0"/>
                      <w:marBottom w:val="0"/>
                      <w:divBdr>
                        <w:top w:val="none" w:sz="0" w:space="0" w:color="auto"/>
                        <w:left w:val="none" w:sz="0" w:space="0" w:color="auto"/>
                        <w:bottom w:val="none" w:sz="0" w:space="0" w:color="auto"/>
                        <w:right w:val="none" w:sz="0" w:space="0" w:color="auto"/>
                      </w:divBdr>
                    </w:div>
                  </w:divsChild>
                </w:div>
                <w:div w:id="848564991">
                  <w:marLeft w:val="0"/>
                  <w:marRight w:val="0"/>
                  <w:marTop w:val="0"/>
                  <w:marBottom w:val="0"/>
                  <w:divBdr>
                    <w:top w:val="none" w:sz="0" w:space="0" w:color="auto"/>
                    <w:left w:val="none" w:sz="0" w:space="0" w:color="auto"/>
                    <w:bottom w:val="none" w:sz="0" w:space="0" w:color="auto"/>
                    <w:right w:val="none" w:sz="0" w:space="0" w:color="auto"/>
                  </w:divBdr>
                  <w:divsChild>
                    <w:div w:id="1035542208">
                      <w:marLeft w:val="0"/>
                      <w:marRight w:val="0"/>
                      <w:marTop w:val="0"/>
                      <w:marBottom w:val="0"/>
                      <w:divBdr>
                        <w:top w:val="none" w:sz="0" w:space="0" w:color="auto"/>
                        <w:left w:val="none" w:sz="0" w:space="0" w:color="auto"/>
                        <w:bottom w:val="none" w:sz="0" w:space="0" w:color="auto"/>
                        <w:right w:val="none" w:sz="0" w:space="0" w:color="auto"/>
                      </w:divBdr>
                    </w:div>
                  </w:divsChild>
                </w:div>
                <w:div w:id="1005473400">
                  <w:marLeft w:val="0"/>
                  <w:marRight w:val="0"/>
                  <w:marTop w:val="0"/>
                  <w:marBottom w:val="0"/>
                  <w:divBdr>
                    <w:top w:val="none" w:sz="0" w:space="0" w:color="auto"/>
                    <w:left w:val="none" w:sz="0" w:space="0" w:color="auto"/>
                    <w:bottom w:val="none" w:sz="0" w:space="0" w:color="auto"/>
                    <w:right w:val="none" w:sz="0" w:space="0" w:color="auto"/>
                  </w:divBdr>
                  <w:divsChild>
                    <w:div w:id="1720202946">
                      <w:marLeft w:val="0"/>
                      <w:marRight w:val="0"/>
                      <w:marTop w:val="0"/>
                      <w:marBottom w:val="0"/>
                      <w:divBdr>
                        <w:top w:val="none" w:sz="0" w:space="0" w:color="auto"/>
                        <w:left w:val="none" w:sz="0" w:space="0" w:color="auto"/>
                        <w:bottom w:val="none" w:sz="0" w:space="0" w:color="auto"/>
                        <w:right w:val="none" w:sz="0" w:space="0" w:color="auto"/>
                      </w:divBdr>
                    </w:div>
                  </w:divsChild>
                </w:div>
                <w:div w:id="1276642352">
                  <w:marLeft w:val="0"/>
                  <w:marRight w:val="0"/>
                  <w:marTop w:val="0"/>
                  <w:marBottom w:val="0"/>
                  <w:divBdr>
                    <w:top w:val="none" w:sz="0" w:space="0" w:color="auto"/>
                    <w:left w:val="none" w:sz="0" w:space="0" w:color="auto"/>
                    <w:bottom w:val="none" w:sz="0" w:space="0" w:color="auto"/>
                    <w:right w:val="none" w:sz="0" w:space="0" w:color="auto"/>
                  </w:divBdr>
                  <w:divsChild>
                    <w:div w:id="631862592">
                      <w:marLeft w:val="0"/>
                      <w:marRight w:val="0"/>
                      <w:marTop w:val="0"/>
                      <w:marBottom w:val="0"/>
                      <w:divBdr>
                        <w:top w:val="none" w:sz="0" w:space="0" w:color="auto"/>
                        <w:left w:val="none" w:sz="0" w:space="0" w:color="auto"/>
                        <w:bottom w:val="none" w:sz="0" w:space="0" w:color="auto"/>
                        <w:right w:val="none" w:sz="0" w:space="0" w:color="auto"/>
                      </w:divBdr>
                    </w:div>
                  </w:divsChild>
                </w:div>
                <w:div w:id="1597519093">
                  <w:marLeft w:val="0"/>
                  <w:marRight w:val="0"/>
                  <w:marTop w:val="0"/>
                  <w:marBottom w:val="0"/>
                  <w:divBdr>
                    <w:top w:val="none" w:sz="0" w:space="0" w:color="auto"/>
                    <w:left w:val="none" w:sz="0" w:space="0" w:color="auto"/>
                    <w:bottom w:val="none" w:sz="0" w:space="0" w:color="auto"/>
                    <w:right w:val="none" w:sz="0" w:space="0" w:color="auto"/>
                  </w:divBdr>
                  <w:divsChild>
                    <w:div w:id="955451962">
                      <w:marLeft w:val="0"/>
                      <w:marRight w:val="0"/>
                      <w:marTop w:val="0"/>
                      <w:marBottom w:val="0"/>
                      <w:divBdr>
                        <w:top w:val="none" w:sz="0" w:space="0" w:color="auto"/>
                        <w:left w:val="none" w:sz="0" w:space="0" w:color="auto"/>
                        <w:bottom w:val="none" w:sz="0" w:space="0" w:color="auto"/>
                        <w:right w:val="none" w:sz="0" w:space="0" w:color="auto"/>
                      </w:divBdr>
                    </w:div>
                  </w:divsChild>
                </w:div>
                <w:div w:id="1983077888">
                  <w:marLeft w:val="0"/>
                  <w:marRight w:val="0"/>
                  <w:marTop w:val="0"/>
                  <w:marBottom w:val="0"/>
                  <w:divBdr>
                    <w:top w:val="none" w:sz="0" w:space="0" w:color="auto"/>
                    <w:left w:val="none" w:sz="0" w:space="0" w:color="auto"/>
                    <w:bottom w:val="none" w:sz="0" w:space="0" w:color="auto"/>
                    <w:right w:val="none" w:sz="0" w:space="0" w:color="auto"/>
                  </w:divBdr>
                  <w:divsChild>
                    <w:div w:id="993485724">
                      <w:marLeft w:val="0"/>
                      <w:marRight w:val="0"/>
                      <w:marTop w:val="0"/>
                      <w:marBottom w:val="0"/>
                      <w:divBdr>
                        <w:top w:val="none" w:sz="0" w:space="0" w:color="auto"/>
                        <w:left w:val="none" w:sz="0" w:space="0" w:color="auto"/>
                        <w:bottom w:val="none" w:sz="0" w:space="0" w:color="auto"/>
                        <w:right w:val="none" w:sz="0" w:space="0" w:color="auto"/>
                      </w:divBdr>
                    </w:div>
                  </w:divsChild>
                </w:div>
                <w:div w:id="2112696413">
                  <w:marLeft w:val="0"/>
                  <w:marRight w:val="0"/>
                  <w:marTop w:val="0"/>
                  <w:marBottom w:val="0"/>
                  <w:divBdr>
                    <w:top w:val="none" w:sz="0" w:space="0" w:color="auto"/>
                    <w:left w:val="none" w:sz="0" w:space="0" w:color="auto"/>
                    <w:bottom w:val="none" w:sz="0" w:space="0" w:color="auto"/>
                    <w:right w:val="none" w:sz="0" w:space="0" w:color="auto"/>
                  </w:divBdr>
                  <w:divsChild>
                    <w:div w:id="7525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6072">
          <w:marLeft w:val="0"/>
          <w:marRight w:val="0"/>
          <w:marTop w:val="0"/>
          <w:marBottom w:val="0"/>
          <w:divBdr>
            <w:top w:val="none" w:sz="0" w:space="0" w:color="auto"/>
            <w:left w:val="none" w:sz="0" w:space="0" w:color="auto"/>
            <w:bottom w:val="none" w:sz="0" w:space="0" w:color="auto"/>
            <w:right w:val="none" w:sz="0" w:space="0" w:color="auto"/>
          </w:divBdr>
        </w:div>
      </w:divsChild>
    </w:div>
    <w:div w:id="1045564081">
      <w:bodyDiv w:val="1"/>
      <w:marLeft w:val="0"/>
      <w:marRight w:val="0"/>
      <w:marTop w:val="0"/>
      <w:marBottom w:val="0"/>
      <w:divBdr>
        <w:top w:val="none" w:sz="0" w:space="0" w:color="auto"/>
        <w:left w:val="none" w:sz="0" w:space="0" w:color="auto"/>
        <w:bottom w:val="none" w:sz="0" w:space="0" w:color="auto"/>
        <w:right w:val="none" w:sz="0" w:space="0" w:color="auto"/>
      </w:divBdr>
    </w:div>
    <w:div w:id="1117140787">
      <w:bodyDiv w:val="1"/>
      <w:marLeft w:val="0"/>
      <w:marRight w:val="0"/>
      <w:marTop w:val="0"/>
      <w:marBottom w:val="0"/>
      <w:divBdr>
        <w:top w:val="none" w:sz="0" w:space="0" w:color="auto"/>
        <w:left w:val="none" w:sz="0" w:space="0" w:color="auto"/>
        <w:bottom w:val="none" w:sz="0" w:space="0" w:color="auto"/>
        <w:right w:val="none" w:sz="0" w:space="0" w:color="auto"/>
      </w:divBdr>
      <w:divsChild>
        <w:div w:id="2018803639">
          <w:marLeft w:val="0"/>
          <w:marRight w:val="0"/>
          <w:marTop w:val="0"/>
          <w:marBottom w:val="0"/>
          <w:divBdr>
            <w:top w:val="none" w:sz="0" w:space="0" w:color="auto"/>
            <w:left w:val="none" w:sz="0" w:space="0" w:color="auto"/>
            <w:bottom w:val="none" w:sz="0" w:space="0" w:color="auto"/>
            <w:right w:val="none" w:sz="0" w:space="0" w:color="auto"/>
          </w:divBdr>
        </w:div>
      </w:divsChild>
    </w:div>
    <w:div w:id="1135104030">
      <w:bodyDiv w:val="1"/>
      <w:marLeft w:val="0"/>
      <w:marRight w:val="0"/>
      <w:marTop w:val="0"/>
      <w:marBottom w:val="0"/>
      <w:divBdr>
        <w:top w:val="none" w:sz="0" w:space="0" w:color="auto"/>
        <w:left w:val="none" w:sz="0" w:space="0" w:color="auto"/>
        <w:bottom w:val="none" w:sz="0" w:space="0" w:color="auto"/>
        <w:right w:val="none" w:sz="0" w:space="0" w:color="auto"/>
      </w:divBdr>
      <w:divsChild>
        <w:div w:id="828403852">
          <w:marLeft w:val="0"/>
          <w:marRight w:val="0"/>
          <w:marTop w:val="0"/>
          <w:marBottom w:val="0"/>
          <w:divBdr>
            <w:top w:val="none" w:sz="0" w:space="0" w:color="auto"/>
            <w:left w:val="none" w:sz="0" w:space="0" w:color="auto"/>
            <w:bottom w:val="none" w:sz="0" w:space="0" w:color="auto"/>
            <w:right w:val="none" w:sz="0" w:space="0" w:color="auto"/>
          </w:divBdr>
          <w:divsChild>
            <w:div w:id="19734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7068">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358314909">
      <w:bodyDiv w:val="1"/>
      <w:marLeft w:val="0"/>
      <w:marRight w:val="0"/>
      <w:marTop w:val="0"/>
      <w:marBottom w:val="0"/>
      <w:divBdr>
        <w:top w:val="none" w:sz="0" w:space="0" w:color="auto"/>
        <w:left w:val="none" w:sz="0" w:space="0" w:color="auto"/>
        <w:bottom w:val="none" w:sz="0" w:space="0" w:color="auto"/>
        <w:right w:val="none" w:sz="0" w:space="0" w:color="auto"/>
      </w:divBdr>
    </w:div>
    <w:div w:id="1365980951">
      <w:bodyDiv w:val="1"/>
      <w:marLeft w:val="0"/>
      <w:marRight w:val="0"/>
      <w:marTop w:val="0"/>
      <w:marBottom w:val="0"/>
      <w:divBdr>
        <w:top w:val="none" w:sz="0" w:space="0" w:color="auto"/>
        <w:left w:val="none" w:sz="0" w:space="0" w:color="auto"/>
        <w:bottom w:val="none" w:sz="0" w:space="0" w:color="auto"/>
        <w:right w:val="none" w:sz="0" w:space="0" w:color="auto"/>
      </w:divBdr>
    </w:div>
    <w:div w:id="1437825906">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476293673">
      <w:bodyDiv w:val="1"/>
      <w:marLeft w:val="0"/>
      <w:marRight w:val="0"/>
      <w:marTop w:val="0"/>
      <w:marBottom w:val="0"/>
      <w:divBdr>
        <w:top w:val="none" w:sz="0" w:space="0" w:color="auto"/>
        <w:left w:val="none" w:sz="0" w:space="0" w:color="auto"/>
        <w:bottom w:val="none" w:sz="0" w:space="0" w:color="auto"/>
        <w:right w:val="none" w:sz="0" w:space="0" w:color="auto"/>
      </w:divBdr>
      <w:divsChild>
        <w:div w:id="8066895">
          <w:marLeft w:val="0"/>
          <w:marRight w:val="0"/>
          <w:marTop w:val="0"/>
          <w:marBottom w:val="0"/>
          <w:divBdr>
            <w:top w:val="none" w:sz="0" w:space="0" w:color="auto"/>
            <w:left w:val="none" w:sz="0" w:space="0" w:color="auto"/>
            <w:bottom w:val="none" w:sz="0" w:space="0" w:color="auto"/>
            <w:right w:val="none" w:sz="0" w:space="0" w:color="auto"/>
          </w:divBdr>
        </w:div>
        <w:div w:id="409817961">
          <w:marLeft w:val="0"/>
          <w:marRight w:val="0"/>
          <w:marTop w:val="0"/>
          <w:marBottom w:val="0"/>
          <w:divBdr>
            <w:top w:val="none" w:sz="0" w:space="0" w:color="auto"/>
            <w:left w:val="none" w:sz="0" w:space="0" w:color="auto"/>
            <w:bottom w:val="none" w:sz="0" w:space="0" w:color="auto"/>
            <w:right w:val="none" w:sz="0" w:space="0" w:color="auto"/>
          </w:divBdr>
        </w:div>
        <w:div w:id="464592443">
          <w:marLeft w:val="0"/>
          <w:marRight w:val="0"/>
          <w:marTop w:val="0"/>
          <w:marBottom w:val="0"/>
          <w:divBdr>
            <w:top w:val="none" w:sz="0" w:space="0" w:color="auto"/>
            <w:left w:val="none" w:sz="0" w:space="0" w:color="auto"/>
            <w:bottom w:val="none" w:sz="0" w:space="0" w:color="auto"/>
            <w:right w:val="none" w:sz="0" w:space="0" w:color="auto"/>
          </w:divBdr>
        </w:div>
        <w:div w:id="741298826">
          <w:marLeft w:val="0"/>
          <w:marRight w:val="0"/>
          <w:marTop w:val="0"/>
          <w:marBottom w:val="0"/>
          <w:divBdr>
            <w:top w:val="none" w:sz="0" w:space="0" w:color="auto"/>
            <w:left w:val="none" w:sz="0" w:space="0" w:color="auto"/>
            <w:bottom w:val="none" w:sz="0" w:space="0" w:color="auto"/>
            <w:right w:val="none" w:sz="0" w:space="0" w:color="auto"/>
          </w:divBdr>
        </w:div>
        <w:div w:id="829754604">
          <w:marLeft w:val="0"/>
          <w:marRight w:val="0"/>
          <w:marTop w:val="0"/>
          <w:marBottom w:val="0"/>
          <w:divBdr>
            <w:top w:val="none" w:sz="0" w:space="0" w:color="auto"/>
            <w:left w:val="none" w:sz="0" w:space="0" w:color="auto"/>
            <w:bottom w:val="none" w:sz="0" w:space="0" w:color="auto"/>
            <w:right w:val="none" w:sz="0" w:space="0" w:color="auto"/>
          </w:divBdr>
        </w:div>
        <w:div w:id="1701779995">
          <w:marLeft w:val="0"/>
          <w:marRight w:val="0"/>
          <w:marTop w:val="0"/>
          <w:marBottom w:val="0"/>
          <w:divBdr>
            <w:top w:val="none" w:sz="0" w:space="0" w:color="auto"/>
            <w:left w:val="none" w:sz="0" w:space="0" w:color="auto"/>
            <w:bottom w:val="none" w:sz="0" w:space="0" w:color="auto"/>
            <w:right w:val="none" w:sz="0" w:space="0" w:color="auto"/>
          </w:divBdr>
        </w:div>
      </w:divsChild>
    </w:div>
    <w:div w:id="1527595681">
      <w:bodyDiv w:val="1"/>
      <w:marLeft w:val="0"/>
      <w:marRight w:val="0"/>
      <w:marTop w:val="0"/>
      <w:marBottom w:val="0"/>
      <w:divBdr>
        <w:top w:val="none" w:sz="0" w:space="0" w:color="auto"/>
        <w:left w:val="none" w:sz="0" w:space="0" w:color="auto"/>
        <w:bottom w:val="none" w:sz="0" w:space="0" w:color="auto"/>
        <w:right w:val="none" w:sz="0" w:space="0" w:color="auto"/>
      </w:divBdr>
    </w:div>
    <w:div w:id="1700012700">
      <w:bodyDiv w:val="1"/>
      <w:marLeft w:val="0"/>
      <w:marRight w:val="0"/>
      <w:marTop w:val="0"/>
      <w:marBottom w:val="0"/>
      <w:divBdr>
        <w:top w:val="none" w:sz="0" w:space="0" w:color="auto"/>
        <w:left w:val="none" w:sz="0" w:space="0" w:color="auto"/>
        <w:bottom w:val="none" w:sz="0" w:space="0" w:color="auto"/>
        <w:right w:val="none" w:sz="0" w:space="0" w:color="auto"/>
      </w:divBdr>
    </w:div>
    <w:div w:id="1716081490">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794399539">
      <w:bodyDiv w:val="1"/>
      <w:marLeft w:val="0"/>
      <w:marRight w:val="0"/>
      <w:marTop w:val="0"/>
      <w:marBottom w:val="0"/>
      <w:divBdr>
        <w:top w:val="none" w:sz="0" w:space="0" w:color="auto"/>
        <w:left w:val="none" w:sz="0" w:space="0" w:color="auto"/>
        <w:bottom w:val="none" w:sz="0" w:space="0" w:color="auto"/>
        <w:right w:val="none" w:sz="0" w:space="0" w:color="auto"/>
      </w:divBdr>
    </w:div>
    <w:div w:id="2054570292">
      <w:bodyDiv w:val="1"/>
      <w:marLeft w:val="0"/>
      <w:marRight w:val="0"/>
      <w:marTop w:val="0"/>
      <w:marBottom w:val="0"/>
      <w:divBdr>
        <w:top w:val="none" w:sz="0" w:space="0" w:color="auto"/>
        <w:left w:val="none" w:sz="0" w:space="0" w:color="auto"/>
        <w:bottom w:val="none" w:sz="0" w:space="0" w:color="auto"/>
        <w:right w:val="none" w:sz="0" w:space="0" w:color="auto"/>
      </w:divBdr>
    </w:div>
    <w:div w:id="2097052531">
      <w:bodyDiv w:val="1"/>
      <w:marLeft w:val="0"/>
      <w:marRight w:val="0"/>
      <w:marTop w:val="0"/>
      <w:marBottom w:val="0"/>
      <w:divBdr>
        <w:top w:val="none" w:sz="0" w:space="0" w:color="auto"/>
        <w:left w:val="none" w:sz="0" w:space="0" w:color="auto"/>
        <w:bottom w:val="none" w:sz="0" w:space="0" w:color="auto"/>
        <w:right w:val="none" w:sz="0" w:space="0" w:color="auto"/>
      </w:divBdr>
      <w:divsChild>
        <w:div w:id="45182133">
          <w:marLeft w:val="0"/>
          <w:marRight w:val="0"/>
          <w:marTop w:val="0"/>
          <w:marBottom w:val="0"/>
          <w:divBdr>
            <w:top w:val="none" w:sz="0" w:space="0" w:color="auto"/>
            <w:left w:val="none" w:sz="0" w:space="0" w:color="auto"/>
            <w:bottom w:val="none" w:sz="0" w:space="0" w:color="auto"/>
            <w:right w:val="none" w:sz="0" w:space="0" w:color="auto"/>
          </w:divBdr>
        </w:div>
        <w:div w:id="62485805">
          <w:marLeft w:val="0"/>
          <w:marRight w:val="0"/>
          <w:marTop w:val="0"/>
          <w:marBottom w:val="0"/>
          <w:divBdr>
            <w:top w:val="none" w:sz="0" w:space="0" w:color="auto"/>
            <w:left w:val="none" w:sz="0" w:space="0" w:color="auto"/>
            <w:bottom w:val="none" w:sz="0" w:space="0" w:color="auto"/>
            <w:right w:val="none" w:sz="0" w:space="0" w:color="auto"/>
          </w:divBdr>
        </w:div>
        <w:div w:id="150103550">
          <w:marLeft w:val="0"/>
          <w:marRight w:val="0"/>
          <w:marTop w:val="0"/>
          <w:marBottom w:val="0"/>
          <w:divBdr>
            <w:top w:val="none" w:sz="0" w:space="0" w:color="auto"/>
            <w:left w:val="none" w:sz="0" w:space="0" w:color="auto"/>
            <w:bottom w:val="none" w:sz="0" w:space="0" w:color="auto"/>
            <w:right w:val="none" w:sz="0" w:space="0" w:color="auto"/>
          </w:divBdr>
        </w:div>
        <w:div w:id="337080157">
          <w:marLeft w:val="0"/>
          <w:marRight w:val="0"/>
          <w:marTop w:val="0"/>
          <w:marBottom w:val="0"/>
          <w:divBdr>
            <w:top w:val="none" w:sz="0" w:space="0" w:color="auto"/>
            <w:left w:val="none" w:sz="0" w:space="0" w:color="auto"/>
            <w:bottom w:val="none" w:sz="0" w:space="0" w:color="auto"/>
            <w:right w:val="none" w:sz="0" w:space="0" w:color="auto"/>
          </w:divBdr>
        </w:div>
        <w:div w:id="399449793">
          <w:marLeft w:val="0"/>
          <w:marRight w:val="0"/>
          <w:marTop w:val="0"/>
          <w:marBottom w:val="0"/>
          <w:divBdr>
            <w:top w:val="none" w:sz="0" w:space="0" w:color="auto"/>
            <w:left w:val="none" w:sz="0" w:space="0" w:color="auto"/>
            <w:bottom w:val="none" w:sz="0" w:space="0" w:color="auto"/>
            <w:right w:val="none" w:sz="0" w:space="0" w:color="auto"/>
          </w:divBdr>
        </w:div>
        <w:div w:id="417139570">
          <w:marLeft w:val="0"/>
          <w:marRight w:val="0"/>
          <w:marTop w:val="0"/>
          <w:marBottom w:val="0"/>
          <w:divBdr>
            <w:top w:val="none" w:sz="0" w:space="0" w:color="auto"/>
            <w:left w:val="none" w:sz="0" w:space="0" w:color="auto"/>
            <w:bottom w:val="none" w:sz="0" w:space="0" w:color="auto"/>
            <w:right w:val="none" w:sz="0" w:space="0" w:color="auto"/>
          </w:divBdr>
        </w:div>
        <w:div w:id="455031390">
          <w:marLeft w:val="0"/>
          <w:marRight w:val="0"/>
          <w:marTop w:val="0"/>
          <w:marBottom w:val="0"/>
          <w:divBdr>
            <w:top w:val="none" w:sz="0" w:space="0" w:color="auto"/>
            <w:left w:val="none" w:sz="0" w:space="0" w:color="auto"/>
            <w:bottom w:val="none" w:sz="0" w:space="0" w:color="auto"/>
            <w:right w:val="none" w:sz="0" w:space="0" w:color="auto"/>
          </w:divBdr>
        </w:div>
        <w:div w:id="574168503">
          <w:marLeft w:val="0"/>
          <w:marRight w:val="0"/>
          <w:marTop w:val="0"/>
          <w:marBottom w:val="0"/>
          <w:divBdr>
            <w:top w:val="none" w:sz="0" w:space="0" w:color="auto"/>
            <w:left w:val="none" w:sz="0" w:space="0" w:color="auto"/>
            <w:bottom w:val="none" w:sz="0" w:space="0" w:color="auto"/>
            <w:right w:val="none" w:sz="0" w:space="0" w:color="auto"/>
          </w:divBdr>
        </w:div>
        <w:div w:id="663822984">
          <w:marLeft w:val="0"/>
          <w:marRight w:val="0"/>
          <w:marTop w:val="0"/>
          <w:marBottom w:val="0"/>
          <w:divBdr>
            <w:top w:val="none" w:sz="0" w:space="0" w:color="auto"/>
            <w:left w:val="none" w:sz="0" w:space="0" w:color="auto"/>
            <w:bottom w:val="none" w:sz="0" w:space="0" w:color="auto"/>
            <w:right w:val="none" w:sz="0" w:space="0" w:color="auto"/>
          </w:divBdr>
        </w:div>
        <w:div w:id="773062951">
          <w:marLeft w:val="0"/>
          <w:marRight w:val="0"/>
          <w:marTop w:val="0"/>
          <w:marBottom w:val="0"/>
          <w:divBdr>
            <w:top w:val="none" w:sz="0" w:space="0" w:color="auto"/>
            <w:left w:val="none" w:sz="0" w:space="0" w:color="auto"/>
            <w:bottom w:val="none" w:sz="0" w:space="0" w:color="auto"/>
            <w:right w:val="none" w:sz="0" w:space="0" w:color="auto"/>
          </w:divBdr>
        </w:div>
        <w:div w:id="803960317">
          <w:marLeft w:val="0"/>
          <w:marRight w:val="0"/>
          <w:marTop w:val="0"/>
          <w:marBottom w:val="0"/>
          <w:divBdr>
            <w:top w:val="none" w:sz="0" w:space="0" w:color="auto"/>
            <w:left w:val="none" w:sz="0" w:space="0" w:color="auto"/>
            <w:bottom w:val="none" w:sz="0" w:space="0" w:color="auto"/>
            <w:right w:val="none" w:sz="0" w:space="0" w:color="auto"/>
          </w:divBdr>
        </w:div>
        <w:div w:id="1051661078">
          <w:marLeft w:val="0"/>
          <w:marRight w:val="0"/>
          <w:marTop w:val="0"/>
          <w:marBottom w:val="0"/>
          <w:divBdr>
            <w:top w:val="none" w:sz="0" w:space="0" w:color="auto"/>
            <w:left w:val="none" w:sz="0" w:space="0" w:color="auto"/>
            <w:bottom w:val="none" w:sz="0" w:space="0" w:color="auto"/>
            <w:right w:val="none" w:sz="0" w:space="0" w:color="auto"/>
          </w:divBdr>
        </w:div>
        <w:div w:id="1111314595">
          <w:marLeft w:val="0"/>
          <w:marRight w:val="0"/>
          <w:marTop w:val="0"/>
          <w:marBottom w:val="0"/>
          <w:divBdr>
            <w:top w:val="none" w:sz="0" w:space="0" w:color="auto"/>
            <w:left w:val="none" w:sz="0" w:space="0" w:color="auto"/>
            <w:bottom w:val="none" w:sz="0" w:space="0" w:color="auto"/>
            <w:right w:val="none" w:sz="0" w:space="0" w:color="auto"/>
          </w:divBdr>
        </w:div>
        <w:div w:id="1140809030">
          <w:marLeft w:val="0"/>
          <w:marRight w:val="0"/>
          <w:marTop w:val="0"/>
          <w:marBottom w:val="0"/>
          <w:divBdr>
            <w:top w:val="none" w:sz="0" w:space="0" w:color="auto"/>
            <w:left w:val="none" w:sz="0" w:space="0" w:color="auto"/>
            <w:bottom w:val="none" w:sz="0" w:space="0" w:color="auto"/>
            <w:right w:val="none" w:sz="0" w:space="0" w:color="auto"/>
          </w:divBdr>
        </w:div>
        <w:div w:id="1516073976">
          <w:marLeft w:val="0"/>
          <w:marRight w:val="0"/>
          <w:marTop w:val="0"/>
          <w:marBottom w:val="0"/>
          <w:divBdr>
            <w:top w:val="none" w:sz="0" w:space="0" w:color="auto"/>
            <w:left w:val="none" w:sz="0" w:space="0" w:color="auto"/>
            <w:bottom w:val="none" w:sz="0" w:space="0" w:color="auto"/>
            <w:right w:val="none" w:sz="0" w:space="0" w:color="auto"/>
          </w:divBdr>
        </w:div>
        <w:div w:id="1578897284">
          <w:marLeft w:val="0"/>
          <w:marRight w:val="0"/>
          <w:marTop w:val="0"/>
          <w:marBottom w:val="0"/>
          <w:divBdr>
            <w:top w:val="none" w:sz="0" w:space="0" w:color="auto"/>
            <w:left w:val="none" w:sz="0" w:space="0" w:color="auto"/>
            <w:bottom w:val="none" w:sz="0" w:space="0" w:color="auto"/>
            <w:right w:val="none" w:sz="0" w:space="0" w:color="auto"/>
          </w:divBdr>
        </w:div>
        <w:div w:id="1666085147">
          <w:marLeft w:val="0"/>
          <w:marRight w:val="0"/>
          <w:marTop w:val="0"/>
          <w:marBottom w:val="0"/>
          <w:divBdr>
            <w:top w:val="none" w:sz="0" w:space="0" w:color="auto"/>
            <w:left w:val="none" w:sz="0" w:space="0" w:color="auto"/>
            <w:bottom w:val="none" w:sz="0" w:space="0" w:color="auto"/>
            <w:right w:val="none" w:sz="0" w:space="0" w:color="auto"/>
          </w:divBdr>
        </w:div>
        <w:div w:id="1692216486">
          <w:marLeft w:val="0"/>
          <w:marRight w:val="0"/>
          <w:marTop w:val="0"/>
          <w:marBottom w:val="0"/>
          <w:divBdr>
            <w:top w:val="none" w:sz="0" w:space="0" w:color="auto"/>
            <w:left w:val="none" w:sz="0" w:space="0" w:color="auto"/>
            <w:bottom w:val="none" w:sz="0" w:space="0" w:color="auto"/>
            <w:right w:val="none" w:sz="0" w:space="0" w:color="auto"/>
          </w:divBdr>
        </w:div>
        <w:div w:id="1860000406">
          <w:marLeft w:val="0"/>
          <w:marRight w:val="0"/>
          <w:marTop w:val="0"/>
          <w:marBottom w:val="0"/>
          <w:divBdr>
            <w:top w:val="none" w:sz="0" w:space="0" w:color="auto"/>
            <w:left w:val="none" w:sz="0" w:space="0" w:color="auto"/>
            <w:bottom w:val="none" w:sz="0" w:space="0" w:color="auto"/>
            <w:right w:val="none" w:sz="0" w:space="0" w:color="auto"/>
          </w:divBdr>
        </w:div>
        <w:div w:id="1916864052">
          <w:marLeft w:val="0"/>
          <w:marRight w:val="0"/>
          <w:marTop w:val="0"/>
          <w:marBottom w:val="0"/>
          <w:divBdr>
            <w:top w:val="none" w:sz="0" w:space="0" w:color="auto"/>
            <w:left w:val="none" w:sz="0" w:space="0" w:color="auto"/>
            <w:bottom w:val="none" w:sz="0" w:space="0" w:color="auto"/>
            <w:right w:val="none" w:sz="0" w:space="0" w:color="auto"/>
          </w:divBdr>
        </w:div>
        <w:div w:id="2014647657">
          <w:marLeft w:val="0"/>
          <w:marRight w:val="0"/>
          <w:marTop w:val="0"/>
          <w:marBottom w:val="0"/>
          <w:divBdr>
            <w:top w:val="none" w:sz="0" w:space="0" w:color="auto"/>
            <w:left w:val="none" w:sz="0" w:space="0" w:color="auto"/>
            <w:bottom w:val="none" w:sz="0" w:space="0" w:color="auto"/>
            <w:right w:val="none" w:sz="0" w:space="0" w:color="auto"/>
          </w:divBdr>
        </w:div>
        <w:div w:id="2034377437">
          <w:marLeft w:val="0"/>
          <w:marRight w:val="0"/>
          <w:marTop w:val="0"/>
          <w:marBottom w:val="0"/>
          <w:divBdr>
            <w:top w:val="none" w:sz="0" w:space="0" w:color="auto"/>
            <w:left w:val="none" w:sz="0" w:space="0" w:color="auto"/>
            <w:bottom w:val="none" w:sz="0" w:space="0" w:color="auto"/>
            <w:right w:val="none" w:sz="0" w:space="0" w:color="auto"/>
          </w:divBdr>
        </w:div>
      </w:divsChild>
    </w:div>
    <w:div w:id="2146192247">
      <w:bodyDiv w:val="1"/>
      <w:marLeft w:val="0"/>
      <w:marRight w:val="0"/>
      <w:marTop w:val="0"/>
      <w:marBottom w:val="0"/>
      <w:divBdr>
        <w:top w:val="none" w:sz="0" w:space="0" w:color="auto"/>
        <w:left w:val="none" w:sz="0" w:space="0" w:color="auto"/>
        <w:bottom w:val="none" w:sz="0" w:space="0" w:color="auto"/>
        <w:right w:val="none" w:sz="0" w:space="0" w:color="auto"/>
      </w:divBdr>
      <w:divsChild>
        <w:div w:id="71661149">
          <w:marLeft w:val="0"/>
          <w:marRight w:val="0"/>
          <w:marTop w:val="0"/>
          <w:marBottom w:val="0"/>
          <w:divBdr>
            <w:top w:val="none" w:sz="0" w:space="0" w:color="auto"/>
            <w:left w:val="none" w:sz="0" w:space="0" w:color="auto"/>
            <w:bottom w:val="none" w:sz="0" w:space="0" w:color="auto"/>
            <w:right w:val="none" w:sz="0" w:space="0" w:color="auto"/>
          </w:divBdr>
        </w:div>
        <w:div w:id="116460483">
          <w:marLeft w:val="0"/>
          <w:marRight w:val="0"/>
          <w:marTop w:val="0"/>
          <w:marBottom w:val="0"/>
          <w:divBdr>
            <w:top w:val="none" w:sz="0" w:space="0" w:color="auto"/>
            <w:left w:val="none" w:sz="0" w:space="0" w:color="auto"/>
            <w:bottom w:val="none" w:sz="0" w:space="0" w:color="auto"/>
            <w:right w:val="none" w:sz="0" w:space="0" w:color="auto"/>
          </w:divBdr>
        </w:div>
        <w:div w:id="130831584">
          <w:marLeft w:val="0"/>
          <w:marRight w:val="0"/>
          <w:marTop w:val="0"/>
          <w:marBottom w:val="0"/>
          <w:divBdr>
            <w:top w:val="none" w:sz="0" w:space="0" w:color="auto"/>
            <w:left w:val="none" w:sz="0" w:space="0" w:color="auto"/>
            <w:bottom w:val="none" w:sz="0" w:space="0" w:color="auto"/>
            <w:right w:val="none" w:sz="0" w:space="0" w:color="auto"/>
          </w:divBdr>
        </w:div>
        <w:div w:id="138495167">
          <w:marLeft w:val="0"/>
          <w:marRight w:val="0"/>
          <w:marTop w:val="0"/>
          <w:marBottom w:val="0"/>
          <w:divBdr>
            <w:top w:val="none" w:sz="0" w:space="0" w:color="auto"/>
            <w:left w:val="none" w:sz="0" w:space="0" w:color="auto"/>
            <w:bottom w:val="none" w:sz="0" w:space="0" w:color="auto"/>
            <w:right w:val="none" w:sz="0" w:space="0" w:color="auto"/>
          </w:divBdr>
        </w:div>
        <w:div w:id="329019825">
          <w:marLeft w:val="0"/>
          <w:marRight w:val="0"/>
          <w:marTop w:val="0"/>
          <w:marBottom w:val="0"/>
          <w:divBdr>
            <w:top w:val="none" w:sz="0" w:space="0" w:color="auto"/>
            <w:left w:val="none" w:sz="0" w:space="0" w:color="auto"/>
            <w:bottom w:val="none" w:sz="0" w:space="0" w:color="auto"/>
            <w:right w:val="none" w:sz="0" w:space="0" w:color="auto"/>
          </w:divBdr>
        </w:div>
        <w:div w:id="379984595">
          <w:marLeft w:val="0"/>
          <w:marRight w:val="0"/>
          <w:marTop w:val="0"/>
          <w:marBottom w:val="0"/>
          <w:divBdr>
            <w:top w:val="none" w:sz="0" w:space="0" w:color="auto"/>
            <w:left w:val="none" w:sz="0" w:space="0" w:color="auto"/>
            <w:bottom w:val="none" w:sz="0" w:space="0" w:color="auto"/>
            <w:right w:val="none" w:sz="0" w:space="0" w:color="auto"/>
          </w:divBdr>
        </w:div>
        <w:div w:id="397630000">
          <w:marLeft w:val="0"/>
          <w:marRight w:val="0"/>
          <w:marTop w:val="0"/>
          <w:marBottom w:val="0"/>
          <w:divBdr>
            <w:top w:val="none" w:sz="0" w:space="0" w:color="auto"/>
            <w:left w:val="none" w:sz="0" w:space="0" w:color="auto"/>
            <w:bottom w:val="none" w:sz="0" w:space="0" w:color="auto"/>
            <w:right w:val="none" w:sz="0" w:space="0" w:color="auto"/>
          </w:divBdr>
        </w:div>
        <w:div w:id="410739129">
          <w:marLeft w:val="0"/>
          <w:marRight w:val="0"/>
          <w:marTop w:val="0"/>
          <w:marBottom w:val="0"/>
          <w:divBdr>
            <w:top w:val="none" w:sz="0" w:space="0" w:color="auto"/>
            <w:left w:val="none" w:sz="0" w:space="0" w:color="auto"/>
            <w:bottom w:val="none" w:sz="0" w:space="0" w:color="auto"/>
            <w:right w:val="none" w:sz="0" w:space="0" w:color="auto"/>
          </w:divBdr>
        </w:div>
        <w:div w:id="467017899">
          <w:marLeft w:val="0"/>
          <w:marRight w:val="0"/>
          <w:marTop w:val="0"/>
          <w:marBottom w:val="0"/>
          <w:divBdr>
            <w:top w:val="none" w:sz="0" w:space="0" w:color="auto"/>
            <w:left w:val="none" w:sz="0" w:space="0" w:color="auto"/>
            <w:bottom w:val="none" w:sz="0" w:space="0" w:color="auto"/>
            <w:right w:val="none" w:sz="0" w:space="0" w:color="auto"/>
          </w:divBdr>
        </w:div>
        <w:div w:id="512182353">
          <w:marLeft w:val="0"/>
          <w:marRight w:val="0"/>
          <w:marTop w:val="0"/>
          <w:marBottom w:val="0"/>
          <w:divBdr>
            <w:top w:val="none" w:sz="0" w:space="0" w:color="auto"/>
            <w:left w:val="none" w:sz="0" w:space="0" w:color="auto"/>
            <w:bottom w:val="none" w:sz="0" w:space="0" w:color="auto"/>
            <w:right w:val="none" w:sz="0" w:space="0" w:color="auto"/>
          </w:divBdr>
        </w:div>
        <w:div w:id="608200927">
          <w:marLeft w:val="0"/>
          <w:marRight w:val="0"/>
          <w:marTop w:val="0"/>
          <w:marBottom w:val="0"/>
          <w:divBdr>
            <w:top w:val="none" w:sz="0" w:space="0" w:color="auto"/>
            <w:left w:val="none" w:sz="0" w:space="0" w:color="auto"/>
            <w:bottom w:val="none" w:sz="0" w:space="0" w:color="auto"/>
            <w:right w:val="none" w:sz="0" w:space="0" w:color="auto"/>
          </w:divBdr>
        </w:div>
        <w:div w:id="815493577">
          <w:marLeft w:val="0"/>
          <w:marRight w:val="0"/>
          <w:marTop w:val="0"/>
          <w:marBottom w:val="0"/>
          <w:divBdr>
            <w:top w:val="none" w:sz="0" w:space="0" w:color="auto"/>
            <w:left w:val="none" w:sz="0" w:space="0" w:color="auto"/>
            <w:bottom w:val="none" w:sz="0" w:space="0" w:color="auto"/>
            <w:right w:val="none" w:sz="0" w:space="0" w:color="auto"/>
          </w:divBdr>
        </w:div>
        <w:div w:id="874317103">
          <w:marLeft w:val="0"/>
          <w:marRight w:val="0"/>
          <w:marTop w:val="0"/>
          <w:marBottom w:val="0"/>
          <w:divBdr>
            <w:top w:val="none" w:sz="0" w:space="0" w:color="auto"/>
            <w:left w:val="none" w:sz="0" w:space="0" w:color="auto"/>
            <w:bottom w:val="none" w:sz="0" w:space="0" w:color="auto"/>
            <w:right w:val="none" w:sz="0" w:space="0" w:color="auto"/>
          </w:divBdr>
        </w:div>
        <w:div w:id="967323192">
          <w:marLeft w:val="0"/>
          <w:marRight w:val="0"/>
          <w:marTop w:val="0"/>
          <w:marBottom w:val="0"/>
          <w:divBdr>
            <w:top w:val="none" w:sz="0" w:space="0" w:color="auto"/>
            <w:left w:val="none" w:sz="0" w:space="0" w:color="auto"/>
            <w:bottom w:val="none" w:sz="0" w:space="0" w:color="auto"/>
            <w:right w:val="none" w:sz="0" w:space="0" w:color="auto"/>
          </w:divBdr>
        </w:div>
        <w:div w:id="1238323333">
          <w:marLeft w:val="0"/>
          <w:marRight w:val="0"/>
          <w:marTop w:val="0"/>
          <w:marBottom w:val="0"/>
          <w:divBdr>
            <w:top w:val="none" w:sz="0" w:space="0" w:color="auto"/>
            <w:left w:val="none" w:sz="0" w:space="0" w:color="auto"/>
            <w:bottom w:val="none" w:sz="0" w:space="0" w:color="auto"/>
            <w:right w:val="none" w:sz="0" w:space="0" w:color="auto"/>
          </w:divBdr>
        </w:div>
        <w:div w:id="1261597318">
          <w:marLeft w:val="0"/>
          <w:marRight w:val="0"/>
          <w:marTop w:val="0"/>
          <w:marBottom w:val="0"/>
          <w:divBdr>
            <w:top w:val="none" w:sz="0" w:space="0" w:color="auto"/>
            <w:left w:val="none" w:sz="0" w:space="0" w:color="auto"/>
            <w:bottom w:val="none" w:sz="0" w:space="0" w:color="auto"/>
            <w:right w:val="none" w:sz="0" w:space="0" w:color="auto"/>
          </w:divBdr>
        </w:div>
        <w:div w:id="1338924009">
          <w:marLeft w:val="0"/>
          <w:marRight w:val="0"/>
          <w:marTop w:val="0"/>
          <w:marBottom w:val="0"/>
          <w:divBdr>
            <w:top w:val="none" w:sz="0" w:space="0" w:color="auto"/>
            <w:left w:val="none" w:sz="0" w:space="0" w:color="auto"/>
            <w:bottom w:val="none" w:sz="0" w:space="0" w:color="auto"/>
            <w:right w:val="none" w:sz="0" w:space="0" w:color="auto"/>
          </w:divBdr>
        </w:div>
        <w:div w:id="1471827691">
          <w:marLeft w:val="0"/>
          <w:marRight w:val="0"/>
          <w:marTop w:val="0"/>
          <w:marBottom w:val="0"/>
          <w:divBdr>
            <w:top w:val="none" w:sz="0" w:space="0" w:color="auto"/>
            <w:left w:val="none" w:sz="0" w:space="0" w:color="auto"/>
            <w:bottom w:val="none" w:sz="0" w:space="0" w:color="auto"/>
            <w:right w:val="none" w:sz="0" w:space="0" w:color="auto"/>
          </w:divBdr>
        </w:div>
        <w:div w:id="1504473593">
          <w:marLeft w:val="0"/>
          <w:marRight w:val="0"/>
          <w:marTop w:val="0"/>
          <w:marBottom w:val="0"/>
          <w:divBdr>
            <w:top w:val="none" w:sz="0" w:space="0" w:color="auto"/>
            <w:left w:val="none" w:sz="0" w:space="0" w:color="auto"/>
            <w:bottom w:val="none" w:sz="0" w:space="0" w:color="auto"/>
            <w:right w:val="none" w:sz="0" w:space="0" w:color="auto"/>
          </w:divBdr>
        </w:div>
        <w:div w:id="1565407750">
          <w:marLeft w:val="0"/>
          <w:marRight w:val="0"/>
          <w:marTop w:val="0"/>
          <w:marBottom w:val="0"/>
          <w:divBdr>
            <w:top w:val="none" w:sz="0" w:space="0" w:color="auto"/>
            <w:left w:val="none" w:sz="0" w:space="0" w:color="auto"/>
            <w:bottom w:val="none" w:sz="0" w:space="0" w:color="auto"/>
            <w:right w:val="none" w:sz="0" w:space="0" w:color="auto"/>
          </w:divBdr>
        </w:div>
        <w:div w:id="1594583207">
          <w:marLeft w:val="0"/>
          <w:marRight w:val="0"/>
          <w:marTop w:val="0"/>
          <w:marBottom w:val="0"/>
          <w:divBdr>
            <w:top w:val="none" w:sz="0" w:space="0" w:color="auto"/>
            <w:left w:val="none" w:sz="0" w:space="0" w:color="auto"/>
            <w:bottom w:val="none" w:sz="0" w:space="0" w:color="auto"/>
            <w:right w:val="none" w:sz="0" w:space="0" w:color="auto"/>
          </w:divBdr>
        </w:div>
        <w:div w:id="1864711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abs.gov.au/about/data-services/data-integration/integrated-data/person-level-integrated-data-asset-plida" TargetMode="External"/><Relationship Id="rId26" Type="http://schemas.openxmlformats.org/officeDocument/2006/relationships/hyperlink" Target="https://www.jobsandskills.gov.au/data/occupation-shortages-analysis/occupation-shortage-list" TargetMode="External"/><Relationship Id="rId39" Type="http://schemas.openxmlformats.org/officeDocument/2006/relationships/footer" Target="footer4.xml"/><Relationship Id="rId21" Type="http://schemas.openxmlformats.org/officeDocument/2006/relationships/hyperlink" Target="https://www.abs.gov.au/about/data-services/data-integration/integrated-data/person-level-integrated-data-asset-plida" TargetMode="External"/><Relationship Id="rId34" Type="http://schemas.openxmlformats.org/officeDocument/2006/relationships/hyperlink" Target="https://www.abs.gov.au/media-centre/media-statements/abs-statement-2021-census-non-binary-sex-cou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s.gov.au/census/about-census" TargetMode="External"/><Relationship Id="rId20" Type="http://schemas.openxmlformats.org/officeDocument/2006/relationships/hyperlink" Target="https://www.jobsandskills.gov.au/consultations/gender-economic-equality-study-consultation" TargetMode="External"/><Relationship Id="rId29" Type="http://schemas.openxmlformats.org/officeDocument/2006/relationships/chart" Target="charts/chart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www.abs.gov.au/statistics/classifications/standard-australian-classification-countries-sacc/latest-release" TargetMode="External"/><Relationship Id="rId32" Type="http://schemas.openxmlformats.org/officeDocument/2006/relationships/hyperlink" Target="https://www.abs.gov.au/statistics/standards/standard-sex-gender-variations-sex-characteristics-and-sexual-orientation-variables/latest-release" TargetMode="External"/><Relationship Id="rId37" Type="http://schemas.openxmlformats.org/officeDocument/2006/relationships/hyperlink" Target="https://www12.statcan.gc.ca/census-recensement/2021/dp-pd/prof/index.cfm?Lan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bs.gov.au/statistics/classifications/standard-australian-classification-countries-sacc/latest-release" TargetMode="External"/><Relationship Id="rId28" Type="http://schemas.openxmlformats.org/officeDocument/2006/relationships/chart" Target="charts/chart1.xml"/><Relationship Id="rId36" Type="http://schemas.openxmlformats.org/officeDocument/2006/relationships/hyperlink" Target="https://fecca.org.au/updates/if-we-dont-count-it-it-doesnt-count-2/" TargetMode="External"/><Relationship Id="rId10" Type="http://schemas.openxmlformats.org/officeDocument/2006/relationships/header" Target="header1.xml"/><Relationship Id="rId19" Type="http://schemas.openxmlformats.org/officeDocument/2006/relationships/hyperlink" Target="https://www.abs.gov.au/participate-survey/household-survey/general-social-survey" TargetMode="External"/><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s://www.abs.gov.au/statistics/standards/standards-statistics-cultural-and-language-diversity/latest-release" TargetMode="External"/><Relationship Id="rId27" Type="http://schemas.openxmlformats.org/officeDocument/2006/relationships/hyperlink" Target="https://www.jobsandskills.gov.au/data/occupation-shortages-analysis/" TargetMode="External"/><Relationship Id="rId30" Type="http://schemas.openxmlformats.org/officeDocument/2006/relationships/hyperlink" Target="https://www.wgea.gov.au/the-gender-pay-gap" TargetMode="External"/><Relationship Id="rId35" Type="http://schemas.openxmlformats.org/officeDocument/2006/relationships/hyperlink" Target="https://www.pid-awei.com.au/content/uploads/2023/03/Practice-Points-2022-Edition-7-LGBTQ-Women-those-perceived-as-women.pdf"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abs.gov.au/about/data-services/data-integration/integrated-data/australian-census-longitudinal-dataset-acld" TargetMode="External"/><Relationship Id="rId25" Type="http://schemas.openxmlformats.org/officeDocument/2006/relationships/hyperlink" Target="https://www.abs.gov.au/statistics/classifications/standard-australian-classification-countries-sacc/latest-release" TargetMode="External"/><Relationship Id="rId33" Type="http://schemas.openxmlformats.org/officeDocument/2006/relationships/hyperlink" Target="https://www.abs.gov.au/media-centre/media-releases/abs-releases-first-ever-estimates-lgbti-australians" TargetMode="External"/><Relationship Id="rId38" Type="http://schemas.openxmlformats.org/officeDocument/2006/relationships/hyperlink" Target="https://www.stats.govt.nz/corporate/annual-report-of-statistics-new-zealand-for-the-year-ended-30-june-201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15 - 24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Female workforce</c:v>
                </c:pt>
                <c:pt idx="1">
                  <c:v>Male workforce</c:v>
                </c:pt>
                <c:pt idx="2">
                  <c:v>Total workforce</c:v>
                </c:pt>
              </c:strCache>
            </c:strRef>
          </c:cat>
          <c:val>
            <c:numRef>
              <c:f>Sheet1!$B$2:$B$4</c:f>
              <c:numCache>
                <c:formatCode>0%</c:formatCode>
                <c:ptCount val="3"/>
                <c:pt idx="0">
                  <c:v>0.19</c:v>
                </c:pt>
                <c:pt idx="1">
                  <c:v>0.16</c:v>
                </c:pt>
                <c:pt idx="2">
                  <c:v>0.17</c:v>
                </c:pt>
              </c:numCache>
            </c:numRef>
          </c:val>
          <c:extLst>
            <c:ext xmlns:c16="http://schemas.microsoft.com/office/drawing/2014/chart" uri="{C3380CC4-5D6E-409C-BE32-E72D297353CC}">
              <c16:uniqueId val="{00000000-066D-413A-AF4B-B4D21C9C2CDA}"/>
            </c:ext>
          </c:extLst>
        </c:ser>
        <c:ser>
          <c:idx val="1"/>
          <c:order val="1"/>
          <c:tx>
            <c:strRef>
              <c:f>Sheet1!$C$1</c:f>
              <c:strCache>
                <c:ptCount val="1"/>
                <c:pt idx="0">
                  <c:v>25 - 39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Female workforce</c:v>
                </c:pt>
                <c:pt idx="1">
                  <c:v>Male workforce</c:v>
                </c:pt>
                <c:pt idx="2">
                  <c:v>Total workforce</c:v>
                </c:pt>
              </c:strCache>
            </c:strRef>
          </c:cat>
          <c:val>
            <c:numRef>
              <c:f>Sheet1!$C$2:$C$4</c:f>
              <c:numCache>
                <c:formatCode>0%</c:formatCode>
                <c:ptCount val="3"/>
                <c:pt idx="0">
                  <c:v>0.34</c:v>
                </c:pt>
                <c:pt idx="1">
                  <c:v>0.34</c:v>
                </c:pt>
                <c:pt idx="2">
                  <c:v>0.34</c:v>
                </c:pt>
              </c:numCache>
            </c:numRef>
          </c:val>
          <c:extLst>
            <c:ext xmlns:c16="http://schemas.microsoft.com/office/drawing/2014/chart" uri="{C3380CC4-5D6E-409C-BE32-E72D297353CC}">
              <c16:uniqueId val="{00000001-066D-413A-AF4B-B4D21C9C2CDA}"/>
            </c:ext>
          </c:extLst>
        </c:ser>
        <c:ser>
          <c:idx val="2"/>
          <c:order val="2"/>
          <c:tx>
            <c:strRef>
              <c:f>Sheet1!$D$1</c:f>
              <c:strCache>
                <c:ptCount val="1"/>
                <c:pt idx="0">
                  <c:v>40 - 54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Female workforce</c:v>
                </c:pt>
                <c:pt idx="1">
                  <c:v>Male workforce</c:v>
                </c:pt>
                <c:pt idx="2">
                  <c:v>Total workforce</c:v>
                </c:pt>
              </c:strCache>
            </c:strRef>
          </c:cat>
          <c:val>
            <c:numRef>
              <c:f>Sheet1!$D$2:$D$4</c:f>
              <c:numCache>
                <c:formatCode>0%</c:formatCode>
                <c:ptCount val="3"/>
                <c:pt idx="0">
                  <c:v>0.34</c:v>
                </c:pt>
                <c:pt idx="1">
                  <c:v>0.34</c:v>
                </c:pt>
                <c:pt idx="2">
                  <c:v>0.34</c:v>
                </c:pt>
              </c:numCache>
            </c:numRef>
          </c:val>
          <c:extLst>
            <c:ext xmlns:c16="http://schemas.microsoft.com/office/drawing/2014/chart" uri="{C3380CC4-5D6E-409C-BE32-E72D297353CC}">
              <c16:uniqueId val="{00000002-066D-413A-AF4B-B4D21C9C2CDA}"/>
            </c:ext>
          </c:extLst>
        </c:ser>
        <c:ser>
          <c:idx val="3"/>
          <c:order val="3"/>
          <c:tx>
            <c:strRef>
              <c:f>Sheet1!$E$1</c:f>
              <c:strCache>
                <c:ptCount val="1"/>
                <c:pt idx="0">
                  <c:v>55+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Female workforce</c:v>
                </c:pt>
                <c:pt idx="1">
                  <c:v>Male workforce</c:v>
                </c:pt>
                <c:pt idx="2">
                  <c:v>Total workforce</c:v>
                </c:pt>
              </c:strCache>
            </c:strRef>
          </c:cat>
          <c:val>
            <c:numRef>
              <c:f>Sheet1!$E$2:$E$4</c:f>
              <c:numCache>
                <c:formatCode>0%</c:formatCode>
                <c:ptCount val="3"/>
                <c:pt idx="0">
                  <c:v>0.14000000000000001</c:v>
                </c:pt>
                <c:pt idx="1">
                  <c:v>0.17</c:v>
                </c:pt>
                <c:pt idx="2">
                  <c:v>0.15</c:v>
                </c:pt>
              </c:numCache>
            </c:numRef>
          </c:val>
          <c:extLst>
            <c:ext xmlns:c16="http://schemas.microsoft.com/office/drawing/2014/chart" uri="{C3380CC4-5D6E-409C-BE32-E72D297353CC}">
              <c16:uniqueId val="{00000003-066D-413A-AF4B-B4D21C9C2CDA}"/>
            </c:ext>
          </c:extLst>
        </c:ser>
        <c:dLbls>
          <c:dLblPos val="ctr"/>
          <c:showLegendKey val="0"/>
          <c:showVal val="1"/>
          <c:showCatName val="0"/>
          <c:showSerName val="0"/>
          <c:showPercent val="0"/>
          <c:showBubbleSize val="0"/>
        </c:dLbls>
        <c:gapWidth val="150"/>
        <c:overlap val="100"/>
        <c:axId val="197842831"/>
        <c:axId val="197843311"/>
      </c:barChart>
      <c:catAx>
        <c:axId val="197842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43311"/>
        <c:crosses val="autoZero"/>
        <c:auto val="1"/>
        <c:lblAlgn val="ctr"/>
        <c:lblOffset val="100"/>
        <c:noMultiLvlLbl val="0"/>
      </c:catAx>
      <c:valAx>
        <c:axId val="1978433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8428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Sheet1!$A$8</c:f>
              <c:strCache>
                <c:ptCount val="1"/>
                <c:pt idx="0">
                  <c:v>15 - 24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Sheet1!$B$7:$D$7</c:f>
              <c:strCache>
                <c:ptCount val="3"/>
                <c:pt idx="0">
                  <c:v>Female workforce</c:v>
                </c:pt>
                <c:pt idx="1">
                  <c:v>Male workforce</c:v>
                </c:pt>
                <c:pt idx="2">
                  <c:v>Total workforce</c:v>
                </c:pt>
              </c:strCache>
            </c:strRef>
          </c:cat>
          <c:val>
            <c:numRef>
              <c:f>Sheet1!$B$8:$D$8</c:f>
              <c:numCache>
                <c:formatCode>0%</c:formatCode>
                <c:ptCount val="3"/>
                <c:pt idx="0">
                  <c:v>0.14930839815047134</c:v>
                </c:pt>
                <c:pt idx="1">
                  <c:v>0.13981821557017127</c:v>
                </c:pt>
                <c:pt idx="2">
                  <c:v>0.14448626867434725</c:v>
                </c:pt>
              </c:numCache>
            </c:numRef>
          </c:val>
          <c:extLst>
            <c:ext xmlns:c16="http://schemas.microsoft.com/office/drawing/2014/chart" uri="{C3380CC4-5D6E-409C-BE32-E72D297353CC}">
              <c16:uniqueId val="{00000000-0540-4C68-92EF-F48FC9C54890}"/>
            </c:ext>
          </c:extLst>
        </c:ser>
        <c:ser>
          <c:idx val="1"/>
          <c:order val="1"/>
          <c:tx>
            <c:strRef>
              <c:f>Sheet1!$A$9</c:f>
              <c:strCache>
                <c:ptCount val="1"/>
                <c:pt idx="0">
                  <c:v>25 - 39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Sheet1!$B$7:$D$7</c:f>
              <c:strCache>
                <c:ptCount val="3"/>
                <c:pt idx="0">
                  <c:v>Female workforce</c:v>
                </c:pt>
                <c:pt idx="1">
                  <c:v>Male workforce</c:v>
                </c:pt>
                <c:pt idx="2">
                  <c:v>Total workforce</c:v>
                </c:pt>
              </c:strCache>
            </c:strRef>
          </c:cat>
          <c:val>
            <c:numRef>
              <c:f>Sheet1!$B$9:$D$9</c:f>
              <c:numCache>
                <c:formatCode>0%</c:formatCode>
                <c:ptCount val="3"/>
                <c:pt idx="0">
                  <c:v>0.34446754363955695</c:v>
                </c:pt>
                <c:pt idx="1">
                  <c:v>0.34535693280846363</c:v>
                </c:pt>
                <c:pt idx="2">
                  <c:v>0.34491945799324208</c:v>
                </c:pt>
              </c:numCache>
            </c:numRef>
          </c:val>
          <c:extLst>
            <c:ext xmlns:c16="http://schemas.microsoft.com/office/drawing/2014/chart" uri="{C3380CC4-5D6E-409C-BE32-E72D297353CC}">
              <c16:uniqueId val="{00000001-0540-4C68-92EF-F48FC9C54890}"/>
            </c:ext>
          </c:extLst>
        </c:ser>
        <c:ser>
          <c:idx val="2"/>
          <c:order val="2"/>
          <c:tx>
            <c:strRef>
              <c:f>Sheet1!$A$10</c:f>
              <c:strCache>
                <c:ptCount val="1"/>
                <c:pt idx="0">
                  <c:v>40 - 54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Sheet1!$B$7:$D$7</c:f>
              <c:strCache>
                <c:ptCount val="3"/>
                <c:pt idx="0">
                  <c:v>Female workforce</c:v>
                </c:pt>
                <c:pt idx="1">
                  <c:v>Male workforce</c:v>
                </c:pt>
                <c:pt idx="2">
                  <c:v>Total workforce</c:v>
                </c:pt>
              </c:strCache>
            </c:strRef>
          </c:cat>
          <c:val>
            <c:numRef>
              <c:f>Sheet1!$B$10:$D$10</c:f>
              <c:numCache>
                <c:formatCode>0%</c:formatCode>
                <c:ptCount val="3"/>
                <c:pt idx="0">
                  <c:v>0.31389942291838419</c:v>
                </c:pt>
                <c:pt idx="1">
                  <c:v>0.30504530731422957</c:v>
                </c:pt>
                <c:pt idx="2">
                  <c:v>0.30940049031318512</c:v>
                </c:pt>
              </c:numCache>
            </c:numRef>
          </c:val>
          <c:extLst>
            <c:ext xmlns:c16="http://schemas.microsoft.com/office/drawing/2014/chart" uri="{C3380CC4-5D6E-409C-BE32-E72D297353CC}">
              <c16:uniqueId val="{00000002-0540-4C68-92EF-F48FC9C54890}"/>
            </c:ext>
          </c:extLst>
        </c:ser>
        <c:ser>
          <c:idx val="3"/>
          <c:order val="3"/>
          <c:tx>
            <c:strRef>
              <c:f>Sheet1!$A$11</c:f>
              <c:strCache>
                <c:ptCount val="1"/>
                <c:pt idx="0">
                  <c:v>55+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Sheet1!$B$7:$D$7</c:f>
              <c:strCache>
                <c:ptCount val="3"/>
                <c:pt idx="0">
                  <c:v>Female workforce</c:v>
                </c:pt>
                <c:pt idx="1">
                  <c:v>Male workforce</c:v>
                </c:pt>
                <c:pt idx="2">
                  <c:v>Total workforce</c:v>
                </c:pt>
              </c:strCache>
            </c:strRef>
          </c:cat>
          <c:val>
            <c:numRef>
              <c:f>Sheet1!$B$11:$D$11</c:f>
              <c:numCache>
                <c:formatCode>0%</c:formatCode>
                <c:ptCount val="3"/>
                <c:pt idx="0">
                  <c:v>0.19232463529158753</c:v>
                </c:pt>
                <c:pt idx="1">
                  <c:v>0.20977954430713552</c:v>
                </c:pt>
                <c:pt idx="2">
                  <c:v>0.20119378301922552</c:v>
                </c:pt>
              </c:numCache>
            </c:numRef>
          </c:val>
          <c:extLst>
            <c:ext xmlns:c16="http://schemas.microsoft.com/office/drawing/2014/chart" uri="{C3380CC4-5D6E-409C-BE32-E72D297353CC}">
              <c16:uniqueId val="{00000003-0540-4C68-92EF-F48FC9C54890}"/>
            </c:ext>
          </c:extLst>
        </c:ser>
        <c:dLbls>
          <c:dLblPos val="ctr"/>
          <c:showLegendKey val="0"/>
          <c:showVal val="1"/>
          <c:showCatName val="0"/>
          <c:showSerName val="0"/>
          <c:showPercent val="0"/>
          <c:showBubbleSize val="0"/>
        </c:dLbls>
        <c:gapWidth val="150"/>
        <c:overlap val="100"/>
        <c:axId val="1150858655"/>
        <c:axId val="1150857695"/>
      </c:barChart>
      <c:catAx>
        <c:axId val="1150858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857695"/>
        <c:crosses val="autoZero"/>
        <c:auto val="1"/>
        <c:lblAlgn val="ctr"/>
        <c:lblOffset val="100"/>
        <c:noMultiLvlLbl val="0"/>
      </c:catAx>
      <c:valAx>
        <c:axId val="115085769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85865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Occupations where males and females work similar hours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2012</c:v>
                </c:pt>
                <c:pt idx="1">
                  <c:v>2014</c:v>
                </c:pt>
                <c:pt idx="2">
                  <c:v>2016</c:v>
                </c:pt>
                <c:pt idx="3">
                  <c:v>2018</c:v>
                </c:pt>
                <c:pt idx="4">
                  <c:v>2021</c:v>
                </c:pt>
                <c:pt idx="5">
                  <c:v>2023</c:v>
                </c:pt>
              </c:numCache>
            </c:numRef>
          </c:cat>
          <c:val>
            <c:numRef>
              <c:f>Sheet1!$B$2:$B$7</c:f>
              <c:numCache>
                <c:formatCode>0%</c:formatCode>
                <c:ptCount val="6"/>
                <c:pt idx="0">
                  <c:v>0.61</c:v>
                </c:pt>
                <c:pt idx="1">
                  <c:v>0.59</c:v>
                </c:pt>
                <c:pt idx="2">
                  <c:v>0.73</c:v>
                </c:pt>
                <c:pt idx="3">
                  <c:v>0.65</c:v>
                </c:pt>
                <c:pt idx="4">
                  <c:v>0.69</c:v>
                </c:pt>
                <c:pt idx="5">
                  <c:v>0.66</c:v>
                </c:pt>
              </c:numCache>
            </c:numRef>
          </c:val>
          <c:smooth val="0"/>
          <c:extLst>
            <c:ext xmlns:c16="http://schemas.microsoft.com/office/drawing/2014/chart" uri="{C3380CC4-5D6E-409C-BE32-E72D297353CC}">
              <c16:uniqueId val="{00000000-3BB4-4708-88FE-26FF1C69CED0}"/>
            </c:ext>
          </c:extLst>
        </c:ser>
        <c:ser>
          <c:idx val="1"/>
          <c:order val="1"/>
          <c:tx>
            <c:strRef>
              <c:f>Sheet1!$C$1</c:f>
              <c:strCache>
                <c:ptCount val="1"/>
                <c:pt idx="0">
                  <c:v>Occupations with less than half a day's difference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2012</c:v>
                </c:pt>
                <c:pt idx="1">
                  <c:v>2014</c:v>
                </c:pt>
                <c:pt idx="2">
                  <c:v>2016</c:v>
                </c:pt>
                <c:pt idx="3">
                  <c:v>2018</c:v>
                </c:pt>
                <c:pt idx="4">
                  <c:v>2021</c:v>
                </c:pt>
                <c:pt idx="5">
                  <c:v>2023</c:v>
                </c:pt>
              </c:numCache>
            </c:numRef>
          </c:cat>
          <c:val>
            <c:numRef>
              <c:f>Sheet1!$C$2:$C$7</c:f>
              <c:numCache>
                <c:formatCode>0%</c:formatCode>
                <c:ptCount val="6"/>
                <c:pt idx="0">
                  <c:v>0.02</c:v>
                </c:pt>
                <c:pt idx="1">
                  <c:v>7.0000000000000007E-2</c:v>
                </c:pt>
                <c:pt idx="2">
                  <c:v>0.08</c:v>
                </c:pt>
                <c:pt idx="3">
                  <c:v>0.1</c:v>
                </c:pt>
                <c:pt idx="4">
                  <c:v>0.06</c:v>
                </c:pt>
                <c:pt idx="5">
                  <c:v>0.08</c:v>
                </c:pt>
              </c:numCache>
            </c:numRef>
          </c:val>
          <c:smooth val="0"/>
          <c:extLst>
            <c:ext xmlns:c16="http://schemas.microsoft.com/office/drawing/2014/chart" uri="{C3380CC4-5D6E-409C-BE32-E72D297353CC}">
              <c16:uniqueId val="{00000001-3BB4-4708-88FE-26FF1C69CED0}"/>
            </c:ext>
          </c:extLst>
        </c:ser>
        <c:ser>
          <c:idx val="2"/>
          <c:order val="2"/>
          <c:tx>
            <c:strRef>
              <c:f>Sheet1!$H$4</c:f>
              <c:strCache>
                <c:ptCount val="1"/>
                <c:pt idx="0">
                  <c:v>Occupations with over half a day's difference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2012</c:v>
                </c:pt>
                <c:pt idx="1">
                  <c:v>2014</c:v>
                </c:pt>
                <c:pt idx="2">
                  <c:v>2016</c:v>
                </c:pt>
                <c:pt idx="3">
                  <c:v>2018</c:v>
                </c:pt>
                <c:pt idx="4">
                  <c:v>2021</c:v>
                </c:pt>
                <c:pt idx="5">
                  <c:v>2023</c:v>
                </c:pt>
              </c:numCache>
            </c:numRef>
          </c:cat>
          <c:val>
            <c:numRef>
              <c:f>Sheet1!$D$2:$D$7</c:f>
              <c:numCache>
                <c:formatCode>0%</c:formatCode>
                <c:ptCount val="6"/>
                <c:pt idx="0">
                  <c:v>0.37</c:v>
                </c:pt>
                <c:pt idx="1">
                  <c:v>0.34</c:v>
                </c:pt>
                <c:pt idx="2">
                  <c:v>0.2</c:v>
                </c:pt>
                <c:pt idx="3">
                  <c:v>0.25</c:v>
                </c:pt>
                <c:pt idx="4">
                  <c:v>0.25</c:v>
                </c:pt>
                <c:pt idx="5">
                  <c:v>0.25</c:v>
                </c:pt>
              </c:numCache>
            </c:numRef>
          </c:val>
          <c:smooth val="0"/>
          <c:extLst>
            <c:ext xmlns:c16="http://schemas.microsoft.com/office/drawing/2014/chart" uri="{C3380CC4-5D6E-409C-BE32-E72D297353CC}">
              <c16:uniqueId val="{00000002-3BB4-4708-88FE-26FF1C69CED0}"/>
            </c:ext>
          </c:extLst>
        </c:ser>
        <c:dLbls>
          <c:dLblPos val="t"/>
          <c:showLegendKey val="0"/>
          <c:showVal val="1"/>
          <c:showCatName val="0"/>
          <c:showSerName val="0"/>
          <c:showPercent val="0"/>
          <c:showBubbleSize val="0"/>
        </c:dLbls>
        <c:marker val="1"/>
        <c:smooth val="0"/>
        <c:axId val="1614583999"/>
        <c:axId val="1614591679"/>
      </c:lineChart>
      <c:catAx>
        <c:axId val="1614583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591679"/>
        <c:crosses val="autoZero"/>
        <c:auto val="1"/>
        <c:lblAlgn val="ctr"/>
        <c:lblOffset val="100"/>
        <c:noMultiLvlLbl val="0"/>
      </c:catAx>
      <c:valAx>
        <c:axId val="16145916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583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7552</Words>
  <Characters>43049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50501</CharactersWithSpaces>
  <SharedDoc>false</SharedDoc>
  <HLinks>
    <vt:vector size="324" baseType="variant">
      <vt:variant>
        <vt:i4>5373957</vt:i4>
      </vt:variant>
      <vt:variant>
        <vt:i4>261</vt:i4>
      </vt:variant>
      <vt:variant>
        <vt:i4>0</vt:i4>
      </vt:variant>
      <vt:variant>
        <vt:i4>5</vt:i4>
      </vt:variant>
      <vt:variant>
        <vt:lpwstr>https://www.stats.govt.nz/corporate/annual-report-of-statistics-new-zealand-for-the-year-ended-30-june-2015/</vt:lpwstr>
      </vt:variant>
      <vt:variant>
        <vt:lpwstr/>
      </vt:variant>
      <vt:variant>
        <vt:i4>2555945</vt:i4>
      </vt:variant>
      <vt:variant>
        <vt:i4>258</vt:i4>
      </vt:variant>
      <vt:variant>
        <vt:i4>0</vt:i4>
      </vt:variant>
      <vt:variant>
        <vt:i4>5</vt:i4>
      </vt:variant>
      <vt:variant>
        <vt:lpwstr>https://www12.statcan.gc.ca/census-recensement/2021/dp-pd/prof/index.cfm?Lang=E</vt:lpwstr>
      </vt:variant>
      <vt:variant>
        <vt:lpwstr/>
      </vt:variant>
      <vt:variant>
        <vt:i4>2359330</vt:i4>
      </vt:variant>
      <vt:variant>
        <vt:i4>255</vt:i4>
      </vt:variant>
      <vt:variant>
        <vt:i4>0</vt:i4>
      </vt:variant>
      <vt:variant>
        <vt:i4>5</vt:i4>
      </vt:variant>
      <vt:variant>
        <vt:lpwstr>https://fecca.org.au/updates/if-we-dont-count-it-it-doesnt-count-2/</vt:lpwstr>
      </vt:variant>
      <vt:variant>
        <vt:lpwstr/>
      </vt:variant>
      <vt:variant>
        <vt:i4>3080245</vt:i4>
      </vt:variant>
      <vt:variant>
        <vt:i4>252</vt:i4>
      </vt:variant>
      <vt:variant>
        <vt:i4>0</vt:i4>
      </vt:variant>
      <vt:variant>
        <vt:i4>5</vt:i4>
      </vt:variant>
      <vt:variant>
        <vt:lpwstr>https://www.pid-awei.com.au/content/uploads/2023/03/Practice-Points-2022-Edition-7-LGBTQ-Women-those-perceived-as-women.pdf</vt:lpwstr>
      </vt:variant>
      <vt:variant>
        <vt:lpwstr/>
      </vt:variant>
      <vt:variant>
        <vt:i4>8323170</vt:i4>
      </vt:variant>
      <vt:variant>
        <vt:i4>249</vt:i4>
      </vt:variant>
      <vt:variant>
        <vt:i4>0</vt:i4>
      </vt:variant>
      <vt:variant>
        <vt:i4>5</vt:i4>
      </vt:variant>
      <vt:variant>
        <vt:lpwstr>https://www.abs.gov.au/media-centre/media-statements/abs-statement-2021-census-non-binary-sex-count</vt:lpwstr>
      </vt:variant>
      <vt:variant>
        <vt:lpwstr/>
      </vt:variant>
      <vt:variant>
        <vt:i4>3997805</vt:i4>
      </vt:variant>
      <vt:variant>
        <vt:i4>246</vt:i4>
      </vt:variant>
      <vt:variant>
        <vt:i4>0</vt:i4>
      </vt:variant>
      <vt:variant>
        <vt:i4>5</vt:i4>
      </vt:variant>
      <vt:variant>
        <vt:lpwstr>https://www.abs.gov.au/media-centre/media-releases/abs-releases-first-ever-estimates-lgbti-australians</vt:lpwstr>
      </vt:variant>
      <vt:variant>
        <vt:lpwstr/>
      </vt:variant>
      <vt:variant>
        <vt:i4>2883639</vt:i4>
      </vt:variant>
      <vt:variant>
        <vt:i4>243</vt:i4>
      </vt:variant>
      <vt:variant>
        <vt:i4>0</vt:i4>
      </vt:variant>
      <vt:variant>
        <vt:i4>5</vt:i4>
      </vt:variant>
      <vt:variant>
        <vt:lpwstr>https://www.abs.gov.au/statistics/standards/standard-sex-gender-variations-sex-characteristics-and-sexual-orientation-variables/latest-release</vt:lpwstr>
      </vt:variant>
      <vt:variant>
        <vt:lpwstr/>
      </vt:variant>
      <vt:variant>
        <vt:i4>4456533</vt:i4>
      </vt:variant>
      <vt:variant>
        <vt:i4>240</vt:i4>
      </vt:variant>
      <vt:variant>
        <vt:i4>0</vt:i4>
      </vt:variant>
      <vt:variant>
        <vt:i4>5</vt:i4>
      </vt:variant>
      <vt:variant>
        <vt:lpwstr>https://www.wgea.gov.au/sites/default/files/documents/Private_Sector_Employer_Gender_Pay_Gap_Technical_Guide_2024.pdf</vt:lpwstr>
      </vt:variant>
      <vt:variant>
        <vt:lpwstr/>
      </vt:variant>
      <vt:variant>
        <vt:i4>3735605</vt:i4>
      </vt:variant>
      <vt:variant>
        <vt:i4>237</vt:i4>
      </vt:variant>
      <vt:variant>
        <vt:i4>0</vt:i4>
      </vt:variant>
      <vt:variant>
        <vt:i4>5</vt:i4>
      </vt:variant>
      <vt:variant>
        <vt:lpwstr>https://www.wgea.gov.au/the-gender-pay-gap</vt:lpwstr>
      </vt:variant>
      <vt:variant>
        <vt:lpwstr/>
      </vt:variant>
      <vt:variant>
        <vt:i4>5898269</vt:i4>
      </vt:variant>
      <vt:variant>
        <vt:i4>234</vt:i4>
      </vt:variant>
      <vt:variant>
        <vt:i4>0</vt:i4>
      </vt:variant>
      <vt:variant>
        <vt:i4>5</vt:i4>
      </vt:variant>
      <vt:variant>
        <vt:lpwstr>https://www.jobsandskills.gov.au/data/occupation-shortages-analysis/</vt:lpwstr>
      </vt:variant>
      <vt:variant>
        <vt:lpwstr/>
      </vt:variant>
      <vt:variant>
        <vt:i4>1376342</vt:i4>
      </vt:variant>
      <vt:variant>
        <vt:i4>231</vt:i4>
      </vt:variant>
      <vt:variant>
        <vt:i4>0</vt:i4>
      </vt:variant>
      <vt:variant>
        <vt:i4>5</vt:i4>
      </vt:variant>
      <vt:variant>
        <vt:lpwstr>https://www.jobsandskills.gov.au/data/occupation-shortages-analysis/occupation-shortage-list</vt:lpwstr>
      </vt:variant>
      <vt:variant>
        <vt:lpwstr/>
      </vt:variant>
      <vt:variant>
        <vt:i4>3014776</vt:i4>
      </vt:variant>
      <vt:variant>
        <vt:i4>228</vt:i4>
      </vt:variant>
      <vt:variant>
        <vt:i4>0</vt:i4>
      </vt:variant>
      <vt:variant>
        <vt:i4>5</vt:i4>
      </vt:variant>
      <vt:variant>
        <vt:lpwstr>https://www.abs.gov.au/statistics/classifications/standard-australian-classification-countries-sacc/latest-release</vt:lpwstr>
      </vt:variant>
      <vt:variant>
        <vt:lpwstr/>
      </vt:variant>
      <vt:variant>
        <vt:i4>3014776</vt:i4>
      </vt:variant>
      <vt:variant>
        <vt:i4>225</vt:i4>
      </vt:variant>
      <vt:variant>
        <vt:i4>0</vt:i4>
      </vt:variant>
      <vt:variant>
        <vt:i4>5</vt:i4>
      </vt:variant>
      <vt:variant>
        <vt:lpwstr>https://www.abs.gov.au/statistics/classifications/standard-australian-classification-countries-sacc/latest-release</vt:lpwstr>
      </vt:variant>
      <vt:variant>
        <vt:lpwstr/>
      </vt:variant>
      <vt:variant>
        <vt:i4>3014776</vt:i4>
      </vt:variant>
      <vt:variant>
        <vt:i4>222</vt:i4>
      </vt:variant>
      <vt:variant>
        <vt:i4>0</vt:i4>
      </vt:variant>
      <vt:variant>
        <vt:i4>5</vt:i4>
      </vt:variant>
      <vt:variant>
        <vt:lpwstr>https://www.abs.gov.au/statistics/classifications/standard-australian-classification-countries-sacc/latest-release</vt:lpwstr>
      </vt:variant>
      <vt:variant>
        <vt:lpwstr/>
      </vt:variant>
      <vt:variant>
        <vt:i4>2752553</vt:i4>
      </vt:variant>
      <vt:variant>
        <vt:i4>219</vt:i4>
      </vt:variant>
      <vt:variant>
        <vt:i4>0</vt:i4>
      </vt:variant>
      <vt:variant>
        <vt:i4>5</vt:i4>
      </vt:variant>
      <vt:variant>
        <vt:lpwstr>https://www.abs.gov.au/statistics/standards/standards-statistics-cultural-and-language-diversity/latest-release</vt:lpwstr>
      </vt:variant>
      <vt:variant>
        <vt:lpwstr/>
      </vt:variant>
      <vt:variant>
        <vt:i4>1114194</vt:i4>
      </vt:variant>
      <vt:variant>
        <vt:i4>216</vt:i4>
      </vt:variant>
      <vt:variant>
        <vt:i4>0</vt:i4>
      </vt:variant>
      <vt:variant>
        <vt:i4>5</vt:i4>
      </vt:variant>
      <vt:variant>
        <vt:lpwstr>https://www.abs.gov.au/about/data-services/data-integration/integrated-data/person-level-integrated-data-asset-plida</vt:lpwstr>
      </vt:variant>
      <vt:variant>
        <vt:lpwstr/>
      </vt:variant>
      <vt:variant>
        <vt:i4>8257637</vt:i4>
      </vt:variant>
      <vt:variant>
        <vt:i4>213</vt:i4>
      </vt:variant>
      <vt:variant>
        <vt:i4>0</vt:i4>
      </vt:variant>
      <vt:variant>
        <vt:i4>5</vt:i4>
      </vt:variant>
      <vt:variant>
        <vt:lpwstr>https://www.jobsandskills.gov.au/consultations/gender-economic-equality-study-consultation</vt:lpwstr>
      </vt:variant>
      <vt:variant>
        <vt:lpwstr/>
      </vt:variant>
      <vt:variant>
        <vt:i4>196690</vt:i4>
      </vt:variant>
      <vt:variant>
        <vt:i4>210</vt:i4>
      </vt:variant>
      <vt:variant>
        <vt:i4>0</vt:i4>
      </vt:variant>
      <vt:variant>
        <vt:i4>5</vt:i4>
      </vt:variant>
      <vt:variant>
        <vt:lpwstr>https://www.abs.gov.au/participate-survey/household-survey/general-social-survey</vt:lpwstr>
      </vt:variant>
      <vt:variant>
        <vt:lpwstr/>
      </vt:variant>
      <vt:variant>
        <vt:i4>1114194</vt:i4>
      </vt:variant>
      <vt:variant>
        <vt:i4>207</vt:i4>
      </vt:variant>
      <vt:variant>
        <vt:i4>0</vt:i4>
      </vt:variant>
      <vt:variant>
        <vt:i4>5</vt:i4>
      </vt:variant>
      <vt:variant>
        <vt:lpwstr>https://www.abs.gov.au/about/data-services/data-integration/integrated-data/person-level-integrated-data-asset-plida</vt:lpwstr>
      </vt:variant>
      <vt:variant>
        <vt:lpwstr/>
      </vt:variant>
      <vt:variant>
        <vt:i4>6291565</vt:i4>
      </vt:variant>
      <vt:variant>
        <vt:i4>204</vt:i4>
      </vt:variant>
      <vt:variant>
        <vt:i4>0</vt:i4>
      </vt:variant>
      <vt:variant>
        <vt:i4>5</vt:i4>
      </vt:variant>
      <vt:variant>
        <vt:lpwstr>https://www.abs.gov.au/about/data-services/data-integration/integrated-data/australian-census-longitudinal-dataset-acld</vt:lpwstr>
      </vt:variant>
      <vt:variant>
        <vt:lpwstr/>
      </vt:variant>
      <vt:variant>
        <vt:i4>3670122</vt:i4>
      </vt:variant>
      <vt:variant>
        <vt:i4>201</vt:i4>
      </vt:variant>
      <vt:variant>
        <vt:i4>0</vt:i4>
      </vt:variant>
      <vt:variant>
        <vt:i4>5</vt:i4>
      </vt:variant>
      <vt:variant>
        <vt:lpwstr>https://www.abs.gov.au/census/about-census</vt:lpwstr>
      </vt:variant>
      <vt:variant>
        <vt:lpwstr/>
      </vt:variant>
      <vt:variant>
        <vt:i4>1310780</vt:i4>
      </vt:variant>
      <vt:variant>
        <vt:i4>194</vt:i4>
      </vt:variant>
      <vt:variant>
        <vt:i4>0</vt:i4>
      </vt:variant>
      <vt:variant>
        <vt:i4>5</vt:i4>
      </vt:variant>
      <vt:variant>
        <vt:lpwstr/>
      </vt:variant>
      <vt:variant>
        <vt:lpwstr>_Toc204596303</vt:lpwstr>
      </vt:variant>
      <vt:variant>
        <vt:i4>1310780</vt:i4>
      </vt:variant>
      <vt:variant>
        <vt:i4>188</vt:i4>
      </vt:variant>
      <vt:variant>
        <vt:i4>0</vt:i4>
      </vt:variant>
      <vt:variant>
        <vt:i4>5</vt:i4>
      </vt:variant>
      <vt:variant>
        <vt:lpwstr/>
      </vt:variant>
      <vt:variant>
        <vt:lpwstr>_Toc204596302</vt:lpwstr>
      </vt:variant>
      <vt:variant>
        <vt:i4>1310780</vt:i4>
      </vt:variant>
      <vt:variant>
        <vt:i4>182</vt:i4>
      </vt:variant>
      <vt:variant>
        <vt:i4>0</vt:i4>
      </vt:variant>
      <vt:variant>
        <vt:i4>5</vt:i4>
      </vt:variant>
      <vt:variant>
        <vt:lpwstr/>
      </vt:variant>
      <vt:variant>
        <vt:lpwstr>_Toc204596301</vt:lpwstr>
      </vt:variant>
      <vt:variant>
        <vt:i4>1310780</vt:i4>
      </vt:variant>
      <vt:variant>
        <vt:i4>176</vt:i4>
      </vt:variant>
      <vt:variant>
        <vt:i4>0</vt:i4>
      </vt:variant>
      <vt:variant>
        <vt:i4>5</vt:i4>
      </vt:variant>
      <vt:variant>
        <vt:lpwstr/>
      </vt:variant>
      <vt:variant>
        <vt:lpwstr>_Toc204596300</vt:lpwstr>
      </vt:variant>
      <vt:variant>
        <vt:i4>1900605</vt:i4>
      </vt:variant>
      <vt:variant>
        <vt:i4>170</vt:i4>
      </vt:variant>
      <vt:variant>
        <vt:i4>0</vt:i4>
      </vt:variant>
      <vt:variant>
        <vt:i4>5</vt:i4>
      </vt:variant>
      <vt:variant>
        <vt:lpwstr/>
      </vt:variant>
      <vt:variant>
        <vt:lpwstr>_Toc204596299</vt:lpwstr>
      </vt:variant>
      <vt:variant>
        <vt:i4>1900605</vt:i4>
      </vt:variant>
      <vt:variant>
        <vt:i4>164</vt:i4>
      </vt:variant>
      <vt:variant>
        <vt:i4>0</vt:i4>
      </vt:variant>
      <vt:variant>
        <vt:i4>5</vt:i4>
      </vt:variant>
      <vt:variant>
        <vt:lpwstr/>
      </vt:variant>
      <vt:variant>
        <vt:lpwstr>_Toc204596298</vt:lpwstr>
      </vt:variant>
      <vt:variant>
        <vt:i4>1900605</vt:i4>
      </vt:variant>
      <vt:variant>
        <vt:i4>158</vt:i4>
      </vt:variant>
      <vt:variant>
        <vt:i4>0</vt:i4>
      </vt:variant>
      <vt:variant>
        <vt:i4>5</vt:i4>
      </vt:variant>
      <vt:variant>
        <vt:lpwstr/>
      </vt:variant>
      <vt:variant>
        <vt:lpwstr>_Toc204596297</vt:lpwstr>
      </vt:variant>
      <vt:variant>
        <vt:i4>1900605</vt:i4>
      </vt:variant>
      <vt:variant>
        <vt:i4>152</vt:i4>
      </vt:variant>
      <vt:variant>
        <vt:i4>0</vt:i4>
      </vt:variant>
      <vt:variant>
        <vt:i4>5</vt:i4>
      </vt:variant>
      <vt:variant>
        <vt:lpwstr/>
      </vt:variant>
      <vt:variant>
        <vt:lpwstr>_Toc204596296</vt:lpwstr>
      </vt:variant>
      <vt:variant>
        <vt:i4>1900605</vt:i4>
      </vt:variant>
      <vt:variant>
        <vt:i4>146</vt:i4>
      </vt:variant>
      <vt:variant>
        <vt:i4>0</vt:i4>
      </vt:variant>
      <vt:variant>
        <vt:i4>5</vt:i4>
      </vt:variant>
      <vt:variant>
        <vt:lpwstr/>
      </vt:variant>
      <vt:variant>
        <vt:lpwstr>_Toc204596295</vt:lpwstr>
      </vt:variant>
      <vt:variant>
        <vt:i4>1900605</vt:i4>
      </vt:variant>
      <vt:variant>
        <vt:i4>140</vt:i4>
      </vt:variant>
      <vt:variant>
        <vt:i4>0</vt:i4>
      </vt:variant>
      <vt:variant>
        <vt:i4>5</vt:i4>
      </vt:variant>
      <vt:variant>
        <vt:lpwstr/>
      </vt:variant>
      <vt:variant>
        <vt:lpwstr>_Toc204596294</vt:lpwstr>
      </vt:variant>
      <vt:variant>
        <vt:i4>1900605</vt:i4>
      </vt:variant>
      <vt:variant>
        <vt:i4>134</vt:i4>
      </vt:variant>
      <vt:variant>
        <vt:i4>0</vt:i4>
      </vt:variant>
      <vt:variant>
        <vt:i4>5</vt:i4>
      </vt:variant>
      <vt:variant>
        <vt:lpwstr/>
      </vt:variant>
      <vt:variant>
        <vt:lpwstr>_Toc204596293</vt:lpwstr>
      </vt:variant>
      <vt:variant>
        <vt:i4>1900605</vt:i4>
      </vt:variant>
      <vt:variant>
        <vt:i4>128</vt:i4>
      </vt:variant>
      <vt:variant>
        <vt:i4>0</vt:i4>
      </vt:variant>
      <vt:variant>
        <vt:i4>5</vt:i4>
      </vt:variant>
      <vt:variant>
        <vt:lpwstr/>
      </vt:variant>
      <vt:variant>
        <vt:lpwstr>_Toc204596292</vt:lpwstr>
      </vt:variant>
      <vt:variant>
        <vt:i4>1900605</vt:i4>
      </vt:variant>
      <vt:variant>
        <vt:i4>122</vt:i4>
      </vt:variant>
      <vt:variant>
        <vt:i4>0</vt:i4>
      </vt:variant>
      <vt:variant>
        <vt:i4>5</vt:i4>
      </vt:variant>
      <vt:variant>
        <vt:lpwstr/>
      </vt:variant>
      <vt:variant>
        <vt:lpwstr>_Toc204596291</vt:lpwstr>
      </vt:variant>
      <vt:variant>
        <vt:i4>1900605</vt:i4>
      </vt:variant>
      <vt:variant>
        <vt:i4>116</vt:i4>
      </vt:variant>
      <vt:variant>
        <vt:i4>0</vt:i4>
      </vt:variant>
      <vt:variant>
        <vt:i4>5</vt:i4>
      </vt:variant>
      <vt:variant>
        <vt:lpwstr/>
      </vt:variant>
      <vt:variant>
        <vt:lpwstr>_Toc204596290</vt:lpwstr>
      </vt:variant>
      <vt:variant>
        <vt:i4>1835069</vt:i4>
      </vt:variant>
      <vt:variant>
        <vt:i4>110</vt:i4>
      </vt:variant>
      <vt:variant>
        <vt:i4>0</vt:i4>
      </vt:variant>
      <vt:variant>
        <vt:i4>5</vt:i4>
      </vt:variant>
      <vt:variant>
        <vt:lpwstr/>
      </vt:variant>
      <vt:variant>
        <vt:lpwstr>_Toc204596289</vt:lpwstr>
      </vt:variant>
      <vt:variant>
        <vt:i4>1835069</vt:i4>
      </vt:variant>
      <vt:variant>
        <vt:i4>104</vt:i4>
      </vt:variant>
      <vt:variant>
        <vt:i4>0</vt:i4>
      </vt:variant>
      <vt:variant>
        <vt:i4>5</vt:i4>
      </vt:variant>
      <vt:variant>
        <vt:lpwstr/>
      </vt:variant>
      <vt:variant>
        <vt:lpwstr>_Toc204596288</vt:lpwstr>
      </vt:variant>
      <vt:variant>
        <vt:i4>1835069</vt:i4>
      </vt:variant>
      <vt:variant>
        <vt:i4>98</vt:i4>
      </vt:variant>
      <vt:variant>
        <vt:i4>0</vt:i4>
      </vt:variant>
      <vt:variant>
        <vt:i4>5</vt:i4>
      </vt:variant>
      <vt:variant>
        <vt:lpwstr/>
      </vt:variant>
      <vt:variant>
        <vt:lpwstr>_Toc204596287</vt:lpwstr>
      </vt:variant>
      <vt:variant>
        <vt:i4>1835069</vt:i4>
      </vt:variant>
      <vt:variant>
        <vt:i4>92</vt:i4>
      </vt:variant>
      <vt:variant>
        <vt:i4>0</vt:i4>
      </vt:variant>
      <vt:variant>
        <vt:i4>5</vt:i4>
      </vt:variant>
      <vt:variant>
        <vt:lpwstr/>
      </vt:variant>
      <vt:variant>
        <vt:lpwstr>_Toc204596286</vt:lpwstr>
      </vt:variant>
      <vt:variant>
        <vt:i4>1835069</vt:i4>
      </vt:variant>
      <vt:variant>
        <vt:i4>86</vt:i4>
      </vt:variant>
      <vt:variant>
        <vt:i4>0</vt:i4>
      </vt:variant>
      <vt:variant>
        <vt:i4>5</vt:i4>
      </vt:variant>
      <vt:variant>
        <vt:lpwstr/>
      </vt:variant>
      <vt:variant>
        <vt:lpwstr>_Toc204596285</vt:lpwstr>
      </vt:variant>
      <vt:variant>
        <vt:i4>1835069</vt:i4>
      </vt:variant>
      <vt:variant>
        <vt:i4>80</vt:i4>
      </vt:variant>
      <vt:variant>
        <vt:i4>0</vt:i4>
      </vt:variant>
      <vt:variant>
        <vt:i4>5</vt:i4>
      </vt:variant>
      <vt:variant>
        <vt:lpwstr/>
      </vt:variant>
      <vt:variant>
        <vt:lpwstr>_Toc204596284</vt:lpwstr>
      </vt:variant>
      <vt:variant>
        <vt:i4>1835069</vt:i4>
      </vt:variant>
      <vt:variant>
        <vt:i4>74</vt:i4>
      </vt:variant>
      <vt:variant>
        <vt:i4>0</vt:i4>
      </vt:variant>
      <vt:variant>
        <vt:i4>5</vt:i4>
      </vt:variant>
      <vt:variant>
        <vt:lpwstr/>
      </vt:variant>
      <vt:variant>
        <vt:lpwstr>_Toc204596283</vt:lpwstr>
      </vt:variant>
      <vt:variant>
        <vt:i4>1835069</vt:i4>
      </vt:variant>
      <vt:variant>
        <vt:i4>68</vt:i4>
      </vt:variant>
      <vt:variant>
        <vt:i4>0</vt:i4>
      </vt:variant>
      <vt:variant>
        <vt:i4>5</vt:i4>
      </vt:variant>
      <vt:variant>
        <vt:lpwstr/>
      </vt:variant>
      <vt:variant>
        <vt:lpwstr>_Toc204596282</vt:lpwstr>
      </vt:variant>
      <vt:variant>
        <vt:i4>1835069</vt:i4>
      </vt:variant>
      <vt:variant>
        <vt:i4>62</vt:i4>
      </vt:variant>
      <vt:variant>
        <vt:i4>0</vt:i4>
      </vt:variant>
      <vt:variant>
        <vt:i4>5</vt:i4>
      </vt:variant>
      <vt:variant>
        <vt:lpwstr/>
      </vt:variant>
      <vt:variant>
        <vt:lpwstr>_Toc204596281</vt:lpwstr>
      </vt:variant>
      <vt:variant>
        <vt:i4>1835069</vt:i4>
      </vt:variant>
      <vt:variant>
        <vt:i4>56</vt:i4>
      </vt:variant>
      <vt:variant>
        <vt:i4>0</vt:i4>
      </vt:variant>
      <vt:variant>
        <vt:i4>5</vt:i4>
      </vt:variant>
      <vt:variant>
        <vt:lpwstr/>
      </vt:variant>
      <vt:variant>
        <vt:lpwstr>_Toc204596280</vt:lpwstr>
      </vt:variant>
      <vt:variant>
        <vt:i4>1245245</vt:i4>
      </vt:variant>
      <vt:variant>
        <vt:i4>50</vt:i4>
      </vt:variant>
      <vt:variant>
        <vt:i4>0</vt:i4>
      </vt:variant>
      <vt:variant>
        <vt:i4>5</vt:i4>
      </vt:variant>
      <vt:variant>
        <vt:lpwstr/>
      </vt:variant>
      <vt:variant>
        <vt:lpwstr>_Toc204596279</vt:lpwstr>
      </vt:variant>
      <vt:variant>
        <vt:i4>1245245</vt:i4>
      </vt:variant>
      <vt:variant>
        <vt:i4>44</vt:i4>
      </vt:variant>
      <vt:variant>
        <vt:i4>0</vt:i4>
      </vt:variant>
      <vt:variant>
        <vt:i4>5</vt:i4>
      </vt:variant>
      <vt:variant>
        <vt:lpwstr/>
      </vt:variant>
      <vt:variant>
        <vt:lpwstr>_Toc204596278</vt:lpwstr>
      </vt:variant>
      <vt:variant>
        <vt:i4>1245245</vt:i4>
      </vt:variant>
      <vt:variant>
        <vt:i4>38</vt:i4>
      </vt:variant>
      <vt:variant>
        <vt:i4>0</vt:i4>
      </vt:variant>
      <vt:variant>
        <vt:i4>5</vt:i4>
      </vt:variant>
      <vt:variant>
        <vt:lpwstr/>
      </vt:variant>
      <vt:variant>
        <vt:lpwstr>_Toc204596277</vt:lpwstr>
      </vt:variant>
      <vt:variant>
        <vt:i4>1245245</vt:i4>
      </vt:variant>
      <vt:variant>
        <vt:i4>32</vt:i4>
      </vt:variant>
      <vt:variant>
        <vt:i4>0</vt:i4>
      </vt:variant>
      <vt:variant>
        <vt:i4>5</vt:i4>
      </vt:variant>
      <vt:variant>
        <vt:lpwstr/>
      </vt:variant>
      <vt:variant>
        <vt:lpwstr>_Toc204596276</vt:lpwstr>
      </vt:variant>
      <vt:variant>
        <vt:i4>1245245</vt:i4>
      </vt:variant>
      <vt:variant>
        <vt:i4>26</vt:i4>
      </vt:variant>
      <vt:variant>
        <vt:i4>0</vt:i4>
      </vt:variant>
      <vt:variant>
        <vt:i4>5</vt:i4>
      </vt:variant>
      <vt:variant>
        <vt:lpwstr/>
      </vt:variant>
      <vt:variant>
        <vt:lpwstr>_Toc204596275</vt:lpwstr>
      </vt:variant>
      <vt:variant>
        <vt:i4>1245245</vt:i4>
      </vt:variant>
      <vt:variant>
        <vt:i4>20</vt:i4>
      </vt:variant>
      <vt:variant>
        <vt:i4>0</vt:i4>
      </vt:variant>
      <vt:variant>
        <vt:i4>5</vt:i4>
      </vt:variant>
      <vt:variant>
        <vt:lpwstr/>
      </vt:variant>
      <vt:variant>
        <vt:lpwstr>_Toc204596274</vt:lpwstr>
      </vt:variant>
      <vt:variant>
        <vt:i4>1245245</vt:i4>
      </vt:variant>
      <vt:variant>
        <vt:i4>14</vt:i4>
      </vt:variant>
      <vt:variant>
        <vt:i4>0</vt:i4>
      </vt:variant>
      <vt:variant>
        <vt:i4>5</vt:i4>
      </vt:variant>
      <vt:variant>
        <vt:lpwstr/>
      </vt:variant>
      <vt:variant>
        <vt:lpwstr>_Toc204596273</vt:lpwstr>
      </vt:variant>
      <vt:variant>
        <vt:i4>1245245</vt:i4>
      </vt:variant>
      <vt:variant>
        <vt:i4>8</vt:i4>
      </vt:variant>
      <vt:variant>
        <vt:i4>0</vt:i4>
      </vt:variant>
      <vt:variant>
        <vt:i4>5</vt:i4>
      </vt:variant>
      <vt:variant>
        <vt:lpwstr/>
      </vt:variant>
      <vt:variant>
        <vt:lpwstr>_Toc204596272</vt:lpwstr>
      </vt:variant>
      <vt:variant>
        <vt:i4>1245245</vt:i4>
      </vt:variant>
      <vt:variant>
        <vt:i4>2</vt:i4>
      </vt:variant>
      <vt:variant>
        <vt:i4>0</vt:i4>
      </vt:variant>
      <vt:variant>
        <vt:i4>5</vt:i4>
      </vt:variant>
      <vt:variant>
        <vt:lpwstr/>
      </vt:variant>
      <vt:variant>
        <vt:lpwstr>_Toc204596271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2025-08-06T23:58:00Z</dcterms:created>
  <dcterms:modified xsi:type="dcterms:W3CDTF">2025-08-06T23:58:00Z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2025-08-06T23:52:42Z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67935f6f-48fa-40ba-82e8-afc3639a5f6c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