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BABA" w14:textId="77777777"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bookmarkStart w:id="0" w:name="_Hlk189749211"/>
      <w:bookmarkEnd w:id="0"/>
      <w:r w:rsidRPr="00270126">
        <w:rPr>
          <w:noProof/>
        </w:rPr>
        <w:drawing>
          <wp:inline distT="0" distB="0" distL="0" distR="0" wp14:anchorId="507B9546" wp14:editId="301A7233">
            <wp:extent cx="3240000" cy="705600"/>
            <wp:effectExtent l="0" t="0" r="0" b="0"/>
            <wp:docPr id="348354591" name="Picture 348354591"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40000" cy="705600"/>
                    </a:xfrm>
                    <a:prstGeom prst="rect">
                      <a:avLst/>
                    </a:prstGeom>
                  </pic:spPr>
                </pic:pic>
              </a:graphicData>
            </a:graphic>
          </wp:inline>
        </w:drawing>
      </w:r>
      <w:r>
        <w:rPr>
          <w:noProof/>
        </w:rPr>
        <w:drawing>
          <wp:anchor distT="0" distB="0" distL="114300" distR="114300" simplePos="0" relativeHeight="251658240" behindDoc="1" locked="1" layoutInCell="1" allowOverlap="1" wp14:anchorId="019BEB38" wp14:editId="61654AAB">
            <wp:simplePos x="0" y="0"/>
            <wp:positionH relativeFrom="page">
              <wp:align>left</wp:align>
            </wp:positionH>
            <wp:positionV relativeFrom="page">
              <wp:align>top</wp:align>
            </wp:positionV>
            <wp:extent cx="7559675" cy="10691495"/>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pic:spPr>
                </pic:pic>
              </a:graphicData>
            </a:graphic>
            <wp14:sizeRelH relativeFrom="page">
              <wp14:pctWidth>0</wp14:pctWidth>
            </wp14:sizeRelH>
            <wp14:sizeRelV relativeFrom="page">
              <wp14:pctHeight>0</wp14:pctHeight>
            </wp14:sizeRelV>
          </wp:anchor>
        </w:drawing>
      </w:r>
    </w:p>
    <w:p w14:paraId="7C9CC0B1" w14:textId="7C0B5BD4" w:rsidR="00AA5442" w:rsidRDefault="00AA5442" w:rsidP="00AA5442">
      <w:pPr>
        <w:pStyle w:val="BodyText"/>
      </w:pPr>
    </w:p>
    <w:sdt>
      <w:sdtPr>
        <w:alias w:val="&lt; Title &gt;"/>
        <w:tag w:val=""/>
        <w:id w:val="162979263"/>
        <w:placeholder>
          <w:docPart w:val="85BBE2E515E547ED82721B8EC8957CAF"/>
        </w:placeholder>
        <w:dataBinding w:prefixMappings="xmlns:ns0='http://purl.org/dc/elements/1.1/' xmlns:ns1='http://schemas.openxmlformats.org/package/2006/metadata/core-properties' " w:xpath="/ns1:coreProperties[1]/ns0:title[1]" w:storeItemID="{6C3C8BC8-F283-45AE-878A-BAB7291924A1}"/>
        <w:text/>
      </w:sdtPr>
      <w:sdtContent>
        <w:p w14:paraId="24993D5D" w14:textId="01BDAC2B" w:rsidR="00AA5442" w:rsidRPr="00E60832" w:rsidRDefault="00D15488" w:rsidP="00AA5442">
          <w:pPr>
            <w:pStyle w:val="Title"/>
          </w:pPr>
          <w:r w:rsidRPr="00D15488">
            <w:t>Labour Market Update</w:t>
          </w:r>
        </w:p>
      </w:sdtContent>
    </w:sdt>
    <w:p w14:paraId="25D3E464" w14:textId="10AA8A43" w:rsidR="00AA5442" w:rsidRDefault="000733E0" w:rsidP="00AA5442">
      <w:pPr>
        <w:pStyle w:val="Subtitle"/>
      </w:pPr>
      <w:r>
        <w:t>March</w:t>
      </w:r>
      <w:r w:rsidR="00D15488" w:rsidRPr="00D15488">
        <w:t xml:space="preserve"> 202</w:t>
      </w:r>
      <w:r>
        <w:t>5</w:t>
      </w:r>
    </w:p>
    <w:p w14:paraId="4CED8E5E" w14:textId="19A9818F" w:rsidR="00AA5442" w:rsidRPr="00934D95" w:rsidRDefault="000733E0" w:rsidP="00AA5442">
      <w:pPr>
        <w:pStyle w:val="DocumentDetails"/>
      </w:pPr>
      <w:r>
        <w:t>30</w:t>
      </w:r>
      <w:r w:rsidR="00A550D9">
        <w:t xml:space="preserve"> </w:t>
      </w:r>
      <w:r>
        <w:t>June</w:t>
      </w:r>
      <w:r w:rsidR="00A550D9">
        <w:t xml:space="preserve"> 2025</w:t>
      </w:r>
    </w:p>
    <w:p w14:paraId="676FA4F3" w14:textId="7DE76B19" w:rsidR="00A67B12" w:rsidRPr="00A67B12" w:rsidRDefault="00A67B12" w:rsidP="00A67B12">
      <w:pPr>
        <w:pStyle w:val="BodyText"/>
        <w:sectPr w:rsidR="00A67B12" w:rsidRPr="00A67B12" w:rsidSect="00AA5442">
          <w:type w:val="continuous"/>
          <w:pgSz w:w="11907" w:h="16839" w:code="9"/>
          <w:pgMar w:top="1440" w:right="1270" w:bottom="1440" w:left="1270" w:header="720" w:footer="720" w:gutter="0"/>
          <w:cols w:space="720"/>
          <w:titlePg/>
          <w:docGrid w:linePitch="360"/>
        </w:sectPr>
      </w:pPr>
    </w:p>
    <w:p w14:paraId="4A059FD3" w14:textId="77777777" w:rsidR="00452A9D" w:rsidRDefault="00452A9D" w:rsidP="00104750">
      <w:pPr>
        <w:pStyle w:val="TOCHeading"/>
      </w:pPr>
      <w:r>
        <w:lastRenderedPageBreak/>
        <w:t>Contents</w:t>
      </w:r>
    </w:p>
    <w:p w14:paraId="6E09BE35" w14:textId="62C9781D" w:rsidR="00464459"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01057849" w:history="1">
        <w:r w:rsidR="00464459" w:rsidRPr="009461B1">
          <w:rPr>
            <w:rStyle w:val="Hyperlink"/>
            <w:noProof/>
          </w:rPr>
          <w:t>Executive summary</w:t>
        </w:r>
        <w:r w:rsidR="00464459">
          <w:rPr>
            <w:noProof/>
            <w:webHidden/>
          </w:rPr>
          <w:tab/>
        </w:r>
        <w:r w:rsidR="00464459">
          <w:rPr>
            <w:noProof/>
            <w:webHidden/>
          </w:rPr>
          <w:fldChar w:fldCharType="begin"/>
        </w:r>
        <w:r w:rsidR="00464459">
          <w:rPr>
            <w:noProof/>
            <w:webHidden/>
          </w:rPr>
          <w:instrText xml:space="preserve"> PAGEREF _Toc201057849 \h </w:instrText>
        </w:r>
        <w:r w:rsidR="00464459">
          <w:rPr>
            <w:noProof/>
            <w:webHidden/>
          </w:rPr>
        </w:r>
        <w:r w:rsidR="00464459">
          <w:rPr>
            <w:noProof/>
            <w:webHidden/>
          </w:rPr>
          <w:fldChar w:fldCharType="separate"/>
        </w:r>
        <w:r w:rsidR="00D80BB2">
          <w:rPr>
            <w:noProof/>
            <w:webHidden/>
          </w:rPr>
          <w:t>2</w:t>
        </w:r>
        <w:r w:rsidR="00464459">
          <w:rPr>
            <w:noProof/>
            <w:webHidden/>
          </w:rPr>
          <w:fldChar w:fldCharType="end"/>
        </w:r>
      </w:hyperlink>
    </w:p>
    <w:p w14:paraId="06D2E823" w14:textId="6D153C7F" w:rsidR="00464459" w:rsidRDefault="00464459">
      <w:pPr>
        <w:pStyle w:val="TOC1"/>
        <w:rPr>
          <w:rFonts w:asciiTheme="minorHAnsi" w:eastAsiaTheme="minorEastAsia" w:hAnsiTheme="minorHAnsi"/>
          <w:b w:val="0"/>
          <w:noProof/>
          <w:color w:val="auto"/>
          <w:kern w:val="2"/>
          <w:sz w:val="24"/>
          <w:szCs w:val="24"/>
          <w:lang w:eastAsia="en-AU"/>
          <w14:ligatures w14:val="standardContextual"/>
        </w:rPr>
      </w:pPr>
      <w:hyperlink w:anchor="_Toc201057850" w:history="1">
        <w:r w:rsidRPr="009461B1">
          <w:rPr>
            <w:rStyle w:val="Hyperlink"/>
            <w:noProof/>
          </w:rPr>
          <w:t>Labour market conditions</w:t>
        </w:r>
        <w:r>
          <w:rPr>
            <w:noProof/>
            <w:webHidden/>
          </w:rPr>
          <w:tab/>
        </w:r>
        <w:r>
          <w:rPr>
            <w:noProof/>
            <w:webHidden/>
          </w:rPr>
          <w:fldChar w:fldCharType="begin"/>
        </w:r>
        <w:r>
          <w:rPr>
            <w:noProof/>
            <w:webHidden/>
          </w:rPr>
          <w:instrText xml:space="preserve"> PAGEREF _Toc201057850 \h </w:instrText>
        </w:r>
        <w:r>
          <w:rPr>
            <w:noProof/>
            <w:webHidden/>
          </w:rPr>
        </w:r>
        <w:r>
          <w:rPr>
            <w:noProof/>
            <w:webHidden/>
          </w:rPr>
          <w:fldChar w:fldCharType="separate"/>
        </w:r>
        <w:r w:rsidR="00D80BB2">
          <w:rPr>
            <w:noProof/>
            <w:webHidden/>
          </w:rPr>
          <w:t>3</w:t>
        </w:r>
        <w:r>
          <w:rPr>
            <w:noProof/>
            <w:webHidden/>
          </w:rPr>
          <w:fldChar w:fldCharType="end"/>
        </w:r>
      </w:hyperlink>
    </w:p>
    <w:p w14:paraId="64203FBC" w14:textId="4BCE3768" w:rsidR="00464459" w:rsidRDefault="00464459">
      <w:pPr>
        <w:pStyle w:val="TOC2"/>
        <w:rPr>
          <w:rFonts w:asciiTheme="minorHAnsi" w:eastAsiaTheme="minorEastAsia" w:hAnsiTheme="minorHAnsi"/>
          <w:b w:val="0"/>
          <w:noProof/>
          <w:kern w:val="2"/>
          <w:sz w:val="24"/>
          <w:szCs w:val="24"/>
          <w:lang w:eastAsia="en-AU"/>
          <w14:ligatures w14:val="standardContextual"/>
        </w:rPr>
      </w:pPr>
      <w:hyperlink w:anchor="_Toc201057851" w:history="1">
        <w:r w:rsidRPr="009461B1">
          <w:rPr>
            <w:rStyle w:val="Hyperlink"/>
            <w:noProof/>
          </w:rPr>
          <w:t>The labour market remains resilient</w:t>
        </w:r>
        <w:r>
          <w:rPr>
            <w:noProof/>
            <w:webHidden/>
          </w:rPr>
          <w:tab/>
        </w:r>
        <w:r>
          <w:rPr>
            <w:noProof/>
            <w:webHidden/>
          </w:rPr>
          <w:fldChar w:fldCharType="begin"/>
        </w:r>
        <w:r>
          <w:rPr>
            <w:noProof/>
            <w:webHidden/>
          </w:rPr>
          <w:instrText xml:space="preserve"> PAGEREF _Toc201057851 \h </w:instrText>
        </w:r>
        <w:r>
          <w:rPr>
            <w:noProof/>
            <w:webHidden/>
          </w:rPr>
        </w:r>
        <w:r>
          <w:rPr>
            <w:noProof/>
            <w:webHidden/>
          </w:rPr>
          <w:fldChar w:fldCharType="separate"/>
        </w:r>
        <w:r w:rsidR="00D80BB2">
          <w:rPr>
            <w:noProof/>
            <w:webHidden/>
          </w:rPr>
          <w:t>3</w:t>
        </w:r>
        <w:r>
          <w:rPr>
            <w:noProof/>
            <w:webHidden/>
          </w:rPr>
          <w:fldChar w:fldCharType="end"/>
        </w:r>
      </w:hyperlink>
    </w:p>
    <w:p w14:paraId="4439F1E7" w14:textId="7A547D79" w:rsidR="00464459" w:rsidRDefault="00464459">
      <w:pPr>
        <w:pStyle w:val="TOC2"/>
        <w:rPr>
          <w:rFonts w:asciiTheme="minorHAnsi" w:eastAsiaTheme="minorEastAsia" w:hAnsiTheme="minorHAnsi"/>
          <w:b w:val="0"/>
          <w:noProof/>
          <w:kern w:val="2"/>
          <w:sz w:val="24"/>
          <w:szCs w:val="24"/>
          <w:lang w:eastAsia="en-AU"/>
          <w14:ligatures w14:val="standardContextual"/>
        </w:rPr>
      </w:pPr>
      <w:hyperlink w:anchor="_Toc201057852" w:history="1">
        <w:r w:rsidRPr="009461B1">
          <w:rPr>
            <w:rStyle w:val="Hyperlink"/>
            <w:noProof/>
          </w:rPr>
          <w:t>Employment growth has continued to slow</w:t>
        </w:r>
        <w:r>
          <w:rPr>
            <w:noProof/>
            <w:webHidden/>
          </w:rPr>
          <w:tab/>
        </w:r>
        <w:r>
          <w:rPr>
            <w:noProof/>
            <w:webHidden/>
          </w:rPr>
          <w:fldChar w:fldCharType="begin"/>
        </w:r>
        <w:r>
          <w:rPr>
            <w:noProof/>
            <w:webHidden/>
          </w:rPr>
          <w:instrText xml:space="preserve"> PAGEREF _Toc201057852 \h </w:instrText>
        </w:r>
        <w:r>
          <w:rPr>
            <w:noProof/>
            <w:webHidden/>
          </w:rPr>
        </w:r>
        <w:r>
          <w:rPr>
            <w:noProof/>
            <w:webHidden/>
          </w:rPr>
          <w:fldChar w:fldCharType="separate"/>
        </w:r>
        <w:r w:rsidR="00D80BB2">
          <w:rPr>
            <w:noProof/>
            <w:webHidden/>
          </w:rPr>
          <w:t>3</w:t>
        </w:r>
        <w:r>
          <w:rPr>
            <w:noProof/>
            <w:webHidden/>
          </w:rPr>
          <w:fldChar w:fldCharType="end"/>
        </w:r>
      </w:hyperlink>
    </w:p>
    <w:p w14:paraId="7E020641" w14:textId="426CA878" w:rsidR="00464459" w:rsidRDefault="00464459">
      <w:pPr>
        <w:pStyle w:val="TOC2"/>
        <w:rPr>
          <w:rFonts w:asciiTheme="minorHAnsi" w:eastAsiaTheme="minorEastAsia" w:hAnsiTheme="minorHAnsi"/>
          <w:b w:val="0"/>
          <w:noProof/>
          <w:kern w:val="2"/>
          <w:sz w:val="24"/>
          <w:szCs w:val="24"/>
          <w:lang w:eastAsia="en-AU"/>
          <w14:ligatures w14:val="standardContextual"/>
        </w:rPr>
      </w:pPr>
      <w:hyperlink w:anchor="_Toc201057853" w:history="1">
        <w:r w:rsidRPr="009461B1">
          <w:rPr>
            <w:rStyle w:val="Hyperlink"/>
            <w:noProof/>
          </w:rPr>
          <w:t>Labour market conditions varied across jurisdictions</w:t>
        </w:r>
        <w:r>
          <w:rPr>
            <w:noProof/>
            <w:webHidden/>
          </w:rPr>
          <w:tab/>
        </w:r>
        <w:r>
          <w:rPr>
            <w:noProof/>
            <w:webHidden/>
          </w:rPr>
          <w:fldChar w:fldCharType="begin"/>
        </w:r>
        <w:r>
          <w:rPr>
            <w:noProof/>
            <w:webHidden/>
          </w:rPr>
          <w:instrText xml:space="preserve"> PAGEREF _Toc201057853 \h </w:instrText>
        </w:r>
        <w:r>
          <w:rPr>
            <w:noProof/>
            <w:webHidden/>
          </w:rPr>
        </w:r>
        <w:r>
          <w:rPr>
            <w:noProof/>
            <w:webHidden/>
          </w:rPr>
          <w:fldChar w:fldCharType="separate"/>
        </w:r>
        <w:r w:rsidR="00D80BB2">
          <w:rPr>
            <w:noProof/>
            <w:webHidden/>
          </w:rPr>
          <w:t>5</w:t>
        </w:r>
        <w:r>
          <w:rPr>
            <w:noProof/>
            <w:webHidden/>
          </w:rPr>
          <w:fldChar w:fldCharType="end"/>
        </w:r>
      </w:hyperlink>
    </w:p>
    <w:p w14:paraId="2EB6D590" w14:textId="3FDC61C8" w:rsidR="00464459" w:rsidRDefault="00464459">
      <w:pPr>
        <w:pStyle w:val="TOC2"/>
        <w:rPr>
          <w:rFonts w:asciiTheme="minorHAnsi" w:eastAsiaTheme="minorEastAsia" w:hAnsiTheme="minorHAnsi"/>
          <w:b w:val="0"/>
          <w:noProof/>
          <w:kern w:val="2"/>
          <w:sz w:val="24"/>
          <w:szCs w:val="24"/>
          <w:lang w:eastAsia="en-AU"/>
          <w14:ligatures w14:val="standardContextual"/>
        </w:rPr>
      </w:pPr>
      <w:hyperlink w:anchor="_Toc201057854" w:history="1">
        <w:r w:rsidRPr="009461B1">
          <w:rPr>
            <w:rStyle w:val="Hyperlink"/>
            <w:noProof/>
          </w:rPr>
          <w:t>Health Care and Social Assistance, Education and Training and Construction led employment growth</w:t>
        </w:r>
        <w:r>
          <w:rPr>
            <w:noProof/>
            <w:webHidden/>
          </w:rPr>
          <w:tab/>
        </w:r>
        <w:r>
          <w:rPr>
            <w:noProof/>
            <w:webHidden/>
          </w:rPr>
          <w:fldChar w:fldCharType="begin"/>
        </w:r>
        <w:r>
          <w:rPr>
            <w:noProof/>
            <w:webHidden/>
          </w:rPr>
          <w:instrText xml:space="preserve"> PAGEREF _Toc201057854 \h </w:instrText>
        </w:r>
        <w:r>
          <w:rPr>
            <w:noProof/>
            <w:webHidden/>
          </w:rPr>
        </w:r>
        <w:r>
          <w:rPr>
            <w:noProof/>
            <w:webHidden/>
          </w:rPr>
          <w:fldChar w:fldCharType="separate"/>
        </w:r>
        <w:r w:rsidR="00D80BB2">
          <w:rPr>
            <w:noProof/>
            <w:webHidden/>
          </w:rPr>
          <w:t>6</w:t>
        </w:r>
        <w:r>
          <w:rPr>
            <w:noProof/>
            <w:webHidden/>
          </w:rPr>
          <w:fldChar w:fldCharType="end"/>
        </w:r>
      </w:hyperlink>
    </w:p>
    <w:p w14:paraId="372BC928" w14:textId="0B48AF45" w:rsidR="00464459" w:rsidRDefault="00464459">
      <w:pPr>
        <w:pStyle w:val="TOC2"/>
        <w:rPr>
          <w:rFonts w:asciiTheme="minorHAnsi" w:eastAsiaTheme="minorEastAsia" w:hAnsiTheme="minorHAnsi"/>
          <w:b w:val="0"/>
          <w:noProof/>
          <w:kern w:val="2"/>
          <w:sz w:val="24"/>
          <w:szCs w:val="24"/>
          <w:lang w:eastAsia="en-AU"/>
          <w14:ligatures w14:val="standardContextual"/>
        </w:rPr>
      </w:pPr>
      <w:hyperlink w:anchor="_Toc201057855" w:history="1">
        <w:r w:rsidRPr="009461B1">
          <w:rPr>
            <w:rStyle w:val="Hyperlink"/>
            <w:noProof/>
          </w:rPr>
          <w:t>Higher skilled occupations drove employment growth</w:t>
        </w:r>
        <w:r>
          <w:rPr>
            <w:noProof/>
            <w:webHidden/>
          </w:rPr>
          <w:tab/>
        </w:r>
        <w:r>
          <w:rPr>
            <w:noProof/>
            <w:webHidden/>
          </w:rPr>
          <w:fldChar w:fldCharType="begin"/>
        </w:r>
        <w:r>
          <w:rPr>
            <w:noProof/>
            <w:webHidden/>
          </w:rPr>
          <w:instrText xml:space="preserve"> PAGEREF _Toc201057855 \h </w:instrText>
        </w:r>
        <w:r>
          <w:rPr>
            <w:noProof/>
            <w:webHidden/>
          </w:rPr>
        </w:r>
        <w:r>
          <w:rPr>
            <w:noProof/>
            <w:webHidden/>
          </w:rPr>
          <w:fldChar w:fldCharType="separate"/>
        </w:r>
        <w:r w:rsidR="00D80BB2">
          <w:rPr>
            <w:noProof/>
            <w:webHidden/>
          </w:rPr>
          <w:t>7</w:t>
        </w:r>
        <w:r>
          <w:rPr>
            <w:noProof/>
            <w:webHidden/>
          </w:rPr>
          <w:fldChar w:fldCharType="end"/>
        </w:r>
      </w:hyperlink>
    </w:p>
    <w:p w14:paraId="25D0E730" w14:textId="746BCD3A" w:rsidR="00464459" w:rsidRDefault="00464459">
      <w:pPr>
        <w:pStyle w:val="TOC2"/>
        <w:rPr>
          <w:rFonts w:asciiTheme="minorHAnsi" w:eastAsiaTheme="minorEastAsia" w:hAnsiTheme="minorHAnsi"/>
          <w:b w:val="0"/>
          <w:noProof/>
          <w:kern w:val="2"/>
          <w:sz w:val="24"/>
          <w:szCs w:val="24"/>
          <w:lang w:eastAsia="en-AU"/>
          <w14:ligatures w14:val="standardContextual"/>
        </w:rPr>
      </w:pPr>
      <w:hyperlink w:anchor="_Toc201057856" w:history="1">
        <w:r w:rsidRPr="009461B1">
          <w:rPr>
            <w:rStyle w:val="Hyperlink"/>
            <w:noProof/>
          </w:rPr>
          <w:t>Ease of filling lower skilled jobs</w:t>
        </w:r>
        <w:r>
          <w:rPr>
            <w:noProof/>
            <w:webHidden/>
          </w:rPr>
          <w:tab/>
        </w:r>
        <w:r>
          <w:rPr>
            <w:noProof/>
            <w:webHidden/>
          </w:rPr>
          <w:fldChar w:fldCharType="begin"/>
        </w:r>
        <w:r>
          <w:rPr>
            <w:noProof/>
            <w:webHidden/>
          </w:rPr>
          <w:instrText xml:space="preserve"> PAGEREF _Toc201057856 \h </w:instrText>
        </w:r>
        <w:r>
          <w:rPr>
            <w:noProof/>
            <w:webHidden/>
          </w:rPr>
        </w:r>
        <w:r>
          <w:rPr>
            <w:noProof/>
            <w:webHidden/>
          </w:rPr>
          <w:fldChar w:fldCharType="separate"/>
        </w:r>
        <w:r w:rsidR="00D80BB2">
          <w:rPr>
            <w:noProof/>
            <w:webHidden/>
          </w:rPr>
          <w:t>8</w:t>
        </w:r>
        <w:r>
          <w:rPr>
            <w:noProof/>
            <w:webHidden/>
          </w:rPr>
          <w:fldChar w:fldCharType="end"/>
        </w:r>
      </w:hyperlink>
    </w:p>
    <w:p w14:paraId="5A41E63E" w14:textId="18A97A4E" w:rsidR="00464459" w:rsidRDefault="00464459">
      <w:pPr>
        <w:pStyle w:val="TOC2"/>
        <w:rPr>
          <w:rFonts w:asciiTheme="minorHAnsi" w:eastAsiaTheme="minorEastAsia" w:hAnsiTheme="minorHAnsi"/>
          <w:b w:val="0"/>
          <w:noProof/>
          <w:kern w:val="2"/>
          <w:sz w:val="24"/>
          <w:szCs w:val="24"/>
          <w:lang w:eastAsia="en-AU"/>
          <w14:ligatures w14:val="standardContextual"/>
        </w:rPr>
      </w:pPr>
      <w:hyperlink w:anchor="_Toc201057857" w:history="1">
        <w:r w:rsidRPr="009461B1">
          <w:rPr>
            <w:rStyle w:val="Hyperlink"/>
            <w:noProof/>
          </w:rPr>
          <w:t>In focus: How employers’ recruitment experiences differ across jobseeker cohorts</w:t>
        </w:r>
        <w:r>
          <w:rPr>
            <w:noProof/>
            <w:webHidden/>
          </w:rPr>
          <w:tab/>
        </w:r>
        <w:r>
          <w:rPr>
            <w:noProof/>
            <w:webHidden/>
          </w:rPr>
          <w:fldChar w:fldCharType="begin"/>
        </w:r>
        <w:r>
          <w:rPr>
            <w:noProof/>
            <w:webHidden/>
          </w:rPr>
          <w:instrText xml:space="preserve"> PAGEREF _Toc201057857 \h </w:instrText>
        </w:r>
        <w:r>
          <w:rPr>
            <w:noProof/>
            <w:webHidden/>
          </w:rPr>
        </w:r>
        <w:r>
          <w:rPr>
            <w:noProof/>
            <w:webHidden/>
          </w:rPr>
          <w:fldChar w:fldCharType="separate"/>
        </w:r>
        <w:r w:rsidR="00D80BB2">
          <w:rPr>
            <w:noProof/>
            <w:webHidden/>
          </w:rPr>
          <w:t>10</w:t>
        </w:r>
        <w:r>
          <w:rPr>
            <w:noProof/>
            <w:webHidden/>
          </w:rPr>
          <w:fldChar w:fldCharType="end"/>
        </w:r>
      </w:hyperlink>
    </w:p>
    <w:p w14:paraId="2D2AAF24" w14:textId="15C28862" w:rsidR="00464459" w:rsidRDefault="00464459">
      <w:pPr>
        <w:pStyle w:val="TOC1"/>
        <w:rPr>
          <w:rFonts w:asciiTheme="minorHAnsi" w:eastAsiaTheme="minorEastAsia" w:hAnsiTheme="minorHAnsi"/>
          <w:b w:val="0"/>
          <w:noProof/>
          <w:color w:val="auto"/>
          <w:kern w:val="2"/>
          <w:sz w:val="24"/>
          <w:szCs w:val="24"/>
          <w:lang w:eastAsia="en-AU"/>
          <w14:ligatures w14:val="standardContextual"/>
        </w:rPr>
      </w:pPr>
      <w:hyperlink w:anchor="_Toc201057858" w:history="1">
        <w:r w:rsidRPr="009461B1">
          <w:rPr>
            <w:rStyle w:val="Hyperlink"/>
            <w:noProof/>
          </w:rPr>
          <w:t>Easing labour demand continues</w:t>
        </w:r>
        <w:r>
          <w:rPr>
            <w:noProof/>
            <w:webHidden/>
          </w:rPr>
          <w:tab/>
        </w:r>
        <w:r>
          <w:rPr>
            <w:noProof/>
            <w:webHidden/>
          </w:rPr>
          <w:fldChar w:fldCharType="begin"/>
        </w:r>
        <w:r>
          <w:rPr>
            <w:noProof/>
            <w:webHidden/>
          </w:rPr>
          <w:instrText xml:space="preserve"> PAGEREF _Toc201057858 \h </w:instrText>
        </w:r>
        <w:r>
          <w:rPr>
            <w:noProof/>
            <w:webHidden/>
          </w:rPr>
        </w:r>
        <w:r>
          <w:rPr>
            <w:noProof/>
            <w:webHidden/>
          </w:rPr>
          <w:fldChar w:fldCharType="separate"/>
        </w:r>
        <w:r w:rsidR="00D80BB2">
          <w:rPr>
            <w:noProof/>
            <w:webHidden/>
          </w:rPr>
          <w:t>11</w:t>
        </w:r>
        <w:r>
          <w:rPr>
            <w:noProof/>
            <w:webHidden/>
          </w:rPr>
          <w:fldChar w:fldCharType="end"/>
        </w:r>
      </w:hyperlink>
    </w:p>
    <w:p w14:paraId="598DD104" w14:textId="2FE53AEE" w:rsidR="00464459" w:rsidRDefault="00464459">
      <w:pPr>
        <w:pStyle w:val="TOC2"/>
        <w:rPr>
          <w:rFonts w:asciiTheme="minorHAnsi" w:eastAsiaTheme="minorEastAsia" w:hAnsiTheme="minorHAnsi"/>
          <w:b w:val="0"/>
          <w:noProof/>
          <w:kern w:val="2"/>
          <w:sz w:val="24"/>
          <w:szCs w:val="24"/>
          <w:lang w:eastAsia="en-AU"/>
          <w14:ligatures w14:val="standardContextual"/>
        </w:rPr>
      </w:pPr>
      <w:hyperlink w:anchor="_Toc201057859" w:history="1">
        <w:r w:rsidRPr="009461B1">
          <w:rPr>
            <w:rStyle w:val="Hyperlink"/>
            <w:noProof/>
          </w:rPr>
          <w:t>Employers are filling vacancies more easily</w:t>
        </w:r>
        <w:r>
          <w:rPr>
            <w:noProof/>
            <w:webHidden/>
          </w:rPr>
          <w:tab/>
        </w:r>
        <w:r>
          <w:rPr>
            <w:noProof/>
            <w:webHidden/>
          </w:rPr>
          <w:fldChar w:fldCharType="begin"/>
        </w:r>
        <w:r>
          <w:rPr>
            <w:noProof/>
            <w:webHidden/>
          </w:rPr>
          <w:instrText xml:space="preserve"> PAGEREF _Toc201057859 \h </w:instrText>
        </w:r>
        <w:r>
          <w:rPr>
            <w:noProof/>
            <w:webHidden/>
          </w:rPr>
        </w:r>
        <w:r>
          <w:rPr>
            <w:noProof/>
            <w:webHidden/>
          </w:rPr>
          <w:fldChar w:fldCharType="separate"/>
        </w:r>
        <w:r w:rsidR="00D80BB2">
          <w:rPr>
            <w:noProof/>
            <w:webHidden/>
          </w:rPr>
          <w:t>15</w:t>
        </w:r>
        <w:r>
          <w:rPr>
            <w:noProof/>
            <w:webHidden/>
          </w:rPr>
          <w:fldChar w:fldCharType="end"/>
        </w:r>
      </w:hyperlink>
    </w:p>
    <w:p w14:paraId="30987799" w14:textId="4CCC31C1" w:rsidR="00464459" w:rsidRDefault="00464459">
      <w:pPr>
        <w:pStyle w:val="TOC2"/>
        <w:rPr>
          <w:rFonts w:asciiTheme="minorHAnsi" w:eastAsiaTheme="minorEastAsia" w:hAnsiTheme="minorHAnsi"/>
          <w:b w:val="0"/>
          <w:noProof/>
          <w:kern w:val="2"/>
          <w:sz w:val="24"/>
          <w:szCs w:val="24"/>
          <w:lang w:eastAsia="en-AU"/>
          <w14:ligatures w14:val="standardContextual"/>
        </w:rPr>
      </w:pPr>
      <w:hyperlink w:anchor="_Toc201057860" w:history="1">
        <w:r w:rsidRPr="009461B1">
          <w:rPr>
            <w:rStyle w:val="Hyperlink"/>
            <w:noProof/>
          </w:rPr>
          <w:t>Vacancies are being filled faster in metropolitan areas</w:t>
        </w:r>
        <w:r>
          <w:rPr>
            <w:noProof/>
            <w:webHidden/>
          </w:rPr>
          <w:tab/>
        </w:r>
        <w:r>
          <w:rPr>
            <w:noProof/>
            <w:webHidden/>
          </w:rPr>
          <w:fldChar w:fldCharType="begin"/>
        </w:r>
        <w:r>
          <w:rPr>
            <w:noProof/>
            <w:webHidden/>
          </w:rPr>
          <w:instrText xml:space="preserve"> PAGEREF _Toc201057860 \h </w:instrText>
        </w:r>
        <w:r>
          <w:rPr>
            <w:noProof/>
            <w:webHidden/>
          </w:rPr>
        </w:r>
        <w:r>
          <w:rPr>
            <w:noProof/>
            <w:webHidden/>
          </w:rPr>
          <w:fldChar w:fldCharType="separate"/>
        </w:r>
        <w:r w:rsidR="00D80BB2">
          <w:rPr>
            <w:noProof/>
            <w:webHidden/>
          </w:rPr>
          <w:t>16</w:t>
        </w:r>
        <w:r>
          <w:rPr>
            <w:noProof/>
            <w:webHidden/>
          </w:rPr>
          <w:fldChar w:fldCharType="end"/>
        </w:r>
      </w:hyperlink>
    </w:p>
    <w:p w14:paraId="6430E6B2" w14:textId="4A9C6F79" w:rsidR="00464459" w:rsidRDefault="00464459">
      <w:pPr>
        <w:pStyle w:val="TOC2"/>
        <w:rPr>
          <w:rFonts w:asciiTheme="minorHAnsi" w:eastAsiaTheme="minorEastAsia" w:hAnsiTheme="minorHAnsi"/>
          <w:b w:val="0"/>
          <w:noProof/>
          <w:kern w:val="2"/>
          <w:sz w:val="24"/>
          <w:szCs w:val="24"/>
          <w:lang w:eastAsia="en-AU"/>
          <w14:ligatures w14:val="standardContextual"/>
        </w:rPr>
      </w:pPr>
      <w:hyperlink w:anchor="_Toc201057861" w:history="1">
        <w:r w:rsidRPr="009461B1">
          <w:rPr>
            <w:rStyle w:val="Hyperlink"/>
            <w:noProof/>
          </w:rPr>
          <w:t>Fill rates remain lowest for Skill Level 3 occupations</w:t>
        </w:r>
        <w:r>
          <w:rPr>
            <w:noProof/>
            <w:webHidden/>
          </w:rPr>
          <w:tab/>
        </w:r>
        <w:r>
          <w:rPr>
            <w:noProof/>
            <w:webHidden/>
          </w:rPr>
          <w:fldChar w:fldCharType="begin"/>
        </w:r>
        <w:r>
          <w:rPr>
            <w:noProof/>
            <w:webHidden/>
          </w:rPr>
          <w:instrText xml:space="preserve"> PAGEREF _Toc201057861 \h </w:instrText>
        </w:r>
        <w:r>
          <w:rPr>
            <w:noProof/>
            <w:webHidden/>
          </w:rPr>
        </w:r>
        <w:r>
          <w:rPr>
            <w:noProof/>
            <w:webHidden/>
          </w:rPr>
          <w:fldChar w:fldCharType="separate"/>
        </w:r>
        <w:r w:rsidR="00D80BB2">
          <w:rPr>
            <w:noProof/>
            <w:webHidden/>
          </w:rPr>
          <w:t>16</w:t>
        </w:r>
        <w:r>
          <w:rPr>
            <w:noProof/>
            <w:webHidden/>
          </w:rPr>
          <w:fldChar w:fldCharType="end"/>
        </w:r>
      </w:hyperlink>
    </w:p>
    <w:p w14:paraId="430F2AC2" w14:textId="72A59794" w:rsidR="00464459" w:rsidRDefault="00464459">
      <w:pPr>
        <w:pStyle w:val="TOC1"/>
        <w:rPr>
          <w:rFonts w:asciiTheme="minorHAnsi" w:eastAsiaTheme="minorEastAsia" w:hAnsiTheme="minorHAnsi"/>
          <w:b w:val="0"/>
          <w:noProof/>
          <w:color w:val="auto"/>
          <w:kern w:val="2"/>
          <w:sz w:val="24"/>
          <w:szCs w:val="24"/>
          <w:lang w:eastAsia="en-AU"/>
          <w14:ligatures w14:val="standardContextual"/>
        </w:rPr>
      </w:pPr>
      <w:hyperlink w:anchor="_Toc201057862" w:history="1">
        <w:r w:rsidRPr="009461B1">
          <w:rPr>
            <w:rStyle w:val="Hyperlink"/>
            <w:noProof/>
          </w:rPr>
          <w:t>Jobs and Skills Australia resources</w:t>
        </w:r>
        <w:r>
          <w:rPr>
            <w:noProof/>
            <w:webHidden/>
          </w:rPr>
          <w:tab/>
        </w:r>
        <w:r>
          <w:rPr>
            <w:noProof/>
            <w:webHidden/>
          </w:rPr>
          <w:fldChar w:fldCharType="begin"/>
        </w:r>
        <w:r>
          <w:rPr>
            <w:noProof/>
            <w:webHidden/>
          </w:rPr>
          <w:instrText xml:space="preserve"> PAGEREF _Toc201057862 \h </w:instrText>
        </w:r>
        <w:r>
          <w:rPr>
            <w:noProof/>
            <w:webHidden/>
          </w:rPr>
        </w:r>
        <w:r>
          <w:rPr>
            <w:noProof/>
            <w:webHidden/>
          </w:rPr>
          <w:fldChar w:fldCharType="separate"/>
        </w:r>
        <w:r w:rsidR="00D80BB2">
          <w:rPr>
            <w:noProof/>
            <w:webHidden/>
          </w:rPr>
          <w:t>18</w:t>
        </w:r>
        <w:r>
          <w:rPr>
            <w:noProof/>
            <w:webHidden/>
          </w:rPr>
          <w:fldChar w:fldCharType="end"/>
        </w:r>
      </w:hyperlink>
    </w:p>
    <w:p w14:paraId="6CDE78C4" w14:textId="37E82420" w:rsidR="00AE0185" w:rsidRDefault="00452A9D" w:rsidP="00E03B0F">
      <w:pPr>
        <w:sectPr w:rsidR="00AE0185" w:rsidSect="00A67B12">
          <w:headerReference w:type="first" r:id="rId16"/>
          <w:footerReference w:type="first" r:id="rId17"/>
          <w:pgSz w:w="11907" w:h="16839" w:code="9"/>
          <w:pgMar w:top="1440" w:right="1270" w:bottom="1440" w:left="1270" w:header="720" w:footer="720" w:gutter="0"/>
          <w:pgNumType w:start="1"/>
          <w:cols w:space="720"/>
          <w:titlePg/>
          <w:docGrid w:linePitch="360"/>
        </w:sectPr>
      </w:pPr>
      <w:r>
        <w:fldChar w:fldCharType="end"/>
      </w:r>
    </w:p>
    <w:p w14:paraId="2DCBE799" w14:textId="2083D711" w:rsidR="00732448" w:rsidRDefault="00D15488" w:rsidP="00F55EA1">
      <w:pPr>
        <w:pStyle w:val="Heading1"/>
      </w:pPr>
      <w:bookmarkStart w:id="1" w:name="_Toc151365176"/>
      <w:bookmarkStart w:id="2" w:name="_Hlk165359703"/>
      <w:bookmarkStart w:id="3" w:name="_Toc189205680"/>
      <w:bookmarkStart w:id="4" w:name="_Toc201057849"/>
      <w:r>
        <w:lastRenderedPageBreak/>
        <w:t>Executive summary</w:t>
      </w:r>
      <w:bookmarkEnd w:id="1"/>
      <w:bookmarkEnd w:id="2"/>
      <w:bookmarkEnd w:id="3"/>
      <w:bookmarkEnd w:id="4"/>
    </w:p>
    <w:p w14:paraId="524FCB1A" w14:textId="54E9A709" w:rsidR="00102310" w:rsidRDefault="000B487B" w:rsidP="00FF0B93">
      <w:pPr>
        <w:pStyle w:val="BodyText"/>
      </w:pPr>
      <w:r w:rsidRPr="001674D3">
        <w:t xml:space="preserve">While the Australian labour market remains reasonably tight, conditions have eased over the March quarter 2025. </w:t>
      </w:r>
      <w:r w:rsidR="009E0CC7">
        <w:t>Several</w:t>
      </w:r>
      <w:r w:rsidR="004115EC">
        <w:t xml:space="preserve"> </w:t>
      </w:r>
      <w:r w:rsidRPr="001674D3">
        <w:t xml:space="preserve">forward indicators continue to point to some further softening in labour market conditions in the coming months. </w:t>
      </w:r>
      <w:r w:rsidR="00100859">
        <w:t>However</w:t>
      </w:r>
      <w:r w:rsidR="00FF0B93" w:rsidRPr="001674D3">
        <w:t xml:space="preserve">, some downside risks to the outlook remain evident, </w:t>
      </w:r>
      <w:r w:rsidR="003145CC">
        <w:t xml:space="preserve">especially </w:t>
      </w:r>
      <w:r w:rsidR="00FF0B93" w:rsidRPr="001674D3">
        <w:t>global uncertainty around the final scope of U.S. tariffs, which are likely to weigh heavily on international trade and investment. This will have both direct and indirect effects on the Australian economy and labour market in the period ahead.</w:t>
      </w:r>
    </w:p>
    <w:p w14:paraId="6920194B" w14:textId="1DDF1147" w:rsidR="006C4635" w:rsidRDefault="00547C67" w:rsidP="004115EC">
      <w:pPr>
        <w:pStyle w:val="BodyText"/>
      </w:pPr>
      <w:r>
        <w:t xml:space="preserve">Over the </w:t>
      </w:r>
      <w:r w:rsidR="004115EC">
        <w:t>March quarter</w:t>
      </w:r>
      <w:r w:rsidR="00FF0B93">
        <w:t xml:space="preserve"> 2025</w:t>
      </w:r>
      <w:r>
        <w:t xml:space="preserve">, </w:t>
      </w:r>
      <w:r w:rsidR="004115EC" w:rsidRPr="002F6F61">
        <w:t xml:space="preserve">Jobs and Skills Australia's </w:t>
      </w:r>
      <w:r w:rsidR="004115EC" w:rsidRPr="002F6F61">
        <w:rPr>
          <w:rStyle w:val="Characterbold"/>
          <w:b w:val="0"/>
          <w:bCs/>
        </w:rPr>
        <w:t>Internet Vacancy Index (IVI)</w:t>
      </w:r>
      <w:r w:rsidR="004115EC" w:rsidRPr="002F6F61">
        <w:t xml:space="preserve"> </w:t>
      </w:r>
      <w:r w:rsidR="00B33C2A">
        <w:t xml:space="preserve">reported </w:t>
      </w:r>
      <w:r w:rsidR="004115EC" w:rsidRPr="002F6F61">
        <w:t xml:space="preserve">a decline in </w:t>
      </w:r>
      <w:r w:rsidR="00CB5370">
        <w:t xml:space="preserve">online </w:t>
      </w:r>
      <w:r w:rsidR="004115EC" w:rsidRPr="002F6F61">
        <w:t>job advertisements</w:t>
      </w:r>
      <w:r w:rsidR="00F67355">
        <w:t xml:space="preserve"> and </w:t>
      </w:r>
      <w:r w:rsidR="004115EC" w:rsidRPr="00147883">
        <w:t xml:space="preserve">the </w:t>
      </w:r>
      <w:r w:rsidR="004115EC" w:rsidRPr="00147883">
        <w:rPr>
          <w:rStyle w:val="Characterbold"/>
          <w:b w:val="0"/>
          <w:bCs/>
        </w:rPr>
        <w:t>Survey of Employers who have Recently Advertised (SERA)</w:t>
      </w:r>
      <w:r w:rsidR="004115EC" w:rsidRPr="00147883">
        <w:rPr>
          <w:b/>
          <w:bCs/>
        </w:rPr>
        <w:t xml:space="preserve"> </w:t>
      </w:r>
      <w:r w:rsidR="0094066C" w:rsidRPr="00147883">
        <w:t xml:space="preserve">indicates </w:t>
      </w:r>
      <w:r w:rsidR="00B85795">
        <w:t>an increase in</w:t>
      </w:r>
      <w:r w:rsidR="00D315D1">
        <w:t xml:space="preserve"> </w:t>
      </w:r>
      <w:r w:rsidR="0094066C" w:rsidRPr="00147883">
        <w:t xml:space="preserve">the </w:t>
      </w:r>
      <w:r w:rsidR="004115EC" w:rsidRPr="00147883">
        <w:t>vacancy fill rate</w:t>
      </w:r>
      <w:r w:rsidR="00D315D1">
        <w:t>.</w:t>
      </w:r>
      <w:r w:rsidR="0024441F">
        <w:t xml:space="preserve"> </w:t>
      </w:r>
      <w:r w:rsidR="00D315D1">
        <w:t>Mean</w:t>
      </w:r>
      <w:r w:rsidR="0024441F">
        <w:t>while</w:t>
      </w:r>
      <w:r w:rsidR="00E97F81">
        <w:t>,</w:t>
      </w:r>
      <w:r w:rsidR="001A670F">
        <w:t xml:space="preserve"> d</w:t>
      </w:r>
      <w:r w:rsidR="00F509A3">
        <w:t xml:space="preserve">ata from the </w:t>
      </w:r>
      <w:r w:rsidR="004115EC" w:rsidRPr="00147883">
        <w:rPr>
          <w:rStyle w:val="Characterbold"/>
          <w:b w:val="0"/>
          <w:bCs/>
        </w:rPr>
        <w:t>Recruitment Experiences and Outlook Survey (REOS)</w:t>
      </w:r>
      <w:r w:rsidR="004115EC" w:rsidRPr="00147883">
        <w:t xml:space="preserve"> show that </w:t>
      </w:r>
      <w:r w:rsidR="00F67355">
        <w:t>recruitment activity has</w:t>
      </w:r>
      <w:r w:rsidR="004115EC" w:rsidRPr="00147883">
        <w:t xml:space="preserve"> </w:t>
      </w:r>
      <w:r w:rsidR="00F509A3">
        <w:t xml:space="preserve">eased </w:t>
      </w:r>
      <w:r w:rsidR="004F58A1">
        <w:t>compared</w:t>
      </w:r>
      <w:r w:rsidR="00F509A3">
        <w:t xml:space="preserve"> to a year ago. </w:t>
      </w:r>
    </w:p>
    <w:p w14:paraId="37A904CA" w14:textId="612D3018" w:rsidR="00816ED3" w:rsidRDefault="0071512F" w:rsidP="00147883">
      <w:pPr>
        <w:pStyle w:val="BodyText"/>
      </w:pPr>
      <w:r>
        <w:t>During</w:t>
      </w:r>
      <w:r w:rsidR="00147883" w:rsidRPr="001674D3">
        <w:t xml:space="preserve"> the March quarter, employment rose in all jurisdictions </w:t>
      </w:r>
      <w:r w:rsidR="00735FBB">
        <w:t xml:space="preserve">except for </w:t>
      </w:r>
      <w:r w:rsidR="00147883" w:rsidRPr="001674D3">
        <w:t>Queensland. South Australia recorded the largest increase in employment over the period, followed by Victoria. The Australian Capital Territory recorded the lowest unemployment rate of all jurisdictions in March 2025.</w:t>
      </w:r>
      <w:r w:rsidR="00147883" w:rsidRPr="00423D1E">
        <w:t xml:space="preserve"> </w:t>
      </w:r>
      <w:r w:rsidR="00147883" w:rsidRPr="00034855">
        <w:t xml:space="preserve">By industry, employment increased in 14 </w:t>
      </w:r>
      <w:r w:rsidR="00E559D8">
        <w:t xml:space="preserve">out </w:t>
      </w:r>
      <w:r w:rsidR="00147883" w:rsidRPr="00034855">
        <w:t xml:space="preserve">of 19 industries. The highest growth </w:t>
      </w:r>
      <w:r w:rsidR="00147883" w:rsidRPr="00DF60B6">
        <w:t xml:space="preserve">continued to occur in Health Care and Social Assistance, Education and Training, and Construction. The largest decline in employment was recorded for Professional, Scientific and Technical Services, and Manufacturing. </w:t>
      </w:r>
    </w:p>
    <w:p w14:paraId="12B6AC0C" w14:textId="49DFA7AB" w:rsidR="00423D1E" w:rsidRPr="00423D1E" w:rsidRDefault="00423D1E" w:rsidP="00423D1E">
      <w:pPr>
        <w:pStyle w:val="BodyText"/>
      </w:pPr>
      <w:r w:rsidRPr="001674D3">
        <w:t xml:space="preserve">Over the 12 months to the </w:t>
      </w:r>
      <w:r w:rsidR="001674D3" w:rsidRPr="001674D3">
        <w:t>March</w:t>
      </w:r>
      <w:r w:rsidRPr="001674D3">
        <w:t xml:space="preserve"> quarter 202</w:t>
      </w:r>
      <w:r w:rsidR="001674D3" w:rsidRPr="001674D3">
        <w:t>5</w:t>
      </w:r>
      <w:r w:rsidRPr="001674D3">
        <w:t xml:space="preserve">, employment growth was driven by </w:t>
      </w:r>
      <w:r w:rsidR="00C5490F">
        <w:t>jobs that</w:t>
      </w:r>
      <w:r w:rsidRPr="001674D3">
        <w:t xml:space="preserve"> typically require post-secondary qualifications</w:t>
      </w:r>
      <w:r w:rsidR="00C5490F" w:rsidRPr="00C5490F">
        <w:t xml:space="preserve"> </w:t>
      </w:r>
      <w:r w:rsidR="00C5490F">
        <w:t>(</w:t>
      </w:r>
      <w:r w:rsidR="00C5490F" w:rsidRPr="001674D3">
        <w:t>Skill Level 1 to 4 occupations</w:t>
      </w:r>
      <w:r w:rsidR="00C5490F">
        <w:t>)</w:t>
      </w:r>
      <w:r w:rsidR="00AA64FC">
        <w:t xml:space="preserve">, while employment declined for </w:t>
      </w:r>
      <w:r w:rsidR="00AC6D90">
        <w:t xml:space="preserve">roles </w:t>
      </w:r>
      <w:r w:rsidR="00AA64FC">
        <w:t xml:space="preserve">that </w:t>
      </w:r>
      <w:r w:rsidR="00034855">
        <w:t>generally do</w:t>
      </w:r>
      <w:r w:rsidR="00456A56">
        <w:t xml:space="preserve"> not</w:t>
      </w:r>
      <w:r w:rsidR="00034855">
        <w:t xml:space="preserve"> require post-school qualification</w:t>
      </w:r>
      <w:r w:rsidR="00C5490F">
        <w:t>s</w:t>
      </w:r>
      <w:r w:rsidR="00C5490F" w:rsidRPr="00C5490F">
        <w:t xml:space="preserve"> </w:t>
      </w:r>
      <w:r w:rsidR="00C5490F">
        <w:t>(Skill Level 5)</w:t>
      </w:r>
      <w:r w:rsidR="00034855">
        <w:t>.</w:t>
      </w:r>
      <w:r w:rsidR="00FF0B93">
        <w:t xml:space="preserve"> </w:t>
      </w:r>
      <w:r w:rsidR="00451787">
        <w:t xml:space="preserve">More specifically, the data shows that </w:t>
      </w:r>
      <w:r w:rsidR="00D34F69">
        <w:t xml:space="preserve">more </w:t>
      </w:r>
      <w:r w:rsidR="005D6E7A">
        <w:t>than</w:t>
      </w:r>
      <w:r w:rsidR="005D6E7A" w:rsidRPr="00732B12">
        <w:t xml:space="preserve"> two-thirds of this growth was in Skill Level 2 to 4 occupations</w:t>
      </w:r>
      <w:r w:rsidR="00177E2F">
        <w:t xml:space="preserve"> </w:t>
      </w:r>
      <w:r w:rsidR="00106D2F">
        <w:t>which</w:t>
      </w:r>
      <w:r w:rsidR="00177E2F">
        <w:t xml:space="preserve"> are</w:t>
      </w:r>
      <w:r w:rsidR="005D6E7A" w:rsidRPr="00732B12">
        <w:t xml:space="preserve"> typically associated with a </w:t>
      </w:r>
      <w:r w:rsidR="005D6E7A">
        <w:t>Vocational Education and Training (VET)</w:t>
      </w:r>
      <w:r w:rsidR="005D6E7A" w:rsidRPr="00732B12">
        <w:t xml:space="preserve"> pathway.</w:t>
      </w:r>
      <w:r w:rsidR="005D6E7A">
        <w:t xml:space="preserve"> </w:t>
      </w:r>
      <w:r w:rsidR="004115EC">
        <w:t xml:space="preserve">REOS data </w:t>
      </w:r>
      <w:r w:rsidR="00DF2B41">
        <w:t>also</w:t>
      </w:r>
      <w:r w:rsidR="006736A5">
        <w:t xml:space="preserve"> indicates</w:t>
      </w:r>
      <w:r w:rsidR="00D43A87">
        <w:t xml:space="preserve"> that</w:t>
      </w:r>
      <w:r w:rsidR="005850AA">
        <w:t xml:space="preserve"> the</w:t>
      </w:r>
      <w:r w:rsidR="00B01E80" w:rsidRPr="00B01E80">
        <w:t xml:space="preserve"> recruitment difficulty rate for lower skilled positions experienced a deeper decline when the labour market began to ease in in 2022. On the other hand, the decrease in the difficulty rate for higher skilled vacancies was slower and only recently has it significantly fallen below the 2022 peak</w:t>
      </w:r>
      <w:r w:rsidR="00FF0B93">
        <w:t xml:space="preserve">. </w:t>
      </w:r>
      <w:r w:rsidR="00AA64FC" w:rsidRPr="001D4345">
        <w:t>Cohorts less likely to h</w:t>
      </w:r>
      <w:r w:rsidR="00EE7CE0">
        <w:t>old</w:t>
      </w:r>
      <w:r w:rsidR="00AA64FC" w:rsidRPr="001D4345">
        <w:t xml:space="preserve"> </w:t>
      </w:r>
      <w:r w:rsidR="0094066C" w:rsidRPr="001D4345">
        <w:t>post-school</w:t>
      </w:r>
      <w:r w:rsidR="00AA64FC" w:rsidRPr="001D4345">
        <w:t xml:space="preserve"> qualifications, such as youth and the long-term unemployed, </w:t>
      </w:r>
      <w:r w:rsidR="0094066C" w:rsidRPr="001D4345">
        <w:t xml:space="preserve">tend to </w:t>
      </w:r>
      <w:r w:rsidR="00AA64FC" w:rsidRPr="001D4345">
        <w:t xml:space="preserve">experience less favourable employment outcomes.  </w:t>
      </w:r>
    </w:p>
    <w:p w14:paraId="4E3AE012" w14:textId="77777777" w:rsidR="00DF60B6" w:rsidRDefault="00DF60B6">
      <w:pPr>
        <w:spacing w:before="0" w:after="200" w:line="276" w:lineRule="auto"/>
        <w:rPr>
          <w:rFonts w:eastAsia="Times New Roman" w:cs="Arial"/>
          <w:b/>
          <w:bCs/>
          <w:color w:val="4B0985"/>
          <w:sz w:val="48"/>
          <w:szCs w:val="32"/>
          <w:lang w:eastAsia="en-AU"/>
        </w:rPr>
      </w:pPr>
      <w:bookmarkStart w:id="5" w:name="_Toc189205681"/>
      <w:bookmarkStart w:id="6" w:name="_Hlk173915445"/>
      <w:r>
        <w:br w:type="page"/>
      </w:r>
    </w:p>
    <w:p w14:paraId="37BBB948" w14:textId="10BD6E3D" w:rsidR="00F81633" w:rsidRPr="00F81633" w:rsidRDefault="00F81633" w:rsidP="00F81633">
      <w:pPr>
        <w:pStyle w:val="Heading1"/>
      </w:pPr>
      <w:bookmarkStart w:id="7" w:name="_Toc201057850"/>
      <w:r w:rsidRPr="00F81633">
        <w:lastRenderedPageBreak/>
        <w:t>Labour market conditions</w:t>
      </w:r>
      <w:bookmarkEnd w:id="7"/>
      <w:r w:rsidRPr="00F81633">
        <w:t xml:space="preserve"> </w:t>
      </w:r>
      <w:bookmarkEnd w:id="5"/>
    </w:p>
    <w:p w14:paraId="2BF2D95E" w14:textId="4A97DE93" w:rsidR="0049646C" w:rsidRDefault="0049646C" w:rsidP="0049646C">
      <w:pPr>
        <w:pStyle w:val="Heading2"/>
      </w:pPr>
      <w:bookmarkStart w:id="8" w:name="_Toc201057851"/>
      <w:bookmarkStart w:id="9" w:name="_Toc189205685"/>
      <w:bookmarkStart w:id="10" w:name="_Toc151365189"/>
      <w:bookmarkEnd w:id="6"/>
      <w:r w:rsidRPr="002B4887">
        <w:t>The labour market remains resilient</w:t>
      </w:r>
      <w:bookmarkEnd w:id="8"/>
    </w:p>
    <w:p w14:paraId="614616A9" w14:textId="7355F2C3" w:rsidR="000B487B" w:rsidRDefault="000B487B" w:rsidP="000B487B">
      <w:pPr>
        <w:pStyle w:val="BodyText"/>
      </w:pPr>
      <w:r w:rsidRPr="000B487B">
        <w:t xml:space="preserve">The Australian labour market remained resilient in the March quarter 2025 (despite some easing in conditions), supported by strong (though slowing) population growth and public sector demand. </w:t>
      </w:r>
      <w:r w:rsidR="006E517A">
        <w:t>According to</w:t>
      </w:r>
      <w:r w:rsidR="008512EA">
        <w:t xml:space="preserve"> the</w:t>
      </w:r>
      <w:r w:rsidRPr="000B487B">
        <w:t xml:space="preserve"> Reserve Bank of Australia’s </w:t>
      </w:r>
      <w:r w:rsidR="00E911CD">
        <w:t>latest</w:t>
      </w:r>
      <w:r w:rsidRPr="000B487B">
        <w:t xml:space="preserve"> baseline forecasts</w:t>
      </w:r>
      <w:r w:rsidR="00EF66D3">
        <w:t>,</w:t>
      </w:r>
      <w:r w:rsidRPr="000B487B">
        <w:t xml:space="preserve"> </w:t>
      </w:r>
      <w:r w:rsidR="00EF66D3">
        <w:t>a</w:t>
      </w:r>
      <w:r w:rsidRPr="000B487B">
        <w:t xml:space="preserve"> further softening in labour market activity </w:t>
      </w:r>
      <w:r w:rsidR="00EF66D3">
        <w:t xml:space="preserve">is expected </w:t>
      </w:r>
      <w:r w:rsidRPr="000B487B">
        <w:t xml:space="preserve">in the </w:t>
      </w:r>
      <w:r w:rsidR="00482A5B">
        <w:t xml:space="preserve">coming </w:t>
      </w:r>
      <w:r w:rsidRPr="000B487B">
        <w:t>months</w:t>
      </w:r>
      <w:r w:rsidR="00482A5B">
        <w:t>. E</w:t>
      </w:r>
      <w:r w:rsidRPr="000B487B">
        <w:t xml:space="preserve">mployment </w:t>
      </w:r>
      <w:r w:rsidR="00482A5B">
        <w:t xml:space="preserve">growth </w:t>
      </w:r>
      <w:r w:rsidR="00420DE4">
        <w:t xml:space="preserve">is projected </w:t>
      </w:r>
      <w:r w:rsidRPr="000B487B">
        <w:t xml:space="preserve">to moderate from 2.1% through the year to the June quarter 2025, to 1.4% in the December quarter 2025. Against the softer backdrop, the unemployment rate is forecast to increase to 4.3% in the December quarter 2025. </w:t>
      </w:r>
    </w:p>
    <w:p w14:paraId="58E03379" w14:textId="3E773854" w:rsidR="000B487B" w:rsidRPr="000B487B" w:rsidRDefault="000B487B" w:rsidP="000B487B">
      <w:pPr>
        <w:pStyle w:val="BodyText"/>
      </w:pPr>
      <w:r w:rsidRPr="000B487B">
        <w:t xml:space="preserve">That said, </w:t>
      </w:r>
      <w:r w:rsidR="00284043" w:rsidRPr="000B487B">
        <w:t>several</w:t>
      </w:r>
      <w:r w:rsidRPr="000B487B">
        <w:t xml:space="preserve"> downside risks to these forecasts remain evident. Indeed, the overall impact of </w:t>
      </w:r>
      <w:bookmarkStart w:id="11" w:name="_Hlk199180989"/>
      <w:r w:rsidRPr="000B487B">
        <w:t xml:space="preserve">heightened global uncertainty </w:t>
      </w:r>
      <w:bookmarkEnd w:id="11"/>
      <w:r w:rsidRPr="000B487B">
        <w:t xml:space="preserve">and the indirect effects of tariffs (and the associated policy responses of other countries) are likely to weigh heavily on international trade and investment. Additional data and time will be required to assess any </w:t>
      </w:r>
      <w:r w:rsidR="00475575">
        <w:t>resulting</w:t>
      </w:r>
      <w:r w:rsidR="00D6279E">
        <w:t xml:space="preserve"> </w:t>
      </w:r>
      <w:r w:rsidRPr="000B487B">
        <w:t xml:space="preserve">economic </w:t>
      </w:r>
      <w:r w:rsidR="001803C2">
        <w:t xml:space="preserve">impacts </w:t>
      </w:r>
      <w:r w:rsidRPr="000B487B">
        <w:t xml:space="preserve">and their </w:t>
      </w:r>
      <w:r w:rsidR="001803C2">
        <w:t>imp</w:t>
      </w:r>
      <w:r w:rsidR="005534B5">
        <w:t>l</w:t>
      </w:r>
      <w:r w:rsidR="001803C2">
        <w:t>ications</w:t>
      </w:r>
      <w:r w:rsidR="005534B5">
        <w:t xml:space="preserve"> for</w:t>
      </w:r>
      <w:r w:rsidRPr="000B487B">
        <w:t xml:space="preserve"> the Australian labour market in the period ahead. </w:t>
      </w:r>
    </w:p>
    <w:p w14:paraId="2C23A03F" w14:textId="7CD05AFB" w:rsidR="000B487B" w:rsidRPr="000B487B" w:rsidRDefault="000B487B" w:rsidP="000B487B">
      <w:pPr>
        <w:pStyle w:val="Caption"/>
      </w:pPr>
      <w:bookmarkStart w:id="12" w:name="_Ref200453180"/>
      <w:r w:rsidRPr="000B487B">
        <w:t xml:space="preserve">Table </w:t>
      </w:r>
      <w:r w:rsidRPr="000B487B">
        <w:fldChar w:fldCharType="begin"/>
      </w:r>
      <w:r w:rsidRPr="000B487B">
        <w:instrText xml:space="preserve"> SEQ Table \* ARABIC </w:instrText>
      </w:r>
      <w:r w:rsidRPr="000B487B">
        <w:fldChar w:fldCharType="separate"/>
      </w:r>
      <w:r w:rsidR="00D80BB2">
        <w:rPr>
          <w:noProof/>
        </w:rPr>
        <w:t>1</w:t>
      </w:r>
      <w:r w:rsidRPr="000B487B">
        <w:fldChar w:fldCharType="end"/>
      </w:r>
      <w:bookmarkEnd w:id="12"/>
      <w:r w:rsidRPr="000B487B">
        <w:t>: Key labour market indicators, March 2025, and change since December 2024</w:t>
      </w:r>
    </w:p>
    <w:tbl>
      <w:tblPr>
        <w:tblW w:w="6680" w:type="dxa"/>
        <w:tblLook w:val="04A0" w:firstRow="1" w:lastRow="0" w:firstColumn="1" w:lastColumn="0" w:noHBand="0" w:noVBand="1"/>
      </w:tblPr>
      <w:tblGrid>
        <w:gridCol w:w="2680"/>
        <w:gridCol w:w="2000"/>
        <w:gridCol w:w="2000"/>
      </w:tblGrid>
      <w:tr w:rsidR="000B487B" w:rsidRPr="000B487B" w14:paraId="7F628AFF" w14:textId="77777777" w:rsidTr="00FC4B58">
        <w:trPr>
          <w:trHeight w:val="480"/>
        </w:trPr>
        <w:tc>
          <w:tcPr>
            <w:tcW w:w="2680" w:type="dxa"/>
            <w:tcBorders>
              <w:top w:val="nil"/>
              <w:left w:val="nil"/>
              <w:bottom w:val="nil"/>
              <w:right w:val="nil"/>
            </w:tcBorders>
            <w:shd w:val="clear" w:color="000000" w:fill="2F005F"/>
            <w:vAlign w:val="center"/>
            <w:hideMark/>
          </w:tcPr>
          <w:p w14:paraId="6DC74AF4" w14:textId="77777777" w:rsidR="000B487B" w:rsidRPr="000B487B" w:rsidRDefault="000B487B" w:rsidP="00FC4B58">
            <w:pPr>
              <w:spacing w:before="0" w:after="0"/>
              <w:jc w:val="right"/>
              <w:rPr>
                <w:rFonts w:eastAsia="Times New Roman" w:cs="Arial"/>
                <w:color w:val="000000"/>
                <w:sz w:val="18"/>
                <w:szCs w:val="18"/>
                <w:lang w:eastAsia="en-AU"/>
              </w:rPr>
            </w:pPr>
            <w:r w:rsidRPr="000B487B">
              <w:rPr>
                <w:rFonts w:eastAsia="Times New Roman" w:cs="Arial"/>
                <w:color w:val="000000"/>
                <w:sz w:val="18"/>
                <w:szCs w:val="22"/>
                <w:lang w:eastAsia="en-AU"/>
              </w:rPr>
              <w:t> </w:t>
            </w:r>
          </w:p>
        </w:tc>
        <w:tc>
          <w:tcPr>
            <w:tcW w:w="2000" w:type="dxa"/>
            <w:tcBorders>
              <w:top w:val="nil"/>
              <w:left w:val="nil"/>
              <w:bottom w:val="nil"/>
              <w:right w:val="nil"/>
            </w:tcBorders>
            <w:shd w:val="clear" w:color="000000" w:fill="2F005F"/>
            <w:vAlign w:val="center"/>
            <w:hideMark/>
          </w:tcPr>
          <w:p w14:paraId="11936A14" w14:textId="77777777" w:rsidR="000B487B" w:rsidRPr="000B487B" w:rsidRDefault="000B487B" w:rsidP="00FC4B58">
            <w:pPr>
              <w:spacing w:before="0" w:after="0"/>
              <w:jc w:val="center"/>
              <w:rPr>
                <w:rFonts w:eastAsia="Times New Roman" w:cs="Arial"/>
                <w:color w:val="FFFFFF"/>
                <w:sz w:val="18"/>
                <w:szCs w:val="18"/>
                <w:lang w:eastAsia="en-AU"/>
              </w:rPr>
            </w:pPr>
            <w:r w:rsidRPr="000B487B">
              <w:rPr>
                <w:rFonts w:eastAsia="Times New Roman" w:cs="Arial"/>
                <w:sz w:val="18"/>
                <w:szCs w:val="22"/>
                <w:lang w:eastAsia="en-AU"/>
              </w:rPr>
              <w:t>Mar-25</w:t>
            </w:r>
          </w:p>
        </w:tc>
        <w:tc>
          <w:tcPr>
            <w:tcW w:w="2000" w:type="dxa"/>
            <w:tcBorders>
              <w:top w:val="nil"/>
              <w:left w:val="nil"/>
              <w:bottom w:val="nil"/>
              <w:right w:val="nil"/>
            </w:tcBorders>
            <w:shd w:val="clear" w:color="000000" w:fill="2F005F"/>
            <w:vAlign w:val="center"/>
            <w:hideMark/>
          </w:tcPr>
          <w:p w14:paraId="5F59496C" w14:textId="77777777" w:rsidR="000B487B" w:rsidRPr="000B487B" w:rsidRDefault="000B487B" w:rsidP="00FC4B58">
            <w:pPr>
              <w:spacing w:before="0" w:after="0"/>
              <w:jc w:val="center"/>
              <w:rPr>
                <w:rFonts w:eastAsia="Times New Roman" w:cs="Arial"/>
                <w:color w:val="FFFFFF"/>
                <w:sz w:val="18"/>
                <w:szCs w:val="18"/>
                <w:lang w:eastAsia="en-AU"/>
              </w:rPr>
            </w:pPr>
            <w:r w:rsidRPr="000B487B">
              <w:rPr>
                <w:rFonts w:eastAsia="Times New Roman" w:cs="Arial"/>
                <w:sz w:val="18"/>
                <w:szCs w:val="22"/>
                <w:lang w:eastAsia="en-AU"/>
              </w:rPr>
              <w:t>Change since Dec-24</w:t>
            </w:r>
          </w:p>
        </w:tc>
      </w:tr>
      <w:tr w:rsidR="000B487B" w:rsidRPr="000B487B" w14:paraId="3957F3FA" w14:textId="77777777" w:rsidTr="00FC4B58">
        <w:trPr>
          <w:trHeight w:val="357"/>
        </w:trPr>
        <w:tc>
          <w:tcPr>
            <w:tcW w:w="2680" w:type="dxa"/>
            <w:tcBorders>
              <w:top w:val="nil"/>
              <w:left w:val="nil"/>
              <w:bottom w:val="nil"/>
              <w:right w:val="nil"/>
            </w:tcBorders>
            <w:vAlign w:val="center"/>
            <w:hideMark/>
          </w:tcPr>
          <w:p w14:paraId="027B65E1"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22"/>
                <w:lang w:eastAsia="en-AU"/>
              </w:rPr>
              <w:t>Employment</w:t>
            </w:r>
          </w:p>
        </w:tc>
        <w:tc>
          <w:tcPr>
            <w:tcW w:w="2000" w:type="dxa"/>
            <w:tcBorders>
              <w:top w:val="nil"/>
              <w:left w:val="nil"/>
              <w:bottom w:val="nil"/>
              <w:right w:val="nil"/>
            </w:tcBorders>
            <w:vAlign w:val="center"/>
            <w:hideMark/>
          </w:tcPr>
          <w:p w14:paraId="53002B59"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14,544,100</w:t>
            </w:r>
          </w:p>
        </w:tc>
        <w:tc>
          <w:tcPr>
            <w:tcW w:w="2000" w:type="dxa"/>
            <w:tcBorders>
              <w:top w:val="nil"/>
              <w:left w:val="nil"/>
              <w:bottom w:val="nil"/>
              <w:right w:val="nil"/>
            </w:tcBorders>
            <w:vAlign w:val="center"/>
            <w:hideMark/>
          </w:tcPr>
          <w:p w14:paraId="488BE188" w14:textId="77777777" w:rsidR="000B487B" w:rsidRPr="000B487B" w:rsidRDefault="000B487B" w:rsidP="00FC4B58">
            <w:pPr>
              <w:spacing w:before="0" w:after="0"/>
              <w:jc w:val="center"/>
              <w:rPr>
                <w:rFonts w:ascii="Calibri" w:eastAsia="Times New Roman" w:hAnsi="Calibri" w:cs="Calibri"/>
                <w:color w:val="000000"/>
                <w:sz w:val="18"/>
                <w:szCs w:val="18"/>
                <w:lang w:eastAsia="en-AU"/>
              </w:rPr>
            </w:pPr>
            <w:r w:rsidRPr="000B487B">
              <w:rPr>
                <w:rFonts w:eastAsia="Arial"/>
                <w:sz w:val="18"/>
                <w:szCs w:val="22"/>
              </w:rPr>
              <w:t>0.0%</w:t>
            </w:r>
          </w:p>
        </w:tc>
      </w:tr>
      <w:tr w:rsidR="000B487B" w:rsidRPr="000B487B" w14:paraId="6B975F19" w14:textId="77777777" w:rsidTr="00FC4B58">
        <w:trPr>
          <w:trHeight w:val="357"/>
        </w:trPr>
        <w:tc>
          <w:tcPr>
            <w:tcW w:w="2680" w:type="dxa"/>
            <w:tcBorders>
              <w:top w:val="nil"/>
              <w:left w:val="nil"/>
              <w:bottom w:val="nil"/>
              <w:right w:val="nil"/>
            </w:tcBorders>
            <w:shd w:val="clear" w:color="000000" w:fill="F2F2F2"/>
            <w:vAlign w:val="center"/>
            <w:hideMark/>
          </w:tcPr>
          <w:p w14:paraId="7E3781ED" w14:textId="77777777" w:rsidR="000B487B" w:rsidRPr="000B487B" w:rsidRDefault="000B487B" w:rsidP="00FC4B58">
            <w:pPr>
              <w:spacing w:before="0" w:after="0"/>
              <w:ind w:firstLineChars="100" w:firstLine="180"/>
              <w:rPr>
                <w:rFonts w:eastAsia="Times New Roman" w:cs="Arial"/>
                <w:color w:val="000000"/>
                <w:sz w:val="18"/>
                <w:szCs w:val="18"/>
                <w:lang w:eastAsia="en-AU"/>
              </w:rPr>
            </w:pPr>
            <w:r w:rsidRPr="000B487B">
              <w:rPr>
                <w:rFonts w:eastAsia="Times New Roman" w:cs="Arial"/>
                <w:sz w:val="18"/>
                <w:szCs w:val="22"/>
                <w:lang w:eastAsia="en-AU"/>
              </w:rPr>
              <w:t>Full-time employment</w:t>
            </w:r>
          </w:p>
        </w:tc>
        <w:tc>
          <w:tcPr>
            <w:tcW w:w="2000" w:type="dxa"/>
            <w:tcBorders>
              <w:top w:val="nil"/>
              <w:left w:val="nil"/>
              <w:bottom w:val="nil"/>
              <w:right w:val="nil"/>
            </w:tcBorders>
            <w:shd w:val="clear" w:color="000000" w:fill="F2F2F2"/>
            <w:vAlign w:val="center"/>
            <w:hideMark/>
          </w:tcPr>
          <w:p w14:paraId="32806592"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10,014,100</w:t>
            </w:r>
          </w:p>
        </w:tc>
        <w:tc>
          <w:tcPr>
            <w:tcW w:w="2000" w:type="dxa"/>
            <w:tcBorders>
              <w:top w:val="nil"/>
              <w:left w:val="nil"/>
              <w:bottom w:val="nil"/>
              <w:right w:val="nil"/>
            </w:tcBorders>
            <w:shd w:val="clear" w:color="000000" w:fill="F2F2F2"/>
            <w:vAlign w:val="center"/>
            <w:hideMark/>
          </w:tcPr>
          <w:p w14:paraId="02C57147" w14:textId="77777777" w:rsidR="000B487B" w:rsidRPr="000B487B" w:rsidRDefault="000B487B" w:rsidP="00FC4B58">
            <w:pPr>
              <w:spacing w:before="0" w:after="0"/>
              <w:jc w:val="center"/>
              <w:rPr>
                <w:rFonts w:ascii="Wingdings" w:eastAsia="Times New Roman" w:hAnsi="Wingdings" w:cs="Arial"/>
                <w:color w:val="000000"/>
                <w:sz w:val="18"/>
                <w:szCs w:val="18"/>
                <w:lang w:eastAsia="en-AU"/>
              </w:rPr>
            </w:pPr>
            <w:r w:rsidRPr="000B487B">
              <w:rPr>
                <w:rFonts w:ascii="Wingdings" w:eastAsia="Wingdings" w:hAnsi="Wingdings" w:cs="Wingdings"/>
                <w:sz w:val="18"/>
                <w:szCs w:val="22"/>
              </w:rPr>
              <w:sym w:font="Wingdings" w:char="F0E1"/>
            </w:r>
            <w:r w:rsidRPr="000B487B">
              <w:rPr>
                <w:rFonts w:eastAsia="Arial"/>
                <w:sz w:val="18"/>
                <w:szCs w:val="22"/>
              </w:rPr>
              <w:t xml:space="preserve"> 0.1%</w:t>
            </w:r>
          </w:p>
        </w:tc>
      </w:tr>
      <w:tr w:rsidR="000B487B" w:rsidRPr="000B487B" w14:paraId="787BDE00" w14:textId="77777777" w:rsidTr="00FC4B58">
        <w:trPr>
          <w:trHeight w:val="357"/>
        </w:trPr>
        <w:tc>
          <w:tcPr>
            <w:tcW w:w="2680" w:type="dxa"/>
            <w:tcBorders>
              <w:top w:val="nil"/>
              <w:left w:val="nil"/>
              <w:bottom w:val="nil"/>
              <w:right w:val="nil"/>
            </w:tcBorders>
            <w:vAlign w:val="center"/>
            <w:hideMark/>
          </w:tcPr>
          <w:p w14:paraId="292825AA" w14:textId="77777777" w:rsidR="000B487B" w:rsidRPr="000B487B" w:rsidRDefault="000B487B" w:rsidP="00FC4B58">
            <w:pPr>
              <w:spacing w:before="0" w:after="0"/>
              <w:ind w:firstLineChars="100" w:firstLine="180"/>
              <w:rPr>
                <w:rFonts w:eastAsia="Times New Roman" w:cs="Arial"/>
                <w:color w:val="000000"/>
                <w:sz w:val="18"/>
                <w:szCs w:val="18"/>
                <w:lang w:eastAsia="en-AU"/>
              </w:rPr>
            </w:pPr>
            <w:r w:rsidRPr="000B487B">
              <w:rPr>
                <w:rFonts w:eastAsia="Times New Roman" w:cs="Arial"/>
                <w:color w:val="000000"/>
                <w:sz w:val="18"/>
                <w:szCs w:val="22"/>
                <w:lang w:eastAsia="en-AU"/>
              </w:rPr>
              <w:t>Part-time employment</w:t>
            </w:r>
          </w:p>
        </w:tc>
        <w:tc>
          <w:tcPr>
            <w:tcW w:w="2000" w:type="dxa"/>
            <w:tcBorders>
              <w:top w:val="nil"/>
              <w:left w:val="nil"/>
              <w:bottom w:val="nil"/>
              <w:right w:val="nil"/>
            </w:tcBorders>
            <w:vAlign w:val="center"/>
            <w:hideMark/>
          </w:tcPr>
          <w:p w14:paraId="0439C49A"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4,530,000</w:t>
            </w:r>
          </w:p>
        </w:tc>
        <w:tc>
          <w:tcPr>
            <w:tcW w:w="2000" w:type="dxa"/>
            <w:tcBorders>
              <w:top w:val="nil"/>
              <w:left w:val="nil"/>
              <w:bottom w:val="nil"/>
              <w:right w:val="nil"/>
            </w:tcBorders>
            <w:vAlign w:val="center"/>
            <w:hideMark/>
          </w:tcPr>
          <w:p w14:paraId="3737F341" w14:textId="77777777" w:rsidR="000B487B" w:rsidRPr="000B487B" w:rsidRDefault="000B487B" w:rsidP="00FC4B58">
            <w:pPr>
              <w:spacing w:before="0" w:after="0"/>
              <w:jc w:val="center"/>
              <w:rPr>
                <w:rFonts w:ascii="Wingdings" w:eastAsia="Times New Roman" w:hAnsi="Wingdings" w:cs="Arial"/>
                <w:color w:val="000000"/>
                <w:sz w:val="18"/>
                <w:szCs w:val="18"/>
                <w:lang w:eastAsia="en-AU"/>
              </w:rPr>
            </w:pPr>
            <w:r w:rsidRPr="000B487B">
              <w:rPr>
                <w:rFonts w:ascii="Wingdings" w:eastAsia="Wingdings" w:hAnsi="Wingdings" w:cs="Wingdings"/>
                <w:sz w:val="18"/>
                <w:szCs w:val="22"/>
              </w:rPr>
              <w:sym w:font="Wingdings" w:char="F0E2"/>
            </w:r>
            <w:r w:rsidRPr="000B487B">
              <w:rPr>
                <w:rFonts w:eastAsia="Arial"/>
                <w:sz w:val="18"/>
                <w:szCs w:val="22"/>
              </w:rPr>
              <w:t xml:space="preserve"> 0.1%</w:t>
            </w:r>
          </w:p>
        </w:tc>
      </w:tr>
      <w:tr w:rsidR="000B487B" w:rsidRPr="000B487B" w14:paraId="14B08B31" w14:textId="77777777" w:rsidTr="00FC4B58">
        <w:trPr>
          <w:trHeight w:val="357"/>
        </w:trPr>
        <w:tc>
          <w:tcPr>
            <w:tcW w:w="2680" w:type="dxa"/>
            <w:tcBorders>
              <w:top w:val="nil"/>
              <w:left w:val="nil"/>
              <w:bottom w:val="nil"/>
              <w:right w:val="nil"/>
            </w:tcBorders>
            <w:shd w:val="clear" w:color="000000" w:fill="F2F2F2"/>
            <w:vAlign w:val="center"/>
            <w:hideMark/>
          </w:tcPr>
          <w:p w14:paraId="43009A97"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sz w:val="18"/>
                <w:szCs w:val="22"/>
                <w:lang w:eastAsia="en-AU"/>
              </w:rPr>
              <w:t>Hours worked</w:t>
            </w:r>
          </w:p>
        </w:tc>
        <w:tc>
          <w:tcPr>
            <w:tcW w:w="2000" w:type="dxa"/>
            <w:tcBorders>
              <w:top w:val="nil"/>
              <w:left w:val="nil"/>
              <w:bottom w:val="nil"/>
              <w:right w:val="nil"/>
            </w:tcBorders>
            <w:shd w:val="clear" w:color="000000" w:fill="F2F2F2"/>
            <w:vAlign w:val="center"/>
            <w:hideMark/>
          </w:tcPr>
          <w:p w14:paraId="09375E9D"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1,964.6 million</w:t>
            </w:r>
          </w:p>
        </w:tc>
        <w:tc>
          <w:tcPr>
            <w:tcW w:w="2000" w:type="dxa"/>
            <w:tcBorders>
              <w:top w:val="nil"/>
              <w:left w:val="nil"/>
              <w:bottom w:val="nil"/>
              <w:right w:val="nil"/>
            </w:tcBorders>
            <w:shd w:val="clear" w:color="000000" w:fill="F2F2F2"/>
            <w:vAlign w:val="center"/>
            <w:hideMark/>
          </w:tcPr>
          <w:p w14:paraId="2C3552A7" w14:textId="77777777" w:rsidR="000B487B" w:rsidRPr="000B487B" w:rsidRDefault="000B487B" w:rsidP="00FC4B58">
            <w:pPr>
              <w:spacing w:before="0" w:after="0"/>
              <w:jc w:val="center"/>
              <w:rPr>
                <w:rFonts w:ascii="Wingdings" w:eastAsia="Times New Roman" w:hAnsi="Wingdings" w:cs="Arial"/>
                <w:color w:val="000000"/>
                <w:sz w:val="18"/>
                <w:szCs w:val="18"/>
                <w:lang w:eastAsia="en-AU"/>
              </w:rPr>
            </w:pPr>
            <w:r w:rsidRPr="000B487B">
              <w:rPr>
                <w:rFonts w:ascii="Wingdings" w:eastAsia="Wingdings" w:hAnsi="Wingdings" w:cs="Wingdings"/>
                <w:sz w:val="18"/>
                <w:szCs w:val="22"/>
              </w:rPr>
              <w:sym w:font="Wingdings" w:char="F0E2"/>
            </w:r>
            <w:r w:rsidRPr="000B487B">
              <w:rPr>
                <w:rFonts w:eastAsia="Arial"/>
                <w:sz w:val="18"/>
                <w:szCs w:val="22"/>
              </w:rPr>
              <w:t xml:space="preserve"> 0.5%</w:t>
            </w:r>
          </w:p>
        </w:tc>
      </w:tr>
      <w:tr w:rsidR="000B487B" w:rsidRPr="000B487B" w14:paraId="07CA2898" w14:textId="77777777" w:rsidTr="00FC4B58">
        <w:trPr>
          <w:trHeight w:val="357"/>
        </w:trPr>
        <w:tc>
          <w:tcPr>
            <w:tcW w:w="2680" w:type="dxa"/>
            <w:tcBorders>
              <w:top w:val="nil"/>
              <w:left w:val="nil"/>
              <w:bottom w:val="nil"/>
              <w:right w:val="nil"/>
            </w:tcBorders>
            <w:vAlign w:val="center"/>
            <w:hideMark/>
          </w:tcPr>
          <w:p w14:paraId="53D884F5"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22"/>
                <w:lang w:eastAsia="en-AU"/>
              </w:rPr>
              <w:t>Underemployment rate</w:t>
            </w:r>
          </w:p>
        </w:tc>
        <w:tc>
          <w:tcPr>
            <w:tcW w:w="2000" w:type="dxa"/>
            <w:tcBorders>
              <w:top w:val="nil"/>
              <w:left w:val="nil"/>
              <w:bottom w:val="nil"/>
              <w:right w:val="nil"/>
            </w:tcBorders>
            <w:vAlign w:val="center"/>
            <w:hideMark/>
          </w:tcPr>
          <w:p w14:paraId="347180A6"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5.9%</w:t>
            </w:r>
          </w:p>
        </w:tc>
        <w:tc>
          <w:tcPr>
            <w:tcW w:w="2000" w:type="dxa"/>
            <w:tcBorders>
              <w:top w:val="nil"/>
              <w:left w:val="nil"/>
              <w:bottom w:val="nil"/>
              <w:right w:val="nil"/>
            </w:tcBorders>
            <w:vAlign w:val="center"/>
            <w:hideMark/>
          </w:tcPr>
          <w:p w14:paraId="01612B63" w14:textId="68F95677" w:rsidR="000B487B" w:rsidRPr="000B487B" w:rsidRDefault="000B487B" w:rsidP="00FC4B58">
            <w:pPr>
              <w:spacing w:before="0" w:after="0"/>
              <w:jc w:val="center"/>
              <w:rPr>
                <w:rFonts w:ascii="Wingdings" w:eastAsia="Times New Roman" w:hAnsi="Wingdings" w:cs="Arial"/>
                <w:color w:val="000000"/>
                <w:sz w:val="18"/>
                <w:szCs w:val="18"/>
                <w:lang w:eastAsia="en-AU"/>
              </w:rPr>
            </w:pPr>
            <w:r w:rsidRPr="000B487B">
              <w:rPr>
                <w:rFonts w:ascii="Wingdings" w:eastAsia="Wingdings" w:hAnsi="Wingdings" w:cs="Wingdings"/>
                <w:sz w:val="18"/>
                <w:szCs w:val="22"/>
              </w:rPr>
              <w:sym w:font="Wingdings" w:char="F0E2"/>
            </w:r>
            <w:r w:rsidRPr="000B487B">
              <w:rPr>
                <w:rFonts w:eastAsia="Arial"/>
                <w:sz w:val="18"/>
                <w:szCs w:val="22"/>
              </w:rPr>
              <w:t xml:space="preserve"> 0.1%</w:t>
            </w:r>
            <w:r w:rsidR="001D0A0B">
              <w:rPr>
                <w:rFonts w:eastAsia="Arial"/>
                <w:sz w:val="18"/>
                <w:szCs w:val="22"/>
              </w:rPr>
              <w:t xml:space="preserve"> </w:t>
            </w:r>
            <w:r w:rsidRPr="000B487B">
              <w:rPr>
                <w:rFonts w:eastAsia="Arial"/>
                <w:sz w:val="18"/>
                <w:szCs w:val="22"/>
              </w:rPr>
              <w:t>pts</w:t>
            </w:r>
          </w:p>
        </w:tc>
      </w:tr>
      <w:tr w:rsidR="000B487B" w:rsidRPr="000B487B" w14:paraId="5DC346C9" w14:textId="77777777" w:rsidTr="00FC4B58">
        <w:trPr>
          <w:trHeight w:val="357"/>
        </w:trPr>
        <w:tc>
          <w:tcPr>
            <w:tcW w:w="2680" w:type="dxa"/>
            <w:tcBorders>
              <w:top w:val="nil"/>
              <w:left w:val="nil"/>
              <w:bottom w:val="nil"/>
              <w:right w:val="nil"/>
            </w:tcBorders>
            <w:shd w:val="clear" w:color="000000" w:fill="F2F2F2"/>
            <w:vAlign w:val="center"/>
            <w:hideMark/>
          </w:tcPr>
          <w:p w14:paraId="71840876"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sz w:val="18"/>
                <w:szCs w:val="22"/>
                <w:lang w:eastAsia="en-AU"/>
              </w:rPr>
              <w:t>Unemployment rate</w:t>
            </w:r>
          </w:p>
        </w:tc>
        <w:tc>
          <w:tcPr>
            <w:tcW w:w="2000" w:type="dxa"/>
            <w:tcBorders>
              <w:top w:val="nil"/>
              <w:left w:val="nil"/>
              <w:bottom w:val="nil"/>
              <w:right w:val="nil"/>
            </w:tcBorders>
            <w:shd w:val="clear" w:color="000000" w:fill="F2F2F2"/>
            <w:vAlign w:val="center"/>
            <w:hideMark/>
          </w:tcPr>
          <w:p w14:paraId="714599E0"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4.1%</w:t>
            </w:r>
          </w:p>
        </w:tc>
        <w:tc>
          <w:tcPr>
            <w:tcW w:w="2000" w:type="dxa"/>
            <w:tcBorders>
              <w:top w:val="nil"/>
              <w:left w:val="nil"/>
              <w:bottom w:val="nil"/>
              <w:right w:val="nil"/>
            </w:tcBorders>
            <w:shd w:val="clear" w:color="000000" w:fill="F2F2F2"/>
            <w:vAlign w:val="center"/>
            <w:hideMark/>
          </w:tcPr>
          <w:p w14:paraId="162D2A7A" w14:textId="4076F1F1" w:rsidR="000B487B" w:rsidRPr="000B487B" w:rsidRDefault="000B487B" w:rsidP="00FC4B58">
            <w:pPr>
              <w:spacing w:before="0" w:after="0"/>
              <w:jc w:val="center"/>
              <w:rPr>
                <w:rFonts w:ascii="Wingdings" w:eastAsia="Times New Roman" w:hAnsi="Wingdings" w:cs="Arial"/>
                <w:color w:val="000000"/>
                <w:sz w:val="18"/>
                <w:szCs w:val="18"/>
                <w:lang w:eastAsia="en-AU"/>
              </w:rPr>
            </w:pPr>
            <w:r w:rsidRPr="000B487B">
              <w:rPr>
                <w:rFonts w:ascii="Wingdings" w:eastAsia="Wingdings" w:hAnsi="Wingdings" w:cs="Wingdings"/>
                <w:sz w:val="18"/>
                <w:szCs w:val="22"/>
              </w:rPr>
              <w:sym w:font="Wingdings" w:char="F0E1"/>
            </w:r>
            <w:r w:rsidRPr="000B487B">
              <w:rPr>
                <w:rFonts w:eastAsia="Arial"/>
                <w:sz w:val="18"/>
                <w:szCs w:val="22"/>
              </w:rPr>
              <w:t xml:space="preserve"> 0.1%</w:t>
            </w:r>
            <w:r w:rsidR="001D0A0B">
              <w:rPr>
                <w:rFonts w:eastAsia="Arial"/>
                <w:sz w:val="18"/>
                <w:szCs w:val="22"/>
              </w:rPr>
              <w:t xml:space="preserve"> </w:t>
            </w:r>
            <w:r w:rsidRPr="000B487B">
              <w:rPr>
                <w:rFonts w:eastAsia="Arial"/>
                <w:sz w:val="18"/>
                <w:szCs w:val="22"/>
              </w:rPr>
              <w:t>pts</w:t>
            </w:r>
          </w:p>
        </w:tc>
      </w:tr>
      <w:tr w:rsidR="000B487B" w:rsidRPr="000B487B" w14:paraId="157BCA87" w14:textId="77777777" w:rsidTr="00FC4B58">
        <w:trPr>
          <w:trHeight w:val="357"/>
        </w:trPr>
        <w:tc>
          <w:tcPr>
            <w:tcW w:w="2680" w:type="dxa"/>
            <w:tcBorders>
              <w:top w:val="nil"/>
              <w:left w:val="nil"/>
              <w:bottom w:val="single" w:sz="8" w:space="0" w:color="2F005F"/>
              <w:right w:val="nil"/>
            </w:tcBorders>
            <w:vAlign w:val="center"/>
            <w:hideMark/>
          </w:tcPr>
          <w:p w14:paraId="277F7D44"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22"/>
                <w:lang w:eastAsia="en-AU"/>
              </w:rPr>
              <w:t>Participation rate</w:t>
            </w:r>
          </w:p>
        </w:tc>
        <w:tc>
          <w:tcPr>
            <w:tcW w:w="2000" w:type="dxa"/>
            <w:tcBorders>
              <w:top w:val="nil"/>
              <w:left w:val="nil"/>
              <w:bottom w:val="single" w:sz="8" w:space="0" w:color="2F005F"/>
              <w:right w:val="nil"/>
            </w:tcBorders>
            <w:vAlign w:val="center"/>
            <w:hideMark/>
          </w:tcPr>
          <w:p w14:paraId="60F550EC"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66.8%</w:t>
            </w:r>
          </w:p>
        </w:tc>
        <w:tc>
          <w:tcPr>
            <w:tcW w:w="2000" w:type="dxa"/>
            <w:tcBorders>
              <w:top w:val="nil"/>
              <w:left w:val="nil"/>
              <w:bottom w:val="single" w:sz="8" w:space="0" w:color="2F005F"/>
              <w:right w:val="nil"/>
            </w:tcBorders>
            <w:vAlign w:val="center"/>
            <w:hideMark/>
          </w:tcPr>
          <w:p w14:paraId="3E2E68EB" w14:textId="2E2C74CE" w:rsidR="000B487B" w:rsidRPr="000B487B" w:rsidRDefault="000B487B" w:rsidP="00FC4B58">
            <w:pPr>
              <w:spacing w:before="0" w:after="0"/>
              <w:jc w:val="center"/>
              <w:rPr>
                <w:rFonts w:eastAsia="Times New Roman" w:cs="Arial"/>
                <w:color w:val="000000"/>
                <w:sz w:val="18"/>
                <w:szCs w:val="18"/>
                <w:lang w:eastAsia="en-AU"/>
              </w:rPr>
            </w:pPr>
            <w:r w:rsidRPr="000B487B">
              <w:rPr>
                <w:rFonts w:ascii="Wingdings" w:eastAsia="Times New Roman" w:hAnsi="Wingdings" w:cs="Arial"/>
                <w:color w:val="000000"/>
                <w:sz w:val="18"/>
                <w:szCs w:val="18"/>
                <w:lang w:eastAsia="en-AU"/>
              </w:rPr>
              <w:t>â</w:t>
            </w:r>
            <w:r w:rsidRPr="000B487B">
              <w:rPr>
                <w:rFonts w:eastAsia="Times New Roman" w:cs="Arial"/>
                <w:color w:val="000000"/>
                <w:sz w:val="18"/>
                <w:szCs w:val="18"/>
                <w:lang w:eastAsia="en-AU"/>
              </w:rPr>
              <w:t xml:space="preserve"> 0.4%</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r>
    </w:tbl>
    <w:p w14:paraId="491557A3" w14:textId="77777777" w:rsidR="000B487B" w:rsidRPr="000B487B" w:rsidRDefault="000B487B" w:rsidP="000B487B">
      <w:pPr>
        <w:pStyle w:val="Source"/>
        <w:rPr>
          <w:rFonts w:eastAsia="Arial"/>
        </w:rPr>
      </w:pPr>
      <w:r w:rsidRPr="000B487B">
        <w:rPr>
          <w:rFonts w:eastAsia="Arial"/>
        </w:rPr>
        <w:t>Source: Australian Bureau of Statistics (ABS), Labour Force, Australia, March 2025, seasonally adjusted data.</w:t>
      </w:r>
    </w:p>
    <w:p w14:paraId="52CFE3B4" w14:textId="77777777" w:rsidR="000B487B" w:rsidRPr="000B487B" w:rsidRDefault="000B487B" w:rsidP="000B487B">
      <w:pPr>
        <w:pStyle w:val="Heading2"/>
      </w:pPr>
      <w:bookmarkStart w:id="13" w:name="_Toc201057852"/>
      <w:r w:rsidRPr="000B487B">
        <w:t>Employment growth has continued to slow</w:t>
      </w:r>
      <w:bookmarkEnd w:id="13"/>
    </w:p>
    <w:p w14:paraId="0C5F41EB" w14:textId="01330094" w:rsidR="000B487B" w:rsidRPr="000B487B" w:rsidRDefault="000B487B" w:rsidP="000B487B">
      <w:pPr>
        <w:pStyle w:val="BodyText"/>
        <w:rPr>
          <w:lang w:val="en-GB" w:eastAsia="en-GB"/>
        </w:rPr>
      </w:pPr>
      <w:bookmarkStart w:id="14" w:name="_Ref189746658"/>
      <w:r w:rsidRPr="000B487B">
        <w:rPr>
          <w:lang w:val="en-GB" w:eastAsia="en-GB"/>
        </w:rPr>
        <w:t xml:space="preserve">The Australian Bureau of Statistics (ABS) </w:t>
      </w:r>
      <w:r w:rsidRPr="000B487B">
        <w:rPr>
          <w:i/>
          <w:iCs/>
          <w:lang w:val="en-GB" w:eastAsia="en-GB"/>
        </w:rPr>
        <w:t>Labour Force Survey</w:t>
      </w:r>
      <w:r w:rsidRPr="000B487B">
        <w:rPr>
          <w:lang w:val="en-GB" w:eastAsia="en-GB"/>
        </w:rPr>
        <w:t xml:space="preserve"> data show that seasonally adjusted employment increased by 6,500 over the 3 months to March 2025, down from growth of 90,200 (or 0.6%) recorded in the 3 months to December 2024 (</w:t>
      </w:r>
      <w:r w:rsidR="00883BE7" w:rsidRPr="00883BE7">
        <w:rPr>
          <w:lang w:val="en-GB" w:eastAsia="en-GB"/>
        </w:rPr>
        <w:t>Table 1</w:t>
      </w:r>
      <w:r w:rsidRPr="000B487B">
        <w:rPr>
          <w:lang w:val="en-GB" w:eastAsia="en-GB"/>
        </w:rPr>
        <w:t>).</w:t>
      </w:r>
    </w:p>
    <w:bookmarkEnd w:id="14"/>
    <w:p w14:paraId="3D707976" w14:textId="2E5507EB" w:rsidR="000B487B" w:rsidRPr="000B487B" w:rsidRDefault="000B487B" w:rsidP="000B487B">
      <w:pPr>
        <w:pStyle w:val="BodyText"/>
      </w:pPr>
      <w:r w:rsidRPr="000B487B">
        <w:t>Over the</w:t>
      </w:r>
      <w:r w:rsidR="0002457D">
        <w:t xml:space="preserve"> year</w:t>
      </w:r>
      <w:r w:rsidRPr="000B487B">
        <w:t xml:space="preserve"> to March 2025, however, employment rose by 308,000 (or 2.2%), equal to the decade average annual growth rate. The current annual pace of employment growth is now above the annual growth rate in the civilian population aged 15 years and over (of 2.0%) </w:t>
      </w:r>
      <w:r w:rsidR="00154F08">
        <w:t>(</w:t>
      </w:r>
      <w:r w:rsidR="00883BE7" w:rsidRPr="00883BE7">
        <w:t>Figure 1</w:t>
      </w:r>
      <w:r w:rsidR="00154F08">
        <w:t>)</w:t>
      </w:r>
      <w:r w:rsidRPr="000B487B">
        <w:t>.</w:t>
      </w:r>
    </w:p>
    <w:p w14:paraId="1EF07A56" w14:textId="4604F3C0" w:rsidR="000B487B" w:rsidRPr="000B487B" w:rsidRDefault="004B71DF" w:rsidP="004B71DF">
      <w:pPr>
        <w:pStyle w:val="Caption"/>
        <w:keepNext/>
        <w:keepLines/>
      </w:pPr>
      <w:bookmarkStart w:id="15" w:name="_Ref200454045"/>
      <w:r>
        <w:lastRenderedPageBreak/>
        <w:t xml:space="preserve">Figure </w:t>
      </w:r>
      <w:r>
        <w:fldChar w:fldCharType="begin"/>
      </w:r>
      <w:r>
        <w:instrText xml:space="preserve"> SEQ Figure \* ARABIC </w:instrText>
      </w:r>
      <w:r>
        <w:fldChar w:fldCharType="separate"/>
      </w:r>
      <w:r w:rsidR="00D80BB2">
        <w:rPr>
          <w:noProof/>
        </w:rPr>
        <w:t>1</w:t>
      </w:r>
      <w:r>
        <w:fldChar w:fldCharType="end"/>
      </w:r>
      <w:bookmarkEnd w:id="15"/>
      <w:r w:rsidRPr="000B487B">
        <w:t>: Annual change in the civilian population and employment, 2015 to 2025</w:t>
      </w:r>
    </w:p>
    <w:p w14:paraId="0A920040" w14:textId="77777777" w:rsidR="000B487B" w:rsidRPr="000B487B" w:rsidRDefault="000B487B" w:rsidP="004B71DF">
      <w:pPr>
        <w:pStyle w:val="Source"/>
        <w:keepNext/>
        <w:keepLines/>
        <w:rPr>
          <w:rFonts w:eastAsia="Arial"/>
        </w:rPr>
      </w:pPr>
      <w:r w:rsidRPr="000B487B">
        <w:rPr>
          <w:noProof/>
        </w:rPr>
        <w:drawing>
          <wp:inline distT="0" distB="0" distL="0" distR="0" wp14:anchorId="5F2912E6" wp14:editId="3B03EE04">
            <wp:extent cx="5731510" cy="2693035"/>
            <wp:effectExtent l="0" t="0" r="2540" b="0"/>
            <wp:docPr id="54434265" name="Chart 1">
              <a:extLst xmlns:a="http://schemas.openxmlformats.org/drawingml/2006/main">
                <a:ext uri="{FF2B5EF4-FFF2-40B4-BE49-F238E27FC236}">
                  <a16:creationId xmlns:a16="http://schemas.microsoft.com/office/drawing/2014/main" id="{20F676CF-301E-49E3-AF89-41BCEB11D0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0B487B">
        <w:rPr>
          <w:rFonts w:eastAsia="Arial"/>
        </w:rPr>
        <w:t>Source: ABS, Labour Force, Australia, March 2025, seasonally adjusted data for employment growth and original data for civilian population growth.</w:t>
      </w:r>
    </w:p>
    <w:p w14:paraId="1E2043E9" w14:textId="6A473733" w:rsidR="000B487B" w:rsidRPr="000B487B" w:rsidRDefault="000B487B" w:rsidP="000B487B">
      <w:pPr>
        <w:pStyle w:val="BodyText"/>
      </w:pPr>
      <w:r w:rsidRPr="000B487B">
        <w:t>The rise in employment over the quarter was due, entirely, to an increase in full-time jobs, up by 9,100 (or 0.1%), while part</w:t>
      </w:r>
      <w:r w:rsidRPr="000B487B">
        <w:noBreakHyphen/>
        <w:t>time employment fell by 2,600 (or 0.1%). Over the</w:t>
      </w:r>
      <w:r w:rsidR="008503FB">
        <w:t xml:space="preserve"> year</w:t>
      </w:r>
      <w:r w:rsidRPr="000B487B">
        <w:t xml:space="preserve"> to March 2025, full-time employment accounted for the majority (52.4%) of total employment growth.</w:t>
      </w:r>
    </w:p>
    <w:p w14:paraId="56D9FF02" w14:textId="6812A104" w:rsidR="000B487B" w:rsidRPr="000B487B" w:rsidRDefault="000B487B" w:rsidP="000B487B">
      <w:pPr>
        <w:pStyle w:val="BodyText"/>
      </w:pPr>
      <w:r w:rsidRPr="000B487B">
        <w:t>Aggregate hours worked decreased by 10.5 million hours (or 0.5%) over the 3 months to March 2025 but remain 14.0 million hours (or 0.7%) above the level recorded a</w:t>
      </w:r>
      <w:r w:rsidR="00930F6B">
        <w:t xml:space="preserve"> year</w:t>
      </w:r>
      <w:r w:rsidRPr="000B487B">
        <w:t xml:space="preserve"> ago. This is well below the current annual pace of employment growth (of 2.2%) and is the lowest annual rate of growth in hours worked since July 2024 (</w:t>
      </w:r>
      <w:r w:rsidR="00883BE7" w:rsidRPr="00883BE7">
        <w:t>Figure 2</w:t>
      </w:r>
      <w:r w:rsidRPr="000B487B">
        <w:t>).</w:t>
      </w:r>
    </w:p>
    <w:p w14:paraId="0418E6DE" w14:textId="4D071025" w:rsidR="000B487B" w:rsidRPr="000B487B" w:rsidRDefault="004B71DF" w:rsidP="004B71DF">
      <w:pPr>
        <w:pStyle w:val="Caption"/>
      </w:pPr>
      <w:bookmarkStart w:id="16" w:name="_Ref200454065"/>
      <w:r>
        <w:t xml:space="preserve">Figure </w:t>
      </w:r>
      <w:r>
        <w:fldChar w:fldCharType="begin"/>
      </w:r>
      <w:r>
        <w:instrText xml:space="preserve"> SEQ Figure \* ARABIC </w:instrText>
      </w:r>
      <w:r>
        <w:fldChar w:fldCharType="separate"/>
      </w:r>
      <w:r w:rsidR="00D80BB2">
        <w:rPr>
          <w:noProof/>
        </w:rPr>
        <w:t>2</w:t>
      </w:r>
      <w:r>
        <w:fldChar w:fldCharType="end"/>
      </w:r>
      <w:bookmarkEnd w:id="16"/>
      <w:r w:rsidRPr="000B487B">
        <w:t>: Annual change in employment and aggregate hours worked, 2020 to 2025</w:t>
      </w:r>
    </w:p>
    <w:p w14:paraId="4A5D7EC8" w14:textId="77777777" w:rsidR="000B487B" w:rsidRPr="000B487B" w:rsidRDefault="000B487B" w:rsidP="000B487B">
      <w:pPr>
        <w:pStyle w:val="Source"/>
        <w:rPr>
          <w:rFonts w:eastAsiaTheme="majorEastAsia"/>
        </w:rPr>
      </w:pPr>
      <w:r w:rsidRPr="000B487B">
        <w:rPr>
          <w:noProof/>
        </w:rPr>
        <w:drawing>
          <wp:inline distT="0" distB="0" distL="0" distR="0" wp14:anchorId="7C6ABA5D" wp14:editId="257C7F84">
            <wp:extent cx="5731510" cy="2411730"/>
            <wp:effectExtent l="0" t="0" r="2540" b="7620"/>
            <wp:docPr id="1074253648" name="Chart 1">
              <a:extLst xmlns:a="http://schemas.openxmlformats.org/drawingml/2006/main">
                <a:ext uri="{FF2B5EF4-FFF2-40B4-BE49-F238E27FC236}">
                  <a16:creationId xmlns:a16="http://schemas.microsoft.com/office/drawing/2014/main" id="{33682809-35EE-62BF-BBDE-72EF3BB94D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0B487B">
        <w:rPr>
          <w:rFonts w:eastAsia="Arial"/>
          <w:lang w:eastAsia="en-US"/>
        </w:rPr>
        <w:br/>
      </w:r>
      <w:r w:rsidRPr="000B487B">
        <w:rPr>
          <w:rFonts w:eastAsia="Arial"/>
        </w:rPr>
        <w:t>Source: ABS, Labour Force, Australia, March 2025, seasonally adjusted data.</w:t>
      </w:r>
    </w:p>
    <w:p w14:paraId="7FD597F8" w14:textId="77777777" w:rsidR="000B487B" w:rsidRPr="000B487B" w:rsidRDefault="000B487B" w:rsidP="000B487B">
      <w:pPr>
        <w:pStyle w:val="BodyText"/>
      </w:pPr>
      <w:bookmarkStart w:id="17" w:name="_Toc151365186"/>
      <w:bookmarkStart w:id="18" w:name="_Toc166140504"/>
      <w:bookmarkStart w:id="19" w:name="_Toc189205682"/>
      <w:r w:rsidRPr="000B487B">
        <w:t>The unemployment rate edged up slightly, from 4.0% in December 2024, to 4.1% in March 2025, while the participation rate decreased by 0.4 percentage points over the period, to stand at 66.8%.</w:t>
      </w:r>
    </w:p>
    <w:p w14:paraId="4033F2B7" w14:textId="77777777" w:rsidR="000B487B" w:rsidRPr="000B487B" w:rsidRDefault="000B487B" w:rsidP="000B487B">
      <w:pPr>
        <w:pStyle w:val="BodyText"/>
      </w:pPr>
      <w:r w:rsidRPr="000B487B">
        <w:t>Labour market outcomes for youth (those aged 15-24) improved over the quarter, with the number of young people in employment increasing by 18,900 (or 0.9%). The rise in employment for the cohort over the period was driven, entirely, by an increase in youth full</w:t>
      </w:r>
      <w:r w:rsidRPr="000B487B">
        <w:noBreakHyphen/>
        <w:t>time employment (up by 23,900 or 2.6%).</w:t>
      </w:r>
    </w:p>
    <w:p w14:paraId="23F3266E" w14:textId="2BEF6CF4" w:rsidR="000B487B" w:rsidRPr="000B487B" w:rsidRDefault="000B487B" w:rsidP="000B487B">
      <w:pPr>
        <w:pStyle w:val="BodyText"/>
      </w:pPr>
      <w:r w:rsidRPr="000B487B">
        <w:lastRenderedPageBreak/>
        <w:t xml:space="preserve">The youth unemployment rate declined, from 9.2% </w:t>
      </w:r>
      <w:r w:rsidR="006D068D">
        <w:t xml:space="preserve">in </w:t>
      </w:r>
      <w:r w:rsidRPr="000B487B">
        <w:t>December 2024, to 8.9% in March 2025, although the participation rate for the cohort also fell, by 0.4 percentage points over the period, to 69.9%.</w:t>
      </w:r>
    </w:p>
    <w:p w14:paraId="42161C88" w14:textId="77777777" w:rsidR="000B487B" w:rsidRPr="000B487B" w:rsidRDefault="000B487B" w:rsidP="000B487B">
      <w:pPr>
        <w:pStyle w:val="Heading2"/>
      </w:pPr>
      <w:bookmarkStart w:id="20" w:name="_Toc201057853"/>
      <w:r w:rsidRPr="000B487B">
        <w:t xml:space="preserve">Labour market conditions varied across </w:t>
      </w:r>
      <w:bookmarkEnd w:id="17"/>
      <w:bookmarkEnd w:id="18"/>
      <w:bookmarkEnd w:id="19"/>
      <w:r w:rsidRPr="000B487B">
        <w:t>jurisdictions</w:t>
      </w:r>
      <w:bookmarkEnd w:id="20"/>
    </w:p>
    <w:p w14:paraId="65516DB0" w14:textId="11A2589D" w:rsidR="000B487B" w:rsidRPr="000B487B" w:rsidRDefault="000B487B" w:rsidP="000B487B">
      <w:pPr>
        <w:pStyle w:val="BodyText"/>
      </w:pPr>
      <w:r w:rsidRPr="000B487B">
        <w:t>Employment rose in 7 out of 8 jurisdictions over the March quarter 2025. South Australia recorded the largest increase in employment, up by 14,900 (or 1.6%), followed by Victoria, up by 8,100 (or 0.2%), and Western Australia, up by 6,100 (or 0.4%) (</w:t>
      </w:r>
      <w:r w:rsidR="00A5129B" w:rsidRPr="00A5129B">
        <w:t>Table 2</w:t>
      </w:r>
      <w:r w:rsidRPr="000B487B">
        <w:t>).</w:t>
      </w:r>
    </w:p>
    <w:p w14:paraId="7FE9E26F" w14:textId="40849D96" w:rsidR="000B487B" w:rsidRPr="000B487B" w:rsidRDefault="000B487B" w:rsidP="000B487B">
      <w:pPr>
        <w:pStyle w:val="BodyText"/>
      </w:pPr>
      <w:r w:rsidRPr="000B487B">
        <w:t xml:space="preserve">Five jurisdictions recorded an unemployment rate below 4.0% in March 2025. The Australian Capital Territory recorded the lowest rate </w:t>
      </w:r>
      <w:r w:rsidR="00023737">
        <w:t>at</w:t>
      </w:r>
      <w:r w:rsidRPr="000B487B">
        <w:t xml:space="preserve"> 2.8%, while Victoria had the highest unemployment rate </w:t>
      </w:r>
      <w:r w:rsidR="00023737">
        <w:t>at</w:t>
      </w:r>
      <w:r w:rsidRPr="000B487B">
        <w:t xml:space="preserve"> 4.4%.</w:t>
      </w:r>
    </w:p>
    <w:p w14:paraId="4AA0B2EF" w14:textId="1C7913E9" w:rsidR="000B487B" w:rsidRPr="000B487B" w:rsidRDefault="000B487B" w:rsidP="000B487B">
      <w:pPr>
        <w:pStyle w:val="BodyText"/>
      </w:pPr>
      <w:r w:rsidRPr="000B487B">
        <w:t xml:space="preserve">In March 2025, the Northern Territory recorded the highest participation rate of any jurisdiction </w:t>
      </w:r>
      <w:r w:rsidR="00377AC3">
        <w:t>at</w:t>
      </w:r>
      <w:r w:rsidRPr="000B487B">
        <w:t xml:space="preserve"> 72.4%</w:t>
      </w:r>
      <w:r w:rsidR="00377AC3">
        <w:t>,</w:t>
      </w:r>
      <w:r w:rsidRPr="000B487B">
        <w:t xml:space="preserve"> while Tasmania had the lowest rate </w:t>
      </w:r>
      <w:r w:rsidR="00377AC3">
        <w:t>at</w:t>
      </w:r>
      <w:r w:rsidRPr="000B487B">
        <w:t xml:space="preserve"> 60.6%.</w:t>
      </w:r>
    </w:p>
    <w:p w14:paraId="11FD6959" w14:textId="2268EB43" w:rsidR="000B487B" w:rsidRPr="000B487B" w:rsidRDefault="00A901DC" w:rsidP="00A901DC">
      <w:pPr>
        <w:pStyle w:val="Caption"/>
      </w:pPr>
      <w:bookmarkStart w:id="21" w:name="_Ref200453331"/>
      <w:r>
        <w:t xml:space="preserve">Table </w:t>
      </w:r>
      <w:r>
        <w:fldChar w:fldCharType="begin"/>
      </w:r>
      <w:r>
        <w:instrText xml:space="preserve"> SEQ Table \* ARABIC </w:instrText>
      </w:r>
      <w:r>
        <w:fldChar w:fldCharType="separate"/>
      </w:r>
      <w:r w:rsidR="00D80BB2">
        <w:rPr>
          <w:noProof/>
        </w:rPr>
        <w:t>2</w:t>
      </w:r>
      <w:r>
        <w:fldChar w:fldCharType="end"/>
      </w:r>
      <w:bookmarkEnd w:id="21"/>
      <w:r w:rsidRPr="000B487B">
        <w:t>: Key labour market indicators, state and territory, March 2025</w:t>
      </w:r>
    </w:p>
    <w:tbl>
      <w:tblPr>
        <w:tblW w:w="9420" w:type="dxa"/>
        <w:tblLook w:val="04A0" w:firstRow="1" w:lastRow="0" w:firstColumn="1" w:lastColumn="0" w:noHBand="0" w:noVBand="1"/>
      </w:tblPr>
      <w:tblGrid>
        <w:gridCol w:w="1357"/>
        <w:gridCol w:w="1135"/>
        <w:gridCol w:w="1112"/>
        <w:gridCol w:w="1108"/>
        <w:gridCol w:w="1110"/>
        <w:gridCol w:w="1131"/>
        <w:gridCol w:w="1116"/>
        <w:gridCol w:w="1129"/>
        <w:gridCol w:w="222"/>
      </w:tblGrid>
      <w:tr w:rsidR="000B487B" w:rsidRPr="000B487B" w14:paraId="52DC5090" w14:textId="77777777" w:rsidTr="00FC4B58">
        <w:trPr>
          <w:gridAfter w:val="1"/>
          <w:wAfter w:w="36" w:type="dxa"/>
          <w:trHeight w:val="285"/>
        </w:trPr>
        <w:tc>
          <w:tcPr>
            <w:tcW w:w="1299" w:type="dxa"/>
            <w:vMerge w:val="restart"/>
            <w:tcBorders>
              <w:top w:val="nil"/>
              <w:left w:val="nil"/>
              <w:bottom w:val="nil"/>
              <w:right w:val="single" w:sz="4" w:space="0" w:color="FFFFFF"/>
            </w:tcBorders>
            <w:shd w:val="clear" w:color="000000" w:fill="2F005F"/>
            <w:vAlign w:val="bottom"/>
            <w:hideMark/>
          </w:tcPr>
          <w:p w14:paraId="41BF2BBC" w14:textId="77777777" w:rsidR="000B487B" w:rsidRPr="000B487B" w:rsidRDefault="000B487B" w:rsidP="00FC4B58">
            <w:pPr>
              <w:spacing w:before="0" w:after="0"/>
              <w:rPr>
                <w:rFonts w:eastAsia="Times New Roman" w:cs="Arial"/>
                <w:color w:val="FFFFFF"/>
                <w:sz w:val="18"/>
                <w:szCs w:val="18"/>
                <w:lang w:eastAsia="en-AU"/>
              </w:rPr>
            </w:pPr>
            <w:r w:rsidRPr="000B487B">
              <w:rPr>
                <w:rFonts w:eastAsia="Times New Roman" w:cs="Arial"/>
                <w:color w:val="FFFFFF"/>
                <w:sz w:val="18"/>
                <w:szCs w:val="18"/>
                <w:lang w:eastAsia="en-AU"/>
              </w:rPr>
              <w:t>State/Territory</w:t>
            </w:r>
          </w:p>
        </w:tc>
        <w:tc>
          <w:tcPr>
            <w:tcW w:w="3464" w:type="dxa"/>
            <w:gridSpan w:val="3"/>
            <w:tcBorders>
              <w:top w:val="nil"/>
              <w:left w:val="nil"/>
              <w:bottom w:val="nil"/>
              <w:right w:val="single" w:sz="4" w:space="0" w:color="FFFFFF"/>
            </w:tcBorders>
            <w:shd w:val="clear" w:color="000000" w:fill="2F005F"/>
            <w:vAlign w:val="center"/>
            <w:hideMark/>
          </w:tcPr>
          <w:p w14:paraId="5DFDB22C" w14:textId="77777777" w:rsidR="000B487B" w:rsidRPr="004F1851" w:rsidRDefault="000B487B" w:rsidP="00FC4B58">
            <w:pPr>
              <w:spacing w:before="0" w:after="0"/>
              <w:jc w:val="center"/>
              <w:rPr>
                <w:rFonts w:eastAsia="Times New Roman" w:cs="Arial"/>
                <w:b/>
                <w:bCs/>
                <w:color w:val="FFFFFF"/>
                <w:sz w:val="18"/>
                <w:szCs w:val="18"/>
                <w:lang w:eastAsia="en-AU"/>
              </w:rPr>
            </w:pPr>
            <w:r w:rsidRPr="004F1851">
              <w:rPr>
                <w:rFonts w:eastAsia="Times New Roman" w:cs="Arial"/>
                <w:b/>
                <w:bCs/>
                <w:color w:val="FFFFFF"/>
                <w:sz w:val="18"/>
                <w:szCs w:val="18"/>
                <w:lang w:eastAsia="en-AU"/>
              </w:rPr>
              <w:t>Employment</w:t>
            </w:r>
          </w:p>
        </w:tc>
        <w:tc>
          <w:tcPr>
            <w:tcW w:w="2311" w:type="dxa"/>
            <w:gridSpan w:val="2"/>
            <w:tcBorders>
              <w:top w:val="nil"/>
              <w:left w:val="nil"/>
              <w:bottom w:val="nil"/>
              <w:right w:val="single" w:sz="4" w:space="0" w:color="FFFFFF"/>
            </w:tcBorders>
            <w:shd w:val="clear" w:color="000000" w:fill="2F005F"/>
            <w:vAlign w:val="center"/>
            <w:hideMark/>
          </w:tcPr>
          <w:p w14:paraId="68A92AE2" w14:textId="77777777" w:rsidR="000B487B" w:rsidRPr="004F1851" w:rsidRDefault="000B487B" w:rsidP="00FC4B58">
            <w:pPr>
              <w:spacing w:before="0" w:after="0"/>
              <w:jc w:val="center"/>
              <w:rPr>
                <w:rFonts w:eastAsia="Times New Roman" w:cs="Arial"/>
                <w:b/>
                <w:bCs/>
                <w:color w:val="FFFFFF"/>
                <w:sz w:val="18"/>
                <w:szCs w:val="18"/>
                <w:lang w:eastAsia="en-AU"/>
              </w:rPr>
            </w:pPr>
            <w:r w:rsidRPr="004F1851">
              <w:rPr>
                <w:rFonts w:eastAsia="Times New Roman" w:cs="Arial"/>
                <w:b/>
                <w:bCs/>
                <w:color w:val="FFFFFF"/>
                <w:sz w:val="18"/>
                <w:szCs w:val="18"/>
                <w:lang w:eastAsia="en-AU"/>
              </w:rPr>
              <w:t>Unemployment rate</w:t>
            </w:r>
          </w:p>
        </w:tc>
        <w:tc>
          <w:tcPr>
            <w:tcW w:w="2310" w:type="dxa"/>
            <w:gridSpan w:val="2"/>
            <w:tcBorders>
              <w:top w:val="nil"/>
              <w:left w:val="nil"/>
              <w:bottom w:val="nil"/>
              <w:right w:val="single" w:sz="4" w:space="0" w:color="FFFFFF"/>
            </w:tcBorders>
            <w:shd w:val="clear" w:color="000000" w:fill="2F005F"/>
            <w:vAlign w:val="center"/>
            <w:hideMark/>
          </w:tcPr>
          <w:p w14:paraId="3CDF0555" w14:textId="77777777" w:rsidR="000B487B" w:rsidRPr="004F1851" w:rsidRDefault="000B487B" w:rsidP="00FC4B58">
            <w:pPr>
              <w:spacing w:before="0" w:after="0"/>
              <w:jc w:val="center"/>
              <w:rPr>
                <w:rFonts w:eastAsia="Times New Roman" w:cs="Arial"/>
                <w:b/>
                <w:bCs/>
                <w:color w:val="FFFFFF"/>
                <w:sz w:val="18"/>
                <w:szCs w:val="18"/>
                <w:lang w:eastAsia="en-AU"/>
              </w:rPr>
            </w:pPr>
            <w:r w:rsidRPr="004F1851">
              <w:rPr>
                <w:rFonts w:eastAsia="Times New Roman" w:cs="Arial"/>
                <w:b/>
                <w:bCs/>
                <w:color w:val="FFFFFF"/>
                <w:sz w:val="18"/>
                <w:szCs w:val="18"/>
                <w:lang w:eastAsia="en-AU"/>
              </w:rPr>
              <w:t>Participation rate</w:t>
            </w:r>
          </w:p>
        </w:tc>
      </w:tr>
      <w:tr w:rsidR="000B487B" w:rsidRPr="000B487B" w14:paraId="77A2B6FB" w14:textId="77777777" w:rsidTr="00FC4B58">
        <w:trPr>
          <w:gridAfter w:val="1"/>
          <w:wAfter w:w="36" w:type="dxa"/>
          <w:trHeight w:val="491"/>
        </w:trPr>
        <w:tc>
          <w:tcPr>
            <w:tcW w:w="1299" w:type="dxa"/>
            <w:vMerge/>
            <w:tcBorders>
              <w:top w:val="nil"/>
              <w:left w:val="nil"/>
              <w:bottom w:val="nil"/>
              <w:right w:val="single" w:sz="4" w:space="0" w:color="FFFFFF"/>
            </w:tcBorders>
            <w:vAlign w:val="center"/>
            <w:hideMark/>
          </w:tcPr>
          <w:p w14:paraId="690B977A" w14:textId="77777777" w:rsidR="000B487B" w:rsidRPr="000B487B" w:rsidRDefault="000B487B" w:rsidP="00FC4B58">
            <w:pPr>
              <w:spacing w:before="0" w:after="0"/>
              <w:rPr>
                <w:rFonts w:eastAsia="Times New Roman" w:cs="Arial"/>
                <w:color w:val="FFFFFF"/>
                <w:sz w:val="18"/>
                <w:szCs w:val="18"/>
                <w:lang w:eastAsia="en-AU"/>
              </w:rPr>
            </w:pPr>
          </w:p>
        </w:tc>
        <w:tc>
          <w:tcPr>
            <w:tcW w:w="1156" w:type="dxa"/>
            <w:vMerge w:val="restart"/>
            <w:tcBorders>
              <w:top w:val="nil"/>
              <w:left w:val="single" w:sz="4" w:space="0" w:color="FFFFFF"/>
              <w:bottom w:val="nil"/>
              <w:right w:val="nil"/>
            </w:tcBorders>
            <w:shd w:val="clear" w:color="000000" w:fill="2F005F"/>
            <w:vAlign w:val="center"/>
            <w:hideMark/>
          </w:tcPr>
          <w:p w14:paraId="7CBF0420" w14:textId="77777777"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Mar-25</w:t>
            </w:r>
          </w:p>
        </w:tc>
        <w:tc>
          <w:tcPr>
            <w:tcW w:w="2308" w:type="dxa"/>
            <w:gridSpan w:val="2"/>
            <w:vMerge w:val="restart"/>
            <w:tcBorders>
              <w:top w:val="nil"/>
              <w:left w:val="nil"/>
              <w:bottom w:val="nil"/>
              <w:right w:val="single" w:sz="4" w:space="0" w:color="FFFFFF"/>
            </w:tcBorders>
            <w:shd w:val="clear" w:color="000000" w:fill="2F005F"/>
            <w:vAlign w:val="center"/>
            <w:hideMark/>
          </w:tcPr>
          <w:p w14:paraId="470E338A" w14:textId="77777777"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Change since</w:t>
            </w:r>
            <w:r w:rsidRPr="004F1851">
              <w:rPr>
                <w:rFonts w:eastAsia="Times New Roman" w:cs="Arial"/>
                <w:color w:val="FFFFFF"/>
                <w:sz w:val="18"/>
                <w:szCs w:val="18"/>
                <w:lang w:eastAsia="en-AU"/>
              </w:rPr>
              <w:br/>
              <w:t>Dec-24</w:t>
            </w:r>
          </w:p>
        </w:tc>
        <w:tc>
          <w:tcPr>
            <w:tcW w:w="1154" w:type="dxa"/>
            <w:vMerge w:val="restart"/>
            <w:tcBorders>
              <w:top w:val="nil"/>
              <w:left w:val="single" w:sz="4" w:space="0" w:color="FFFFFF"/>
              <w:bottom w:val="nil"/>
              <w:right w:val="nil"/>
            </w:tcBorders>
            <w:shd w:val="clear" w:color="000000" w:fill="2F005F"/>
            <w:vAlign w:val="center"/>
            <w:hideMark/>
          </w:tcPr>
          <w:p w14:paraId="06DC0EFA" w14:textId="77777777"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Mar-25</w:t>
            </w:r>
          </w:p>
        </w:tc>
        <w:tc>
          <w:tcPr>
            <w:tcW w:w="1157" w:type="dxa"/>
            <w:vMerge w:val="restart"/>
            <w:tcBorders>
              <w:top w:val="nil"/>
              <w:left w:val="nil"/>
              <w:bottom w:val="nil"/>
              <w:right w:val="single" w:sz="4" w:space="0" w:color="FFFFFF"/>
            </w:tcBorders>
            <w:shd w:val="clear" w:color="000000" w:fill="2F005F"/>
            <w:vAlign w:val="center"/>
            <w:hideMark/>
          </w:tcPr>
          <w:p w14:paraId="43373821" w14:textId="77777777"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Change since</w:t>
            </w:r>
            <w:r w:rsidRPr="004F1851">
              <w:rPr>
                <w:rFonts w:eastAsia="Times New Roman" w:cs="Arial"/>
                <w:color w:val="FFFFFF"/>
                <w:sz w:val="18"/>
                <w:szCs w:val="18"/>
                <w:lang w:eastAsia="en-AU"/>
              </w:rPr>
              <w:br/>
              <w:t>Dec-24</w:t>
            </w:r>
          </w:p>
        </w:tc>
        <w:tc>
          <w:tcPr>
            <w:tcW w:w="1154" w:type="dxa"/>
            <w:vMerge w:val="restart"/>
            <w:tcBorders>
              <w:top w:val="nil"/>
              <w:left w:val="single" w:sz="4" w:space="0" w:color="FFFFFF"/>
              <w:bottom w:val="nil"/>
              <w:right w:val="nil"/>
            </w:tcBorders>
            <w:shd w:val="clear" w:color="000000" w:fill="2F005F"/>
            <w:vAlign w:val="center"/>
            <w:hideMark/>
          </w:tcPr>
          <w:p w14:paraId="38712361" w14:textId="77777777"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Mar-25</w:t>
            </w:r>
          </w:p>
        </w:tc>
        <w:tc>
          <w:tcPr>
            <w:tcW w:w="1156" w:type="dxa"/>
            <w:vMerge w:val="restart"/>
            <w:tcBorders>
              <w:top w:val="nil"/>
              <w:left w:val="nil"/>
              <w:bottom w:val="nil"/>
              <w:right w:val="single" w:sz="4" w:space="0" w:color="FFFFFF"/>
            </w:tcBorders>
            <w:shd w:val="clear" w:color="000000" w:fill="2F005F"/>
            <w:vAlign w:val="center"/>
            <w:hideMark/>
          </w:tcPr>
          <w:p w14:paraId="67670E76" w14:textId="77777777"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Change since</w:t>
            </w:r>
            <w:r w:rsidRPr="004F1851">
              <w:rPr>
                <w:rFonts w:eastAsia="Times New Roman" w:cs="Arial"/>
                <w:color w:val="FFFFFF"/>
                <w:sz w:val="18"/>
                <w:szCs w:val="18"/>
                <w:lang w:eastAsia="en-AU"/>
              </w:rPr>
              <w:br/>
              <w:t>Dec-24</w:t>
            </w:r>
          </w:p>
        </w:tc>
      </w:tr>
      <w:tr w:rsidR="000B487B" w:rsidRPr="000B487B" w14:paraId="459C2EAD" w14:textId="77777777" w:rsidTr="00FC4B58">
        <w:trPr>
          <w:trHeight w:val="510"/>
        </w:trPr>
        <w:tc>
          <w:tcPr>
            <w:tcW w:w="1299" w:type="dxa"/>
            <w:vMerge/>
            <w:tcBorders>
              <w:top w:val="nil"/>
              <w:left w:val="nil"/>
              <w:bottom w:val="nil"/>
              <w:right w:val="single" w:sz="4" w:space="0" w:color="FFFFFF"/>
            </w:tcBorders>
            <w:vAlign w:val="center"/>
            <w:hideMark/>
          </w:tcPr>
          <w:p w14:paraId="3852AD86" w14:textId="77777777" w:rsidR="000B487B" w:rsidRPr="000B487B" w:rsidRDefault="000B487B" w:rsidP="00FC4B58">
            <w:pPr>
              <w:spacing w:before="0" w:after="0"/>
              <w:rPr>
                <w:rFonts w:eastAsia="Times New Roman" w:cs="Arial"/>
                <w:color w:val="FFFFFF"/>
                <w:sz w:val="18"/>
                <w:szCs w:val="18"/>
                <w:lang w:eastAsia="en-AU"/>
              </w:rPr>
            </w:pPr>
          </w:p>
        </w:tc>
        <w:tc>
          <w:tcPr>
            <w:tcW w:w="1156" w:type="dxa"/>
            <w:vMerge/>
            <w:tcBorders>
              <w:top w:val="nil"/>
              <w:left w:val="single" w:sz="4" w:space="0" w:color="FFFFFF"/>
              <w:bottom w:val="nil"/>
              <w:right w:val="nil"/>
            </w:tcBorders>
            <w:vAlign w:val="center"/>
            <w:hideMark/>
          </w:tcPr>
          <w:p w14:paraId="56D7CEB6" w14:textId="77777777" w:rsidR="000B487B" w:rsidRPr="004F1851" w:rsidRDefault="000B487B" w:rsidP="00FC4B58">
            <w:pPr>
              <w:spacing w:before="0" w:after="0"/>
              <w:rPr>
                <w:rFonts w:eastAsia="Times New Roman" w:cs="Arial"/>
                <w:color w:val="FFFFFF"/>
                <w:sz w:val="18"/>
                <w:szCs w:val="18"/>
                <w:lang w:eastAsia="en-AU"/>
              </w:rPr>
            </w:pPr>
          </w:p>
        </w:tc>
        <w:tc>
          <w:tcPr>
            <w:tcW w:w="2308" w:type="dxa"/>
            <w:gridSpan w:val="2"/>
            <w:vMerge/>
            <w:tcBorders>
              <w:top w:val="nil"/>
              <w:left w:val="nil"/>
              <w:bottom w:val="nil"/>
              <w:right w:val="single" w:sz="4" w:space="0" w:color="FFFFFF"/>
            </w:tcBorders>
            <w:vAlign w:val="center"/>
            <w:hideMark/>
          </w:tcPr>
          <w:p w14:paraId="3021FE93" w14:textId="77777777" w:rsidR="000B487B" w:rsidRPr="004F1851" w:rsidRDefault="000B487B" w:rsidP="00FC4B58">
            <w:pPr>
              <w:spacing w:before="0" w:after="0"/>
              <w:rPr>
                <w:rFonts w:eastAsia="Times New Roman" w:cs="Arial"/>
                <w:color w:val="FFFFFF"/>
                <w:sz w:val="18"/>
                <w:szCs w:val="18"/>
                <w:lang w:eastAsia="en-AU"/>
              </w:rPr>
            </w:pPr>
          </w:p>
        </w:tc>
        <w:tc>
          <w:tcPr>
            <w:tcW w:w="1154" w:type="dxa"/>
            <w:vMerge/>
            <w:tcBorders>
              <w:top w:val="nil"/>
              <w:left w:val="single" w:sz="4" w:space="0" w:color="FFFFFF"/>
              <w:bottom w:val="nil"/>
              <w:right w:val="nil"/>
            </w:tcBorders>
            <w:vAlign w:val="center"/>
            <w:hideMark/>
          </w:tcPr>
          <w:p w14:paraId="23301ACE" w14:textId="77777777" w:rsidR="000B487B" w:rsidRPr="004F1851" w:rsidRDefault="000B487B" w:rsidP="00FC4B58">
            <w:pPr>
              <w:spacing w:before="0" w:after="0"/>
              <w:rPr>
                <w:rFonts w:eastAsia="Times New Roman" w:cs="Arial"/>
                <w:color w:val="FFFFFF"/>
                <w:sz w:val="18"/>
                <w:szCs w:val="18"/>
                <w:lang w:eastAsia="en-AU"/>
              </w:rPr>
            </w:pPr>
          </w:p>
        </w:tc>
        <w:tc>
          <w:tcPr>
            <w:tcW w:w="1157" w:type="dxa"/>
            <w:vMerge/>
            <w:tcBorders>
              <w:top w:val="nil"/>
              <w:left w:val="nil"/>
              <w:bottom w:val="nil"/>
              <w:right w:val="single" w:sz="4" w:space="0" w:color="FFFFFF"/>
            </w:tcBorders>
            <w:vAlign w:val="center"/>
            <w:hideMark/>
          </w:tcPr>
          <w:p w14:paraId="07811CAB" w14:textId="77777777" w:rsidR="000B487B" w:rsidRPr="004F1851" w:rsidRDefault="000B487B" w:rsidP="00FC4B58">
            <w:pPr>
              <w:spacing w:before="0" w:after="0"/>
              <w:rPr>
                <w:rFonts w:eastAsia="Times New Roman" w:cs="Arial"/>
                <w:color w:val="FFFFFF"/>
                <w:sz w:val="18"/>
                <w:szCs w:val="18"/>
                <w:lang w:eastAsia="en-AU"/>
              </w:rPr>
            </w:pPr>
          </w:p>
        </w:tc>
        <w:tc>
          <w:tcPr>
            <w:tcW w:w="1154" w:type="dxa"/>
            <w:vMerge/>
            <w:tcBorders>
              <w:top w:val="nil"/>
              <w:left w:val="single" w:sz="4" w:space="0" w:color="FFFFFF"/>
              <w:bottom w:val="nil"/>
              <w:right w:val="nil"/>
            </w:tcBorders>
            <w:vAlign w:val="center"/>
            <w:hideMark/>
          </w:tcPr>
          <w:p w14:paraId="7F3578B3" w14:textId="77777777" w:rsidR="000B487B" w:rsidRPr="004F1851" w:rsidRDefault="000B487B" w:rsidP="00FC4B58">
            <w:pPr>
              <w:spacing w:before="0" w:after="0"/>
              <w:rPr>
                <w:rFonts w:eastAsia="Times New Roman" w:cs="Arial"/>
                <w:color w:val="FFFFFF"/>
                <w:sz w:val="18"/>
                <w:szCs w:val="18"/>
                <w:lang w:eastAsia="en-AU"/>
              </w:rPr>
            </w:pPr>
          </w:p>
        </w:tc>
        <w:tc>
          <w:tcPr>
            <w:tcW w:w="1156" w:type="dxa"/>
            <w:vMerge/>
            <w:tcBorders>
              <w:top w:val="nil"/>
              <w:left w:val="nil"/>
              <w:bottom w:val="nil"/>
              <w:right w:val="single" w:sz="4" w:space="0" w:color="FFFFFF"/>
            </w:tcBorders>
            <w:vAlign w:val="center"/>
            <w:hideMark/>
          </w:tcPr>
          <w:p w14:paraId="41646E27" w14:textId="77777777" w:rsidR="000B487B" w:rsidRPr="004F1851" w:rsidRDefault="000B487B" w:rsidP="00FC4B58">
            <w:pPr>
              <w:spacing w:before="0" w:after="0"/>
              <w:rPr>
                <w:rFonts w:eastAsia="Times New Roman" w:cs="Arial"/>
                <w:color w:val="FFFFFF"/>
                <w:sz w:val="18"/>
                <w:szCs w:val="18"/>
                <w:lang w:eastAsia="en-AU"/>
              </w:rPr>
            </w:pPr>
          </w:p>
        </w:tc>
        <w:tc>
          <w:tcPr>
            <w:tcW w:w="36" w:type="dxa"/>
            <w:tcBorders>
              <w:top w:val="nil"/>
              <w:left w:val="nil"/>
              <w:bottom w:val="nil"/>
              <w:right w:val="nil"/>
            </w:tcBorders>
            <w:noWrap/>
            <w:vAlign w:val="bottom"/>
            <w:hideMark/>
          </w:tcPr>
          <w:p w14:paraId="44E2A336" w14:textId="77777777" w:rsidR="000B487B" w:rsidRPr="000B487B" w:rsidRDefault="000B487B" w:rsidP="00FC4B58">
            <w:pPr>
              <w:spacing w:before="0" w:after="0"/>
              <w:jc w:val="center"/>
              <w:rPr>
                <w:rFonts w:eastAsia="Times New Roman" w:cs="Arial"/>
                <w:color w:val="FFFFFF"/>
                <w:sz w:val="18"/>
                <w:szCs w:val="18"/>
                <w:lang w:eastAsia="en-AU"/>
              </w:rPr>
            </w:pPr>
          </w:p>
        </w:tc>
      </w:tr>
      <w:tr w:rsidR="000B487B" w:rsidRPr="000B487B" w14:paraId="6EF863BB" w14:textId="77777777" w:rsidTr="00FC4B58">
        <w:trPr>
          <w:trHeight w:val="285"/>
        </w:trPr>
        <w:tc>
          <w:tcPr>
            <w:tcW w:w="1299" w:type="dxa"/>
            <w:vMerge/>
            <w:tcBorders>
              <w:top w:val="nil"/>
              <w:left w:val="nil"/>
              <w:bottom w:val="nil"/>
              <w:right w:val="single" w:sz="4" w:space="0" w:color="FFFFFF"/>
            </w:tcBorders>
            <w:vAlign w:val="center"/>
            <w:hideMark/>
          </w:tcPr>
          <w:p w14:paraId="13B77772" w14:textId="77777777" w:rsidR="000B487B" w:rsidRPr="000B487B" w:rsidRDefault="000B487B" w:rsidP="00FC4B58">
            <w:pPr>
              <w:spacing w:before="0" w:after="0"/>
              <w:rPr>
                <w:rFonts w:eastAsia="Times New Roman" w:cs="Arial"/>
                <w:color w:val="FFFFFF"/>
                <w:sz w:val="18"/>
                <w:szCs w:val="18"/>
                <w:lang w:eastAsia="en-AU"/>
              </w:rPr>
            </w:pPr>
          </w:p>
        </w:tc>
        <w:tc>
          <w:tcPr>
            <w:tcW w:w="1156" w:type="dxa"/>
            <w:tcBorders>
              <w:top w:val="nil"/>
              <w:left w:val="nil"/>
              <w:bottom w:val="nil"/>
              <w:right w:val="nil"/>
            </w:tcBorders>
            <w:shd w:val="clear" w:color="000000" w:fill="2F005F"/>
            <w:vAlign w:val="center"/>
            <w:hideMark/>
          </w:tcPr>
          <w:p w14:paraId="006E06AB" w14:textId="77777777"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('000)</w:t>
            </w:r>
          </w:p>
        </w:tc>
        <w:tc>
          <w:tcPr>
            <w:tcW w:w="1154" w:type="dxa"/>
            <w:tcBorders>
              <w:top w:val="nil"/>
              <w:left w:val="nil"/>
              <w:bottom w:val="nil"/>
              <w:right w:val="nil"/>
            </w:tcBorders>
            <w:shd w:val="clear" w:color="000000" w:fill="2F005F"/>
            <w:vAlign w:val="center"/>
            <w:hideMark/>
          </w:tcPr>
          <w:p w14:paraId="18026EB8" w14:textId="77777777"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(‘000)</w:t>
            </w:r>
          </w:p>
        </w:tc>
        <w:tc>
          <w:tcPr>
            <w:tcW w:w="1154" w:type="dxa"/>
            <w:tcBorders>
              <w:top w:val="nil"/>
              <w:left w:val="nil"/>
              <w:bottom w:val="nil"/>
              <w:right w:val="single" w:sz="4" w:space="0" w:color="FFFFFF"/>
            </w:tcBorders>
            <w:shd w:val="clear" w:color="000000" w:fill="2F005F"/>
            <w:vAlign w:val="center"/>
            <w:hideMark/>
          </w:tcPr>
          <w:p w14:paraId="305E3CD9" w14:textId="77777777"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w:t>
            </w:r>
          </w:p>
        </w:tc>
        <w:tc>
          <w:tcPr>
            <w:tcW w:w="1154" w:type="dxa"/>
            <w:tcBorders>
              <w:top w:val="nil"/>
              <w:left w:val="nil"/>
              <w:bottom w:val="nil"/>
              <w:right w:val="nil"/>
            </w:tcBorders>
            <w:shd w:val="clear" w:color="000000" w:fill="2F005F"/>
            <w:vAlign w:val="center"/>
            <w:hideMark/>
          </w:tcPr>
          <w:p w14:paraId="2A51120F" w14:textId="77777777"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w:t>
            </w:r>
          </w:p>
        </w:tc>
        <w:tc>
          <w:tcPr>
            <w:tcW w:w="1157" w:type="dxa"/>
            <w:tcBorders>
              <w:top w:val="nil"/>
              <w:left w:val="nil"/>
              <w:bottom w:val="nil"/>
              <w:right w:val="single" w:sz="4" w:space="0" w:color="FFFFFF"/>
            </w:tcBorders>
            <w:shd w:val="clear" w:color="000000" w:fill="2F005F"/>
            <w:vAlign w:val="center"/>
            <w:hideMark/>
          </w:tcPr>
          <w:p w14:paraId="032E94A5" w14:textId="77C48374"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w:t>
            </w:r>
          </w:p>
        </w:tc>
        <w:tc>
          <w:tcPr>
            <w:tcW w:w="1154" w:type="dxa"/>
            <w:tcBorders>
              <w:top w:val="nil"/>
              <w:left w:val="nil"/>
              <w:bottom w:val="nil"/>
              <w:right w:val="nil"/>
            </w:tcBorders>
            <w:shd w:val="clear" w:color="000000" w:fill="2F005F"/>
            <w:vAlign w:val="center"/>
            <w:hideMark/>
          </w:tcPr>
          <w:p w14:paraId="2D0928D7" w14:textId="77777777"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w:t>
            </w:r>
          </w:p>
        </w:tc>
        <w:tc>
          <w:tcPr>
            <w:tcW w:w="1156" w:type="dxa"/>
            <w:tcBorders>
              <w:top w:val="nil"/>
              <w:left w:val="nil"/>
              <w:bottom w:val="nil"/>
              <w:right w:val="single" w:sz="4" w:space="0" w:color="FFFFFF"/>
            </w:tcBorders>
            <w:shd w:val="clear" w:color="000000" w:fill="2F005F"/>
            <w:vAlign w:val="center"/>
            <w:hideMark/>
          </w:tcPr>
          <w:p w14:paraId="5370865A" w14:textId="17FBA2B8" w:rsidR="000B487B" w:rsidRPr="004F1851" w:rsidRDefault="000B487B" w:rsidP="00FC4B58">
            <w:pPr>
              <w:spacing w:before="0" w:after="0"/>
              <w:jc w:val="center"/>
              <w:rPr>
                <w:rFonts w:eastAsia="Times New Roman" w:cs="Arial"/>
                <w:color w:val="FFFFFF"/>
                <w:sz w:val="18"/>
                <w:szCs w:val="18"/>
                <w:lang w:eastAsia="en-AU"/>
              </w:rPr>
            </w:pPr>
            <w:r w:rsidRPr="004F1851">
              <w:rPr>
                <w:rFonts w:eastAsia="Times New Roman" w:cs="Arial"/>
                <w:color w:val="FFFFFF"/>
                <w:sz w:val="18"/>
                <w:szCs w:val="18"/>
                <w:lang w:eastAsia="en-AU"/>
              </w:rPr>
              <w:t>(%)</w:t>
            </w:r>
          </w:p>
        </w:tc>
        <w:tc>
          <w:tcPr>
            <w:tcW w:w="36" w:type="dxa"/>
            <w:vAlign w:val="center"/>
            <w:hideMark/>
          </w:tcPr>
          <w:p w14:paraId="1EDF1369" w14:textId="77777777" w:rsidR="000B487B" w:rsidRPr="000B487B" w:rsidRDefault="000B487B" w:rsidP="00FC4B58">
            <w:pPr>
              <w:spacing w:before="0" w:after="0"/>
              <w:rPr>
                <w:rFonts w:ascii="Times New Roman" w:eastAsia="Times New Roman" w:hAnsi="Times New Roman" w:cs="Times New Roman"/>
                <w:sz w:val="20"/>
                <w:lang w:eastAsia="en-AU"/>
              </w:rPr>
            </w:pPr>
          </w:p>
        </w:tc>
      </w:tr>
      <w:tr w:rsidR="000B487B" w:rsidRPr="000B487B" w14:paraId="16995CCC" w14:textId="77777777" w:rsidTr="00FC4B58">
        <w:trPr>
          <w:trHeight w:val="360"/>
        </w:trPr>
        <w:tc>
          <w:tcPr>
            <w:tcW w:w="1299" w:type="dxa"/>
            <w:tcBorders>
              <w:top w:val="nil"/>
              <w:left w:val="nil"/>
              <w:bottom w:val="nil"/>
              <w:right w:val="nil"/>
            </w:tcBorders>
            <w:vAlign w:val="center"/>
            <w:hideMark/>
          </w:tcPr>
          <w:p w14:paraId="4A16ECCD"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18"/>
                <w:lang w:eastAsia="en-AU"/>
              </w:rPr>
              <w:t>NSW</w:t>
            </w:r>
          </w:p>
        </w:tc>
        <w:tc>
          <w:tcPr>
            <w:tcW w:w="1156" w:type="dxa"/>
            <w:tcBorders>
              <w:top w:val="nil"/>
              <w:left w:val="single" w:sz="4" w:space="0" w:color="FFFFFF"/>
              <w:bottom w:val="nil"/>
              <w:right w:val="nil"/>
            </w:tcBorders>
            <w:vAlign w:val="center"/>
            <w:hideMark/>
          </w:tcPr>
          <w:p w14:paraId="6C8755A7"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4,491.7</w:t>
            </w:r>
          </w:p>
        </w:tc>
        <w:tc>
          <w:tcPr>
            <w:tcW w:w="1154" w:type="dxa"/>
            <w:tcBorders>
              <w:top w:val="nil"/>
              <w:left w:val="nil"/>
              <w:bottom w:val="nil"/>
              <w:right w:val="nil"/>
            </w:tcBorders>
            <w:vAlign w:val="center"/>
            <w:hideMark/>
          </w:tcPr>
          <w:p w14:paraId="1EEDD810"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1.0</w:t>
            </w:r>
          </w:p>
        </w:tc>
        <w:tc>
          <w:tcPr>
            <w:tcW w:w="1154" w:type="dxa"/>
            <w:tcBorders>
              <w:top w:val="nil"/>
              <w:left w:val="nil"/>
              <w:bottom w:val="nil"/>
              <w:right w:val="single" w:sz="4" w:space="0" w:color="FFFFFF"/>
            </w:tcBorders>
            <w:vAlign w:val="center"/>
            <w:hideMark/>
          </w:tcPr>
          <w:p w14:paraId="2586A2F9"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0.0%</w:t>
            </w:r>
          </w:p>
        </w:tc>
        <w:tc>
          <w:tcPr>
            <w:tcW w:w="1154" w:type="dxa"/>
            <w:tcBorders>
              <w:top w:val="nil"/>
              <w:left w:val="nil"/>
              <w:bottom w:val="nil"/>
              <w:right w:val="nil"/>
            </w:tcBorders>
            <w:vAlign w:val="center"/>
            <w:hideMark/>
          </w:tcPr>
          <w:p w14:paraId="3926F709"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4.2%</w:t>
            </w:r>
          </w:p>
        </w:tc>
        <w:tc>
          <w:tcPr>
            <w:tcW w:w="1157" w:type="dxa"/>
            <w:tcBorders>
              <w:top w:val="nil"/>
              <w:left w:val="nil"/>
              <w:bottom w:val="nil"/>
              <w:right w:val="single" w:sz="4" w:space="0" w:color="FFFFFF"/>
            </w:tcBorders>
            <w:vAlign w:val="center"/>
            <w:hideMark/>
          </w:tcPr>
          <w:p w14:paraId="26DFE02C" w14:textId="54216629"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0.4</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1154" w:type="dxa"/>
            <w:tcBorders>
              <w:top w:val="nil"/>
              <w:left w:val="nil"/>
              <w:bottom w:val="nil"/>
              <w:right w:val="nil"/>
            </w:tcBorders>
            <w:vAlign w:val="center"/>
            <w:hideMark/>
          </w:tcPr>
          <w:p w14:paraId="75A7D1E5"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66.3%</w:t>
            </w:r>
          </w:p>
        </w:tc>
        <w:tc>
          <w:tcPr>
            <w:tcW w:w="1156" w:type="dxa"/>
            <w:tcBorders>
              <w:top w:val="nil"/>
              <w:left w:val="nil"/>
              <w:bottom w:val="nil"/>
              <w:right w:val="single" w:sz="4" w:space="0" w:color="FFFFFF"/>
            </w:tcBorders>
            <w:vAlign w:val="center"/>
            <w:hideMark/>
          </w:tcPr>
          <w:p w14:paraId="422C3D32" w14:textId="6D9DEC33"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-0.1</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36" w:type="dxa"/>
            <w:vAlign w:val="center"/>
            <w:hideMark/>
          </w:tcPr>
          <w:p w14:paraId="36347C82" w14:textId="77777777" w:rsidR="000B487B" w:rsidRPr="000B487B" w:rsidRDefault="000B487B" w:rsidP="00FC4B58">
            <w:pPr>
              <w:spacing w:before="0" w:after="0"/>
              <w:rPr>
                <w:rFonts w:ascii="Times New Roman" w:eastAsia="Times New Roman" w:hAnsi="Times New Roman" w:cs="Times New Roman"/>
                <w:sz w:val="20"/>
                <w:lang w:eastAsia="en-AU"/>
              </w:rPr>
            </w:pPr>
          </w:p>
        </w:tc>
      </w:tr>
      <w:tr w:rsidR="000B487B" w:rsidRPr="000B487B" w14:paraId="47586C89" w14:textId="77777777" w:rsidTr="00FC4B58">
        <w:trPr>
          <w:trHeight w:val="360"/>
        </w:trPr>
        <w:tc>
          <w:tcPr>
            <w:tcW w:w="1299" w:type="dxa"/>
            <w:tcBorders>
              <w:top w:val="nil"/>
              <w:left w:val="nil"/>
              <w:bottom w:val="nil"/>
              <w:right w:val="nil"/>
            </w:tcBorders>
            <w:shd w:val="clear" w:color="000000" w:fill="F2F2F2"/>
            <w:vAlign w:val="center"/>
            <w:hideMark/>
          </w:tcPr>
          <w:p w14:paraId="1489C239"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18"/>
                <w:lang w:eastAsia="en-AU"/>
              </w:rPr>
              <w:t>VIC</w:t>
            </w:r>
          </w:p>
        </w:tc>
        <w:tc>
          <w:tcPr>
            <w:tcW w:w="1156" w:type="dxa"/>
            <w:tcBorders>
              <w:top w:val="nil"/>
              <w:left w:val="single" w:sz="4" w:space="0" w:color="FFFFFF"/>
              <w:bottom w:val="nil"/>
              <w:right w:val="nil"/>
            </w:tcBorders>
            <w:shd w:val="clear" w:color="000000" w:fill="F2F2F2"/>
            <w:vAlign w:val="center"/>
            <w:hideMark/>
          </w:tcPr>
          <w:p w14:paraId="03ECBC75"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3,788.7*</w:t>
            </w:r>
          </w:p>
        </w:tc>
        <w:tc>
          <w:tcPr>
            <w:tcW w:w="1154" w:type="dxa"/>
            <w:tcBorders>
              <w:top w:val="nil"/>
              <w:left w:val="nil"/>
              <w:bottom w:val="nil"/>
              <w:right w:val="nil"/>
            </w:tcBorders>
            <w:shd w:val="clear" w:color="000000" w:fill="F2F2F2"/>
            <w:vAlign w:val="center"/>
            <w:hideMark/>
          </w:tcPr>
          <w:p w14:paraId="2C068D60"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8.1</w:t>
            </w:r>
          </w:p>
        </w:tc>
        <w:tc>
          <w:tcPr>
            <w:tcW w:w="1154" w:type="dxa"/>
            <w:tcBorders>
              <w:top w:val="nil"/>
              <w:left w:val="nil"/>
              <w:bottom w:val="nil"/>
              <w:right w:val="single" w:sz="4" w:space="0" w:color="FFFFFF"/>
            </w:tcBorders>
            <w:shd w:val="clear" w:color="000000" w:fill="F2F2F2"/>
            <w:vAlign w:val="center"/>
            <w:hideMark/>
          </w:tcPr>
          <w:p w14:paraId="126A708C"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0.2%</w:t>
            </w:r>
          </w:p>
        </w:tc>
        <w:tc>
          <w:tcPr>
            <w:tcW w:w="1154" w:type="dxa"/>
            <w:tcBorders>
              <w:top w:val="nil"/>
              <w:left w:val="nil"/>
              <w:bottom w:val="nil"/>
              <w:right w:val="nil"/>
            </w:tcBorders>
            <w:shd w:val="clear" w:color="000000" w:fill="F2F2F2"/>
            <w:vAlign w:val="center"/>
            <w:hideMark/>
          </w:tcPr>
          <w:p w14:paraId="186C6814"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4.4%</w:t>
            </w:r>
          </w:p>
        </w:tc>
        <w:tc>
          <w:tcPr>
            <w:tcW w:w="1157" w:type="dxa"/>
            <w:tcBorders>
              <w:top w:val="nil"/>
              <w:left w:val="nil"/>
              <w:bottom w:val="nil"/>
              <w:right w:val="single" w:sz="4" w:space="0" w:color="FFFFFF"/>
            </w:tcBorders>
            <w:shd w:val="clear" w:color="000000" w:fill="F2F2F2"/>
            <w:vAlign w:val="center"/>
            <w:hideMark/>
          </w:tcPr>
          <w:p w14:paraId="11E18A1B" w14:textId="15B45E2B"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-0.1</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1154" w:type="dxa"/>
            <w:tcBorders>
              <w:top w:val="nil"/>
              <w:left w:val="nil"/>
              <w:bottom w:val="nil"/>
              <w:right w:val="nil"/>
            </w:tcBorders>
            <w:shd w:val="clear" w:color="000000" w:fill="F2F2F2"/>
            <w:vAlign w:val="center"/>
            <w:hideMark/>
          </w:tcPr>
          <w:p w14:paraId="147BE230"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67.6%</w:t>
            </w:r>
          </w:p>
        </w:tc>
        <w:tc>
          <w:tcPr>
            <w:tcW w:w="1156" w:type="dxa"/>
            <w:tcBorders>
              <w:top w:val="nil"/>
              <w:left w:val="nil"/>
              <w:bottom w:val="nil"/>
              <w:right w:val="single" w:sz="4" w:space="0" w:color="FFFFFF"/>
            </w:tcBorders>
            <w:shd w:val="clear" w:color="000000" w:fill="F2F2F2"/>
            <w:vAlign w:val="center"/>
            <w:hideMark/>
          </w:tcPr>
          <w:p w14:paraId="6FA0FDA3" w14:textId="3A46E534"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-0.4</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36" w:type="dxa"/>
            <w:vAlign w:val="center"/>
            <w:hideMark/>
          </w:tcPr>
          <w:p w14:paraId="0E2F4AE2" w14:textId="77777777" w:rsidR="000B487B" w:rsidRPr="000B487B" w:rsidRDefault="000B487B" w:rsidP="00FC4B58">
            <w:pPr>
              <w:spacing w:before="0" w:after="0"/>
              <w:rPr>
                <w:rFonts w:ascii="Times New Roman" w:eastAsia="Times New Roman" w:hAnsi="Times New Roman" w:cs="Times New Roman"/>
                <w:sz w:val="20"/>
                <w:lang w:eastAsia="en-AU"/>
              </w:rPr>
            </w:pPr>
          </w:p>
        </w:tc>
      </w:tr>
      <w:tr w:rsidR="000B487B" w:rsidRPr="000B487B" w14:paraId="1FF78FE9" w14:textId="77777777" w:rsidTr="00FC4B58">
        <w:trPr>
          <w:trHeight w:val="360"/>
        </w:trPr>
        <w:tc>
          <w:tcPr>
            <w:tcW w:w="1299" w:type="dxa"/>
            <w:tcBorders>
              <w:top w:val="nil"/>
              <w:left w:val="nil"/>
              <w:bottom w:val="nil"/>
              <w:right w:val="nil"/>
            </w:tcBorders>
            <w:vAlign w:val="center"/>
            <w:hideMark/>
          </w:tcPr>
          <w:p w14:paraId="26489299"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18"/>
                <w:lang w:eastAsia="en-AU"/>
              </w:rPr>
              <w:t>QLD</w:t>
            </w:r>
          </w:p>
        </w:tc>
        <w:tc>
          <w:tcPr>
            <w:tcW w:w="1156" w:type="dxa"/>
            <w:tcBorders>
              <w:top w:val="nil"/>
              <w:left w:val="single" w:sz="4" w:space="0" w:color="FFFFFF"/>
              <w:bottom w:val="nil"/>
              <w:right w:val="nil"/>
            </w:tcBorders>
            <w:vAlign w:val="center"/>
            <w:hideMark/>
          </w:tcPr>
          <w:p w14:paraId="492CAE5B"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2,978.1</w:t>
            </w:r>
          </w:p>
        </w:tc>
        <w:tc>
          <w:tcPr>
            <w:tcW w:w="1154" w:type="dxa"/>
            <w:tcBorders>
              <w:top w:val="nil"/>
              <w:left w:val="nil"/>
              <w:bottom w:val="nil"/>
              <w:right w:val="nil"/>
            </w:tcBorders>
            <w:vAlign w:val="center"/>
            <w:hideMark/>
          </w:tcPr>
          <w:p w14:paraId="5229AA6E"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-9.6</w:t>
            </w:r>
          </w:p>
        </w:tc>
        <w:tc>
          <w:tcPr>
            <w:tcW w:w="1154" w:type="dxa"/>
            <w:tcBorders>
              <w:top w:val="nil"/>
              <w:left w:val="nil"/>
              <w:bottom w:val="nil"/>
              <w:right w:val="single" w:sz="4" w:space="0" w:color="FFFFFF"/>
            </w:tcBorders>
            <w:vAlign w:val="center"/>
            <w:hideMark/>
          </w:tcPr>
          <w:p w14:paraId="237C21D8"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-0.3%</w:t>
            </w:r>
          </w:p>
        </w:tc>
        <w:tc>
          <w:tcPr>
            <w:tcW w:w="1154" w:type="dxa"/>
            <w:tcBorders>
              <w:top w:val="nil"/>
              <w:left w:val="nil"/>
              <w:bottom w:val="nil"/>
              <w:right w:val="nil"/>
            </w:tcBorders>
            <w:vAlign w:val="center"/>
            <w:hideMark/>
          </w:tcPr>
          <w:p w14:paraId="6C2B13D0"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3.9%</w:t>
            </w:r>
          </w:p>
        </w:tc>
        <w:tc>
          <w:tcPr>
            <w:tcW w:w="1157" w:type="dxa"/>
            <w:tcBorders>
              <w:top w:val="nil"/>
              <w:left w:val="nil"/>
              <w:bottom w:val="nil"/>
              <w:right w:val="single" w:sz="4" w:space="0" w:color="FFFFFF"/>
            </w:tcBorders>
            <w:vAlign w:val="center"/>
            <w:hideMark/>
          </w:tcPr>
          <w:p w14:paraId="4BA4032E" w14:textId="1DE8B6DF"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0.1</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1154" w:type="dxa"/>
            <w:tcBorders>
              <w:top w:val="nil"/>
              <w:left w:val="nil"/>
              <w:bottom w:val="nil"/>
              <w:right w:val="nil"/>
            </w:tcBorders>
            <w:vAlign w:val="center"/>
            <w:hideMark/>
          </w:tcPr>
          <w:p w14:paraId="6E1AD5D9"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66.8%</w:t>
            </w:r>
          </w:p>
        </w:tc>
        <w:tc>
          <w:tcPr>
            <w:tcW w:w="1156" w:type="dxa"/>
            <w:tcBorders>
              <w:top w:val="nil"/>
              <w:left w:val="nil"/>
              <w:bottom w:val="nil"/>
              <w:right w:val="single" w:sz="4" w:space="0" w:color="FFFFFF"/>
            </w:tcBorders>
            <w:vAlign w:val="center"/>
            <w:hideMark/>
          </w:tcPr>
          <w:p w14:paraId="168AD361" w14:textId="75A159C4"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-0.6</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36" w:type="dxa"/>
            <w:vAlign w:val="center"/>
            <w:hideMark/>
          </w:tcPr>
          <w:p w14:paraId="66DBF94B" w14:textId="77777777" w:rsidR="000B487B" w:rsidRPr="000B487B" w:rsidRDefault="000B487B" w:rsidP="00FC4B58">
            <w:pPr>
              <w:spacing w:before="0" w:after="0"/>
              <w:rPr>
                <w:rFonts w:ascii="Times New Roman" w:eastAsia="Times New Roman" w:hAnsi="Times New Roman" w:cs="Times New Roman"/>
                <w:sz w:val="20"/>
                <w:lang w:eastAsia="en-AU"/>
              </w:rPr>
            </w:pPr>
          </w:p>
        </w:tc>
      </w:tr>
      <w:tr w:rsidR="000B487B" w:rsidRPr="000B487B" w14:paraId="1F9DF3A9" w14:textId="77777777" w:rsidTr="00FC4B58">
        <w:trPr>
          <w:trHeight w:val="360"/>
        </w:trPr>
        <w:tc>
          <w:tcPr>
            <w:tcW w:w="1299" w:type="dxa"/>
            <w:tcBorders>
              <w:top w:val="nil"/>
              <w:left w:val="nil"/>
              <w:bottom w:val="nil"/>
              <w:right w:val="nil"/>
            </w:tcBorders>
            <w:shd w:val="clear" w:color="000000" w:fill="F2F2F2"/>
            <w:vAlign w:val="center"/>
            <w:hideMark/>
          </w:tcPr>
          <w:p w14:paraId="77589311"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18"/>
                <w:lang w:eastAsia="en-AU"/>
              </w:rPr>
              <w:t>SA</w:t>
            </w:r>
          </w:p>
        </w:tc>
        <w:tc>
          <w:tcPr>
            <w:tcW w:w="1156" w:type="dxa"/>
            <w:tcBorders>
              <w:top w:val="nil"/>
              <w:left w:val="single" w:sz="4" w:space="0" w:color="FFFFFF"/>
              <w:bottom w:val="nil"/>
              <w:right w:val="nil"/>
            </w:tcBorders>
            <w:shd w:val="clear" w:color="000000" w:fill="F2F2F2"/>
            <w:vAlign w:val="center"/>
            <w:hideMark/>
          </w:tcPr>
          <w:p w14:paraId="1C0EE093"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964.7</w:t>
            </w:r>
          </w:p>
        </w:tc>
        <w:tc>
          <w:tcPr>
            <w:tcW w:w="1154" w:type="dxa"/>
            <w:tcBorders>
              <w:top w:val="nil"/>
              <w:left w:val="nil"/>
              <w:bottom w:val="nil"/>
              <w:right w:val="nil"/>
            </w:tcBorders>
            <w:shd w:val="clear" w:color="000000" w:fill="F2F2F2"/>
            <w:vAlign w:val="center"/>
            <w:hideMark/>
          </w:tcPr>
          <w:p w14:paraId="01CA2260"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14.9</w:t>
            </w:r>
          </w:p>
        </w:tc>
        <w:tc>
          <w:tcPr>
            <w:tcW w:w="1154" w:type="dxa"/>
            <w:tcBorders>
              <w:top w:val="nil"/>
              <w:left w:val="nil"/>
              <w:bottom w:val="nil"/>
              <w:right w:val="single" w:sz="4" w:space="0" w:color="FFFFFF"/>
            </w:tcBorders>
            <w:shd w:val="clear" w:color="000000" w:fill="F2F2F2"/>
            <w:vAlign w:val="center"/>
            <w:hideMark/>
          </w:tcPr>
          <w:p w14:paraId="42956E7A"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1.6%</w:t>
            </w:r>
          </w:p>
        </w:tc>
        <w:tc>
          <w:tcPr>
            <w:tcW w:w="1154" w:type="dxa"/>
            <w:tcBorders>
              <w:top w:val="nil"/>
              <w:left w:val="nil"/>
              <w:bottom w:val="nil"/>
              <w:right w:val="nil"/>
            </w:tcBorders>
            <w:shd w:val="clear" w:color="000000" w:fill="F2F2F2"/>
            <w:vAlign w:val="center"/>
            <w:hideMark/>
          </w:tcPr>
          <w:p w14:paraId="79BC2199"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4.0%</w:t>
            </w:r>
          </w:p>
        </w:tc>
        <w:tc>
          <w:tcPr>
            <w:tcW w:w="1157" w:type="dxa"/>
            <w:tcBorders>
              <w:top w:val="nil"/>
              <w:left w:val="nil"/>
              <w:bottom w:val="nil"/>
              <w:right w:val="single" w:sz="4" w:space="0" w:color="FFFFFF"/>
            </w:tcBorders>
            <w:shd w:val="clear" w:color="000000" w:fill="F2F2F2"/>
            <w:vAlign w:val="center"/>
            <w:hideMark/>
          </w:tcPr>
          <w:p w14:paraId="4161F546" w14:textId="66D0FFEF"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-0.2</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1154" w:type="dxa"/>
            <w:tcBorders>
              <w:top w:val="nil"/>
              <w:left w:val="nil"/>
              <w:bottom w:val="nil"/>
              <w:right w:val="nil"/>
            </w:tcBorders>
            <w:shd w:val="clear" w:color="000000" w:fill="F2F2F2"/>
            <w:vAlign w:val="center"/>
            <w:hideMark/>
          </w:tcPr>
          <w:p w14:paraId="660B60A9"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63.6%</w:t>
            </w:r>
          </w:p>
        </w:tc>
        <w:tc>
          <w:tcPr>
            <w:tcW w:w="1156" w:type="dxa"/>
            <w:tcBorders>
              <w:top w:val="nil"/>
              <w:left w:val="nil"/>
              <w:bottom w:val="nil"/>
              <w:right w:val="single" w:sz="4" w:space="0" w:color="FFFFFF"/>
            </w:tcBorders>
            <w:shd w:val="clear" w:color="000000" w:fill="F2F2F2"/>
            <w:vAlign w:val="center"/>
            <w:hideMark/>
          </w:tcPr>
          <w:p w14:paraId="5D881241" w14:textId="24BCAE6E"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0.5</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36" w:type="dxa"/>
            <w:vAlign w:val="center"/>
            <w:hideMark/>
          </w:tcPr>
          <w:p w14:paraId="48311FCE" w14:textId="77777777" w:rsidR="000B487B" w:rsidRPr="000B487B" w:rsidRDefault="000B487B" w:rsidP="00FC4B58">
            <w:pPr>
              <w:spacing w:before="0" w:after="0"/>
              <w:rPr>
                <w:rFonts w:ascii="Times New Roman" w:eastAsia="Times New Roman" w:hAnsi="Times New Roman" w:cs="Times New Roman"/>
                <w:sz w:val="20"/>
                <w:lang w:eastAsia="en-AU"/>
              </w:rPr>
            </w:pPr>
          </w:p>
        </w:tc>
      </w:tr>
      <w:tr w:rsidR="000B487B" w:rsidRPr="000B487B" w14:paraId="01968824" w14:textId="77777777" w:rsidTr="00FC4B58">
        <w:trPr>
          <w:trHeight w:val="360"/>
        </w:trPr>
        <w:tc>
          <w:tcPr>
            <w:tcW w:w="1299" w:type="dxa"/>
            <w:tcBorders>
              <w:top w:val="nil"/>
              <w:left w:val="nil"/>
              <w:bottom w:val="nil"/>
              <w:right w:val="nil"/>
            </w:tcBorders>
            <w:vAlign w:val="center"/>
            <w:hideMark/>
          </w:tcPr>
          <w:p w14:paraId="09995B5C"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18"/>
                <w:lang w:eastAsia="en-AU"/>
              </w:rPr>
              <w:t>WA</w:t>
            </w:r>
          </w:p>
        </w:tc>
        <w:tc>
          <w:tcPr>
            <w:tcW w:w="1156" w:type="dxa"/>
            <w:tcBorders>
              <w:top w:val="nil"/>
              <w:left w:val="single" w:sz="4" w:space="0" w:color="FFFFFF"/>
              <w:bottom w:val="nil"/>
              <w:right w:val="nil"/>
            </w:tcBorders>
            <w:vAlign w:val="center"/>
            <w:hideMark/>
          </w:tcPr>
          <w:p w14:paraId="5B529E67"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1,642.5</w:t>
            </w:r>
          </w:p>
        </w:tc>
        <w:tc>
          <w:tcPr>
            <w:tcW w:w="1154" w:type="dxa"/>
            <w:tcBorders>
              <w:top w:val="nil"/>
              <w:left w:val="nil"/>
              <w:bottom w:val="nil"/>
              <w:right w:val="nil"/>
            </w:tcBorders>
            <w:vAlign w:val="center"/>
            <w:hideMark/>
          </w:tcPr>
          <w:p w14:paraId="0B93C849"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6.1</w:t>
            </w:r>
          </w:p>
        </w:tc>
        <w:tc>
          <w:tcPr>
            <w:tcW w:w="1154" w:type="dxa"/>
            <w:tcBorders>
              <w:top w:val="nil"/>
              <w:left w:val="nil"/>
              <w:bottom w:val="nil"/>
              <w:right w:val="single" w:sz="4" w:space="0" w:color="FFFFFF"/>
            </w:tcBorders>
            <w:vAlign w:val="center"/>
            <w:hideMark/>
          </w:tcPr>
          <w:p w14:paraId="3F775D74"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0.4%</w:t>
            </w:r>
          </w:p>
        </w:tc>
        <w:tc>
          <w:tcPr>
            <w:tcW w:w="1154" w:type="dxa"/>
            <w:tcBorders>
              <w:top w:val="nil"/>
              <w:left w:val="nil"/>
              <w:bottom w:val="nil"/>
              <w:right w:val="nil"/>
            </w:tcBorders>
            <w:vAlign w:val="center"/>
            <w:hideMark/>
          </w:tcPr>
          <w:p w14:paraId="6149092D"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3.6%</w:t>
            </w:r>
          </w:p>
        </w:tc>
        <w:tc>
          <w:tcPr>
            <w:tcW w:w="1157" w:type="dxa"/>
            <w:tcBorders>
              <w:top w:val="nil"/>
              <w:left w:val="nil"/>
              <w:bottom w:val="nil"/>
              <w:right w:val="single" w:sz="4" w:space="0" w:color="FFFFFF"/>
            </w:tcBorders>
            <w:vAlign w:val="center"/>
            <w:hideMark/>
          </w:tcPr>
          <w:p w14:paraId="49F1DB9D" w14:textId="0056774D"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0.2</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1154" w:type="dxa"/>
            <w:tcBorders>
              <w:top w:val="nil"/>
              <w:left w:val="nil"/>
              <w:bottom w:val="nil"/>
              <w:right w:val="nil"/>
            </w:tcBorders>
            <w:vAlign w:val="center"/>
            <w:hideMark/>
          </w:tcPr>
          <w:p w14:paraId="5E82EED3"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68.9%</w:t>
            </w:r>
          </w:p>
        </w:tc>
        <w:tc>
          <w:tcPr>
            <w:tcW w:w="1156" w:type="dxa"/>
            <w:tcBorders>
              <w:top w:val="nil"/>
              <w:left w:val="nil"/>
              <w:bottom w:val="nil"/>
              <w:right w:val="single" w:sz="4" w:space="0" w:color="FFFFFF"/>
            </w:tcBorders>
            <w:vAlign w:val="center"/>
            <w:hideMark/>
          </w:tcPr>
          <w:p w14:paraId="6010F7DB" w14:textId="42EFCCF8"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-0.2</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36" w:type="dxa"/>
            <w:vAlign w:val="center"/>
            <w:hideMark/>
          </w:tcPr>
          <w:p w14:paraId="06017949" w14:textId="77777777" w:rsidR="000B487B" w:rsidRPr="000B487B" w:rsidRDefault="000B487B" w:rsidP="00FC4B58">
            <w:pPr>
              <w:spacing w:before="0" w:after="0"/>
              <w:rPr>
                <w:rFonts w:ascii="Times New Roman" w:eastAsia="Times New Roman" w:hAnsi="Times New Roman" w:cs="Times New Roman"/>
                <w:sz w:val="20"/>
                <w:lang w:eastAsia="en-AU"/>
              </w:rPr>
            </w:pPr>
          </w:p>
        </w:tc>
      </w:tr>
      <w:tr w:rsidR="000B487B" w:rsidRPr="000B487B" w14:paraId="1D6E2DFA" w14:textId="77777777" w:rsidTr="00FC4B58">
        <w:trPr>
          <w:trHeight w:val="360"/>
        </w:trPr>
        <w:tc>
          <w:tcPr>
            <w:tcW w:w="1299" w:type="dxa"/>
            <w:tcBorders>
              <w:top w:val="nil"/>
              <w:left w:val="nil"/>
              <w:bottom w:val="nil"/>
              <w:right w:val="nil"/>
            </w:tcBorders>
            <w:shd w:val="clear" w:color="000000" w:fill="F2F2F2"/>
            <w:vAlign w:val="center"/>
            <w:hideMark/>
          </w:tcPr>
          <w:p w14:paraId="06F17D69"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18"/>
                <w:lang w:eastAsia="en-AU"/>
              </w:rPr>
              <w:t>TAS</w:t>
            </w:r>
          </w:p>
        </w:tc>
        <w:tc>
          <w:tcPr>
            <w:tcW w:w="1156" w:type="dxa"/>
            <w:tcBorders>
              <w:top w:val="nil"/>
              <w:left w:val="single" w:sz="4" w:space="0" w:color="FFFFFF"/>
              <w:bottom w:val="nil"/>
              <w:right w:val="nil"/>
            </w:tcBorders>
            <w:shd w:val="clear" w:color="000000" w:fill="F2F2F2"/>
            <w:vAlign w:val="center"/>
            <w:hideMark/>
          </w:tcPr>
          <w:p w14:paraId="7964DEB0"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282.5</w:t>
            </w:r>
          </w:p>
        </w:tc>
        <w:tc>
          <w:tcPr>
            <w:tcW w:w="1154" w:type="dxa"/>
            <w:tcBorders>
              <w:top w:val="nil"/>
              <w:left w:val="nil"/>
              <w:bottom w:val="nil"/>
              <w:right w:val="nil"/>
            </w:tcBorders>
            <w:shd w:val="clear" w:color="000000" w:fill="F2F2F2"/>
            <w:vAlign w:val="center"/>
            <w:hideMark/>
          </w:tcPr>
          <w:p w14:paraId="2DBFFE76"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2.7</w:t>
            </w:r>
          </w:p>
        </w:tc>
        <w:tc>
          <w:tcPr>
            <w:tcW w:w="1154" w:type="dxa"/>
            <w:tcBorders>
              <w:top w:val="nil"/>
              <w:left w:val="nil"/>
              <w:bottom w:val="nil"/>
              <w:right w:val="single" w:sz="4" w:space="0" w:color="FFFFFF"/>
            </w:tcBorders>
            <w:shd w:val="clear" w:color="000000" w:fill="F2F2F2"/>
            <w:vAlign w:val="center"/>
            <w:hideMark/>
          </w:tcPr>
          <w:p w14:paraId="3991C21E"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1.0%</w:t>
            </w:r>
          </w:p>
        </w:tc>
        <w:tc>
          <w:tcPr>
            <w:tcW w:w="1154" w:type="dxa"/>
            <w:tcBorders>
              <w:top w:val="nil"/>
              <w:left w:val="nil"/>
              <w:bottom w:val="nil"/>
              <w:right w:val="nil"/>
            </w:tcBorders>
            <w:shd w:val="clear" w:color="000000" w:fill="F2F2F2"/>
            <w:vAlign w:val="center"/>
            <w:hideMark/>
          </w:tcPr>
          <w:p w14:paraId="27D0DD27"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3.9%</w:t>
            </w:r>
          </w:p>
        </w:tc>
        <w:tc>
          <w:tcPr>
            <w:tcW w:w="1157" w:type="dxa"/>
            <w:tcBorders>
              <w:top w:val="nil"/>
              <w:left w:val="nil"/>
              <w:bottom w:val="nil"/>
              <w:right w:val="single" w:sz="4" w:space="0" w:color="FFFFFF"/>
            </w:tcBorders>
            <w:shd w:val="clear" w:color="000000" w:fill="F2F2F2"/>
            <w:vAlign w:val="center"/>
            <w:hideMark/>
          </w:tcPr>
          <w:p w14:paraId="12C0FC5C" w14:textId="6BD8C68E"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-0.3</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1154" w:type="dxa"/>
            <w:tcBorders>
              <w:top w:val="nil"/>
              <w:left w:val="nil"/>
              <w:bottom w:val="nil"/>
              <w:right w:val="nil"/>
            </w:tcBorders>
            <w:shd w:val="clear" w:color="000000" w:fill="F2F2F2"/>
            <w:vAlign w:val="center"/>
            <w:hideMark/>
          </w:tcPr>
          <w:p w14:paraId="109E0B13"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60.6%</w:t>
            </w:r>
          </w:p>
        </w:tc>
        <w:tc>
          <w:tcPr>
            <w:tcW w:w="1156" w:type="dxa"/>
            <w:tcBorders>
              <w:top w:val="nil"/>
              <w:left w:val="nil"/>
              <w:bottom w:val="nil"/>
              <w:right w:val="single" w:sz="4" w:space="0" w:color="FFFFFF"/>
            </w:tcBorders>
            <w:shd w:val="clear" w:color="000000" w:fill="F2F2F2"/>
            <w:vAlign w:val="center"/>
            <w:hideMark/>
          </w:tcPr>
          <w:p w14:paraId="1A1B8D7B" w14:textId="333B364F"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0.2</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36" w:type="dxa"/>
            <w:vAlign w:val="center"/>
            <w:hideMark/>
          </w:tcPr>
          <w:p w14:paraId="2E0F564A" w14:textId="77777777" w:rsidR="000B487B" w:rsidRPr="000B487B" w:rsidRDefault="000B487B" w:rsidP="00FC4B58">
            <w:pPr>
              <w:spacing w:before="0" w:after="0"/>
              <w:rPr>
                <w:rFonts w:ascii="Times New Roman" w:eastAsia="Times New Roman" w:hAnsi="Times New Roman" w:cs="Times New Roman"/>
                <w:sz w:val="20"/>
                <w:lang w:eastAsia="en-AU"/>
              </w:rPr>
            </w:pPr>
          </w:p>
        </w:tc>
      </w:tr>
      <w:tr w:rsidR="000B487B" w:rsidRPr="000B487B" w14:paraId="737A662A" w14:textId="77777777" w:rsidTr="00FC4B58">
        <w:trPr>
          <w:trHeight w:val="360"/>
        </w:trPr>
        <w:tc>
          <w:tcPr>
            <w:tcW w:w="1299" w:type="dxa"/>
            <w:tcBorders>
              <w:top w:val="nil"/>
              <w:left w:val="nil"/>
              <w:bottom w:val="nil"/>
              <w:right w:val="nil"/>
            </w:tcBorders>
            <w:vAlign w:val="center"/>
            <w:hideMark/>
          </w:tcPr>
          <w:p w14:paraId="26E6822D"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18"/>
                <w:lang w:eastAsia="en-AU"/>
              </w:rPr>
              <w:t>NT</w:t>
            </w:r>
          </w:p>
        </w:tc>
        <w:tc>
          <w:tcPr>
            <w:tcW w:w="1156" w:type="dxa"/>
            <w:tcBorders>
              <w:top w:val="nil"/>
              <w:left w:val="single" w:sz="4" w:space="0" w:color="FFFFFF"/>
              <w:bottom w:val="nil"/>
              <w:right w:val="nil"/>
            </w:tcBorders>
            <w:vAlign w:val="center"/>
            <w:hideMark/>
          </w:tcPr>
          <w:p w14:paraId="741CAE38"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140.2</w:t>
            </w:r>
          </w:p>
        </w:tc>
        <w:tc>
          <w:tcPr>
            <w:tcW w:w="1154" w:type="dxa"/>
            <w:tcBorders>
              <w:top w:val="nil"/>
              <w:left w:val="nil"/>
              <w:bottom w:val="nil"/>
              <w:right w:val="nil"/>
            </w:tcBorders>
            <w:vAlign w:val="center"/>
            <w:hideMark/>
          </w:tcPr>
          <w:p w14:paraId="0B548B30"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1.7</w:t>
            </w:r>
          </w:p>
        </w:tc>
        <w:tc>
          <w:tcPr>
            <w:tcW w:w="1154" w:type="dxa"/>
            <w:tcBorders>
              <w:top w:val="nil"/>
              <w:left w:val="nil"/>
              <w:bottom w:val="nil"/>
              <w:right w:val="single" w:sz="4" w:space="0" w:color="FFFFFF"/>
            </w:tcBorders>
            <w:vAlign w:val="center"/>
            <w:hideMark/>
          </w:tcPr>
          <w:p w14:paraId="456C7931"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1.2%</w:t>
            </w:r>
          </w:p>
        </w:tc>
        <w:tc>
          <w:tcPr>
            <w:tcW w:w="1154" w:type="dxa"/>
            <w:tcBorders>
              <w:top w:val="nil"/>
              <w:left w:val="nil"/>
              <w:bottom w:val="nil"/>
              <w:right w:val="nil"/>
            </w:tcBorders>
            <w:vAlign w:val="center"/>
            <w:hideMark/>
          </w:tcPr>
          <w:p w14:paraId="6D7234F3"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3.6%</w:t>
            </w:r>
          </w:p>
        </w:tc>
        <w:tc>
          <w:tcPr>
            <w:tcW w:w="1157" w:type="dxa"/>
            <w:tcBorders>
              <w:top w:val="nil"/>
              <w:left w:val="nil"/>
              <w:bottom w:val="nil"/>
              <w:right w:val="single" w:sz="4" w:space="0" w:color="FFFFFF"/>
            </w:tcBorders>
            <w:vAlign w:val="center"/>
            <w:hideMark/>
          </w:tcPr>
          <w:p w14:paraId="51663A8C" w14:textId="7DC06928"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-0.6</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1154" w:type="dxa"/>
            <w:tcBorders>
              <w:top w:val="nil"/>
              <w:left w:val="nil"/>
              <w:bottom w:val="nil"/>
              <w:right w:val="nil"/>
            </w:tcBorders>
            <w:vAlign w:val="center"/>
            <w:hideMark/>
          </w:tcPr>
          <w:p w14:paraId="59E0F8D4"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72.4%</w:t>
            </w:r>
          </w:p>
        </w:tc>
        <w:tc>
          <w:tcPr>
            <w:tcW w:w="1156" w:type="dxa"/>
            <w:tcBorders>
              <w:top w:val="nil"/>
              <w:left w:val="nil"/>
              <w:bottom w:val="nil"/>
              <w:right w:val="single" w:sz="4" w:space="0" w:color="FFFFFF"/>
            </w:tcBorders>
            <w:vAlign w:val="center"/>
            <w:hideMark/>
          </w:tcPr>
          <w:p w14:paraId="26B6D367" w14:textId="574FD8E8"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0.2</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36" w:type="dxa"/>
            <w:vAlign w:val="center"/>
            <w:hideMark/>
          </w:tcPr>
          <w:p w14:paraId="4ED8EFF5" w14:textId="77777777" w:rsidR="000B487B" w:rsidRPr="000B487B" w:rsidRDefault="000B487B" w:rsidP="00FC4B58">
            <w:pPr>
              <w:spacing w:before="0" w:after="0"/>
              <w:rPr>
                <w:rFonts w:ascii="Times New Roman" w:eastAsia="Times New Roman" w:hAnsi="Times New Roman" w:cs="Times New Roman"/>
                <w:sz w:val="20"/>
                <w:lang w:eastAsia="en-AU"/>
              </w:rPr>
            </w:pPr>
          </w:p>
        </w:tc>
      </w:tr>
      <w:tr w:rsidR="000B487B" w:rsidRPr="000B487B" w14:paraId="6E73D349" w14:textId="77777777" w:rsidTr="00FC4B58">
        <w:trPr>
          <w:trHeight w:val="360"/>
        </w:trPr>
        <w:tc>
          <w:tcPr>
            <w:tcW w:w="1299" w:type="dxa"/>
            <w:tcBorders>
              <w:top w:val="nil"/>
              <w:left w:val="nil"/>
              <w:bottom w:val="nil"/>
              <w:right w:val="nil"/>
            </w:tcBorders>
            <w:shd w:val="clear" w:color="000000" w:fill="F2F2F2"/>
            <w:vAlign w:val="center"/>
            <w:hideMark/>
          </w:tcPr>
          <w:p w14:paraId="39AE4322"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18"/>
                <w:lang w:eastAsia="en-AU"/>
              </w:rPr>
              <w:t>ACT</w:t>
            </w:r>
          </w:p>
        </w:tc>
        <w:tc>
          <w:tcPr>
            <w:tcW w:w="1156" w:type="dxa"/>
            <w:tcBorders>
              <w:top w:val="nil"/>
              <w:left w:val="single" w:sz="4" w:space="0" w:color="FFFFFF"/>
              <w:bottom w:val="nil"/>
              <w:right w:val="nil"/>
            </w:tcBorders>
            <w:shd w:val="clear" w:color="000000" w:fill="F2F2F2"/>
            <w:vAlign w:val="center"/>
            <w:hideMark/>
          </w:tcPr>
          <w:p w14:paraId="6D523C27"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273.0</w:t>
            </w:r>
          </w:p>
        </w:tc>
        <w:tc>
          <w:tcPr>
            <w:tcW w:w="1154" w:type="dxa"/>
            <w:tcBorders>
              <w:top w:val="nil"/>
              <w:left w:val="nil"/>
              <w:bottom w:val="nil"/>
              <w:right w:val="nil"/>
            </w:tcBorders>
            <w:shd w:val="clear" w:color="000000" w:fill="F2F2F2"/>
            <w:vAlign w:val="center"/>
            <w:hideMark/>
          </w:tcPr>
          <w:p w14:paraId="06DA84FB"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2.2</w:t>
            </w:r>
          </w:p>
        </w:tc>
        <w:tc>
          <w:tcPr>
            <w:tcW w:w="1154" w:type="dxa"/>
            <w:tcBorders>
              <w:top w:val="nil"/>
              <w:left w:val="nil"/>
              <w:bottom w:val="nil"/>
              <w:right w:val="single" w:sz="4" w:space="0" w:color="FFFFFF"/>
            </w:tcBorders>
            <w:shd w:val="clear" w:color="000000" w:fill="F2F2F2"/>
            <w:vAlign w:val="center"/>
            <w:hideMark/>
          </w:tcPr>
          <w:p w14:paraId="082C3860"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0.8%</w:t>
            </w:r>
          </w:p>
        </w:tc>
        <w:tc>
          <w:tcPr>
            <w:tcW w:w="1154" w:type="dxa"/>
            <w:tcBorders>
              <w:top w:val="nil"/>
              <w:left w:val="nil"/>
              <w:bottom w:val="nil"/>
              <w:right w:val="nil"/>
            </w:tcBorders>
            <w:shd w:val="clear" w:color="000000" w:fill="F2F2F2"/>
            <w:vAlign w:val="center"/>
            <w:hideMark/>
          </w:tcPr>
          <w:p w14:paraId="237B6E47"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2.8%</w:t>
            </w:r>
          </w:p>
        </w:tc>
        <w:tc>
          <w:tcPr>
            <w:tcW w:w="1157" w:type="dxa"/>
            <w:tcBorders>
              <w:top w:val="nil"/>
              <w:left w:val="nil"/>
              <w:bottom w:val="nil"/>
              <w:right w:val="single" w:sz="4" w:space="0" w:color="FFFFFF"/>
            </w:tcBorders>
            <w:shd w:val="clear" w:color="000000" w:fill="F2F2F2"/>
            <w:vAlign w:val="center"/>
            <w:hideMark/>
          </w:tcPr>
          <w:p w14:paraId="5142647F" w14:textId="60F390B8"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-0.3</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1154" w:type="dxa"/>
            <w:tcBorders>
              <w:top w:val="nil"/>
              <w:left w:val="nil"/>
              <w:bottom w:val="nil"/>
              <w:right w:val="nil"/>
            </w:tcBorders>
            <w:shd w:val="clear" w:color="000000" w:fill="F2F2F2"/>
            <w:vAlign w:val="center"/>
            <w:hideMark/>
          </w:tcPr>
          <w:p w14:paraId="7B1639A5"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71.9%</w:t>
            </w:r>
          </w:p>
        </w:tc>
        <w:tc>
          <w:tcPr>
            <w:tcW w:w="1156" w:type="dxa"/>
            <w:tcBorders>
              <w:top w:val="nil"/>
              <w:left w:val="nil"/>
              <w:bottom w:val="nil"/>
              <w:right w:val="single" w:sz="4" w:space="0" w:color="FFFFFF"/>
            </w:tcBorders>
            <w:shd w:val="clear" w:color="000000" w:fill="F2F2F2"/>
            <w:vAlign w:val="center"/>
            <w:hideMark/>
          </w:tcPr>
          <w:p w14:paraId="1EAE6328" w14:textId="383C1AE5"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-0.1</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36" w:type="dxa"/>
            <w:vAlign w:val="center"/>
            <w:hideMark/>
          </w:tcPr>
          <w:p w14:paraId="231EC4E2" w14:textId="77777777" w:rsidR="000B487B" w:rsidRPr="000B487B" w:rsidRDefault="000B487B" w:rsidP="00FC4B58">
            <w:pPr>
              <w:spacing w:before="0" w:after="0"/>
              <w:rPr>
                <w:rFonts w:ascii="Times New Roman" w:eastAsia="Times New Roman" w:hAnsi="Times New Roman" w:cs="Times New Roman"/>
                <w:sz w:val="20"/>
                <w:lang w:eastAsia="en-AU"/>
              </w:rPr>
            </w:pPr>
          </w:p>
        </w:tc>
      </w:tr>
      <w:tr w:rsidR="000B487B" w:rsidRPr="000B487B" w14:paraId="13AC0363" w14:textId="77777777" w:rsidTr="00FC4B58">
        <w:trPr>
          <w:trHeight w:val="360"/>
        </w:trPr>
        <w:tc>
          <w:tcPr>
            <w:tcW w:w="1299" w:type="dxa"/>
            <w:tcBorders>
              <w:top w:val="nil"/>
              <w:left w:val="nil"/>
              <w:bottom w:val="single" w:sz="8" w:space="0" w:color="4B0885"/>
              <w:right w:val="nil"/>
            </w:tcBorders>
            <w:vAlign w:val="center"/>
            <w:hideMark/>
          </w:tcPr>
          <w:p w14:paraId="6C7D98C5" w14:textId="77777777" w:rsidR="000B487B" w:rsidRPr="000B487B" w:rsidRDefault="000B487B" w:rsidP="00FC4B58">
            <w:pPr>
              <w:spacing w:before="0" w:after="0"/>
              <w:rPr>
                <w:rFonts w:eastAsia="Times New Roman" w:cs="Arial"/>
                <w:b/>
                <w:bCs/>
                <w:color w:val="000000"/>
                <w:sz w:val="18"/>
                <w:szCs w:val="18"/>
                <w:lang w:eastAsia="en-AU"/>
              </w:rPr>
            </w:pPr>
            <w:r w:rsidRPr="000B487B">
              <w:rPr>
                <w:rFonts w:eastAsia="Times New Roman" w:cs="Arial"/>
                <w:b/>
                <w:bCs/>
                <w:color w:val="000000"/>
                <w:sz w:val="18"/>
                <w:szCs w:val="18"/>
                <w:lang w:eastAsia="en-AU"/>
              </w:rPr>
              <w:t>Australia</w:t>
            </w:r>
          </w:p>
        </w:tc>
        <w:tc>
          <w:tcPr>
            <w:tcW w:w="1156" w:type="dxa"/>
            <w:tcBorders>
              <w:top w:val="nil"/>
              <w:left w:val="nil"/>
              <w:bottom w:val="single" w:sz="8" w:space="0" w:color="4B0885"/>
              <w:right w:val="nil"/>
            </w:tcBorders>
            <w:vAlign w:val="center"/>
            <w:hideMark/>
          </w:tcPr>
          <w:p w14:paraId="295AA425" w14:textId="77777777" w:rsidR="000B487B" w:rsidRPr="000B487B" w:rsidRDefault="000B487B" w:rsidP="00FC4B58">
            <w:pPr>
              <w:spacing w:before="0" w:after="0"/>
              <w:jc w:val="center"/>
              <w:rPr>
                <w:rFonts w:eastAsia="Times New Roman" w:cs="Arial"/>
                <w:b/>
                <w:bCs/>
                <w:color w:val="000000"/>
                <w:sz w:val="18"/>
                <w:szCs w:val="18"/>
                <w:lang w:eastAsia="en-AU"/>
              </w:rPr>
            </w:pPr>
            <w:r w:rsidRPr="000B487B">
              <w:rPr>
                <w:rFonts w:eastAsia="Times New Roman" w:cs="Arial"/>
                <w:b/>
                <w:bCs/>
                <w:color w:val="000000"/>
                <w:sz w:val="18"/>
                <w:szCs w:val="18"/>
                <w:lang w:eastAsia="en-AU"/>
              </w:rPr>
              <w:t>14,544.1</w:t>
            </w:r>
          </w:p>
        </w:tc>
        <w:tc>
          <w:tcPr>
            <w:tcW w:w="1154" w:type="dxa"/>
            <w:tcBorders>
              <w:top w:val="nil"/>
              <w:left w:val="nil"/>
              <w:bottom w:val="single" w:sz="8" w:space="0" w:color="4B0885"/>
              <w:right w:val="nil"/>
            </w:tcBorders>
            <w:vAlign w:val="center"/>
            <w:hideMark/>
          </w:tcPr>
          <w:p w14:paraId="1557EC8C" w14:textId="77777777" w:rsidR="000B487B" w:rsidRPr="000B487B" w:rsidRDefault="000B487B" w:rsidP="00FC4B58">
            <w:pPr>
              <w:spacing w:before="0" w:after="0"/>
              <w:jc w:val="center"/>
              <w:rPr>
                <w:rFonts w:eastAsia="Times New Roman" w:cs="Arial"/>
                <w:b/>
                <w:bCs/>
                <w:color w:val="000000"/>
                <w:sz w:val="18"/>
                <w:szCs w:val="18"/>
                <w:lang w:eastAsia="en-AU"/>
              </w:rPr>
            </w:pPr>
            <w:r w:rsidRPr="000B487B">
              <w:rPr>
                <w:rFonts w:eastAsia="Times New Roman" w:cs="Arial"/>
                <w:b/>
                <w:bCs/>
                <w:color w:val="000000"/>
                <w:sz w:val="18"/>
                <w:szCs w:val="18"/>
                <w:lang w:eastAsia="en-AU"/>
              </w:rPr>
              <w:t>6.5</w:t>
            </w:r>
          </w:p>
        </w:tc>
        <w:tc>
          <w:tcPr>
            <w:tcW w:w="1154" w:type="dxa"/>
            <w:tcBorders>
              <w:top w:val="nil"/>
              <w:left w:val="nil"/>
              <w:bottom w:val="single" w:sz="8" w:space="0" w:color="4B0885"/>
              <w:right w:val="single" w:sz="4" w:space="0" w:color="FFFFFF"/>
            </w:tcBorders>
            <w:vAlign w:val="center"/>
            <w:hideMark/>
          </w:tcPr>
          <w:p w14:paraId="691A66D0" w14:textId="77777777" w:rsidR="000B487B" w:rsidRPr="000B487B" w:rsidRDefault="000B487B" w:rsidP="00FC4B58">
            <w:pPr>
              <w:spacing w:before="0" w:after="0"/>
              <w:jc w:val="center"/>
              <w:rPr>
                <w:rFonts w:eastAsia="Times New Roman" w:cs="Arial"/>
                <w:b/>
                <w:bCs/>
                <w:color w:val="000000"/>
                <w:sz w:val="18"/>
                <w:szCs w:val="18"/>
                <w:lang w:eastAsia="en-AU"/>
              </w:rPr>
            </w:pPr>
            <w:r w:rsidRPr="000B487B">
              <w:rPr>
                <w:rFonts w:eastAsia="Times New Roman" w:cs="Arial"/>
                <w:b/>
                <w:bCs/>
                <w:color w:val="000000"/>
                <w:sz w:val="18"/>
                <w:szCs w:val="18"/>
                <w:lang w:eastAsia="en-AU"/>
              </w:rPr>
              <w:t>0.0%</w:t>
            </w:r>
          </w:p>
        </w:tc>
        <w:tc>
          <w:tcPr>
            <w:tcW w:w="1154" w:type="dxa"/>
            <w:tcBorders>
              <w:top w:val="nil"/>
              <w:left w:val="nil"/>
              <w:bottom w:val="single" w:sz="8" w:space="0" w:color="4B0885"/>
              <w:right w:val="nil"/>
            </w:tcBorders>
            <w:vAlign w:val="center"/>
            <w:hideMark/>
          </w:tcPr>
          <w:p w14:paraId="34E71CFE" w14:textId="77777777" w:rsidR="000B487B" w:rsidRPr="000B487B" w:rsidRDefault="000B487B" w:rsidP="00FC4B58">
            <w:pPr>
              <w:spacing w:before="0" w:after="0"/>
              <w:jc w:val="center"/>
              <w:rPr>
                <w:rFonts w:eastAsia="Times New Roman" w:cs="Arial"/>
                <w:b/>
                <w:bCs/>
                <w:color w:val="000000"/>
                <w:sz w:val="18"/>
                <w:szCs w:val="18"/>
                <w:lang w:eastAsia="en-AU"/>
              </w:rPr>
            </w:pPr>
            <w:r w:rsidRPr="000B487B">
              <w:rPr>
                <w:rFonts w:eastAsia="Times New Roman" w:cs="Arial"/>
                <w:b/>
                <w:bCs/>
                <w:color w:val="000000"/>
                <w:sz w:val="18"/>
                <w:szCs w:val="18"/>
                <w:lang w:eastAsia="en-AU"/>
              </w:rPr>
              <w:t>4.1%</w:t>
            </w:r>
          </w:p>
        </w:tc>
        <w:tc>
          <w:tcPr>
            <w:tcW w:w="1157" w:type="dxa"/>
            <w:tcBorders>
              <w:top w:val="nil"/>
              <w:left w:val="nil"/>
              <w:bottom w:val="single" w:sz="8" w:space="0" w:color="4B0885"/>
              <w:right w:val="single" w:sz="4" w:space="0" w:color="FFFFFF"/>
            </w:tcBorders>
            <w:vAlign w:val="center"/>
            <w:hideMark/>
          </w:tcPr>
          <w:p w14:paraId="2150178A" w14:textId="5A532CC5" w:rsidR="000B487B" w:rsidRPr="000B487B" w:rsidRDefault="000B487B" w:rsidP="00FC4B58">
            <w:pPr>
              <w:spacing w:before="0" w:after="0"/>
              <w:jc w:val="center"/>
              <w:rPr>
                <w:rFonts w:eastAsia="Times New Roman" w:cs="Arial"/>
                <w:b/>
                <w:bCs/>
                <w:color w:val="000000"/>
                <w:sz w:val="18"/>
                <w:szCs w:val="18"/>
                <w:lang w:eastAsia="en-AU"/>
              </w:rPr>
            </w:pPr>
            <w:r w:rsidRPr="000B487B">
              <w:rPr>
                <w:rFonts w:eastAsia="Times New Roman" w:cs="Arial"/>
                <w:b/>
                <w:bCs/>
                <w:color w:val="000000"/>
                <w:sz w:val="18"/>
                <w:szCs w:val="18"/>
                <w:lang w:eastAsia="en-AU"/>
              </w:rPr>
              <w:t>0.1</w:t>
            </w:r>
            <w:r w:rsidR="001D0A0B">
              <w:rPr>
                <w:rFonts w:eastAsia="Times New Roman" w:cs="Arial"/>
                <w:b/>
                <w:bCs/>
                <w:color w:val="000000"/>
                <w:sz w:val="18"/>
                <w:szCs w:val="18"/>
                <w:lang w:eastAsia="en-AU"/>
              </w:rPr>
              <w:t xml:space="preserve"> </w:t>
            </w:r>
            <w:r w:rsidRPr="000B487B">
              <w:rPr>
                <w:rFonts w:eastAsia="Times New Roman" w:cs="Arial"/>
                <w:b/>
                <w:bCs/>
                <w:color w:val="000000"/>
                <w:sz w:val="18"/>
                <w:szCs w:val="18"/>
                <w:lang w:eastAsia="en-AU"/>
              </w:rPr>
              <w:t>pts</w:t>
            </w:r>
          </w:p>
        </w:tc>
        <w:tc>
          <w:tcPr>
            <w:tcW w:w="1154" w:type="dxa"/>
            <w:tcBorders>
              <w:top w:val="nil"/>
              <w:left w:val="nil"/>
              <w:bottom w:val="single" w:sz="8" w:space="0" w:color="4B0885"/>
              <w:right w:val="nil"/>
            </w:tcBorders>
            <w:vAlign w:val="center"/>
            <w:hideMark/>
          </w:tcPr>
          <w:p w14:paraId="18A3C5C1" w14:textId="77777777" w:rsidR="000B487B" w:rsidRPr="000B487B" w:rsidRDefault="000B487B" w:rsidP="00FC4B58">
            <w:pPr>
              <w:spacing w:before="0" w:after="0"/>
              <w:jc w:val="center"/>
              <w:rPr>
                <w:rFonts w:eastAsia="Times New Roman" w:cs="Arial"/>
                <w:b/>
                <w:bCs/>
                <w:color w:val="000000"/>
                <w:sz w:val="18"/>
                <w:szCs w:val="18"/>
                <w:lang w:eastAsia="en-AU"/>
              </w:rPr>
            </w:pPr>
            <w:r w:rsidRPr="000B487B">
              <w:rPr>
                <w:rFonts w:eastAsia="Times New Roman" w:cs="Arial"/>
                <w:b/>
                <w:bCs/>
                <w:color w:val="000000"/>
                <w:sz w:val="18"/>
                <w:szCs w:val="18"/>
                <w:lang w:eastAsia="en-AU"/>
              </w:rPr>
              <w:t>66.8%</w:t>
            </w:r>
          </w:p>
        </w:tc>
        <w:tc>
          <w:tcPr>
            <w:tcW w:w="1156" w:type="dxa"/>
            <w:tcBorders>
              <w:top w:val="nil"/>
              <w:left w:val="nil"/>
              <w:bottom w:val="single" w:sz="8" w:space="0" w:color="4B0885"/>
              <w:right w:val="single" w:sz="4" w:space="0" w:color="FFFFFF"/>
            </w:tcBorders>
            <w:vAlign w:val="center"/>
            <w:hideMark/>
          </w:tcPr>
          <w:p w14:paraId="5DE62E91" w14:textId="65D00647" w:rsidR="000B487B" w:rsidRPr="000B487B" w:rsidRDefault="000B487B" w:rsidP="00FC4B58">
            <w:pPr>
              <w:spacing w:before="0" w:after="0"/>
              <w:jc w:val="center"/>
              <w:rPr>
                <w:rFonts w:eastAsia="Times New Roman" w:cs="Arial"/>
                <w:b/>
                <w:bCs/>
                <w:color w:val="000000"/>
                <w:sz w:val="18"/>
                <w:szCs w:val="18"/>
                <w:lang w:eastAsia="en-AU"/>
              </w:rPr>
            </w:pPr>
            <w:r w:rsidRPr="000B487B">
              <w:rPr>
                <w:rFonts w:eastAsia="Times New Roman" w:cs="Arial"/>
                <w:b/>
                <w:bCs/>
                <w:color w:val="000000"/>
                <w:sz w:val="18"/>
                <w:szCs w:val="18"/>
                <w:lang w:eastAsia="en-AU"/>
              </w:rPr>
              <w:t>-0.4</w:t>
            </w:r>
            <w:r w:rsidR="001D0A0B">
              <w:rPr>
                <w:rFonts w:eastAsia="Times New Roman" w:cs="Arial"/>
                <w:b/>
                <w:bCs/>
                <w:color w:val="000000"/>
                <w:sz w:val="18"/>
                <w:szCs w:val="18"/>
                <w:lang w:eastAsia="en-AU"/>
              </w:rPr>
              <w:t xml:space="preserve"> </w:t>
            </w:r>
            <w:r w:rsidRPr="000B487B">
              <w:rPr>
                <w:rFonts w:eastAsia="Times New Roman" w:cs="Arial"/>
                <w:b/>
                <w:bCs/>
                <w:color w:val="000000"/>
                <w:sz w:val="18"/>
                <w:szCs w:val="18"/>
                <w:lang w:eastAsia="en-AU"/>
              </w:rPr>
              <w:t>pts</w:t>
            </w:r>
          </w:p>
        </w:tc>
        <w:tc>
          <w:tcPr>
            <w:tcW w:w="36" w:type="dxa"/>
            <w:vAlign w:val="center"/>
            <w:hideMark/>
          </w:tcPr>
          <w:p w14:paraId="62954604" w14:textId="77777777" w:rsidR="000B487B" w:rsidRPr="000B487B" w:rsidRDefault="000B487B" w:rsidP="00FC4B58">
            <w:pPr>
              <w:spacing w:before="0" w:after="0"/>
              <w:rPr>
                <w:rFonts w:ascii="Times New Roman" w:eastAsia="Times New Roman" w:hAnsi="Times New Roman" w:cs="Times New Roman"/>
                <w:sz w:val="20"/>
                <w:lang w:eastAsia="en-AU"/>
              </w:rPr>
            </w:pPr>
          </w:p>
        </w:tc>
      </w:tr>
    </w:tbl>
    <w:p w14:paraId="490AB113" w14:textId="0BB7495B" w:rsidR="000B487B" w:rsidRPr="000B487B" w:rsidRDefault="000B487B" w:rsidP="000B487B">
      <w:pPr>
        <w:pStyle w:val="Source"/>
      </w:pPr>
      <w:r w:rsidRPr="000B487B">
        <w:t>Source: ABS, Labour Force, Australia, March 2025, seasonally adjusted data. *</w:t>
      </w:r>
      <w:r w:rsidR="004F1851">
        <w:t>Denotes a r</w:t>
      </w:r>
      <w:r w:rsidRPr="000B487B">
        <w:t>ecord high</w:t>
      </w:r>
    </w:p>
    <w:p w14:paraId="3A380403" w14:textId="0C2BC27A" w:rsidR="000B487B" w:rsidRPr="000B487B" w:rsidRDefault="000B487B" w:rsidP="000B487B">
      <w:pPr>
        <w:pStyle w:val="BodyText"/>
      </w:pPr>
      <w:r w:rsidRPr="000B487B">
        <w:t xml:space="preserve">Over the 3 months to March 2025, employment fell in the capital cities (down by 55,100 or 0.5%) and rest of state areas (down by 35,800 or 0.8%) – see </w:t>
      </w:r>
      <w:r w:rsidR="00464459" w:rsidRPr="00464459">
        <w:t>Table 3</w:t>
      </w:r>
      <w:r w:rsidRPr="000B487B">
        <w:t>.</w:t>
      </w:r>
      <w:r w:rsidRPr="000B487B">
        <w:rPr>
          <w:rStyle w:val="FootnoteReference"/>
        </w:rPr>
        <w:footnoteReference w:id="2"/>
      </w:r>
      <w:r w:rsidRPr="000B487B">
        <w:t xml:space="preserve"> Over the year to March 2025, however, employment increased by a robust 241,500 (or 2.4%) in the capital cities, while it rose by 68,600 (or 1.6%) in the rest of state areas.</w:t>
      </w:r>
    </w:p>
    <w:p w14:paraId="11FEC654" w14:textId="20FBCFE2" w:rsidR="000B487B" w:rsidRPr="000B487B" w:rsidRDefault="000B487B" w:rsidP="000B487B">
      <w:pPr>
        <w:pStyle w:val="BodyText"/>
      </w:pPr>
      <w:r w:rsidRPr="000B487B">
        <w:t xml:space="preserve">The unemployment rate in the capital cities rose by 0.5 percentage points over the March quarter 2025, to stand at 4.4%, and is above the 4.2% recorded a year ago. The unemployment rate in the rest of state areas also increased by 0.5 percentage points over the quarter, to stand at 4.0% in March 2025, and is above the 3.9% recorded in March 2024. The participation rate in the capital cities decreased over the quarter, by 0.5 percentage points, to 68.7% in March 2025, and fell by 0.4 percentage points in the rest of state areas, </w:t>
      </w:r>
      <w:r w:rsidRPr="000B487B">
        <w:lastRenderedPageBreak/>
        <w:t xml:space="preserve">to 63.6%. That said, the participation rate remains above the rate recorded a year ago in both capital cities and rest of state areas, </w:t>
      </w:r>
      <w:r w:rsidR="0046602B">
        <w:t>at</w:t>
      </w:r>
      <w:r w:rsidRPr="000B487B">
        <w:t xml:space="preserve"> 68.6% and 63.2%, respectively.  </w:t>
      </w:r>
    </w:p>
    <w:p w14:paraId="760B32D1" w14:textId="5865F763" w:rsidR="000B487B" w:rsidRPr="000B487B" w:rsidRDefault="000B487B" w:rsidP="000B487B">
      <w:pPr>
        <w:pStyle w:val="Caption"/>
      </w:pPr>
      <w:bookmarkStart w:id="22" w:name="_Ref200453366"/>
      <w:r w:rsidRPr="000B487B">
        <w:t xml:space="preserve">Table </w:t>
      </w:r>
      <w:r w:rsidRPr="000B487B">
        <w:fldChar w:fldCharType="begin"/>
      </w:r>
      <w:r w:rsidRPr="000B487B">
        <w:instrText xml:space="preserve"> SEQ Table \* ARABIC </w:instrText>
      </w:r>
      <w:r w:rsidRPr="000B487B">
        <w:fldChar w:fldCharType="separate"/>
      </w:r>
      <w:r w:rsidR="00D80BB2">
        <w:rPr>
          <w:noProof/>
        </w:rPr>
        <w:t>3</w:t>
      </w:r>
      <w:r w:rsidRPr="000B487B">
        <w:fldChar w:fldCharType="end"/>
      </w:r>
      <w:bookmarkEnd w:id="22"/>
      <w:r w:rsidRPr="000B487B">
        <w:t>: Key labour market indicators, capital cities and rest of state regions, March 2025</w:t>
      </w:r>
    </w:p>
    <w:tbl>
      <w:tblPr>
        <w:tblW w:w="8960" w:type="dxa"/>
        <w:tblLook w:val="04A0" w:firstRow="1" w:lastRow="0" w:firstColumn="1" w:lastColumn="0" w:noHBand="0" w:noVBand="1"/>
      </w:tblPr>
      <w:tblGrid>
        <w:gridCol w:w="2360"/>
        <w:gridCol w:w="1100"/>
        <w:gridCol w:w="1100"/>
        <w:gridCol w:w="1100"/>
        <w:gridCol w:w="1100"/>
        <w:gridCol w:w="1100"/>
        <w:gridCol w:w="1100"/>
      </w:tblGrid>
      <w:tr w:rsidR="000B487B" w:rsidRPr="000B487B" w14:paraId="76B0947E" w14:textId="77777777" w:rsidTr="00FC4B58">
        <w:trPr>
          <w:trHeight w:val="360"/>
        </w:trPr>
        <w:tc>
          <w:tcPr>
            <w:tcW w:w="2360" w:type="dxa"/>
            <w:vMerge w:val="restart"/>
            <w:tcBorders>
              <w:top w:val="nil"/>
              <w:left w:val="nil"/>
              <w:bottom w:val="nil"/>
              <w:right w:val="nil"/>
            </w:tcBorders>
            <w:shd w:val="clear" w:color="000000" w:fill="2F005F"/>
            <w:vAlign w:val="center"/>
            <w:hideMark/>
          </w:tcPr>
          <w:p w14:paraId="26A985DF" w14:textId="77777777" w:rsidR="000B487B" w:rsidRPr="000B487B" w:rsidRDefault="000B487B" w:rsidP="00FC4B58">
            <w:pPr>
              <w:spacing w:before="0" w:after="0"/>
              <w:rPr>
                <w:rFonts w:eastAsia="Times New Roman" w:cs="Arial"/>
                <w:color w:val="FFFFFF"/>
                <w:sz w:val="18"/>
                <w:szCs w:val="18"/>
                <w:lang w:eastAsia="en-AU"/>
              </w:rPr>
            </w:pPr>
            <w:r w:rsidRPr="000B487B">
              <w:rPr>
                <w:rFonts w:eastAsia="Times New Roman" w:cs="Arial"/>
                <w:color w:val="FFFFFF"/>
                <w:sz w:val="18"/>
                <w:szCs w:val="18"/>
                <w:lang w:eastAsia="en-AU"/>
              </w:rPr>
              <w:t> </w:t>
            </w:r>
          </w:p>
        </w:tc>
        <w:tc>
          <w:tcPr>
            <w:tcW w:w="3300" w:type="dxa"/>
            <w:gridSpan w:val="3"/>
            <w:tcBorders>
              <w:top w:val="nil"/>
              <w:left w:val="nil"/>
              <w:bottom w:val="nil"/>
              <w:right w:val="single" w:sz="4" w:space="0" w:color="FFFFFF"/>
            </w:tcBorders>
            <w:shd w:val="clear" w:color="000000" w:fill="2F005F"/>
            <w:vAlign w:val="center"/>
            <w:hideMark/>
          </w:tcPr>
          <w:p w14:paraId="50817EEC" w14:textId="77777777" w:rsidR="000B487B" w:rsidRPr="000B487B" w:rsidRDefault="000B487B" w:rsidP="00FC4B58">
            <w:pPr>
              <w:spacing w:before="0" w:after="0"/>
              <w:jc w:val="center"/>
              <w:rPr>
                <w:rFonts w:eastAsia="Times New Roman" w:cs="Arial"/>
                <w:b/>
                <w:bCs/>
                <w:color w:val="FFFFFF"/>
                <w:sz w:val="18"/>
                <w:szCs w:val="18"/>
                <w:lang w:eastAsia="en-AU"/>
              </w:rPr>
            </w:pPr>
            <w:r w:rsidRPr="000B487B">
              <w:rPr>
                <w:rFonts w:eastAsia="Times New Roman" w:cs="Arial"/>
                <w:b/>
                <w:bCs/>
                <w:color w:val="FFFFFF"/>
                <w:sz w:val="18"/>
                <w:szCs w:val="18"/>
                <w:lang w:eastAsia="en-AU"/>
              </w:rPr>
              <w:t>Capital cities</w:t>
            </w:r>
          </w:p>
        </w:tc>
        <w:tc>
          <w:tcPr>
            <w:tcW w:w="3300" w:type="dxa"/>
            <w:gridSpan w:val="3"/>
            <w:tcBorders>
              <w:top w:val="nil"/>
              <w:left w:val="nil"/>
              <w:bottom w:val="nil"/>
              <w:right w:val="nil"/>
            </w:tcBorders>
            <w:shd w:val="clear" w:color="000000" w:fill="2F005F"/>
            <w:vAlign w:val="center"/>
            <w:hideMark/>
          </w:tcPr>
          <w:p w14:paraId="12EF0572" w14:textId="77777777" w:rsidR="000B487B" w:rsidRPr="000B487B" w:rsidRDefault="000B487B" w:rsidP="00FC4B58">
            <w:pPr>
              <w:spacing w:before="0" w:after="0"/>
              <w:jc w:val="center"/>
              <w:rPr>
                <w:rFonts w:eastAsia="Times New Roman" w:cs="Arial"/>
                <w:b/>
                <w:bCs/>
                <w:color w:val="FFFFFF"/>
                <w:sz w:val="18"/>
                <w:szCs w:val="18"/>
                <w:lang w:eastAsia="en-AU"/>
              </w:rPr>
            </w:pPr>
            <w:r w:rsidRPr="000B487B">
              <w:rPr>
                <w:rFonts w:eastAsia="Times New Roman" w:cs="Arial"/>
                <w:b/>
                <w:bCs/>
                <w:color w:val="FFFFFF"/>
                <w:sz w:val="18"/>
                <w:szCs w:val="18"/>
                <w:lang w:eastAsia="en-AU"/>
              </w:rPr>
              <w:t>Rest of state regions</w:t>
            </w:r>
          </w:p>
        </w:tc>
      </w:tr>
      <w:tr w:rsidR="000B487B" w:rsidRPr="000B487B" w14:paraId="56474354" w14:textId="77777777" w:rsidTr="00FC4B58">
        <w:trPr>
          <w:trHeight w:val="360"/>
        </w:trPr>
        <w:tc>
          <w:tcPr>
            <w:tcW w:w="2360" w:type="dxa"/>
            <w:vMerge/>
            <w:tcBorders>
              <w:top w:val="nil"/>
              <w:left w:val="nil"/>
              <w:bottom w:val="nil"/>
              <w:right w:val="nil"/>
            </w:tcBorders>
            <w:vAlign w:val="center"/>
            <w:hideMark/>
          </w:tcPr>
          <w:p w14:paraId="6F3D9ACF" w14:textId="77777777" w:rsidR="000B487B" w:rsidRPr="000B487B" w:rsidRDefault="000B487B" w:rsidP="00FC4B58">
            <w:pPr>
              <w:spacing w:before="0" w:after="0"/>
              <w:rPr>
                <w:rFonts w:eastAsia="Times New Roman" w:cs="Arial"/>
                <w:color w:val="FFFFFF"/>
                <w:sz w:val="18"/>
                <w:szCs w:val="18"/>
                <w:lang w:eastAsia="en-AU"/>
              </w:rPr>
            </w:pPr>
          </w:p>
        </w:tc>
        <w:tc>
          <w:tcPr>
            <w:tcW w:w="1100" w:type="dxa"/>
            <w:vMerge w:val="restart"/>
            <w:tcBorders>
              <w:top w:val="nil"/>
              <w:left w:val="nil"/>
              <w:right w:val="nil"/>
            </w:tcBorders>
            <w:shd w:val="clear" w:color="000000" w:fill="2F005F"/>
            <w:vAlign w:val="center"/>
            <w:hideMark/>
          </w:tcPr>
          <w:p w14:paraId="2968ECEA" w14:textId="77777777" w:rsidR="000B487B" w:rsidRPr="000B487B" w:rsidRDefault="000B487B" w:rsidP="00FC4B58">
            <w:pPr>
              <w:spacing w:before="0" w:after="0"/>
              <w:jc w:val="center"/>
              <w:rPr>
                <w:rFonts w:eastAsia="Times New Roman" w:cs="Arial"/>
                <w:color w:val="FFFFFF"/>
                <w:sz w:val="18"/>
                <w:szCs w:val="18"/>
                <w:lang w:eastAsia="en-AU"/>
              </w:rPr>
            </w:pPr>
            <w:r w:rsidRPr="000B487B">
              <w:rPr>
                <w:rFonts w:eastAsia="Times New Roman" w:cs="Arial"/>
                <w:color w:val="FFFFFF"/>
                <w:sz w:val="18"/>
                <w:szCs w:val="18"/>
                <w:lang w:eastAsia="en-AU"/>
              </w:rPr>
              <w:t>Mar-25</w:t>
            </w:r>
          </w:p>
        </w:tc>
        <w:tc>
          <w:tcPr>
            <w:tcW w:w="2200" w:type="dxa"/>
            <w:gridSpan w:val="2"/>
            <w:tcBorders>
              <w:top w:val="nil"/>
              <w:left w:val="nil"/>
              <w:bottom w:val="nil"/>
              <w:right w:val="single" w:sz="4" w:space="0" w:color="FFFFFF"/>
            </w:tcBorders>
            <w:shd w:val="clear" w:color="000000" w:fill="2F005F"/>
            <w:vAlign w:val="center"/>
            <w:hideMark/>
          </w:tcPr>
          <w:p w14:paraId="39558E45" w14:textId="77777777" w:rsidR="000B487B" w:rsidRPr="000B487B" w:rsidRDefault="000B487B" w:rsidP="00FC4B58">
            <w:pPr>
              <w:spacing w:before="0" w:after="0"/>
              <w:jc w:val="center"/>
              <w:rPr>
                <w:rFonts w:eastAsia="Times New Roman" w:cs="Arial"/>
                <w:color w:val="FFFFFF"/>
                <w:sz w:val="18"/>
                <w:szCs w:val="18"/>
                <w:lang w:eastAsia="en-AU"/>
              </w:rPr>
            </w:pPr>
            <w:r w:rsidRPr="000B487B">
              <w:rPr>
                <w:rFonts w:eastAsia="Times New Roman" w:cs="Arial"/>
                <w:color w:val="FFFFFF"/>
                <w:sz w:val="18"/>
                <w:szCs w:val="18"/>
                <w:lang w:eastAsia="en-AU"/>
              </w:rPr>
              <w:t>Change since Dec-24</w:t>
            </w:r>
          </w:p>
        </w:tc>
        <w:tc>
          <w:tcPr>
            <w:tcW w:w="1100" w:type="dxa"/>
            <w:vMerge w:val="restart"/>
            <w:tcBorders>
              <w:top w:val="nil"/>
              <w:left w:val="nil"/>
              <w:right w:val="nil"/>
            </w:tcBorders>
            <w:shd w:val="clear" w:color="000000" w:fill="2F005F"/>
            <w:vAlign w:val="center"/>
            <w:hideMark/>
          </w:tcPr>
          <w:p w14:paraId="223FCEED" w14:textId="77777777" w:rsidR="000B487B" w:rsidRPr="000B487B" w:rsidRDefault="000B487B" w:rsidP="00FC4B58">
            <w:pPr>
              <w:spacing w:before="0" w:after="0"/>
              <w:jc w:val="center"/>
              <w:rPr>
                <w:rFonts w:eastAsia="Times New Roman" w:cs="Arial"/>
                <w:color w:val="FFFFFF"/>
                <w:sz w:val="18"/>
                <w:szCs w:val="18"/>
                <w:lang w:eastAsia="en-AU"/>
              </w:rPr>
            </w:pPr>
            <w:r w:rsidRPr="000B487B">
              <w:rPr>
                <w:rFonts w:eastAsia="Times New Roman" w:cs="Arial"/>
                <w:color w:val="FFFFFF"/>
                <w:sz w:val="18"/>
                <w:szCs w:val="18"/>
                <w:lang w:eastAsia="en-AU"/>
              </w:rPr>
              <w:t>Mar-25</w:t>
            </w:r>
          </w:p>
        </w:tc>
        <w:tc>
          <w:tcPr>
            <w:tcW w:w="2200" w:type="dxa"/>
            <w:gridSpan w:val="2"/>
            <w:tcBorders>
              <w:top w:val="nil"/>
              <w:left w:val="nil"/>
              <w:bottom w:val="nil"/>
              <w:right w:val="nil"/>
            </w:tcBorders>
            <w:shd w:val="clear" w:color="000000" w:fill="2F005F"/>
            <w:vAlign w:val="center"/>
            <w:hideMark/>
          </w:tcPr>
          <w:p w14:paraId="04F2161F" w14:textId="77777777" w:rsidR="000B487B" w:rsidRPr="000B487B" w:rsidRDefault="000B487B" w:rsidP="00FC4B58">
            <w:pPr>
              <w:spacing w:before="0" w:after="0"/>
              <w:jc w:val="center"/>
              <w:rPr>
                <w:rFonts w:eastAsia="Times New Roman" w:cs="Arial"/>
                <w:color w:val="FFFFFF"/>
                <w:sz w:val="18"/>
                <w:szCs w:val="18"/>
                <w:lang w:eastAsia="en-AU"/>
              </w:rPr>
            </w:pPr>
            <w:r w:rsidRPr="000B487B">
              <w:rPr>
                <w:rFonts w:eastAsia="Times New Roman" w:cs="Arial"/>
                <w:color w:val="FFFFFF"/>
                <w:sz w:val="18"/>
                <w:szCs w:val="18"/>
                <w:lang w:eastAsia="en-AU"/>
              </w:rPr>
              <w:t>Change since Dec-24</w:t>
            </w:r>
          </w:p>
        </w:tc>
      </w:tr>
      <w:tr w:rsidR="000B487B" w:rsidRPr="000B487B" w14:paraId="3516B58B" w14:textId="77777777" w:rsidTr="00FC4B58">
        <w:trPr>
          <w:trHeight w:val="360"/>
        </w:trPr>
        <w:tc>
          <w:tcPr>
            <w:tcW w:w="2360" w:type="dxa"/>
            <w:vMerge/>
            <w:tcBorders>
              <w:top w:val="nil"/>
              <w:left w:val="nil"/>
              <w:bottom w:val="nil"/>
              <w:right w:val="nil"/>
            </w:tcBorders>
            <w:vAlign w:val="center"/>
            <w:hideMark/>
          </w:tcPr>
          <w:p w14:paraId="06EEE3D5" w14:textId="77777777" w:rsidR="000B487B" w:rsidRPr="000B487B" w:rsidRDefault="000B487B" w:rsidP="00FC4B58">
            <w:pPr>
              <w:spacing w:before="0" w:after="0"/>
              <w:rPr>
                <w:rFonts w:eastAsia="Times New Roman" w:cs="Arial"/>
                <w:color w:val="FFFFFF"/>
                <w:sz w:val="18"/>
                <w:szCs w:val="18"/>
                <w:lang w:eastAsia="en-AU"/>
              </w:rPr>
            </w:pPr>
          </w:p>
        </w:tc>
        <w:tc>
          <w:tcPr>
            <w:tcW w:w="1100" w:type="dxa"/>
            <w:vMerge/>
            <w:tcBorders>
              <w:left w:val="nil"/>
              <w:bottom w:val="nil"/>
              <w:right w:val="nil"/>
            </w:tcBorders>
            <w:shd w:val="clear" w:color="000000" w:fill="2F005F"/>
            <w:vAlign w:val="center"/>
            <w:hideMark/>
          </w:tcPr>
          <w:p w14:paraId="15A70E97" w14:textId="77777777" w:rsidR="000B487B" w:rsidRPr="000B487B" w:rsidRDefault="000B487B" w:rsidP="00FC4B58">
            <w:pPr>
              <w:spacing w:before="0" w:after="0"/>
              <w:rPr>
                <w:rFonts w:eastAsia="Times New Roman" w:cs="Arial"/>
                <w:color w:val="FFFFFF"/>
                <w:sz w:val="18"/>
                <w:szCs w:val="18"/>
                <w:lang w:eastAsia="en-AU"/>
              </w:rPr>
            </w:pPr>
          </w:p>
        </w:tc>
        <w:tc>
          <w:tcPr>
            <w:tcW w:w="1100" w:type="dxa"/>
            <w:tcBorders>
              <w:top w:val="nil"/>
              <w:left w:val="nil"/>
              <w:bottom w:val="nil"/>
              <w:right w:val="nil"/>
            </w:tcBorders>
            <w:shd w:val="clear" w:color="000000" w:fill="2F005F"/>
            <w:vAlign w:val="center"/>
            <w:hideMark/>
          </w:tcPr>
          <w:p w14:paraId="44E770C6" w14:textId="77777777" w:rsidR="000B487B" w:rsidRPr="000B487B" w:rsidRDefault="000B487B" w:rsidP="00FC4B58">
            <w:pPr>
              <w:spacing w:before="0" w:after="0"/>
              <w:jc w:val="center"/>
              <w:rPr>
                <w:rFonts w:eastAsia="Times New Roman" w:cs="Arial"/>
                <w:color w:val="FFFFFF"/>
                <w:sz w:val="18"/>
                <w:szCs w:val="18"/>
                <w:lang w:eastAsia="en-AU"/>
              </w:rPr>
            </w:pPr>
            <w:r w:rsidRPr="000B487B">
              <w:rPr>
                <w:rFonts w:eastAsia="Times New Roman" w:cs="Arial"/>
                <w:color w:val="FFFFFF"/>
                <w:sz w:val="18"/>
                <w:szCs w:val="18"/>
                <w:lang w:eastAsia="en-AU"/>
              </w:rPr>
              <w:t>(‘000)</w:t>
            </w:r>
          </w:p>
        </w:tc>
        <w:tc>
          <w:tcPr>
            <w:tcW w:w="1100" w:type="dxa"/>
            <w:tcBorders>
              <w:top w:val="nil"/>
              <w:left w:val="nil"/>
              <w:bottom w:val="nil"/>
              <w:right w:val="single" w:sz="4" w:space="0" w:color="FFFFFF"/>
            </w:tcBorders>
            <w:shd w:val="clear" w:color="000000" w:fill="2F005F"/>
            <w:vAlign w:val="center"/>
            <w:hideMark/>
          </w:tcPr>
          <w:p w14:paraId="7DDE456D" w14:textId="77777777" w:rsidR="000B487B" w:rsidRPr="000B487B" w:rsidRDefault="000B487B" w:rsidP="00FC4B58">
            <w:pPr>
              <w:spacing w:before="0" w:after="0"/>
              <w:jc w:val="center"/>
              <w:rPr>
                <w:rFonts w:eastAsia="Times New Roman" w:cs="Arial"/>
                <w:color w:val="FFFFFF"/>
                <w:sz w:val="18"/>
                <w:szCs w:val="18"/>
                <w:lang w:eastAsia="en-AU"/>
              </w:rPr>
            </w:pPr>
            <w:r w:rsidRPr="000B487B">
              <w:rPr>
                <w:rFonts w:eastAsia="Times New Roman" w:cs="Arial"/>
                <w:color w:val="FFFFFF"/>
                <w:sz w:val="18"/>
                <w:szCs w:val="18"/>
                <w:lang w:eastAsia="en-AU"/>
              </w:rPr>
              <w:t>(%)</w:t>
            </w:r>
          </w:p>
        </w:tc>
        <w:tc>
          <w:tcPr>
            <w:tcW w:w="1100" w:type="dxa"/>
            <w:vMerge/>
            <w:tcBorders>
              <w:left w:val="nil"/>
              <w:bottom w:val="nil"/>
              <w:right w:val="nil"/>
            </w:tcBorders>
            <w:shd w:val="clear" w:color="000000" w:fill="2F005F"/>
            <w:vAlign w:val="center"/>
          </w:tcPr>
          <w:p w14:paraId="531A5D35" w14:textId="77777777" w:rsidR="000B487B" w:rsidRPr="000B487B" w:rsidRDefault="000B487B" w:rsidP="00FC4B58">
            <w:pPr>
              <w:spacing w:before="0" w:after="0"/>
              <w:jc w:val="center"/>
              <w:rPr>
                <w:rFonts w:eastAsia="Times New Roman" w:cs="Arial"/>
                <w:color w:val="FFFFFF"/>
                <w:sz w:val="18"/>
                <w:szCs w:val="18"/>
                <w:lang w:eastAsia="en-AU"/>
              </w:rPr>
            </w:pPr>
          </w:p>
        </w:tc>
        <w:tc>
          <w:tcPr>
            <w:tcW w:w="1100" w:type="dxa"/>
            <w:tcBorders>
              <w:top w:val="nil"/>
              <w:left w:val="nil"/>
              <w:bottom w:val="nil"/>
              <w:right w:val="nil"/>
            </w:tcBorders>
            <w:shd w:val="clear" w:color="000000" w:fill="2F005F"/>
            <w:vAlign w:val="center"/>
            <w:hideMark/>
          </w:tcPr>
          <w:p w14:paraId="3576A8C6" w14:textId="77777777" w:rsidR="000B487B" w:rsidRPr="000B487B" w:rsidRDefault="000B487B" w:rsidP="00FC4B58">
            <w:pPr>
              <w:spacing w:before="0" w:after="0"/>
              <w:jc w:val="center"/>
              <w:rPr>
                <w:rFonts w:eastAsia="Times New Roman" w:cs="Arial"/>
                <w:color w:val="FFFFFF"/>
                <w:sz w:val="18"/>
                <w:szCs w:val="18"/>
                <w:lang w:eastAsia="en-AU"/>
              </w:rPr>
            </w:pPr>
            <w:r w:rsidRPr="000B487B">
              <w:rPr>
                <w:rFonts w:eastAsia="Times New Roman" w:cs="Arial"/>
                <w:color w:val="FFFFFF"/>
                <w:sz w:val="18"/>
                <w:szCs w:val="18"/>
                <w:lang w:eastAsia="en-AU"/>
              </w:rPr>
              <w:t>(‘000)</w:t>
            </w:r>
          </w:p>
        </w:tc>
        <w:tc>
          <w:tcPr>
            <w:tcW w:w="1100" w:type="dxa"/>
            <w:tcBorders>
              <w:top w:val="nil"/>
              <w:left w:val="nil"/>
              <w:bottom w:val="nil"/>
              <w:right w:val="nil"/>
            </w:tcBorders>
            <w:shd w:val="clear" w:color="000000" w:fill="2F005F"/>
            <w:vAlign w:val="center"/>
            <w:hideMark/>
          </w:tcPr>
          <w:p w14:paraId="24358AB3" w14:textId="77777777" w:rsidR="000B487B" w:rsidRPr="000B487B" w:rsidRDefault="000B487B" w:rsidP="00FC4B58">
            <w:pPr>
              <w:spacing w:before="0" w:after="0"/>
              <w:jc w:val="center"/>
              <w:rPr>
                <w:rFonts w:eastAsia="Times New Roman" w:cs="Arial"/>
                <w:color w:val="FFFFFF"/>
                <w:sz w:val="18"/>
                <w:szCs w:val="18"/>
                <w:lang w:eastAsia="en-AU"/>
              </w:rPr>
            </w:pPr>
            <w:r w:rsidRPr="000B487B">
              <w:rPr>
                <w:rFonts w:eastAsia="Times New Roman" w:cs="Arial"/>
                <w:color w:val="FFFFFF"/>
                <w:sz w:val="18"/>
                <w:szCs w:val="18"/>
                <w:lang w:eastAsia="en-AU"/>
              </w:rPr>
              <w:t>(%)</w:t>
            </w:r>
          </w:p>
        </w:tc>
      </w:tr>
      <w:tr w:rsidR="000B487B" w:rsidRPr="000B487B" w14:paraId="1C4348E6" w14:textId="77777777" w:rsidTr="00FC4B58">
        <w:trPr>
          <w:trHeight w:val="360"/>
        </w:trPr>
        <w:tc>
          <w:tcPr>
            <w:tcW w:w="2360" w:type="dxa"/>
            <w:tcBorders>
              <w:top w:val="nil"/>
              <w:left w:val="nil"/>
              <w:bottom w:val="nil"/>
              <w:right w:val="nil"/>
            </w:tcBorders>
            <w:vAlign w:val="center"/>
            <w:hideMark/>
          </w:tcPr>
          <w:p w14:paraId="433F5808"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18"/>
                <w:lang w:eastAsia="en-AU"/>
              </w:rPr>
              <w:t>Employment (‘000)</w:t>
            </w:r>
          </w:p>
        </w:tc>
        <w:tc>
          <w:tcPr>
            <w:tcW w:w="1100" w:type="dxa"/>
            <w:tcBorders>
              <w:top w:val="nil"/>
              <w:left w:val="nil"/>
              <w:bottom w:val="nil"/>
              <w:right w:val="nil"/>
            </w:tcBorders>
            <w:vAlign w:val="center"/>
            <w:hideMark/>
          </w:tcPr>
          <w:p w14:paraId="70211022"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10,150.0</w:t>
            </w:r>
          </w:p>
        </w:tc>
        <w:tc>
          <w:tcPr>
            <w:tcW w:w="1100" w:type="dxa"/>
            <w:tcBorders>
              <w:top w:val="nil"/>
              <w:left w:val="nil"/>
              <w:bottom w:val="nil"/>
              <w:right w:val="nil"/>
            </w:tcBorders>
            <w:vAlign w:val="center"/>
            <w:hideMark/>
          </w:tcPr>
          <w:p w14:paraId="3F74D167"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-55.1</w:t>
            </w:r>
          </w:p>
        </w:tc>
        <w:tc>
          <w:tcPr>
            <w:tcW w:w="1100" w:type="dxa"/>
            <w:tcBorders>
              <w:top w:val="nil"/>
              <w:left w:val="nil"/>
              <w:bottom w:val="nil"/>
              <w:right w:val="single" w:sz="4" w:space="0" w:color="FFFFFF"/>
            </w:tcBorders>
            <w:vAlign w:val="center"/>
            <w:hideMark/>
          </w:tcPr>
          <w:p w14:paraId="7F92295E"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-0.5%</w:t>
            </w:r>
          </w:p>
        </w:tc>
        <w:tc>
          <w:tcPr>
            <w:tcW w:w="1100" w:type="dxa"/>
            <w:tcBorders>
              <w:top w:val="nil"/>
              <w:left w:val="nil"/>
              <w:bottom w:val="nil"/>
              <w:right w:val="nil"/>
            </w:tcBorders>
            <w:vAlign w:val="center"/>
            <w:hideMark/>
          </w:tcPr>
          <w:p w14:paraId="2549E9E5"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4,421.5</w:t>
            </w:r>
          </w:p>
        </w:tc>
        <w:tc>
          <w:tcPr>
            <w:tcW w:w="1100" w:type="dxa"/>
            <w:tcBorders>
              <w:top w:val="nil"/>
              <w:left w:val="nil"/>
              <w:bottom w:val="nil"/>
              <w:right w:val="nil"/>
            </w:tcBorders>
            <w:vAlign w:val="center"/>
            <w:hideMark/>
          </w:tcPr>
          <w:p w14:paraId="1F9EBBA7"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-35.8</w:t>
            </w:r>
          </w:p>
        </w:tc>
        <w:tc>
          <w:tcPr>
            <w:tcW w:w="1100" w:type="dxa"/>
            <w:tcBorders>
              <w:top w:val="nil"/>
              <w:left w:val="nil"/>
              <w:bottom w:val="nil"/>
              <w:right w:val="single" w:sz="4" w:space="0" w:color="FFFFFF"/>
            </w:tcBorders>
            <w:vAlign w:val="center"/>
            <w:hideMark/>
          </w:tcPr>
          <w:p w14:paraId="2791B7C2"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-0.8%</w:t>
            </w:r>
          </w:p>
        </w:tc>
      </w:tr>
      <w:tr w:rsidR="000B487B" w:rsidRPr="000B487B" w14:paraId="2A728452" w14:textId="77777777" w:rsidTr="00FC4B58">
        <w:trPr>
          <w:trHeight w:val="360"/>
        </w:trPr>
        <w:tc>
          <w:tcPr>
            <w:tcW w:w="2360" w:type="dxa"/>
            <w:tcBorders>
              <w:top w:val="nil"/>
              <w:left w:val="nil"/>
              <w:bottom w:val="nil"/>
              <w:right w:val="nil"/>
            </w:tcBorders>
            <w:shd w:val="clear" w:color="000000" w:fill="E6E6E6"/>
            <w:vAlign w:val="center"/>
            <w:hideMark/>
          </w:tcPr>
          <w:p w14:paraId="5C50549A"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18"/>
                <w:lang w:eastAsia="en-AU"/>
              </w:rPr>
              <w:t>Unemployment rate (%)</w:t>
            </w:r>
          </w:p>
        </w:tc>
        <w:tc>
          <w:tcPr>
            <w:tcW w:w="1100" w:type="dxa"/>
            <w:tcBorders>
              <w:top w:val="nil"/>
              <w:left w:val="nil"/>
              <w:bottom w:val="nil"/>
              <w:right w:val="nil"/>
            </w:tcBorders>
            <w:shd w:val="clear" w:color="000000" w:fill="E6E6E6"/>
            <w:vAlign w:val="center"/>
            <w:hideMark/>
          </w:tcPr>
          <w:p w14:paraId="10CA88DE"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4.4</w:t>
            </w:r>
          </w:p>
        </w:tc>
        <w:tc>
          <w:tcPr>
            <w:tcW w:w="1100" w:type="dxa"/>
            <w:tcBorders>
              <w:top w:val="nil"/>
              <w:left w:val="nil"/>
              <w:bottom w:val="nil"/>
              <w:right w:val="nil"/>
            </w:tcBorders>
            <w:shd w:val="clear" w:color="000000" w:fill="E6E6E6"/>
            <w:vAlign w:val="center"/>
            <w:hideMark/>
          </w:tcPr>
          <w:p w14:paraId="44F155DC"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w:t>
            </w:r>
          </w:p>
        </w:tc>
        <w:tc>
          <w:tcPr>
            <w:tcW w:w="1100" w:type="dxa"/>
            <w:tcBorders>
              <w:top w:val="nil"/>
              <w:left w:val="nil"/>
              <w:bottom w:val="nil"/>
              <w:right w:val="single" w:sz="4" w:space="0" w:color="FFFFFF"/>
            </w:tcBorders>
            <w:shd w:val="clear" w:color="000000" w:fill="E6E6E6"/>
            <w:vAlign w:val="center"/>
            <w:hideMark/>
          </w:tcPr>
          <w:p w14:paraId="7977AF03" w14:textId="4965CFF4"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0.5</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1100" w:type="dxa"/>
            <w:tcBorders>
              <w:top w:val="nil"/>
              <w:left w:val="nil"/>
              <w:bottom w:val="nil"/>
              <w:right w:val="nil"/>
            </w:tcBorders>
            <w:shd w:val="clear" w:color="000000" w:fill="E6E6E6"/>
            <w:vAlign w:val="center"/>
            <w:hideMark/>
          </w:tcPr>
          <w:p w14:paraId="7F81FAF9"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4.0</w:t>
            </w:r>
          </w:p>
        </w:tc>
        <w:tc>
          <w:tcPr>
            <w:tcW w:w="1100" w:type="dxa"/>
            <w:tcBorders>
              <w:top w:val="nil"/>
              <w:left w:val="nil"/>
              <w:bottom w:val="nil"/>
              <w:right w:val="nil"/>
            </w:tcBorders>
            <w:shd w:val="clear" w:color="000000" w:fill="E6E6E6"/>
            <w:vAlign w:val="center"/>
            <w:hideMark/>
          </w:tcPr>
          <w:p w14:paraId="38863072"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w:t>
            </w:r>
          </w:p>
        </w:tc>
        <w:tc>
          <w:tcPr>
            <w:tcW w:w="1100" w:type="dxa"/>
            <w:tcBorders>
              <w:top w:val="nil"/>
              <w:left w:val="nil"/>
              <w:bottom w:val="nil"/>
              <w:right w:val="single" w:sz="4" w:space="0" w:color="FFFFFF"/>
            </w:tcBorders>
            <w:shd w:val="clear" w:color="000000" w:fill="E6E6E6"/>
            <w:vAlign w:val="center"/>
            <w:hideMark/>
          </w:tcPr>
          <w:p w14:paraId="0EFD6759" w14:textId="70E995E5"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0.5</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r>
      <w:tr w:rsidR="000B487B" w:rsidRPr="000B487B" w14:paraId="12A9B2D6" w14:textId="77777777" w:rsidTr="00FC4B58">
        <w:trPr>
          <w:trHeight w:val="360"/>
        </w:trPr>
        <w:tc>
          <w:tcPr>
            <w:tcW w:w="2360" w:type="dxa"/>
            <w:tcBorders>
              <w:top w:val="nil"/>
              <w:left w:val="nil"/>
              <w:bottom w:val="single" w:sz="8" w:space="0" w:color="4B0885"/>
              <w:right w:val="nil"/>
            </w:tcBorders>
            <w:vAlign w:val="center"/>
            <w:hideMark/>
          </w:tcPr>
          <w:p w14:paraId="064B001B" w14:textId="77777777" w:rsidR="000B487B" w:rsidRPr="000B487B" w:rsidRDefault="000B487B" w:rsidP="00FC4B58">
            <w:pPr>
              <w:spacing w:before="0" w:after="0"/>
              <w:rPr>
                <w:rFonts w:eastAsia="Times New Roman" w:cs="Arial"/>
                <w:color w:val="000000"/>
                <w:sz w:val="18"/>
                <w:szCs w:val="18"/>
                <w:lang w:eastAsia="en-AU"/>
              </w:rPr>
            </w:pPr>
            <w:r w:rsidRPr="000B487B">
              <w:rPr>
                <w:rFonts w:eastAsia="Times New Roman" w:cs="Arial"/>
                <w:color w:val="000000"/>
                <w:sz w:val="18"/>
                <w:szCs w:val="18"/>
                <w:lang w:eastAsia="en-AU"/>
              </w:rPr>
              <w:t>Participation rate (%)</w:t>
            </w:r>
          </w:p>
        </w:tc>
        <w:tc>
          <w:tcPr>
            <w:tcW w:w="1100" w:type="dxa"/>
            <w:tcBorders>
              <w:top w:val="nil"/>
              <w:left w:val="nil"/>
              <w:bottom w:val="single" w:sz="8" w:space="0" w:color="4B0885"/>
              <w:right w:val="nil"/>
            </w:tcBorders>
            <w:vAlign w:val="center"/>
            <w:hideMark/>
          </w:tcPr>
          <w:p w14:paraId="064FB5C6"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68.7</w:t>
            </w:r>
          </w:p>
        </w:tc>
        <w:tc>
          <w:tcPr>
            <w:tcW w:w="1100" w:type="dxa"/>
            <w:tcBorders>
              <w:top w:val="nil"/>
              <w:left w:val="nil"/>
              <w:bottom w:val="single" w:sz="8" w:space="0" w:color="4B0885"/>
              <w:right w:val="nil"/>
            </w:tcBorders>
            <w:vAlign w:val="center"/>
            <w:hideMark/>
          </w:tcPr>
          <w:p w14:paraId="3AFD159E"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 xml:space="preserve"> -</w:t>
            </w:r>
          </w:p>
        </w:tc>
        <w:tc>
          <w:tcPr>
            <w:tcW w:w="1100" w:type="dxa"/>
            <w:tcBorders>
              <w:top w:val="nil"/>
              <w:left w:val="nil"/>
              <w:bottom w:val="single" w:sz="8" w:space="0" w:color="4B0885"/>
              <w:right w:val="single" w:sz="4" w:space="0" w:color="FFFFFF"/>
            </w:tcBorders>
            <w:vAlign w:val="center"/>
            <w:hideMark/>
          </w:tcPr>
          <w:p w14:paraId="1A331A14" w14:textId="0BDF3CE3"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-0.5</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c>
          <w:tcPr>
            <w:tcW w:w="1100" w:type="dxa"/>
            <w:tcBorders>
              <w:top w:val="nil"/>
              <w:left w:val="nil"/>
              <w:bottom w:val="single" w:sz="8" w:space="0" w:color="4B0885"/>
              <w:right w:val="nil"/>
            </w:tcBorders>
            <w:vAlign w:val="center"/>
            <w:hideMark/>
          </w:tcPr>
          <w:p w14:paraId="357C3647"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63.6</w:t>
            </w:r>
          </w:p>
        </w:tc>
        <w:tc>
          <w:tcPr>
            <w:tcW w:w="1100" w:type="dxa"/>
            <w:tcBorders>
              <w:top w:val="nil"/>
              <w:left w:val="nil"/>
              <w:bottom w:val="single" w:sz="8" w:space="0" w:color="4B0885"/>
              <w:right w:val="nil"/>
            </w:tcBorders>
            <w:vAlign w:val="center"/>
            <w:hideMark/>
          </w:tcPr>
          <w:p w14:paraId="793B006E" w14:textId="77777777"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 xml:space="preserve"> -</w:t>
            </w:r>
          </w:p>
        </w:tc>
        <w:tc>
          <w:tcPr>
            <w:tcW w:w="1100" w:type="dxa"/>
            <w:tcBorders>
              <w:top w:val="nil"/>
              <w:left w:val="nil"/>
              <w:bottom w:val="single" w:sz="8" w:space="0" w:color="4B0885"/>
              <w:right w:val="single" w:sz="4" w:space="0" w:color="FFFFFF"/>
            </w:tcBorders>
            <w:vAlign w:val="center"/>
            <w:hideMark/>
          </w:tcPr>
          <w:p w14:paraId="678C7677" w14:textId="47155A4D" w:rsidR="000B487B" w:rsidRPr="000B487B" w:rsidRDefault="000B487B" w:rsidP="00FC4B58">
            <w:pPr>
              <w:spacing w:before="0" w:after="0"/>
              <w:jc w:val="center"/>
              <w:rPr>
                <w:rFonts w:eastAsia="Times New Roman" w:cs="Arial"/>
                <w:color w:val="000000"/>
                <w:sz w:val="18"/>
                <w:szCs w:val="18"/>
                <w:lang w:eastAsia="en-AU"/>
              </w:rPr>
            </w:pPr>
            <w:r w:rsidRPr="000B487B">
              <w:rPr>
                <w:rFonts w:eastAsia="Times New Roman" w:cs="Arial"/>
                <w:color w:val="000000"/>
                <w:sz w:val="18"/>
                <w:szCs w:val="18"/>
                <w:lang w:eastAsia="en-AU"/>
              </w:rPr>
              <w:t>-0.4</w:t>
            </w:r>
            <w:r w:rsidR="001D0A0B">
              <w:rPr>
                <w:rFonts w:eastAsia="Times New Roman" w:cs="Arial"/>
                <w:color w:val="000000"/>
                <w:sz w:val="18"/>
                <w:szCs w:val="18"/>
                <w:lang w:eastAsia="en-AU"/>
              </w:rPr>
              <w:t xml:space="preserve"> </w:t>
            </w:r>
            <w:r w:rsidRPr="000B487B">
              <w:rPr>
                <w:rFonts w:eastAsia="Times New Roman" w:cs="Arial"/>
                <w:color w:val="000000"/>
                <w:sz w:val="18"/>
                <w:szCs w:val="18"/>
                <w:lang w:eastAsia="en-AU"/>
              </w:rPr>
              <w:t>pts</w:t>
            </w:r>
          </w:p>
        </w:tc>
      </w:tr>
    </w:tbl>
    <w:p w14:paraId="133E7C09" w14:textId="77777777" w:rsidR="000B487B" w:rsidRPr="00FE18D3" w:rsidRDefault="000B487B" w:rsidP="000B487B">
      <w:pPr>
        <w:pStyle w:val="Source"/>
      </w:pPr>
      <w:r w:rsidRPr="000B487B">
        <w:t>Source: ABS, Labour Force, Australia, Detailed, March 2025, modelled estimates.</w:t>
      </w:r>
    </w:p>
    <w:p w14:paraId="4DAC645A" w14:textId="77777777" w:rsidR="005E4D08" w:rsidRPr="00732B12" w:rsidRDefault="005E4D08" w:rsidP="005E4D08">
      <w:pPr>
        <w:pStyle w:val="Heading2"/>
      </w:pPr>
      <w:bookmarkStart w:id="23" w:name="_Toc201057854"/>
      <w:r>
        <w:t xml:space="preserve">Health Care and Social Assistance, </w:t>
      </w:r>
      <w:r w:rsidRPr="00732B12">
        <w:t>Education and Training</w:t>
      </w:r>
      <w:r>
        <w:t xml:space="preserve"> and Construction</w:t>
      </w:r>
      <w:r w:rsidRPr="00732B12">
        <w:t xml:space="preserve"> </w:t>
      </w:r>
      <w:r>
        <w:t>led employment growth</w:t>
      </w:r>
      <w:bookmarkEnd w:id="23"/>
      <w:r w:rsidRPr="00732B12">
        <w:t xml:space="preserve"> </w:t>
      </w:r>
    </w:p>
    <w:p w14:paraId="6992B77F" w14:textId="58B32D60" w:rsidR="005E4D08" w:rsidRPr="00732B12" w:rsidRDefault="005E4D08" w:rsidP="005E4D08">
      <w:pPr>
        <w:pStyle w:val="BodyText"/>
      </w:pPr>
      <w:r w:rsidRPr="00732B12">
        <w:t xml:space="preserve">Over the year to February 2025, employment increased in 14 </w:t>
      </w:r>
      <w:r w:rsidR="00E731A1">
        <w:t xml:space="preserve">out </w:t>
      </w:r>
      <w:r w:rsidRPr="00732B12">
        <w:t>of 19 industries and declined in 5 (</w:t>
      </w:r>
      <w:r w:rsidR="009A7CE3" w:rsidRPr="009A7CE3">
        <w:t>Figure 3</w:t>
      </w:r>
      <w:r w:rsidRPr="00732B12">
        <w:t>).</w:t>
      </w:r>
      <w:r w:rsidRPr="00732B12">
        <w:rPr>
          <w:rStyle w:val="FootnoteReference"/>
        </w:rPr>
        <w:footnoteReference w:id="3"/>
      </w:r>
      <w:r w:rsidRPr="00732B12">
        <w:t xml:space="preserve"> Health Care and Social Assistance, Education and Training, and Construction were the largest contributors to employment growth. The largest declines in employment were in Professional, Scientific and Technical Services, Manufacturing</w:t>
      </w:r>
      <w:r>
        <w:t>,</w:t>
      </w:r>
      <w:r w:rsidRPr="00732B12">
        <w:t xml:space="preserve"> and Agriculture, Forestry and Fishing.</w:t>
      </w:r>
    </w:p>
    <w:p w14:paraId="3C966512" w14:textId="1AC248F2" w:rsidR="005E4D08" w:rsidRDefault="005503CC" w:rsidP="005503CC">
      <w:pPr>
        <w:pStyle w:val="Caption"/>
      </w:pPr>
      <w:bookmarkStart w:id="24" w:name="_Ref200454108"/>
      <w:r>
        <w:t xml:space="preserve">Figure </w:t>
      </w:r>
      <w:r>
        <w:fldChar w:fldCharType="begin"/>
      </w:r>
      <w:r>
        <w:instrText xml:space="preserve"> SEQ Figure \* ARABIC </w:instrText>
      </w:r>
      <w:r>
        <w:fldChar w:fldCharType="separate"/>
      </w:r>
      <w:r w:rsidR="00D80BB2">
        <w:rPr>
          <w:noProof/>
        </w:rPr>
        <w:t>3</w:t>
      </w:r>
      <w:r>
        <w:fldChar w:fldCharType="end"/>
      </w:r>
      <w:bookmarkEnd w:id="24"/>
      <w:r w:rsidRPr="00732B12">
        <w:t>: Employment change by industry, February 2024 to February 202</w:t>
      </w:r>
      <w:r>
        <w:t>5</w:t>
      </w:r>
    </w:p>
    <w:p w14:paraId="70B02686" w14:textId="77777777" w:rsidR="005E4D08" w:rsidRDefault="005E4D08" w:rsidP="005E4D08">
      <w:pPr>
        <w:pStyle w:val="BodyText"/>
      </w:pPr>
      <w:r>
        <w:rPr>
          <w:noProof/>
        </w:rPr>
        <w:drawing>
          <wp:inline distT="0" distB="0" distL="0" distR="0" wp14:anchorId="6231CF1A" wp14:editId="19B11AC9">
            <wp:extent cx="5948045" cy="3742690"/>
            <wp:effectExtent l="0" t="0" r="0" b="0"/>
            <wp:docPr id="1917700865" name="Chart 1" descr="Bar graph displaying employment change from February 2023 to February 2024 for 19 industries.">
              <a:extLst xmlns:a="http://schemas.openxmlformats.org/drawingml/2006/main">
                <a:ext uri="{FF2B5EF4-FFF2-40B4-BE49-F238E27FC236}">
                  <a16:creationId xmlns:a16="http://schemas.microsoft.com/office/drawing/2014/main" id="{3963976F-01F2-49C1-BE43-8E12F0C1FD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C2CB5B" w14:textId="77777777" w:rsidR="005E4D08" w:rsidRPr="00732B12" w:rsidRDefault="005E4D08" w:rsidP="005E4D08">
      <w:pPr>
        <w:pStyle w:val="Source"/>
      </w:pPr>
      <w:r w:rsidRPr="00732B12">
        <w:t xml:space="preserve">Source: ABS, Labour Force, Australia, Detailed, February 2025, data trended by Jobs and Skills Australia. </w:t>
      </w:r>
    </w:p>
    <w:p w14:paraId="3C003275" w14:textId="7DD174A9" w:rsidR="005E4D08" w:rsidRPr="00732B12" w:rsidRDefault="005E4D08" w:rsidP="005E4D08">
      <w:pPr>
        <w:pStyle w:val="Heading2"/>
      </w:pPr>
      <w:bookmarkStart w:id="25" w:name="_Toc201057855"/>
      <w:r w:rsidRPr="00732B12">
        <w:lastRenderedPageBreak/>
        <w:t>Higher</w:t>
      </w:r>
      <w:r w:rsidR="00E76F6C">
        <w:t xml:space="preserve"> </w:t>
      </w:r>
      <w:r w:rsidRPr="00732B12">
        <w:t>skilled occupations drove employment growth</w:t>
      </w:r>
      <w:bookmarkEnd w:id="25"/>
      <w:r w:rsidRPr="00732B12">
        <w:t xml:space="preserve"> </w:t>
      </w:r>
    </w:p>
    <w:p w14:paraId="6E9C8885" w14:textId="091632B0" w:rsidR="005E4D08" w:rsidRPr="00732B12" w:rsidRDefault="005E4D08" w:rsidP="005E4D08">
      <w:pPr>
        <w:pStyle w:val="BodyText"/>
      </w:pPr>
      <w:r w:rsidRPr="00732B12">
        <w:t>Employment increased in 6 major occupation groups and declined in 2 major occupation groups over the year to February 2025 (</w:t>
      </w:r>
      <w:r w:rsidR="009A7CE3" w:rsidRPr="009A7CE3">
        <w:t>Table 4</w:t>
      </w:r>
      <w:r w:rsidRPr="00732B12">
        <w:t>). Professionals, up by 100,600 (2.7%); Community and Personal Services Workers, up by 71,700 (4.4%); and Technicians and Trades Workers, up by 49,400 (2.6%) recorded the largest employment growth. Clerical and Administrative Workers, down by 6,600 (0.4%) recorded the largest decline in employment.</w:t>
      </w:r>
    </w:p>
    <w:p w14:paraId="062E443D" w14:textId="77777777" w:rsidR="005E4D08" w:rsidRPr="00732B12" w:rsidRDefault="005E4D08" w:rsidP="005E4D08">
      <w:pPr>
        <w:pStyle w:val="BodyText"/>
      </w:pPr>
      <w:r w:rsidRPr="00732B12">
        <w:t>Analysing the data over a longer time span – 5 years to February 2025 –</w:t>
      </w:r>
      <w:r>
        <w:t xml:space="preserve"> all major occupation groups recorded employment growth, with</w:t>
      </w:r>
      <w:r w:rsidRPr="00732B12">
        <w:t xml:space="preserve"> the largest increases for Professionals, up by 683,200 (21.5%) and Community and Personal Service Workers, up by 301,700 (21.5%)</w:t>
      </w:r>
      <w:r>
        <w:t>.</w:t>
      </w:r>
    </w:p>
    <w:p w14:paraId="37FC9D9F" w14:textId="3B093076" w:rsidR="005E4D08" w:rsidRPr="00732B12" w:rsidRDefault="005E4D08" w:rsidP="005E4D08">
      <w:pPr>
        <w:pStyle w:val="Caption"/>
      </w:pPr>
      <w:bookmarkStart w:id="26" w:name="_Ref200453400"/>
      <w:r w:rsidRPr="00732B12">
        <w:t xml:space="preserve">Table </w:t>
      </w:r>
      <w:r w:rsidRPr="00732B12">
        <w:fldChar w:fldCharType="begin"/>
      </w:r>
      <w:r w:rsidRPr="00732B12">
        <w:instrText xml:space="preserve"> SEQ Table \* ARABIC </w:instrText>
      </w:r>
      <w:r w:rsidRPr="00732B12">
        <w:fldChar w:fldCharType="separate"/>
      </w:r>
      <w:r w:rsidR="00D80BB2">
        <w:rPr>
          <w:noProof/>
        </w:rPr>
        <w:t>4</w:t>
      </w:r>
      <w:r w:rsidRPr="00732B12">
        <w:fldChar w:fldCharType="end"/>
      </w:r>
      <w:bookmarkEnd w:id="26"/>
      <w:r w:rsidRPr="00732B12">
        <w:t>: Employment by major occupation group</w:t>
      </w:r>
      <w:r w:rsidRPr="00732B12">
        <w:rPr>
          <w:rStyle w:val="FootnoteReference"/>
        </w:rPr>
        <w:footnoteReference w:id="4"/>
      </w:r>
    </w:p>
    <w:tbl>
      <w:tblPr>
        <w:tblStyle w:val="CustomTablebasic"/>
        <w:tblW w:w="9027" w:type="dxa"/>
        <w:tblLayout w:type="fixed"/>
        <w:tblLook w:val="04A0" w:firstRow="1" w:lastRow="0" w:firstColumn="1" w:lastColumn="0" w:noHBand="0" w:noVBand="1"/>
      </w:tblPr>
      <w:tblGrid>
        <w:gridCol w:w="3651"/>
        <w:gridCol w:w="965"/>
        <w:gridCol w:w="965"/>
        <w:gridCol w:w="965"/>
        <w:gridCol w:w="762"/>
        <w:gridCol w:w="965"/>
        <w:gridCol w:w="754"/>
      </w:tblGrid>
      <w:tr w:rsidR="005E4D08" w:rsidRPr="00732B12" w14:paraId="19A6FA54" w14:textId="77777777" w:rsidTr="00FC4B58">
        <w:trPr>
          <w:cnfStyle w:val="100000000000" w:firstRow="1" w:lastRow="0" w:firstColumn="0" w:lastColumn="0" w:oddVBand="0" w:evenVBand="0" w:oddHBand="0" w:evenHBand="0" w:firstRowFirstColumn="0" w:firstRowLastColumn="0" w:lastRowFirstColumn="0" w:lastRowLastColumn="0"/>
          <w:trHeight w:val="340"/>
        </w:trPr>
        <w:tc>
          <w:tcPr>
            <w:tcW w:w="3651" w:type="dxa"/>
            <w:vMerge w:val="restart"/>
          </w:tcPr>
          <w:p w14:paraId="71379ED9" w14:textId="77777777" w:rsidR="005E4D08" w:rsidRPr="000F76FB" w:rsidRDefault="005E4D08" w:rsidP="00FC4B58">
            <w:pPr>
              <w:pStyle w:val="TableHeading1"/>
              <w:rPr>
                <w:sz w:val="18"/>
                <w:szCs w:val="18"/>
              </w:rPr>
            </w:pPr>
            <w:r w:rsidRPr="000F76FB">
              <w:rPr>
                <w:b/>
                <w:bCs w:val="0"/>
                <w:sz w:val="18"/>
                <w:szCs w:val="18"/>
              </w:rPr>
              <w:t>Occupation</w:t>
            </w:r>
          </w:p>
        </w:tc>
        <w:tc>
          <w:tcPr>
            <w:tcW w:w="965" w:type="dxa"/>
            <w:hideMark/>
          </w:tcPr>
          <w:p w14:paraId="7DD5CC9C" w14:textId="77777777" w:rsidR="005E4D08" w:rsidRPr="000F76FB" w:rsidRDefault="005E4D08" w:rsidP="00FC4B58">
            <w:pPr>
              <w:pStyle w:val="TableHeading1"/>
              <w:jc w:val="right"/>
              <w:rPr>
                <w:sz w:val="18"/>
                <w:szCs w:val="18"/>
              </w:rPr>
            </w:pPr>
            <w:r w:rsidRPr="000F76FB">
              <w:rPr>
                <w:sz w:val="18"/>
                <w:szCs w:val="18"/>
              </w:rPr>
              <w:t>Feb-25</w:t>
            </w:r>
          </w:p>
        </w:tc>
        <w:tc>
          <w:tcPr>
            <w:tcW w:w="965" w:type="dxa"/>
            <w:hideMark/>
          </w:tcPr>
          <w:p w14:paraId="0E177E87" w14:textId="77777777" w:rsidR="005E4D08" w:rsidRPr="000F76FB" w:rsidRDefault="005E4D08" w:rsidP="00FC4B58">
            <w:pPr>
              <w:pStyle w:val="TableHeading1"/>
              <w:jc w:val="right"/>
              <w:rPr>
                <w:sz w:val="18"/>
                <w:szCs w:val="18"/>
              </w:rPr>
            </w:pPr>
            <w:r w:rsidRPr="000F76FB">
              <w:rPr>
                <w:sz w:val="18"/>
                <w:szCs w:val="18"/>
              </w:rPr>
              <w:t>Feb-24</w:t>
            </w:r>
          </w:p>
        </w:tc>
        <w:tc>
          <w:tcPr>
            <w:tcW w:w="1727" w:type="dxa"/>
            <w:gridSpan w:val="2"/>
            <w:hideMark/>
          </w:tcPr>
          <w:p w14:paraId="365DAC47" w14:textId="77777777" w:rsidR="005E4D08" w:rsidRPr="000F76FB" w:rsidRDefault="005E4D08" w:rsidP="00FC4B58">
            <w:pPr>
              <w:pStyle w:val="TableHeading1centre"/>
              <w:rPr>
                <w:sz w:val="18"/>
                <w:szCs w:val="18"/>
              </w:rPr>
            </w:pPr>
            <w:r w:rsidRPr="000F76FB">
              <w:rPr>
                <w:sz w:val="18"/>
                <w:szCs w:val="18"/>
              </w:rPr>
              <w:t xml:space="preserve">Annual change </w:t>
            </w:r>
            <w:r w:rsidRPr="000F76FB">
              <w:rPr>
                <w:sz w:val="18"/>
                <w:szCs w:val="18"/>
              </w:rPr>
              <w:br/>
              <w:t>to Feb-25</w:t>
            </w:r>
          </w:p>
        </w:tc>
        <w:tc>
          <w:tcPr>
            <w:tcW w:w="1719" w:type="dxa"/>
            <w:gridSpan w:val="2"/>
            <w:hideMark/>
          </w:tcPr>
          <w:p w14:paraId="42A6F237" w14:textId="77777777" w:rsidR="005E4D08" w:rsidRPr="000F76FB" w:rsidRDefault="005E4D08" w:rsidP="00FC4B58">
            <w:pPr>
              <w:pStyle w:val="TableHeading1centre"/>
              <w:rPr>
                <w:sz w:val="18"/>
                <w:szCs w:val="18"/>
              </w:rPr>
            </w:pPr>
            <w:r w:rsidRPr="000F76FB">
              <w:rPr>
                <w:sz w:val="18"/>
                <w:szCs w:val="18"/>
              </w:rPr>
              <w:t xml:space="preserve">5-year change </w:t>
            </w:r>
            <w:r w:rsidRPr="000F76FB">
              <w:rPr>
                <w:sz w:val="18"/>
                <w:szCs w:val="18"/>
              </w:rPr>
              <w:br/>
              <w:t>to Feb-25</w:t>
            </w:r>
          </w:p>
        </w:tc>
      </w:tr>
      <w:tr w:rsidR="005E4D08" w:rsidRPr="00732B12" w14:paraId="61E1297E" w14:textId="77777777" w:rsidTr="00FC4B58">
        <w:trPr>
          <w:trHeight w:val="340"/>
        </w:trPr>
        <w:tc>
          <w:tcPr>
            <w:tcW w:w="3651" w:type="dxa"/>
            <w:vMerge/>
          </w:tcPr>
          <w:p w14:paraId="35DE33E5" w14:textId="77777777" w:rsidR="005E4D08" w:rsidRPr="000F76FB" w:rsidRDefault="005E4D08" w:rsidP="00FC4B58">
            <w:pPr>
              <w:pStyle w:val="TableHeading1"/>
              <w:rPr>
                <w:sz w:val="18"/>
                <w:szCs w:val="18"/>
              </w:rPr>
            </w:pPr>
          </w:p>
        </w:tc>
        <w:tc>
          <w:tcPr>
            <w:tcW w:w="965" w:type="dxa"/>
            <w:shd w:val="clear" w:color="auto" w:fill="2F005F"/>
          </w:tcPr>
          <w:p w14:paraId="2879A7B1" w14:textId="77777777" w:rsidR="005E4D08" w:rsidRPr="000F76FB" w:rsidRDefault="005E4D08" w:rsidP="00FC4B58">
            <w:pPr>
              <w:pStyle w:val="TableHeading1right"/>
              <w:rPr>
                <w:sz w:val="18"/>
                <w:szCs w:val="18"/>
              </w:rPr>
            </w:pPr>
            <w:r>
              <w:rPr>
                <w:sz w:val="18"/>
                <w:szCs w:val="18"/>
              </w:rPr>
              <w:t>(‘000)</w:t>
            </w:r>
          </w:p>
        </w:tc>
        <w:tc>
          <w:tcPr>
            <w:tcW w:w="965" w:type="dxa"/>
            <w:shd w:val="clear" w:color="auto" w:fill="2F005F"/>
          </w:tcPr>
          <w:p w14:paraId="5E23006C" w14:textId="77777777" w:rsidR="005E4D08" w:rsidRPr="000F76FB" w:rsidRDefault="005E4D08" w:rsidP="00FC4B58">
            <w:pPr>
              <w:pStyle w:val="TableHeading1right"/>
              <w:rPr>
                <w:sz w:val="18"/>
                <w:szCs w:val="18"/>
              </w:rPr>
            </w:pPr>
            <w:r>
              <w:rPr>
                <w:sz w:val="18"/>
                <w:szCs w:val="18"/>
              </w:rPr>
              <w:t>(‘000)</w:t>
            </w:r>
          </w:p>
        </w:tc>
        <w:tc>
          <w:tcPr>
            <w:tcW w:w="965" w:type="dxa"/>
            <w:shd w:val="clear" w:color="auto" w:fill="2F005F"/>
          </w:tcPr>
          <w:p w14:paraId="7FD4283D" w14:textId="77777777" w:rsidR="005E4D08" w:rsidRPr="000F76FB" w:rsidRDefault="005E4D08" w:rsidP="00FC4B58">
            <w:pPr>
              <w:pStyle w:val="TableHeading1right"/>
              <w:rPr>
                <w:sz w:val="18"/>
                <w:szCs w:val="18"/>
              </w:rPr>
            </w:pPr>
            <w:r w:rsidRPr="000F76FB">
              <w:rPr>
                <w:sz w:val="18"/>
                <w:szCs w:val="18"/>
              </w:rPr>
              <w:t>(‘000)</w:t>
            </w:r>
          </w:p>
        </w:tc>
        <w:tc>
          <w:tcPr>
            <w:tcW w:w="762" w:type="dxa"/>
            <w:shd w:val="clear" w:color="auto" w:fill="2F005F"/>
          </w:tcPr>
          <w:p w14:paraId="0918B9C7" w14:textId="77777777" w:rsidR="005E4D08" w:rsidRPr="000F76FB" w:rsidRDefault="005E4D08" w:rsidP="00FC4B58">
            <w:pPr>
              <w:pStyle w:val="TableHeading1right"/>
              <w:rPr>
                <w:sz w:val="18"/>
                <w:szCs w:val="18"/>
              </w:rPr>
            </w:pPr>
            <w:r w:rsidRPr="000F76FB">
              <w:rPr>
                <w:sz w:val="18"/>
                <w:szCs w:val="18"/>
              </w:rPr>
              <w:t>(%)</w:t>
            </w:r>
          </w:p>
        </w:tc>
        <w:tc>
          <w:tcPr>
            <w:tcW w:w="965" w:type="dxa"/>
            <w:shd w:val="clear" w:color="auto" w:fill="2F005F"/>
          </w:tcPr>
          <w:p w14:paraId="149BC676" w14:textId="77777777" w:rsidR="005E4D08" w:rsidRPr="000F76FB" w:rsidRDefault="005E4D08" w:rsidP="00FC4B58">
            <w:pPr>
              <w:pStyle w:val="TableHeading1right"/>
              <w:rPr>
                <w:sz w:val="18"/>
                <w:szCs w:val="18"/>
              </w:rPr>
            </w:pPr>
            <w:r w:rsidRPr="000F76FB">
              <w:rPr>
                <w:sz w:val="18"/>
                <w:szCs w:val="18"/>
              </w:rPr>
              <w:t>(‘000)</w:t>
            </w:r>
          </w:p>
        </w:tc>
        <w:tc>
          <w:tcPr>
            <w:tcW w:w="754" w:type="dxa"/>
            <w:shd w:val="clear" w:color="auto" w:fill="2F005F"/>
          </w:tcPr>
          <w:p w14:paraId="37195510" w14:textId="77777777" w:rsidR="005E4D08" w:rsidRPr="000F76FB" w:rsidRDefault="005E4D08" w:rsidP="00FC4B58">
            <w:pPr>
              <w:pStyle w:val="TableHeading1right"/>
              <w:rPr>
                <w:sz w:val="18"/>
                <w:szCs w:val="18"/>
              </w:rPr>
            </w:pPr>
            <w:r w:rsidRPr="000F76FB">
              <w:rPr>
                <w:sz w:val="18"/>
                <w:szCs w:val="18"/>
              </w:rPr>
              <w:t>(%)</w:t>
            </w:r>
          </w:p>
        </w:tc>
      </w:tr>
      <w:tr w:rsidR="005E4D08" w:rsidRPr="00732B12" w14:paraId="3E0E21BF" w14:textId="77777777" w:rsidTr="00FC4B58">
        <w:trPr>
          <w:cnfStyle w:val="000000010000" w:firstRow="0" w:lastRow="0" w:firstColumn="0" w:lastColumn="0" w:oddVBand="0" w:evenVBand="0" w:oddHBand="0" w:evenHBand="1" w:firstRowFirstColumn="0" w:firstRowLastColumn="0" w:lastRowFirstColumn="0" w:lastRowLastColumn="0"/>
          <w:trHeight w:val="278"/>
        </w:trPr>
        <w:tc>
          <w:tcPr>
            <w:tcW w:w="3651" w:type="dxa"/>
            <w:noWrap/>
            <w:hideMark/>
          </w:tcPr>
          <w:p w14:paraId="1601A915" w14:textId="77777777" w:rsidR="005E4D08" w:rsidRPr="000F76FB" w:rsidRDefault="005E4D08" w:rsidP="00FC4B58">
            <w:pPr>
              <w:pStyle w:val="TableBodyText"/>
              <w:rPr>
                <w:rFonts w:cs="Arial"/>
                <w:sz w:val="18"/>
                <w:szCs w:val="18"/>
              </w:rPr>
            </w:pPr>
            <w:r w:rsidRPr="000F76FB">
              <w:rPr>
                <w:rFonts w:cs="Arial"/>
                <w:sz w:val="18"/>
                <w:szCs w:val="18"/>
              </w:rPr>
              <w:t>Managers</w:t>
            </w:r>
          </w:p>
        </w:tc>
        <w:tc>
          <w:tcPr>
            <w:tcW w:w="965" w:type="dxa"/>
            <w:noWrap/>
            <w:hideMark/>
          </w:tcPr>
          <w:p w14:paraId="58C04A18"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840.9</w:t>
            </w:r>
          </w:p>
        </w:tc>
        <w:tc>
          <w:tcPr>
            <w:tcW w:w="965" w:type="dxa"/>
            <w:noWrap/>
            <w:hideMark/>
          </w:tcPr>
          <w:p w14:paraId="63E74EC9"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836.4</w:t>
            </w:r>
          </w:p>
        </w:tc>
        <w:tc>
          <w:tcPr>
            <w:tcW w:w="965" w:type="dxa"/>
            <w:noWrap/>
            <w:hideMark/>
          </w:tcPr>
          <w:p w14:paraId="3BC66D94" w14:textId="77777777" w:rsidR="005E4D08" w:rsidRPr="000F76FB" w:rsidRDefault="005E4D08" w:rsidP="00FC4B58">
            <w:pPr>
              <w:pStyle w:val="TableBodyTextright"/>
              <w:rPr>
                <w:rFonts w:cs="Arial"/>
                <w:sz w:val="18"/>
                <w:szCs w:val="18"/>
              </w:rPr>
            </w:pPr>
            <w:r w:rsidRPr="000F76FB">
              <w:rPr>
                <w:rFonts w:cs="Arial"/>
                <w:sz w:val="18"/>
                <w:szCs w:val="18"/>
              </w:rPr>
              <w:t>4.6</w:t>
            </w:r>
          </w:p>
        </w:tc>
        <w:tc>
          <w:tcPr>
            <w:tcW w:w="762" w:type="dxa"/>
            <w:noWrap/>
            <w:hideMark/>
          </w:tcPr>
          <w:p w14:paraId="4666AA92" w14:textId="77777777" w:rsidR="005E4D08" w:rsidRPr="000F76FB" w:rsidRDefault="005E4D08" w:rsidP="00FC4B58">
            <w:pPr>
              <w:pStyle w:val="TableBodyTextright"/>
              <w:rPr>
                <w:rFonts w:cs="Arial"/>
                <w:sz w:val="18"/>
                <w:szCs w:val="18"/>
              </w:rPr>
            </w:pPr>
            <w:r w:rsidRPr="000F76FB">
              <w:rPr>
                <w:rFonts w:cs="Arial"/>
                <w:sz w:val="18"/>
                <w:szCs w:val="18"/>
              </w:rPr>
              <w:t>0.2</w:t>
            </w:r>
          </w:p>
        </w:tc>
        <w:tc>
          <w:tcPr>
            <w:tcW w:w="965" w:type="dxa"/>
            <w:noWrap/>
            <w:hideMark/>
          </w:tcPr>
          <w:p w14:paraId="6BAA7AC7" w14:textId="77777777" w:rsidR="005E4D08" w:rsidRPr="000F76FB" w:rsidRDefault="005E4D08" w:rsidP="00FC4B58">
            <w:pPr>
              <w:pStyle w:val="TableBodyTextright"/>
              <w:rPr>
                <w:rFonts w:cs="Arial"/>
                <w:sz w:val="18"/>
                <w:szCs w:val="18"/>
              </w:rPr>
            </w:pPr>
            <w:r w:rsidRPr="000F76FB">
              <w:rPr>
                <w:rFonts w:cs="Arial"/>
                <w:sz w:val="18"/>
                <w:szCs w:val="18"/>
              </w:rPr>
              <w:t>277.8</w:t>
            </w:r>
          </w:p>
        </w:tc>
        <w:tc>
          <w:tcPr>
            <w:tcW w:w="754" w:type="dxa"/>
            <w:noWrap/>
            <w:hideMark/>
          </w:tcPr>
          <w:p w14:paraId="06351909" w14:textId="77777777" w:rsidR="005E4D08" w:rsidRPr="000F76FB" w:rsidRDefault="005E4D08" w:rsidP="00FC4B58">
            <w:pPr>
              <w:pStyle w:val="TableBodyTextright"/>
              <w:rPr>
                <w:rFonts w:cs="Arial"/>
                <w:sz w:val="18"/>
                <w:szCs w:val="18"/>
              </w:rPr>
            </w:pPr>
            <w:r w:rsidRPr="000F76FB">
              <w:rPr>
                <w:rFonts w:cs="Arial"/>
                <w:sz w:val="18"/>
                <w:szCs w:val="18"/>
              </w:rPr>
              <w:t>17.8</w:t>
            </w:r>
          </w:p>
        </w:tc>
      </w:tr>
      <w:tr w:rsidR="005E4D08" w:rsidRPr="00732B12" w14:paraId="1A5AF97B" w14:textId="77777777" w:rsidTr="00FC4B58">
        <w:trPr>
          <w:trHeight w:val="278"/>
        </w:trPr>
        <w:tc>
          <w:tcPr>
            <w:tcW w:w="3651" w:type="dxa"/>
            <w:noWrap/>
            <w:hideMark/>
          </w:tcPr>
          <w:p w14:paraId="3F316E0F" w14:textId="77777777" w:rsidR="005E4D08" w:rsidRPr="000F76FB" w:rsidRDefault="005E4D08" w:rsidP="00FC4B58">
            <w:pPr>
              <w:pStyle w:val="TableBodyText"/>
              <w:rPr>
                <w:rFonts w:cs="Arial"/>
                <w:sz w:val="18"/>
                <w:szCs w:val="18"/>
              </w:rPr>
            </w:pPr>
            <w:r w:rsidRPr="000F76FB">
              <w:rPr>
                <w:rFonts w:cs="Arial"/>
                <w:sz w:val="18"/>
                <w:szCs w:val="18"/>
              </w:rPr>
              <w:t>Professionals</w:t>
            </w:r>
          </w:p>
        </w:tc>
        <w:tc>
          <w:tcPr>
            <w:tcW w:w="965" w:type="dxa"/>
            <w:noWrap/>
            <w:hideMark/>
          </w:tcPr>
          <w:p w14:paraId="66580ED6" w14:textId="77777777" w:rsidR="005E4D08" w:rsidRPr="000F76FB" w:rsidRDefault="005E4D08" w:rsidP="00FC4B58">
            <w:pPr>
              <w:pStyle w:val="TableBodyTextright"/>
              <w:rPr>
                <w:rFonts w:cs="Arial"/>
                <w:sz w:val="18"/>
                <w:szCs w:val="18"/>
              </w:rPr>
            </w:pPr>
            <w:r w:rsidRPr="000F76FB">
              <w:rPr>
                <w:rFonts w:cs="Arial"/>
                <w:sz w:val="18"/>
                <w:szCs w:val="18"/>
              </w:rPr>
              <w:t>3</w:t>
            </w:r>
            <w:r>
              <w:rPr>
                <w:rFonts w:cs="Arial"/>
                <w:sz w:val="18"/>
                <w:szCs w:val="18"/>
              </w:rPr>
              <w:t>,</w:t>
            </w:r>
            <w:r w:rsidRPr="000F76FB">
              <w:rPr>
                <w:rFonts w:cs="Arial"/>
                <w:sz w:val="18"/>
                <w:szCs w:val="18"/>
              </w:rPr>
              <w:t>860.0</w:t>
            </w:r>
          </w:p>
        </w:tc>
        <w:tc>
          <w:tcPr>
            <w:tcW w:w="965" w:type="dxa"/>
            <w:noWrap/>
            <w:hideMark/>
          </w:tcPr>
          <w:p w14:paraId="5B3E1C54" w14:textId="77777777" w:rsidR="005E4D08" w:rsidRPr="000F76FB" w:rsidRDefault="005E4D08" w:rsidP="00FC4B58">
            <w:pPr>
              <w:pStyle w:val="TableBodyTextright"/>
              <w:rPr>
                <w:rFonts w:cs="Arial"/>
                <w:sz w:val="18"/>
                <w:szCs w:val="18"/>
              </w:rPr>
            </w:pPr>
            <w:r w:rsidRPr="000F76FB">
              <w:rPr>
                <w:rFonts w:cs="Arial"/>
                <w:sz w:val="18"/>
                <w:szCs w:val="18"/>
              </w:rPr>
              <w:t>3</w:t>
            </w:r>
            <w:r>
              <w:rPr>
                <w:rFonts w:cs="Arial"/>
                <w:sz w:val="18"/>
                <w:szCs w:val="18"/>
              </w:rPr>
              <w:t>,</w:t>
            </w:r>
            <w:r w:rsidRPr="000F76FB">
              <w:rPr>
                <w:rFonts w:cs="Arial"/>
                <w:sz w:val="18"/>
                <w:szCs w:val="18"/>
              </w:rPr>
              <w:t>759.4</w:t>
            </w:r>
          </w:p>
        </w:tc>
        <w:tc>
          <w:tcPr>
            <w:tcW w:w="965" w:type="dxa"/>
            <w:noWrap/>
            <w:hideMark/>
          </w:tcPr>
          <w:p w14:paraId="78D1B4A1" w14:textId="77777777" w:rsidR="005E4D08" w:rsidRPr="000F76FB" w:rsidRDefault="005E4D08" w:rsidP="00FC4B58">
            <w:pPr>
              <w:pStyle w:val="TableBodyTextright"/>
              <w:rPr>
                <w:rFonts w:cs="Arial"/>
                <w:sz w:val="18"/>
                <w:szCs w:val="18"/>
              </w:rPr>
            </w:pPr>
            <w:r w:rsidRPr="000F76FB">
              <w:rPr>
                <w:rFonts w:cs="Arial"/>
                <w:sz w:val="18"/>
                <w:szCs w:val="18"/>
              </w:rPr>
              <w:t>100.6</w:t>
            </w:r>
          </w:p>
        </w:tc>
        <w:tc>
          <w:tcPr>
            <w:tcW w:w="762" w:type="dxa"/>
            <w:noWrap/>
            <w:hideMark/>
          </w:tcPr>
          <w:p w14:paraId="200B76D5" w14:textId="77777777" w:rsidR="005E4D08" w:rsidRPr="000F76FB" w:rsidRDefault="005E4D08" w:rsidP="00FC4B58">
            <w:pPr>
              <w:pStyle w:val="TableBodyTextright"/>
              <w:rPr>
                <w:rFonts w:cs="Arial"/>
                <w:sz w:val="18"/>
                <w:szCs w:val="18"/>
              </w:rPr>
            </w:pPr>
            <w:r w:rsidRPr="000F76FB">
              <w:rPr>
                <w:rFonts w:cs="Arial"/>
                <w:sz w:val="18"/>
                <w:szCs w:val="18"/>
              </w:rPr>
              <w:t>2.7</w:t>
            </w:r>
          </w:p>
        </w:tc>
        <w:tc>
          <w:tcPr>
            <w:tcW w:w="965" w:type="dxa"/>
            <w:noWrap/>
            <w:hideMark/>
          </w:tcPr>
          <w:p w14:paraId="72DA840C" w14:textId="77777777" w:rsidR="005E4D08" w:rsidRPr="000F76FB" w:rsidRDefault="005E4D08" w:rsidP="00FC4B58">
            <w:pPr>
              <w:pStyle w:val="TableBodyTextright"/>
              <w:rPr>
                <w:rFonts w:cs="Arial"/>
                <w:sz w:val="18"/>
                <w:szCs w:val="18"/>
              </w:rPr>
            </w:pPr>
            <w:r w:rsidRPr="000F76FB">
              <w:rPr>
                <w:rFonts w:cs="Arial"/>
                <w:sz w:val="18"/>
                <w:szCs w:val="18"/>
              </w:rPr>
              <w:t>683.2</w:t>
            </w:r>
          </w:p>
        </w:tc>
        <w:tc>
          <w:tcPr>
            <w:tcW w:w="754" w:type="dxa"/>
            <w:noWrap/>
            <w:hideMark/>
          </w:tcPr>
          <w:p w14:paraId="4408A2D1" w14:textId="77777777" w:rsidR="005E4D08" w:rsidRPr="000F76FB" w:rsidRDefault="005E4D08" w:rsidP="00FC4B58">
            <w:pPr>
              <w:pStyle w:val="TableBodyTextright"/>
              <w:rPr>
                <w:rFonts w:cs="Arial"/>
                <w:sz w:val="18"/>
                <w:szCs w:val="18"/>
              </w:rPr>
            </w:pPr>
            <w:r w:rsidRPr="000F76FB">
              <w:rPr>
                <w:rFonts w:cs="Arial"/>
                <w:sz w:val="18"/>
                <w:szCs w:val="18"/>
              </w:rPr>
              <w:t>21.5</w:t>
            </w:r>
          </w:p>
        </w:tc>
      </w:tr>
      <w:tr w:rsidR="005E4D08" w:rsidRPr="00732B12" w14:paraId="4C5461A0" w14:textId="77777777" w:rsidTr="00FC4B58">
        <w:trPr>
          <w:cnfStyle w:val="000000010000" w:firstRow="0" w:lastRow="0" w:firstColumn="0" w:lastColumn="0" w:oddVBand="0" w:evenVBand="0" w:oddHBand="0" w:evenHBand="1" w:firstRowFirstColumn="0" w:firstRowLastColumn="0" w:lastRowFirstColumn="0" w:lastRowLastColumn="0"/>
          <w:trHeight w:val="278"/>
        </w:trPr>
        <w:tc>
          <w:tcPr>
            <w:tcW w:w="3651" w:type="dxa"/>
            <w:noWrap/>
            <w:hideMark/>
          </w:tcPr>
          <w:p w14:paraId="2F219716" w14:textId="77777777" w:rsidR="005E4D08" w:rsidRPr="000F76FB" w:rsidRDefault="005E4D08" w:rsidP="00FC4B58">
            <w:pPr>
              <w:pStyle w:val="TableBodyText"/>
              <w:rPr>
                <w:rFonts w:cs="Arial"/>
                <w:sz w:val="18"/>
                <w:szCs w:val="18"/>
              </w:rPr>
            </w:pPr>
            <w:r w:rsidRPr="000F76FB">
              <w:rPr>
                <w:rFonts w:cs="Arial"/>
                <w:sz w:val="18"/>
                <w:szCs w:val="18"/>
              </w:rPr>
              <w:t>Technicians and Trades Workers</w:t>
            </w:r>
          </w:p>
        </w:tc>
        <w:tc>
          <w:tcPr>
            <w:tcW w:w="965" w:type="dxa"/>
            <w:noWrap/>
            <w:hideMark/>
          </w:tcPr>
          <w:p w14:paraId="36ADF1B2"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984.3</w:t>
            </w:r>
          </w:p>
        </w:tc>
        <w:tc>
          <w:tcPr>
            <w:tcW w:w="965" w:type="dxa"/>
            <w:noWrap/>
            <w:hideMark/>
          </w:tcPr>
          <w:p w14:paraId="4A1E172D"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934.8</w:t>
            </w:r>
          </w:p>
        </w:tc>
        <w:tc>
          <w:tcPr>
            <w:tcW w:w="965" w:type="dxa"/>
            <w:noWrap/>
            <w:hideMark/>
          </w:tcPr>
          <w:p w14:paraId="7F6BE732" w14:textId="77777777" w:rsidR="005E4D08" w:rsidRPr="000F76FB" w:rsidRDefault="005E4D08" w:rsidP="00FC4B58">
            <w:pPr>
              <w:pStyle w:val="TableBodyTextright"/>
              <w:rPr>
                <w:rFonts w:cs="Arial"/>
                <w:sz w:val="18"/>
                <w:szCs w:val="18"/>
              </w:rPr>
            </w:pPr>
            <w:r w:rsidRPr="000F76FB">
              <w:rPr>
                <w:rFonts w:cs="Arial"/>
                <w:sz w:val="18"/>
                <w:szCs w:val="18"/>
              </w:rPr>
              <w:t>49.4</w:t>
            </w:r>
          </w:p>
        </w:tc>
        <w:tc>
          <w:tcPr>
            <w:tcW w:w="762" w:type="dxa"/>
            <w:noWrap/>
            <w:hideMark/>
          </w:tcPr>
          <w:p w14:paraId="69915ECD" w14:textId="77777777" w:rsidR="005E4D08" w:rsidRPr="000F76FB" w:rsidRDefault="005E4D08" w:rsidP="00FC4B58">
            <w:pPr>
              <w:pStyle w:val="TableBodyTextright"/>
              <w:rPr>
                <w:rFonts w:cs="Arial"/>
                <w:sz w:val="18"/>
                <w:szCs w:val="18"/>
              </w:rPr>
            </w:pPr>
            <w:r w:rsidRPr="000F76FB">
              <w:rPr>
                <w:rFonts w:cs="Arial"/>
                <w:sz w:val="18"/>
                <w:szCs w:val="18"/>
              </w:rPr>
              <w:t>2.6</w:t>
            </w:r>
          </w:p>
        </w:tc>
        <w:tc>
          <w:tcPr>
            <w:tcW w:w="965" w:type="dxa"/>
            <w:noWrap/>
            <w:hideMark/>
          </w:tcPr>
          <w:p w14:paraId="08EEBF35" w14:textId="77777777" w:rsidR="005E4D08" w:rsidRPr="000F76FB" w:rsidRDefault="005E4D08" w:rsidP="00FC4B58">
            <w:pPr>
              <w:pStyle w:val="TableBodyTextright"/>
              <w:rPr>
                <w:rFonts w:cs="Arial"/>
                <w:sz w:val="18"/>
                <w:szCs w:val="18"/>
              </w:rPr>
            </w:pPr>
            <w:r w:rsidRPr="000F76FB">
              <w:rPr>
                <w:rFonts w:cs="Arial"/>
                <w:sz w:val="18"/>
                <w:szCs w:val="18"/>
              </w:rPr>
              <w:t>181.8</w:t>
            </w:r>
          </w:p>
        </w:tc>
        <w:tc>
          <w:tcPr>
            <w:tcW w:w="754" w:type="dxa"/>
            <w:noWrap/>
            <w:hideMark/>
          </w:tcPr>
          <w:p w14:paraId="4A2A1AD6" w14:textId="77777777" w:rsidR="005E4D08" w:rsidRPr="000F76FB" w:rsidRDefault="005E4D08" w:rsidP="00FC4B58">
            <w:pPr>
              <w:pStyle w:val="TableBodyTextright"/>
              <w:rPr>
                <w:rFonts w:cs="Arial"/>
                <w:sz w:val="18"/>
                <w:szCs w:val="18"/>
              </w:rPr>
            </w:pPr>
            <w:r w:rsidRPr="000F76FB">
              <w:rPr>
                <w:rFonts w:cs="Arial"/>
                <w:sz w:val="18"/>
                <w:szCs w:val="18"/>
              </w:rPr>
              <w:t>10.1</w:t>
            </w:r>
          </w:p>
        </w:tc>
      </w:tr>
      <w:tr w:rsidR="005E4D08" w:rsidRPr="00732B12" w14:paraId="5574D05D" w14:textId="77777777" w:rsidTr="00FC4B58">
        <w:trPr>
          <w:trHeight w:val="278"/>
        </w:trPr>
        <w:tc>
          <w:tcPr>
            <w:tcW w:w="3651" w:type="dxa"/>
            <w:noWrap/>
            <w:hideMark/>
          </w:tcPr>
          <w:p w14:paraId="5C3227D1" w14:textId="77777777" w:rsidR="005E4D08" w:rsidRPr="000F76FB" w:rsidRDefault="005E4D08" w:rsidP="00FC4B58">
            <w:pPr>
              <w:pStyle w:val="TableBodyText"/>
              <w:rPr>
                <w:rFonts w:cs="Arial"/>
                <w:sz w:val="18"/>
                <w:szCs w:val="18"/>
              </w:rPr>
            </w:pPr>
            <w:r w:rsidRPr="000F76FB">
              <w:rPr>
                <w:rFonts w:cs="Arial"/>
                <w:sz w:val="18"/>
                <w:szCs w:val="18"/>
              </w:rPr>
              <w:t>Community and Personal Service Workers</w:t>
            </w:r>
          </w:p>
        </w:tc>
        <w:tc>
          <w:tcPr>
            <w:tcW w:w="965" w:type="dxa"/>
            <w:noWrap/>
            <w:hideMark/>
          </w:tcPr>
          <w:p w14:paraId="0B2E5DF6"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704.4</w:t>
            </w:r>
          </w:p>
        </w:tc>
        <w:tc>
          <w:tcPr>
            <w:tcW w:w="965" w:type="dxa"/>
            <w:noWrap/>
            <w:hideMark/>
          </w:tcPr>
          <w:p w14:paraId="0CD76277"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632.7</w:t>
            </w:r>
          </w:p>
        </w:tc>
        <w:tc>
          <w:tcPr>
            <w:tcW w:w="965" w:type="dxa"/>
            <w:noWrap/>
            <w:hideMark/>
          </w:tcPr>
          <w:p w14:paraId="3DE91645" w14:textId="77777777" w:rsidR="005E4D08" w:rsidRPr="000F76FB" w:rsidRDefault="005E4D08" w:rsidP="00FC4B58">
            <w:pPr>
              <w:pStyle w:val="TableBodyTextright"/>
              <w:rPr>
                <w:rFonts w:cs="Arial"/>
                <w:sz w:val="18"/>
                <w:szCs w:val="18"/>
              </w:rPr>
            </w:pPr>
            <w:r w:rsidRPr="000F76FB">
              <w:rPr>
                <w:rFonts w:cs="Arial"/>
                <w:sz w:val="18"/>
                <w:szCs w:val="18"/>
              </w:rPr>
              <w:t>71.7</w:t>
            </w:r>
          </w:p>
        </w:tc>
        <w:tc>
          <w:tcPr>
            <w:tcW w:w="762" w:type="dxa"/>
            <w:noWrap/>
            <w:hideMark/>
          </w:tcPr>
          <w:p w14:paraId="320820E5" w14:textId="77777777" w:rsidR="005E4D08" w:rsidRPr="000F76FB" w:rsidRDefault="005E4D08" w:rsidP="00FC4B58">
            <w:pPr>
              <w:pStyle w:val="TableBodyTextright"/>
              <w:rPr>
                <w:rFonts w:cs="Arial"/>
                <w:sz w:val="18"/>
                <w:szCs w:val="18"/>
              </w:rPr>
            </w:pPr>
            <w:r w:rsidRPr="000F76FB">
              <w:rPr>
                <w:rFonts w:cs="Arial"/>
                <w:sz w:val="18"/>
                <w:szCs w:val="18"/>
              </w:rPr>
              <w:t>4.4</w:t>
            </w:r>
          </w:p>
        </w:tc>
        <w:tc>
          <w:tcPr>
            <w:tcW w:w="965" w:type="dxa"/>
            <w:noWrap/>
            <w:hideMark/>
          </w:tcPr>
          <w:p w14:paraId="7CE2C422" w14:textId="77777777" w:rsidR="005E4D08" w:rsidRPr="000F76FB" w:rsidRDefault="005E4D08" w:rsidP="00FC4B58">
            <w:pPr>
              <w:pStyle w:val="TableBodyTextright"/>
              <w:rPr>
                <w:rFonts w:cs="Arial"/>
                <w:sz w:val="18"/>
                <w:szCs w:val="18"/>
              </w:rPr>
            </w:pPr>
            <w:r w:rsidRPr="000F76FB">
              <w:rPr>
                <w:rFonts w:cs="Arial"/>
                <w:sz w:val="18"/>
                <w:szCs w:val="18"/>
              </w:rPr>
              <w:t>301.7</w:t>
            </w:r>
          </w:p>
        </w:tc>
        <w:tc>
          <w:tcPr>
            <w:tcW w:w="754" w:type="dxa"/>
            <w:noWrap/>
            <w:hideMark/>
          </w:tcPr>
          <w:p w14:paraId="228B4F7A" w14:textId="77777777" w:rsidR="005E4D08" w:rsidRPr="000F76FB" w:rsidRDefault="005E4D08" w:rsidP="00FC4B58">
            <w:pPr>
              <w:pStyle w:val="TableBodyTextright"/>
              <w:rPr>
                <w:rFonts w:cs="Arial"/>
                <w:sz w:val="18"/>
                <w:szCs w:val="18"/>
              </w:rPr>
            </w:pPr>
            <w:r w:rsidRPr="000F76FB">
              <w:rPr>
                <w:rFonts w:cs="Arial"/>
                <w:sz w:val="18"/>
                <w:szCs w:val="18"/>
              </w:rPr>
              <w:t>21.5</w:t>
            </w:r>
          </w:p>
        </w:tc>
      </w:tr>
      <w:tr w:rsidR="005E4D08" w:rsidRPr="00732B12" w14:paraId="0A6E126D" w14:textId="77777777" w:rsidTr="00FC4B58">
        <w:trPr>
          <w:cnfStyle w:val="000000010000" w:firstRow="0" w:lastRow="0" w:firstColumn="0" w:lastColumn="0" w:oddVBand="0" w:evenVBand="0" w:oddHBand="0" w:evenHBand="1" w:firstRowFirstColumn="0" w:firstRowLastColumn="0" w:lastRowFirstColumn="0" w:lastRowLastColumn="0"/>
          <w:trHeight w:val="278"/>
        </w:trPr>
        <w:tc>
          <w:tcPr>
            <w:tcW w:w="3651" w:type="dxa"/>
            <w:noWrap/>
            <w:hideMark/>
          </w:tcPr>
          <w:p w14:paraId="7D6A5FD7" w14:textId="77777777" w:rsidR="005E4D08" w:rsidRPr="000F76FB" w:rsidRDefault="005E4D08" w:rsidP="00FC4B58">
            <w:pPr>
              <w:pStyle w:val="TableBodyText"/>
              <w:rPr>
                <w:rFonts w:cs="Arial"/>
                <w:sz w:val="18"/>
                <w:szCs w:val="18"/>
              </w:rPr>
            </w:pPr>
            <w:r w:rsidRPr="000F76FB">
              <w:rPr>
                <w:rFonts w:cs="Arial"/>
                <w:sz w:val="18"/>
                <w:szCs w:val="18"/>
              </w:rPr>
              <w:t>Clerical and Administrative Workers</w:t>
            </w:r>
          </w:p>
        </w:tc>
        <w:tc>
          <w:tcPr>
            <w:tcW w:w="965" w:type="dxa"/>
            <w:noWrap/>
            <w:hideMark/>
          </w:tcPr>
          <w:p w14:paraId="74EBB60F"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858.2</w:t>
            </w:r>
          </w:p>
        </w:tc>
        <w:tc>
          <w:tcPr>
            <w:tcW w:w="965" w:type="dxa"/>
            <w:noWrap/>
            <w:hideMark/>
          </w:tcPr>
          <w:p w14:paraId="11B46081"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864.8</w:t>
            </w:r>
          </w:p>
        </w:tc>
        <w:tc>
          <w:tcPr>
            <w:tcW w:w="965" w:type="dxa"/>
            <w:noWrap/>
            <w:hideMark/>
          </w:tcPr>
          <w:p w14:paraId="4FE6DC80" w14:textId="77777777" w:rsidR="005E4D08" w:rsidRPr="000F76FB" w:rsidRDefault="005E4D08" w:rsidP="00FC4B58">
            <w:pPr>
              <w:pStyle w:val="TableBodyTextright"/>
              <w:rPr>
                <w:rFonts w:cs="Arial"/>
                <w:sz w:val="18"/>
                <w:szCs w:val="18"/>
              </w:rPr>
            </w:pPr>
            <w:r w:rsidRPr="000F76FB">
              <w:rPr>
                <w:rFonts w:cs="Arial"/>
                <w:sz w:val="18"/>
                <w:szCs w:val="18"/>
              </w:rPr>
              <w:t>-6.6</w:t>
            </w:r>
          </w:p>
        </w:tc>
        <w:tc>
          <w:tcPr>
            <w:tcW w:w="762" w:type="dxa"/>
            <w:noWrap/>
            <w:hideMark/>
          </w:tcPr>
          <w:p w14:paraId="66A5F7B5" w14:textId="77777777" w:rsidR="005E4D08" w:rsidRPr="000F76FB" w:rsidRDefault="005E4D08" w:rsidP="00FC4B58">
            <w:pPr>
              <w:pStyle w:val="TableBodyTextright"/>
              <w:rPr>
                <w:rFonts w:cs="Arial"/>
                <w:sz w:val="18"/>
                <w:szCs w:val="18"/>
              </w:rPr>
            </w:pPr>
            <w:r w:rsidRPr="000F76FB">
              <w:rPr>
                <w:rFonts w:cs="Arial"/>
                <w:sz w:val="18"/>
                <w:szCs w:val="18"/>
              </w:rPr>
              <w:t>-0.4</w:t>
            </w:r>
          </w:p>
        </w:tc>
        <w:tc>
          <w:tcPr>
            <w:tcW w:w="965" w:type="dxa"/>
            <w:noWrap/>
            <w:hideMark/>
          </w:tcPr>
          <w:p w14:paraId="081CD976" w14:textId="77777777" w:rsidR="005E4D08" w:rsidRPr="000F76FB" w:rsidRDefault="005E4D08" w:rsidP="00FC4B58">
            <w:pPr>
              <w:pStyle w:val="TableBodyTextright"/>
              <w:rPr>
                <w:rFonts w:cs="Arial"/>
                <w:sz w:val="18"/>
                <w:szCs w:val="18"/>
              </w:rPr>
            </w:pPr>
            <w:r w:rsidRPr="000F76FB">
              <w:rPr>
                <w:rFonts w:cs="Arial"/>
                <w:sz w:val="18"/>
                <w:szCs w:val="18"/>
              </w:rPr>
              <w:t>100.8</w:t>
            </w:r>
          </w:p>
        </w:tc>
        <w:tc>
          <w:tcPr>
            <w:tcW w:w="754" w:type="dxa"/>
            <w:noWrap/>
            <w:hideMark/>
          </w:tcPr>
          <w:p w14:paraId="55CF3D43" w14:textId="77777777" w:rsidR="005E4D08" w:rsidRPr="000F76FB" w:rsidRDefault="005E4D08" w:rsidP="00FC4B58">
            <w:pPr>
              <w:pStyle w:val="TableBodyTextright"/>
              <w:rPr>
                <w:rFonts w:cs="Arial"/>
                <w:sz w:val="18"/>
                <w:szCs w:val="18"/>
              </w:rPr>
            </w:pPr>
            <w:r w:rsidRPr="000F76FB">
              <w:rPr>
                <w:rFonts w:cs="Arial"/>
                <w:sz w:val="18"/>
                <w:szCs w:val="18"/>
              </w:rPr>
              <w:t>5.7</w:t>
            </w:r>
          </w:p>
        </w:tc>
      </w:tr>
      <w:tr w:rsidR="005E4D08" w:rsidRPr="00732B12" w14:paraId="2C110468" w14:textId="77777777" w:rsidTr="00FC4B58">
        <w:trPr>
          <w:trHeight w:val="278"/>
        </w:trPr>
        <w:tc>
          <w:tcPr>
            <w:tcW w:w="3651" w:type="dxa"/>
            <w:noWrap/>
            <w:hideMark/>
          </w:tcPr>
          <w:p w14:paraId="3BC5A655" w14:textId="77777777" w:rsidR="005E4D08" w:rsidRPr="000F76FB" w:rsidRDefault="005E4D08" w:rsidP="00FC4B58">
            <w:pPr>
              <w:pStyle w:val="TableBodyText"/>
              <w:rPr>
                <w:rFonts w:cs="Arial"/>
                <w:sz w:val="18"/>
                <w:szCs w:val="18"/>
              </w:rPr>
            </w:pPr>
            <w:r w:rsidRPr="000F76FB">
              <w:rPr>
                <w:rFonts w:cs="Arial"/>
                <w:sz w:val="18"/>
                <w:szCs w:val="18"/>
              </w:rPr>
              <w:t>Sales Workers</w:t>
            </w:r>
          </w:p>
        </w:tc>
        <w:tc>
          <w:tcPr>
            <w:tcW w:w="965" w:type="dxa"/>
            <w:noWrap/>
            <w:hideMark/>
          </w:tcPr>
          <w:p w14:paraId="288AD057"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143.3</w:t>
            </w:r>
          </w:p>
        </w:tc>
        <w:tc>
          <w:tcPr>
            <w:tcW w:w="965" w:type="dxa"/>
            <w:noWrap/>
            <w:hideMark/>
          </w:tcPr>
          <w:p w14:paraId="70675BB1"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117.7</w:t>
            </w:r>
          </w:p>
        </w:tc>
        <w:tc>
          <w:tcPr>
            <w:tcW w:w="965" w:type="dxa"/>
            <w:noWrap/>
            <w:hideMark/>
          </w:tcPr>
          <w:p w14:paraId="48357715" w14:textId="77777777" w:rsidR="005E4D08" w:rsidRPr="000F76FB" w:rsidRDefault="005E4D08" w:rsidP="00FC4B58">
            <w:pPr>
              <w:pStyle w:val="TableBodyTextright"/>
              <w:rPr>
                <w:rFonts w:cs="Arial"/>
                <w:sz w:val="18"/>
                <w:szCs w:val="18"/>
              </w:rPr>
            </w:pPr>
            <w:r w:rsidRPr="000F76FB">
              <w:rPr>
                <w:rFonts w:cs="Arial"/>
                <w:sz w:val="18"/>
                <w:szCs w:val="18"/>
              </w:rPr>
              <w:t>25.6</w:t>
            </w:r>
          </w:p>
        </w:tc>
        <w:tc>
          <w:tcPr>
            <w:tcW w:w="762" w:type="dxa"/>
            <w:noWrap/>
            <w:hideMark/>
          </w:tcPr>
          <w:p w14:paraId="46263C1E" w14:textId="77777777" w:rsidR="005E4D08" w:rsidRPr="000F76FB" w:rsidRDefault="005E4D08" w:rsidP="00FC4B58">
            <w:pPr>
              <w:pStyle w:val="TableBodyTextright"/>
              <w:rPr>
                <w:rFonts w:cs="Arial"/>
                <w:sz w:val="18"/>
                <w:szCs w:val="18"/>
              </w:rPr>
            </w:pPr>
            <w:r w:rsidRPr="000F76FB">
              <w:rPr>
                <w:rFonts w:cs="Arial"/>
                <w:sz w:val="18"/>
                <w:szCs w:val="18"/>
              </w:rPr>
              <w:t>2.3</w:t>
            </w:r>
          </w:p>
        </w:tc>
        <w:tc>
          <w:tcPr>
            <w:tcW w:w="965" w:type="dxa"/>
            <w:noWrap/>
            <w:hideMark/>
          </w:tcPr>
          <w:p w14:paraId="43DD1C6C" w14:textId="77777777" w:rsidR="005E4D08" w:rsidRPr="000F76FB" w:rsidRDefault="005E4D08" w:rsidP="00FC4B58">
            <w:pPr>
              <w:pStyle w:val="TableBodyTextright"/>
              <w:rPr>
                <w:rFonts w:cs="Arial"/>
                <w:sz w:val="18"/>
                <w:szCs w:val="18"/>
              </w:rPr>
            </w:pPr>
            <w:r w:rsidRPr="000F76FB">
              <w:rPr>
                <w:rFonts w:cs="Arial"/>
                <w:sz w:val="18"/>
                <w:szCs w:val="18"/>
              </w:rPr>
              <w:t>42.9</w:t>
            </w:r>
          </w:p>
        </w:tc>
        <w:tc>
          <w:tcPr>
            <w:tcW w:w="754" w:type="dxa"/>
            <w:noWrap/>
            <w:hideMark/>
          </w:tcPr>
          <w:p w14:paraId="149826B1" w14:textId="77777777" w:rsidR="005E4D08" w:rsidRPr="000F76FB" w:rsidRDefault="005E4D08" w:rsidP="00FC4B58">
            <w:pPr>
              <w:pStyle w:val="TableBodyTextright"/>
              <w:rPr>
                <w:rFonts w:cs="Arial"/>
                <w:sz w:val="18"/>
                <w:szCs w:val="18"/>
              </w:rPr>
            </w:pPr>
            <w:r w:rsidRPr="000F76FB">
              <w:rPr>
                <w:rFonts w:cs="Arial"/>
                <w:sz w:val="18"/>
                <w:szCs w:val="18"/>
              </w:rPr>
              <w:t>3.9</w:t>
            </w:r>
          </w:p>
        </w:tc>
      </w:tr>
      <w:tr w:rsidR="005E4D08" w:rsidRPr="00732B12" w14:paraId="082B2BAE" w14:textId="77777777" w:rsidTr="00FC4B58">
        <w:trPr>
          <w:cnfStyle w:val="000000010000" w:firstRow="0" w:lastRow="0" w:firstColumn="0" w:lastColumn="0" w:oddVBand="0" w:evenVBand="0" w:oddHBand="0" w:evenHBand="1" w:firstRowFirstColumn="0" w:firstRowLastColumn="0" w:lastRowFirstColumn="0" w:lastRowLastColumn="0"/>
          <w:trHeight w:val="278"/>
        </w:trPr>
        <w:tc>
          <w:tcPr>
            <w:tcW w:w="3651" w:type="dxa"/>
            <w:noWrap/>
            <w:hideMark/>
          </w:tcPr>
          <w:p w14:paraId="23E2D4C9" w14:textId="77777777" w:rsidR="005E4D08" w:rsidRPr="000F76FB" w:rsidRDefault="005E4D08" w:rsidP="00FC4B58">
            <w:pPr>
              <w:pStyle w:val="TableBodyText"/>
              <w:rPr>
                <w:rFonts w:cs="Arial"/>
                <w:sz w:val="18"/>
                <w:szCs w:val="18"/>
              </w:rPr>
            </w:pPr>
            <w:r w:rsidRPr="000F76FB">
              <w:rPr>
                <w:rFonts w:cs="Arial"/>
                <w:sz w:val="18"/>
                <w:szCs w:val="18"/>
              </w:rPr>
              <w:t>Machinery Operators and Drivers</w:t>
            </w:r>
          </w:p>
        </w:tc>
        <w:tc>
          <w:tcPr>
            <w:tcW w:w="965" w:type="dxa"/>
            <w:noWrap/>
            <w:hideMark/>
          </w:tcPr>
          <w:p w14:paraId="5009F60A" w14:textId="77777777" w:rsidR="005E4D08" w:rsidRPr="000F76FB" w:rsidRDefault="005E4D08" w:rsidP="00FC4B58">
            <w:pPr>
              <w:pStyle w:val="TableBodyTextright"/>
              <w:rPr>
                <w:rFonts w:cs="Arial"/>
                <w:sz w:val="18"/>
                <w:szCs w:val="18"/>
              </w:rPr>
            </w:pPr>
            <w:r w:rsidRPr="000F76FB">
              <w:rPr>
                <w:rFonts w:cs="Arial"/>
                <w:sz w:val="18"/>
                <w:szCs w:val="18"/>
              </w:rPr>
              <w:t>903.7</w:t>
            </w:r>
          </w:p>
        </w:tc>
        <w:tc>
          <w:tcPr>
            <w:tcW w:w="965" w:type="dxa"/>
            <w:noWrap/>
            <w:hideMark/>
          </w:tcPr>
          <w:p w14:paraId="2930C15D" w14:textId="77777777" w:rsidR="005E4D08" w:rsidRPr="000F76FB" w:rsidRDefault="005E4D08" w:rsidP="00FC4B58">
            <w:pPr>
              <w:pStyle w:val="TableBodyTextright"/>
              <w:rPr>
                <w:rFonts w:cs="Arial"/>
                <w:sz w:val="18"/>
                <w:szCs w:val="18"/>
              </w:rPr>
            </w:pPr>
            <w:r w:rsidRPr="000F76FB">
              <w:rPr>
                <w:rFonts w:cs="Arial"/>
                <w:sz w:val="18"/>
                <w:szCs w:val="18"/>
              </w:rPr>
              <w:t>908.5</w:t>
            </w:r>
          </w:p>
        </w:tc>
        <w:tc>
          <w:tcPr>
            <w:tcW w:w="965" w:type="dxa"/>
            <w:noWrap/>
            <w:hideMark/>
          </w:tcPr>
          <w:p w14:paraId="4E76DD8F" w14:textId="77777777" w:rsidR="005E4D08" w:rsidRPr="000F76FB" w:rsidRDefault="005E4D08" w:rsidP="00FC4B58">
            <w:pPr>
              <w:pStyle w:val="TableBodyTextright"/>
              <w:rPr>
                <w:rFonts w:cs="Arial"/>
                <w:sz w:val="18"/>
                <w:szCs w:val="18"/>
              </w:rPr>
            </w:pPr>
            <w:r w:rsidRPr="000F76FB">
              <w:rPr>
                <w:rFonts w:cs="Arial"/>
                <w:sz w:val="18"/>
                <w:szCs w:val="18"/>
              </w:rPr>
              <w:t>-4.8</w:t>
            </w:r>
          </w:p>
        </w:tc>
        <w:tc>
          <w:tcPr>
            <w:tcW w:w="762" w:type="dxa"/>
            <w:noWrap/>
            <w:hideMark/>
          </w:tcPr>
          <w:p w14:paraId="411E8972" w14:textId="77777777" w:rsidR="005E4D08" w:rsidRPr="000F76FB" w:rsidRDefault="005E4D08" w:rsidP="00FC4B58">
            <w:pPr>
              <w:pStyle w:val="TableBodyTextright"/>
              <w:rPr>
                <w:rFonts w:cs="Arial"/>
                <w:sz w:val="18"/>
                <w:szCs w:val="18"/>
              </w:rPr>
            </w:pPr>
            <w:r w:rsidRPr="000F76FB">
              <w:rPr>
                <w:rFonts w:cs="Arial"/>
                <w:sz w:val="18"/>
                <w:szCs w:val="18"/>
              </w:rPr>
              <w:t>-0.5</w:t>
            </w:r>
          </w:p>
        </w:tc>
        <w:tc>
          <w:tcPr>
            <w:tcW w:w="965" w:type="dxa"/>
            <w:noWrap/>
            <w:hideMark/>
          </w:tcPr>
          <w:p w14:paraId="4B8BB3BA" w14:textId="77777777" w:rsidR="005E4D08" w:rsidRPr="000F76FB" w:rsidRDefault="005E4D08" w:rsidP="00FC4B58">
            <w:pPr>
              <w:pStyle w:val="TableBodyTextright"/>
              <w:rPr>
                <w:rFonts w:cs="Arial"/>
                <w:sz w:val="18"/>
                <w:szCs w:val="18"/>
              </w:rPr>
            </w:pPr>
            <w:r w:rsidRPr="000F76FB">
              <w:rPr>
                <w:rFonts w:cs="Arial"/>
                <w:sz w:val="18"/>
                <w:szCs w:val="18"/>
              </w:rPr>
              <w:t>65.2</w:t>
            </w:r>
          </w:p>
        </w:tc>
        <w:tc>
          <w:tcPr>
            <w:tcW w:w="754" w:type="dxa"/>
            <w:noWrap/>
            <w:hideMark/>
          </w:tcPr>
          <w:p w14:paraId="497AD431" w14:textId="77777777" w:rsidR="005E4D08" w:rsidRPr="000F76FB" w:rsidRDefault="005E4D08" w:rsidP="00FC4B58">
            <w:pPr>
              <w:pStyle w:val="TableBodyTextright"/>
              <w:rPr>
                <w:rFonts w:cs="Arial"/>
                <w:sz w:val="18"/>
                <w:szCs w:val="18"/>
              </w:rPr>
            </w:pPr>
            <w:r w:rsidRPr="000F76FB">
              <w:rPr>
                <w:rFonts w:cs="Arial"/>
                <w:sz w:val="18"/>
                <w:szCs w:val="18"/>
              </w:rPr>
              <w:t>7.8</w:t>
            </w:r>
          </w:p>
        </w:tc>
      </w:tr>
      <w:tr w:rsidR="005E4D08" w:rsidRPr="00732B12" w14:paraId="66D31DDB" w14:textId="77777777" w:rsidTr="00FC4B58">
        <w:trPr>
          <w:trHeight w:val="278"/>
        </w:trPr>
        <w:tc>
          <w:tcPr>
            <w:tcW w:w="3651" w:type="dxa"/>
            <w:noWrap/>
            <w:hideMark/>
          </w:tcPr>
          <w:p w14:paraId="7B375772" w14:textId="77777777" w:rsidR="005E4D08" w:rsidRPr="000F76FB" w:rsidRDefault="005E4D08" w:rsidP="00FC4B58">
            <w:pPr>
              <w:pStyle w:val="TableBodyText"/>
              <w:rPr>
                <w:rFonts w:cs="Arial"/>
                <w:sz w:val="18"/>
                <w:szCs w:val="18"/>
              </w:rPr>
            </w:pPr>
            <w:r w:rsidRPr="000F76FB">
              <w:rPr>
                <w:rFonts w:cs="Arial"/>
                <w:sz w:val="18"/>
                <w:szCs w:val="18"/>
              </w:rPr>
              <w:t>Labourers</w:t>
            </w:r>
          </w:p>
        </w:tc>
        <w:tc>
          <w:tcPr>
            <w:tcW w:w="965" w:type="dxa"/>
            <w:noWrap/>
            <w:hideMark/>
          </w:tcPr>
          <w:p w14:paraId="1522BB2F"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232.8</w:t>
            </w:r>
          </w:p>
        </w:tc>
        <w:tc>
          <w:tcPr>
            <w:tcW w:w="965" w:type="dxa"/>
            <w:noWrap/>
            <w:hideMark/>
          </w:tcPr>
          <w:p w14:paraId="7073BCD5" w14:textId="77777777" w:rsidR="005E4D08" w:rsidRPr="000F76FB" w:rsidRDefault="005E4D08" w:rsidP="00FC4B58">
            <w:pPr>
              <w:pStyle w:val="TableBodyTextright"/>
              <w:rPr>
                <w:rFonts w:cs="Arial"/>
                <w:sz w:val="18"/>
                <w:szCs w:val="18"/>
              </w:rPr>
            </w:pPr>
            <w:r w:rsidRPr="000F76FB">
              <w:rPr>
                <w:rFonts w:cs="Arial"/>
                <w:sz w:val="18"/>
                <w:szCs w:val="18"/>
              </w:rPr>
              <w:t>1</w:t>
            </w:r>
            <w:r>
              <w:rPr>
                <w:rFonts w:cs="Arial"/>
                <w:sz w:val="18"/>
                <w:szCs w:val="18"/>
              </w:rPr>
              <w:t>,</w:t>
            </w:r>
            <w:r w:rsidRPr="000F76FB">
              <w:rPr>
                <w:rFonts w:cs="Arial"/>
                <w:sz w:val="18"/>
                <w:szCs w:val="18"/>
              </w:rPr>
              <w:t>212.4</w:t>
            </w:r>
          </w:p>
        </w:tc>
        <w:tc>
          <w:tcPr>
            <w:tcW w:w="965" w:type="dxa"/>
            <w:noWrap/>
            <w:hideMark/>
          </w:tcPr>
          <w:p w14:paraId="23203184" w14:textId="77777777" w:rsidR="005E4D08" w:rsidRPr="000F76FB" w:rsidRDefault="005E4D08" w:rsidP="00FC4B58">
            <w:pPr>
              <w:pStyle w:val="TableBodyTextright"/>
              <w:rPr>
                <w:rFonts w:cs="Arial"/>
                <w:sz w:val="18"/>
                <w:szCs w:val="18"/>
              </w:rPr>
            </w:pPr>
            <w:r w:rsidRPr="000F76FB">
              <w:rPr>
                <w:rFonts w:cs="Arial"/>
                <w:sz w:val="18"/>
                <w:szCs w:val="18"/>
              </w:rPr>
              <w:t>20.4</w:t>
            </w:r>
          </w:p>
        </w:tc>
        <w:tc>
          <w:tcPr>
            <w:tcW w:w="762" w:type="dxa"/>
            <w:noWrap/>
            <w:hideMark/>
          </w:tcPr>
          <w:p w14:paraId="25184B6E" w14:textId="77777777" w:rsidR="005E4D08" w:rsidRPr="000F76FB" w:rsidRDefault="005E4D08" w:rsidP="00FC4B58">
            <w:pPr>
              <w:pStyle w:val="TableBodyTextright"/>
              <w:rPr>
                <w:rFonts w:cs="Arial"/>
                <w:sz w:val="18"/>
                <w:szCs w:val="18"/>
              </w:rPr>
            </w:pPr>
            <w:r w:rsidRPr="000F76FB">
              <w:rPr>
                <w:rFonts w:cs="Arial"/>
                <w:sz w:val="18"/>
                <w:szCs w:val="18"/>
              </w:rPr>
              <w:t>1.7</w:t>
            </w:r>
          </w:p>
        </w:tc>
        <w:tc>
          <w:tcPr>
            <w:tcW w:w="965" w:type="dxa"/>
            <w:noWrap/>
            <w:hideMark/>
          </w:tcPr>
          <w:p w14:paraId="30127076" w14:textId="77777777" w:rsidR="005E4D08" w:rsidRPr="000F76FB" w:rsidRDefault="005E4D08" w:rsidP="00FC4B58">
            <w:pPr>
              <w:pStyle w:val="TableBodyTextright"/>
              <w:rPr>
                <w:rFonts w:cs="Arial"/>
                <w:sz w:val="18"/>
                <w:szCs w:val="18"/>
              </w:rPr>
            </w:pPr>
            <w:r w:rsidRPr="000F76FB">
              <w:rPr>
                <w:rFonts w:cs="Arial"/>
                <w:sz w:val="18"/>
                <w:szCs w:val="18"/>
              </w:rPr>
              <w:t>6.7</w:t>
            </w:r>
          </w:p>
        </w:tc>
        <w:tc>
          <w:tcPr>
            <w:tcW w:w="754" w:type="dxa"/>
            <w:noWrap/>
            <w:hideMark/>
          </w:tcPr>
          <w:p w14:paraId="4E712CDE" w14:textId="77777777" w:rsidR="005E4D08" w:rsidRPr="000F76FB" w:rsidRDefault="005E4D08" w:rsidP="00FC4B58">
            <w:pPr>
              <w:pStyle w:val="TableBodyTextright"/>
              <w:rPr>
                <w:rFonts w:cs="Arial"/>
                <w:sz w:val="18"/>
                <w:szCs w:val="18"/>
              </w:rPr>
            </w:pPr>
            <w:r w:rsidRPr="000F76FB">
              <w:rPr>
                <w:rFonts w:cs="Arial"/>
                <w:sz w:val="18"/>
                <w:szCs w:val="18"/>
              </w:rPr>
              <w:t>0.5</w:t>
            </w:r>
          </w:p>
        </w:tc>
      </w:tr>
      <w:tr w:rsidR="005E4D08" w:rsidRPr="00732B12" w14:paraId="2F3E5A3D" w14:textId="77777777" w:rsidTr="00FC4B58">
        <w:trPr>
          <w:cnfStyle w:val="000000010000" w:firstRow="0" w:lastRow="0" w:firstColumn="0" w:lastColumn="0" w:oddVBand="0" w:evenVBand="0" w:oddHBand="0" w:evenHBand="1" w:firstRowFirstColumn="0" w:firstRowLastColumn="0" w:lastRowFirstColumn="0" w:lastRowLastColumn="0"/>
          <w:trHeight w:val="299"/>
        </w:trPr>
        <w:tc>
          <w:tcPr>
            <w:tcW w:w="3651" w:type="dxa"/>
            <w:noWrap/>
          </w:tcPr>
          <w:p w14:paraId="4C2D5943" w14:textId="77777777" w:rsidR="005E4D08" w:rsidRPr="00981934" w:rsidRDefault="005E4D08" w:rsidP="00FC4B58">
            <w:pPr>
              <w:pStyle w:val="TableBodyText"/>
              <w:rPr>
                <w:rStyle w:val="Characterbold"/>
                <w:rFonts w:cs="Arial"/>
                <w:b w:val="0"/>
                <w:bCs w:val="0"/>
                <w:sz w:val="18"/>
                <w:szCs w:val="18"/>
              </w:rPr>
            </w:pPr>
            <w:r w:rsidRPr="00C86391">
              <w:rPr>
                <w:rFonts w:cs="Arial"/>
                <w:b/>
                <w:bCs w:val="0"/>
                <w:sz w:val="18"/>
                <w:szCs w:val="18"/>
              </w:rPr>
              <w:t>Total employment</w:t>
            </w:r>
          </w:p>
        </w:tc>
        <w:tc>
          <w:tcPr>
            <w:tcW w:w="965" w:type="dxa"/>
            <w:noWrap/>
          </w:tcPr>
          <w:p w14:paraId="02C63F1A" w14:textId="77777777" w:rsidR="005E4D08" w:rsidRPr="00981934" w:rsidRDefault="005E4D08" w:rsidP="00FC4B58">
            <w:pPr>
              <w:pStyle w:val="TableBodyTextright"/>
              <w:rPr>
                <w:rStyle w:val="Characterbold"/>
                <w:rFonts w:cs="Arial"/>
                <w:b w:val="0"/>
                <w:bCs w:val="0"/>
                <w:sz w:val="18"/>
                <w:szCs w:val="18"/>
              </w:rPr>
            </w:pPr>
            <w:r w:rsidRPr="00C86391">
              <w:rPr>
                <w:rFonts w:cs="Arial"/>
                <w:b/>
                <w:bCs w:val="0"/>
                <w:sz w:val="18"/>
                <w:szCs w:val="18"/>
              </w:rPr>
              <w:t>14,557.8</w:t>
            </w:r>
          </w:p>
        </w:tc>
        <w:tc>
          <w:tcPr>
            <w:tcW w:w="965" w:type="dxa"/>
            <w:noWrap/>
          </w:tcPr>
          <w:p w14:paraId="0A6F812B" w14:textId="77777777" w:rsidR="005E4D08" w:rsidRPr="00981934" w:rsidRDefault="005E4D08" w:rsidP="00FC4B58">
            <w:pPr>
              <w:pStyle w:val="TableBodyTextright"/>
              <w:rPr>
                <w:rStyle w:val="Characterbold"/>
                <w:rFonts w:cs="Arial"/>
                <w:b w:val="0"/>
                <w:bCs w:val="0"/>
                <w:sz w:val="18"/>
                <w:szCs w:val="18"/>
              </w:rPr>
            </w:pPr>
            <w:r w:rsidRPr="00C86391">
              <w:rPr>
                <w:rFonts w:cs="Arial"/>
                <w:b/>
                <w:bCs w:val="0"/>
                <w:sz w:val="18"/>
                <w:szCs w:val="18"/>
              </w:rPr>
              <w:t>14,288.9</w:t>
            </w:r>
          </w:p>
        </w:tc>
        <w:tc>
          <w:tcPr>
            <w:tcW w:w="965" w:type="dxa"/>
            <w:noWrap/>
          </w:tcPr>
          <w:p w14:paraId="72BB155A" w14:textId="77777777" w:rsidR="005E4D08" w:rsidRPr="00981934" w:rsidRDefault="005E4D08" w:rsidP="00FC4B58">
            <w:pPr>
              <w:pStyle w:val="TableBodyTextright"/>
              <w:rPr>
                <w:rStyle w:val="Characterbold"/>
                <w:rFonts w:cs="Arial"/>
                <w:b w:val="0"/>
                <w:bCs w:val="0"/>
                <w:sz w:val="18"/>
                <w:szCs w:val="18"/>
              </w:rPr>
            </w:pPr>
            <w:r w:rsidRPr="00C86391">
              <w:rPr>
                <w:rFonts w:cs="Arial"/>
                <w:b/>
                <w:bCs w:val="0"/>
                <w:sz w:val="18"/>
                <w:szCs w:val="18"/>
              </w:rPr>
              <w:t>268.9</w:t>
            </w:r>
          </w:p>
        </w:tc>
        <w:tc>
          <w:tcPr>
            <w:tcW w:w="762" w:type="dxa"/>
            <w:noWrap/>
          </w:tcPr>
          <w:p w14:paraId="0E2F2084" w14:textId="77777777" w:rsidR="005E4D08" w:rsidRPr="00981934" w:rsidRDefault="005E4D08" w:rsidP="00FC4B58">
            <w:pPr>
              <w:pStyle w:val="TableBodyTextright"/>
              <w:rPr>
                <w:rStyle w:val="Characterbold"/>
                <w:rFonts w:cs="Arial"/>
                <w:b w:val="0"/>
                <w:bCs w:val="0"/>
                <w:sz w:val="18"/>
                <w:szCs w:val="18"/>
              </w:rPr>
            </w:pPr>
            <w:r w:rsidRPr="00C86391">
              <w:rPr>
                <w:rFonts w:cs="Arial"/>
                <w:b/>
                <w:bCs w:val="0"/>
                <w:sz w:val="18"/>
                <w:szCs w:val="18"/>
              </w:rPr>
              <w:t>1.9</w:t>
            </w:r>
          </w:p>
        </w:tc>
        <w:tc>
          <w:tcPr>
            <w:tcW w:w="965" w:type="dxa"/>
            <w:noWrap/>
          </w:tcPr>
          <w:p w14:paraId="40FF11D7" w14:textId="77777777" w:rsidR="005E4D08" w:rsidRPr="00981934" w:rsidRDefault="005E4D08" w:rsidP="00FC4B58">
            <w:pPr>
              <w:pStyle w:val="TableBodyTextright"/>
              <w:rPr>
                <w:rStyle w:val="Characterbold"/>
                <w:rFonts w:cs="Arial"/>
                <w:b w:val="0"/>
                <w:bCs w:val="0"/>
                <w:sz w:val="18"/>
                <w:szCs w:val="18"/>
              </w:rPr>
            </w:pPr>
            <w:r w:rsidRPr="00C86391">
              <w:rPr>
                <w:rFonts w:cs="Arial"/>
                <w:b/>
                <w:bCs w:val="0"/>
                <w:sz w:val="18"/>
                <w:szCs w:val="18"/>
              </w:rPr>
              <w:t>1,620.7</w:t>
            </w:r>
          </w:p>
        </w:tc>
        <w:tc>
          <w:tcPr>
            <w:tcW w:w="754" w:type="dxa"/>
            <w:noWrap/>
          </w:tcPr>
          <w:p w14:paraId="145C2D31" w14:textId="77777777" w:rsidR="005E4D08" w:rsidRPr="00981934" w:rsidRDefault="005E4D08" w:rsidP="00FC4B58">
            <w:pPr>
              <w:pStyle w:val="TableBodyTextright"/>
              <w:rPr>
                <w:rStyle w:val="Characterbold"/>
                <w:rFonts w:cs="Arial"/>
                <w:b w:val="0"/>
                <w:bCs w:val="0"/>
                <w:sz w:val="18"/>
                <w:szCs w:val="18"/>
              </w:rPr>
            </w:pPr>
            <w:r w:rsidRPr="00C86391">
              <w:rPr>
                <w:rFonts w:cs="Arial"/>
                <w:b/>
                <w:bCs w:val="0"/>
                <w:sz w:val="18"/>
                <w:szCs w:val="18"/>
              </w:rPr>
              <w:t>12.5</w:t>
            </w:r>
          </w:p>
        </w:tc>
      </w:tr>
    </w:tbl>
    <w:p w14:paraId="06189ACC" w14:textId="77777777" w:rsidR="005E4D08" w:rsidRPr="00732B12" w:rsidRDefault="005E4D08" w:rsidP="005E4D08">
      <w:pPr>
        <w:pStyle w:val="Source"/>
      </w:pPr>
      <w:r w:rsidRPr="00732B12">
        <w:t>Source: ABS, Labour Force, Australia, Detailed, February 2025, data trended by Jobs and Skills Australia.</w:t>
      </w:r>
    </w:p>
    <w:p w14:paraId="78F74645" w14:textId="3DD10234" w:rsidR="005E4D08" w:rsidRPr="00732B12" w:rsidRDefault="005E4D08" w:rsidP="005E4D08">
      <w:pPr>
        <w:pStyle w:val="BodyText"/>
      </w:pPr>
      <w:r w:rsidRPr="00732B12">
        <w:t xml:space="preserve">Employment increased in all Skill Level groups over the year to February 2025 </w:t>
      </w:r>
      <w:r w:rsidRPr="00732B12">
        <w:br/>
        <w:t>(</w:t>
      </w:r>
      <w:r w:rsidR="00DC0F04" w:rsidRPr="00DC0F04">
        <w:t>Table 5</w:t>
      </w:r>
      <w:r w:rsidRPr="00732B12">
        <w:t>). Skill Level 3 occupations recorded the largest increase, up by 77,200 (3.7%).</w:t>
      </w:r>
      <w:r w:rsidRPr="00732B12">
        <w:rPr>
          <w:rStyle w:val="FootnoteReference"/>
        </w:rPr>
        <w:footnoteReference w:id="5"/>
      </w:r>
      <w:r w:rsidRPr="00732B12">
        <w:t xml:space="preserve"> Skill Level </w:t>
      </w:r>
      <w:r>
        <w:t>1</w:t>
      </w:r>
      <w:r w:rsidRPr="00732B12">
        <w:t xml:space="preserve"> occupations saw the second largest increase, up by </w:t>
      </w:r>
      <w:r>
        <w:t>75,600</w:t>
      </w:r>
      <w:r w:rsidRPr="00732B12">
        <w:t xml:space="preserve"> (</w:t>
      </w:r>
      <w:r>
        <w:t>1</w:t>
      </w:r>
      <w:r w:rsidRPr="00732B12">
        <w:t xml:space="preserve">.5%); followed by Skill Level </w:t>
      </w:r>
      <w:r>
        <w:t>4</w:t>
      </w:r>
      <w:r w:rsidRPr="00732B12">
        <w:t xml:space="preserve"> occupations, up by </w:t>
      </w:r>
      <w:r>
        <w:t>63,700</w:t>
      </w:r>
      <w:r w:rsidRPr="00732B12">
        <w:t xml:space="preserve"> (1.</w:t>
      </w:r>
      <w:r>
        <w:t>8</w:t>
      </w:r>
      <w:r w:rsidRPr="00732B12">
        <w:t>%)</w:t>
      </w:r>
      <w:r>
        <w:t>.</w:t>
      </w:r>
      <w:r w:rsidRPr="00732B12">
        <w:t xml:space="preserve"> Skill Level 5 occupation</w:t>
      </w:r>
      <w:r>
        <w:t xml:space="preserve"> employment</w:t>
      </w:r>
      <w:r w:rsidRPr="00732B12">
        <w:t xml:space="preserve"> remained relatively stable. </w:t>
      </w:r>
    </w:p>
    <w:p w14:paraId="414FADD1" w14:textId="491D88A7" w:rsidR="005E4D08" w:rsidRPr="00732B12" w:rsidRDefault="005E4D08" w:rsidP="005E4D08">
      <w:pPr>
        <w:pStyle w:val="BodyText"/>
      </w:pPr>
      <w:r w:rsidRPr="00732B12">
        <w:t xml:space="preserve">Net employment growth over the year was attributable to Skill Level 1 to 4 occupations – those typically associated with post-secondary qualifications. </w:t>
      </w:r>
      <w:r>
        <w:t>More than</w:t>
      </w:r>
      <w:r w:rsidRPr="00732B12">
        <w:t xml:space="preserve"> two-thirds of this growth was in Skill Level 2 to 4 occupations, typically associated with a </w:t>
      </w:r>
      <w:r w:rsidR="00E76F6C">
        <w:t>Vocational Education and Training (VET)</w:t>
      </w:r>
      <w:r w:rsidR="00E76F6C" w:rsidRPr="00732B12">
        <w:t xml:space="preserve"> </w:t>
      </w:r>
      <w:r w:rsidRPr="00732B12">
        <w:t xml:space="preserve">pathway. The shift towards higher skill levels is a long-term trend as the workforce becomes more educated, employment moves towards service-based industries and employers seek to implement technologies into their business processes to improve productivity. </w:t>
      </w:r>
    </w:p>
    <w:p w14:paraId="28CC025E" w14:textId="77777777" w:rsidR="005E4D08" w:rsidRPr="00732B12" w:rsidRDefault="005E4D08" w:rsidP="005E4D08">
      <w:pPr>
        <w:pStyle w:val="BodyText"/>
      </w:pPr>
      <w:r w:rsidRPr="00732B12">
        <w:lastRenderedPageBreak/>
        <w:t>As of February 2025, Skill Level 1 occupations accounted for 34.7% of total employment, an increase of 2.</w:t>
      </w:r>
      <w:r>
        <w:t>3</w:t>
      </w:r>
      <w:r w:rsidRPr="00732B12">
        <w:t xml:space="preserve"> percentage points from February 2020</w:t>
      </w:r>
      <w:r>
        <w:t>.</w:t>
      </w:r>
      <w:r w:rsidRPr="00732B12">
        <w:t xml:space="preserve"> </w:t>
      </w:r>
      <w:r w:rsidRPr="006B7128">
        <w:t xml:space="preserve">Over 5 years to </w:t>
      </w:r>
      <w:r>
        <w:t>February 2025</w:t>
      </w:r>
      <w:r w:rsidRPr="006B7128">
        <w:t xml:space="preserve">, the share of total employment for Skill Level </w:t>
      </w:r>
      <w:r>
        <w:t>2</w:t>
      </w:r>
      <w:r w:rsidRPr="006B7128">
        <w:t xml:space="preserve"> to 5 occupations fell: Skill Level 5 recorded the largest fall of 1.8 percentage points to 13.7%</w:t>
      </w:r>
      <w:r w:rsidRPr="0012060B">
        <w:t>.</w:t>
      </w:r>
    </w:p>
    <w:p w14:paraId="3583A904" w14:textId="1F9EF49D" w:rsidR="005E4D08" w:rsidRPr="00732B12" w:rsidRDefault="005E4D08" w:rsidP="005E4D08">
      <w:pPr>
        <w:pStyle w:val="Caption"/>
        <w:keepNext/>
        <w:keepLines/>
      </w:pPr>
      <w:bookmarkStart w:id="27" w:name="_Ref200453414"/>
      <w:r w:rsidRPr="00732B12">
        <w:t xml:space="preserve">Table </w:t>
      </w:r>
      <w:r w:rsidRPr="00732B12">
        <w:fldChar w:fldCharType="begin"/>
      </w:r>
      <w:r w:rsidRPr="00732B12">
        <w:instrText xml:space="preserve"> SEQ Table \* ARABIC </w:instrText>
      </w:r>
      <w:r w:rsidRPr="00732B12">
        <w:fldChar w:fldCharType="separate"/>
      </w:r>
      <w:r w:rsidR="00D80BB2">
        <w:rPr>
          <w:noProof/>
        </w:rPr>
        <w:t>5</w:t>
      </w:r>
      <w:r w:rsidRPr="00732B12">
        <w:fldChar w:fldCharType="end"/>
      </w:r>
      <w:bookmarkEnd w:id="27"/>
      <w:r w:rsidRPr="00732B12">
        <w:t>: Employment by Skill Level</w:t>
      </w:r>
      <w:r w:rsidRPr="00732B12">
        <w:rPr>
          <w:rStyle w:val="FootnoteReference"/>
        </w:rPr>
        <w:footnoteReference w:id="6"/>
      </w:r>
    </w:p>
    <w:tbl>
      <w:tblPr>
        <w:tblStyle w:val="CustomTablebasic"/>
        <w:tblW w:w="9027" w:type="dxa"/>
        <w:tblLayout w:type="fixed"/>
        <w:tblLook w:val="04A0" w:firstRow="1" w:lastRow="0" w:firstColumn="1" w:lastColumn="0" w:noHBand="0" w:noVBand="1"/>
      </w:tblPr>
      <w:tblGrid>
        <w:gridCol w:w="2291"/>
        <w:gridCol w:w="1290"/>
        <w:gridCol w:w="1290"/>
        <w:gridCol w:w="1003"/>
        <w:gridCol w:w="1003"/>
        <w:gridCol w:w="1146"/>
        <w:gridCol w:w="1004"/>
      </w:tblGrid>
      <w:tr w:rsidR="005E4D08" w:rsidRPr="00732B12" w14:paraId="0C2F6FF3" w14:textId="77777777" w:rsidTr="00FC4B58">
        <w:trPr>
          <w:cnfStyle w:val="100000000000" w:firstRow="1" w:lastRow="0" w:firstColumn="0" w:lastColumn="0" w:oddVBand="0" w:evenVBand="0" w:oddHBand="0" w:evenHBand="0" w:firstRowFirstColumn="0" w:firstRowLastColumn="0" w:lastRowFirstColumn="0" w:lastRowLastColumn="0"/>
          <w:trHeight w:val="340"/>
        </w:trPr>
        <w:tc>
          <w:tcPr>
            <w:tcW w:w="2291" w:type="dxa"/>
            <w:vMerge w:val="restart"/>
            <w:hideMark/>
          </w:tcPr>
          <w:p w14:paraId="16F7C244" w14:textId="77777777" w:rsidR="005E4D08" w:rsidRPr="000F76FB" w:rsidRDefault="005E4D08" w:rsidP="00FC4B58">
            <w:pPr>
              <w:pStyle w:val="TableHeading1"/>
              <w:keepNext/>
              <w:keepLines/>
              <w:rPr>
                <w:rFonts w:cs="Arial"/>
                <w:sz w:val="18"/>
                <w:szCs w:val="18"/>
              </w:rPr>
            </w:pPr>
            <w:r w:rsidRPr="000F76FB">
              <w:rPr>
                <w:rFonts w:cs="Arial"/>
                <w:sz w:val="18"/>
                <w:szCs w:val="18"/>
              </w:rPr>
              <w:t xml:space="preserve">Occupations in </w:t>
            </w:r>
            <w:r w:rsidRPr="000F76FB">
              <w:rPr>
                <w:rFonts w:cs="Arial"/>
                <w:sz w:val="18"/>
                <w:szCs w:val="18"/>
              </w:rPr>
              <w:br/>
              <w:t>Skill Level</w:t>
            </w:r>
          </w:p>
        </w:tc>
        <w:tc>
          <w:tcPr>
            <w:tcW w:w="1290" w:type="dxa"/>
            <w:hideMark/>
          </w:tcPr>
          <w:p w14:paraId="39E46CF1" w14:textId="77777777" w:rsidR="005E4D08" w:rsidRPr="000F76FB" w:rsidRDefault="005E4D08" w:rsidP="00FC4B58">
            <w:pPr>
              <w:pStyle w:val="TableHeading1"/>
              <w:keepNext/>
              <w:keepLines/>
              <w:jc w:val="right"/>
              <w:rPr>
                <w:rFonts w:cs="Arial"/>
                <w:sz w:val="18"/>
                <w:szCs w:val="18"/>
              </w:rPr>
            </w:pPr>
            <w:r w:rsidRPr="000F76FB">
              <w:rPr>
                <w:rFonts w:cs="Arial"/>
                <w:sz w:val="18"/>
                <w:szCs w:val="18"/>
              </w:rPr>
              <w:t>Feb-25</w:t>
            </w:r>
          </w:p>
        </w:tc>
        <w:tc>
          <w:tcPr>
            <w:tcW w:w="1290" w:type="dxa"/>
            <w:tcBorders>
              <w:right w:val="single" w:sz="4" w:space="0" w:color="FFFFFF" w:themeColor="background1"/>
            </w:tcBorders>
            <w:hideMark/>
          </w:tcPr>
          <w:p w14:paraId="0B3422E9" w14:textId="77777777" w:rsidR="005E4D08" w:rsidRPr="000F76FB" w:rsidRDefault="005E4D08" w:rsidP="00FC4B58">
            <w:pPr>
              <w:pStyle w:val="TableHeading1"/>
              <w:keepNext/>
              <w:keepLines/>
              <w:jc w:val="right"/>
              <w:rPr>
                <w:rFonts w:cs="Arial"/>
                <w:sz w:val="18"/>
                <w:szCs w:val="18"/>
              </w:rPr>
            </w:pPr>
            <w:r w:rsidRPr="000F76FB">
              <w:rPr>
                <w:rFonts w:cs="Arial"/>
                <w:sz w:val="18"/>
                <w:szCs w:val="18"/>
              </w:rPr>
              <w:t>Feb-24</w:t>
            </w:r>
          </w:p>
        </w:tc>
        <w:tc>
          <w:tcPr>
            <w:tcW w:w="2006" w:type="dxa"/>
            <w:gridSpan w:val="2"/>
            <w:tcBorders>
              <w:left w:val="single" w:sz="4" w:space="0" w:color="FFFFFF" w:themeColor="background1"/>
              <w:right w:val="single" w:sz="4" w:space="0" w:color="FFFFFF" w:themeColor="background1"/>
            </w:tcBorders>
            <w:hideMark/>
          </w:tcPr>
          <w:p w14:paraId="6A2BF173" w14:textId="77777777" w:rsidR="005E4D08" w:rsidRPr="000F76FB" w:rsidRDefault="005E4D08" w:rsidP="00FC4B58">
            <w:pPr>
              <w:pStyle w:val="TableHeading1"/>
              <w:keepNext/>
              <w:keepLines/>
              <w:jc w:val="center"/>
              <w:rPr>
                <w:rFonts w:cs="Arial"/>
                <w:sz w:val="18"/>
                <w:szCs w:val="18"/>
              </w:rPr>
            </w:pPr>
            <w:r w:rsidRPr="000F76FB">
              <w:rPr>
                <w:rFonts w:cs="Arial"/>
                <w:sz w:val="18"/>
                <w:szCs w:val="18"/>
              </w:rPr>
              <w:t>Annual change</w:t>
            </w:r>
            <w:r w:rsidRPr="000F76FB">
              <w:rPr>
                <w:rFonts w:cs="Arial"/>
                <w:sz w:val="18"/>
                <w:szCs w:val="18"/>
              </w:rPr>
              <w:br/>
              <w:t>to Feb-25</w:t>
            </w:r>
          </w:p>
        </w:tc>
        <w:tc>
          <w:tcPr>
            <w:tcW w:w="2150" w:type="dxa"/>
            <w:gridSpan w:val="2"/>
            <w:tcBorders>
              <w:left w:val="single" w:sz="4" w:space="0" w:color="FFFFFF" w:themeColor="background1"/>
            </w:tcBorders>
            <w:hideMark/>
          </w:tcPr>
          <w:p w14:paraId="32DABA72" w14:textId="77777777" w:rsidR="005E4D08" w:rsidRPr="000F76FB" w:rsidRDefault="005E4D08" w:rsidP="00FC4B58">
            <w:pPr>
              <w:pStyle w:val="TableHeading1"/>
              <w:keepNext/>
              <w:keepLines/>
              <w:jc w:val="center"/>
              <w:rPr>
                <w:rFonts w:cs="Arial"/>
                <w:sz w:val="18"/>
                <w:szCs w:val="18"/>
              </w:rPr>
            </w:pPr>
            <w:r w:rsidRPr="000F76FB">
              <w:rPr>
                <w:rFonts w:cs="Arial"/>
                <w:sz w:val="18"/>
                <w:szCs w:val="18"/>
              </w:rPr>
              <w:t>5-year change</w:t>
            </w:r>
            <w:r w:rsidRPr="000F76FB">
              <w:rPr>
                <w:rFonts w:cs="Arial"/>
                <w:sz w:val="18"/>
                <w:szCs w:val="18"/>
              </w:rPr>
              <w:br/>
              <w:t>to Feb-25</w:t>
            </w:r>
          </w:p>
        </w:tc>
      </w:tr>
      <w:tr w:rsidR="005E4D08" w:rsidRPr="00732B12" w14:paraId="7FBF8B00" w14:textId="77777777" w:rsidTr="00FC4B58">
        <w:trPr>
          <w:trHeight w:val="340"/>
        </w:trPr>
        <w:tc>
          <w:tcPr>
            <w:tcW w:w="2291" w:type="dxa"/>
            <w:vMerge/>
            <w:shd w:val="clear" w:color="auto" w:fill="2F005F"/>
          </w:tcPr>
          <w:p w14:paraId="12E66A2A" w14:textId="77777777" w:rsidR="005E4D08" w:rsidRPr="000F76FB" w:rsidRDefault="005E4D08" w:rsidP="00FC4B58">
            <w:pPr>
              <w:pStyle w:val="TableHeading1"/>
              <w:keepNext/>
              <w:keepLines/>
              <w:rPr>
                <w:rFonts w:cs="Arial"/>
                <w:sz w:val="18"/>
                <w:szCs w:val="18"/>
              </w:rPr>
            </w:pPr>
          </w:p>
        </w:tc>
        <w:tc>
          <w:tcPr>
            <w:tcW w:w="1290" w:type="dxa"/>
            <w:shd w:val="clear" w:color="auto" w:fill="2F005F"/>
          </w:tcPr>
          <w:p w14:paraId="2C83792B" w14:textId="77777777" w:rsidR="005E4D08" w:rsidRPr="000F76FB" w:rsidRDefault="005E4D08" w:rsidP="00FC4B58">
            <w:pPr>
              <w:pStyle w:val="TableHeading1right"/>
              <w:keepNext/>
              <w:keepLines/>
              <w:rPr>
                <w:rFonts w:cs="Arial"/>
                <w:sz w:val="18"/>
                <w:szCs w:val="18"/>
              </w:rPr>
            </w:pPr>
            <w:r w:rsidRPr="000F76FB">
              <w:rPr>
                <w:rFonts w:cs="Arial"/>
                <w:sz w:val="18"/>
                <w:szCs w:val="18"/>
              </w:rPr>
              <w:t>(‘000)</w:t>
            </w:r>
          </w:p>
        </w:tc>
        <w:tc>
          <w:tcPr>
            <w:tcW w:w="1290" w:type="dxa"/>
            <w:tcBorders>
              <w:right w:val="single" w:sz="4" w:space="0" w:color="FFFFFF" w:themeColor="background1"/>
            </w:tcBorders>
            <w:shd w:val="clear" w:color="auto" w:fill="2F005F"/>
          </w:tcPr>
          <w:p w14:paraId="4ACC2B08" w14:textId="77777777" w:rsidR="005E4D08" w:rsidRPr="000F76FB" w:rsidRDefault="005E4D08" w:rsidP="00FC4B58">
            <w:pPr>
              <w:pStyle w:val="TableHeading1right"/>
              <w:keepNext/>
              <w:keepLines/>
              <w:rPr>
                <w:rFonts w:cs="Arial"/>
                <w:sz w:val="18"/>
                <w:szCs w:val="18"/>
              </w:rPr>
            </w:pPr>
            <w:r w:rsidRPr="000F76FB">
              <w:rPr>
                <w:rFonts w:cs="Arial"/>
                <w:sz w:val="18"/>
                <w:szCs w:val="18"/>
              </w:rPr>
              <w:t>(‘000)</w:t>
            </w:r>
          </w:p>
        </w:tc>
        <w:tc>
          <w:tcPr>
            <w:tcW w:w="1003" w:type="dxa"/>
            <w:tcBorders>
              <w:left w:val="single" w:sz="4" w:space="0" w:color="FFFFFF" w:themeColor="background1"/>
              <w:bottom w:val="nil"/>
            </w:tcBorders>
            <w:shd w:val="clear" w:color="auto" w:fill="2F005F"/>
          </w:tcPr>
          <w:p w14:paraId="159BA587" w14:textId="77777777" w:rsidR="005E4D08" w:rsidRPr="000F76FB" w:rsidRDefault="005E4D08" w:rsidP="00FC4B58">
            <w:pPr>
              <w:pStyle w:val="TableHeading1right"/>
              <w:keepNext/>
              <w:keepLines/>
              <w:rPr>
                <w:rFonts w:cs="Arial"/>
                <w:sz w:val="18"/>
                <w:szCs w:val="18"/>
              </w:rPr>
            </w:pPr>
            <w:r w:rsidRPr="000F76FB">
              <w:rPr>
                <w:rFonts w:cs="Arial"/>
                <w:sz w:val="18"/>
                <w:szCs w:val="18"/>
              </w:rPr>
              <w:t>(‘000)</w:t>
            </w:r>
          </w:p>
        </w:tc>
        <w:tc>
          <w:tcPr>
            <w:tcW w:w="1003" w:type="dxa"/>
            <w:tcBorders>
              <w:bottom w:val="nil"/>
              <w:right w:val="single" w:sz="4" w:space="0" w:color="FFFFFF" w:themeColor="background1"/>
            </w:tcBorders>
            <w:shd w:val="clear" w:color="auto" w:fill="2F005F"/>
          </w:tcPr>
          <w:p w14:paraId="0F29FACC" w14:textId="77777777" w:rsidR="005E4D08" w:rsidRPr="000F76FB" w:rsidRDefault="005E4D08" w:rsidP="00FC4B58">
            <w:pPr>
              <w:pStyle w:val="TableHeading1right"/>
              <w:keepNext/>
              <w:keepLines/>
              <w:rPr>
                <w:rFonts w:cs="Arial"/>
                <w:sz w:val="18"/>
                <w:szCs w:val="18"/>
              </w:rPr>
            </w:pPr>
            <w:r w:rsidRPr="000F76FB">
              <w:rPr>
                <w:rFonts w:cs="Arial"/>
                <w:sz w:val="18"/>
                <w:szCs w:val="18"/>
              </w:rPr>
              <w:t>(%)</w:t>
            </w:r>
          </w:p>
        </w:tc>
        <w:tc>
          <w:tcPr>
            <w:tcW w:w="1146" w:type="dxa"/>
            <w:tcBorders>
              <w:left w:val="single" w:sz="4" w:space="0" w:color="FFFFFF" w:themeColor="background1"/>
              <w:bottom w:val="nil"/>
            </w:tcBorders>
            <w:shd w:val="clear" w:color="auto" w:fill="2F005F"/>
          </w:tcPr>
          <w:p w14:paraId="588713EA" w14:textId="77777777" w:rsidR="005E4D08" w:rsidRPr="000F76FB" w:rsidRDefault="005E4D08" w:rsidP="00FC4B58">
            <w:pPr>
              <w:pStyle w:val="TableHeading1right"/>
              <w:keepNext/>
              <w:keepLines/>
              <w:rPr>
                <w:rFonts w:cs="Arial"/>
                <w:sz w:val="18"/>
                <w:szCs w:val="18"/>
              </w:rPr>
            </w:pPr>
            <w:r w:rsidRPr="000F76FB">
              <w:rPr>
                <w:rFonts w:cs="Arial"/>
                <w:sz w:val="18"/>
                <w:szCs w:val="18"/>
              </w:rPr>
              <w:t>(‘000)</w:t>
            </w:r>
          </w:p>
        </w:tc>
        <w:tc>
          <w:tcPr>
            <w:tcW w:w="1004" w:type="dxa"/>
            <w:tcBorders>
              <w:bottom w:val="nil"/>
            </w:tcBorders>
            <w:shd w:val="clear" w:color="auto" w:fill="2F005F"/>
          </w:tcPr>
          <w:p w14:paraId="5113CD80" w14:textId="77777777" w:rsidR="005E4D08" w:rsidRPr="000F76FB" w:rsidRDefault="005E4D08" w:rsidP="00FC4B58">
            <w:pPr>
              <w:pStyle w:val="TableHeading1right"/>
              <w:keepNext/>
              <w:keepLines/>
              <w:rPr>
                <w:rFonts w:cs="Arial"/>
                <w:sz w:val="18"/>
                <w:szCs w:val="18"/>
              </w:rPr>
            </w:pPr>
            <w:r w:rsidRPr="000F76FB">
              <w:rPr>
                <w:rFonts w:cs="Arial"/>
                <w:sz w:val="18"/>
                <w:szCs w:val="18"/>
              </w:rPr>
              <w:t>(%)</w:t>
            </w:r>
          </w:p>
        </w:tc>
      </w:tr>
      <w:tr w:rsidR="00CD3D6A" w:rsidRPr="00732B12" w14:paraId="6526531E" w14:textId="77777777" w:rsidTr="00FC4B58">
        <w:trPr>
          <w:cnfStyle w:val="000000010000" w:firstRow="0" w:lastRow="0" w:firstColumn="0" w:lastColumn="0" w:oddVBand="0" w:evenVBand="0" w:oddHBand="0" w:evenHBand="1" w:firstRowFirstColumn="0" w:firstRowLastColumn="0" w:lastRowFirstColumn="0" w:lastRowLastColumn="0"/>
          <w:trHeight w:val="290"/>
        </w:trPr>
        <w:tc>
          <w:tcPr>
            <w:tcW w:w="2291" w:type="dxa"/>
            <w:noWrap/>
            <w:hideMark/>
          </w:tcPr>
          <w:p w14:paraId="72448797" w14:textId="77777777" w:rsidR="005E4D08" w:rsidRPr="000F76FB" w:rsidRDefault="005E4D08" w:rsidP="00FC4B58">
            <w:pPr>
              <w:pStyle w:val="TableBodyText"/>
              <w:keepNext/>
              <w:keepLines/>
              <w:rPr>
                <w:rFonts w:cs="Arial"/>
                <w:sz w:val="18"/>
                <w:szCs w:val="18"/>
              </w:rPr>
            </w:pPr>
            <w:r w:rsidRPr="000F76FB">
              <w:rPr>
                <w:rFonts w:cs="Arial"/>
                <w:sz w:val="18"/>
                <w:szCs w:val="18"/>
              </w:rPr>
              <w:t xml:space="preserve">Skill Level 1 </w:t>
            </w:r>
          </w:p>
        </w:tc>
        <w:tc>
          <w:tcPr>
            <w:tcW w:w="1290" w:type="dxa"/>
            <w:noWrap/>
            <w:hideMark/>
          </w:tcPr>
          <w:p w14:paraId="4A12B127" w14:textId="77777777" w:rsidR="005E4D08" w:rsidRPr="000F76FB" w:rsidRDefault="005E4D08" w:rsidP="00FC4B58">
            <w:pPr>
              <w:pStyle w:val="TableBodyTextright"/>
              <w:keepNext/>
              <w:keepLines/>
              <w:rPr>
                <w:rFonts w:cs="Arial"/>
                <w:sz w:val="18"/>
                <w:szCs w:val="18"/>
              </w:rPr>
            </w:pPr>
            <w:r w:rsidRPr="000F76FB">
              <w:rPr>
                <w:rFonts w:cs="Arial"/>
                <w:sz w:val="18"/>
                <w:szCs w:val="18"/>
              </w:rPr>
              <w:t>5</w:t>
            </w:r>
            <w:r>
              <w:rPr>
                <w:rFonts w:cs="Arial"/>
                <w:sz w:val="18"/>
                <w:szCs w:val="18"/>
              </w:rPr>
              <w:t>,</w:t>
            </w:r>
            <w:r w:rsidRPr="000F76FB">
              <w:rPr>
                <w:rFonts w:cs="Arial"/>
                <w:sz w:val="18"/>
                <w:szCs w:val="18"/>
              </w:rPr>
              <w:t>047.8</w:t>
            </w:r>
          </w:p>
        </w:tc>
        <w:tc>
          <w:tcPr>
            <w:tcW w:w="1290" w:type="dxa"/>
            <w:tcBorders>
              <w:right w:val="single" w:sz="4" w:space="0" w:color="FFFFFF" w:themeColor="background1"/>
            </w:tcBorders>
            <w:noWrap/>
            <w:hideMark/>
          </w:tcPr>
          <w:p w14:paraId="4A230467" w14:textId="77777777" w:rsidR="005E4D08" w:rsidRPr="000F76FB" w:rsidRDefault="005E4D08" w:rsidP="00FC4B58">
            <w:pPr>
              <w:pStyle w:val="TableBodyTextright"/>
              <w:keepNext/>
              <w:keepLines/>
              <w:rPr>
                <w:rFonts w:cs="Arial"/>
                <w:sz w:val="18"/>
                <w:szCs w:val="18"/>
              </w:rPr>
            </w:pPr>
            <w:r w:rsidRPr="000F76FB">
              <w:rPr>
                <w:rFonts w:cs="Arial"/>
                <w:sz w:val="18"/>
                <w:szCs w:val="18"/>
              </w:rPr>
              <w:t>4</w:t>
            </w:r>
            <w:r>
              <w:rPr>
                <w:rFonts w:cs="Arial"/>
                <w:sz w:val="18"/>
                <w:szCs w:val="18"/>
              </w:rPr>
              <w:t>,</w:t>
            </w:r>
            <w:r w:rsidRPr="000F76FB">
              <w:rPr>
                <w:rFonts w:cs="Arial"/>
                <w:sz w:val="18"/>
                <w:szCs w:val="18"/>
              </w:rPr>
              <w:t>972.1</w:t>
            </w:r>
          </w:p>
        </w:tc>
        <w:tc>
          <w:tcPr>
            <w:tcW w:w="1003" w:type="dxa"/>
            <w:tcBorders>
              <w:left w:val="single" w:sz="4" w:space="0" w:color="FFFFFF" w:themeColor="background1"/>
              <w:bottom w:val="nil"/>
            </w:tcBorders>
            <w:noWrap/>
            <w:hideMark/>
          </w:tcPr>
          <w:p w14:paraId="3C6CB816" w14:textId="77777777" w:rsidR="005E4D08" w:rsidRPr="000F76FB" w:rsidRDefault="005E4D08" w:rsidP="00FC4B58">
            <w:pPr>
              <w:pStyle w:val="TableBodyTextright"/>
              <w:keepNext/>
              <w:keepLines/>
              <w:rPr>
                <w:rFonts w:cs="Arial"/>
                <w:sz w:val="18"/>
                <w:szCs w:val="18"/>
              </w:rPr>
            </w:pPr>
            <w:r w:rsidRPr="000F76FB">
              <w:rPr>
                <w:rFonts w:cs="Arial"/>
                <w:sz w:val="18"/>
                <w:szCs w:val="18"/>
              </w:rPr>
              <w:t>75.6</w:t>
            </w:r>
          </w:p>
        </w:tc>
        <w:tc>
          <w:tcPr>
            <w:tcW w:w="1003" w:type="dxa"/>
            <w:tcBorders>
              <w:bottom w:val="nil"/>
              <w:right w:val="single" w:sz="4" w:space="0" w:color="FFFFFF" w:themeColor="background1"/>
            </w:tcBorders>
            <w:noWrap/>
            <w:hideMark/>
          </w:tcPr>
          <w:p w14:paraId="31DF0793" w14:textId="77777777" w:rsidR="005E4D08" w:rsidRPr="000F76FB" w:rsidRDefault="005E4D08" w:rsidP="00FC4B58">
            <w:pPr>
              <w:pStyle w:val="TableBodyTextright"/>
              <w:keepNext/>
              <w:keepLines/>
              <w:rPr>
                <w:rFonts w:cs="Arial"/>
                <w:sz w:val="18"/>
                <w:szCs w:val="18"/>
              </w:rPr>
            </w:pPr>
            <w:r w:rsidRPr="000F76FB">
              <w:rPr>
                <w:rFonts w:cs="Arial"/>
                <w:sz w:val="18"/>
                <w:szCs w:val="18"/>
              </w:rPr>
              <w:t>1.5</w:t>
            </w:r>
          </w:p>
        </w:tc>
        <w:tc>
          <w:tcPr>
            <w:tcW w:w="1146" w:type="dxa"/>
            <w:tcBorders>
              <w:left w:val="single" w:sz="4" w:space="0" w:color="FFFFFF" w:themeColor="background1"/>
              <w:bottom w:val="nil"/>
            </w:tcBorders>
            <w:noWrap/>
            <w:hideMark/>
          </w:tcPr>
          <w:p w14:paraId="5432553D" w14:textId="77777777" w:rsidR="005E4D08" w:rsidRPr="000F76FB" w:rsidRDefault="005E4D08" w:rsidP="00FC4B58">
            <w:pPr>
              <w:pStyle w:val="TableBodyTextright"/>
              <w:keepNext/>
              <w:keepLines/>
              <w:rPr>
                <w:rFonts w:cs="Arial"/>
                <w:sz w:val="18"/>
                <w:szCs w:val="18"/>
              </w:rPr>
            </w:pPr>
            <w:r w:rsidRPr="000F76FB">
              <w:rPr>
                <w:rFonts w:cs="Arial"/>
                <w:sz w:val="18"/>
                <w:szCs w:val="18"/>
              </w:rPr>
              <w:t>873.2</w:t>
            </w:r>
          </w:p>
        </w:tc>
        <w:tc>
          <w:tcPr>
            <w:tcW w:w="1004" w:type="dxa"/>
            <w:tcBorders>
              <w:bottom w:val="nil"/>
            </w:tcBorders>
            <w:noWrap/>
            <w:hideMark/>
          </w:tcPr>
          <w:p w14:paraId="29FCDFE6" w14:textId="77777777" w:rsidR="005E4D08" w:rsidRPr="000F76FB" w:rsidRDefault="005E4D08" w:rsidP="00FC4B58">
            <w:pPr>
              <w:pStyle w:val="TableBodyTextright"/>
              <w:keepNext/>
              <w:keepLines/>
              <w:rPr>
                <w:rFonts w:cs="Arial"/>
                <w:sz w:val="18"/>
                <w:szCs w:val="18"/>
              </w:rPr>
            </w:pPr>
            <w:r w:rsidRPr="000F76FB">
              <w:rPr>
                <w:rFonts w:cs="Arial"/>
                <w:sz w:val="18"/>
                <w:szCs w:val="18"/>
              </w:rPr>
              <w:t>20.9</w:t>
            </w:r>
          </w:p>
        </w:tc>
      </w:tr>
      <w:tr w:rsidR="005E4D08" w:rsidRPr="00732B12" w14:paraId="564CCD61" w14:textId="77777777" w:rsidTr="00FC4B58">
        <w:trPr>
          <w:trHeight w:val="290"/>
        </w:trPr>
        <w:tc>
          <w:tcPr>
            <w:tcW w:w="2291" w:type="dxa"/>
            <w:noWrap/>
            <w:hideMark/>
          </w:tcPr>
          <w:p w14:paraId="0A4F9A91" w14:textId="77777777" w:rsidR="005E4D08" w:rsidRPr="000F76FB" w:rsidRDefault="005E4D08" w:rsidP="00FC4B58">
            <w:pPr>
              <w:pStyle w:val="TableBodyText"/>
              <w:keepNext/>
              <w:keepLines/>
              <w:rPr>
                <w:rFonts w:cs="Arial"/>
                <w:sz w:val="18"/>
                <w:szCs w:val="18"/>
              </w:rPr>
            </w:pPr>
            <w:r w:rsidRPr="000F76FB">
              <w:rPr>
                <w:rFonts w:cs="Arial"/>
                <w:sz w:val="18"/>
                <w:szCs w:val="18"/>
              </w:rPr>
              <w:t xml:space="preserve">Skill Level 2 </w:t>
            </w:r>
          </w:p>
        </w:tc>
        <w:tc>
          <w:tcPr>
            <w:tcW w:w="1290" w:type="dxa"/>
            <w:noWrap/>
            <w:hideMark/>
          </w:tcPr>
          <w:p w14:paraId="2AE95909" w14:textId="77777777" w:rsidR="005E4D08" w:rsidRPr="000F76FB" w:rsidRDefault="005E4D08" w:rsidP="00FC4B58">
            <w:pPr>
              <w:pStyle w:val="TableBodyTextright"/>
              <w:keepNext/>
              <w:keepLines/>
              <w:rPr>
                <w:rFonts w:cs="Arial"/>
                <w:sz w:val="18"/>
                <w:szCs w:val="18"/>
              </w:rPr>
            </w:pPr>
            <w:r w:rsidRPr="000F76FB">
              <w:rPr>
                <w:rFonts w:cs="Arial"/>
                <w:sz w:val="18"/>
                <w:szCs w:val="18"/>
              </w:rPr>
              <w:t>1</w:t>
            </w:r>
            <w:r>
              <w:rPr>
                <w:rFonts w:cs="Arial"/>
                <w:sz w:val="18"/>
                <w:szCs w:val="18"/>
              </w:rPr>
              <w:t>,</w:t>
            </w:r>
            <w:r w:rsidRPr="000F76FB">
              <w:rPr>
                <w:rFonts w:cs="Arial"/>
                <w:sz w:val="18"/>
                <w:szCs w:val="18"/>
              </w:rPr>
              <w:t>790.6</w:t>
            </w:r>
          </w:p>
        </w:tc>
        <w:tc>
          <w:tcPr>
            <w:tcW w:w="1290" w:type="dxa"/>
            <w:tcBorders>
              <w:right w:val="single" w:sz="4" w:space="0" w:color="FFFFFF" w:themeColor="background1"/>
            </w:tcBorders>
            <w:noWrap/>
            <w:hideMark/>
          </w:tcPr>
          <w:p w14:paraId="55097620" w14:textId="77777777" w:rsidR="005E4D08" w:rsidRPr="000F76FB" w:rsidRDefault="005E4D08" w:rsidP="00FC4B58">
            <w:pPr>
              <w:pStyle w:val="TableBodyTextright"/>
              <w:keepNext/>
              <w:keepLines/>
              <w:rPr>
                <w:rFonts w:cs="Arial"/>
                <w:sz w:val="18"/>
                <w:szCs w:val="18"/>
              </w:rPr>
            </w:pPr>
            <w:r w:rsidRPr="000F76FB">
              <w:rPr>
                <w:rFonts w:cs="Arial"/>
                <w:sz w:val="18"/>
                <w:szCs w:val="18"/>
              </w:rPr>
              <w:t>1</w:t>
            </w:r>
            <w:r>
              <w:rPr>
                <w:rFonts w:cs="Arial"/>
                <w:sz w:val="18"/>
                <w:szCs w:val="18"/>
              </w:rPr>
              <w:t>,</w:t>
            </w:r>
            <w:r w:rsidRPr="000F76FB">
              <w:rPr>
                <w:rFonts w:cs="Arial"/>
                <w:sz w:val="18"/>
                <w:szCs w:val="18"/>
              </w:rPr>
              <w:t>746.2</w:t>
            </w:r>
          </w:p>
        </w:tc>
        <w:tc>
          <w:tcPr>
            <w:tcW w:w="1003" w:type="dxa"/>
            <w:tcBorders>
              <w:left w:val="single" w:sz="4" w:space="0" w:color="FFFFFF" w:themeColor="background1"/>
              <w:bottom w:val="nil"/>
            </w:tcBorders>
            <w:noWrap/>
            <w:hideMark/>
          </w:tcPr>
          <w:p w14:paraId="67058AE1" w14:textId="77777777" w:rsidR="005E4D08" w:rsidRPr="000F76FB" w:rsidRDefault="005E4D08" w:rsidP="00FC4B58">
            <w:pPr>
              <w:pStyle w:val="TableBodyTextright"/>
              <w:keepNext/>
              <w:keepLines/>
              <w:rPr>
                <w:rFonts w:cs="Arial"/>
                <w:sz w:val="18"/>
                <w:szCs w:val="18"/>
              </w:rPr>
            </w:pPr>
            <w:r w:rsidRPr="000F76FB">
              <w:rPr>
                <w:rFonts w:cs="Arial"/>
                <w:sz w:val="18"/>
                <w:szCs w:val="18"/>
              </w:rPr>
              <w:t>44.4</w:t>
            </w:r>
          </w:p>
        </w:tc>
        <w:tc>
          <w:tcPr>
            <w:tcW w:w="1003" w:type="dxa"/>
            <w:tcBorders>
              <w:bottom w:val="nil"/>
              <w:right w:val="single" w:sz="4" w:space="0" w:color="FFFFFF" w:themeColor="background1"/>
            </w:tcBorders>
            <w:noWrap/>
            <w:hideMark/>
          </w:tcPr>
          <w:p w14:paraId="5AADD119" w14:textId="77777777" w:rsidR="005E4D08" w:rsidRPr="000F76FB" w:rsidRDefault="005E4D08" w:rsidP="00FC4B58">
            <w:pPr>
              <w:pStyle w:val="TableBodyTextright"/>
              <w:keepNext/>
              <w:keepLines/>
              <w:rPr>
                <w:rFonts w:cs="Arial"/>
                <w:sz w:val="18"/>
                <w:szCs w:val="18"/>
              </w:rPr>
            </w:pPr>
            <w:r w:rsidRPr="000F76FB">
              <w:rPr>
                <w:rFonts w:cs="Arial"/>
                <w:sz w:val="18"/>
                <w:szCs w:val="18"/>
              </w:rPr>
              <w:t>2.5</w:t>
            </w:r>
          </w:p>
        </w:tc>
        <w:tc>
          <w:tcPr>
            <w:tcW w:w="1146" w:type="dxa"/>
            <w:tcBorders>
              <w:left w:val="single" w:sz="4" w:space="0" w:color="FFFFFF" w:themeColor="background1"/>
              <w:bottom w:val="nil"/>
            </w:tcBorders>
            <w:noWrap/>
            <w:hideMark/>
          </w:tcPr>
          <w:p w14:paraId="593B937B" w14:textId="77777777" w:rsidR="005E4D08" w:rsidRPr="000F76FB" w:rsidRDefault="005E4D08" w:rsidP="00FC4B58">
            <w:pPr>
              <w:pStyle w:val="TableBodyTextright"/>
              <w:keepNext/>
              <w:keepLines/>
              <w:rPr>
                <w:rFonts w:cs="Arial"/>
                <w:sz w:val="18"/>
                <w:szCs w:val="18"/>
              </w:rPr>
            </w:pPr>
            <w:r w:rsidRPr="000F76FB">
              <w:rPr>
                <w:rFonts w:cs="Arial"/>
                <w:sz w:val="18"/>
                <w:szCs w:val="18"/>
              </w:rPr>
              <w:t>203.4</w:t>
            </w:r>
          </w:p>
        </w:tc>
        <w:tc>
          <w:tcPr>
            <w:tcW w:w="1004" w:type="dxa"/>
            <w:tcBorders>
              <w:bottom w:val="nil"/>
            </w:tcBorders>
            <w:noWrap/>
            <w:hideMark/>
          </w:tcPr>
          <w:p w14:paraId="5D95C8FF" w14:textId="77777777" w:rsidR="005E4D08" w:rsidRPr="000F76FB" w:rsidRDefault="005E4D08" w:rsidP="00FC4B58">
            <w:pPr>
              <w:pStyle w:val="TableBodyTextright"/>
              <w:keepNext/>
              <w:keepLines/>
              <w:rPr>
                <w:rFonts w:cs="Arial"/>
                <w:sz w:val="18"/>
                <w:szCs w:val="18"/>
              </w:rPr>
            </w:pPr>
            <w:r w:rsidRPr="000F76FB">
              <w:rPr>
                <w:rFonts w:cs="Arial"/>
                <w:sz w:val="18"/>
                <w:szCs w:val="18"/>
              </w:rPr>
              <w:t>12.8</w:t>
            </w:r>
          </w:p>
        </w:tc>
      </w:tr>
      <w:tr w:rsidR="00CD3D6A" w:rsidRPr="00732B12" w14:paraId="6C3B021D" w14:textId="77777777" w:rsidTr="00FC4B58">
        <w:trPr>
          <w:cnfStyle w:val="000000010000" w:firstRow="0" w:lastRow="0" w:firstColumn="0" w:lastColumn="0" w:oddVBand="0" w:evenVBand="0" w:oddHBand="0" w:evenHBand="1" w:firstRowFirstColumn="0" w:firstRowLastColumn="0" w:lastRowFirstColumn="0" w:lastRowLastColumn="0"/>
          <w:trHeight w:val="290"/>
        </w:trPr>
        <w:tc>
          <w:tcPr>
            <w:tcW w:w="2291" w:type="dxa"/>
            <w:noWrap/>
            <w:hideMark/>
          </w:tcPr>
          <w:p w14:paraId="5B6FEDE9" w14:textId="77777777" w:rsidR="005E4D08" w:rsidRPr="000F76FB" w:rsidRDefault="005E4D08" w:rsidP="00FC4B58">
            <w:pPr>
              <w:pStyle w:val="TableBodyText"/>
              <w:keepNext/>
              <w:keepLines/>
              <w:rPr>
                <w:rFonts w:cs="Arial"/>
                <w:sz w:val="18"/>
                <w:szCs w:val="18"/>
              </w:rPr>
            </w:pPr>
            <w:r w:rsidRPr="000F76FB">
              <w:rPr>
                <w:rFonts w:cs="Arial"/>
                <w:sz w:val="18"/>
                <w:szCs w:val="18"/>
              </w:rPr>
              <w:t xml:space="preserve">Skill Level 3 </w:t>
            </w:r>
          </w:p>
        </w:tc>
        <w:tc>
          <w:tcPr>
            <w:tcW w:w="1290" w:type="dxa"/>
            <w:noWrap/>
            <w:hideMark/>
          </w:tcPr>
          <w:p w14:paraId="7006DE28" w14:textId="77777777" w:rsidR="005E4D08" w:rsidRPr="000F76FB" w:rsidRDefault="005E4D08" w:rsidP="00FC4B58">
            <w:pPr>
              <w:pStyle w:val="TableBodyTextright"/>
              <w:keepNext/>
              <w:keepLines/>
              <w:rPr>
                <w:rFonts w:cs="Arial"/>
                <w:sz w:val="18"/>
                <w:szCs w:val="18"/>
              </w:rPr>
            </w:pPr>
            <w:r w:rsidRPr="000F76FB">
              <w:rPr>
                <w:rFonts w:cs="Arial"/>
                <w:sz w:val="18"/>
                <w:szCs w:val="18"/>
              </w:rPr>
              <w:t>2</w:t>
            </w:r>
            <w:r>
              <w:rPr>
                <w:rFonts w:cs="Arial"/>
                <w:sz w:val="18"/>
                <w:szCs w:val="18"/>
              </w:rPr>
              <w:t>,</w:t>
            </w:r>
            <w:r w:rsidRPr="000F76FB">
              <w:rPr>
                <w:rFonts w:cs="Arial"/>
                <w:sz w:val="18"/>
                <w:szCs w:val="18"/>
              </w:rPr>
              <w:t>178.4</w:t>
            </w:r>
          </w:p>
        </w:tc>
        <w:tc>
          <w:tcPr>
            <w:tcW w:w="1290" w:type="dxa"/>
            <w:tcBorders>
              <w:right w:val="single" w:sz="4" w:space="0" w:color="FFFFFF" w:themeColor="background1"/>
            </w:tcBorders>
            <w:noWrap/>
            <w:hideMark/>
          </w:tcPr>
          <w:p w14:paraId="52858E8E" w14:textId="77777777" w:rsidR="005E4D08" w:rsidRPr="000F76FB" w:rsidRDefault="005E4D08" w:rsidP="00FC4B58">
            <w:pPr>
              <w:pStyle w:val="TableBodyTextright"/>
              <w:keepNext/>
              <w:keepLines/>
              <w:rPr>
                <w:rFonts w:cs="Arial"/>
                <w:sz w:val="18"/>
                <w:szCs w:val="18"/>
              </w:rPr>
            </w:pPr>
            <w:r w:rsidRPr="000F76FB">
              <w:rPr>
                <w:rFonts w:cs="Arial"/>
                <w:sz w:val="18"/>
                <w:szCs w:val="18"/>
              </w:rPr>
              <w:t>2</w:t>
            </w:r>
            <w:r>
              <w:rPr>
                <w:rFonts w:cs="Arial"/>
                <w:sz w:val="18"/>
                <w:szCs w:val="18"/>
              </w:rPr>
              <w:t>,</w:t>
            </w:r>
            <w:r w:rsidRPr="000F76FB">
              <w:rPr>
                <w:rFonts w:cs="Arial"/>
                <w:sz w:val="18"/>
                <w:szCs w:val="18"/>
              </w:rPr>
              <w:t>101.2</w:t>
            </w:r>
          </w:p>
        </w:tc>
        <w:tc>
          <w:tcPr>
            <w:tcW w:w="1003" w:type="dxa"/>
            <w:tcBorders>
              <w:left w:val="single" w:sz="4" w:space="0" w:color="FFFFFF" w:themeColor="background1"/>
              <w:bottom w:val="nil"/>
            </w:tcBorders>
            <w:noWrap/>
            <w:hideMark/>
          </w:tcPr>
          <w:p w14:paraId="68BAB852" w14:textId="77777777" w:rsidR="005E4D08" w:rsidRPr="000F76FB" w:rsidRDefault="005E4D08" w:rsidP="00FC4B58">
            <w:pPr>
              <w:pStyle w:val="TableBodyTextright"/>
              <w:keepNext/>
              <w:keepLines/>
              <w:rPr>
                <w:rFonts w:cs="Arial"/>
                <w:sz w:val="18"/>
                <w:szCs w:val="18"/>
              </w:rPr>
            </w:pPr>
            <w:r w:rsidRPr="000F76FB">
              <w:rPr>
                <w:rFonts w:cs="Arial"/>
                <w:sz w:val="18"/>
                <w:szCs w:val="18"/>
              </w:rPr>
              <w:t>77.2</w:t>
            </w:r>
          </w:p>
        </w:tc>
        <w:tc>
          <w:tcPr>
            <w:tcW w:w="1003" w:type="dxa"/>
            <w:tcBorders>
              <w:bottom w:val="nil"/>
              <w:right w:val="single" w:sz="4" w:space="0" w:color="FFFFFF" w:themeColor="background1"/>
            </w:tcBorders>
            <w:noWrap/>
            <w:hideMark/>
          </w:tcPr>
          <w:p w14:paraId="5E3E20B7" w14:textId="77777777" w:rsidR="005E4D08" w:rsidRPr="000F76FB" w:rsidRDefault="005E4D08" w:rsidP="00FC4B58">
            <w:pPr>
              <w:pStyle w:val="TableBodyTextright"/>
              <w:keepNext/>
              <w:keepLines/>
              <w:rPr>
                <w:rFonts w:cs="Arial"/>
                <w:sz w:val="18"/>
                <w:szCs w:val="18"/>
              </w:rPr>
            </w:pPr>
            <w:r w:rsidRPr="000F76FB">
              <w:rPr>
                <w:rFonts w:cs="Arial"/>
                <w:sz w:val="18"/>
                <w:szCs w:val="18"/>
              </w:rPr>
              <w:t>3.7</w:t>
            </w:r>
          </w:p>
        </w:tc>
        <w:tc>
          <w:tcPr>
            <w:tcW w:w="1146" w:type="dxa"/>
            <w:tcBorders>
              <w:left w:val="single" w:sz="4" w:space="0" w:color="FFFFFF" w:themeColor="background1"/>
              <w:bottom w:val="nil"/>
            </w:tcBorders>
            <w:noWrap/>
            <w:hideMark/>
          </w:tcPr>
          <w:p w14:paraId="107A0126" w14:textId="77777777" w:rsidR="005E4D08" w:rsidRPr="000F76FB" w:rsidRDefault="005E4D08" w:rsidP="00FC4B58">
            <w:pPr>
              <w:pStyle w:val="TableBodyTextright"/>
              <w:keepNext/>
              <w:keepLines/>
              <w:rPr>
                <w:rFonts w:cs="Arial"/>
                <w:sz w:val="18"/>
                <w:szCs w:val="18"/>
              </w:rPr>
            </w:pPr>
            <w:r w:rsidRPr="000F76FB">
              <w:rPr>
                <w:rFonts w:cs="Arial"/>
                <w:sz w:val="18"/>
                <w:szCs w:val="18"/>
              </w:rPr>
              <w:t>237.5</w:t>
            </w:r>
          </w:p>
        </w:tc>
        <w:tc>
          <w:tcPr>
            <w:tcW w:w="1004" w:type="dxa"/>
            <w:tcBorders>
              <w:bottom w:val="nil"/>
            </w:tcBorders>
            <w:noWrap/>
            <w:hideMark/>
          </w:tcPr>
          <w:p w14:paraId="338ABB2A" w14:textId="77777777" w:rsidR="005E4D08" w:rsidRPr="000F76FB" w:rsidRDefault="005E4D08" w:rsidP="00FC4B58">
            <w:pPr>
              <w:pStyle w:val="TableBodyTextright"/>
              <w:keepNext/>
              <w:keepLines/>
              <w:rPr>
                <w:rFonts w:cs="Arial"/>
                <w:sz w:val="18"/>
                <w:szCs w:val="18"/>
              </w:rPr>
            </w:pPr>
            <w:r w:rsidRPr="000F76FB">
              <w:rPr>
                <w:rFonts w:cs="Arial"/>
                <w:sz w:val="18"/>
                <w:szCs w:val="18"/>
              </w:rPr>
              <w:t>12.2</w:t>
            </w:r>
          </w:p>
        </w:tc>
      </w:tr>
      <w:tr w:rsidR="005E4D08" w:rsidRPr="00732B12" w14:paraId="7AEA90F9" w14:textId="77777777" w:rsidTr="00FC4B58">
        <w:trPr>
          <w:trHeight w:val="290"/>
        </w:trPr>
        <w:tc>
          <w:tcPr>
            <w:tcW w:w="2291" w:type="dxa"/>
            <w:noWrap/>
            <w:hideMark/>
          </w:tcPr>
          <w:p w14:paraId="2ECCF3CB" w14:textId="77777777" w:rsidR="005E4D08" w:rsidRPr="000F76FB" w:rsidRDefault="005E4D08" w:rsidP="00FC4B58">
            <w:pPr>
              <w:pStyle w:val="TableBodyText"/>
              <w:keepNext/>
              <w:keepLines/>
              <w:rPr>
                <w:rFonts w:cs="Arial"/>
                <w:sz w:val="18"/>
                <w:szCs w:val="18"/>
              </w:rPr>
            </w:pPr>
            <w:r w:rsidRPr="000F76FB">
              <w:rPr>
                <w:rFonts w:cs="Arial"/>
                <w:sz w:val="18"/>
                <w:szCs w:val="18"/>
              </w:rPr>
              <w:t xml:space="preserve">Skill Level 4 </w:t>
            </w:r>
          </w:p>
        </w:tc>
        <w:tc>
          <w:tcPr>
            <w:tcW w:w="1290" w:type="dxa"/>
            <w:noWrap/>
            <w:hideMark/>
          </w:tcPr>
          <w:p w14:paraId="07B183E6" w14:textId="77777777" w:rsidR="005E4D08" w:rsidRPr="000F76FB" w:rsidRDefault="005E4D08" w:rsidP="00FC4B58">
            <w:pPr>
              <w:pStyle w:val="TableBodyTextright"/>
              <w:keepNext/>
              <w:keepLines/>
              <w:rPr>
                <w:rFonts w:cs="Arial"/>
                <w:sz w:val="18"/>
                <w:szCs w:val="18"/>
              </w:rPr>
            </w:pPr>
            <w:r w:rsidRPr="000F76FB">
              <w:rPr>
                <w:rFonts w:cs="Arial"/>
                <w:sz w:val="18"/>
                <w:szCs w:val="18"/>
              </w:rPr>
              <w:t>3</w:t>
            </w:r>
            <w:r>
              <w:rPr>
                <w:rFonts w:cs="Arial"/>
                <w:sz w:val="18"/>
                <w:szCs w:val="18"/>
              </w:rPr>
              <w:t>,</w:t>
            </w:r>
            <w:r w:rsidRPr="000F76FB">
              <w:rPr>
                <w:rFonts w:cs="Arial"/>
                <w:sz w:val="18"/>
                <w:szCs w:val="18"/>
              </w:rPr>
              <w:t>538.2</w:t>
            </w:r>
          </w:p>
        </w:tc>
        <w:tc>
          <w:tcPr>
            <w:tcW w:w="1290" w:type="dxa"/>
            <w:tcBorders>
              <w:right w:val="single" w:sz="4" w:space="0" w:color="FFFFFF" w:themeColor="background1"/>
            </w:tcBorders>
            <w:noWrap/>
            <w:hideMark/>
          </w:tcPr>
          <w:p w14:paraId="401DB72B" w14:textId="77777777" w:rsidR="005E4D08" w:rsidRPr="000F76FB" w:rsidRDefault="005E4D08" w:rsidP="00FC4B58">
            <w:pPr>
              <w:pStyle w:val="TableBodyTextright"/>
              <w:keepNext/>
              <w:keepLines/>
              <w:rPr>
                <w:rFonts w:cs="Arial"/>
                <w:sz w:val="18"/>
                <w:szCs w:val="18"/>
              </w:rPr>
            </w:pPr>
            <w:r w:rsidRPr="000F76FB">
              <w:rPr>
                <w:rFonts w:cs="Arial"/>
                <w:sz w:val="18"/>
                <w:szCs w:val="18"/>
              </w:rPr>
              <w:t>3</w:t>
            </w:r>
            <w:r>
              <w:rPr>
                <w:rFonts w:cs="Arial"/>
                <w:sz w:val="18"/>
                <w:szCs w:val="18"/>
              </w:rPr>
              <w:t>,</w:t>
            </w:r>
            <w:r w:rsidRPr="000F76FB">
              <w:rPr>
                <w:rFonts w:cs="Arial"/>
                <w:sz w:val="18"/>
                <w:szCs w:val="18"/>
              </w:rPr>
              <w:t>474.5</w:t>
            </w:r>
          </w:p>
        </w:tc>
        <w:tc>
          <w:tcPr>
            <w:tcW w:w="1003" w:type="dxa"/>
            <w:tcBorders>
              <w:left w:val="single" w:sz="4" w:space="0" w:color="FFFFFF" w:themeColor="background1"/>
              <w:bottom w:val="nil"/>
            </w:tcBorders>
            <w:noWrap/>
            <w:hideMark/>
          </w:tcPr>
          <w:p w14:paraId="4F08B154" w14:textId="77777777" w:rsidR="005E4D08" w:rsidRPr="000F76FB" w:rsidRDefault="005E4D08" w:rsidP="00FC4B58">
            <w:pPr>
              <w:pStyle w:val="TableBodyTextright"/>
              <w:keepNext/>
              <w:keepLines/>
              <w:rPr>
                <w:rFonts w:cs="Arial"/>
                <w:sz w:val="18"/>
                <w:szCs w:val="18"/>
              </w:rPr>
            </w:pPr>
            <w:r w:rsidRPr="000F76FB">
              <w:rPr>
                <w:rFonts w:cs="Arial"/>
                <w:sz w:val="18"/>
                <w:szCs w:val="18"/>
              </w:rPr>
              <w:t>63.7</w:t>
            </w:r>
          </w:p>
        </w:tc>
        <w:tc>
          <w:tcPr>
            <w:tcW w:w="1003" w:type="dxa"/>
            <w:tcBorders>
              <w:bottom w:val="nil"/>
              <w:right w:val="single" w:sz="4" w:space="0" w:color="FFFFFF" w:themeColor="background1"/>
            </w:tcBorders>
            <w:noWrap/>
            <w:hideMark/>
          </w:tcPr>
          <w:p w14:paraId="1B87D303" w14:textId="77777777" w:rsidR="005E4D08" w:rsidRPr="000F76FB" w:rsidRDefault="005E4D08" w:rsidP="00FC4B58">
            <w:pPr>
              <w:pStyle w:val="TableBodyTextright"/>
              <w:keepNext/>
              <w:keepLines/>
              <w:rPr>
                <w:rFonts w:cs="Arial"/>
                <w:sz w:val="18"/>
                <w:szCs w:val="18"/>
              </w:rPr>
            </w:pPr>
            <w:r w:rsidRPr="000F76FB">
              <w:rPr>
                <w:rFonts w:cs="Arial"/>
                <w:sz w:val="18"/>
                <w:szCs w:val="18"/>
              </w:rPr>
              <w:t>1.8</w:t>
            </w:r>
          </w:p>
        </w:tc>
        <w:tc>
          <w:tcPr>
            <w:tcW w:w="1146" w:type="dxa"/>
            <w:tcBorders>
              <w:left w:val="single" w:sz="4" w:space="0" w:color="FFFFFF" w:themeColor="background1"/>
              <w:bottom w:val="nil"/>
            </w:tcBorders>
            <w:noWrap/>
            <w:hideMark/>
          </w:tcPr>
          <w:p w14:paraId="44B6D85B" w14:textId="77777777" w:rsidR="005E4D08" w:rsidRPr="000F76FB" w:rsidRDefault="005E4D08" w:rsidP="00FC4B58">
            <w:pPr>
              <w:pStyle w:val="TableBodyTextright"/>
              <w:keepNext/>
              <w:keepLines/>
              <w:rPr>
                <w:rFonts w:cs="Arial"/>
                <w:sz w:val="18"/>
                <w:szCs w:val="18"/>
              </w:rPr>
            </w:pPr>
            <w:r w:rsidRPr="000F76FB">
              <w:rPr>
                <w:rFonts w:cs="Arial"/>
                <w:sz w:val="18"/>
                <w:szCs w:val="18"/>
              </w:rPr>
              <w:t>371.0</w:t>
            </w:r>
          </w:p>
        </w:tc>
        <w:tc>
          <w:tcPr>
            <w:tcW w:w="1004" w:type="dxa"/>
            <w:tcBorders>
              <w:bottom w:val="nil"/>
            </w:tcBorders>
            <w:noWrap/>
            <w:hideMark/>
          </w:tcPr>
          <w:p w14:paraId="3596F2BA" w14:textId="77777777" w:rsidR="005E4D08" w:rsidRPr="000F76FB" w:rsidRDefault="005E4D08" w:rsidP="00FC4B58">
            <w:pPr>
              <w:pStyle w:val="TableBodyTextright"/>
              <w:keepNext/>
              <w:keepLines/>
              <w:rPr>
                <w:rFonts w:cs="Arial"/>
                <w:sz w:val="18"/>
                <w:szCs w:val="18"/>
              </w:rPr>
            </w:pPr>
            <w:r w:rsidRPr="000F76FB">
              <w:rPr>
                <w:rFonts w:cs="Arial"/>
                <w:sz w:val="18"/>
                <w:szCs w:val="18"/>
              </w:rPr>
              <w:t>11.7</w:t>
            </w:r>
          </w:p>
        </w:tc>
      </w:tr>
      <w:tr w:rsidR="00CD3D6A" w:rsidRPr="00732B12" w14:paraId="444B0949" w14:textId="77777777" w:rsidTr="00FC4B58">
        <w:trPr>
          <w:cnfStyle w:val="000000010000" w:firstRow="0" w:lastRow="0" w:firstColumn="0" w:lastColumn="0" w:oddVBand="0" w:evenVBand="0" w:oddHBand="0" w:evenHBand="1" w:firstRowFirstColumn="0" w:firstRowLastColumn="0" w:lastRowFirstColumn="0" w:lastRowLastColumn="0"/>
          <w:trHeight w:val="290"/>
        </w:trPr>
        <w:tc>
          <w:tcPr>
            <w:tcW w:w="2291" w:type="dxa"/>
            <w:noWrap/>
            <w:hideMark/>
          </w:tcPr>
          <w:p w14:paraId="13C8A4A2" w14:textId="77777777" w:rsidR="005E4D08" w:rsidRPr="000F76FB" w:rsidRDefault="005E4D08" w:rsidP="00FC4B58">
            <w:pPr>
              <w:pStyle w:val="TableBodyText"/>
              <w:keepNext/>
              <w:keepLines/>
              <w:rPr>
                <w:rFonts w:cs="Arial"/>
                <w:sz w:val="18"/>
                <w:szCs w:val="18"/>
              </w:rPr>
            </w:pPr>
            <w:r w:rsidRPr="000F76FB">
              <w:rPr>
                <w:rFonts w:cs="Arial"/>
                <w:sz w:val="18"/>
                <w:szCs w:val="18"/>
              </w:rPr>
              <w:t xml:space="preserve">Skill Level 5 </w:t>
            </w:r>
          </w:p>
        </w:tc>
        <w:tc>
          <w:tcPr>
            <w:tcW w:w="1290" w:type="dxa"/>
            <w:noWrap/>
            <w:hideMark/>
          </w:tcPr>
          <w:p w14:paraId="13609E37" w14:textId="77777777" w:rsidR="005E4D08" w:rsidRPr="000F76FB" w:rsidRDefault="005E4D08" w:rsidP="00FC4B58">
            <w:pPr>
              <w:pStyle w:val="TableBodyTextright"/>
              <w:keepNext/>
              <w:keepLines/>
              <w:rPr>
                <w:rFonts w:cs="Arial"/>
                <w:sz w:val="18"/>
                <w:szCs w:val="18"/>
              </w:rPr>
            </w:pPr>
            <w:r w:rsidRPr="000F76FB">
              <w:rPr>
                <w:rFonts w:cs="Arial"/>
                <w:sz w:val="18"/>
                <w:szCs w:val="18"/>
              </w:rPr>
              <w:t>1</w:t>
            </w:r>
            <w:r>
              <w:rPr>
                <w:rFonts w:cs="Arial"/>
                <w:sz w:val="18"/>
                <w:szCs w:val="18"/>
              </w:rPr>
              <w:t>,</w:t>
            </w:r>
            <w:r w:rsidRPr="000F76FB">
              <w:rPr>
                <w:rFonts w:cs="Arial"/>
                <w:sz w:val="18"/>
                <w:szCs w:val="18"/>
              </w:rPr>
              <w:t>991.1</w:t>
            </w:r>
          </w:p>
        </w:tc>
        <w:tc>
          <w:tcPr>
            <w:tcW w:w="1290" w:type="dxa"/>
            <w:tcBorders>
              <w:right w:val="single" w:sz="4" w:space="0" w:color="FFFFFF" w:themeColor="background1"/>
            </w:tcBorders>
            <w:noWrap/>
            <w:hideMark/>
          </w:tcPr>
          <w:p w14:paraId="7CA262C4" w14:textId="77777777" w:rsidR="005E4D08" w:rsidRPr="000F76FB" w:rsidRDefault="005E4D08" w:rsidP="00FC4B58">
            <w:pPr>
              <w:pStyle w:val="TableBodyTextright"/>
              <w:keepNext/>
              <w:keepLines/>
              <w:rPr>
                <w:rFonts w:cs="Arial"/>
                <w:sz w:val="18"/>
                <w:szCs w:val="18"/>
              </w:rPr>
            </w:pPr>
            <w:r w:rsidRPr="000F76FB">
              <w:rPr>
                <w:rFonts w:cs="Arial"/>
                <w:sz w:val="18"/>
                <w:szCs w:val="18"/>
              </w:rPr>
              <w:t>1</w:t>
            </w:r>
            <w:r>
              <w:rPr>
                <w:rFonts w:cs="Arial"/>
                <w:sz w:val="18"/>
                <w:szCs w:val="18"/>
              </w:rPr>
              <w:t>,</w:t>
            </w:r>
            <w:r w:rsidRPr="000F76FB">
              <w:rPr>
                <w:rFonts w:cs="Arial"/>
                <w:sz w:val="18"/>
                <w:szCs w:val="18"/>
              </w:rPr>
              <w:t>990.7</w:t>
            </w:r>
          </w:p>
        </w:tc>
        <w:tc>
          <w:tcPr>
            <w:tcW w:w="1003" w:type="dxa"/>
            <w:tcBorders>
              <w:left w:val="single" w:sz="4" w:space="0" w:color="FFFFFF" w:themeColor="background1"/>
              <w:bottom w:val="nil"/>
            </w:tcBorders>
            <w:noWrap/>
            <w:hideMark/>
          </w:tcPr>
          <w:p w14:paraId="7CB401A5" w14:textId="77777777" w:rsidR="005E4D08" w:rsidRPr="000F76FB" w:rsidRDefault="005E4D08" w:rsidP="00FC4B58">
            <w:pPr>
              <w:pStyle w:val="TableBodyTextright"/>
              <w:keepNext/>
              <w:keepLines/>
              <w:rPr>
                <w:rFonts w:cs="Arial"/>
                <w:sz w:val="18"/>
                <w:szCs w:val="18"/>
              </w:rPr>
            </w:pPr>
            <w:r w:rsidRPr="000F76FB">
              <w:rPr>
                <w:rFonts w:cs="Arial"/>
                <w:sz w:val="18"/>
                <w:szCs w:val="18"/>
              </w:rPr>
              <w:t>0.3</w:t>
            </w:r>
          </w:p>
        </w:tc>
        <w:tc>
          <w:tcPr>
            <w:tcW w:w="1003" w:type="dxa"/>
            <w:tcBorders>
              <w:bottom w:val="nil"/>
              <w:right w:val="single" w:sz="4" w:space="0" w:color="FFFFFF" w:themeColor="background1"/>
            </w:tcBorders>
            <w:noWrap/>
            <w:hideMark/>
          </w:tcPr>
          <w:p w14:paraId="20B00E4E" w14:textId="77777777" w:rsidR="005E4D08" w:rsidRPr="000F76FB" w:rsidRDefault="005E4D08" w:rsidP="00FC4B58">
            <w:pPr>
              <w:pStyle w:val="TableBodyTextright"/>
              <w:keepNext/>
              <w:keepLines/>
              <w:rPr>
                <w:rFonts w:cs="Arial"/>
                <w:sz w:val="18"/>
                <w:szCs w:val="18"/>
              </w:rPr>
            </w:pPr>
            <w:r w:rsidRPr="000F76FB">
              <w:rPr>
                <w:rFonts w:cs="Arial"/>
                <w:sz w:val="18"/>
                <w:szCs w:val="18"/>
              </w:rPr>
              <w:t>0.0</w:t>
            </w:r>
          </w:p>
        </w:tc>
        <w:tc>
          <w:tcPr>
            <w:tcW w:w="1146" w:type="dxa"/>
            <w:tcBorders>
              <w:left w:val="single" w:sz="4" w:space="0" w:color="FFFFFF" w:themeColor="background1"/>
              <w:bottom w:val="nil"/>
            </w:tcBorders>
            <w:noWrap/>
            <w:hideMark/>
          </w:tcPr>
          <w:p w14:paraId="1D218773" w14:textId="77777777" w:rsidR="005E4D08" w:rsidRPr="000F76FB" w:rsidRDefault="005E4D08" w:rsidP="00FC4B58">
            <w:pPr>
              <w:pStyle w:val="TableBodyTextright"/>
              <w:keepNext/>
              <w:keepLines/>
              <w:rPr>
                <w:rFonts w:cs="Arial"/>
                <w:sz w:val="18"/>
                <w:szCs w:val="18"/>
              </w:rPr>
            </w:pPr>
            <w:r w:rsidRPr="000F76FB">
              <w:rPr>
                <w:rFonts w:cs="Arial"/>
                <w:sz w:val="18"/>
                <w:szCs w:val="18"/>
              </w:rPr>
              <w:t>-7.3</w:t>
            </w:r>
          </w:p>
        </w:tc>
        <w:tc>
          <w:tcPr>
            <w:tcW w:w="1004" w:type="dxa"/>
            <w:tcBorders>
              <w:bottom w:val="nil"/>
            </w:tcBorders>
            <w:noWrap/>
            <w:hideMark/>
          </w:tcPr>
          <w:p w14:paraId="2A561AB3" w14:textId="77777777" w:rsidR="005E4D08" w:rsidRPr="000F76FB" w:rsidRDefault="005E4D08" w:rsidP="00FC4B58">
            <w:pPr>
              <w:pStyle w:val="TableBodyTextright"/>
              <w:keepNext/>
              <w:keepLines/>
              <w:rPr>
                <w:rFonts w:cs="Arial"/>
                <w:sz w:val="18"/>
                <w:szCs w:val="18"/>
              </w:rPr>
            </w:pPr>
            <w:r w:rsidRPr="000F76FB">
              <w:rPr>
                <w:rFonts w:cs="Arial"/>
                <w:sz w:val="18"/>
                <w:szCs w:val="18"/>
              </w:rPr>
              <w:t>-0.4</w:t>
            </w:r>
          </w:p>
        </w:tc>
      </w:tr>
      <w:tr w:rsidR="005E4D08" w:rsidRPr="00732B12" w14:paraId="7B4C4877" w14:textId="77777777" w:rsidTr="00FC4B58">
        <w:trPr>
          <w:trHeight w:val="349"/>
        </w:trPr>
        <w:tc>
          <w:tcPr>
            <w:tcW w:w="2291" w:type="dxa"/>
            <w:noWrap/>
          </w:tcPr>
          <w:p w14:paraId="0DB02192" w14:textId="77777777" w:rsidR="005E4D08" w:rsidRPr="00981934" w:rsidRDefault="005E4D08" w:rsidP="00FC4B58">
            <w:pPr>
              <w:pStyle w:val="TableBodyText"/>
              <w:keepNext/>
              <w:keepLines/>
              <w:rPr>
                <w:rFonts w:cs="Arial"/>
                <w:b/>
                <w:bCs w:val="0"/>
                <w:sz w:val="18"/>
                <w:szCs w:val="18"/>
              </w:rPr>
            </w:pPr>
            <w:r w:rsidRPr="00981934">
              <w:rPr>
                <w:rFonts w:cs="Arial"/>
                <w:b/>
                <w:bCs w:val="0"/>
                <w:sz w:val="18"/>
                <w:szCs w:val="18"/>
              </w:rPr>
              <w:t>Total employment</w:t>
            </w:r>
          </w:p>
        </w:tc>
        <w:tc>
          <w:tcPr>
            <w:tcW w:w="1290" w:type="dxa"/>
            <w:noWrap/>
          </w:tcPr>
          <w:p w14:paraId="39048EAB" w14:textId="77777777" w:rsidR="005E4D08" w:rsidRPr="00981934" w:rsidRDefault="005E4D08" w:rsidP="00FC4B58">
            <w:pPr>
              <w:pStyle w:val="TableBodyTextright"/>
              <w:keepNext/>
              <w:keepLines/>
              <w:rPr>
                <w:rFonts w:cs="Arial"/>
                <w:b/>
                <w:bCs w:val="0"/>
                <w:sz w:val="18"/>
                <w:szCs w:val="18"/>
              </w:rPr>
            </w:pPr>
            <w:r w:rsidRPr="00981934">
              <w:rPr>
                <w:rFonts w:cs="Arial"/>
                <w:b/>
                <w:bCs w:val="0"/>
                <w:sz w:val="18"/>
                <w:szCs w:val="18"/>
              </w:rPr>
              <w:t>14,557.8</w:t>
            </w:r>
          </w:p>
        </w:tc>
        <w:tc>
          <w:tcPr>
            <w:tcW w:w="1290" w:type="dxa"/>
            <w:tcBorders>
              <w:right w:val="single" w:sz="4" w:space="0" w:color="FFFFFF" w:themeColor="background1"/>
            </w:tcBorders>
            <w:noWrap/>
          </w:tcPr>
          <w:p w14:paraId="7EE20B89" w14:textId="77777777" w:rsidR="005E4D08" w:rsidRPr="00981934" w:rsidRDefault="005E4D08" w:rsidP="00FC4B58">
            <w:pPr>
              <w:pStyle w:val="TableBodyTextright"/>
              <w:keepNext/>
              <w:keepLines/>
              <w:rPr>
                <w:rFonts w:cs="Arial"/>
                <w:b/>
                <w:bCs w:val="0"/>
                <w:sz w:val="18"/>
                <w:szCs w:val="18"/>
              </w:rPr>
            </w:pPr>
            <w:r w:rsidRPr="00981934">
              <w:rPr>
                <w:rFonts w:cs="Arial"/>
                <w:b/>
                <w:bCs w:val="0"/>
                <w:sz w:val="18"/>
                <w:szCs w:val="18"/>
              </w:rPr>
              <w:t>14,288.9</w:t>
            </w:r>
          </w:p>
        </w:tc>
        <w:tc>
          <w:tcPr>
            <w:tcW w:w="1003" w:type="dxa"/>
            <w:tcBorders>
              <w:left w:val="single" w:sz="4" w:space="0" w:color="FFFFFF" w:themeColor="background1"/>
              <w:bottom w:val="single" w:sz="4" w:space="0" w:color="2F005F"/>
            </w:tcBorders>
            <w:noWrap/>
          </w:tcPr>
          <w:p w14:paraId="40E189AB" w14:textId="77777777" w:rsidR="005E4D08" w:rsidRPr="00981934" w:rsidRDefault="005E4D08" w:rsidP="00FC4B58">
            <w:pPr>
              <w:pStyle w:val="TableBodyTextright"/>
              <w:keepNext/>
              <w:keepLines/>
              <w:rPr>
                <w:rFonts w:cs="Arial"/>
                <w:b/>
                <w:bCs w:val="0"/>
                <w:sz w:val="18"/>
                <w:szCs w:val="18"/>
              </w:rPr>
            </w:pPr>
            <w:r w:rsidRPr="00981934">
              <w:rPr>
                <w:rFonts w:cs="Arial"/>
                <w:b/>
                <w:bCs w:val="0"/>
                <w:sz w:val="18"/>
                <w:szCs w:val="18"/>
              </w:rPr>
              <w:t>268.9</w:t>
            </w:r>
          </w:p>
        </w:tc>
        <w:tc>
          <w:tcPr>
            <w:tcW w:w="1003" w:type="dxa"/>
            <w:tcBorders>
              <w:bottom w:val="single" w:sz="4" w:space="0" w:color="2F005F"/>
              <w:right w:val="single" w:sz="4" w:space="0" w:color="FFFFFF" w:themeColor="background1"/>
            </w:tcBorders>
            <w:noWrap/>
          </w:tcPr>
          <w:p w14:paraId="276B4B8D" w14:textId="77777777" w:rsidR="005E4D08" w:rsidRPr="00981934" w:rsidRDefault="005E4D08" w:rsidP="00FC4B58">
            <w:pPr>
              <w:pStyle w:val="TableBodyTextright"/>
              <w:keepNext/>
              <w:keepLines/>
              <w:rPr>
                <w:rFonts w:cs="Arial"/>
                <w:b/>
                <w:bCs w:val="0"/>
                <w:sz w:val="18"/>
                <w:szCs w:val="18"/>
              </w:rPr>
            </w:pPr>
            <w:r w:rsidRPr="00981934">
              <w:rPr>
                <w:rFonts w:cs="Arial"/>
                <w:b/>
                <w:bCs w:val="0"/>
                <w:sz w:val="18"/>
                <w:szCs w:val="18"/>
              </w:rPr>
              <w:t>1.9</w:t>
            </w:r>
          </w:p>
        </w:tc>
        <w:tc>
          <w:tcPr>
            <w:tcW w:w="1146" w:type="dxa"/>
            <w:tcBorders>
              <w:left w:val="single" w:sz="4" w:space="0" w:color="FFFFFF" w:themeColor="background1"/>
              <w:bottom w:val="single" w:sz="4" w:space="0" w:color="2F005F"/>
            </w:tcBorders>
            <w:noWrap/>
          </w:tcPr>
          <w:p w14:paraId="5A3E1F50" w14:textId="77777777" w:rsidR="005E4D08" w:rsidRPr="00981934" w:rsidRDefault="005E4D08" w:rsidP="00FC4B58">
            <w:pPr>
              <w:pStyle w:val="TableBodyTextright"/>
              <w:keepNext/>
              <w:keepLines/>
              <w:rPr>
                <w:rFonts w:cs="Arial"/>
                <w:b/>
                <w:bCs w:val="0"/>
                <w:sz w:val="18"/>
                <w:szCs w:val="18"/>
              </w:rPr>
            </w:pPr>
            <w:r w:rsidRPr="00981934">
              <w:rPr>
                <w:rFonts w:cs="Arial"/>
                <w:b/>
                <w:bCs w:val="0"/>
                <w:sz w:val="18"/>
                <w:szCs w:val="18"/>
              </w:rPr>
              <w:t>1,620.7</w:t>
            </w:r>
          </w:p>
        </w:tc>
        <w:tc>
          <w:tcPr>
            <w:tcW w:w="1004" w:type="dxa"/>
            <w:tcBorders>
              <w:bottom w:val="single" w:sz="4" w:space="0" w:color="2F005F"/>
            </w:tcBorders>
            <w:noWrap/>
          </w:tcPr>
          <w:p w14:paraId="1C4417A8" w14:textId="77777777" w:rsidR="005E4D08" w:rsidRPr="00981934" w:rsidRDefault="005E4D08" w:rsidP="00FC4B58">
            <w:pPr>
              <w:pStyle w:val="TableBodyTextright"/>
              <w:keepNext/>
              <w:keepLines/>
              <w:rPr>
                <w:rFonts w:cs="Arial"/>
                <w:b/>
                <w:bCs w:val="0"/>
                <w:sz w:val="18"/>
                <w:szCs w:val="18"/>
              </w:rPr>
            </w:pPr>
            <w:r w:rsidRPr="00981934">
              <w:rPr>
                <w:rFonts w:cs="Arial"/>
                <w:b/>
                <w:bCs w:val="0"/>
                <w:sz w:val="18"/>
                <w:szCs w:val="18"/>
              </w:rPr>
              <w:t>12.5</w:t>
            </w:r>
          </w:p>
        </w:tc>
      </w:tr>
    </w:tbl>
    <w:p w14:paraId="38850587" w14:textId="77777777" w:rsidR="005E4D08" w:rsidRDefault="005E4D08" w:rsidP="005E4D08">
      <w:pPr>
        <w:pStyle w:val="Source"/>
      </w:pPr>
      <w:r w:rsidRPr="00732B12">
        <w:t>Source: ABS, Labour Force, Australia, Detailed, February 2025, data trended by Jobs and Skills Australia.</w:t>
      </w:r>
    </w:p>
    <w:p w14:paraId="053CEBDB" w14:textId="6706D4F7" w:rsidR="0049646C" w:rsidRDefault="00E7434F" w:rsidP="0049646C">
      <w:pPr>
        <w:pStyle w:val="Heading2"/>
      </w:pPr>
      <w:bookmarkStart w:id="28" w:name="_Toc201057856"/>
      <w:r>
        <w:t>Ease of filling lower skilled jobs</w:t>
      </w:r>
      <w:bookmarkEnd w:id="28"/>
      <w:r>
        <w:t xml:space="preserve"> </w:t>
      </w:r>
    </w:p>
    <w:p w14:paraId="073B0FB4" w14:textId="3344EB1A" w:rsidR="00242446" w:rsidRDefault="00E046DF" w:rsidP="00E046DF">
      <w:pPr>
        <w:pStyle w:val="BodyText"/>
      </w:pPr>
      <w:r>
        <w:t xml:space="preserve">In general, employers tend to </w:t>
      </w:r>
      <w:r w:rsidR="00E34620">
        <w:t xml:space="preserve">face greater challenges when </w:t>
      </w:r>
      <w:r>
        <w:t xml:space="preserve">recruiting for higher skilled jobs, </w:t>
      </w:r>
      <w:r w:rsidRPr="00E7434F">
        <w:t xml:space="preserve">compared with </w:t>
      </w:r>
      <w:r w:rsidR="003B1526" w:rsidRPr="00E7434F">
        <w:t>positions</w:t>
      </w:r>
      <w:r w:rsidRPr="00E7434F">
        <w:t xml:space="preserve"> that do</w:t>
      </w:r>
      <w:r w:rsidR="003B1526" w:rsidRPr="00E7434F">
        <w:t xml:space="preserve"> </w:t>
      </w:r>
      <w:r w:rsidR="001610A2" w:rsidRPr="00E7434F">
        <w:t xml:space="preserve">not </w:t>
      </w:r>
      <w:r w:rsidRPr="00E7434F">
        <w:t xml:space="preserve">require extensive post-school </w:t>
      </w:r>
      <w:r w:rsidR="001610A2" w:rsidRPr="00E7434F">
        <w:t>qualifications</w:t>
      </w:r>
      <w:r w:rsidRPr="00E7434F">
        <w:t xml:space="preserve">. </w:t>
      </w:r>
      <w:r w:rsidR="00CA1917" w:rsidRPr="00E7434F">
        <w:t>Over the year to the</w:t>
      </w:r>
      <w:r w:rsidR="00242446" w:rsidRPr="00E7434F">
        <w:t xml:space="preserve"> March quarter 2025, </w:t>
      </w:r>
      <w:r w:rsidR="00CA1917" w:rsidRPr="00E7434F">
        <w:t>60</w:t>
      </w:r>
      <w:r w:rsidR="00242446" w:rsidRPr="00E7434F">
        <w:t xml:space="preserve">% of employers had difficulty </w:t>
      </w:r>
      <w:r w:rsidR="00F22C13" w:rsidRPr="00E7434F">
        <w:t>filling</w:t>
      </w:r>
      <w:r w:rsidR="00242446" w:rsidRPr="00E7434F">
        <w:t xml:space="preserve"> higher skilled vacancies (Skill Levels 1 to 3), well above the 40%</w:t>
      </w:r>
      <w:r w:rsidR="00242446">
        <w:t xml:space="preserve"> </w:t>
      </w:r>
      <w:r w:rsidR="008502F1">
        <w:t xml:space="preserve">reported </w:t>
      </w:r>
      <w:r w:rsidR="00242446">
        <w:t>for</w:t>
      </w:r>
      <w:r w:rsidR="008502F1">
        <w:t xml:space="preserve"> lower skilled roles</w:t>
      </w:r>
      <w:r w:rsidR="00242446">
        <w:t xml:space="preserve"> </w:t>
      </w:r>
      <w:r w:rsidR="008502F1">
        <w:t>(</w:t>
      </w:r>
      <w:r w:rsidR="00242446">
        <w:t>Skill Level 4</w:t>
      </w:r>
      <w:r w:rsidR="008502F1">
        <w:t xml:space="preserve"> and </w:t>
      </w:r>
      <w:r w:rsidR="00242446">
        <w:t>5</w:t>
      </w:r>
      <w:r w:rsidR="008502F1">
        <w:t>)</w:t>
      </w:r>
      <w:r w:rsidR="00242446">
        <w:t xml:space="preserve">. </w:t>
      </w:r>
    </w:p>
    <w:p w14:paraId="46E783FA" w14:textId="4E7755DC" w:rsidR="003D1A90" w:rsidRDefault="00D1546B" w:rsidP="00E046DF">
      <w:pPr>
        <w:pStyle w:val="BodyText"/>
      </w:pPr>
      <w:r w:rsidRPr="009A0517">
        <w:t>Interestingly, the gap in the recruitment difficulty rates between employers recruiting for higher and lower skilled vacancies has decreased since its peak in mid-2024</w:t>
      </w:r>
      <w:r w:rsidR="00D02578">
        <w:t xml:space="preserve"> (</w:t>
      </w:r>
      <w:r w:rsidR="00DC0F04" w:rsidRPr="00DC0F04">
        <w:t>Figure 4</w:t>
      </w:r>
      <w:r w:rsidR="00D02578">
        <w:t>)</w:t>
      </w:r>
      <w:r w:rsidRPr="009A0517">
        <w:t>. The results indicate that the recruitment difficulty rate for lower skilled vacancies eased quickly as the labour supply increased, but the decrease in the rate for higher skilled vacancies was slower and only recently has it significantly fallen below the 2022 peak. This emphasises that, while each individual occupation has different trends, changes to the Australian recruitment market can be felt unevenly</w:t>
      </w:r>
      <w:r w:rsidR="009418C0">
        <w:t>.</w:t>
      </w:r>
    </w:p>
    <w:p w14:paraId="4EF066E1" w14:textId="530FAC2D" w:rsidR="005503CC" w:rsidRDefault="00CC60BD" w:rsidP="00CC60BD">
      <w:pPr>
        <w:pStyle w:val="Caption"/>
        <w:keepNext/>
        <w:keepLines/>
      </w:pPr>
      <w:bookmarkStart w:id="29" w:name="_Ref200454193"/>
      <w:r>
        <w:lastRenderedPageBreak/>
        <w:t xml:space="preserve">Figure </w:t>
      </w:r>
      <w:r>
        <w:fldChar w:fldCharType="begin"/>
      </w:r>
      <w:r>
        <w:instrText xml:space="preserve"> SEQ Figure \* ARABIC </w:instrText>
      </w:r>
      <w:r>
        <w:fldChar w:fldCharType="separate"/>
      </w:r>
      <w:r w:rsidR="00D80BB2">
        <w:rPr>
          <w:noProof/>
        </w:rPr>
        <w:t>4</w:t>
      </w:r>
      <w:r>
        <w:fldChar w:fldCharType="end"/>
      </w:r>
      <w:bookmarkEnd w:id="29"/>
      <w:r>
        <w:t>: Recruitment difficulty rate, by Skill Levels</w:t>
      </w:r>
    </w:p>
    <w:p w14:paraId="7493EEA4" w14:textId="1EF52FE1" w:rsidR="00E046DF" w:rsidRPr="00E046DF" w:rsidRDefault="00744F28" w:rsidP="00CC60BD">
      <w:pPr>
        <w:pStyle w:val="BodyText"/>
        <w:keepNext/>
        <w:keepLines/>
      </w:pPr>
      <w:r>
        <w:rPr>
          <w:noProof/>
        </w:rPr>
        <w:drawing>
          <wp:inline distT="0" distB="0" distL="0" distR="0" wp14:anchorId="3F3A82B6" wp14:editId="0B4341D9">
            <wp:extent cx="5449570" cy="2687540"/>
            <wp:effectExtent l="0" t="0" r="0" b="0"/>
            <wp:docPr id="1169074717" name="Chart 1">
              <a:extLst xmlns:a="http://schemas.openxmlformats.org/drawingml/2006/main">
                <a:ext uri="{FF2B5EF4-FFF2-40B4-BE49-F238E27FC236}">
                  <a16:creationId xmlns:a16="http://schemas.microsoft.com/office/drawing/2014/main" id="{4BE015D4-9804-0C19-24A3-77F598720E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EC8807" w14:textId="36B9A138" w:rsidR="0049646C" w:rsidRPr="0049646C" w:rsidRDefault="00634893" w:rsidP="00BF643C">
      <w:pPr>
        <w:pStyle w:val="Source"/>
        <w:keepNext/>
        <w:keepLines/>
        <w:rPr>
          <w:lang w:eastAsia="en-AU"/>
        </w:rPr>
      </w:pPr>
      <w:r w:rsidRPr="00C43246">
        <w:rPr>
          <w:rFonts w:eastAsia="Arial"/>
        </w:rPr>
        <w:t>Source: Jobs and Skills Australia, REOS, March quarter 2025</w:t>
      </w:r>
    </w:p>
    <w:tbl>
      <w:tblPr>
        <w:tblStyle w:val="CustomTablepulloutbox"/>
        <w:tblW w:w="0" w:type="auto"/>
        <w:tblLook w:val="04A0" w:firstRow="1" w:lastRow="0" w:firstColumn="1" w:lastColumn="0" w:noHBand="0" w:noVBand="1"/>
      </w:tblPr>
      <w:tblGrid>
        <w:gridCol w:w="8996"/>
      </w:tblGrid>
      <w:tr w:rsidR="00741E10" w14:paraId="18664B12" w14:textId="77777777">
        <w:tc>
          <w:tcPr>
            <w:tcW w:w="8996" w:type="dxa"/>
          </w:tcPr>
          <w:p w14:paraId="7F003929" w14:textId="1C71FEDC" w:rsidR="00741E10" w:rsidRDefault="00741E10">
            <w:pPr>
              <w:pStyle w:val="Heading2"/>
            </w:pPr>
            <w:bookmarkStart w:id="30" w:name="_Toc201057857"/>
            <w:r w:rsidRPr="00A7761E">
              <w:lastRenderedPageBreak/>
              <w:t xml:space="preserve">In focus: </w:t>
            </w:r>
            <w:r>
              <w:t>How employers’ recruitment experiences differ across jobseeker cohorts</w:t>
            </w:r>
            <w:bookmarkEnd w:id="30"/>
          </w:p>
          <w:p w14:paraId="469DD9A6" w14:textId="77777777" w:rsidR="00741E10" w:rsidRDefault="00741E10">
            <w:pPr>
              <w:pStyle w:val="BodyText"/>
            </w:pPr>
            <w:r w:rsidRPr="00FC601B">
              <w:rPr>
                <w:rStyle w:val="BodyTextChar"/>
              </w:rPr>
              <w:t>As part of the Recruitment Experiences and Outlook Survey (REOS) survey, Jobs and Skills Australia speaks with around 1000 employers every month to better understand their recruitment experiences.  Special modules are periodically included t</w:t>
            </w:r>
            <w:r>
              <w:rPr>
                <w:rStyle w:val="BodyTextChar"/>
              </w:rPr>
              <w:t xml:space="preserve">o capture </w:t>
            </w:r>
            <w:r w:rsidRPr="00FC601B">
              <w:rPr>
                <w:rStyle w:val="BodyTextChar"/>
              </w:rPr>
              <w:t>employers</w:t>
            </w:r>
            <w:r>
              <w:rPr>
                <w:rStyle w:val="BodyTextChar"/>
              </w:rPr>
              <w:t>’ perspectives on</w:t>
            </w:r>
            <w:r w:rsidRPr="00FC601B">
              <w:rPr>
                <w:rStyle w:val="BodyTextChar"/>
              </w:rPr>
              <w:t xml:space="preserve"> hiring different cohorts of jobseekers who </w:t>
            </w:r>
            <w:r>
              <w:rPr>
                <w:rStyle w:val="BodyTextChar"/>
              </w:rPr>
              <w:t>may face</w:t>
            </w:r>
            <w:r w:rsidRPr="00FC601B">
              <w:rPr>
                <w:rStyle w:val="BodyTextChar"/>
              </w:rPr>
              <w:t xml:space="preserve"> disadvantage in the labour market. For more information on the REOS, please visit</w:t>
            </w:r>
            <w:r>
              <w:t xml:space="preserve"> </w:t>
            </w:r>
            <w:hyperlink r:id="rId22" w:history="1">
              <w:r w:rsidRPr="00FE7757">
                <w:rPr>
                  <w:color w:val="0000FF"/>
                  <w:u w:val="single"/>
                </w:rPr>
                <w:t>Recruitment Experiences and Outlook Survey | Jobs and Skills Australia</w:t>
              </w:r>
            </w:hyperlink>
          </w:p>
          <w:p w14:paraId="30B3839B" w14:textId="77777777" w:rsidR="00741E10" w:rsidRDefault="00741E10">
            <w:pPr>
              <w:pStyle w:val="Heading4"/>
            </w:pPr>
            <w:r w:rsidRPr="00295B5B">
              <w:rPr>
                <w:bCs/>
              </w:rPr>
              <w:t>Youth jobseekers</w:t>
            </w:r>
            <w:r>
              <w:t xml:space="preserve"> </w:t>
            </w:r>
          </w:p>
          <w:p w14:paraId="71CCA407" w14:textId="77777777" w:rsidR="00741E10" w:rsidRPr="00DF2F17" w:rsidRDefault="00741E10">
            <w:pPr>
              <w:pStyle w:val="BodyText"/>
            </w:pPr>
            <w:r>
              <w:t>R</w:t>
            </w:r>
            <w:r w:rsidRPr="000C7AFA">
              <w:t xml:space="preserve">ecent findings from the Youth Jobseeker Module </w:t>
            </w:r>
            <w:r w:rsidRPr="00DF2F17">
              <w:t xml:space="preserve">highlight a key insight: a positive attitude is the most common way that young jobseekers can impress employers when competing for roles. While experience </w:t>
            </w:r>
            <w:r>
              <w:t>is</w:t>
            </w:r>
            <w:r w:rsidRPr="00DF2F17">
              <w:t xml:space="preserve"> highly valued</w:t>
            </w:r>
            <w:r>
              <w:t xml:space="preserve"> </w:t>
            </w:r>
            <w:r w:rsidRPr="00DF2F17">
              <w:t>—</w:t>
            </w:r>
            <w:r>
              <w:t xml:space="preserve"> it’s the </w:t>
            </w:r>
            <w:proofErr w:type="gramStart"/>
            <w:r>
              <w:t>most commonly</w:t>
            </w:r>
            <w:r w:rsidRPr="00DF2F17">
              <w:t xml:space="preserve"> cited</w:t>
            </w:r>
            <w:proofErr w:type="gramEnd"/>
            <w:r w:rsidRPr="00DF2F17">
              <w:t xml:space="preserve"> reason a candidate is deemed unsuitable</w:t>
            </w:r>
            <w:r>
              <w:t xml:space="preserve"> </w:t>
            </w:r>
            <w:r w:rsidRPr="00DF2F17">
              <w:t>—</w:t>
            </w:r>
            <w:r>
              <w:t xml:space="preserve"> the results</w:t>
            </w:r>
            <w:r w:rsidRPr="00DF2F17">
              <w:t xml:space="preserve"> suggests that a strong, positive attitude can tip the balance in favour of a less experienced applicant.</w:t>
            </w:r>
          </w:p>
          <w:p w14:paraId="52BD8EC3" w14:textId="77777777" w:rsidR="00741E10" w:rsidRPr="00FC601B" w:rsidRDefault="00741E10">
            <w:pPr>
              <w:pStyle w:val="BodyText"/>
            </w:pPr>
            <w:r>
              <w:t>So, w</w:t>
            </w:r>
            <w:r w:rsidRPr="000C7AFA">
              <w:t xml:space="preserve">hat does this mean for young jobseekers? Before applying, it's important to reflect on how they can demonstrate a positive attitude </w:t>
            </w:r>
            <w:r>
              <w:t>– both</w:t>
            </w:r>
            <w:r w:rsidRPr="000C7AFA">
              <w:t xml:space="preserve"> in their application and during interview. This could significantly increase their chances of being hired or securing a work trial that leads to employment.</w:t>
            </w:r>
          </w:p>
          <w:p w14:paraId="4D1AB02C" w14:textId="77777777" w:rsidR="00741E10" w:rsidRDefault="00741E10">
            <w:pPr>
              <w:pStyle w:val="BodyText"/>
            </w:pPr>
            <w:r w:rsidRPr="00FC601B">
              <w:t>Discover more insights in the JSA research article:</w:t>
            </w:r>
            <w:r>
              <w:t xml:space="preserve">  </w:t>
            </w:r>
            <w:hyperlink r:id="rId23" w:history="1">
              <w:r w:rsidRPr="0078262C">
                <w:rPr>
                  <w:color w:val="0000FF"/>
                  <w:u w:val="single"/>
                </w:rPr>
                <w:t>Employers’ experiences of young job applicants | Jobs and Skills Australia</w:t>
              </w:r>
            </w:hyperlink>
          </w:p>
          <w:p w14:paraId="13E55FF4" w14:textId="77777777" w:rsidR="00741E10" w:rsidRPr="000C7AFA" w:rsidRDefault="00741E10"/>
          <w:p w14:paraId="619ED08E" w14:textId="77777777" w:rsidR="00741E10" w:rsidRDefault="00741E10">
            <w:pPr>
              <w:pStyle w:val="Heading4"/>
            </w:pPr>
            <w:r w:rsidRPr="0078262C">
              <w:t>Mature age</w:t>
            </w:r>
            <w:r>
              <w:t xml:space="preserve"> jobseekers </w:t>
            </w:r>
          </w:p>
          <w:p w14:paraId="24B3CB47" w14:textId="77777777" w:rsidR="00741E10" w:rsidRDefault="00741E10">
            <w:pPr>
              <w:pStyle w:val="BodyText"/>
            </w:pPr>
            <w:r>
              <w:t xml:space="preserve">While the mature age unemployment rate is low, older people often face greater challenges in finding new employment if they lose their job. Insights from the REOS module on mature age jobseekers reveal that employers generally have positive views of older workers, particularly valuing their strong work ethic, experience and reliability. These qualities are frequently cited as key reasons for hiring mature age candidates. </w:t>
            </w:r>
          </w:p>
          <w:p w14:paraId="208A27A8" w14:textId="77777777" w:rsidR="00741E10" w:rsidRDefault="00741E10">
            <w:pPr>
              <w:pStyle w:val="BodyText"/>
            </w:pPr>
            <w:r>
              <w:t xml:space="preserve">Interestingly, in industries such as hospitality and retail, which tend to be dominated by younger workers, employers were still likely to select mature age workers based on their work ethic, attitude and reliability rather than their experience. In contrast, in other industries like healthcare, experience was the most common reason for hiring a mature age candidate.  </w:t>
            </w:r>
          </w:p>
          <w:p w14:paraId="6F2008BB" w14:textId="77777777" w:rsidR="00741E10" w:rsidRPr="000C7AFA" w:rsidRDefault="00741E10">
            <w:pPr>
              <w:pStyle w:val="BodyText"/>
            </w:pPr>
            <w:r>
              <w:t xml:space="preserve">Read more about mature age workers: </w:t>
            </w:r>
            <w:hyperlink r:id="rId24" w:history="1">
              <w:r w:rsidRPr="0078262C">
                <w:rPr>
                  <w:color w:val="0000FF"/>
                  <w:u w:val="single"/>
                </w:rPr>
                <w:t>Mature age workers and the labour market | Jobs and Skills Australia</w:t>
              </w:r>
            </w:hyperlink>
          </w:p>
          <w:p w14:paraId="3AFBF0AF" w14:textId="77777777" w:rsidR="00741E10" w:rsidRDefault="00741E10">
            <w:pPr>
              <w:pStyle w:val="BodyText"/>
            </w:pPr>
          </w:p>
          <w:p w14:paraId="6E4D4210" w14:textId="77777777" w:rsidR="00741E10" w:rsidRDefault="00741E10">
            <w:pPr>
              <w:pStyle w:val="Heading4"/>
            </w:pPr>
            <w:r w:rsidRPr="00841D00">
              <w:t>Upcoming special module:</w:t>
            </w:r>
            <w:r>
              <w:t xml:space="preserve"> </w:t>
            </w:r>
            <w:r w:rsidRPr="00841D00">
              <w:t>Employer experiences of applicants with disability</w:t>
            </w:r>
            <w:r>
              <w:t xml:space="preserve">: </w:t>
            </w:r>
          </w:p>
          <w:p w14:paraId="24EC4D82" w14:textId="77777777" w:rsidR="00741E10" w:rsidRDefault="00741E10">
            <w:pPr>
              <w:pStyle w:val="BodyText"/>
            </w:pPr>
            <w:r w:rsidRPr="00841D00">
              <w:t xml:space="preserve">Results are expected to be released </w:t>
            </w:r>
            <w:r>
              <w:t>by the end of 2025.</w:t>
            </w:r>
          </w:p>
        </w:tc>
      </w:tr>
    </w:tbl>
    <w:p w14:paraId="077ED60D" w14:textId="77777777" w:rsidR="00867AB9" w:rsidRDefault="00867AB9">
      <w:pPr>
        <w:spacing w:before="0" w:after="200" w:line="276" w:lineRule="auto"/>
        <w:rPr>
          <w:rFonts w:eastAsia="Times New Roman" w:cs="Arial"/>
          <w:b/>
          <w:bCs/>
          <w:color w:val="4B0985"/>
          <w:sz w:val="48"/>
          <w:szCs w:val="32"/>
          <w:lang w:eastAsia="en-AU"/>
        </w:rPr>
      </w:pPr>
      <w:r>
        <w:br w:type="page"/>
      </w:r>
    </w:p>
    <w:p w14:paraId="06D9D831" w14:textId="4CD44C45" w:rsidR="00FE18D3" w:rsidRPr="00FE18D3" w:rsidRDefault="00D13649" w:rsidP="00816B85">
      <w:pPr>
        <w:pStyle w:val="Heading1"/>
        <w:rPr>
          <w:rFonts w:eastAsia="MS PGothic"/>
        </w:rPr>
      </w:pPr>
      <w:bookmarkStart w:id="31" w:name="_Toc201057858"/>
      <w:r w:rsidRPr="00D13649">
        <w:lastRenderedPageBreak/>
        <w:t>Easing labour demand continues</w:t>
      </w:r>
      <w:bookmarkEnd w:id="9"/>
      <w:bookmarkEnd w:id="31"/>
    </w:p>
    <w:p w14:paraId="34487390" w14:textId="160647BB" w:rsidR="0088680A" w:rsidRDefault="0088680A" w:rsidP="0088680A">
      <w:pPr>
        <w:pStyle w:val="Caption"/>
        <w:rPr>
          <w:b w:val="0"/>
          <w:bCs w:val="0"/>
          <w:color w:val="auto"/>
          <w:sz w:val="22"/>
          <w:szCs w:val="20"/>
        </w:rPr>
      </w:pPr>
      <w:r w:rsidRPr="000733E0">
        <w:rPr>
          <w:b w:val="0"/>
          <w:bCs w:val="0"/>
          <w:color w:val="auto"/>
          <w:sz w:val="22"/>
          <w:szCs w:val="20"/>
        </w:rPr>
        <w:t>Jobs and Skills Australia’s IVI showed that the number of monthly job advertisements continued to decline over the March quarter 2025 and remained below the mid-2022 peak. During the quarter, advertisements fell by 9,700 (4.5%); and, over the year to March 2025, decreased by 42,900 (17.3%). The number of</w:t>
      </w:r>
      <w:r w:rsidR="0049671C">
        <w:rPr>
          <w:b w:val="0"/>
          <w:bCs w:val="0"/>
          <w:color w:val="auto"/>
          <w:sz w:val="22"/>
          <w:szCs w:val="20"/>
        </w:rPr>
        <w:t xml:space="preserve"> job</w:t>
      </w:r>
      <w:r w:rsidRPr="000733E0">
        <w:rPr>
          <w:b w:val="0"/>
          <w:bCs w:val="0"/>
          <w:color w:val="auto"/>
          <w:sz w:val="22"/>
          <w:szCs w:val="20"/>
        </w:rPr>
        <w:t xml:space="preserve"> advertisements was still higher than pre-COVID levels</w:t>
      </w:r>
      <w:r w:rsidR="005D4AE6">
        <w:rPr>
          <w:b w:val="0"/>
          <w:bCs w:val="0"/>
          <w:color w:val="auto"/>
          <w:sz w:val="22"/>
          <w:szCs w:val="20"/>
        </w:rPr>
        <w:t xml:space="preserve"> </w:t>
      </w:r>
      <w:r w:rsidRPr="00195DB4">
        <w:rPr>
          <w:rStyle w:val="BodyTextChar"/>
          <w:b w:val="0"/>
          <w:color w:val="000000" w:themeColor="text1"/>
        </w:rPr>
        <w:t>(</w:t>
      </w:r>
      <w:r w:rsidR="00DC0F04" w:rsidRPr="00DC0F04">
        <w:rPr>
          <w:rStyle w:val="BodyTextChar"/>
          <w:b w:val="0"/>
          <w:color w:val="000000" w:themeColor="text1"/>
        </w:rPr>
        <w:t>Figure 5</w:t>
      </w:r>
      <w:r w:rsidRPr="000733E0">
        <w:rPr>
          <w:b w:val="0"/>
          <w:bCs w:val="0"/>
          <w:color w:val="auto"/>
          <w:sz w:val="22"/>
          <w:szCs w:val="20"/>
        </w:rPr>
        <w:t>)</w:t>
      </w:r>
      <w:r w:rsidR="00F509A3">
        <w:rPr>
          <w:b w:val="0"/>
          <w:bCs w:val="0"/>
          <w:color w:val="auto"/>
          <w:sz w:val="22"/>
          <w:szCs w:val="20"/>
        </w:rPr>
        <w:t>.</w:t>
      </w:r>
    </w:p>
    <w:p w14:paraId="5A862D35" w14:textId="7D253813" w:rsidR="0088680A" w:rsidRPr="000733E0" w:rsidRDefault="001867B8" w:rsidP="001867B8">
      <w:pPr>
        <w:pStyle w:val="Caption"/>
        <w:rPr>
          <w:color w:val="auto"/>
        </w:rPr>
      </w:pPr>
      <w:bookmarkStart w:id="32" w:name="_Ref200454216"/>
      <w:bookmarkStart w:id="33" w:name="_Hlk198648496"/>
      <w:r>
        <w:t xml:space="preserve">Figure </w:t>
      </w:r>
      <w:r>
        <w:fldChar w:fldCharType="begin"/>
      </w:r>
      <w:r>
        <w:instrText xml:space="preserve"> SEQ Figure \* ARABIC </w:instrText>
      </w:r>
      <w:r>
        <w:fldChar w:fldCharType="separate"/>
      </w:r>
      <w:r w:rsidR="00D80BB2">
        <w:rPr>
          <w:noProof/>
        </w:rPr>
        <w:t>5</w:t>
      </w:r>
      <w:r>
        <w:fldChar w:fldCharType="end"/>
      </w:r>
      <w:bookmarkEnd w:id="32"/>
      <w:r w:rsidRPr="000733E0">
        <w:rPr>
          <w:color w:val="auto"/>
        </w:rPr>
        <w:t>: IVI job advertisements and unemployment rate, March 2006 to March 2025</w:t>
      </w:r>
    </w:p>
    <w:bookmarkEnd w:id="33"/>
    <w:p w14:paraId="6881388C" w14:textId="77777777" w:rsidR="0088680A" w:rsidRPr="000733E0" w:rsidRDefault="0088680A" w:rsidP="0088680A">
      <w:r>
        <w:rPr>
          <w:noProof/>
        </w:rPr>
        <w:drawing>
          <wp:inline distT="0" distB="0" distL="0" distR="0" wp14:anchorId="39DE87DF" wp14:editId="0CBD058D">
            <wp:extent cx="5519979" cy="2337473"/>
            <wp:effectExtent l="0" t="0" r="5080" b="5715"/>
            <wp:docPr id="708119817" name="Picture 4" descr="A graph of sales and s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19817" name="Picture 4" descr="A graph of sales and sales&#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46163" cy="2348561"/>
                    </a:xfrm>
                    <a:prstGeom prst="rect">
                      <a:avLst/>
                    </a:prstGeom>
                    <a:noFill/>
                  </pic:spPr>
                </pic:pic>
              </a:graphicData>
            </a:graphic>
          </wp:inline>
        </w:drawing>
      </w:r>
    </w:p>
    <w:p w14:paraId="40633B16" w14:textId="77777777" w:rsidR="0088680A" w:rsidRPr="000733E0" w:rsidRDefault="0088680A" w:rsidP="0088680A">
      <w:pPr>
        <w:pStyle w:val="Source"/>
      </w:pPr>
      <w:bookmarkStart w:id="34" w:name="_Toc189205686"/>
      <w:r w:rsidRPr="000733E0">
        <w:t>Source: ABS, Labour Force, Australia, seasonally adjusted data, March 2025; Jobs and Skills Australia, Internet Vacancy Index, seasonally adjusted data, March 2025.</w:t>
      </w:r>
    </w:p>
    <w:bookmarkEnd w:id="34"/>
    <w:p w14:paraId="6E515340" w14:textId="77777777" w:rsidR="00762809" w:rsidRDefault="00762809" w:rsidP="00762809">
      <w:pPr>
        <w:pStyle w:val="BodyText"/>
        <w:rPr>
          <w:rFonts w:eastAsia="Times New Roman" w:cs="Arial"/>
          <w:b/>
          <w:iCs/>
          <w:color w:val="2F005F"/>
          <w:sz w:val="32"/>
          <w:szCs w:val="28"/>
          <w:lang w:eastAsia="en-AU"/>
        </w:rPr>
      </w:pPr>
      <w:r w:rsidRPr="00C43246">
        <w:rPr>
          <w:rFonts w:eastAsia="Times New Roman" w:cs="Arial"/>
          <w:b/>
          <w:iCs/>
          <w:color w:val="2F005F"/>
          <w:sz w:val="32"/>
          <w:szCs w:val="28"/>
          <w:lang w:eastAsia="en-AU"/>
        </w:rPr>
        <w:t xml:space="preserve">Recruitment activity is </w:t>
      </w:r>
      <w:r>
        <w:rPr>
          <w:rFonts w:eastAsia="Times New Roman" w:cs="Arial"/>
          <w:b/>
          <w:iCs/>
          <w:color w:val="2F005F"/>
          <w:sz w:val="32"/>
          <w:szCs w:val="28"/>
          <w:lang w:eastAsia="en-AU"/>
        </w:rPr>
        <w:t>easing</w:t>
      </w:r>
      <w:r w:rsidRPr="00C43246">
        <w:rPr>
          <w:rFonts w:eastAsia="Times New Roman" w:cs="Arial"/>
          <w:b/>
          <w:iCs/>
          <w:color w:val="2F005F"/>
          <w:sz w:val="32"/>
          <w:szCs w:val="28"/>
          <w:lang w:eastAsia="en-AU"/>
        </w:rPr>
        <w:t xml:space="preserve"> </w:t>
      </w:r>
    </w:p>
    <w:p w14:paraId="5420F2FE" w14:textId="7D1434C0" w:rsidR="00C43246" w:rsidRPr="00C43246" w:rsidRDefault="00C43246" w:rsidP="00C43246">
      <w:pPr>
        <w:pStyle w:val="Caption"/>
        <w:rPr>
          <w:b w:val="0"/>
          <w:bCs w:val="0"/>
          <w:color w:val="auto"/>
          <w:sz w:val="22"/>
          <w:szCs w:val="20"/>
        </w:rPr>
      </w:pPr>
      <w:r w:rsidRPr="00C43246">
        <w:rPr>
          <w:b w:val="0"/>
          <w:bCs w:val="0"/>
          <w:color w:val="auto"/>
          <w:sz w:val="22"/>
          <w:szCs w:val="20"/>
        </w:rPr>
        <w:t xml:space="preserve">Jobs and Skills Australia’s REOS data indicates that labour market conditions were softer than in the March quarter 2024. The REOS recruitment rate, an indicator of recruitment activity, provides a robust indication of demand for workers and employer confidence in business conditions. </w:t>
      </w:r>
    </w:p>
    <w:p w14:paraId="13304425" w14:textId="3C16D236" w:rsidR="00C43246" w:rsidRDefault="00C5186C" w:rsidP="00C43246">
      <w:pPr>
        <w:pStyle w:val="Caption"/>
        <w:rPr>
          <w:b w:val="0"/>
          <w:bCs w:val="0"/>
          <w:color w:val="auto"/>
          <w:sz w:val="22"/>
          <w:szCs w:val="20"/>
        </w:rPr>
      </w:pPr>
      <w:r>
        <w:rPr>
          <w:b w:val="0"/>
          <w:bCs w:val="0"/>
          <w:color w:val="auto"/>
          <w:sz w:val="22"/>
          <w:szCs w:val="20"/>
        </w:rPr>
        <w:t xml:space="preserve">Despite a </w:t>
      </w:r>
      <w:r w:rsidR="00EE6757">
        <w:rPr>
          <w:b w:val="0"/>
          <w:bCs w:val="0"/>
          <w:color w:val="auto"/>
          <w:sz w:val="22"/>
          <w:szCs w:val="20"/>
        </w:rPr>
        <w:t xml:space="preserve">small </w:t>
      </w:r>
      <w:r>
        <w:rPr>
          <w:b w:val="0"/>
          <w:bCs w:val="0"/>
          <w:color w:val="auto"/>
          <w:sz w:val="22"/>
          <w:szCs w:val="20"/>
        </w:rPr>
        <w:t>uptick in recruitment in the M</w:t>
      </w:r>
      <w:r w:rsidR="00C43246" w:rsidRPr="00C43246">
        <w:rPr>
          <w:b w:val="0"/>
          <w:bCs w:val="0"/>
          <w:color w:val="auto"/>
          <w:sz w:val="22"/>
          <w:szCs w:val="20"/>
        </w:rPr>
        <w:t>arch quarter 2025</w:t>
      </w:r>
      <w:r>
        <w:rPr>
          <w:b w:val="0"/>
          <w:bCs w:val="0"/>
          <w:color w:val="auto"/>
          <w:sz w:val="22"/>
          <w:szCs w:val="20"/>
        </w:rPr>
        <w:t xml:space="preserve"> (up by 3 percentage point</w:t>
      </w:r>
      <w:r w:rsidR="003D357A">
        <w:rPr>
          <w:b w:val="0"/>
          <w:bCs w:val="0"/>
          <w:color w:val="auto"/>
          <w:sz w:val="22"/>
          <w:szCs w:val="20"/>
        </w:rPr>
        <w:t>s</w:t>
      </w:r>
      <w:r>
        <w:rPr>
          <w:b w:val="0"/>
          <w:bCs w:val="0"/>
          <w:color w:val="auto"/>
          <w:sz w:val="22"/>
          <w:szCs w:val="20"/>
        </w:rPr>
        <w:t xml:space="preserve"> over the quarter), the national</w:t>
      </w:r>
      <w:r w:rsidR="00C43246" w:rsidRPr="00C43246">
        <w:rPr>
          <w:b w:val="0"/>
          <w:bCs w:val="0"/>
          <w:color w:val="auto"/>
          <w:sz w:val="22"/>
          <w:szCs w:val="20"/>
        </w:rPr>
        <w:t xml:space="preserve"> recruitment rate (46%) </w:t>
      </w:r>
      <w:r w:rsidR="003D357A">
        <w:rPr>
          <w:b w:val="0"/>
          <w:bCs w:val="0"/>
          <w:color w:val="auto"/>
          <w:sz w:val="22"/>
          <w:szCs w:val="20"/>
        </w:rPr>
        <w:t>remains</w:t>
      </w:r>
      <w:r>
        <w:rPr>
          <w:b w:val="0"/>
          <w:bCs w:val="0"/>
          <w:color w:val="auto"/>
          <w:sz w:val="22"/>
          <w:szCs w:val="20"/>
        </w:rPr>
        <w:t xml:space="preserve"> </w:t>
      </w:r>
      <w:r w:rsidR="00C43246" w:rsidRPr="00C43246">
        <w:rPr>
          <w:b w:val="0"/>
          <w:bCs w:val="0"/>
          <w:color w:val="auto"/>
          <w:sz w:val="22"/>
          <w:szCs w:val="20"/>
        </w:rPr>
        <w:t xml:space="preserve">3 percentage points </w:t>
      </w:r>
      <w:r w:rsidR="003D357A">
        <w:rPr>
          <w:b w:val="0"/>
          <w:bCs w:val="0"/>
          <w:color w:val="auto"/>
          <w:sz w:val="22"/>
          <w:szCs w:val="20"/>
        </w:rPr>
        <w:t>lower than</w:t>
      </w:r>
      <w:r w:rsidR="00C43246" w:rsidRPr="00C43246">
        <w:rPr>
          <w:b w:val="0"/>
          <w:bCs w:val="0"/>
          <w:color w:val="auto"/>
          <w:sz w:val="22"/>
          <w:szCs w:val="20"/>
        </w:rPr>
        <w:t xml:space="preserve"> a year ago (49%). The rate was 12 percentage points lower than the June quarter 2022 peak (58%) (</w:t>
      </w:r>
      <w:r w:rsidR="00DC0F04" w:rsidRPr="00DC0F04">
        <w:rPr>
          <w:b w:val="0"/>
          <w:bCs w:val="0"/>
          <w:color w:val="auto"/>
          <w:sz w:val="22"/>
          <w:szCs w:val="20"/>
        </w:rPr>
        <w:t>Figure 6</w:t>
      </w:r>
      <w:r w:rsidR="00C43246" w:rsidRPr="00C43246">
        <w:rPr>
          <w:b w:val="0"/>
          <w:bCs w:val="0"/>
          <w:color w:val="auto"/>
          <w:sz w:val="22"/>
          <w:szCs w:val="20"/>
        </w:rPr>
        <w:t xml:space="preserve">). </w:t>
      </w:r>
      <w:r>
        <w:rPr>
          <w:b w:val="0"/>
          <w:bCs w:val="0"/>
          <w:color w:val="auto"/>
          <w:sz w:val="22"/>
          <w:szCs w:val="20"/>
        </w:rPr>
        <w:t xml:space="preserve"> </w:t>
      </w:r>
    </w:p>
    <w:p w14:paraId="3DF2838D" w14:textId="31FB3122" w:rsidR="001867B8" w:rsidRDefault="005D1222" w:rsidP="005D1222">
      <w:pPr>
        <w:pStyle w:val="Caption"/>
        <w:keepNext/>
        <w:keepLines/>
      </w:pPr>
      <w:bookmarkStart w:id="35" w:name="_Ref200454468"/>
      <w:r>
        <w:lastRenderedPageBreak/>
        <w:t xml:space="preserve">Figure </w:t>
      </w:r>
      <w:r>
        <w:fldChar w:fldCharType="begin"/>
      </w:r>
      <w:r>
        <w:instrText xml:space="preserve"> SEQ Figure \* ARABIC </w:instrText>
      </w:r>
      <w:r>
        <w:fldChar w:fldCharType="separate"/>
      </w:r>
      <w:r w:rsidR="00D80BB2">
        <w:rPr>
          <w:noProof/>
        </w:rPr>
        <w:t>6</w:t>
      </w:r>
      <w:r>
        <w:fldChar w:fldCharType="end"/>
      </w:r>
      <w:bookmarkEnd w:id="35"/>
      <w:r>
        <w:t xml:space="preserve">: </w:t>
      </w:r>
      <w:r w:rsidRPr="00C24D9C">
        <w:t>Recruitment rate, March quarter 2021 to March quarter 2025</w:t>
      </w:r>
    </w:p>
    <w:p w14:paraId="0CABAD5D" w14:textId="77777777" w:rsidR="004E06C3" w:rsidRDefault="003162F0" w:rsidP="005D1222">
      <w:pPr>
        <w:pStyle w:val="Source"/>
        <w:keepNext/>
        <w:keepLines/>
        <w:rPr>
          <w:rFonts w:eastAsia="Arial"/>
        </w:rPr>
      </w:pPr>
      <w:r>
        <w:rPr>
          <w:noProof/>
        </w:rPr>
        <w:drawing>
          <wp:inline distT="0" distB="0" distL="0" distR="0" wp14:anchorId="5BC8AFF9" wp14:editId="5013CEB1">
            <wp:extent cx="5731510" cy="2655735"/>
            <wp:effectExtent l="0" t="0" r="2540" b="0"/>
            <wp:docPr id="124939897" name="Chart 1">
              <a:extLst xmlns:a="http://schemas.openxmlformats.org/drawingml/2006/main">
                <a:ext uri="{FF2B5EF4-FFF2-40B4-BE49-F238E27FC236}">
                  <a16:creationId xmlns:a16="http://schemas.microsoft.com/office/drawing/2014/main" id="{79394E85-599D-4D17-9E05-8FDED9DB75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FE18D3" w:rsidRPr="00177D7B">
        <w:rPr>
          <w:highlight w:val="yellow"/>
        </w:rPr>
        <w:br/>
      </w:r>
    </w:p>
    <w:p w14:paraId="5A716A4A" w14:textId="714F5CE5" w:rsidR="00C43246" w:rsidRPr="004E06C3" w:rsidRDefault="00FE18D3" w:rsidP="004E06C3">
      <w:pPr>
        <w:pStyle w:val="Source"/>
        <w:rPr>
          <w:rFonts w:eastAsia="Arial"/>
        </w:rPr>
      </w:pPr>
      <w:r w:rsidRPr="004E06C3">
        <w:rPr>
          <w:rFonts w:eastAsia="Arial"/>
        </w:rPr>
        <w:t xml:space="preserve">Source: </w:t>
      </w:r>
      <w:r w:rsidR="00C43246" w:rsidRPr="004E06C3">
        <w:rPr>
          <w:rFonts w:eastAsia="Arial"/>
        </w:rPr>
        <w:t>Jobs and Skills Australia, REOS, March quarter 2025</w:t>
      </w:r>
    </w:p>
    <w:p w14:paraId="5FB31F91" w14:textId="4C984236" w:rsidR="00C43246" w:rsidRDefault="00C43246" w:rsidP="00FD5E3B">
      <w:pPr>
        <w:pStyle w:val="Caption"/>
        <w:rPr>
          <w:b w:val="0"/>
          <w:bCs w:val="0"/>
          <w:color w:val="auto"/>
          <w:sz w:val="22"/>
          <w:szCs w:val="20"/>
        </w:rPr>
      </w:pPr>
      <w:bookmarkStart w:id="36" w:name="_Toc151365187"/>
      <w:r w:rsidRPr="00C43246">
        <w:rPr>
          <w:b w:val="0"/>
          <w:bCs w:val="0"/>
          <w:color w:val="auto"/>
          <w:sz w:val="22"/>
          <w:szCs w:val="20"/>
        </w:rPr>
        <w:t>REOS</w:t>
      </w:r>
      <w:r w:rsidR="00C32C05">
        <w:rPr>
          <w:b w:val="0"/>
          <w:bCs w:val="0"/>
          <w:color w:val="auto"/>
          <w:sz w:val="22"/>
          <w:szCs w:val="20"/>
        </w:rPr>
        <w:t xml:space="preserve"> data</w:t>
      </w:r>
      <w:r w:rsidRPr="00C43246">
        <w:rPr>
          <w:b w:val="0"/>
          <w:bCs w:val="0"/>
          <w:color w:val="auto"/>
          <w:sz w:val="22"/>
          <w:szCs w:val="20"/>
        </w:rPr>
        <w:t xml:space="preserve"> shows that recruitment rates decreased in almost all states over the year to the March quarter 2025 </w:t>
      </w:r>
      <w:r w:rsidR="00B4512F">
        <w:rPr>
          <w:b w:val="0"/>
          <w:bCs w:val="0"/>
          <w:color w:val="auto"/>
          <w:sz w:val="22"/>
          <w:szCs w:val="20"/>
        </w:rPr>
        <w:t>(</w:t>
      </w:r>
      <w:r w:rsidR="00BD524E" w:rsidRPr="00BD524E">
        <w:rPr>
          <w:b w:val="0"/>
          <w:bCs w:val="0"/>
          <w:color w:val="000000" w:themeColor="text1"/>
          <w:sz w:val="22"/>
          <w:szCs w:val="20"/>
        </w:rPr>
        <w:t>Figure 7</w:t>
      </w:r>
      <w:r w:rsidRPr="00C43246">
        <w:rPr>
          <w:b w:val="0"/>
          <w:bCs w:val="0"/>
          <w:color w:val="auto"/>
          <w:sz w:val="22"/>
          <w:szCs w:val="20"/>
        </w:rPr>
        <w:t>). The largest fall was recorded in Victoria, w</w:t>
      </w:r>
      <w:r w:rsidR="002A4D2B">
        <w:rPr>
          <w:b w:val="0"/>
          <w:bCs w:val="0"/>
          <w:color w:val="auto"/>
          <w:sz w:val="22"/>
          <w:szCs w:val="20"/>
        </w:rPr>
        <w:t>ith</w:t>
      </w:r>
      <w:r w:rsidRPr="00C43246">
        <w:rPr>
          <w:b w:val="0"/>
          <w:bCs w:val="0"/>
          <w:color w:val="auto"/>
          <w:sz w:val="22"/>
          <w:szCs w:val="20"/>
        </w:rPr>
        <w:t xml:space="preserve"> a decline of </w:t>
      </w:r>
      <w:r w:rsidR="008856CB" w:rsidRPr="00C43246">
        <w:rPr>
          <w:b w:val="0"/>
          <w:bCs w:val="0"/>
          <w:color w:val="auto"/>
          <w:sz w:val="22"/>
          <w:szCs w:val="20"/>
        </w:rPr>
        <w:t>7</w:t>
      </w:r>
      <w:r w:rsidR="008856CB">
        <w:rPr>
          <w:b w:val="0"/>
          <w:bCs w:val="0"/>
          <w:color w:val="auto"/>
          <w:sz w:val="22"/>
          <w:szCs w:val="20"/>
        </w:rPr>
        <w:t> </w:t>
      </w:r>
      <w:r w:rsidRPr="00C43246">
        <w:rPr>
          <w:b w:val="0"/>
          <w:bCs w:val="0"/>
          <w:color w:val="auto"/>
          <w:sz w:val="22"/>
          <w:szCs w:val="20"/>
        </w:rPr>
        <w:t xml:space="preserve">percentage points over the year. South Australia was the only state to record an increase in recruitment activity over the year, </w:t>
      </w:r>
      <w:r w:rsidR="00FA5816">
        <w:rPr>
          <w:b w:val="0"/>
          <w:bCs w:val="0"/>
          <w:color w:val="auto"/>
          <w:sz w:val="22"/>
          <w:szCs w:val="20"/>
        </w:rPr>
        <w:t>with</w:t>
      </w:r>
      <w:r w:rsidRPr="00C43246">
        <w:rPr>
          <w:b w:val="0"/>
          <w:bCs w:val="0"/>
          <w:color w:val="auto"/>
          <w:sz w:val="22"/>
          <w:szCs w:val="20"/>
        </w:rPr>
        <w:t xml:space="preserve"> </w:t>
      </w:r>
      <w:r w:rsidR="00066F3D">
        <w:rPr>
          <w:b w:val="0"/>
          <w:bCs w:val="0"/>
          <w:color w:val="auto"/>
          <w:sz w:val="22"/>
          <w:szCs w:val="20"/>
        </w:rPr>
        <w:t xml:space="preserve">a </w:t>
      </w:r>
      <w:proofErr w:type="gramStart"/>
      <w:r w:rsidRPr="00C43246">
        <w:rPr>
          <w:b w:val="0"/>
          <w:bCs w:val="0"/>
          <w:color w:val="auto"/>
          <w:sz w:val="22"/>
          <w:szCs w:val="20"/>
        </w:rPr>
        <w:t>7</w:t>
      </w:r>
      <w:r>
        <w:rPr>
          <w:b w:val="0"/>
          <w:bCs w:val="0"/>
          <w:color w:val="auto"/>
          <w:sz w:val="22"/>
          <w:szCs w:val="20"/>
        </w:rPr>
        <w:t xml:space="preserve"> </w:t>
      </w:r>
      <w:r w:rsidRPr="00C43246">
        <w:rPr>
          <w:b w:val="0"/>
          <w:bCs w:val="0"/>
          <w:color w:val="auto"/>
          <w:sz w:val="22"/>
          <w:szCs w:val="20"/>
        </w:rPr>
        <w:t>percentage</w:t>
      </w:r>
      <w:proofErr w:type="gramEnd"/>
      <w:r w:rsidRPr="00C43246">
        <w:rPr>
          <w:b w:val="0"/>
          <w:bCs w:val="0"/>
          <w:color w:val="auto"/>
          <w:sz w:val="22"/>
          <w:szCs w:val="20"/>
        </w:rPr>
        <w:t xml:space="preserve"> point increase.</w:t>
      </w:r>
    </w:p>
    <w:p w14:paraId="4A085F03" w14:textId="3876CFAB" w:rsidR="001867B8" w:rsidRDefault="006C5356" w:rsidP="006C5356">
      <w:pPr>
        <w:pStyle w:val="Caption"/>
      </w:pPr>
      <w:bookmarkStart w:id="37" w:name="_Ref200455124"/>
      <w:bookmarkStart w:id="38" w:name="_Ref200455111"/>
      <w:r>
        <w:t xml:space="preserve">Figure </w:t>
      </w:r>
      <w:r>
        <w:fldChar w:fldCharType="begin"/>
      </w:r>
      <w:r>
        <w:instrText xml:space="preserve"> SEQ Figure \* ARABIC </w:instrText>
      </w:r>
      <w:r>
        <w:fldChar w:fldCharType="separate"/>
      </w:r>
      <w:r w:rsidR="00D80BB2">
        <w:rPr>
          <w:noProof/>
        </w:rPr>
        <w:t>7</w:t>
      </w:r>
      <w:r>
        <w:fldChar w:fldCharType="end"/>
      </w:r>
      <w:bookmarkEnd w:id="37"/>
      <w:r>
        <w:t xml:space="preserve">: </w:t>
      </w:r>
      <w:r w:rsidRPr="00A64734">
        <w:t>Recruitment rate, by state, March quarter 2024 to March quarter 2025</w:t>
      </w:r>
      <w:bookmarkEnd w:id="38"/>
    </w:p>
    <w:p w14:paraId="063B1818" w14:textId="3170DF97" w:rsidR="009427F7" w:rsidRDefault="008856CB" w:rsidP="00B01E80">
      <w:pPr>
        <w:pStyle w:val="Source"/>
      </w:pPr>
      <w:r>
        <w:rPr>
          <w:noProof/>
        </w:rPr>
        <w:drawing>
          <wp:inline distT="0" distB="0" distL="0" distR="0" wp14:anchorId="468F95B9" wp14:editId="4590F08E">
            <wp:extent cx="5731510" cy="2924175"/>
            <wp:effectExtent l="0" t="0" r="2540" b="0"/>
            <wp:docPr id="1134030290" name="Chart 1">
              <a:extLst xmlns:a="http://schemas.openxmlformats.org/drawingml/2006/main">
                <a:ext uri="{FF2B5EF4-FFF2-40B4-BE49-F238E27FC236}">
                  <a16:creationId xmlns:a16="http://schemas.microsoft.com/office/drawing/2014/main" id="{A01B5E87-9312-405E-A69E-79C2CDA0A9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FE18D3" w:rsidRPr="00177D7B">
        <w:rPr>
          <w:rFonts w:eastAsia="Arial"/>
          <w:highlight w:val="yellow"/>
        </w:rPr>
        <w:br/>
      </w:r>
      <w:r w:rsidR="00FE18D3" w:rsidRPr="004E06C3">
        <w:rPr>
          <w:rFonts w:eastAsia="Arial"/>
        </w:rPr>
        <w:t xml:space="preserve">Source: </w:t>
      </w:r>
      <w:r w:rsidR="00C43246" w:rsidRPr="004E06C3">
        <w:rPr>
          <w:rFonts w:eastAsia="Arial"/>
        </w:rPr>
        <w:t>Jobs and Skills Australia, REOS, March quarter 2025.</w:t>
      </w:r>
      <w:r w:rsidR="00FE18D3" w:rsidRPr="004E06C3">
        <w:rPr>
          <w:rFonts w:eastAsia="Arial"/>
        </w:rPr>
        <w:br/>
        <w:t>Note: Data for the ACT and the NT are not available on a quarterly basis, due to small sample sizes.</w:t>
      </w:r>
    </w:p>
    <w:p w14:paraId="47578FFE" w14:textId="611BFE16" w:rsidR="009427F7" w:rsidRDefault="009427F7" w:rsidP="00C43246">
      <w:pPr>
        <w:pStyle w:val="BodyText"/>
      </w:pPr>
      <w:r>
        <w:rPr>
          <w:rFonts w:eastAsia="Times New Roman" w:cs="Arial"/>
          <w:b/>
          <w:iCs/>
          <w:color w:val="2F005F"/>
          <w:sz w:val="32"/>
          <w:szCs w:val="28"/>
          <w:lang w:eastAsia="en-AU"/>
        </w:rPr>
        <w:t>E</w:t>
      </w:r>
      <w:r w:rsidRPr="00C43246">
        <w:rPr>
          <w:rFonts w:eastAsia="Times New Roman" w:cs="Arial"/>
          <w:b/>
          <w:iCs/>
          <w:color w:val="2F005F"/>
          <w:sz w:val="32"/>
          <w:szCs w:val="28"/>
          <w:lang w:eastAsia="en-AU"/>
        </w:rPr>
        <w:t>mployers are experiencing less difficulty recruiting</w:t>
      </w:r>
    </w:p>
    <w:p w14:paraId="38251421" w14:textId="17B3C07B" w:rsidR="00EE6757" w:rsidRDefault="00EE6757" w:rsidP="00C43246">
      <w:pPr>
        <w:pStyle w:val="BodyText"/>
      </w:pPr>
      <w:r>
        <w:t>Over the three months to the March quarter 2025, recruitment difficulty rose by three percentage points to 46%. Despite the rise over the quarter,</w:t>
      </w:r>
      <w:r w:rsidR="00C43246" w:rsidRPr="00002EBE">
        <w:t xml:space="preserve"> </w:t>
      </w:r>
      <w:r w:rsidR="00C43246">
        <w:t xml:space="preserve">the </w:t>
      </w:r>
      <w:r w:rsidR="00C43246" w:rsidRPr="00002EBE">
        <w:t>recruitment difficulty</w:t>
      </w:r>
      <w:r w:rsidR="00C43246">
        <w:t xml:space="preserve"> rate</w:t>
      </w:r>
      <w:r w:rsidR="00C43246" w:rsidRPr="00002EBE">
        <w:rPr>
          <w:rStyle w:val="FootnoteReference"/>
        </w:rPr>
        <w:footnoteReference w:id="7"/>
      </w:r>
      <w:r w:rsidR="00C43246" w:rsidRPr="00002EBE">
        <w:t xml:space="preserve"> is 10</w:t>
      </w:r>
      <w:r w:rsidR="00C43246">
        <w:t> </w:t>
      </w:r>
      <w:r w:rsidR="00C43246" w:rsidRPr="00002EBE">
        <w:t>percentage points lower than it was a year ago</w:t>
      </w:r>
      <w:r>
        <w:t xml:space="preserve">, in </w:t>
      </w:r>
      <w:r w:rsidRPr="00002EBE">
        <w:t xml:space="preserve">line with lower national recruitment </w:t>
      </w:r>
      <w:r w:rsidRPr="00002EBE">
        <w:lastRenderedPageBreak/>
        <w:t>activity over the year</w:t>
      </w:r>
      <w:r>
        <w:t xml:space="preserve">. The recruitment difficulty rate remains </w:t>
      </w:r>
      <w:r w:rsidR="00C43246" w:rsidRPr="00002EBE">
        <w:t>29 percentage points below the</w:t>
      </w:r>
      <w:r w:rsidR="00736474">
        <w:t xml:space="preserve"> peak of </w:t>
      </w:r>
      <w:r w:rsidR="005075F2">
        <w:t>72% in the</w:t>
      </w:r>
      <w:r w:rsidR="00C43246" w:rsidRPr="00002EBE">
        <w:t xml:space="preserve"> September quarter 2022.</w:t>
      </w:r>
      <w:r w:rsidR="009427F7">
        <w:t xml:space="preserve"> </w:t>
      </w:r>
    </w:p>
    <w:p w14:paraId="4481BEAC" w14:textId="7BFE64BB" w:rsidR="00C43246" w:rsidRDefault="00C43246" w:rsidP="00C43246">
      <w:pPr>
        <w:pStyle w:val="BodyText"/>
      </w:pPr>
      <w:r w:rsidRPr="00002EBE">
        <w:t>Recruitment difficulty rates also decreased in all the states</w:t>
      </w:r>
      <w:r w:rsidR="00EE6757">
        <w:t xml:space="preserve"> over the year</w:t>
      </w:r>
      <w:r w:rsidR="00AC5C1A">
        <w:t xml:space="preserve"> to the March quarter 2025</w:t>
      </w:r>
      <w:r w:rsidR="00763929">
        <w:t xml:space="preserve"> (</w:t>
      </w:r>
      <w:r w:rsidR="00DC0F04" w:rsidRPr="00DC0F04">
        <w:t>Figure 8</w:t>
      </w:r>
      <w:r w:rsidR="00763929">
        <w:t>)</w:t>
      </w:r>
      <w:r w:rsidRPr="00002EBE">
        <w:t xml:space="preserve">. </w:t>
      </w:r>
      <w:r w:rsidR="00A602D5">
        <w:t xml:space="preserve">The recruitment difficulty rate in </w:t>
      </w:r>
      <w:r w:rsidR="00004789">
        <w:t>New South Wales, Victoria, Queensland and Western Australia</w:t>
      </w:r>
      <w:r w:rsidR="00A602D5">
        <w:t xml:space="preserve"> are now at their lowest, or equal lowest levels since </w:t>
      </w:r>
      <w:r w:rsidR="00A3048A">
        <w:t>early</w:t>
      </w:r>
      <w:r w:rsidR="002D608A">
        <w:t xml:space="preserve"> </w:t>
      </w:r>
      <w:r w:rsidR="00A602D5">
        <w:t xml:space="preserve">2021. </w:t>
      </w:r>
      <w:r w:rsidRPr="00002EBE">
        <w:t>Queensland recorded the highest recruitment difficulty rate</w:t>
      </w:r>
      <w:r w:rsidR="0007259A">
        <w:t xml:space="preserve"> among </w:t>
      </w:r>
      <w:r w:rsidR="0037583E">
        <w:t>all states at</w:t>
      </w:r>
      <w:r w:rsidR="00E93E20">
        <w:t xml:space="preserve"> </w:t>
      </w:r>
      <w:r w:rsidRPr="00002EBE">
        <w:t>45%</w:t>
      </w:r>
      <w:r w:rsidR="00E93E20">
        <w:t>,</w:t>
      </w:r>
      <w:r w:rsidR="00BD6EA8">
        <w:t xml:space="preserve"> making</w:t>
      </w:r>
      <w:r w:rsidR="00B11A0D">
        <w:t xml:space="preserve"> the third consecutive quarter</w:t>
      </w:r>
      <w:r w:rsidR="00715DDF">
        <w:t xml:space="preserve"> it has </w:t>
      </w:r>
      <w:r w:rsidR="002E5095">
        <w:t>topped the national ra</w:t>
      </w:r>
      <w:r w:rsidR="00AD1E95">
        <w:t>n</w:t>
      </w:r>
      <w:r w:rsidR="002E5095">
        <w:t>kings</w:t>
      </w:r>
      <w:r w:rsidR="00F04C42">
        <w:t>. It was</w:t>
      </w:r>
      <w:r w:rsidRPr="00002EBE">
        <w:t xml:space="preserve"> followed</w:t>
      </w:r>
      <w:r w:rsidR="0080089D">
        <w:t xml:space="preserve"> closely</w:t>
      </w:r>
      <w:r w:rsidRPr="00002EBE">
        <w:t xml:space="preserve"> by New South Wales, Victoria and Western Australia</w:t>
      </w:r>
      <w:r w:rsidR="002239B5">
        <w:t>, each</w:t>
      </w:r>
      <w:r w:rsidR="00F94E71">
        <w:t xml:space="preserve"> at </w:t>
      </w:r>
      <w:r w:rsidRPr="00002EBE">
        <w:t>43%.</w:t>
      </w:r>
      <w:r w:rsidR="009162FE">
        <w:t xml:space="preserve"> Queensland</w:t>
      </w:r>
      <w:r w:rsidR="00772225">
        <w:t xml:space="preserve"> and Western Australia</w:t>
      </w:r>
      <w:r w:rsidR="009162FE">
        <w:t xml:space="preserve"> both</w:t>
      </w:r>
      <w:r w:rsidR="00FC6625">
        <w:t xml:space="preserve"> recorded large</w:t>
      </w:r>
      <w:r w:rsidR="00B9234B">
        <w:t>r</w:t>
      </w:r>
      <w:r w:rsidR="00FC6625">
        <w:t xml:space="preserve"> </w:t>
      </w:r>
      <w:r w:rsidR="00AA799C">
        <w:t>declines</w:t>
      </w:r>
      <w:r w:rsidR="00FC6625">
        <w:t xml:space="preserve"> in recruitment difficulty over the year</w:t>
      </w:r>
      <w:r w:rsidR="0060513F">
        <w:t xml:space="preserve"> to the March quarter 2025</w:t>
      </w:r>
      <w:r w:rsidR="00F216F1">
        <w:t xml:space="preserve"> (</w:t>
      </w:r>
      <w:r w:rsidR="000B43BB">
        <w:t xml:space="preserve">each </w:t>
      </w:r>
      <w:r w:rsidR="004F52B3">
        <w:t xml:space="preserve">falling </w:t>
      </w:r>
      <w:r w:rsidR="00F216F1">
        <w:t>by 11 percentage points over thi</w:t>
      </w:r>
      <w:r w:rsidR="00B9234B">
        <w:t>s period)</w:t>
      </w:r>
      <w:r w:rsidR="0060513F">
        <w:t xml:space="preserve">. </w:t>
      </w:r>
      <w:r w:rsidR="004B5AF7">
        <w:t xml:space="preserve"> </w:t>
      </w:r>
    </w:p>
    <w:p w14:paraId="563DEC4F" w14:textId="70D7D7B8" w:rsidR="00A13DAB" w:rsidRDefault="00A13DAB" w:rsidP="00A13DAB">
      <w:pPr>
        <w:pStyle w:val="Caption"/>
      </w:pPr>
      <w:bookmarkStart w:id="39" w:name="_Ref200454605"/>
      <w:r>
        <w:t xml:space="preserve">Figure </w:t>
      </w:r>
      <w:r>
        <w:fldChar w:fldCharType="begin"/>
      </w:r>
      <w:r>
        <w:instrText xml:space="preserve"> SEQ Figure \* ARABIC </w:instrText>
      </w:r>
      <w:r>
        <w:fldChar w:fldCharType="separate"/>
      </w:r>
      <w:r w:rsidR="00D80BB2">
        <w:rPr>
          <w:noProof/>
        </w:rPr>
        <w:t>8</w:t>
      </w:r>
      <w:r>
        <w:fldChar w:fldCharType="end"/>
      </w:r>
      <w:bookmarkEnd w:id="39"/>
      <w:r w:rsidRPr="00EF4D03">
        <w:t>: Recruitment difficulty rate by state, March quarter 2024 to March quarter 2025</w:t>
      </w:r>
    </w:p>
    <w:p w14:paraId="5216BD9C" w14:textId="6791F1AF" w:rsidR="002054E8" w:rsidRPr="002054E8" w:rsidRDefault="006E6D79" w:rsidP="006E6D79">
      <w:pPr>
        <w:pStyle w:val="BodyText"/>
        <w:rPr>
          <w:highlight w:val="yellow"/>
        </w:rPr>
      </w:pPr>
      <w:r>
        <w:rPr>
          <w:noProof/>
        </w:rPr>
        <w:drawing>
          <wp:inline distT="0" distB="0" distL="0" distR="0" wp14:anchorId="64F1AECC" wp14:editId="291CCE33">
            <wp:extent cx="5731510" cy="2606722"/>
            <wp:effectExtent l="0" t="0" r="2540" b="3175"/>
            <wp:docPr id="1961885092" name="Chart 1">
              <a:extLst xmlns:a="http://schemas.openxmlformats.org/drawingml/2006/main">
                <a:ext uri="{FF2B5EF4-FFF2-40B4-BE49-F238E27FC236}">
                  <a16:creationId xmlns:a16="http://schemas.microsoft.com/office/drawing/2014/main" id="{68929B49-7CD1-45B1-AA2A-B7673E6A0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bookmarkEnd w:id="36"/>
    <w:p w14:paraId="1E957505" w14:textId="0F633DC3" w:rsidR="00FE18D3" w:rsidRPr="00177D7B" w:rsidRDefault="0094110E" w:rsidP="0094110E">
      <w:pPr>
        <w:pStyle w:val="Source"/>
        <w:rPr>
          <w:rFonts w:eastAsia="Arial"/>
          <w:highlight w:val="yellow"/>
        </w:rPr>
      </w:pPr>
      <w:r w:rsidRPr="00C43246">
        <w:rPr>
          <w:rFonts w:eastAsia="Arial"/>
        </w:rPr>
        <w:t xml:space="preserve">Source: </w:t>
      </w:r>
      <w:r w:rsidR="00C43246" w:rsidRPr="00C43246">
        <w:rPr>
          <w:rFonts w:eastAsia="Arial"/>
        </w:rPr>
        <w:t>Jobs and Skills Australia, REOS, March quarter 2025.</w:t>
      </w:r>
      <w:r w:rsidRPr="00C43246">
        <w:rPr>
          <w:rFonts w:eastAsia="Arial"/>
        </w:rPr>
        <w:br/>
        <w:t xml:space="preserve">Note: Data for the ACT and the NT are not available on a quarterly basis, due to small sample sizes. </w:t>
      </w:r>
    </w:p>
    <w:p w14:paraId="7095AD87" w14:textId="77777777" w:rsidR="005B0593" w:rsidRDefault="00CA1680" w:rsidP="00CA1680">
      <w:pPr>
        <w:pStyle w:val="BodyText"/>
      </w:pPr>
      <w:r w:rsidRPr="009F71C5">
        <w:t xml:space="preserve">In general, the recruitment difficulty rate </w:t>
      </w:r>
      <w:r w:rsidR="00CE5B7B">
        <w:t>tends to be</w:t>
      </w:r>
      <w:r w:rsidRPr="009F71C5">
        <w:t xml:space="preserve"> higher for regions far from large population hubs. </w:t>
      </w:r>
      <w:r>
        <w:t>Results for</w:t>
      </w:r>
      <w:r w:rsidRPr="009F71C5">
        <w:t xml:space="preserve"> the March quarter 2025,</w:t>
      </w:r>
      <w:r>
        <w:t xml:space="preserve"> however, show</w:t>
      </w:r>
      <w:r w:rsidRPr="009F71C5">
        <w:t xml:space="preserve"> the recruitment difficulty rate for Outer Regional, Remote and Very Remote Australia was the same </w:t>
      </w:r>
      <w:r>
        <w:t xml:space="preserve">as Major Cities </w:t>
      </w:r>
      <w:r w:rsidRPr="009F71C5">
        <w:t xml:space="preserve">(both 41%). The highest recruitment difficulty rate was recorded in Inner Regional Australia </w:t>
      </w:r>
      <w:r w:rsidR="000B48F4">
        <w:t xml:space="preserve">at </w:t>
      </w:r>
      <w:r w:rsidRPr="009F71C5">
        <w:t xml:space="preserve">52%. </w:t>
      </w:r>
    </w:p>
    <w:p w14:paraId="0E992A52" w14:textId="063F4C0F" w:rsidR="00E36AB6" w:rsidRDefault="00CA1680" w:rsidP="00CA1680">
      <w:pPr>
        <w:pStyle w:val="BodyText"/>
      </w:pPr>
      <w:r w:rsidRPr="009F71C5">
        <w:t xml:space="preserve">Over the year, the largest annual </w:t>
      </w:r>
      <w:r>
        <w:t>decrease</w:t>
      </w:r>
      <w:r w:rsidRPr="009F71C5">
        <w:t xml:space="preserve"> in </w:t>
      </w:r>
      <w:r>
        <w:t xml:space="preserve">the </w:t>
      </w:r>
      <w:r w:rsidRPr="009F71C5">
        <w:t xml:space="preserve">recruitment difficulty </w:t>
      </w:r>
      <w:r>
        <w:t xml:space="preserve">rate </w:t>
      </w:r>
      <w:r w:rsidRPr="009F71C5">
        <w:t xml:space="preserve">was </w:t>
      </w:r>
      <w:r w:rsidR="000B48F4">
        <w:t>observed</w:t>
      </w:r>
      <w:r w:rsidRPr="009F71C5">
        <w:t xml:space="preserve"> in Outer Regional, Remote and Very Remote Australia (down by 24 percentage</w:t>
      </w:r>
      <w:r>
        <w:t xml:space="preserve"> points</w:t>
      </w:r>
      <w:r w:rsidRPr="009F71C5">
        <w:t xml:space="preserve">), while </w:t>
      </w:r>
      <w:r>
        <w:t>M</w:t>
      </w:r>
      <w:r w:rsidRPr="009F71C5">
        <w:t xml:space="preserve">ajor </w:t>
      </w:r>
      <w:r>
        <w:t>C</w:t>
      </w:r>
      <w:r w:rsidRPr="009F71C5">
        <w:t xml:space="preserve">ities and Inner Regional Australia also </w:t>
      </w:r>
      <w:r w:rsidR="00D52B69">
        <w:t>experien</w:t>
      </w:r>
      <w:r w:rsidR="005E08E5">
        <w:t>ced</w:t>
      </w:r>
      <w:r w:rsidR="00D52B69" w:rsidRPr="009F71C5">
        <w:t xml:space="preserve"> </w:t>
      </w:r>
      <w:r w:rsidR="00250FAD">
        <w:t>decreases</w:t>
      </w:r>
      <w:r>
        <w:t xml:space="preserve"> </w:t>
      </w:r>
      <w:r w:rsidR="00250FAD">
        <w:t>of</w:t>
      </w:r>
      <w:r w:rsidRPr="009F71C5">
        <w:t xml:space="preserve"> 8 and 7 percentage points</w:t>
      </w:r>
      <w:r w:rsidR="00250FAD">
        <w:t>,</w:t>
      </w:r>
      <w:r w:rsidRPr="009F71C5">
        <w:t xml:space="preserve"> respectively.</w:t>
      </w:r>
      <w:r w:rsidR="005B0593">
        <w:t xml:space="preserve"> </w:t>
      </w:r>
      <w:r w:rsidRPr="00213304">
        <w:t xml:space="preserve">Employers in Outer Regional, Remote and Very Remote Australia were the most likely to </w:t>
      </w:r>
      <w:r w:rsidR="005E2A06">
        <w:t>anticipate</w:t>
      </w:r>
      <w:r w:rsidRPr="00213304">
        <w:t xml:space="preserve"> increas</w:t>
      </w:r>
      <w:r w:rsidR="005E2A06">
        <w:t>ing</w:t>
      </w:r>
      <w:r w:rsidRPr="00213304">
        <w:t xml:space="preserve"> their staffing levels in the next three months (23% of employers), follow</w:t>
      </w:r>
      <w:r w:rsidR="004B3096">
        <w:t>ed</w:t>
      </w:r>
      <w:r w:rsidRPr="00213304">
        <w:t xml:space="preserve"> by </w:t>
      </w:r>
      <w:r w:rsidR="004B3096">
        <w:t xml:space="preserve">those in </w:t>
      </w:r>
      <w:r w:rsidRPr="00213304">
        <w:t xml:space="preserve">Inner Regional Australia (20%) and </w:t>
      </w:r>
      <w:r>
        <w:t>M</w:t>
      </w:r>
      <w:r w:rsidRPr="00213304">
        <w:t xml:space="preserve">ajor </w:t>
      </w:r>
      <w:r>
        <w:t>C</w:t>
      </w:r>
      <w:r w:rsidRPr="00213304">
        <w:t>ities (19%). In each remoteness area</w:t>
      </w:r>
      <w:r w:rsidR="004B3096">
        <w:t>,</w:t>
      </w:r>
      <w:r w:rsidRPr="00213304">
        <w:t xml:space="preserve"> the p</w:t>
      </w:r>
      <w:r w:rsidR="004B3096">
        <w:t>roportion</w:t>
      </w:r>
      <w:r w:rsidRPr="00213304">
        <w:t xml:space="preserve"> of employers expecting to increase their staffing levels in the next 3</w:t>
      </w:r>
      <w:r>
        <w:t> </w:t>
      </w:r>
      <w:r w:rsidRPr="00213304">
        <w:t xml:space="preserve">months declined by </w:t>
      </w:r>
      <w:r w:rsidR="004B3096">
        <w:t>approximately</w:t>
      </w:r>
      <w:r w:rsidRPr="00213304">
        <w:t xml:space="preserve"> 5 percentage points over the year to the current quarter.</w:t>
      </w:r>
      <w:r w:rsidRPr="00213304">
        <w:rPr>
          <w:rStyle w:val="FootnoteReference"/>
        </w:rPr>
        <w:footnoteReference w:id="8"/>
      </w:r>
      <w:r w:rsidRPr="00213304">
        <w:t xml:space="preserve"> Recruitment rates also declined over the year in </w:t>
      </w:r>
      <w:r>
        <w:t xml:space="preserve">Major Cities </w:t>
      </w:r>
      <w:r w:rsidRPr="00213304">
        <w:t>and Inner Regional Australia, but remained steady in Outer Regional, Remote and Very Remote Australia.</w:t>
      </w:r>
    </w:p>
    <w:p w14:paraId="5E0060B3" w14:textId="4ABA455F" w:rsidR="00CA1680" w:rsidRDefault="00CA1680" w:rsidP="00CA1680">
      <w:pPr>
        <w:pStyle w:val="BodyText"/>
        <w:rPr>
          <w:highlight w:val="yellow"/>
        </w:rPr>
      </w:pPr>
      <w:r w:rsidRPr="005462D7">
        <w:lastRenderedPageBreak/>
        <w:t xml:space="preserve">By major </w:t>
      </w:r>
      <w:r>
        <w:t xml:space="preserve">occupation </w:t>
      </w:r>
      <w:r w:rsidRPr="005462D7">
        <w:t xml:space="preserve">group, during the quarter, Technicians and Trades Workers had the highest recruitment difficulty rate (61%). </w:t>
      </w:r>
      <w:r w:rsidR="00EA5EFF">
        <w:t>A</w:t>
      </w:r>
      <w:r w:rsidRPr="00D93729">
        <w:t xml:space="preserve">long with Professionals, </w:t>
      </w:r>
      <w:r w:rsidR="004B2ED9">
        <w:t xml:space="preserve">they </w:t>
      </w:r>
      <w:r>
        <w:t xml:space="preserve">also </w:t>
      </w:r>
      <w:r w:rsidRPr="00D93729">
        <w:t>had the highest p</w:t>
      </w:r>
      <w:r w:rsidR="004B2ED9">
        <w:t>roportion</w:t>
      </w:r>
      <w:r w:rsidRPr="00D93729">
        <w:t xml:space="preserve"> (52%) of recruiting employers </w:t>
      </w:r>
      <w:r w:rsidR="004B2ED9">
        <w:t>reporting</w:t>
      </w:r>
      <w:r w:rsidRPr="00D93729">
        <w:t xml:space="preserve"> vacancies </w:t>
      </w:r>
      <w:r w:rsidR="004B2ED9">
        <w:t>that</w:t>
      </w:r>
      <w:r w:rsidRPr="00D93729">
        <w:t xml:space="preserve"> take longer than 1 month to fill</w:t>
      </w:r>
      <w:r w:rsidR="004B2ED9">
        <w:t xml:space="preserve"> (</w:t>
      </w:r>
      <w:r w:rsidR="00DE2047" w:rsidRPr="00DE2047">
        <w:t>Table 6</w:t>
      </w:r>
      <w:r w:rsidR="004B2ED9">
        <w:t>)</w:t>
      </w:r>
      <w:r w:rsidRPr="00D93729">
        <w:t xml:space="preserve">. </w:t>
      </w:r>
    </w:p>
    <w:p w14:paraId="05D947F4" w14:textId="0D77F0E7" w:rsidR="00DD14D9" w:rsidRDefault="00CA1680">
      <w:pPr>
        <w:spacing w:before="0" w:after="200" w:line="276" w:lineRule="auto"/>
        <w:rPr>
          <w:b/>
          <w:bCs/>
          <w:color w:val="012749"/>
          <w:sz w:val="18"/>
          <w:szCs w:val="18"/>
        </w:rPr>
      </w:pPr>
      <w:r w:rsidRPr="005462D7">
        <w:t xml:space="preserve">Over the year, </w:t>
      </w:r>
      <w:r>
        <w:t>recruitment difficulty rate</w:t>
      </w:r>
      <w:r w:rsidR="007D09FD">
        <w:t>s</w:t>
      </w:r>
      <w:r>
        <w:t xml:space="preserve"> </w:t>
      </w:r>
      <w:r w:rsidR="004B2ED9">
        <w:t>declined</w:t>
      </w:r>
      <w:r w:rsidR="00541734">
        <w:t xml:space="preserve"> across</w:t>
      </w:r>
      <w:r>
        <w:t xml:space="preserve"> </w:t>
      </w:r>
      <w:r w:rsidRPr="005462D7">
        <w:t xml:space="preserve">all major </w:t>
      </w:r>
      <w:r>
        <w:t xml:space="preserve">occupation </w:t>
      </w:r>
      <w:r w:rsidRPr="005462D7">
        <w:t xml:space="preserve">groups </w:t>
      </w:r>
      <w:r w:rsidR="00634893" w:rsidRPr="005462D7">
        <w:t>apart from</w:t>
      </w:r>
      <w:r w:rsidRPr="005462D7">
        <w:t xml:space="preserve"> Labourers.</w:t>
      </w:r>
      <w:r>
        <w:t xml:space="preserve"> </w:t>
      </w:r>
      <w:r w:rsidRPr="00D93729">
        <w:t xml:space="preserve">The largest decline was for </w:t>
      </w:r>
      <w:r w:rsidRPr="00BA6D82">
        <w:t xml:space="preserve">Community </w:t>
      </w:r>
      <w:r>
        <w:t>and</w:t>
      </w:r>
      <w:r w:rsidRPr="00BA6D82">
        <w:t xml:space="preserve"> Personal Service Workers</w:t>
      </w:r>
      <w:r w:rsidRPr="00D93729">
        <w:t>, down by 2</w:t>
      </w:r>
      <w:r>
        <w:t>0</w:t>
      </w:r>
      <w:r w:rsidRPr="00D93729">
        <w:t xml:space="preserve"> percentage points to 28% (</w:t>
      </w:r>
      <w:r w:rsidR="00DE2047" w:rsidRPr="00DE2047">
        <w:t>Table 6</w:t>
      </w:r>
      <w:r w:rsidRPr="00D93729">
        <w:t xml:space="preserve">). </w:t>
      </w:r>
    </w:p>
    <w:p w14:paraId="0395D181" w14:textId="19BB6BBA" w:rsidR="00FE18D3" w:rsidRPr="009427F7" w:rsidRDefault="0061776C" w:rsidP="00FD5E3B">
      <w:pPr>
        <w:pStyle w:val="Caption"/>
      </w:pPr>
      <w:bookmarkStart w:id="40" w:name="_Ref200453472"/>
      <w:r w:rsidRPr="009427F7">
        <w:t xml:space="preserve">Table </w:t>
      </w:r>
      <w:r w:rsidRPr="009427F7">
        <w:fldChar w:fldCharType="begin"/>
      </w:r>
      <w:r w:rsidRPr="009427F7">
        <w:instrText xml:space="preserve"> SEQ Table \* ARABIC </w:instrText>
      </w:r>
      <w:r w:rsidRPr="009427F7">
        <w:fldChar w:fldCharType="separate"/>
      </w:r>
      <w:r w:rsidR="00D80BB2">
        <w:rPr>
          <w:noProof/>
        </w:rPr>
        <w:t>6</w:t>
      </w:r>
      <w:r w:rsidRPr="009427F7">
        <w:fldChar w:fldCharType="end"/>
      </w:r>
      <w:bookmarkEnd w:id="40"/>
      <w:r w:rsidR="00FE18D3" w:rsidRPr="009427F7">
        <w:t xml:space="preserve">: </w:t>
      </w:r>
      <w:r w:rsidR="00CA1680" w:rsidRPr="009427F7">
        <w:t>Key REOS indicators by major occupation group, March quarter 2025</w:t>
      </w:r>
    </w:p>
    <w:tbl>
      <w:tblPr>
        <w:tblStyle w:val="CustomTablebasic"/>
        <w:tblW w:w="9027" w:type="dxa"/>
        <w:tblLook w:val="04A0" w:firstRow="1" w:lastRow="0" w:firstColumn="1" w:lastColumn="0" w:noHBand="0" w:noVBand="1"/>
      </w:tblPr>
      <w:tblGrid>
        <w:gridCol w:w="3431"/>
        <w:gridCol w:w="1399"/>
        <w:gridCol w:w="1399"/>
        <w:gridCol w:w="1399"/>
        <w:gridCol w:w="1399"/>
      </w:tblGrid>
      <w:tr w:rsidR="00FA2674" w:rsidRPr="009427F7" w14:paraId="14E1CDA3" w14:textId="77777777" w:rsidTr="007846B1">
        <w:trPr>
          <w:cnfStyle w:val="100000000000" w:firstRow="1" w:lastRow="0" w:firstColumn="0" w:lastColumn="0" w:oddVBand="0" w:evenVBand="0" w:oddHBand="0" w:evenHBand="0" w:firstRowFirstColumn="0" w:firstRowLastColumn="0" w:lastRowFirstColumn="0" w:lastRowLastColumn="0"/>
        </w:trPr>
        <w:tc>
          <w:tcPr>
            <w:tcW w:w="3431" w:type="dxa"/>
          </w:tcPr>
          <w:p w14:paraId="2592E35C" w14:textId="77777777" w:rsidR="00FA2674" w:rsidRPr="009427F7" w:rsidRDefault="00FA2674" w:rsidP="001C76CD">
            <w:pPr>
              <w:pStyle w:val="TableHeading1"/>
              <w:rPr>
                <w:sz w:val="18"/>
                <w:szCs w:val="18"/>
              </w:rPr>
            </w:pPr>
          </w:p>
        </w:tc>
        <w:tc>
          <w:tcPr>
            <w:tcW w:w="2798" w:type="dxa"/>
            <w:gridSpan w:val="2"/>
            <w:tcBorders>
              <w:right w:val="nil"/>
            </w:tcBorders>
          </w:tcPr>
          <w:p w14:paraId="0F28FB52" w14:textId="520B8F2E" w:rsidR="00FA2674" w:rsidRPr="009427F7" w:rsidRDefault="00FA2674" w:rsidP="00F90222">
            <w:pPr>
              <w:pStyle w:val="TableHeading1"/>
              <w:jc w:val="center"/>
              <w:rPr>
                <w:b/>
                <w:bCs w:val="0"/>
                <w:sz w:val="18"/>
                <w:szCs w:val="18"/>
              </w:rPr>
            </w:pPr>
            <w:r w:rsidRPr="009427F7">
              <w:rPr>
                <w:b/>
                <w:bCs w:val="0"/>
                <w:sz w:val="18"/>
                <w:szCs w:val="18"/>
              </w:rPr>
              <w:t>Recruitment difficulty rate</w:t>
            </w:r>
          </w:p>
        </w:tc>
        <w:tc>
          <w:tcPr>
            <w:tcW w:w="2798" w:type="dxa"/>
            <w:gridSpan w:val="2"/>
            <w:tcBorders>
              <w:left w:val="nil"/>
            </w:tcBorders>
          </w:tcPr>
          <w:p w14:paraId="323E236D" w14:textId="6A4A5EAE" w:rsidR="00FA2674" w:rsidRPr="009427F7" w:rsidRDefault="00FA2674" w:rsidP="00F90222">
            <w:pPr>
              <w:pStyle w:val="TableHeading1"/>
              <w:jc w:val="center"/>
              <w:rPr>
                <w:b/>
                <w:bCs w:val="0"/>
                <w:sz w:val="18"/>
                <w:szCs w:val="18"/>
              </w:rPr>
            </w:pPr>
            <w:r w:rsidRPr="009427F7">
              <w:rPr>
                <w:b/>
                <w:bCs w:val="0"/>
                <w:sz w:val="18"/>
                <w:szCs w:val="18"/>
              </w:rPr>
              <w:t xml:space="preserve">Vacancies taking longer </w:t>
            </w:r>
            <w:r w:rsidR="00BC46B2" w:rsidRPr="009427F7">
              <w:rPr>
                <w:b/>
                <w:bCs w:val="0"/>
                <w:sz w:val="18"/>
                <w:szCs w:val="18"/>
              </w:rPr>
              <w:br/>
            </w:r>
            <w:r w:rsidRPr="009427F7">
              <w:rPr>
                <w:b/>
                <w:bCs w:val="0"/>
                <w:sz w:val="18"/>
                <w:szCs w:val="18"/>
              </w:rPr>
              <w:t>than 1 month to fill</w:t>
            </w:r>
          </w:p>
        </w:tc>
      </w:tr>
      <w:tr w:rsidR="00FA2674" w:rsidRPr="009427F7" w14:paraId="15791610" w14:textId="77777777" w:rsidTr="00FA2674">
        <w:tc>
          <w:tcPr>
            <w:tcW w:w="3431" w:type="dxa"/>
            <w:shd w:val="clear" w:color="auto" w:fill="2F005F"/>
          </w:tcPr>
          <w:p w14:paraId="359AB32B" w14:textId="77777777" w:rsidR="00FE18D3" w:rsidRPr="009427F7" w:rsidRDefault="00FE18D3" w:rsidP="001C76CD">
            <w:pPr>
              <w:pStyle w:val="TableHeading1"/>
              <w:rPr>
                <w:b/>
                <w:bCs w:val="0"/>
                <w:sz w:val="18"/>
                <w:szCs w:val="18"/>
              </w:rPr>
            </w:pPr>
            <w:r w:rsidRPr="009427F7">
              <w:rPr>
                <w:b/>
                <w:bCs w:val="0"/>
                <w:sz w:val="18"/>
                <w:szCs w:val="18"/>
              </w:rPr>
              <w:t>Major group</w:t>
            </w:r>
          </w:p>
        </w:tc>
        <w:tc>
          <w:tcPr>
            <w:tcW w:w="1399" w:type="dxa"/>
            <w:shd w:val="clear" w:color="auto" w:fill="2F005F"/>
          </w:tcPr>
          <w:p w14:paraId="0AD84101" w14:textId="77777777" w:rsidR="00FE18D3" w:rsidRPr="009427F7" w:rsidRDefault="00FE18D3" w:rsidP="0083238B">
            <w:pPr>
              <w:pStyle w:val="TableHeading1right"/>
              <w:rPr>
                <w:sz w:val="18"/>
                <w:szCs w:val="18"/>
              </w:rPr>
            </w:pPr>
            <w:r w:rsidRPr="009427F7">
              <w:rPr>
                <w:sz w:val="18"/>
                <w:szCs w:val="18"/>
              </w:rPr>
              <w:t>% of recruiting employers</w:t>
            </w:r>
          </w:p>
        </w:tc>
        <w:tc>
          <w:tcPr>
            <w:tcW w:w="1399" w:type="dxa"/>
            <w:tcBorders>
              <w:right w:val="single" w:sz="4" w:space="0" w:color="FFFFFF" w:themeColor="background1"/>
            </w:tcBorders>
            <w:shd w:val="clear" w:color="auto" w:fill="2F005F"/>
          </w:tcPr>
          <w:p w14:paraId="254288AD" w14:textId="26719B17" w:rsidR="00FE18D3" w:rsidRPr="009427F7" w:rsidRDefault="00FE18D3" w:rsidP="0083238B">
            <w:pPr>
              <w:pStyle w:val="TableHeading1right"/>
              <w:rPr>
                <w:sz w:val="18"/>
                <w:szCs w:val="18"/>
              </w:rPr>
            </w:pPr>
            <w:r w:rsidRPr="009427F7">
              <w:rPr>
                <w:sz w:val="18"/>
                <w:szCs w:val="18"/>
              </w:rPr>
              <w:t>Annual change</w:t>
            </w:r>
            <w:r w:rsidR="00F90222" w:rsidRPr="009427F7">
              <w:rPr>
                <w:sz w:val="18"/>
                <w:szCs w:val="18"/>
              </w:rPr>
              <w:t xml:space="preserve"> </w:t>
            </w:r>
            <w:r w:rsidRPr="009427F7">
              <w:rPr>
                <w:sz w:val="18"/>
                <w:szCs w:val="18"/>
              </w:rPr>
              <w:t>(</w:t>
            </w:r>
            <w:r w:rsidR="008A1909">
              <w:rPr>
                <w:sz w:val="18"/>
                <w:szCs w:val="18"/>
              </w:rPr>
              <w:t>%</w:t>
            </w:r>
            <w:r w:rsidRPr="009427F7">
              <w:rPr>
                <w:sz w:val="18"/>
                <w:szCs w:val="18"/>
              </w:rPr>
              <w:t>)</w:t>
            </w:r>
          </w:p>
        </w:tc>
        <w:tc>
          <w:tcPr>
            <w:tcW w:w="1399" w:type="dxa"/>
            <w:tcBorders>
              <w:left w:val="single" w:sz="4" w:space="0" w:color="FFFFFF" w:themeColor="background1"/>
              <w:bottom w:val="nil"/>
            </w:tcBorders>
            <w:shd w:val="clear" w:color="auto" w:fill="2F005F"/>
          </w:tcPr>
          <w:p w14:paraId="04820900" w14:textId="77777777" w:rsidR="00FE18D3" w:rsidRPr="009427F7" w:rsidRDefault="00FE18D3" w:rsidP="0083238B">
            <w:pPr>
              <w:pStyle w:val="TableHeading1right"/>
              <w:rPr>
                <w:sz w:val="18"/>
                <w:szCs w:val="18"/>
              </w:rPr>
            </w:pPr>
            <w:r w:rsidRPr="009427F7">
              <w:rPr>
                <w:sz w:val="18"/>
                <w:szCs w:val="18"/>
              </w:rPr>
              <w:t>% of recruiting employers</w:t>
            </w:r>
          </w:p>
        </w:tc>
        <w:tc>
          <w:tcPr>
            <w:tcW w:w="1399" w:type="dxa"/>
            <w:tcBorders>
              <w:bottom w:val="nil"/>
            </w:tcBorders>
            <w:shd w:val="clear" w:color="auto" w:fill="2F005F"/>
          </w:tcPr>
          <w:p w14:paraId="0BA008AA" w14:textId="0B4A988C" w:rsidR="00FE18D3" w:rsidRPr="009427F7" w:rsidRDefault="00FE18D3" w:rsidP="0083238B">
            <w:pPr>
              <w:pStyle w:val="TableHeading1right"/>
              <w:rPr>
                <w:sz w:val="18"/>
                <w:szCs w:val="18"/>
              </w:rPr>
            </w:pPr>
            <w:r w:rsidRPr="009427F7">
              <w:rPr>
                <w:sz w:val="18"/>
                <w:szCs w:val="18"/>
              </w:rPr>
              <w:t>Annual change</w:t>
            </w:r>
            <w:r w:rsidR="00FA2674" w:rsidRPr="009427F7">
              <w:rPr>
                <w:sz w:val="18"/>
                <w:szCs w:val="18"/>
              </w:rPr>
              <w:t xml:space="preserve"> </w:t>
            </w:r>
            <w:r w:rsidRPr="009427F7">
              <w:rPr>
                <w:sz w:val="18"/>
                <w:szCs w:val="18"/>
              </w:rPr>
              <w:t>(</w:t>
            </w:r>
            <w:r w:rsidR="008A1909">
              <w:rPr>
                <w:sz w:val="18"/>
                <w:szCs w:val="18"/>
              </w:rPr>
              <w:t>%</w:t>
            </w:r>
            <w:r w:rsidRPr="009427F7">
              <w:rPr>
                <w:sz w:val="18"/>
                <w:szCs w:val="18"/>
              </w:rPr>
              <w:t>)</w:t>
            </w:r>
          </w:p>
        </w:tc>
      </w:tr>
      <w:tr w:rsidR="00CA1680" w:rsidRPr="009427F7" w14:paraId="47F71CCE" w14:textId="77777777" w:rsidTr="00FA2674">
        <w:trPr>
          <w:cnfStyle w:val="000000010000" w:firstRow="0" w:lastRow="0" w:firstColumn="0" w:lastColumn="0" w:oddVBand="0" w:evenVBand="0" w:oddHBand="0" w:evenHBand="1" w:firstRowFirstColumn="0" w:firstRowLastColumn="0" w:lastRowFirstColumn="0" w:lastRowLastColumn="0"/>
        </w:trPr>
        <w:tc>
          <w:tcPr>
            <w:tcW w:w="3431" w:type="dxa"/>
          </w:tcPr>
          <w:p w14:paraId="61500F0B" w14:textId="02DB9614" w:rsidR="00CA1680" w:rsidRPr="009427F7" w:rsidRDefault="00CA1680" w:rsidP="00CA1680">
            <w:pPr>
              <w:pStyle w:val="TableBodyText"/>
              <w:rPr>
                <w:sz w:val="18"/>
                <w:szCs w:val="18"/>
              </w:rPr>
            </w:pPr>
            <w:r w:rsidRPr="009427F7">
              <w:rPr>
                <w:sz w:val="18"/>
                <w:szCs w:val="18"/>
              </w:rPr>
              <w:t>Professionals</w:t>
            </w:r>
          </w:p>
        </w:tc>
        <w:tc>
          <w:tcPr>
            <w:tcW w:w="1399" w:type="dxa"/>
          </w:tcPr>
          <w:p w14:paraId="575E11C8" w14:textId="0BA34CDD" w:rsidR="00CA1680" w:rsidRPr="009427F7" w:rsidRDefault="00CA1680" w:rsidP="00CA1680">
            <w:pPr>
              <w:pStyle w:val="TableBodyTextright"/>
              <w:rPr>
                <w:sz w:val="18"/>
                <w:szCs w:val="18"/>
              </w:rPr>
            </w:pPr>
            <w:r w:rsidRPr="009427F7">
              <w:rPr>
                <w:sz w:val="18"/>
                <w:szCs w:val="18"/>
              </w:rPr>
              <w:t>51</w:t>
            </w:r>
          </w:p>
        </w:tc>
        <w:tc>
          <w:tcPr>
            <w:tcW w:w="1399" w:type="dxa"/>
            <w:tcBorders>
              <w:right w:val="single" w:sz="4" w:space="0" w:color="FFFFFF" w:themeColor="background1"/>
            </w:tcBorders>
          </w:tcPr>
          <w:p w14:paraId="4EDCF800" w14:textId="2EB19D4E"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12 pts</w:t>
            </w:r>
          </w:p>
        </w:tc>
        <w:tc>
          <w:tcPr>
            <w:tcW w:w="1399" w:type="dxa"/>
            <w:tcBorders>
              <w:left w:val="single" w:sz="4" w:space="0" w:color="FFFFFF" w:themeColor="background1"/>
              <w:bottom w:val="nil"/>
            </w:tcBorders>
          </w:tcPr>
          <w:p w14:paraId="0E2309BF" w14:textId="03DFC225" w:rsidR="00CA1680" w:rsidRPr="009427F7" w:rsidRDefault="00CA1680" w:rsidP="00CA1680">
            <w:pPr>
              <w:pStyle w:val="TableBodyTextright"/>
              <w:rPr>
                <w:sz w:val="18"/>
                <w:szCs w:val="18"/>
              </w:rPr>
            </w:pPr>
            <w:r w:rsidRPr="009427F7">
              <w:rPr>
                <w:sz w:val="18"/>
                <w:szCs w:val="18"/>
              </w:rPr>
              <w:t>52*</w:t>
            </w:r>
          </w:p>
        </w:tc>
        <w:tc>
          <w:tcPr>
            <w:tcW w:w="1399" w:type="dxa"/>
            <w:tcBorders>
              <w:bottom w:val="nil"/>
            </w:tcBorders>
          </w:tcPr>
          <w:p w14:paraId="71398D85" w14:textId="10600A0A"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19 pts</w:t>
            </w:r>
            <w:r w:rsidR="00F509A3" w:rsidRPr="009427F7">
              <w:rPr>
                <w:sz w:val="18"/>
                <w:szCs w:val="18"/>
              </w:rPr>
              <w:t>*</w:t>
            </w:r>
          </w:p>
        </w:tc>
      </w:tr>
      <w:tr w:rsidR="00CA1680" w:rsidRPr="009427F7" w14:paraId="4D2C3E8D" w14:textId="77777777" w:rsidTr="00FA2674">
        <w:tc>
          <w:tcPr>
            <w:tcW w:w="3431" w:type="dxa"/>
          </w:tcPr>
          <w:p w14:paraId="6E18DD7B" w14:textId="6DB0C7B5" w:rsidR="00CA1680" w:rsidRPr="009427F7" w:rsidRDefault="00CA1680" w:rsidP="00CA1680">
            <w:pPr>
              <w:pStyle w:val="TableBodyText"/>
              <w:rPr>
                <w:sz w:val="18"/>
                <w:szCs w:val="18"/>
              </w:rPr>
            </w:pPr>
            <w:r w:rsidRPr="009427F7">
              <w:rPr>
                <w:sz w:val="18"/>
                <w:szCs w:val="18"/>
              </w:rPr>
              <w:t>Technicians and Trades Workers</w:t>
            </w:r>
          </w:p>
        </w:tc>
        <w:tc>
          <w:tcPr>
            <w:tcW w:w="1399" w:type="dxa"/>
          </w:tcPr>
          <w:p w14:paraId="4AF59EEF" w14:textId="08FF0BCA" w:rsidR="00CA1680" w:rsidRPr="009427F7" w:rsidRDefault="00CA1680" w:rsidP="00CA1680">
            <w:pPr>
              <w:pStyle w:val="TableBodyTextright"/>
              <w:rPr>
                <w:sz w:val="18"/>
                <w:szCs w:val="18"/>
              </w:rPr>
            </w:pPr>
            <w:r w:rsidRPr="009427F7">
              <w:rPr>
                <w:sz w:val="18"/>
                <w:szCs w:val="18"/>
              </w:rPr>
              <w:t>61</w:t>
            </w:r>
          </w:p>
        </w:tc>
        <w:tc>
          <w:tcPr>
            <w:tcW w:w="1399" w:type="dxa"/>
            <w:tcBorders>
              <w:right w:val="single" w:sz="4" w:space="0" w:color="FFFFFF" w:themeColor="background1"/>
            </w:tcBorders>
          </w:tcPr>
          <w:p w14:paraId="4BDF1C5A" w14:textId="6B23A2A7"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10 pts</w:t>
            </w:r>
          </w:p>
        </w:tc>
        <w:tc>
          <w:tcPr>
            <w:tcW w:w="1399" w:type="dxa"/>
            <w:tcBorders>
              <w:left w:val="single" w:sz="4" w:space="0" w:color="FFFFFF" w:themeColor="background1"/>
              <w:bottom w:val="nil"/>
            </w:tcBorders>
          </w:tcPr>
          <w:p w14:paraId="494F8741" w14:textId="64E1A5F0" w:rsidR="00CA1680" w:rsidRPr="009427F7" w:rsidRDefault="00CA1680" w:rsidP="00CA1680">
            <w:pPr>
              <w:pStyle w:val="TableBodyTextright"/>
              <w:rPr>
                <w:sz w:val="18"/>
                <w:szCs w:val="18"/>
              </w:rPr>
            </w:pPr>
            <w:r w:rsidRPr="009427F7">
              <w:rPr>
                <w:sz w:val="18"/>
                <w:szCs w:val="18"/>
              </w:rPr>
              <w:t>52</w:t>
            </w:r>
          </w:p>
        </w:tc>
        <w:tc>
          <w:tcPr>
            <w:tcW w:w="1399" w:type="dxa"/>
            <w:tcBorders>
              <w:bottom w:val="nil"/>
            </w:tcBorders>
          </w:tcPr>
          <w:p w14:paraId="0B04AB4C" w14:textId="2343E746"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15 pts</w:t>
            </w:r>
          </w:p>
        </w:tc>
      </w:tr>
      <w:tr w:rsidR="00CA1680" w:rsidRPr="009427F7" w14:paraId="16AD01DA" w14:textId="77777777" w:rsidTr="00FA2674">
        <w:trPr>
          <w:cnfStyle w:val="000000010000" w:firstRow="0" w:lastRow="0" w:firstColumn="0" w:lastColumn="0" w:oddVBand="0" w:evenVBand="0" w:oddHBand="0" w:evenHBand="1" w:firstRowFirstColumn="0" w:firstRowLastColumn="0" w:lastRowFirstColumn="0" w:lastRowLastColumn="0"/>
        </w:trPr>
        <w:tc>
          <w:tcPr>
            <w:tcW w:w="3431" w:type="dxa"/>
          </w:tcPr>
          <w:p w14:paraId="35688D0D" w14:textId="13DB884D" w:rsidR="00CA1680" w:rsidRPr="009427F7" w:rsidRDefault="00CA1680" w:rsidP="00CA1680">
            <w:pPr>
              <w:pStyle w:val="TableBodyText"/>
              <w:rPr>
                <w:sz w:val="18"/>
                <w:szCs w:val="18"/>
              </w:rPr>
            </w:pPr>
            <w:r w:rsidRPr="009427F7">
              <w:rPr>
                <w:sz w:val="18"/>
                <w:szCs w:val="18"/>
              </w:rPr>
              <w:t>Community &amp; Personal Service Workers</w:t>
            </w:r>
          </w:p>
        </w:tc>
        <w:tc>
          <w:tcPr>
            <w:tcW w:w="1399" w:type="dxa"/>
          </w:tcPr>
          <w:p w14:paraId="06F7FFCC" w14:textId="3240D61A" w:rsidR="00CA1680" w:rsidRPr="009427F7" w:rsidRDefault="00CA1680" w:rsidP="00CA1680">
            <w:pPr>
              <w:pStyle w:val="TableBodyTextright"/>
              <w:rPr>
                <w:sz w:val="18"/>
                <w:szCs w:val="18"/>
              </w:rPr>
            </w:pPr>
            <w:r w:rsidRPr="009427F7">
              <w:rPr>
                <w:sz w:val="18"/>
                <w:szCs w:val="18"/>
              </w:rPr>
              <w:t>28</w:t>
            </w:r>
          </w:p>
        </w:tc>
        <w:tc>
          <w:tcPr>
            <w:tcW w:w="1399" w:type="dxa"/>
            <w:tcBorders>
              <w:right w:val="single" w:sz="4" w:space="0" w:color="FFFFFF" w:themeColor="background1"/>
            </w:tcBorders>
          </w:tcPr>
          <w:p w14:paraId="731CE0F1" w14:textId="66650E1B"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20 pts</w:t>
            </w:r>
          </w:p>
        </w:tc>
        <w:tc>
          <w:tcPr>
            <w:tcW w:w="1399" w:type="dxa"/>
            <w:tcBorders>
              <w:left w:val="single" w:sz="4" w:space="0" w:color="FFFFFF" w:themeColor="background1"/>
              <w:bottom w:val="nil"/>
            </w:tcBorders>
          </w:tcPr>
          <w:p w14:paraId="35EE615B" w14:textId="6AA91F47" w:rsidR="00CA1680" w:rsidRPr="009427F7" w:rsidRDefault="00CA1680" w:rsidP="00CA1680">
            <w:pPr>
              <w:pStyle w:val="TableBodyTextright"/>
              <w:rPr>
                <w:sz w:val="18"/>
                <w:szCs w:val="18"/>
              </w:rPr>
            </w:pPr>
            <w:r w:rsidRPr="009427F7">
              <w:rPr>
                <w:sz w:val="18"/>
                <w:szCs w:val="18"/>
              </w:rPr>
              <w:t>16*</w:t>
            </w:r>
          </w:p>
        </w:tc>
        <w:tc>
          <w:tcPr>
            <w:tcW w:w="1399" w:type="dxa"/>
            <w:tcBorders>
              <w:bottom w:val="nil"/>
            </w:tcBorders>
          </w:tcPr>
          <w:p w14:paraId="1519B7CD" w14:textId="13DDB6A1"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31 pts</w:t>
            </w:r>
            <w:r w:rsidR="00F509A3" w:rsidRPr="009427F7">
              <w:rPr>
                <w:sz w:val="18"/>
                <w:szCs w:val="18"/>
              </w:rPr>
              <w:t>*</w:t>
            </w:r>
          </w:p>
        </w:tc>
      </w:tr>
      <w:tr w:rsidR="00CA1680" w:rsidRPr="009427F7" w14:paraId="06F9E752" w14:textId="77777777" w:rsidTr="00FA2674">
        <w:tc>
          <w:tcPr>
            <w:tcW w:w="3431" w:type="dxa"/>
          </w:tcPr>
          <w:p w14:paraId="062CBB86" w14:textId="1DA59A29" w:rsidR="00CA1680" w:rsidRPr="009427F7" w:rsidRDefault="00CA1680" w:rsidP="00CA1680">
            <w:pPr>
              <w:pStyle w:val="TableBodyText"/>
              <w:rPr>
                <w:sz w:val="18"/>
                <w:szCs w:val="18"/>
              </w:rPr>
            </w:pPr>
            <w:r w:rsidRPr="009427F7">
              <w:rPr>
                <w:sz w:val="18"/>
                <w:szCs w:val="18"/>
              </w:rPr>
              <w:t>Clerical and Administrative Workers</w:t>
            </w:r>
          </w:p>
        </w:tc>
        <w:tc>
          <w:tcPr>
            <w:tcW w:w="1399" w:type="dxa"/>
          </w:tcPr>
          <w:p w14:paraId="7D22C769" w14:textId="2CAA30F6" w:rsidR="00CA1680" w:rsidRPr="009427F7" w:rsidRDefault="00CA1680" w:rsidP="00CA1680">
            <w:pPr>
              <w:pStyle w:val="TableBodyTextright"/>
              <w:rPr>
                <w:sz w:val="18"/>
                <w:szCs w:val="18"/>
              </w:rPr>
            </w:pPr>
            <w:r w:rsidRPr="009427F7">
              <w:rPr>
                <w:sz w:val="18"/>
                <w:szCs w:val="18"/>
              </w:rPr>
              <w:t>29*</w:t>
            </w:r>
          </w:p>
        </w:tc>
        <w:tc>
          <w:tcPr>
            <w:tcW w:w="1399" w:type="dxa"/>
            <w:tcBorders>
              <w:right w:val="single" w:sz="4" w:space="0" w:color="FFFFFF" w:themeColor="background1"/>
            </w:tcBorders>
          </w:tcPr>
          <w:p w14:paraId="3A490F24" w14:textId="559226A4"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4 pts</w:t>
            </w:r>
            <w:r w:rsidR="00F509A3" w:rsidRPr="009427F7">
              <w:rPr>
                <w:sz w:val="18"/>
                <w:szCs w:val="18"/>
              </w:rPr>
              <w:t>*</w:t>
            </w:r>
          </w:p>
        </w:tc>
        <w:tc>
          <w:tcPr>
            <w:tcW w:w="1399" w:type="dxa"/>
            <w:tcBorders>
              <w:left w:val="single" w:sz="4" w:space="0" w:color="FFFFFF" w:themeColor="background1"/>
              <w:bottom w:val="nil"/>
            </w:tcBorders>
          </w:tcPr>
          <w:p w14:paraId="1FD6A5A2" w14:textId="362C8184" w:rsidR="00CA1680" w:rsidRPr="009427F7" w:rsidRDefault="00CA1680" w:rsidP="00CA1680">
            <w:pPr>
              <w:pStyle w:val="TableBodyTextright"/>
              <w:rPr>
                <w:sz w:val="18"/>
                <w:szCs w:val="18"/>
              </w:rPr>
            </w:pPr>
            <w:r w:rsidRPr="009427F7">
              <w:rPr>
                <w:sz w:val="18"/>
                <w:szCs w:val="18"/>
              </w:rPr>
              <w:t>26*</w:t>
            </w:r>
          </w:p>
        </w:tc>
        <w:tc>
          <w:tcPr>
            <w:tcW w:w="1399" w:type="dxa"/>
            <w:tcBorders>
              <w:bottom w:val="nil"/>
            </w:tcBorders>
          </w:tcPr>
          <w:p w14:paraId="089CEB42" w14:textId="05669C51"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15 pts</w:t>
            </w:r>
            <w:r w:rsidR="00F509A3" w:rsidRPr="009427F7">
              <w:rPr>
                <w:sz w:val="18"/>
                <w:szCs w:val="18"/>
              </w:rPr>
              <w:t>*</w:t>
            </w:r>
          </w:p>
        </w:tc>
      </w:tr>
      <w:tr w:rsidR="00CA1680" w:rsidRPr="009427F7" w14:paraId="2AEB8E28" w14:textId="77777777" w:rsidTr="00FA2674">
        <w:trPr>
          <w:cnfStyle w:val="000000010000" w:firstRow="0" w:lastRow="0" w:firstColumn="0" w:lastColumn="0" w:oddVBand="0" w:evenVBand="0" w:oddHBand="0" w:evenHBand="1" w:firstRowFirstColumn="0" w:firstRowLastColumn="0" w:lastRowFirstColumn="0" w:lastRowLastColumn="0"/>
        </w:trPr>
        <w:tc>
          <w:tcPr>
            <w:tcW w:w="3431" w:type="dxa"/>
          </w:tcPr>
          <w:p w14:paraId="3C2BEBF0" w14:textId="4412C249" w:rsidR="00CA1680" w:rsidRPr="009427F7" w:rsidRDefault="00CA1680" w:rsidP="00CA1680">
            <w:pPr>
              <w:pStyle w:val="TableBodyText"/>
              <w:rPr>
                <w:sz w:val="18"/>
                <w:szCs w:val="18"/>
              </w:rPr>
            </w:pPr>
            <w:r w:rsidRPr="009427F7">
              <w:rPr>
                <w:sz w:val="18"/>
                <w:szCs w:val="18"/>
              </w:rPr>
              <w:t>Sales Workers</w:t>
            </w:r>
          </w:p>
        </w:tc>
        <w:tc>
          <w:tcPr>
            <w:tcW w:w="1399" w:type="dxa"/>
          </w:tcPr>
          <w:p w14:paraId="7C072409" w14:textId="047011F1" w:rsidR="00CA1680" w:rsidRPr="009427F7" w:rsidRDefault="00CA1680" w:rsidP="00CA1680">
            <w:pPr>
              <w:pStyle w:val="TableBodyTextright"/>
              <w:rPr>
                <w:sz w:val="18"/>
                <w:szCs w:val="18"/>
              </w:rPr>
            </w:pPr>
            <w:r w:rsidRPr="009427F7">
              <w:rPr>
                <w:sz w:val="18"/>
                <w:szCs w:val="18"/>
              </w:rPr>
              <w:t>33</w:t>
            </w:r>
          </w:p>
        </w:tc>
        <w:tc>
          <w:tcPr>
            <w:tcW w:w="1399" w:type="dxa"/>
            <w:tcBorders>
              <w:right w:val="single" w:sz="4" w:space="0" w:color="FFFFFF" w:themeColor="background1"/>
            </w:tcBorders>
          </w:tcPr>
          <w:p w14:paraId="38FE62E8" w14:textId="245F8CF0"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16 pts</w:t>
            </w:r>
          </w:p>
        </w:tc>
        <w:tc>
          <w:tcPr>
            <w:tcW w:w="1399" w:type="dxa"/>
            <w:tcBorders>
              <w:left w:val="single" w:sz="4" w:space="0" w:color="FFFFFF" w:themeColor="background1"/>
              <w:bottom w:val="nil"/>
            </w:tcBorders>
          </w:tcPr>
          <w:p w14:paraId="12253F04" w14:textId="46310E3C" w:rsidR="00CA1680" w:rsidRPr="009427F7" w:rsidRDefault="00CA1680" w:rsidP="00CA1680">
            <w:pPr>
              <w:pStyle w:val="TableBodyTextright"/>
              <w:rPr>
                <w:sz w:val="18"/>
                <w:szCs w:val="18"/>
              </w:rPr>
            </w:pPr>
            <w:r w:rsidRPr="009427F7">
              <w:rPr>
                <w:sz w:val="18"/>
                <w:szCs w:val="18"/>
              </w:rPr>
              <w:t>28</w:t>
            </w:r>
          </w:p>
        </w:tc>
        <w:tc>
          <w:tcPr>
            <w:tcW w:w="1399" w:type="dxa"/>
            <w:tcBorders>
              <w:bottom w:val="nil"/>
            </w:tcBorders>
          </w:tcPr>
          <w:p w14:paraId="39EF4309" w14:textId="76795C1B"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21 pts</w:t>
            </w:r>
          </w:p>
        </w:tc>
      </w:tr>
      <w:tr w:rsidR="00CA1680" w:rsidRPr="009427F7" w14:paraId="43F6CD52" w14:textId="77777777" w:rsidTr="00FA2674">
        <w:tc>
          <w:tcPr>
            <w:tcW w:w="3431" w:type="dxa"/>
          </w:tcPr>
          <w:p w14:paraId="29B95EDD" w14:textId="38E00C90" w:rsidR="00CA1680" w:rsidRPr="009427F7" w:rsidRDefault="00CA1680" w:rsidP="00CA1680">
            <w:pPr>
              <w:pStyle w:val="TableBodyText"/>
              <w:rPr>
                <w:sz w:val="18"/>
                <w:szCs w:val="18"/>
              </w:rPr>
            </w:pPr>
            <w:r w:rsidRPr="009427F7">
              <w:rPr>
                <w:sz w:val="18"/>
                <w:szCs w:val="18"/>
              </w:rPr>
              <w:t>Machinery Operators and Drivers</w:t>
            </w:r>
          </w:p>
        </w:tc>
        <w:tc>
          <w:tcPr>
            <w:tcW w:w="1399" w:type="dxa"/>
          </w:tcPr>
          <w:p w14:paraId="4778FEF4" w14:textId="13F0D6E9" w:rsidR="00CA1680" w:rsidRPr="009427F7" w:rsidRDefault="00CA1680" w:rsidP="00CA1680">
            <w:pPr>
              <w:pStyle w:val="TableBodyTextright"/>
              <w:rPr>
                <w:sz w:val="18"/>
                <w:szCs w:val="18"/>
              </w:rPr>
            </w:pPr>
            <w:r w:rsidRPr="009427F7">
              <w:rPr>
                <w:sz w:val="18"/>
                <w:szCs w:val="18"/>
              </w:rPr>
              <w:t>46*</w:t>
            </w:r>
          </w:p>
        </w:tc>
        <w:tc>
          <w:tcPr>
            <w:tcW w:w="1399" w:type="dxa"/>
            <w:tcBorders>
              <w:right w:val="single" w:sz="4" w:space="0" w:color="FFFFFF" w:themeColor="background1"/>
            </w:tcBorders>
          </w:tcPr>
          <w:p w14:paraId="07D9B91A" w14:textId="68E9FD8C"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10 pts</w:t>
            </w:r>
            <w:r w:rsidR="00F509A3" w:rsidRPr="009427F7">
              <w:rPr>
                <w:sz w:val="18"/>
                <w:szCs w:val="18"/>
              </w:rPr>
              <w:t>*</w:t>
            </w:r>
          </w:p>
        </w:tc>
        <w:tc>
          <w:tcPr>
            <w:tcW w:w="1399" w:type="dxa"/>
            <w:tcBorders>
              <w:left w:val="single" w:sz="4" w:space="0" w:color="FFFFFF" w:themeColor="background1"/>
              <w:bottom w:val="nil"/>
            </w:tcBorders>
          </w:tcPr>
          <w:p w14:paraId="469EC17C" w14:textId="313EB744" w:rsidR="00CA1680" w:rsidRPr="009427F7" w:rsidRDefault="00CA1680" w:rsidP="00CA1680">
            <w:pPr>
              <w:pStyle w:val="TableBodyTextright"/>
              <w:rPr>
                <w:sz w:val="18"/>
                <w:szCs w:val="18"/>
              </w:rPr>
            </w:pPr>
            <w:r w:rsidRPr="009427F7">
              <w:rPr>
                <w:sz w:val="18"/>
                <w:szCs w:val="18"/>
              </w:rPr>
              <w:t>34*</w:t>
            </w:r>
          </w:p>
        </w:tc>
        <w:tc>
          <w:tcPr>
            <w:tcW w:w="1399" w:type="dxa"/>
            <w:tcBorders>
              <w:bottom w:val="nil"/>
            </w:tcBorders>
          </w:tcPr>
          <w:p w14:paraId="53717DE0" w14:textId="6B71288F" w:rsidR="00CA1680" w:rsidRPr="009427F7" w:rsidRDefault="00CA1680" w:rsidP="00CA1680">
            <w:pPr>
              <w:pStyle w:val="TableBodyTextright"/>
              <w:rPr>
                <w:sz w:val="18"/>
                <w:szCs w:val="18"/>
              </w:rPr>
            </w:pPr>
            <w:r w:rsidRPr="009427F7">
              <w:rPr>
                <w:rFonts w:cs="Arial"/>
                <w:sz w:val="18"/>
                <w:szCs w:val="18"/>
              </w:rPr>
              <w:t>−</w:t>
            </w:r>
            <w:r w:rsidRPr="009427F7">
              <w:rPr>
                <w:sz w:val="18"/>
                <w:szCs w:val="18"/>
              </w:rPr>
              <w:t>13 pts</w:t>
            </w:r>
            <w:r w:rsidR="00F509A3" w:rsidRPr="009427F7">
              <w:rPr>
                <w:sz w:val="18"/>
                <w:szCs w:val="18"/>
              </w:rPr>
              <w:t>*</w:t>
            </w:r>
          </w:p>
        </w:tc>
      </w:tr>
      <w:tr w:rsidR="00CA1680" w:rsidRPr="009427F7" w14:paraId="37C4B39C" w14:textId="77777777" w:rsidTr="00FA2674">
        <w:trPr>
          <w:cnfStyle w:val="000000010000" w:firstRow="0" w:lastRow="0" w:firstColumn="0" w:lastColumn="0" w:oddVBand="0" w:evenVBand="0" w:oddHBand="0" w:evenHBand="1" w:firstRowFirstColumn="0" w:firstRowLastColumn="0" w:lastRowFirstColumn="0" w:lastRowLastColumn="0"/>
        </w:trPr>
        <w:tc>
          <w:tcPr>
            <w:tcW w:w="3431" w:type="dxa"/>
          </w:tcPr>
          <w:p w14:paraId="6E2F9F8C" w14:textId="61A23768" w:rsidR="00CA1680" w:rsidRPr="009427F7" w:rsidRDefault="00CA1680" w:rsidP="00CA1680">
            <w:pPr>
              <w:pStyle w:val="TableBodyText"/>
              <w:rPr>
                <w:sz w:val="18"/>
                <w:szCs w:val="18"/>
              </w:rPr>
            </w:pPr>
            <w:r w:rsidRPr="009427F7">
              <w:rPr>
                <w:sz w:val="18"/>
                <w:szCs w:val="18"/>
              </w:rPr>
              <w:t>Labourers</w:t>
            </w:r>
          </w:p>
        </w:tc>
        <w:tc>
          <w:tcPr>
            <w:tcW w:w="1399" w:type="dxa"/>
          </w:tcPr>
          <w:p w14:paraId="3408B91E" w14:textId="22247957" w:rsidR="00CA1680" w:rsidRPr="009427F7" w:rsidRDefault="00CA1680" w:rsidP="00CA1680">
            <w:pPr>
              <w:pStyle w:val="TableBodyTextright"/>
              <w:rPr>
                <w:sz w:val="18"/>
                <w:szCs w:val="18"/>
              </w:rPr>
            </w:pPr>
            <w:r w:rsidRPr="009427F7">
              <w:rPr>
                <w:sz w:val="18"/>
                <w:szCs w:val="18"/>
              </w:rPr>
              <w:t>45</w:t>
            </w:r>
          </w:p>
        </w:tc>
        <w:tc>
          <w:tcPr>
            <w:tcW w:w="1399" w:type="dxa"/>
            <w:tcBorders>
              <w:right w:val="single" w:sz="4" w:space="0" w:color="FFFFFF" w:themeColor="background1"/>
            </w:tcBorders>
          </w:tcPr>
          <w:p w14:paraId="4DB28618" w14:textId="4A0AAECF" w:rsidR="00CA1680" w:rsidRPr="009427F7" w:rsidRDefault="00CA1680" w:rsidP="00CA1680">
            <w:pPr>
              <w:pStyle w:val="TableBodyTextright"/>
              <w:rPr>
                <w:sz w:val="18"/>
                <w:szCs w:val="18"/>
              </w:rPr>
            </w:pPr>
            <w:r w:rsidRPr="009427F7">
              <w:rPr>
                <w:sz w:val="18"/>
                <w:szCs w:val="18"/>
              </w:rPr>
              <w:t>7 pts</w:t>
            </w:r>
          </w:p>
        </w:tc>
        <w:tc>
          <w:tcPr>
            <w:tcW w:w="1399" w:type="dxa"/>
            <w:tcBorders>
              <w:left w:val="single" w:sz="4" w:space="0" w:color="FFFFFF" w:themeColor="background1"/>
              <w:bottom w:val="single" w:sz="4" w:space="0" w:color="2F005F"/>
            </w:tcBorders>
          </w:tcPr>
          <w:p w14:paraId="54CF2A86" w14:textId="51CECAE0" w:rsidR="00CA1680" w:rsidRPr="009427F7" w:rsidRDefault="00CA1680" w:rsidP="00CA1680">
            <w:pPr>
              <w:pStyle w:val="TableBodyTextright"/>
              <w:rPr>
                <w:sz w:val="18"/>
                <w:szCs w:val="18"/>
              </w:rPr>
            </w:pPr>
            <w:r w:rsidRPr="009427F7">
              <w:rPr>
                <w:sz w:val="18"/>
                <w:szCs w:val="18"/>
              </w:rPr>
              <w:t>37*</w:t>
            </w:r>
          </w:p>
        </w:tc>
        <w:tc>
          <w:tcPr>
            <w:tcW w:w="1399" w:type="dxa"/>
            <w:tcBorders>
              <w:bottom w:val="single" w:sz="4" w:space="0" w:color="2F005F"/>
            </w:tcBorders>
          </w:tcPr>
          <w:p w14:paraId="2A9F2E6C" w14:textId="4E26314D" w:rsidR="00CA1680" w:rsidRPr="009427F7" w:rsidRDefault="00CA1680" w:rsidP="00CA1680">
            <w:pPr>
              <w:pStyle w:val="TableBodyTextright"/>
              <w:rPr>
                <w:sz w:val="18"/>
                <w:szCs w:val="18"/>
              </w:rPr>
            </w:pPr>
            <w:r w:rsidRPr="009427F7">
              <w:rPr>
                <w:sz w:val="18"/>
                <w:szCs w:val="18"/>
              </w:rPr>
              <w:t>6 pts</w:t>
            </w:r>
            <w:r w:rsidR="00F509A3" w:rsidRPr="009427F7">
              <w:rPr>
                <w:sz w:val="18"/>
                <w:szCs w:val="18"/>
              </w:rPr>
              <w:t>*</w:t>
            </w:r>
          </w:p>
        </w:tc>
      </w:tr>
    </w:tbl>
    <w:p w14:paraId="102B415D" w14:textId="50BE2CFB" w:rsidR="00FE18D3" w:rsidRPr="009427F7" w:rsidRDefault="00FE18D3" w:rsidP="00FD5E3B">
      <w:pPr>
        <w:pStyle w:val="Source"/>
        <w:rPr>
          <w:rFonts w:eastAsia="Arial"/>
        </w:rPr>
      </w:pPr>
      <w:r w:rsidRPr="009427F7">
        <w:rPr>
          <w:rFonts w:eastAsia="Arial"/>
        </w:rPr>
        <w:t xml:space="preserve">Source: </w:t>
      </w:r>
      <w:r w:rsidR="00CA1680" w:rsidRPr="009427F7">
        <w:rPr>
          <w:rFonts w:eastAsia="Arial"/>
        </w:rPr>
        <w:t>JSA, REOS, March quarter 2025</w:t>
      </w:r>
      <w:r w:rsidRPr="009427F7">
        <w:rPr>
          <w:rFonts w:eastAsia="Arial"/>
        </w:rPr>
        <w:br/>
      </w:r>
      <w:r w:rsidR="00CA1680" w:rsidRPr="009427F7">
        <w:rPr>
          <w:rFonts w:eastAsia="Arial"/>
        </w:rPr>
        <w:t>Note: Data for Managers are not available, due to small sample sizes. The proportion of recruiting employers unable to fill all their vacancies within a month excludes employers with unfilled vacancies who have been recruiting for less than a month. *Interpret with caution due to low sample size.</w:t>
      </w:r>
    </w:p>
    <w:p w14:paraId="5CF08A2D" w14:textId="2F11D953" w:rsidR="00CA1680" w:rsidRPr="00CA1680" w:rsidRDefault="00DE096B" w:rsidP="00CA1680">
      <w:pPr>
        <w:pStyle w:val="Caption"/>
        <w:rPr>
          <w:b w:val="0"/>
          <w:bCs w:val="0"/>
          <w:color w:val="auto"/>
          <w:sz w:val="22"/>
          <w:szCs w:val="20"/>
        </w:rPr>
      </w:pPr>
      <w:r>
        <w:rPr>
          <w:b w:val="0"/>
          <w:bCs w:val="0"/>
          <w:color w:val="auto"/>
          <w:sz w:val="22"/>
          <w:szCs w:val="20"/>
        </w:rPr>
        <w:t xml:space="preserve">The </w:t>
      </w:r>
      <w:r w:rsidR="00CA1680" w:rsidRPr="00CA1680">
        <w:rPr>
          <w:b w:val="0"/>
          <w:bCs w:val="0"/>
          <w:color w:val="auto"/>
          <w:sz w:val="22"/>
          <w:szCs w:val="20"/>
        </w:rPr>
        <w:t>Accommodation and Food Services industry continued to re</w:t>
      </w:r>
      <w:r>
        <w:rPr>
          <w:b w:val="0"/>
          <w:bCs w:val="0"/>
          <w:color w:val="auto"/>
          <w:sz w:val="22"/>
          <w:szCs w:val="20"/>
        </w:rPr>
        <w:t>port</w:t>
      </w:r>
      <w:r w:rsidR="00CA1680" w:rsidRPr="00CA1680">
        <w:rPr>
          <w:b w:val="0"/>
          <w:bCs w:val="0"/>
          <w:color w:val="auto"/>
          <w:sz w:val="22"/>
          <w:szCs w:val="20"/>
        </w:rPr>
        <w:t xml:space="preserve"> the highest recruitment rate </w:t>
      </w:r>
      <w:r w:rsidR="00D51CDF">
        <w:rPr>
          <w:b w:val="0"/>
          <w:bCs w:val="0"/>
          <w:color w:val="auto"/>
          <w:sz w:val="22"/>
          <w:szCs w:val="20"/>
        </w:rPr>
        <w:t xml:space="preserve">at </w:t>
      </w:r>
      <w:r w:rsidR="00CA1680" w:rsidRPr="00CA1680">
        <w:rPr>
          <w:b w:val="0"/>
          <w:bCs w:val="0"/>
          <w:color w:val="auto"/>
          <w:sz w:val="22"/>
          <w:szCs w:val="20"/>
        </w:rPr>
        <w:t xml:space="preserve">62%, while Wholesale Trade recorded the lowest rate </w:t>
      </w:r>
      <w:r w:rsidR="00D51CDF">
        <w:rPr>
          <w:b w:val="0"/>
          <w:bCs w:val="0"/>
          <w:color w:val="auto"/>
          <w:sz w:val="22"/>
          <w:szCs w:val="20"/>
        </w:rPr>
        <w:t xml:space="preserve">at </w:t>
      </w:r>
      <w:r w:rsidR="00CA1680" w:rsidRPr="00CA1680">
        <w:rPr>
          <w:b w:val="0"/>
          <w:bCs w:val="0"/>
          <w:color w:val="auto"/>
          <w:sz w:val="22"/>
          <w:szCs w:val="20"/>
        </w:rPr>
        <w:t>36% (</w:t>
      </w:r>
      <w:r w:rsidR="00DE2047" w:rsidRPr="00DE2047">
        <w:rPr>
          <w:b w:val="0"/>
          <w:bCs w:val="0"/>
          <w:color w:val="auto"/>
          <w:sz w:val="22"/>
          <w:szCs w:val="20"/>
        </w:rPr>
        <w:t>Table 7</w:t>
      </w:r>
      <w:r w:rsidR="00CA1680" w:rsidRPr="00CA1680">
        <w:rPr>
          <w:b w:val="0"/>
          <w:bCs w:val="0"/>
          <w:color w:val="auto"/>
          <w:sz w:val="22"/>
          <w:szCs w:val="20"/>
        </w:rPr>
        <w:t xml:space="preserve">). </w:t>
      </w:r>
      <w:r w:rsidR="00DE3CF5">
        <w:rPr>
          <w:b w:val="0"/>
          <w:bCs w:val="0"/>
          <w:color w:val="auto"/>
          <w:sz w:val="22"/>
          <w:szCs w:val="20"/>
        </w:rPr>
        <w:t>The r</w:t>
      </w:r>
      <w:r w:rsidR="00CA1680" w:rsidRPr="00CA1680">
        <w:rPr>
          <w:b w:val="0"/>
          <w:bCs w:val="0"/>
          <w:color w:val="auto"/>
          <w:sz w:val="22"/>
          <w:szCs w:val="20"/>
        </w:rPr>
        <w:t>ecruitment difficulty rate was elevated in Manufacturing</w:t>
      </w:r>
      <w:r w:rsidR="00BE07E6">
        <w:rPr>
          <w:b w:val="0"/>
          <w:bCs w:val="0"/>
          <w:color w:val="auto"/>
          <w:sz w:val="22"/>
          <w:szCs w:val="20"/>
        </w:rPr>
        <w:t xml:space="preserve">, </w:t>
      </w:r>
      <w:r w:rsidR="00CA1680" w:rsidRPr="00CA1680">
        <w:rPr>
          <w:b w:val="0"/>
          <w:bCs w:val="0"/>
          <w:color w:val="auto"/>
          <w:sz w:val="22"/>
          <w:szCs w:val="20"/>
        </w:rPr>
        <w:t>Retail Trade, and Professional, Scientific and Technical Services</w:t>
      </w:r>
      <w:r w:rsidR="00BD6C2A">
        <w:rPr>
          <w:b w:val="0"/>
          <w:bCs w:val="0"/>
          <w:color w:val="auto"/>
          <w:sz w:val="22"/>
          <w:szCs w:val="20"/>
        </w:rPr>
        <w:t>, with</w:t>
      </w:r>
      <w:r w:rsidR="00DE3CF5">
        <w:rPr>
          <w:b w:val="0"/>
          <w:bCs w:val="0"/>
          <w:color w:val="auto"/>
          <w:sz w:val="22"/>
          <w:szCs w:val="20"/>
        </w:rPr>
        <w:t xml:space="preserve"> </w:t>
      </w:r>
      <w:r w:rsidR="00CA1680" w:rsidRPr="00CA1680">
        <w:rPr>
          <w:b w:val="0"/>
          <w:bCs w:val="0"/>
          <w:color w:val="auto"/>
          <w:sz w:val="22"/>
          <w:szCs w:val="20"/>
        </w:rPr>
        <w:t xml:space="preserve">around </w:t>
      </w:r>
      <w:r w:rsidR="00BE07E6">
        <w:rPr>
          <w:b w:val="0"/>
          <w:bCs w:val="0"/>
          <w:color w:val="auto"/>
          <w:sz w:val="22"/>
          <w:szCs w:val="20"/>
        </w:rPr>
        <w:t>50% of</w:t>
      </w:r>
      <w:r w:rsidR="00CA1680" w:rsidRPr="00CA1680">
        <w:rPr>
          <w:b w:val="0"/>
          <w:bCs w:val="0"/>
          <w:color w:val="auto"/>
          <w:sz w:val="22"/>
          <w:szCs w:val="20"/>
        </w:rPr>
        <w:t xml:space="preserve"> recruiting employers</w:t>
      </w:r>
      <w:r w:rsidR="00452857">
        <w:rPr>
          <w:b w:val="0"/>
          <w:bCs w:val="0"/>
          <w:color w:val="auto"/>
          <w:sz w:val="22"/>
          <w:szCs w:val="20"/>
        </w:rPr>
        <w:t xml:space="preserve"> in each industry</w:t>
      </w:r>
      <w:r w:rsidR="00BE07E6">
        <w:rPr>
          <w:b w:val="0"/>
          <w:bCs w:val="0"/>
          <w:color w:val="auto"/>
          <w:sz w:val="22"/>
          <w:szCs w:val="20"/>
        </w:rPr>
        <w:t xml:space="preserve"> </w:t>
      </w:r>
      <w:r w:rsidR="00252C13">
        <w:rPr>
          <w:b w:val="0"/>
          <w:bCs w:val="0"/>
          <w:color w:val="auto"/>
          <w:sz w:val="22"/>
          <w:szCs w:val="20"/>
        </w:rPr>
        <w:t>experiencing recruitment</w:t>
      </w:r>
      <w:r w:rsidR="00CA1680" w:rsidRPr="00CA1680">
        <w:rPr>
          <w:b w:val="0"/>
          <w:bCs w:val="0"/>
          <w:color w:val="auto"/>
          <w:sz w:val="22"/>
          <w:szCs w:val="20"/>
        </w:rPr>
        <w:t xml:space="preserve"> difficulty. </w:t>
      </w:r>
    </w:p>
    <w:p w14:paraId="3C3E2450" w14:textId="574C1B71" w:rsidR="00CA1680" w:rsidRDefault="00CA1680" w:rsidP="00CA1680">
      <w:pPr>
        <w:pStyle w:val="Caption"/>
        <w:rPr>
          <w:b w:val="0"/>
          <w:bCs w:val="0"/>
          <w:color w:val="auto"/>
          <w:sz w:val="22"/>
          <w:szCs w:val="20"/>
        </w:rPr>
      </w:pPr>
      <w:r w:rsidRPr="00D62134">
        <w:rPr>
          <w:b w:val="0"/>
          <w:bCs w:val="0"/>
          <w:color w:val="auto"/>
          <w:sz w:val="22"/>
          <w:szCs w:val="20"/>
        </w:rPr>
        <w:t>While recording the highest recruitment rate, the Accommodation and Food Services industry also reported the lowest recruitment difficulty rate of 27%</w:t>
      </w:r>
      <w:r w:rsidR="00CD1F70" w:rsidRPr="00D62134">
        <w:rPr>
          <w:b w:val="0"/>
          <w:bCs w:val="0"/>
          <w:color w:val="auto"/>
          <w:sz w:val="22"/>
          <w:szCs w:val="20"/>
        </w:rPr>
        <w:t xml:space="preserve"> in</w:t>
      </w:r>
      <w:r w:rsidR="00EF017A" w:rsidRPr="00D62134">
        <w:rPr>
          <w:b w:val="0"/>
          <w:bCs w:val="0"/>
          <w:color w:val="auto"/>
          <w:sz w:val="22"/>
          <w:szCs w:val="20"/>
        </w:rPr>
        <w:t xml:space="preserve"> both</w:t>
      </w:r>
      <w:r w:rsidR="00CD1F70" w:rsidRPr="00D62134">
        <w:rPr>
          <w:b w:val="0"/>
          <w:bCs w:val="0"/>
          <w:color w:val="auto"/>
          <w:sz w:val="22"/>
          <w:szCs w:val="20"/>
        </w:rPr>
        <w:t xml:space="preserve"> the March quarter 2025</w:t>
      </w:r>
      <w:r w:rsidR="00790C28" w:rsidRPr="00D62134">
        <w:rPr>
          <w:b w:val="0"/>
          <w:bCs w:val="0"/>
          <w:color w:val="auto"/>
          <w:sz w:val="22"/>
          <w:szCs w:val="20"/>
        </w:rPr>
        <w:t xml:space="preserve"> a</w:t>
      </w:r>
      <w:r w:rsidR="005D1CEC" w:rsidRPr="00D62134">
        <w:rPr>
          <w:b w:val="0"/>
          <w:bCs w:val="0"/>
          <w:color w:val="auto"/>
          <w:sz w:val="22"/>
          <w:szCs w:val="20"/>
        </w:rPr>
        <w:t xml:space="preserve">nd </w:t>
      </w:r>
      <w:r w:rsidR="00790C28" w:rsidRPr="00D62134">
        <w:rPr>
          <w:b w:val="0"/>
          <w:bCs w:val="0"/>
          <w:color w:val="auto"/>
          <w:sz w:val="22"/>
          <w:szCs w:val="20"/>
        </w:rPr>
        <w:t>the December quarter 2024</w:t>
      </w:r>
      <w:r w:rsidRPr="00D62134">
        <w:rPr>
          <w:b w:val="0"/>
          <w:bCs w:val="0"/>
          <w:color w:val="auto"/>
          <w:sz w:val="22"/>
          <w:szCs w:val="20"/>
        </w:rPr>
        <w:t xml:space="preserve">. </w:t>
      </w:r>
      <w:r w:rsidR="002E6C3E" w:rsidRPr="00D62134">
        <w:rPr>
          <w:b w:val="0"/>
          <w:bCs w:val="0"/>
          <w:color w:val="auto"/>
          <w:sz w:val="22"/>
          <w:szCs w:val="20"/>
        </w:rPr>
        <w:t xml:space="preserve">Among </w:t>
      </w:r>
      <w:r w:rsidR="00C9729D" w:rsidRPr="00D62134">
        <w:rPr>
          <w:b w:val="0"/>
          <w:bCs w:val="0"/>
          <w:color w:val="auto"/>
          <w:sz w:val="22"/>
          <w:szCs w:val="20"/>
        </w:rPr>
        <w:t xml:space="preserve">the </w:t>
      </w:r>
      <w:r w:rsidR="002E6C3E" w:rsidRPr="00D62134">
        <w:rPr>
          <w:b w:val="0"/>
          <w:bCs w:val="0"/>
          <w:color w:val="auto"/>
          <w:sz w:val="22"/>
          <w:szCs w:val="20"/>
        </w:rPr>
        <w:t>industries reported</w:t>
      </w:r>
      <w:r w:rsidR="00C9729D" w:rsidRPr="00D62134">
        <w:rPr>
          <w:b w:val="0"/>
          <w:bCs w:val="0"/>
          <w:color w:val="auto"/>
          <w:sz w:val="22"/>
          <w:szCs w:val="20"/>
        </w:rPr>
        <w:t xml:space="preserve"> in</w:t>
      </w:r>
      <w:r w:rsidR="00996F31" w:rsidRPr="00D62134">
        <w:rPr>
          <w:b w:val="0"/>
          <w:bCs w:val="0"/>
          <w:color w:val="auto"/>
          <w:sz w:val="22"/>
          <w:szCs w:val="20"/>
        </w:rPr>
        <w:t xml:space="preserve"> REOS data, </w:t>
      </w:r>
      <w:r w:rsidR="00C34667" w:rsidRPr="00D62134">
        <w:rPr>
          <w:b w:val="0"/>
          <w:bCs w:val="0"/>
          <w:color w:val="auto"/>
          <w:sz w:val="22"/>
          <w:szCs w:val="20"/>
        </w:rPr>
        <w:t xml:space="preserve">Accommodation and Food Services </w:t>
      </w:r>
      <w:r w:rsidR="005C5C11" w:rsidRPr="00D62134">
        <w:rPr>
          <w:b w:val="0"/>
          <w:bCs w:val="0"/>
          <w:color w:val="auto"/>
          <w:sz w:val="22"/>
          <w:szCs w:val="20"/>
        </w:rPr>
        <w:t>recorded</w:t>
      </w:r>
      <w:r w:rsidR="00C87578" w:rsidRPr="00D62134">
        <w:rPr>
          <w:b w:val="0"/>
          <w:bCs w:val="0"/>
          <w:color w:val="auto"/>
          <w:sz w:val="22"/>
          <w:szCs w:val="20"/>
        </w:rPr>
        <w:t xml:space="preserve"> </w:t>
      </w:r>
      <w:r w:rsidR="00023BE3" w:rsidRPr="00D62134">
        <w:rPr>
          <w:b w:val="0"/>
          <w:bCs w:val="0"/>
          <w:color w:val="auto"/>
          <w:sz w:val="22"/>
          <w:szCs w:val="20"/>
        </w:rPr>
        <w:t>the lowest recruitment difficulty rate</w:t>
      </w:r>
      <w:r w:rsidR="005C5C11" w:rsidRPr="00D62134">
        <w:rPr>
          <w:b w:val="0"/>
          <w:bCs w:val="0"/>
          <w:color w:val="auto"/>
          <w:sz w:val="22"/>
          <w:szCs w:val="20"/>
        </w:rPr>
        <w:t xml:space="preserve"> of 27%</w:t>
      </w:r>
      <w:r w:rsidR="00023BE3" w:rsidRPr="00D62134">
        <w:rPr>
          <w:b w:val="0"/>
          <w:bCs w:val="0"/>
          <w:color w:val="auto"/>
          <w:sz w:val="22"/>
          <w:szCs w:val="20"/>
        </w:rPr>
        <w:t xml:space="preserve"> </w:t>
      </w:r>
      <w:r w:rsidRPr="00D62134">
        <w:rPr>
          <w:b w:val="0"/>
          <w:bCs w:val="0"/>
          <w:color w:val="auto"/>
          <w:sz w:val="22"/>
          <w:szCs w:val="20"/>
        </w:rPr>
        <w:t>since</w:t>
      </w:r>
      <w:r w:rsidR="009C1DEA" w:rsidRPr="00D62134">
        <w:rPr>
          <w:b w:val="0"/>
          <w:bCs w:val="0"/>
          <w:color w:val="auto"/>
          <w:sz w:val="22"/>
          <w:szCs w:val="20"/>
        </w:rPr>
        <w:t xml:space="preserve"> the</w:t>
      </w:r>
      <w:r w:rsidRPr="00D62134">
        <w:rPr>
          <w:b w:val="0"/>
          <w:bCs w:val="0"/>
          <w:color w:val="auto"/>
          <w:sz w:val="22"/>
          <w:szCs w:val="20"/>
        </w:rPr>
        <w:t xml:space="preserve"> December quarter 2020.</w:t>
      </w:r>
      <w:r w:rsidRPr="00CA1680">
        <w:rPr>
          <w:b w:val="0"/>
          <w:bCs w:val="0"/>
          <w:color w:val="auto"/>
          <w:sz w:val="22"/>
          <w:szCs w:val="20"/>
        </w:rPr>
        <w:t xml:space="preserve"> </w:t>
      </w:r>
    </w:p>
    <w:p w14:paraId="0A58DFF4" w14:textId="5ADFE88B" w:rsidR="00FE18D3" w:rsidRPr="00CA1680" w:rsidRDefault="0061776C" w:rsidP="00334881">
      <w:pPr>
        <w:pStyle w:val="Caption"/>
        <w:keepNext/>
        <w:keepLines/>
      </w:pPr>
      <w:bookmarkStart w:id="41" w:name="_Ref200453487"/>
      <w:r w:rsidRPr="00CA1680">
        <w:lastRenderedPageBreak/>
        <w:t xml:space="preserve">Table </w:t>
      </w:r>
      <w:r w:rsidRPr="00CA1680">
        <w:fldChar w:fldCharType="begin"/>
      </w:r>
      <w:r w:rsidRPr="00CA1680">
        <w:instrText xml:space="preserve"> SEQ Table \* ARABIC </w:instrText>
      </w:r>
      <w:r w:rsidRPr="00CA1680">
        <w:fldChar w:fldCharType="separate"/>
      </w:r>
      <w:r w:rsidR="00D80BB2">
        <w:rPr>
          <w:noProof/>
        </w:rPr>
        <w:t>7</w:t>
      </w:r>
      <w:r w:rsidRPr="00CA1680">
        <w:fldChar w:fldCharType="end"/>
      </w:r>
      <w:bookmarkEnd w:id="41"/>
      <w:r w:rsidR="00FE18D3" w:rsidRPr="00CA1680">
        <w:t xml:space="preserve">: </w:t>
      </w:r>
      <w:r w:rsidR="00CA1680" w:rsidRPr="00CA1680">
        <w:t>Key indicators by select industries, March quarter 2025</w:t>
      </w:r>
    </w:p>
    <w:tbl>
      <w:tblPr>
        <w:tblStyle w:val="CustomTablebasic"/>
        <w:tblW w:w="9026" w:type="dxa"/>
        <w:tblLayout w:type="fixed"/>
        <w:tblLook w:val="04A0" w:firstRow="1" w:lastRow="0" w:firstColumn="1" w:lastColumn="0" w:noHBand="0" w:noVBand="1"/>
      </w:tblPr>
      <w:tblGrid>
        <w:gridCol w:w="2104"/>
        <w:gridCol w:w="1153"/>
        <w:gridCol w:w="1154"/>
        <w:gridCol w:w="1154"/>
        <w:gridCol w:w="1153"/>
        <w:gridCol w:w="1154"/>
        <w:gridCol w:w="1154"/>
      </w:tblGrid>
      <w:tr w:rsidR="006C2EED" w:rsidRPr="00CA1680" w14:paraId="2D14A04F" w14:textId="77777777" w:rsidTr="00BC46B2">
        <w:trPr>
          <w:cnfStyle w:val="100000000000" w:firstRow="1" w:lastRow="0" w:firstColumn="0" w:lastColumn="0" w:oddVBand="0" w:evenVBand="0" w:oddHBand="0" w:evenHBand="0" w:firstRowFirstColumn="0" w:firstRowLastColumn="0" w:lastRowFirstColumn="0" w:lastRowLastColumn="0"/>
        </w:trPr>
        <w:tc>
          <w:tcPr>
            <w:tcW w:w="2104" w:type="dxa"/>
          </w:tcPr>
          <w:p w14:paraId="0E943AC2" w14:textId="77777777" w:rsidR="006C2EED" w:rsidRPr="00CA1680" w:rsidRDefault="006C2EED" w:rsidP="00334881">
            <w:pPr>
              <w:keepNext/>
              <w:keepLines/>
              <w:rPr>
                <w:rStyle w:val="Characterbold"/>
                <w:sz w:val="18"/>
                <w:szCs w:val="18"/>
              </w:rPr>
            </w:pPr>
          </w:p>
        </w:tc>
        <w:tc>
          <w:tcPr>
            <w:tcW w:w="2307" w:type="dxa"/>
            <w:gridSpan w:val="2"/>
            <w:tcBorders>
              <w:right w:val="nil"/>
            </w:tcBorders>
          </w:tcPr>
          <w:p w14:paraId="679ED0E8" w14:textId="405637AD" w:rsidR="006C2EED" w:rsidRPr="00CA1680" w:rsidRDefault="006C2EED" w:rsidP="00334881">
            <w:pPr>
              <w:pStyle w:val="TableHeading1"/>
              <w:keepNext/>
              <w:keepLines/>
              <w:jc w:val="center"/>
              <w:rPr>
                <w:rStyle w:val="Characterbold"/>
                <w:sz w:val="18"/>
                <w:szCs w:val="18"/>
              </w:rPr>
            </w:pPr>
            <w:r w:rsidRPr="00CA1680">
              <w:rPr>
                <w:rStyle w:val="Characterbold"/>
                <w:sz w:val="18"/>
                <w:szCs w:val="18"/>
              </w:rPr>
              <w:t>Recruitment rate</w:t>
            </w:r>
          </w:p>
        </w:tc>
        <w:tc>
          <w:tcPr>
            <w:tcW w:w="2307" w:type="dxa"/>
            <w:gridSpan w:val="2"/>
            <w:tcBorders>
              <w:left w:val="nil"/>
              <w:right w:val="nil"/>
            </w:tcBorders>
          </w:tcPr>
          <w:p w14:paraId="52C14978" w14:textId="21358968" w:rsidR="006C2EED" w:rsidRPr="00CA1680" w:rsidRDefault="006C2EED" w:rsidP="00334881">
            <w:pPr>
              <w:pStyle w:val="TableHeading1"/>
              <w:keepNext/>
              <w:keepLines/>
              <w:jc w:val="center"/>
              <w:rPr>
                <w:rStyle w:val="Characterbold"/>
                <w:sz w:val="18"/>
                <w:szCs w:val="18"/>
              </w:rPr>
            </w:pPr>
            <w:r w:rsidRPr="00CA1680">
              <w:rPr>
                <w:rStyle w:val="Characterbold"/>
                <w:sz w:val="18"/>
                <w:szCs w:val="18"/>
              </w:rPr>
              <w:t xml:space="preserve">Recruitment </w:t>
            </w:r>
            <w:r w:rsidR="00BC46B2" w:rsidRPr="00CA1680">
              <w:rPr>
                <w:rStyle w:val="Characterbold"/>
                <w:sz w:val="18"/>
                <w:szCs w:val="18"/>
              </w:rPr>
              <w:br/>
            </w:r>
            <w:r w:rsidRPr="00CA1680">
              <w:rPr>
                <w:rStyle w:val="Characterbold"/>
                <w:sz w:val="18"/>
                <w:szCs w:val="18"/>
              </w:rPr>
              <w:t>difficulty rate</w:t>
            </w:r>
          </w:p>
        </w:tc>
        <w:tc>
          <w:tcPr>
            <w:tcW w:w="2308" w:type="dxa"/>
            <w:gridSpan w:val="2"/>
            <w:tcBorders>
              <w:left w:val="nil"/>
            </w:tcBorders>
          </w:tcPr>
          <w:p w14:paraId="5C2C5DBA" w14:textId="78486495" w:rsidR="006C2EED" w:rsidRPr="00CA1680" w:rsidRDefault="006C2EED" w:rsidP="00334881">
            <w:pPr>
              <w:pStyle w:val="TableHeading1"/>
              <w:keepNext/>
              <w:keepLines/>
              <w:jc w:val="center"/>
              <w:rPr>
                <w:rStyle w:val="Characterbold"/>
                <w:sz w:val="18"/>
                <w:szCs w:val="18"/>
              </w:rPr>
            </w:pPr>
            <w:r w:rsidRPr="00CA1680">
              <w:rPr>
                <w:rStyle w:val="Characterbold"/>
                <w:sz w:val="18"/>
                <w:szCs w:val="18"/>
              </w:rPr>
              <w:t>Expect to increase staff</w:t>
            </w:r>
          </w:p>
        </w:tc>
      </w:tr>
      <w:tr w:rsidR="00A6790A" w:rsidRPr="00CA1680" w14:paraId="1C4489DF" w14:textId="77777777" w:rsidTr="00A6790A">
        <w:tc>
          <w:tcPr>
            <w:tcW w:w="2104" w:type="dxa"/>
            <w:shd w:val="clear" w:color="auto" w:fill="2F005F"/>
          </w:tcPr>
          <w:p w14:paraId="0B56B438" w14:textId="77777777" w:rsidR="00FE18D3" w:rsidRPr="00CA1680" w:rsidRDefault="00FE18D3" w:rsidP="00334881">
            <w:pPr>
              <w:pStyle w:val="TableBodyTextright"/>
              <w:keepNext/>
              <w:keepLines/>
              <w:rPr>
                <w:sz w:val="18"/>
                <w:szCs w:val="18"/>
              </w:rPr>
            </w:pPr>
          </w:p>
        </w:tc>
        <w:tc>
          <w:tcPr>
            <w:tcW w:w="1153" w:type="dxa"/>
            <w:shd w:val="clear" w:color="auto" w:fill="2F005F"/>
          </w:tcPr>
          <w:p w14:paraId="184C80B1" w14:textId="77777777" w:rsidR="00FE18D3" w:rsidRPr="00CA1680" w:rsidRDefault="00FE18D3" w:rsidP="00334881">
            <w:pPr>
              <w:pStyle w:val="TableBodyTextright"/>
              <w:keepNext/>
              <w:keepLines/>
              <w:rPr>
                <w:sz w:val="18"/>
                <w:szCs w:val="18"/>
              </w:rPr>
            </w:pPr>
            <w:r w:rsidRPr="00CA1680">
              <w:rPr>
                <w:sz w:val="18"/>
                <w:szCs w:val="18"/>
              </w:rPr>
              <w:t>% of employers</w:t>
            </w:r>
          </w:p>
        </w:tc>
        <w:tc>
          <w:tcPr>
            <w:tcW w:w="1154" w:type="dxa"/>
            <w:tcBorders>
              <w:right w:val="single" w:sz="4" w:space="0" w:color="FFFFFF" w:themeColor="background1"/>
            </w:tcBorders>
            <w:shd w:val="clear" w:color="auto" w:fill="2F005F"/>
          </w:tcPr>
          <w:p w14:paraId="49F1D08E" w14:textId="033753B1" w:rsidR="00FE18D3" w:rsidRPr="00CA1680" w:rsidRDefault="00FE18D3" w:rsidP="00334881">
            <w:pPr>
              <w:pStyle w:val="TableBodyTextright"/>
              <w:keepNext/>
              <w:keepLines/>
              <w:rPr>
                <w:sz w:val="18"/>
                <w:szCs w:val="18"/>
              </w:rPr>
            </w:pPr>
            <w:r w:rsidRPr="00CA1680">
              <w:rPr>
                <w:sz w:val="18"/>
                <w:szCs w:val="18"/>
              </w:rPr>
              <w:t>Annual change</w:t>
            </w:r>
            <w:r w:rsidR="006C2EED" w:rsidRPr="00CA1680">
              <w:rPr>
                <w:sz w:val="18"/>
                <w:szCs w:val="18"/>
              </w:rPr>
              <w:t xml:space="preserve"> </w:t>
            </w:r>
            <w:r w:rsidRPr="00CA1680">
              <w:rPr>
                <w:sz w:val="18"/>
                <w:szCs w:val="18"/>
              </w:rPr>
              <w:t>(</w:t>
            </w:r>
            <w:r w:rsidR="007826D6">
              <w:rPr>
                <w:sz w:val="18"/>
                <w:szCs w:val="18"/>
              </w:rPr>
              <w:t>%</w:t>
            </w:r>
            <w:r w:rsidRPr="00CA1680">
              <w:rPr>
                <w:sz w:val="18"/>
                <w:szCs w:val="18"/>
              </w:rPr>
              <w:t>)</w:t>
            </w:r>
          </w:p>
        </w:tc>
        <w:tc>
          <w:tcPr>
            <w:tcW w:w="1154" w:type="dxa"/>
            <w:tcBorders>
              <w:left w:val="single" w:sz="4" w:space="0" w:color="FFFFFF" w:themeColor="background1"/>
              <w:bottom w:val="nil"/>
            </w:tcBorders>
            <w:shd w:val="clear" w:color="auto" w:fill="2F005F"/>
          </w:tcPr>
          <w:p w14:paraId="5CDAB1A6" w14:textId="77777777" w:rsidR="00FE18D3" w:rsidRPr="00CA1680" w:rsidRDefault="00FE18D3" w:rsidP="00334881">
            <w:pPr>
              <w:pStyle w:val="TableBodyTextright"/>
              <w:keepNext/>
              <w:keepLines/>
              <w:rPr>
                <w:sz w:val="18"/>
                <w:szCs w:val="18"/>
              </w:rPr>
            </w:pPr>
            <w:r w:rsidRPr="00CA1680">
              <w:rPr>
                <w:sz w:val="18"/>
                <w:szCs w:val="18"/>
              </w:rPr>
              <w:t>% of recruiting employers</w:t>
            </w:r>
          </w:p>
        </w:tc>
        <w:tc>
          <w:tcPr>
            <w:tcW w:w="1153" w:type="dxa"/>
            <w:tcBorders>
              <w:bottom w:val="nil"/>
              <w:right w:val="single" w:sz="4" w:space="0" w:color="FFFFFF" w:themeColor="background1"/>
            </w:tcBorders>
            <w:shd w:val="clear" w:color="auto" w:fill="2F005F"/>
          </w:tcPr>
          <w:p w14:paraId="4CDE13E2" w14:textId="18972CF3" w:rsidR="00FE18D3" w:rsidRPr="00CA1680" w:rsidRDefault="00FE18D3" w:rsidP="00334881">
            <w:pPr>
              <w:pStyle w:val="TableBodyTextright"/>
              <w:keepNext/>
              <w:keepLines/>
              <w:rPr>
                <w:sz w:val="18"/>
                <w:szCs w:val="18"/>
              </w:rPr>
            </w:pPr>
            <w:r w:rsidRPr="00CA1680">
              <w:rPr>
                <w:sz w:val="18"/>
                <w:szCs w:val="18"/>
              </w:rPr>
              <w:t>Annual change</w:t>
            </w:r>
            <w:r w:rsidR="006C2EED" w:rsidRPr="00CA1680">
              <w:rPr>
                <w:sz w:val="18"/>
                <w:szCs w:val="18"/>
              </w:rPr>
              <w:t xml:space="preserve"> </w:t>
            </w:r>
            <w:r w:rsidRPr="00CA1680">
              <w:rPr>
                <w:sz w:val="18"/>
                <w:szCs w:val="18"/>
              </w:rPr>
              <w:t>(</w:t>
            </w:r>
            <w:r w:rsidR="007826D6">
              <w:rPr>
                <w:sz w:val="18"/>
                <w:szCs w:val="18"/>
              </w:rPr>
              <w:t>%</w:t>
            </w:r>
            <w:r w:rsidRPr="00CA1680">
              <w:rPr>
                <w:sz w:val="18"/>
                <w:szCs w:val="18"/>
              </w:rPr>
              <w:t>)</w:t>
            </w:r>
          </w:p>
        </w:tc>
        <w:tc>
          <w:tcPr>
            <w:tcW w:w="1154" w:type="dxa"/>
            <w:tcBorders>
              <w:left w:val="single" w:sz="4" w:space="0" w:color="FFFFFF" w:themeColor="background1"/>
              <w:bottom w:val="nil"/>
            </w:tcBorders>
            <w:shd w:val="clear" w:color="auto" w:fill="2F005F"/>
          </w:tcPr>
          <w:p w14:paraId="7EAD9220" w14:textId="77777777" w:rsidR="00FE18D3" w:rsidRPr="00CA1680" w:rsidRDefault="00FE18D3" w:rsidP="00334881">
            <w:pPr>
              <w:pStyle w:val="TableBodyTextright"/>
              <w:keepNext/>
              <w:keepLines/>
              <w:rPr>
                <w:sz w:val="18"/>
                <w:szCs w:val="18"/>
              </w:rPr>
            </w:pPr>
            <w:r w:rsidRPr="00CA1680">
              <w:rPr>
                <w:sz w:val="18"/>
                <w:szCs w:val="18"/>
              </w:rPr>
              <w:t>% of employers</w:t>
            </w:r>
          </w:p>
        </w:tc>
        <w:tc>
          <w:tcPr>
            <w:tcW w:w="1154" w:type="dxa"/>
            <w:tcBorders>
              <w:bottom w:val="nil"/>
            </w:tcBorders>
            <w:shd w:val="clear" w:color="auto" w:fill="2F005F"/>
          </w:tcPr>
          <w:p w14:paraId="63CBCB56" w14:textId="072EB3C0" w:rsidR="00FE18D3" w:rsidRPr="00CA1680" w:rsidRDefault="00FE18D3" w:rsidP="00334881">
            <w:pPr>
              <w:pStyle w:val="TableBodyTextright"/>
              <w:keepNext/>
              <w:keepLines/>
              <w:rPr>
                <w:sz w:val="18"/>
                <w:szCs w:val="18"/>
              </w:rPr>
            </w:pPr>
            <w:r w:rsidRPr="00CA1680">
              <w:rPr>
                <w:sz w:val="18"/>
                <w:szCs w:val="18"/>
              </w:rPr>
              <w:t>Annual change</w:t>
            </w:r>
            <w:r w:rsidR="006C2EED" w:rsidRPr="00CA1680">
              <w:rPr>
                <w:sz w:val="18"/>
                <w:szCs w:val="18"/>
              </w:rPr>
              <w:t xml:space="preserve"> </w:t>
            </w:r>
            <w:r w:rsidRPr="00CA1680">
              <w:rPr>
                <w:sz w:val="18"/>
                <w:szCs w:val="18"/>
              </w:rPr>
              <w:t>(</w:t>
            </w:r>
            <w:r w:rsidR="007826D6">
              <w:rPr>
                <w:sz w:val="18"/>
                <w:szCs w:val="18"/>
              </w:rPr>
              <w:t>%</w:t>
            </w:r>
            <w:r w:rsidRPr="00CA1680">
              <w:rPr>
                <w:sz w:val="18"/>
                <w:szCs w:val="18"/>
              </w:rPr>
              <w:t>)</w:t>
            </w:r>
          </w:p>
        </w:tc>
      </w:tr>
      <w:tr w:rsidR="00CD3D6A" w:rsidRPr="00CA1680" w14:paraId="2EE0B06F" w14:textId="77777777" w:rsidTr="00A6790A">
        <w:trPr>
          <w:cnfStyle w:val="000000010000" w:firstRow="0" w:lastRow="0" w:firstColumn="0" w:lastColumn="0" w:oddVBand="0" w:evenVBand="0" w:oddHBand="0" w:evenHBand="1" w:firstRowFirstColumn="0" w:firstRowLastColumn="0" w:lastRowFirstColumn="0" w:lastRowLastColumn="0"/>
          <w:trHeight w:val="574"/>
        </w:trPr>
        <w:tc>
          <w:tcPr>
            <w:tcW w:w="2104" w:type="dxa"/>
          </w:tcPr>
          <w:p w14:paraId="0C69EB82" w14:textId="77777777" w:rsidR="00CA1680" w:rsidRPr="00CA1680" w:rsidRDefault="00CA1680" w:rsidP="00334881">
            <w:pPr>
              <w:pStyle w:val="TableBodyText"/>
              <w:keepNext/>
              <w:keepLines/>
              <w:rPr>
                <w:sz w:val="18"/>
                <w:szCs w:val="18"/>
              </w:rPr>
            </w:pPr>
            <w:r w:rsidRPr="00CA1680">
              <w:rPr>
                <w:sz w:val="18"/>
                <w:szCs w:val="18"/>
              </w:rPr>
              <w:t>Manufacturing</w:t>
            </w:r>
          </w:p>
        </w:tc>
        <w:tc>
          <w:tcPr>
            <w:tcW w:w="1153" w:type="dxa"/>
          </w:tcPr>
          <w:p w14:paraId="567C963E" w14:textId="239E5546" w:rsidR="00CA1680" w:rsidRPr="00CA1680" w:rsidRDefault="00CA1680" w:rsidP="00334881">
            <w:pPr>
              <w:pStyle w:val="TableBodyTextright"/>
              <w:keepNext/>
              <w:keepLines/>
              <w:rPr>
                <w:sz w:val="18"/>
                <w:szCs w:val="18"/>
              </w:rPr>
            </w:pPr>
            <w:r w:rsidRPr="00CA1680">
              <w:rPr>
                <w:sz w:val="18"/>
                <w:szCs w:val="18"/>
              </w:rPr>
              <w:t>48</w:t>
            </w:r>
          </w:p>
        </w:tc>
        <w:tc>
          <w:tcPr>
            <w:tcW w:w="1154" w:type="dxa"/>
            <w:tcBorders>
              <w:right w:val="single" w:sz="4" w:space="0" w:color="FFFFFF" w:themeColor="background1"/>
            </w:tcBorders>
          </w:tcPr>
          <w:p w14:paraId="049CB553" w14:textId="2CA24DE0" w:rsidR="00CA1680" w:rsidRPr="00CA1680" w:rsidRDefault="00CA1680" w:rsidP="00334881">
            <w:pPr>
              <w:pStyle w:val="TableBodyTextright"/>
              <w:keepNext/>
              <w:keepLines/>
              <w:rPr>
                <w:sz w:val="18"/>
                <w:szCs w:val="18"/>
              </w:rPr>
            </w:pPr>
            <w:r w:rsidRPr="00CA1680">
              <w:rPr>
                <w:sz w:val="18"/>
                <w:szCs w:val="18"/>
              </w:rPr>
              <w:t>2 pts</w:t>
            </w:r>
          </w:p>
        </w:tc>
        <w:tc>
          <w:tcPr>
            <w:tcW w:w="1154" w:type="dxa"/>
            <w:tcBorders>
              <w:left w:val="single" w:sz="4" w:space="0" w:color="FFFFFF" w:themeColor="background1"/>
              <w:bottom w:val="nil"/>
            </w:tcBorders>
          </w:tcPr>
          <w:p w14:paraId="0AE4DABE" w14:textId="2D1BE62F" w:rsidR="00CA1680" w:rsidRPr="00CA1680" w:rsidRDefault="00CA1680" w:rsidP="00334881">
            <w:pPr>
              <w:pStyle w:val="TableBodyTextright"/>
              <w:keepNext/>
              <w:keepLines/>
              <w:rPr>
                <w:sz w:val="18"/>
                <w:szCs w:val="18"/>
              </w:rPr>
            </w:pPr>
            <w:r w:rsidRPr="00CA1680">
              <w:rPr>
                <w:sz w:val="18"/>
                <w:szCs w:val="18"/>
              </w:rPr>
              <w:t>51</w:t>
            </w:r>
          </w:p>
        </w:tc>
        <w:tc>
          <w:tcPr>
            <w:tcW w:w="1153" w:type="dxa"/>
            <w:tcBorders>
              <w:bottom w:val="nil"/>
              <w:right w:val="single" w:sz="4" w:space="0" w:color="FFFFFF" w:themeColor="background1"/>
            </w:tcBorders>
          </w:tcPr>
          <w:p w14:paraId="08A8573C" w14:textId="0111828A" w:rsidR="00CA1680" w:rsidRPr="00CA1680" w:rsidRDefault="00CA1680" w:rsidP="00334881">
            <w:pPr>
              <w:pStyle w:val="TableBodyTextright"/>
              <w:keepNext/>
              <w:keepLines/>
              <w:rPr>
                <w:sz w:val="18"/>
                <w:szCs w:val="18"/>
              </w:rPr>
            </w:pPr>
            <w:r w:rsidRPr="00CA1680">
              <w:rPr>
                <w:sz w:val="18"/>
                <w:szCs w:val="18"/>
              </w:rPr>
              <w:t>-1 pts</w:t>
            </w:r>
          </w:p>
        </w:tc>
        <w:tc>
          <w:tcPr>
            <w:tcW w:w="1154" w:type="dxa"/>
            <w:tcBorders>
              <w:left w:val="single" w:sz="4" w:space="0" w:color="FFFFFF" w:themeColor="background1"/>
              <w:bottom w:val="nil"/>
            </w:tcBorders>
          </w:tcPr>
          <w:p w14:paraId="3D2752B8" w14:textId="2D3557E8" w:rsidR="00CA1680" w:rsidRPr="00CA1680" w:rsidRDefault="00CA1680" w:rsidP="00334881">
            <w:pPr>
              <w:pStyle w:val="TableBodyTextright"/>
              <w:keepNext/>
              <w:keepLines/>
              <w:rPr>
                <w:sz w:val="18"/>
                <w:szCs w:val="18"/>
              </w:rPr>
            </w:pPr>
            <w:r w:rsidRPr="00CA1680">
              <w:rPr>
                <w:sz w:val="18"/>
                <w:szCs w:val="18"/>
              </w:rPr>
              <w:t>22</w:t>
            </w:r>
          </w:p>
        </w:tc>
        <w:tc>
          <w:tcPr>
            <w:tcW w:w="1154" w:type="dxa"/>
            <w:tcBorders>
              <w:bottom w:val="nil"/>
            </w:tcBorders>
          </w:tcPr>
          <w:p w14:paraId="289D1FFB" w14:textId="52BF4099" w:rsidR="00CA1680" w:rsidRPr="00CA1680" w:rsidRDefault="00CA1680" w:rsidP="00334881">
            <w:pPr>
              <w:pStyle w:val="TableBodyTextright"/>
              <w:keepNext/>
              <w:keepLines/>
              <w:rPr>
                <w:sz w:val="18"/>
                <w:szCs w:val="18"/>
              </w:rPr>
            </w:pPr>
            <w:r w:rsidRPr="00CA1680">
              <w:rPr>
                <w:sz w:val="18"/>
                <w:szCs w:val="18"/>
              </w:rPr>
              <w:t>-3 pts</w:t>
            </w:r>
          </w:p>
        </w:tc>
      </w:tr>
      <w:tr w:rsidR="00CA1680" w:rsidRPr="00CA1680" w14:paraId="0663EEBA" w14:textId="77777777" w:rsidTr="00A6790A">
        <w:trPr>
          <w:trHeight w:val="574"/>
        </w:trPr>
        <w:tc>
          <w:tcPr>
            <w:tcW w:w="2104" w:type="dxa"/>
          </w:tcPr>
          <w:p w14:paraId="7CDD5A67" w14:textId="77777777" w:rsidR="00CA1680" w:rsidRPr="00CA1680" w:rsidRDefault="00CA1680" w:rsidP="00334881">
            <w:pPr>
              <w:pStyle w:val="TableBodyText"/>
              <w:keepNext/>
              <w:keepLines/>
              <w:rPr>
                <w:sz w:val="18"/>
                <w:szCs w:val="18"/>
              </w:rPr>
            </w:pPr>
            <w:r w:rsidRPr="00CA1680">
              <w:rPr>
                <w:sz w:val="18"/>
                <w:szCs w:val="18"/>
              </w:rPr>
              <w:t>Construction</w:t>
            </w:r>
          </w:p>
        </w:tc>
        <w:tc>
          <w:tcPr>
            <w:tcW w:w="1153" w:type="dxa"/>
          </w:tcPr>
          <w:p w14:paraId="52E21794" w14:textId="30BF0F87" w:rsidR="00CA1680" w:rsidRPr="00CA1680" w:rsidRDefault="00CA1680" w:rsidP="00334881">
            <w:pPr>
              <w:pStyle w:val="TableBodyTextright"/>
              <w:keepNext/>
              <w:keepLines/>
              <w:rPr>
                <w:sz w:val="18"/>
                <w:szCs w:val="18"/>
              </w:rPr>
            </w:pPr>
            <w:r w:rsidRPr="00CA1680">
              <w:rPr>
                <w:sz w:val="18"/>
                <w:szCs w:val="18"/>
              </w:rPr>
              <w:t>42</w:t>
            </w:r>
          </w:p>
        </w:tc>
        <w:tc>
          <w:tcPr>
            <w:tcW w:w="1154" w:type="dxa"/>
            <w:tcBorders>
              <w:right w:val="single" w:sz="4" w:space="0" w:color="FFFFFF" w:themeColor="background1"/>
            </w:tcBorders>
          </w:tcPr>
          <w:p w14:paraId="46AF73D7" w14:textId="643AFB08" w:rsidR="00CA1680" w:rsidRPr="00CA1680" w:rsidRDefault="00CA1680" w:rsidP="00334881">
            <w:pPr>
              <w:pStyle w:val="TableBodyTextright"/>
              <w:keepNext/>
              <w:keepLines/>
              <w:rPr>
                <w:sz w:val="18"/>
                <w:szCs w:val="18"/>
              </w:rPr>
            </w:pPr>
            <w:r w:rsidRPr="00CA1680">
              <w:rPr>
                <w:sz w:val="18"/>
                <w:szCs w:val="18"/>
              </w:rPr>
              <w:t>-6 pts</w:t>
            </w:r>
          </w:p>
        </w:tc>
        <w:tc>
          <w:tcPr>
            <w:tcW w:w="1154" w:type="dxa"/>
            <w:tcBorders>
              <w:left w:val="single" w:sz="4" w:space="0" w:color="FFFFFF" w:themeColor="background1"/>
              <w:bottom w:val="nil"/>
            </w:tcBorders>
          </w:tcPr>
          <w:p w14:paraId="53FBC83C" w14:textId="08D4D29D" w:rsidR="00CA1680" w:rsidRPr="00CA1680" w:rsidRDefault="00CA1680" w:rsidP="00334881">
            <w:pPr>
              <w:pStyle w:val="TableBodyTextright"/>
              <w:keepNext/>
              <w:keepLines/>
              <w:rPr>
                <w:sz w:val="18"/>
                <w:szCs w:val="18"/>
              </w:rPr>
            </w:pPr>
            <w:r w:rsidRPr="00CA1680">
              <w:rPr>
                <w:sz w:val="18"/>
                <w:szCs w:val="18"/>
              </w:rPr>
              <w:t>42*</w:t>
            </w:r>
          </w:p>
        </w:tc>
        <w:tc>
          <w:tcPr>
            <w:tcW w:w="1153" w:type="dxa"/>
            <w:tcBorders>
              <w:bottom w:val="nil"/>
              <w:right w:val="single" w:sz="4" w:space="0" w:color="FFFFFF" w:themeColor="background1"/>
            </w:tcBorders>
          </w:tcPr>
          <w:p w14:paraId="7D3D8A6C" w14:textId="02F946A0" w:rsidR="00CA1680" w:rsidRPr="00CA1680" w:rsidRDefault="00CA1680" w:rsidP="00334881">
            <w:pPr>
              <w:pStyle w:val="TableBodyTextright"/>
              <w:keepNext/>
              <w:keepLines/>
              <w:rPr>
                <w:sz w:val="18"/>
                <w:szCs w:val="18"/>
              </w:rPr>
            </w:pPr>
            <w:r w:rsidRPr="00CA1680">
              <w:rPr>
                <w:sz w:val="18"/>
                <w:szCs w:val="18"/>
              </w:rPr>
              <w:t>-13 pts*</w:t>
            </w:r>
          </w:p>
        </w:tc>
        <w:tc>
          <w:tcPr>
            <w:tcW w:w="1154" w:type="dxa"/>
            <w:tcBorders>
              <w:left w:val="single" w:sz="4" w:space="0" w:color="FFFFFF" w:themeColor="background1"/>
              <w:bottom w:val="nil"/>
            </w:tcBorders>
          </w:tcPr>
          <w:p w14:paraId="3CF44F44" w14:textId="69C9B719" w:rsidR="00CA1680" w:rsidRPr="00CA1680" w:rsidRDefault="00CA1680" w:rsidP="00334881">
            <w:pPr>
              <w:pStyle w:val="TableBodyTextright"/>
              <w:keepNext/>
              <w:keepLines/>
              <w:rPr>
                <w:sz w:val="18"/>
                <w:szCs w:val="18"/>
              </w:rPr>
            </w:pPr>
            <w:r w:rsidRPr="00CA1680">
              <w:rPr>
                <w:sz w:val="18"/>
                <w:szCs w:val="18"/>
              </w:rPr>
              <w:t>23</w:t>
            </w:r>
          </w:p>
        </w:tc>
        <w:tc>
          <w:tcPr>
            <w:tcW w:w="1154" w:type="dxa"/>
            <w:tcBorders>
              <w:bottom w:val="nil"/>
            </w:tcBorders>
          </w:tcPr>
          <w:p w14:paraId="0391AB43" w14:textId="6CC44513" w:rsidR="00CA1680" w:rsidRPr="00CA1680" w:rsidRDefault="00CA1680" w:rsidP="00334881">
            <w:pPr>
              <w:pStyle w:val="TableBodyTextright"/>
              <w:keepNext/>
              <w:keepLines/>
              <w:rPr>
                <w:sz w:val="18"/>
                <w:szCs w:val="18"/>
              </w:rPr>
            </w:pPr>
            <w:r w:rsidRPr="00CA1680">
              <w:rPr>
                <w:sz w:val="18"/>
                <w:szCs w:val="18"/>
              </w:rPr>
              <w:t>0 pts</w:t>
            </w:r>
          </w:p>
        </w:tc>
      </w:tr>
      <w:tr w:rsidR="00CD3D6A" w:rsidRPr="00CA1680" w14:paraId="078C858D" w14:textId="77777777" w:rsidTr="00A6790A">
        <w:trPr>
          <w:cnfStyle w:val="000000010000" w:firstRow="0" w:lastRow="0" w:firstColumn="0" w:lastColumn="0" w:oddVBand="0" w:evenVBand="0" w:oddHBand="0" w:evenHBand="1" w:firstRowFirstColumn="0" w:firstRowLastColumn="0" w:lastRowFirstColumn="0" w:lastRowLastColumn="0"/>
          <w:trHeight w:val="574"/>
        </w:trPr>
        <w:tc>
          <w:tcPr>
            <w:tcW w:w="2104" w:type="dxa"/>
          </w:tcPr>
          <w:p w14:paraId="42CA10B0" w14:textId="77777777" w:rsidR="00CA1680" w:rsidRPr="00CA1680" w:rsidRDefault="00CA1680" w:rsidP="00334881">
            <w:pPr>
              <w:pStyle w:val="TableBodyText"/>
              <w:keepNext/>
              <w:keepLines/>
              <w:rPr>
                <w:sz w:val="18"/>
                <w:szCs w:val="18"/>
              </w:rPr>
            </w:pPr>
            <w:r w:rsidRPr="00CA1680">
              <w:rPr>
                <w:sz w:val="18"/>
                <w:szCs w:val="18"/>
              </w:rPr>
              <w:t>Wholesale Trade</w:t>
            </w:r>
          </w:p>
        </w:tc>
        <w:tc>
          <w:tcPr>
            <w:tcW w:w="1153" w:type="dxa"/>
          </w:tcPr>
          <w:p w14:paraId="5CEF15D7" w14:textId="0FBDFA75" w:rsidR="00CA1680" w:rsidRPr="00CA1680" w:rsidRDefault="00CA1680" w:rsidP="00334881">
            <w:pPr>
              <w:pStyle w:val="TableBodyTextright"/>
              <w:keepNext/>
              <w:keepLines/>
              <w:rPr>
                <w:sz w:val="18"/>
                <w:szCs w:val="18"/>
              </w:rPr>
            </w:pPr>
            <w:r w:rsidRPr="00CA1680">
              <w:rPr>
                <w:sz w:val="18"/>
                <w:szCs w:val="18"/>
              </w:rPr>
              <w:t>36</w:t>
            </w:r>
          </w:p>
        </w:tc>
        <w:tc>
          <w:tcPr>
            <w:tcW w:w="1154" w:type="dxa"/>
            <w:tcBorders>
              <w:right w:val="single" w:sz="4" w:space="0" w:color="FFFFFF" w:themeColor="background1"/>
            </w:tcBorders>
          </w:tcPr>
          <w:p w14:paraId="5B25B424" w14:textId="189F25D8" w:rsidR="00CA1680" w:rsidRPr="00CA1680" w:rsidRDefault="00CA1680" w:rsidP="00334881">
            <w:pPr>
              <w:pStyle w:val="TableBodyTextright"/>
              <w:keepNext/>
              <w:keepLines/>
              <w:rPr>
                <w:sz w:val="18"/>
                <w:szCs w:val="18"/>
              </w:rPr>
            </w:pPr>
            <w:r w:rsidRPr="00CA1680">
              <w:rPr>
                <w:sz w:val="18"/>
                <w:szCs w:val="18"/>
              </w:rPr>
              <w:t>-7 pts</w:t>
            </w:r>
          </w:p>
        </w:tc>
        <w:tc>
          <w:tcPr>
            <w:tcW w:w="1154" w:type="dxa"/>
            <w:tcBorders>
              <w:left w:val="single" w:sz="4" w:space="0" w:color="FFFFFF" w:themeColor="background1"/>
              <w:bottom w:val="nil"/>
            </w:tcBorders>
          </w:tcPr>
          <w:p w14:paraId="507CBD84" w14:textId="1D96FED5" w:rsidR="00CA1680" w:rsidRPr="00CA1680" w:rsidRDefault="00CA1680" w:rsidP="00334881">
            <w:pPr>
              <w:pStyle w:val="TableBodyTextright"/>
              <w:keepNext/>
              <w:keepLines/>
              <w:rPr>
                <w:sz w:val="18"/>
                <w:szCs w:val="18"/>
              </w:rPr>
            </w:pPr>
            <w:r w:rsidRPr="00CA1680">
              <w:rPr>
                <w:sz w:val="18"/>
                <w:szCs w:val="18"/>
              </w:rPr>
              <w:t>39*</w:t>
            </w:r>
          </w:p>
        </w:tc>
        <w:tc>
          <w:tcPr>
            <w:tcW w:w="1153" w:type="dxa"/>
            <w:tcBorders>
              <w:bottom w:val="nil"/>
              <w:right w:val="single" w:sz="4" w:space="0" w:color="FFFFFF" w:themeColor="background1"/>
            </w:tcBorders>
          </w:tcPr>
          <w:p w14:paraId="5C7F5521" w14:textId="762A4770" w:rsidR="00CA1680" w:rsidRPr="00CA1680" w:rsidRDefault="00CA1680" w:rsidP="00334881">
            <w:pPr>
              <w:pStyle w:val="TableBodyTextright"/>
              <w:keepNext/>
              <w:keepLines/>
              <w:rPr>
                <w:sz w:val="18"/>
                <w:szCs w:val="18"/>
              </w:rPr>
            </w:pPr>
            <w:r w:rsidRPr="00CA1680">
              <w:rPr>
                <w:sz w:val="18"/>
                <w:szCs w:val="18"/>
              </w:rPr>
              <w:t>-8 pts*</w:t>
            </w:r>
          </w:p>
        </w:tc>
        <w:tc>
          <w:tcPr>
            <w:tcW w:w="1154" w:type="dxa"/>
            <w:tcBorders>
              <w:left w:val="single" w:sz="4" w:space="0" w:color="FFFFFF" w:themeColor="background1"/>
              <w:bottom w:val="nil"/>
            </w:tcBorders>
          </w:tcPr>
          <w:p w14:paraId="1BF1CD93" w14:textId="50F26EC5" w:rsidR="00CA1680" w:rsidRPr="00CA1680" w:rsidRDefault="00CA1680" w:rsidP="00334881">
            <w:pPr>
              <w:pStyle w:val="TableBodyTextright"/>
              <w:keepNext/>
              <w:keepLines/>
              <w:rPr>
                <w:sz w:val="18"/>
                <w:szCs w:val="18"/>
              </w:rPr>
            </w:pPr>
            <w:r w:rsidRPr="00CA1680">
              <w:rPr>
                <w:sz w:val="18"/>
                <w:szCs w:val="18"/>
              </w:rPr>
              <w:t>16</w:t>
            </w:r>
          </w:p>
        </w:tc>
        <w:tc>
          <w:tcPr>
            <w:tcW w:w="1154" w:type="dxa"/>
            <w:tcBorders>
              <w:bottom w:val="nil"/>
            </w:tcBorders>
          </w:tcPr>
          <w:p w14:paraId="26683A2D" w14:textId="62932123" w:rsidR="00CA1680" w:rsidRPr="00CA1680" w:rsidRDefault="00CA1680" w:rsidP="00334881">
            <w:pPr>
              <w:pStyle w:val="TableBodyTextright"/>
              <w:keepNext/>
              <w:keepLines/>
              <w:rPr>
                <w:sz w:val="18"/>
                <w:szCs w:val="18"/>
              </w:rPr>
            </w:pPr>
            <w:r w:rsidRPr="00CA1680">
              <w:rPr>
                <w:sz w:val="18"/>
                <w:szCs w:val="18"/>
              </w:rPr>
              <w:t>-5 pts</w:t>
            </w:r>
          </w:p>
        </w:tc>
      </w:tr>
      <w:tr w:rsidR="00CA1680" w:rsidRPr="00CA1680" w14:paraId="4E575979" w14:textId="77777777" w:rsidTr="00A6790A">
        <w:trPr>
          <w:trHeight w:val="574"/>
        </w:trPr>
        <w:tc>
          <w:tcPr>
            <w:tcW w:w="2104" w:type="dxa"/>
          </w:tcPr>
          <w:p w14:paraId="34EC245A" w14:textId="77777777" w:rsidR="00CA1680" w:rsidRPr="00CA1680" w:rsidRDefault="00CA1680" w:rsidP="00334881">
            <w:pPr>
              <w:pStyle w:val="TableBodyText"/>
              <w:keepNext/>
              <w:keepLines/>
              <w:rPr>
                <w:sz w:val="18"/>
                <w:szCs w:val="18"/>
              </w:rPr>
            </w:pPr>
            <w:r w:rsidRPr="00CA1680">
              <w:rPr>
                <w:sz w:val="18"/>
                <w:szCs w:val="18"/>
              </w:rPr>
              <w:t>Retail Trade</w:t>
            </w:r>
          </w:p>
        </w:tc>
        <w:tc>
          <w:tcPr>
            <w:tcW w:w="1153" w:type="dxa"/>
          </w:tcPr>
          <w:p w14:paraId="623B5806" w14:textId="46152404" w:rsidR="00CA1680" w:rsidRPr="00CA1680" w:rsidRDefault="00CA1680" w:rsidP="00334881">
            <w:pPr>
              <w:pStyle w:val="TableBodyTextright"/>
              <w:keepNext/>
              <w:keepLines/>
              <w:rPr>
                <w:sz w:val="18"/>
                <w:szCs w:val="18"/>
              </w:rPr>
            </w:pPr>
            <w:r w:rsidRPr="00CA1680">
              <w:rPr>
                <w:sz w:val="18"/>
                <w:szCs w:val="18"/>
              </w:rPr>
              <w:t>38</w:t>
            </w:r>
          </w:p>
        </w:tc>
        <w:tc>
          <w:tcPr>
            <w:tcW w:w="1154" w:type="dxa"/>
            <w:tcBorders>
              <w:right w:val="single" w:sz="4" w:space="0" w:color="FFFFFF" w:themeColor="background1"/>
            </w:tcBorders>
          </w:tcPr>
          <w:p w14:paraId="19ACDB63" w14:textId="696B7A3F" w:rsidR="00CA1680" w:rsidRPr="00CA1680" w:rsidRDefault="00CA1680" w:rsidP="00334881">
            <w:pPr>
              <w:pStyle w:val="TableBodyTextright"/>
              <w:keepNext/>
              <w:keepLines/>
              <w:rPr>
                <w:sz w:val="18"/>
                <w:szCs w:val="18"/>
              </w:rPr>
            </w:pPr>
            <w:r w:rsidRPr="00CA1680">
              <w:rPr>
                <w:sz w:val="18"/>
                <w:szCs w:val="18"/>
              </w:rPr>
              <w:t>-5 pts</w:t>
            </w:r>
          </w:p>
        </w:tc>
        <w:tc>
          <w:tcPr>
            <w:tcW w:w="1154" w:type="dxa"/>
            <w:tcBorders>
              <w:left w:val="single" w:sz="4" w:space="0" w:color="FFFFFF" w:themeColor="background1"/>
              <w:bottom w:val="nil"/>
            </w:tcBorders>
          </w:tcPr>
          <w:p w14:paraId="17692C73" w14:textId="6A8C255F" w:rsidR="00CA1680" w:rsidRPr="00CA1680" w:rsidRDefault="00CA1680" w:rsidP="00334881">
            <w:pPr>
              <w:pStyle w:val="TableBodyTextright"/>
              <w:keepNext/>
              <w:keepLines/>
              <w:rPr>
                <w:sz w:val="18"/>
                <w:szCs w:val="18"/>
              </w:rPr>
            </w:pPr>
            <w:r w:rsidRPr="00CA1680">
              <w:rPr>
                <w:sz w:val="18"/>
                <w:szCs w:val="18"/>
              </w:rPr>
              <w:t>50*</w:t>
            </w:r>
          </w:p>
        </w:tc>
        <w:tc>
          <w:tcPr>
            <w:tcW w:w="1153" w:type="dxa"/>
            <w:tcBorders>
              <w:bottom w:val="nil"/>
              <w:right w:val="single" w:sz="4" w:space="0" w:color="FFFFFF" w:themeColor="background1"/>
            </w:tcBorders>
          </w:tcPr>
          <w:p w14:paraId="38DAF632" w14:textId="766B11CE" w:rsidR="00CA1680" w:rsidRPr="00CA1680" w:rsidRDefault="00CA1680" w:rsidP="00334881">
            <w:pPr>
              <w:pStyle w:val="TableBodyTextright"/>
              <w:keepNext/>
              <w:keepLines/>
              <w:rPr>
                <w:sz w:val="18"/>
                <w:szCs w:val="18"/>
              </w:rPr>
            </w:pPr>
            <w:r w:rsidRPr="00CA1680">
              <w:rPr>
                <w:sz w:val="18"/>
                <w:szCs w:val="18"/>
              </w:rPr>
              <w:t>-2 pts*</w:t>
            </w:r>
          </w:p>
        </w:tc>
        <w:tc>
          <w:tcPr>
            <w:tcW w:w="1154" w:type="dxa"/>
            <w:tcBorders>
              <w:left w:val="single" w:sz="4" w:space="0" w:color="FFFFFF" w:themeColor="background1"/>
              <w:bottom w:val="nil"/>
            </w:tcBorders>
          </w:tcPr>
          <w:p w14:paraId="43239B67" w14:textId="017B8CC9" w:rsidR="00CA1680" w:rsidRPr="00CA1680" w:rsidRDefault="00CA1680" w:rsidP="00334881">
            <w:pPr>
              <w:pStyle w:val="TableBodyTextright"/>
              <w:keepNext/>
              <w:keepLines/>
              <w:rPr>
                <w:sz w:val="18"/>
                <w:szCs w:val="18"/>
              </w:rPr>
            </w:pPr>
            <w:r w:rsidRPr="00CA1680">
              <w:rPr>
                <w:sz w:val="18"/>
                <w:szCs w:val="18"/>
              </w:rPr>
              <w:t>18</w:t>
            </w:r>
          </w:p>
        </w:tc>
        <w:tc>
          <w:tcPr>
            <w:tcW w:w="1154" w:type="dxa"/>
            <w:tcBorders>
              <w:bottom w:val="nil"/>
            </w:tcBorders>
          </w:tcPr>
          <w:p w14:paraId="480DA3F2" w14:textId="2AD4FD30" w:rsidR="00CA1680" w:rsidRPr="00CA1680" w:rsidRDefault="00CA1680" w:rsidP="00334881">
            <w:pPr>
              <w:pStyle w:val="TableBodyTextright"/>
              <w:keepNext/>
              <w:keepLines/>
              <w:rPr>
                <w:sz w:val="18"/>
                <w:szCs w:val="18"/>
              </w:rPr>
            </w:pPr>
            <w:r w:rsidRPr="00CA1680">
              <w:rPr>
                <w:sz w:val="18"/>
                <w:szCs w:val="18"/>
              </w:rPr>
              <w:t>-5 pts</w:t>
            </w:r>
          </w:p>
        </w:tc>
      </w:tr>
      <w:tr w:rsidR="00CD3D6A" w:rsidRPr="00CA1680" w14:paraId="1AA00217" w14:textId="77777777" w:rsidTr="00A6790A">
        <w:trPr>
          <w:cnfStyle w:val="000000010000" w:firstRow="0" w:lastRow="0" w:firstColumn="0" w:lastColumn="0" w:oddVBand="0" w:evenVBand="0" w:oddHBand="0" w:evenHBand="1" w:firstRowFirstColumn="0" w:firstRowLastColumn="0" w:lastRowFirstColumn="0" w:lastRowLastColumn="0"/>
          <w:trHeight w:val="574"/>
        </w:trPr>
        <w:tc>
          <w:tcPr>
            <w:tcW w:w="2104" w:type="dxa"/>
          </w:tcPr>
          <w:p w14:paraId="081059A4" w14:textId="160BE665" w:rsidR="00CA1680" w:rsidRPr="00CA1680" w:rsidRDefault="00CA1680" w:rsidP="00334881">
            <w:pPr>
              <w:pStyle w:val="TableBodyText"/>
              <w:keepNext/>
              <w:keepLines/>
              <w:rPr>
                <w:sz w:val="18"/>
                <w:szCs w:val="18"/>
              </w:rPr>
            </w:pPr>
            <w:r w:rsidRPr="00CA1680">
              <w:rPr>
                <w:sz w:val="18"/>
                <w:szCs w:val="18"/>
              </w:rPr>
              <w:t xml:space="preserve">Accommodation and </w:t>
            </w:r>
            <w:r w:rsidRPr="00CA1680">
              <w:rPr>
                <w:sz w:val="18"/>
                <w:szCs w:val="18"/>
              </w:rPr>
              <w:br/>
              <w:t>Food Services</w:t>
            </w:r>
          </w:p>
        </w:tc>
        <w:tc>
          <w:tcPr>
            <w:tcW w:w="1153" w:type="dxa"/>
          </w:tcPr>
          <w:p w14:paraId="764BA485" w14:textId="0CFCA55E" w:rsidR="00CA1680" w:rsidRPr="00CA1680" w:rsidRDefault="00CA1680" w:rsidP="00334881">
            <w:pPr>
              <w:pStyle w:val="TableBodyTextright"/>
              <w:keepNext/>
              <w:keepLines/>
              <w:rPr>
                <w:sz w:val="18"/>
                <w:szCs w:val="18"/>
              </w:rPr>
            </w:pPr>
            <w:r w:rsidRPr="00CA1680">
              <w:rPr>
                <w:sz w:val="18"/>
                <w:szCs w:val="18"/>
              </w:rPr>
              <w:t>62</w:t>
            </w:r>
          </w:p>
        </w:tc>
        <w:tc>
          <w:tcPr>
            <w:tcW w:w="1154" w:type="dxa"/>
            <w:tcBorders>
              <w:right w:val="single" w:sz="4" w:space="0" w:color="FFFFFF" w:themeColor="background1"/>
            </w:tcBorders>
          </w:tcPr>
          <w:p w14:paraId="4EF36825" w14:textId="4026A655" w:rsidR="00CA1680" w:rsidRPr="00CA1680" w:rsidRDefault="00CA1680" w:rsidP="00334881">
            <w:pPr>
              <w:pStyle w:val="TableBodyTextright"/>
              <w:keepNext/>
              <w:keepLines/>
              <w:rPr>
                <w:sz w:val="18"/>
                <w:szCs w:val="18"/>
              </w:rPr>
            </w:pPr>
            <w:r w:rsidRPr="00CA1680">
              <w:rPr>
                <w:sz w:val="18"/>
                <w:szCs w:val="18"/>
              </w:rPr>
              <w:t>-2 pts</w:t>
            </w:r>
          </w:p>
        </w:tc>
        <w:tc>
          <w:tcPr>
            <w:tcW w:w="1154" w:type="dxa"/>
            <w:tcBorders>
              <w:left w:val="single" w:sz="4" w:space="0" w:color="FFFFFF" w:themeColor="background1"/>
              <w:bottom w:val="nil"/>
            </w:tcBorders>
          </w:tcPr>
          <w:p w14:paraId="6AEF2795" w14:textId="01113359" w:rsidR="00CA1680" w:rsidRPr="00CA1680" w:rsidRDefault="00CA1680" w:rsidP="00334881">
            <w:pPr>
              <w:pStyle w:val="TableBodyTextright"/>
              <w:keepNext/>
              <w:keepLines/>
              <w:rPr>
                <w:sz w:val="18"/>
                <w:szCs w:val="18"/>
              </w:rPr>
            </w:pPr>
            <w:r w:rsidRPr="00CA1680">
              <w:rPr>
                <w:sz w:val="18"/>
                <w:szCs w:val="18"/>
              </w:rPr>
              <w:t>27*</w:t>
            </w:r>
          </w:p>
        </w:tc>
        <w:tc>
          <w:tcPr>
            <w:tcW w:w="1153" w:type="dxa"/>
            <w:tcBorders>
              <w:bottom w:val="nil"/>
              <w:right w:val="single" w:sz="4" w:space="0" w:color="FFFFFF" w:themeColor="background1"/>
            </w:tcBorders>
          </w:tcPr>
          <w:p w14:paraId="73CE7EA7" w14:textId="60B3F5E1" w:rsidR="00CA1680" w:rsidRPr="00CA1680" w:rsidRDefault="00CA1680" w:rsidP="00334881">
            <w:pPr>
              <w:pStyle w:val="TableBodyTextright"/>
              <w:keepNext/>
              <w:keepLines/>
              <w:rPr>
                <w:sz w:val="18"/>
                <w:szCs w:val="18"/>
              </w:rPr>
            </w:pPr>
            <w:r w:rsidRPr="00CA1680">
              <w:rPr>
                <w:sz w:val="18"/>
                <w:szCs w:val="18"/>
              </w:rPr>
              <w:t>-9 pts*</w:t>
            </w:r>
          </w:p>
        </w:tc>
        <w:tc>
          <w:tcPr>
            <w:tcW w:w="1154" w:type="dxa"/>
            <w:tcBorders>
              <w:left w:val="single" w:sz="4" w:space="0" w:color="FFFFFF" w:themeColor="background1"/>
              <w:bottom w:val="nil"/>
            </w:tcBorders>
          </w:tcPr>
          <w:p w14:paraId="53DDD2DD" w14:textId="222583CB" w:rsidR="00CA1680" w:rsidRPr="00CA1680" w:rsidRDefault="00CA1680" w:rsidP="00334881">
            <w:pPr>
              <w:pStyle w:val="TableBodyTextright"/>
              <w:keepNext/>
              <w:keepLines/>
              <w:rPr>
                <w:sz w:val="18"/>
                <w:szCs w:val="18"/>
              </w:rPr>
            </w:pPr>
            <w:r w:rsidRPr="00CA1680">
              <w:rPr>
                <w:sz w:val="18"/>
                <w:szCs w:val="18"/>
              </w:rPr>
              <w:t>23</w:t>
            </w:r>
          </w:p>
        </w:tc>
        <w:tc>
          <w:tcPr>
            <w:tcW w:w="1154" w:type="dxa"/>
            <w:tcBorders>
              <w:bottom w:val="nil"/>
            </w:tcBorders>
          </w:tcPr>
          <w:p w14:paraId="7FEF4E69" w14:textId="22C3097F" w:rsidR="00CA1680" w:rsidRPr="00CA1680" w:rsidRDefault="00CA1680" w:rsidP="00334881">
            <w:pPr>
              <w:pStyle w:val="TableBodyTextright"/>
              <w:keepNext/>
              <w:keepLines/>
              <w:rPr>
                <w:sz w:val="18"/>
                <w:szCs w:val="18"/>
              </w:rPr>
            </w:pPr>
            <w:r w:rsidRPr="00CA1680">
              <w:rPr>
                <w:sz w:val="18"/>
                <w:szCs w:val="18"/>
              </w:rPr>
              <w:t>-3 pts</w:t>
            </w:r>
          </w:p>
        </w:tc>
      </w:tr>
      <w:tr w:rsidR="00CA1680" w:rsidRPr="00CA1680" w14:paraId="41C96001" w14:textId="77777777" w:rsidTr="00A6790A">
        <w:trPr>
          <w:trHeight w:val="574"/>
        </w:trPr>
        <w:tc>
          <w:tcPr>
            <w:tcW w:w="2104" w:type="dxa"/>
          </w:tcPr>
          <w:p w14:paraId="077CEE39" w14:textId="6906CBDD" w:rsidR="00CA1680" w:rsidRPr="00CA1680" w:rsidRDefault="00CA1680" w:rsidP="00334881">
            <w:pPr>
              <w:pStyle w:val="TableBodyText"/>
              <w:keepNext/>
              <w:keepLines/>
              <w:rPr>
                <w:sz w:val="18"/>
                <w:szCs w:val="18"/>
              </w:rPr>
            </w:pPr>
            <w:r w:rsidRPr="00CA1680">
              <w:rPr>
                <w:sz w:val="18"/>
                <w:szCs w:val="18"/>
              </w:rPr>
              <w:t xml:space="preserve">Professional, Scientific </w:t>
            </w:r>
            <w:r w:rsidRPr="00CA1680">
              <w:rPr>
                <w:sz w:val="18"/>
                <w:szCs w:val="18"/>
              </w:rPr>
              <w:br/>
              <w:t>and Technical Services</w:t>
            </w:r>
          </w:p>
        </w:tc>
        <w:tc>
          <w:tcPr>
            <w:tcW w:w="1153" w:type="dxa"/>
          </w:tcPr>
          <w:p w14:paraId="5ECBA738" w14:textId="2D67BF5C" w:rsidR="00CA1680" w:rsidRPr="00CA1680" w:rsidRDefault="00CA1680" w:rsidP="00334881">
            <w:pPr>
              <w:pStyle w:val="TableBodyTextright"/>
              <w:keepNext/>
              <w:keepLines/>
              <w:rPr>
                <w:sz w:val="18"/>
                <w:szCs w:val="18"/>
              </w:rPr>
            </w:pPr>
            <w:r w:rsidRPr="00CA1680">
              <w:rPr>
                <w:sz w:val="18"/>
                <w:szCs w:val="18"/>
              </w:rPr>
              <w:t>41</w:t>
            </w:r>
          </w:p>
        </w:tc>
        <w:tc>
          <w:tcPr>
            <w:tcW w:w="1154" w:type="dxa"/>
            <w:tcBorders>
              <w:right w:val="single" w:sz="4" w:space="0" w:color="FFFFFF" w:themeColor="background1"/>
            </w:tcBorders>
          </w:tcPr>
          <w:p w14:paraId="45DAF71F" w14:textId="270C4E69" w:rsidR="00CA1680" w:rsidRPr="00CA1680" w:rsidRDefault="00CA1680" w:rsidP="00334881">
            <w:pPr>
              <w:pStyle w:val="TableBodyTextright"/>
              <w:keepNext/>
              <w:keepLines/>
              <w:rPr>
                <w:sz w:val="18"/>
                <w:szCs w:val="18"/>
              </w:rPr>
            </w:pPr>
            <w:r w:rsidRPr="00CA1680">
              <w:rPr>
                <w:sz w:val="18"/>
                <w:szCs w:val="18"/>
              </w:rPr>
              <w:t>0 pts</w:t>
            </w:r>
          </w:p>
        </w:tc>
        <w:tc>
          <w:tcPr>
            <w:tcW w:w="1154" w:type="dxa"/>
            <w:tcBorders>
              <w:left w:val="single" w:sz="4" w:space="0" w:color="FFFFFF" w:themeColor="background1"/>
              <w:bottom w:val="nil"/>
            </w:tcBorders>
          </w:tcPr>
          <w:p w14:paraId="7C4729B0" w14:textId="20E11A67" w:rsidR="00CA1680" w:rsidRPr="00CA1680" w:rsidRDefault="00CA1680" w:rsidP="00334881">
            <w:pPr>
              <w:pStyle w:val="TableBodyTextright"/>
              <w:keepNext/>
              <w:keepLines/>
              <w:rPr>
                <w:sz w:val="18"/>
                <w:szCs w:val="18"/>
              </w:rPr>
            </w:pPr>
            <w:r w:rsidRPr="00CA1680">
              <w:rPr>
                <w:sz w:val="18"/>
                <w:szCs w:val="18"/>
              </w:rPr>
              <w:t>50*</w:t>
            </w:r>
          </w:p>
        </w:tc>
        <w:tc>
          <w:tcPr>
            <w:tcW w:w="1153" w:type="dxa"/>
            <w:tcBorders>
              <w:bottom w:val="nil"/>
              <w:right w:val="single" w:sz="4" w:space="0" w:color="FFFFFF" w:themeColor="background1"/>
            </w:tcBorders>
          </w:tcPr>
          <w:p w14:paraId="51174570" w14:textId="34326A81" w:rsidR="00CA1680" w:rsidRPr="00CA1680" w:rsidRDefault="00CA1680" w:rsidP="00334881">
            <w:pPr>
              <w:pStyle w:val="TableBodyTextright"/>
              <w:keepNext/>
              <w:keepLines/>
              <w:rPr>
                <w:sz w:val="18"/>
                <w:szCs w:val="18"/>
              </w:rPr>
            </w:pPr>
            <w:r w:rsidRPr="00CA1680">
              <w:rPr>
                <w:sz w:val="18"/>
                <w:szCs w:val="18"/>
              </w:rPr>
              <w:t>-4 pts*</w:t>
            </w:r>
          </w:p>
        </w:tc>
        <w:tc>
          <w:tcPr>
            <w:tcW w:w="1154" w:type="dxa"/>
            <w:tcBorders>
              <w:left w:val="single" w:sz="4" w:space="0" w:color="FFFFFF" w:themeColor="background1"/>
              <w:bottom w:val="nil"/>
            </w:tcBorders>
          </w:tcPr>
          <w:p w14:paraId="04CFC750" w14:textId="26F4ED5E" w:rsidR="00CA1680" w:rsidRPr="00CA1680" w:rsidRDefault="00CA1680" w:rsidP="00334881">
            <w:pPr>
              <w:pStyle w:val="TableBodyTextright"/>
              <w:keepNext/>
              <w:keepLines/>
              <w:rPr>
                <w:sz w:val="18"/>
                <w:szCs w:val="18"/>
              </w:rPr>
            </w:pPr>
            <w:r w:rsidRPr="00CA1680">
              <w:rPr>
                <w:sz w:val="18"/>
                <w:szCs w:val="18"/>
              </w:rPr>
              <w:t>17</w:t>
            </w:r>
          </w:p>
        </w:tc>
        <w:tc>
          <w:tcPr>
            <w:tcW w:w="1154" w:type="dxa"/>
            <w:tcBorders>
              <w:bottom w:val="nil"/>
            </w:tcBorders>
          </w:tcPr>
          <w:p w14:paraId="321DF193" w14:textId="2A6A20E2" w:rsidR="00CA1680" w:rsidRPr="00CA1680" w:rsidRDefault="00CA1680" w:rsidP="00334881">
            <w:pPr>
              <w:pStyle w:val="TableBodyTextright"/>
              <w:keepNext/>
              <w:keepLines/>
              <w:rPr>
                <w:sz w:val="18"/>
                <w:szCs w:val="18"/>
              </w:rPr>
            </w:pPr>
            <w:r w:rsidRPr="00CA1680">
              <w:rPr>
                <w:sz w:val="18"/>
                <w:szCs w:val="18"/>
              </w:rPr>
              <w:t>-6 pts</w:t>
            </w:r>
          </w:p>
        </w:tc>
      </w:tr>
      <w:tr w:rsidR="00CD3D6A" w:rsidRPr="00CA1680" w14:paraId="0358DBD5" w14:textId="77777777" w:rsidTr="00A6790A">
        <w:trPr>
          <w:cnfStyle w:val="000000010000" w:firstRow="0" w:lastRow="0" w:firstColumn="0" w:lastColumn="0" w:oddVBand="0" w:evenVBand="0" w:oddHBand="0" w:evenHBand="1" w:firstRowFirstColumn="0" w:firstRowLastColumn="0" w:lastRowFirstColumn="0" w:lastRowLastColumn="0"/>
          <w:trHeight w:val="574"/>
        </w:trPr>
        <w:tc>
          <w:tcPr>
            <w:tcW w:w="2104" w:type="dxa"/>
          </w:tcPr>
          <w:p w14:paraId="6574EAC4" w14:textId="77777777" w:rsidR="00CA1680" w:rsidRPr="00CA1680" w:rsidRDefault="00CA1680" w:rsidP="00334881">
            <w:pPr>
              <w:pStyle w:val="TableBodyText"/>
              <w:keepNext/>
              <w:keepLines/>
              <w:rPr>
                <w:sz w:val="18"/>
                <w:szCs w:val="18"/>
              </w:rPr>
            </w:pPr>
            <w:r w:rsidRPr="00CA1680">
              <w:rPr>
                <w:sz w:val="18"/>
                <w:szCs w:val="18"/>
              </w:rPr>
              <w:t>Health Care and Social Assistance</w:t>
            </w:r>
          </w:p>
        </w:tc>
        <w:tc>
          <w:tcPr>
            <w:tcW w:w="1153" w:type="dxa"/>
          </w:tcPr>
          <w:p w14:paraId="515F4A54" w14:textId="70BC906D" w:rsidR="00CA1680" w:rsidRPr="00CA1680" w:rsidRDefault="00CA1680" w:rsidP="00334881">
            <w:pPr>
              <w:pStyle w:val="TableBodyTextright"/>
              <w:keepNext/>
              <w:keepLines/>
              <w:rPr>
                <w:sz w:val="18"/>
                <w:szCs w:val="18"/>
              </w:rPr>
            </w:pPr>
            <w:r w:rsidRPr="00CA1680">
              <w:rPr>
                <w:sz w:val="18"/>
                <w:szCs w:val="18"/>
              </w:rPr>
              <w:t>52</w:t>
            </w:r>
          </w:p>
        </w:tc>
        <w:tc>
          <w:tcPr>
            <w:tcW w:w="1154" w:type="dxa"/>
            <w:tcBorders>
              <w:right w:val="single" w:sz="4" w:space="0" w:color="FFFFFF" w:themeColor="background1"/>
            </w:tcBorders>
          </w:tcPr>
          <w:p w14:paraId="4FB34C49" w14:textId="7AA331A5" w:rsidR="00CA1680" w:rsidRPr="00CA1680" w:rsidRDefault="00CA1680" w:rsidP="00334881">
            <w:pPr>
              <w:pStyle w:val="TableBodyTextright"/>
              <w:keepNext/>
              <w:keepLines/>
              <w:rPr>
                <w:sz w:val="18"/>
                <w:szCs w:val="18"/>
              </w:rPr>
            </w:pPr>
            <w:r w:rsidRPr="00CA1680">
              <w:rPr>
                <w:sz w:val="18"/>
                <w:szCs w:val="18"/>
              </w:rPr>
              <w:t>-3 pts</w:t>
            </w:r>
          </w:p>
        </w:tc>
        <w:tc>
          <w:tcPr>
            <w:tcW w:w="1154" w:type="dxa"/>
            <w:tcBorders>
              <w:left w:val="single" w:sz="4" w:space="0" w:color="FFFFFF" w:themeColor="background1"/>
              <w:bottom w:val="single" w:sz="4" w:space="0" w:color="2F005F"/>
            </w:tcBorders>
          </w:tcPr>
          <w:p w14:paraId="2C826935" w14:textId="66F6397F" w:rsidR="00CA1680" w:rsidRPr="00CA1680" w:rsidRDefault="00CA1680" w:rsidP="00334881">
            <w:pPr>
              <w:pStyle w:val="TableBodyTextright"/>
              <w:keepNext/>
              <w:keepLines/>
              <w:rPr>
                <w:sz w:val="18"/>
                <w:szCs w:val="18"/>
              </w:rPr>
            </w:pPr>
            <w:r w:rsidRPr="00CA1680">
              <w:rPr>
                <w:sz w:val="18"/>
                <w:szCs w:val="18"/>
              </w:rPr>
              <w:t>35</w:t>
            </w:r>
          </w:p>
        </w:tc>
        <w:tc>
          <w:tcPr>
            <w:tcW w:w="1153" w:type="dxa"/>
            <w:tcBorders>
              <w:bottom w:val="single" w:sz="4" w:space="0" w:color="2F005F"/>
              <w:right w:val="single" w:sz="4" w:space="0" w:color="FFFFFF" w:themeColor="background1"/>
            </w:tcBorders>
          </w:tcPr>
          <w:p w14:paraId="220AE42E" w14:textId="5C772E3C" w:rsidR="00CA1680" w:rsidRPr="00CA1680" w:rsidRDefault="00CA1680" w:rsidP="00334881">
            <w:pPr>
              <w:pStyle w:val="TableBodyTextright"/>
              <w:keepNext/>
              <w:keepLines/>
              <w:rPr>
                <w:sz w:val="18"/>
                <w:szCs w:val="18"/>
              </w:rPr>
            </w:pPr>
            <w:r w:rsidRPr="00CA1680">
              <w:rPr>
                <w:sz w:val="18"/>
                <w:szCs w:val="18"/>
              </w:rPr>
              <w:t>-15 pts</w:t>
            </w:r>
          </w:p>
        </w:tc>
        <w:tc>
          <w:tcPr>
            <w:tcW w:w="1154" w:type="dxa"/>
            <w:tcBorders>
              <w:left w:val="single" w:sz="4" w:space="0" w:color="FFFFFF" w:themeColor="background1"/>
              <w:bottom w:val="single" w:sz="4" w:space="0" w:color="2F005F"/>
            </w:tcBorders>
          </w:tcPr>
          <w:p w14:paraId="16E08EF5" w14:textId="1A05C6B0" w:rsidR="00CA1680" w:rsidRPr="00CA1680" w:rsidRDefault="00CA1680" w:rsidP="00334881">
            <w:pPr>
              <w:pStyle w:val="TableBodyTextright"/>
              <w:keepNext/>
              <w:keepLines/>
              <w:rPr>
                <w:sz w:val="18"/>
                <w:szCs w:val="18"/>
              </w:rPr>
            </w:pPr>
            <w:r w:rsidRPr="00CA1680">
              <w:rPr>
                <w:sz w:val="18"/>
                <w:szCs w:val="18"/>
              </w:rPr>
              <w:t>17</w:t>
            </w:r>
          </w:p>
        </w:tc>
        <w:tc>
          <w:tcPr>
            <w:tcW w:w="1154" w:type="dxa"/>
            <w:tcBorders>
              <w:bottom w:val="single" w:sz="4" w:space="0" w:color="2F005F"/>
            </w:tcBorders>
          </w:tcPr>
          <w:p w14:paraId="3FD9031A" w14:textId="34DF02C1" w:rsidR="00CA1680" w:rsidRPr="00CA1680" w:rsidRDefault="00CA1680" w:rsidP="00334881">
            <w:pPr>
              <w:pStyle w:val="TableBodyTextright"/>
              <w:keepNext/>
              <w:keepLines/>
              <w:rPr>
                <w:sz w:val="18"/>
                <w:szCs w:val="18"/>
              </w:rPr>
            </w:pPr>
            <w:r w:rsidRPr="00CA1680">
              <w:rPr>
                <w:sz w:val="18"/>
                <w:szCs w:val="18"/>
              </w:rPr>
              <w:t>-8 pts</w:t>
            </w:r>
          </w:p>
        </w:tc>
      </w:tr>
    </w:tbl>
    <w:p w14:paraId="3A9A4D1A" w14:textId="4A9921B5" w:rsidR="00FE18D3" w:rsidRPr="00DD4C71" w:rsidRDefault="00A15B04" w:rsidP="00CA1680">
      <w:pPr>
        <w:pStyle w:val="Source"/>
      </w:pPr>
      <w:r w:rsidRPr="00CA1680">
        <w:t xml:space="preserve">Source: </w:t>
      </w:r>
      <w:r w:rsidR="00CA1680" w:rsidRPr="00CA1680">
        <w:t>Jobs and Skills Australia, REOS, March quarter 2025. *Interpret with caution due to low sample size.</w:t>
      </w:r>
    </w:p>
    <w:p w14:paraId="260FB337" w14:textId="77777777" w:rsidR="001C6487" w:rsidRPr="0034734A" w:rsidRDefault="001C6487" w:rsidP="001C6487">
      <w:pPr>
        <w:pStyle w:val="Heading2"/>
      </w:pPr>
      <w:bookmarkStart w:id="42" w:name="_Toc201057859"/>
      <w:bookmarkStart w:id="43" w:name="_Toc151365197"/>
      <w:bookmarkStart w:id="44" w:name="_Toc152324314"/>
      <w:bookmarkStart w:id="45" w:name="_Toc151365198"/>
      <w:bookmarkStart w:id="46" w:name="_Toc148899378"/>
      <w:bookmarkEnd w:id="10"/>
      <w:r>
        <w:t>Employers are filling vacancies more easily</w:t>
      </w:r>
      <w:bookmarkEnd w:id="42"/>
    </w:p>
    <w:p w14:paraId="435B0F02" w14:textId="117970C4" w:rsidR="001C6487" w:rsidDel="00266BE4" w:rsidRDefault="001C6487" w:rsidP="001C6487">
      <w:pPr>
        <w:pStyle w:val="BodyText"/>
      </w:pPr>
      <w:r>
        <w:t xml:space="preserve">The occupation vacancy fill rate </w:t>
      </w:r>
      <w:r w:rsidRPr="007A7532">
        <w:t>increased</w:t>
      </w:r>
      <w:r w:rsidRPr="0095210B">
        <w:t xml:space="preserve"> by</w:t>
      </w:r>
      <w:r>
        <w:t xml:space="preserve"> 1.1 percentage points to 69.7% over the March quarter 2025 (</w:t>
      </w:r>
      <w:r w:rsidR="00DE2047" w:rsidRPr="00DE2047">
        <w:t>Table 8</w:t>
      </w:r>
      <w:r>
        <w:t>).</w:t>
      </w:r>
      <w:r w:rsidRPr="7318FF6D">
        <w:rPr>
          <w:rStyle w:val="FootnoteReference"/>
        </w:rPr>
        <w:footnoteReference w:id="9"/>
      </w:r>
      <w:r w:rsidRPr="7318FF6D">
        <w:rPr>
          <w:vertAlign w:val="superscript"/>
        </w:rPr>
        <w:t>,</w:t>
      </w:r>
      <w:r w:rsidRPr="7318FF6D">
        <w:rPr>
          <w:rStyle w:val="FootnoteReference"/>
        </w:rPr>
        <w:footnoteReference w:id="10"/>
      </w:r>
      <w:r>
        <w:t xml:space="preserve"> </w:t>
      </w:r>
      <w:r w:rsidR="00E97F9C">
        <w:t>Over the last 12 months to the March quarter 2025, i</w:t>
      </w:r>
      <w:r>
        <w:t xml:space="preserve">t increased by 5.2 percentage points. Total applicants, qualified applicants and suitable applicants per vacancy changed </w:t>
      </w:r>
      <w:r w:rsidR="007C1B8A">
        <w:t xml:space="preserve">marginally </w:t>
      </w:r>
      <w:r>
        <w:t>over the quarter but were all higher than 12 months ago.</w:t>
      </w:r>
    </w:p>
    <w:p w14:paraId="175BAB40" w14:textId="06F07818" w:rsidR="001C6487" w:rsidRPr="003A2EBD" w:rsidRDefault="001C6487" w:rsidP="001C6487">
      <w:pPr>
        <w:pStyle w:val="Caption"/>
      </w:pPr>
      <w:bookmarkStart w:id="47" w:name="_Ref200453505"/>
      <w:r w:rsidRPr="003A2EBD">
        <w:t xml:space="preserve">Table </w:t>
      </w:r>
      <w:r w:rsidRPr="003A2EBD">
        <w:fldChar w:fldCharType="begin"/>
      </w:r>
      <w:r w:rsidRPr="003A2EBD">
        <w:instrText xml:space="preserve"> SEQ Table \* ARABIC </w:instrText>
      </w:r>
      <w:r w:rsidRPr="003A2EBD">
        <w:fldChar w:fldCharType="separate"/>
      </w:r>
      <w:r w:rsidR="00D80BB2">
        <w:rPr>
          <w:noProof/>
        </w:rPr>
        <w:t>8</w:t>
      </w:r>
      <w:r w:rsidRPr="003A2EBD">
        <w:fldChar w:fldCharType="end"/>
      </w:r>
      <w:bookmarkEnd w:id="47"/>
      <w:r w:rsidRPr="003A2EBD">
        <w:t>: National snapshot</w:t>
      </w:r>
    </w:p>
    <w:tbl>
      <w:tblPr>
        <w:tblStyle w:val="CustomTablebasic"/>
        <w:tblW w:w="9027" w:type="dxa"/>
        <w:tblLayout w:type="fixed"/>
        <w:tblLook w:val="04A0" w:firstRow="1" w:lastRow="0" w:firstColumn="1" w:lastColumn="0" w:noHBand="0" w:noVBand="1"/>
      </w:tblPr>
      <w:tblGrid>
        <w:gridCol w:w="4024"/>
        <w:gridCol w:w="1683"/>
        <w:gridCol w:w="1685"/>
        <w:gridCol w:w="1635"/>
      </w:tblGrid>
      <w:tr w:rsidR="001C6487" w:rsidRPr="00177D7B" w14:paraId="504588E7" w14:textId="77777777" w:rsidTr="00FC4B58">
        <w:trPr>
          <w:cnfStyle w:val="100000000000" w:firstRow="1" w:lastRow="0" w:firstColumn="0" w:lastColumn="0" w:oddVBand="0" w:evenVBand="0" w:oddHBand="0" w:evenHBand="0" w:firstRowFirstColumn="0" w:firstRowLastColumn="0" w:lastRowFirstColumn="0" w:lastRowLastColumn="0"/>
          <w:trHeight w:val="660"/>
        </w:trPr>
        <w:tc>
          <w:tcPr>
            <w:tcW w:w="4024" w:type="dxa"/>
          </w:tcPr>
          <w:p w14:paraId="32C582D4" w14:textId="77777777" w:rsidR="001C6487" w:rsidRPr="00292C7B" w:rsidRDefault="001C6487" w:rsidP="00FC4B58">
            <w:pPr>
              <w:pStyle w:val="TableHeading1"/>
            </w:pPr>
          </w:p>
        </w:tc>
        <w:tc>
          <w:tcPr>
            <w:tcW w:w="1683" w:type="dxa"/>
          </w:tcPr>
          <w:p w14:paraId="5E38CAEB" w14:textId="77777777" w:rsidR="001C6487" w:rsidRPr="00292C7B" w:rsidRDefault="001C6487" w:rsidP="00FC4B58">
            <w:pPr>
              <w:pStyle w:val="TableHeading1"/>
            </w:pPr>
            <w:r>
              <w:t>March</w:t>
            </w:r>
            <w:r w:rsidRPr="00292C7B">
              <w:t xml:space="preserve"> </w:t>
            </w:r>
          </w:p>
          <w:p w14:paraId="43CD7349" w14:textId="77777777" w:rsidR="001C6487" w:rsidRPr="00292C7B" w:rsidRDefault="001C6487" w:rsidP="00FC4B58">
            <w:pPr>
              <w:pStyle w:val="TableHeading1"/>
            </w:pPr>
            <w:r w:rsidRPr="00292C7B">
              <w:t>quarter 202</w:t>
            </w:r>
            <w:r>
              <w:t>5</w:t>
            </w:r>
          </w:p>
        </w:tc>
        <w:tc>
          <w:tcPr>
            <w:tcW w:w="1685" w:type="dxa"/>
          </w:tcPr>
          <w:p w14:paraId="3BCC9029" w14:textId="77777777" w:rsidR="001C6487" w:rsidRPr="00292C7B" w:rsidRDefault="001C6487" w:rsidP="00FC4B58">
            <w:pPr>
              <w:pStyle w:val="TableHeading1"/>
            </w:pPr>
            <w:r w:rsidRPr="00292C7B">
              <w:t xml:space="preserve">Change over </w:t>
            </w:r>
          </w:p>
          <w:p w14:paraId="31C34A2A" w14:textId="77777777" w:rsidR="001C6487" w:rsidRPr="00292C7B" w:rsidRDefault="001C6487" w:rsidP="00FC4B58">
            <w:pPr>
              <w:pStyle w:val="TableHeading1"/>
            </w:pPr>
            <w:r w:rsidRPr="00292C7B">
              <w:t>the quarter</w:t>
            </w:r>
          </w:p>
        </w:tc>
        <w:tc>
          <w:tcPr>
            <w:tcW w:w="1635" w:type="dxa"/>
          </w:tcPr>
          <w:p w14:paraId="2C00FBDC" w14:textId="77777777" w:rsidR="001C6487" w:rsidRPr="00292C7B" w:rsidRDefault="001C6487" w:rsidP="00FC4B58">
            <w:pPr>
              <w:pStyle w:val="TableHeading1"/>
            </w:pPr>
            <w:r w:rsidRPr="00292C7B">
              <w:t xml:space="preserve">Change over </w:t>
            </w:r>
          </w:p>
          <w:p w14:paraId="3CCAEF27" w14:textId="77777777" w:rsidR="001C6487" w:rsidRPr="00292C7B" w:rsidRDefault="001C6487" w:rsidP="00FC4B58">
            <w:pPr>
              <w:pStyle w:val="TableHeading1"/>
            </w:pPr>
            <w:r w:rsidRPr="00292C7B">
              <w:t>12 months</w:t>
            </w:r>
          </w:p>
        </w:tc>
      </w:tr>
      <w:tr w:rsidR="001C6487" w:rsidRPr="00177D7B" w14:paraId="598726FD" w14:textId="77777777" w:rsidTr="00FC4B58">
        <w:trPr>
          <w:trHeight w:val="330"/>
        </w:trPr>
        <w:tc>
          <w:tcPr>
            <w:tcW w:w="4024" w:type="dxa"/>
          </w:tcPr>
          <w:p w14:paraId="16A1E8AD" w14:textId="77777777" w:rsidR="001C6487" w:rsidRPr="00292C7B" w:rsidRDefault="001C6487" w:rsidP="00FC4B58">
            <w:pPr>
              <w:pStyle w:val="TableBodyText"/>
            </w:pPr>
            <w:r w:rsidRPr="00292C7B">
              <w:t>Vacancy fill rate</w:t>
            </w:r>
          </w:p>
        </w:tc>
        <w:tc>
          <w:tcPr>
            <w:tcW w:w="1683" w:type="dxa"/>
          </w:tcPr>
          <w:p w14:paraId="5C67F7C2" w14:textId="77777777" w:rsidR="001C6487" w:rsidRPr="00292C7B" w:rsidRDefault="001C6487" w:rsidP="00FC4B58">
            <w:pPr>
              <w:pStyle w:val="TableBodyTextright"/>
            </w:pPr>
            <w:r w:rsidRPr="00292C7B">
              <w:t>6</w:t>
            </w:r>
            <w:r>
              <w:t>9</w:t>
            </w:r>
            <w:r w:rsidRPr="00292C7B">
              <w:t>.</w:t>
            </w:r>
            <w:r>
              <w:t>7</w:t>
            </w:r>
            <w:r w:rsidRPr="00292C7B">
              <w:t>%</w:t>
            </w:r>
          </w:p>
        </w:tc>
        <w:tc>
          <w:tcPr>
            <w:tcW w:w="1685" w:type="dxa"/>
          </w:tcPr>
          <w:p w14:paraId="1B98AF30" w14:textId="4CA4CAF1" w:rsidR="001C6487" w:rsidRPr="00292C7B" w:rsidRDefault="001C6487" w:rsidP="00FC4B58">
            <w:pPr>
              <w:pStyle w:val="TableBodyTextright"/>
            </w:pPr>
            <w:r w:rsidRPr="00292C7B">
              <w:rPr>
                <w:rFonts w:ascii="Wingdings" w:eastAsia="Wingdings" w:hAnsi="Wingdings" w:cs="Wingdings"/>
              </w:rPr>
              <w:t>á</w:t>
            </w:r>
            <w:r w:rsidRPr="00292C7B">
              <w:rPr>
                <w:rFonts w:eastAsia="Arial"/>
              </w:rPr>
              <w:t xml:space="preserve"> </w:t>
            </w:r>
            <w:r>
              <w:t>1.1</w:t>
            </w:r>
            <w:r w:rsidR="001D0A0B">
              <w:t>% pts</w:t>
            </w:r>
          </w:p>
        </w:tc>
        <w:tc>
          <w:tcPr>
            <w:tcW w:w="1635" w:type="dxa"/>
          </w:tcPr>
          <w:p w14:paraId="4B857285" w14:textId="03E20225" w:rsidR="001C6487" w:rsidRPr="00292C7B" w:rsidRDefault="001C6487" w:rsidP="00FC4B58">
            <w:pPr>
              <w:pStyle w:val="TableBodyTextright"/>
            </w:pPr>
            <w:r w:rsidRPr="00292C7B">
              <w:rPr>
                <w:rFonts w:ascii="Wingdings" w:eastAsia="Wingdings" w:hAnsi="Wingdings" w:cs="Wingdings"/>
              </w:rPr>
              <w:t>á</w:t>
            </w:r>
            <w:r w:rsidRPr="00292C7B">
              <w:rPr>
                <w:rFonts w:eastAsia="Arial"/>
              </w:rPr>
              <w:t xml:space="preserve"> </w:t>
            </w:r>
            <w:r w:rsidRPr="00292C7B">
              <w:t>5.</w:t>
            </w:r>
            <w:r>
              <w:t>2</w:t>
            </w:r>
            <w:r w:rsidR="001D0A0B">
              <w:t>% pts</w:t>
            </w:r>
          </w:p>
        </w:tc>
      </w:tr>
      <w:tr w:rsidR="001C6487" w:rsidRPr="00177D7B" w14:paraId="2408B2DA" w14:textId="77777777" w:rsidTr="00FC4B58">
        <w:trPr>
          <w:cnfStyle w:val="000000010000" w:firstRow="0" w:lastRow="0" w:firstColumn="0" w:lastColumn="0" w:oddVBand="0" w:evenVBand="0" w:oddHBand="0" w:evenHBand="1" w:firstRowFirstColumn="0" w:firstRowLastColumn="0" w:lastRowFirstColumn="0" w:lastRowLastColumn="0"/>
          <w:trHeight w:val="420"/>
        </w:trPr>
        <w:tc>
          <w:tcPr>
            <w:tcW w:w="4024" w:type="dxa"/>
          </w:tcPr>
          <w:p w14:paraId="30EFAD79" w14:textId="77777777" w:rsidR="001C6487" w:rsidRPr="00292C7B" w:rsidRDefault="001C6487" w:rsidP="00FC4B58">
            <w:pPr>
              <w:pStyle w:val="TableBodyText"/>
            </w:pPr>
            <w:r w:rsidRPr="00292C7B">
              <w:t>Applicants per vacancy (no.)</w:t>
            </w:r>
          </w:p>
        </w:tc>
        <w:tc>
          <w:tcPr>
            <w:tcW w:w="1683" w:type="dxa"/>
          </w:tcPr>
          <w:p w14:paraId="75DED491" w14:textId="77777777" w:rsidR="001C6487" w:rsidRPr="00292C7B" w:rsidRDefault="001C6487" w:rsidP="00FC4B58">
            <w:pPr>
              <w:pStyle w:val="TableBodyTextright"/>
            </w:pPr>
            <w:r>
              <w:t>29.3</w:t>
            </w:r>
          </w:p>
        </w:tc>
        <w:tc>
          <w:tcPr>
            <w:tcW w:w="1685" w:type="dxa"/>
          </w:tcPr>
          <w:p w14:paraId="008DC82C" w14:textId="77777777" w:rsidR="001C6487" w:rsidRPr="00292C7B" w:rsidRDefault="001C6487" w:rsidP="00FC4B58">
            <w:pPr>
              <w:pStyle w:val="TableBodyTextright"/>
            </w:pPr>
            <w:r>
              <w:rPr>
                <w:rFonts w:ascii="Wingdings" w:eastAsia="Wingdings" w:hAnsi="Wingdings" w:cs="Wingdings"/>
              </w:rPr>
              <w:t>â</w:t>
            </w:r>
            <w:r>
              <w:t>0.6</w:t>
            </w:r>
          </w:p>
        </w:tc>
        <w:tc>
          <w:tcPr>
            <w:tcW w:w="1635" w:type="dxa"/>
          </w:tcPr>
          <w:p w14:paraId="5A44FF73" w14:textId="77777777" w:rsidR="001C6487" w:rsidRPr="00292C7B" w:rsidRDefault="001C6487" w:rsidP="00FC4B58">
            <w:pPr>
              <w:pStyle w:val="TableBodyTextright"/>
            </w:pPr>
            <w:r w:rsidRPr="00292C7B">
              <w:rPr>
                <w:rFonts w:ascii="Wingdings" w:eastAsia="Wingdings" w:hAnsi="Wingdings" w:cs="Wingdings"/>
              </w:rPr>
              <w:t>á</w:t>
            </w:r>
            <w:r>
              <w:t>8.3</w:t>
            </w:r>
          </w:p>
        </w:tc>
      </w:tr>
      <w:tr w:rsidR="001C6487" w:rsidRPr="00177D7B" w14:paraId="580BE8D4" w14:textId="77777777" w:rsidTr="00FC4B58">
        <w:trPr>
          <w:trHeight w:val="420"/>
        </w:trPr>
        <w:tc>
          <w:tcPr>
            <w:tcW w:w="4024" w:type="dxa"/>
          </w:tcPr>
          <w:p w14:paraId="7CC20C7D" w14:textId="77777777" w:rsidR="001C6487" w:rsidRPr="00292C7B" w:rsidRDefault="001C6487" w:rsidP="00FC4B58">
            <w:pPr>
              <w:pStyle w:val="TableBodyText"/>
            </w:pPr>
            <w:r w:rsidRPr="00292C7B">
              <w:t>Qualified applicants per vacancy (no.)</w:t>
            </w:r>
          </w:p>
        </w:tc>
        <w:tc>
          <w:tcPr>
            <w:tcW w:w="1683" w:type="dxa"/>
          </w:tcPr>
          <w:p w14:paraId="3B661990" w14:textId="77777777" w:rsidR="001C6487" w:rsidRPr="00292C7B" w:rsidRDefault="001C6487" w:rsidP="00FC4B58">
            <w:pPr>
              <w:pStyle w:val="TableBodyTextright"/>
            </w:pPr>
            <w:r w:rsidRPr="00292C7B">
              <w:t>9.</w:t>
            </w:r>
            <w:r>
              <w:t>4</w:t>
            </w:r>
          </w:p>
        </w:tc>
        <w:tc>
          <w:tcPr>
            <w:tcW w:w="1685" w:type="dxa"/>
          </w:tcPr>
          <w:p w14:paraId="56EF706B" w14:textId="77777777" w:rsidR="001C6487" w:rsidRPr="00292C7B" w:rsidRDefault="001C6487" w:rsidP="00FC4B58">
            <w:pPr>
              <w:pStyle w:val="TableBodyTextright"/>
            </w:pPr>
            <w:r w:rsidRPr="00292C7B">
              <w:rPr>
                <w:rFonts w:ascii="Wingdings" w:eastAsia="Wingdings" w:hAnsi="Wingdings" w:cs="Wingdings"/>
              </w:rPr>
              <w:t>á</w:t>
            </w:r>
            <w:r w:rsidRPr="00292C7B">
              <w:t>0.</w:t>
            </w:r>
            <w:r>
              <w:t>2</w:t>
            </w:r>
          </w:p>
        </w:tc>
        <w:tc>
          <w:tcPr>
            <w:tcW w:w="1635" w:type="dxa"/>
          </w:tcPr>
          <w:p w14:paraId="3AB8A12C" w14:textId="77777777" w:rsidR="001C6487" w:rsidRPr="00292C7B" w:rsidRDefault="001C6487" w:rsidP="00FC4B58">
            <w:pPr>
              <w:pStyle w:val="TableBodyTextright"/>
            </w:pPr>
            <w:r w:rsidRPr="00292C7B">
              <w:rPr>
                <w:rFonts w:ascii="Wingdings" w:eastAsia="Wingdings" w:hAnsi="Wingdings" w:cs="Wingdings"/>
              </w:rPr>
              <w:t>á</w:t>
            </w:r>
            <w:r>
              <w:t>2.5</w:t>
            </w:r>
          </w:p>
        </w:tc>
      </w:tr>
      <w:tr w:rsidR="001C6487" w:rsidRPr="00177D7B" w14:paraId="6A4019D4" w14:textId="77777777" w:rsidTr="00FC4B58">
        <w:trPr>
          <w:cnfStyle w:val="000000010000" w:firstRow="0" w:lastRow="0" w:firstColumn="0" w:lastColumn="0" w:oddVBand="0" w:evenVBand="0" w:oddHBand="0" w:evenHBand="1" w:firstRowFirstColumn="0" w:firstRowLastColumn="0" w:lastRowFirstColumn="0" w:lastRowLastColumn="0"/>
          <w:trHeight w:val="420"/>
        </w:trPr>
        <w:tc>
          <w:tcPr>
            <w:tcW w:w="4024" w:type="dxa"/>
          </w:tcPr>
          <w:p w14:paraId="5BEFF0AB" w14:textId="77777777" w:rsidR="001C6487" w:rsidRPr="00292C7B" w:rsidRDefault="001C6487" w:rsidP="00FC4B58">
            <w:pPr>
              <w:pStyle w:val="TableBodyText"/>
            </w:pPr>
            <w:r w:rsidRPr="00292C7B">
              <w:t>Suitable applicants per vacancy (no.)</w:t>
            </w:r>
          </w:p>
        </w:tc>
        <w:tc>
          <w:tcPr>
            <w:tcW w:w="1683" w:type="dxa"/>
          </w:tcPr>
          <w:p w14:paraId="1EF0C04B" w14:textId="77777777" w:rsidR="001C6487" w:rsidRPr="00292C7B" w:rsidRDefault="001C6487" w:rsidP="00FC4B58">
            <w:pPr>
              <w:pStyle w:val="TableBodyTextright"/>
            </w:pPr>
            <w:r>
              <w:t>4.0</w:t>
            </w:r>
          </w:p>
        </w:tc>
        <w:tc>
          <w:tcPr>
            <w:tcW w:w="1685" w:type="dxa"/>
          </w:tcPr>
          <w:p w14:paraId="150DAD81" w14:textId="77777777" w:rsidR="001C6487" w:rsidRPr="00292C7B" w:rsidRDefault="001C6487" w:rsidP="00FC4B58">
            <w:pPr>
              <w:pStyle w:val="TableBodyTextright"/>
            </w:pPr>
            <w:r w:rsidRPr="00292C7B">
              <w:rPr>
                <w:rFonts w:ascii="Wingdings" w:eastAsia="Wingdings" w:hAnsi="Wingdings" w:cs="Wingdings"/>
              </w:rPr>
              <w:t>á</w:t>
            </w:r>
            <w:r w:rsidRPr="00292C7B">
              <w:t>0.</w:t>
            </w:r>
            <w:r>
              <w:t>3</w:t>
            </w:r>
          </w:p>
        </w:tc>
        <w:tc>
          <w:tcPr>
            <w:tcW w:w="1635" w:type="dxa"/>
          </w:tcPr>
          <w:p w14:paraId="48C5E071" w14:textId="77777777" w:rsidR="001C6487" w:rsidRPr="00292C7B" w:rsidRDefault="001C6487" w:rsidP="00FC4B58">
            <w:pPr>
              <w:pStyle w:val="TableBodyTextright"/>
            </w:pPr>
            <w:r w:rsidRPr="00292C7B">
              <w:rPr>
                <w:rFonts w:ascii="Wingdings" w:eastAsia="Wingdings" w:hAnsi="Wingdings" w:cs="Wingdings"/>
              </w:rPr>
              <w:t>á</w:t>
            </w:r>
            <w:r>
              <w:t>1.1</w:t>
            </w:r>
          </w:p>
        </w:tc>
      </w:tr>
    </w:tbl>
    <w:p w14:paraId="7A3133AD" w14:textId="77777777" w:rsidR="001C6487" w:rsidRPr="00DD4642" w:rsidRDefault="001C6487" w:rsidP="001C6487">
      <w:pPr>
        <w:pStyle w:val="paragraph"/>
        <w:spacing w:before="0" w:beforeAutospacing="0" w:after="0" w:afterAutospacing="0"/>
        <w:textAlignment w:val="baseline"/>
        <w:rPr>
          <w:rFonts w:ascii="Segoe UI" w:hAnsi="Segoe UI" w:cs="Segoe UI"/>
          <w:sz w:val="17"/>
          <w:szCs w:val="17"/>
        </w:rPr>
      </w:pPr>
      <w:r w:rsidRPr="00DD4642">
        <w:rPr>
          <w:rStyle w:val="normaltextrun"/>
          <w:rFonts w:ascii="Arial" w:hAnsi="Arial" w:cs="Arial"/>
          <w:color w:val="000000"/>
          <w:sz w:val="17"/>
          <w:szCs w:val="17"/>
          <w:shd w:val="clear" w:color="auto" w:fill="FFFFFF"/>
        </w:rPr>
        <w:t>Source: Jobs and Skills Australia, SERA.</w:t>
      </w:r>
      <w:r w:rsidRPr="00DD4642">
        <w:rPr>
          <w:sz w:val="17"/>
          <w:szCs w:val="17"/>
          <w:highlight w:val="magenta"/>
        </w:rPr>
        <w:br/>
      </w:r>
      <w:bookmarkStart w:id="48" w:name="_Hlk199325572"/>
      <w:r w:rsidRPr="00DD4642">
        <w:rPr>
          <w:rStyle w:val="normaltextrun"/>
          <w:rFonts w:ascii="Arial" w:hAnsi="Arial" w:cs="Arial"/>
          <w:sz w:val="17"/>
          <w:szCs w:val="17"/>
        </w:rPr>
        <w:t>Note: The change from previous quarter refers to the change from December quarter 2024 to March quarter 2025. The change from the previous year refers to the change from March quarter 2024 to March quarter 2025.</w:t>
      </w:r>
      <w:r w:rsidRPr="00DD4642">
        <w:rPr>
          <w:rStyle w:val="eop"/>
          <w:rFonts w:ascii="Arial" w:hAnsi="Arial" w:cs="Arial"/>
          <w:sz w:val="17"/>
          <w:szCs w:val="17"/>
        </w:rPr>
        <w:t> </w:t>
      </w:r>
      <w:bookmarkEnd w:id="48"/>
    </w:p>
    <w:p w14:paraId="4C9867D6" w14:textId="77777777" w:rsidR="001C6487" w:rsidRPr="004C15BE" w:rsidRDefault="001C6487" w:rsidP="001C648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0DD45D7A" w14:textId="33526094" w:rsidR="001C6487" w:rsidRPr="002336C6" w:rsidRDefault="001C6487" w:rsidP="0076650E">
      <w:pPr>
        <w:pStyle w:val="Heading2"/>
        <w:keepLines/>
      </w:pPr>
      <w:bookmarkStart w:id="49" w:name="_Toc201057860"/>
      <w:r>
        <w:lastRenderedPageBreak/>
        <w:t>Vacancies are being filled faster in metro</w:t>
      </w:r>
      <w:r w:rsidR="00721B35">
        <w:t>politan</w:t>
      </w:r>
      <w:r>
        <w:t xml:space="preserve"> areas</w:t>
      </w:r>
      <w:bookmarkEnd w:id="49"/>
      <w:r>
        <w:t xml:space="preserve"> </w:t>
      </w:r>
    </w:p>
    <w:p w14:paraId="2712D7E8" w14:textId="29E87653" w:rsidR="001C6487" w:rsidRDefault="003D3FFC" w:rsidP="0076650E">
      <w:pPr>
        <w:pStyle w:val="BodyText"/>
        <w:keepNext/>
        <w:keepLines/>
        <w:rPr>
          <w:highlight w:val="magenta"/>
        </w:rPr>
      </w:pPr>
      <w:r>
        <w:t>The m</w:t>
      </w:r>
      <w:r w:rsidR="001C6487" w:rsidRPr="00656DFA">
        <w:t>etropolitan area fill rate increased by 1.6 percentage points to 71.6% over the quarter and 5.3 percentage points over the year (</w:t>
      </w:r>
      <w:r w:rsidR="00DE2047" w:rsidRPr="00DE2047">
        <w:t>Table 9</w:t>
      </w:r>
      <w:r w:rsidR="001C6487" w:rsidRPr="00656DFA">
        <w:t>). However, the number of applicants per vacancy remained stagnant over the quarter but improved by 10.5 percentage points over the past 12 months.</w:t>
      </w:r>
    </w:p>
    <w:p w14:paraId="18F196CE" w14:textId="70993477" w:rsidR="001C6487" w:rsidRPr="00790D8D" w:rsidRDefault="001C6487" w:rsidP="001C6487">
      <w:pPr>
        <w:pStyle w:val="Caption"/>
      </w:pPr>
      <w:bookmarkStart w:id="50" w:name="_Ref200453514"/>
      <w:r w:rsidRPr="00790D8D">
        <w:t xml:space="preserve">Table </w:t>
      </w:r>
      <w:r w:rsidRPr="00790D8D">
        <w:fldChar w:fldCharType="begin"/>
      </w:r>
      <w:r w:rsidRPr="00790D8D">
        <w:instrText xml:space="preserve"> SEQ Table \* ARABIC </w:instrText>
      </w:r>
      <w:r w:rsidRPr="00790D8D">
        <w:fldChar w:fldCharType="separate"/>
      </w:r>
      <w:r w:rsidR="00D80BB2">
        <w:rPr>
          <w:noProof/>
        </w:rPr>
        <w:t>9</w:t>
      </w:r>
      <w:r w:rsidRPr="00790D8D">
        <w:fldChar w:fldCharType="end"/>
      </w:r>
      <w:bookmarkEnd w:id="50"/>
      <w:r w:rsidRPr="00790D8D">
        <w:t>: Metropolitan snapshot</w:t>
      </w:r>
    </w:p>
    <w:tbl>
      <w:tblPr>
        <w:tblStyle w:val="CustomTablebasic"/>
        <w:tblW w:w="9167" w:type="dxa"/>
        <w:tblLayout w:type="fixed"/>
        <w:tblLook w:val="04A0" w:firstRow="1" w:lastRow="0" w:firstColumn="1" w:lastColumn="0" w:noHBand="0" w:noVBand="1"/>
      </w:tblPr>
      <w:tblGrid>
        <w:gridCol w:w="3686"/>
        <w:gridCol w:w="1370"/>
        <w:gridCol w:w="1370"/>
        <w:gridCol w:w="1370"/>
        <w:gridCol w:w="1371"/>
      </w:tblGrid>
      <w:tr w:rsidR="001C6487" w:rsidRPr="00DC0911" w14:paraId="2FD28588" w14:textId="77777777" w:rsidTr="00BA0E0C">
        <w:trPr>
          <w:cnfStyle w:val="100000000000" w:firstRow="1" w:lastRow="0" w:firstColumn="0" w:lastColumn="0" w:oddVBand="0" w:evenVBand="0" w:oddHBand="0" w:evenHBand="0" w:firstRowFirstColumn="0" w:firstRowLastColumn="0" w:lastRowFirstColumn="0" w:lastRowLastColumn="0"/>
          <w:trHeight w:val="705"/>
        </w:trPr>
        <w:tc>
          <w:tcPr>
            <w:tcW w:w="3686" w:type="dxa"/>
          </w:tcPr>
          <w:p w14:paraId="0733272B" w14:textId="77777777" w:rsidR="001C6487" w:rsidRPr="00DC0911" w:rsidRDefault="001C6487" w:rsidP="00FC4B58"/>
        </w:tc>
        <w:tc>
          <w:tcPr>
            <w:tcW w:w="1370" w:type="dxa"/>
          </w:tcPr>
          <w:p w14:paraId="5072574A" w14:textId="77777777" w:rsidR="001C6487" w:rsidRPr="00DC0911" w:rsidRDefault="001C6487" w:rsidP="00FC4B58">
            <w:pPr>
              <w:pStyle w:val="TableHeading1"/>
            </w:pPr>
            <w:r>
              <w:t>March</w:t>
            </w:r>
            <w:r w:rsidRPr="00DC0911">
              <w:t xml:space="preserve"> quarter 202</w:t>
            </w:r>
            <w:r>
              <w:t>5</w:t>
            </w:r>
          </w:p>
        </w:tc>
        <w:tc>
          <w:tcPr>
            <w:tcW w:w="1370" w:type="dxa"/>
          </w:tcPr>
          <w:p w14:paraId="4D8B9457" w14:textId="77777777" w:rsidR="001C6487" w:rsidRPr="00DC0911" w:rsidRDefault="001C6487" w:rsidP="00FC4B58">
            <w:pPr>
              <w:pStyle w:val="TableHeading1"/>
            </w:pPr>
          </w:p>
        </w:tc>
        <w:tc>
          <w:tcPr>
            <w:tcW w:w="1370" w:type="dxa"/>
          </w:tcPr>
          <w:p w14:paraId="7EC69B01" w14:textId="77777777" w:rsidR="001C6487" w:rsidRPr="00DC0911" w:rsidRDefault="001C6487" w:rsidP="00FC4B58">
            <w:pPr>
              <w:pStyle w:val="TableHeading1"/>
            </w:pPr>
            <w:r w:rsidRPr="00DC0911">
              <w:t>Change over the quarter</w:t>
            </w:r>
          </w:p>
        </w:tc>
        <w:tc>
          <w:tcPr>
            <w:tcW w:w="1371" w:type="dxa"/>
          </w:tcPr>
          <w:p w14:paraId="2435678E" w14:textId="77777777" w:rsidR="001C6487" w:rsidRPr="00DC0911" w:rsidRDefault="001C6487" w:rsidP="00FC4B58">
            <w:pPr>
              <w:pStyle w:val="TableHeading1"/>
            </w:pPr>
            <w:r w:rsidRPr="00DC0911">
              <w:t>Change over 12 months</w:t>
            </w:r>
          </w:p>
        </w:tc>
      </w:tr>
      <w:tr w:rsidR="001C6487" w:rsidRPr="00DC0911" w14:paraId="7EAA209F" w14:textId="77777777" w:rsidTr="00BA0E0C">
        <w:trPr>
          <w:trHeight w:val="300"/>
        </w:trPr>
        <w:tc>
          <w:tcPr>
            <w:tcW w:w="3686" w:type="dxa"/>
          </w:tcPr>
          <w:p w14:paraId="3A598F2B" w14:textId="77777777" w:rsidR="001C6487" w:rsidRPr="00DC0911" w:rsidRDefault="001C6487" w:rsidP="00FC4B58">
            <w:pPr>
              <w:pStyle w:val="TableBodyText"/>
            </w:pPr>
            <w:r w:rsidRPr="00DC0911">
              <w:t>Vacancy fill rate</w:t>
            </w:r>
          </w:p>
        </w:tc>
        <w:tc>
          <w:tcPr>
            <w:tcW w:w="1370" w:type="dxa"/>
          </w:tcPr>
          <w:p w14:paraId="18D63984" w14:textId="77777777" w:rsidR="001C6487" w:rsidRPr="00DC0911" w:rsidRDefault="001C6487" w:rsidP="00FC4B58">
            <w:pPr>
              <w:pStyle w:val="TableBodyTextright"/>
            </w:pPr>
            <w:r w:rsidRPr="00DC0911">
              <w:t>7</w:t>
            </w:r>
            <w:r>
              <w:t>1</w:t>
            </w:r>
            <w:r w:rsidRPr="00DC0911">
              <w:t>.6%</w:t>
            </w:r>
          </w:p>
        </w:tc>
        <w:tc>
          <w:tcPr>
            <w:tcW w:w="1370" w:type="dxa"/>
          </w:tcPr>
          <w:p w14:paraId="6D694F12" w14:textId="77777777" w:rsidR="001C6487" w:rsidRPr="00DC0911" w:rsidRDefault="001C6487" w:rsidP="00FC4B58">
            <w:pPr>
              <w:pStyle w:val="TableBodyTextright"/>
              <w:rPr>
                <w:rFonts w:ascii="Wingdings" w:eastAsia="Wingdings" w:hAnsi="Wingdings" w:cs="Wingdings"/>
              </w:rPr>
            </w:pPr>
          </w:p>
        </w:tc>
        <w:tc>
          <w:tcPr>
            <w:tcW w:w="1370" w:type="dxa"/>
          </w:tcPr>
          <w:p w14:paraId="7C0B68BC" w14:textId="180D54E2" w:rsidR="001C6487" w:rsidRPr="00DC0911" w:rsidRDefault="001C6487" w:rsidP="00FC4B58">
            <w:pPr>
              <w:pStyle w:val="TableBodyTextright"/>
            </w:pPr>
            <w:r w:rsidRPr="00DC0911">
              <w:rPr>
                <w:rFonts w:ascii="Wingdings" w:eastAsia="Wingdings" w:hAnsi="Wingdings" w:cs="Wingdings"/>
              </w:rPr>
              <w:t>á</w:t>
            </w:r>
            <w:r>
              <w:t>1.6</w:t>
            </w:r>
            <w:r w:rsidR="001D0A0B">
              <w:t>% pts</w:t>
            </w:r>
          </w:p>
        </w:tc>
        <w:tc>
          <w:tcPr>
            <w:tcW w:w="1371" w:type="dxa"/>
          </w:tcPr>
          <w:p w14:paraId="5CBDF699" w14:textId="000B5E8F" w:rsidR="001C6487" w:rsidRPr="00DC0911" w:rsidRDefault="001C6487" w:rsidP="00FC4B58">
            <w:pPr>
              <w:pStyle w:val="TableBodyTextright"/>
            </w:pPr>
            <w:r w:rsidRPr="00DC0911">
              <w:rPr>
                <w:rFonts w:ascii="Wingdings" w:eastAsia="Wingdings" w:hAnsi="Wingdings" w:cs="Wingdings"/>
              </w:rPr>
              <w:t>á</w:t>
            </w:r>
            <w:r w:rsidRPr="00DC0911">
              <w:t>5.</w:t>
            </w:r>
            <w:r>
              <w:t>3</w:t>
            </w:r>
            <w:r w:rsidR="001D0A0B">
              <w:t>% pts</w:t>
            </w:r>
          </w:p>
        </w:tc>
      </w:tr>
      <w:tr w:rsidR="001C6487" w:rsidRPr="00DC0911" w14:paraId="120614A6" w14:textId="77777777" w:rsidTr="00BA0E0C">
        <w:trPr>
          <w:cnfStyle w:val="000000010000" w:firstRow="0" w:lastRow="0" w:firstColumn="0" w:lastColumn="0" w:oddVBand="0" w:evenVBand="0" w:oddHBand="0" w:evenHBand="1" w:firstRowFirstColumn="0" w:firstRowLastColumn="0" w:lastRowFirstColumn="0" w:lastRowLastColumn="0"/>
          <w:trHeight w:val="390"/>
        </w:trPr>
        <w:tc>
          <w:tcPr>
            <w:tcW w:w="3686" w:type="dxa"/>
          </w:tcPr>
          <w:p w14:paraId="5FB27A2E" w14:textId="77777777" w:rsidR="001C6487" w:rsidRPr="00DC0911" w:rsidRDefault="001C6487" w:rsidP="00FC4B58">
            <w:pPr>
              <w:pStyle w:val="TableBodyText"/>
            </w:pPr>
            <w:r w:rsidRPr="00DC0911">
              <w:t>Applicants per vacancy (no.)</w:t>
            </w:r>
          </w:p>
        </w:tc>
        <w:tc>
          <w:tcPr>
            <w:tcW w:w="1370" w:type="dxa"/>
          </w:tcPr>
          <w:p w14:paraId="5D0631D1" w14:textId="77777777" w:rsidR="001C6487" w:rsidRPr="00DC0911" w:rsidRDefault="001C6487" w:rsidP="00FC4B58">
            <w:pPr>
              <w:pStyle w:val="TableBodyTextright"/>
            </w:pPr>
            <w:r w:rsidRPr="00DC0911">
              <w:t>3</w:t>
            </w:r>
            <w:r>
              <w:t>4.9</w:t>
            </w:r>
          </w:p>
        </w:tc>
        <w:tc>
          <w:tcPr>
            <w:tcW w:w="1370" w:type="dxa"/>
          </w:tcPr>
          <w:p w14:paraId="51B20979" w14:textId="77777777" w:rsidR="001C6487" w:rsidRPr="00DC0911" w:rsidRDefault="001C6487" w:rsidP="00FC4B58">
            <w:pPr>
              <w:pStyle w:val="TableBodyTextright"/>
              <w:rPr>
                <w:rFonts w:ascii="Wingdings" w:eastAsia="Wingdings" w:hAnsi="Wingdings" w:cs="Wingdings"/>
              </w:rPr>
            </w:pPr>
          </w:p>
        </w:tc>
        <w:tc>
          <w:tcPr>
            <w:tcW w:w="1370" w:type="dxa"/>
          </w:tcPr>
          <w:p w14:paraId="36224C09" w14:textId="77777777" w:rsidR="001C6487" w:rsidRPr="00DC0911" w:rsidRDefault="001C6487" w:rsidP="00FC4B58">
            <w:pPr>
              <w:pStyle w:val="TableBodyTextright"/>
            </w:pPr>
            <w:r>
              <w:t>0.0</w:t>
            </w:r>
          </w:p>
        </w:tc>
        <w:tc>
          <w:tcPr>
            <w:tcW w:w="1371" w:type="dxa"/>
          </w:tcPr>
          <w:p w14:paraId="5CCBD062" w14:textId="77777777" w:rsidR="001C6487" w:rsidRPr="00DC0911" w:rsidRDefault="001C6487" w:rsidP="00FC4B58">
            <w:pPr>
              <w:pStyle w:val="TableBodyTextright"/>
            </w:pPr>
            <w:r w:rsidRPr="00DC0911">
              <w:rPr>
                <w:rFonts w:ascii="Wingdings" w:eastAsia="Wingdings" w:hAnsi="Wingdings" w:cs="Wingdings"/>
              </w:rPr>
              <w:t>á</w:t>
            </w:r>
            <w:r w:rsidRPr="00DC0911">
              <w:t>1</w:t>
            </w:r>
            <w:r>
              <w:t>0.5</w:t>
            </w:r>
          </w:p>
        </w:tc>
      </w:tr>
      <w:tr w:rsidR="001C6487" w:rsidRPr="00DC0911" w14:paraId="619C4A65" w14:textId="77777777" w:rsidTr="00BA0E0C">
        <w:trPr>
          <w:trHeight w:val="390"/>
        </w:trPr>
        <w:tc>
          <w:tcPr>
            <w:tcW w:w="3686" w:type="dxa"/>
          </w:tcPr>
          <w:p w14:paraId="0E52DE01" w14:textId="77777777" w:rsidR="001C6487" w:rsidRPr="00DC0911" w:rsidRDefault="001C6487" w:rsidP="00FC4B58">
            <w:pPr>
              <w:pStyle w:val="TableBodyText"/>
            </w:pPr>
            <w:r w:rsidRPr="00DC0911">
              <w:t>Qualified applicants per vacancy (no.)</w:t>
            </w:r>
          </w:p>
        </w:tc>
        <w:tc>
          <w:tcPr>
            <w:tcW w:w="1370" w:type="dxa"/>
          </w:tcPr>
          <w:p w14:paraId="1C1B7A99" w14:textId="7DD508D9" w:rsidR="001C6487" w:rsidRPr="00DC0911" w:rsidRDefault="001C6487" w:rsidP="00FC4B58">
            <w:pPr>
              <w:pStyle w:val="TableBodyTextright"/>
            </w:pPr>
            <w:r w:rsidRPr="00DC0911">
              <w:t>11.</w:t>
            </w:r>
            <w:r w:rsidR="00431EE0">
              <w:t>3</w:t>
            </w:r>
          </w:p>
        </w:tc>
        <w:tc>
          <w:tcPr>
            <w:tcW w:w="1370" w:type="dxa"/>
          </w:tcPr>
          <w:p w14:paraId="653AF5D4" w14:textId="77777777" w:rsidR="001C6487" w:rsidRPr="00DC0911" w:rsidRDefault="001C6487" w:rsidP="00FC4B58">
            <w:pPr>
              <w:pStyle w:val="TableBodyTextright"/>
              <w:rPr>
                <w:rFonts w:ascii="Wingdings" w:eastAsia="Wingdings" w:hAnsi="Wingdings" w:cs="Wingdings"/>
              </w:rPr>
            </w:pPr>
          </w:p>
        </w:tc>
        <w:tc>
          <w:tcPr>
            <w:tcW w:w="1370" w:type="dxa"/>
          </w:tcPr>
          <w:p w14:paraId="21F5B357" w14:textId="77777777" w:rsidR="001C6487" w:rsidRPr="00DC0911" w:rsidRDefault="001C6487" w:rsidP="00FC4B58">
            <w:pPr>
              <w:pStyle w:val="TableBodyTextright"/>
            </w:pPr>
            <w:r w:rsidRPr="00DC0911">
              <w:rPr>
                <w:rFonts w:ascii="Wingdings" w:eastAsia="Wingdings" w:hAnsi="Wingdings" w:cs="Wingdings"/>
              </w:rPr>
              <w:t>á</w:t>
            </w:r>
            <w:r>
              <w:t>0.5</w:t>
            </w:r>
          </w:p>
        </w:tc>
        <w:tc>
          <w:tcPr>
            <w:tcW w:w="1371" w:type="dxa"/>
          </w:tcPr>
          <w:p w14:paraId="69EDC49A" w14:textId="77777777" w:rsidR="001C6487" w:rsidRPr="00DC0911" w:rsidRDefault="001C6487" w:rsidP="00FC4B58">
            <w:pPr>
              <w:pStyle w:val="TableBodyTextright"/>
            </w:pPr>
            <w:r w:rsidRPr="00DC0911">
              <w:rPr>
                <w:rFonts w:ascii="Wingdings" w:eastAsia="Wingdings" w:hAnsi="Wingdings" w:cs="Wingdings"/>
              </w:rPr>
              <w:t>á</w:t>
            </w:r>
            <w:r w:rsidRPr="00DC0911">
              <w:t>3.</w:t>
            </w:r>
            <w:r>
              <w:t>3</w:t>
            </w:r>
          </w:p>
        </w:tc>
      </w:tr>
      <w:tr w:rsidR="001C6487" w:rsidRPr="00DC0911" w14:paraId="5EE45876" w14:textId="77777777" w:rsidTr="00BA0E0C">
        <w:trPr>
          <w:cnfStyle w:val="000000010000" w:firstRow="0" w:lastRow="0" w:firstColumn="0" w:lastColumn="0" w:oddVBand="0" w:evenVBand="0" w:oddHBand="0" w:evenHBand="1" w:firstRowFirstColumn="0" w:firstRowLastColumn="0" w:lastRowFirstColumn="0" w:lastRowLastColumn="0"/>
          <w:trHeight w:val="390"/>
        </w:trPr>
        <w:tc>
          <w:tcPr>
            <w:tcW w:w="3686" w:type="dxa"/>
          </w:tcPr>
          <w:p w14:paraId="43DEE799" w14:textId="77777777" w:rsidR="001C6487" w:rsidRPr="00DC0911" w:rsidRDefault="001C6487" w:rsidP="00FC4B58">
            <w:pPr>
              <w:pStyle w:val="TableBodyText"/>
            </w:pPr>
            <w:r w:rsidRPr="00DC0911">
              <w:t>Suitable applicants per vacancy (no.)</w:t>
            </w:r>
          </w:p>
        </w:tc>
        <w:tc>
          <w:tcPr>
            <w:tcW w:w="1370" w:type="dxa"/>
          </w:tcPr>
          <w:p w14:paraId="5967A96E" w14:textId="77777777" w:rsidR="001C6487" w:rsidRPr="00DC0911" w:rsidRDefault="001C6487" w:rsidP="00FC4B58">
            <w:pPr>
              <w:pStyle w:val="TableBodyTextright"/>
            </w:pPr>
            <w:r>
              <w:t>4.5</w:t>
            </w:r>
          </w:p>
        </w:tc>
        <w:tc>
          <w:tcPr>
            <w:tcW w:w="1370" w:type="dxa"/>
          </w:tcPr>
          <w:p w14:paraId="78DBBA6C" w14:textId="77777777" w:rsidR="001C6487" w:rsidRPr="00DC0911" w:rsidRDefault="001C6487" w:rsidP="00FC4B58">
            <w:pPr>
              <w:pStyle w:val="TableBodyTextright"/>
              <w:rPr>
                <w:rFonts w:ascii="Wingdings" w:eastAsia="Wingdings" w:hAnsi="Wingdings" w:cs="Wingdings"/>
              </w:rPr>
            </w:pPr>
          </w:p>
        </w:tc>
        <w:tc>
          <w:tcPr>
            <w:tcW w:w="1370" w:type="dxa"/>
          </w:tcPr>
          <w:p w14:paraId="208BBCCB" w14:textId="77777777" w:rsidR="001C6487" w:rsidRPr="00DC0911" w:rsidRDefault="001C6487" w:rsidP="00FC4B58">
            <w:pPr>
              <w:pStyle w:val="TableBodyTextright"/>
            </w:pPr>
            <w:r w:rsidRPr="00DC0911">
              <w:rPr>
                <w:rFonts w:ascii="Wingdings" w:eastAsia="Wingdings" w:hAnsi="Wingdings" w:cs="Wingdings"/>
              </w:rPr>
              <w:t>á</w:t>
            </w:r>
            <w:r w:rsidRPr="00DC0911">
              <w:t>0.</w:t>
            </w:r>
            <w:r>
              <w:t>4</w:t>
            </w:r>
          </w:p>
        </w:tc>
        <w:tc>
          <w:tcPr>
            <w:tcW w:w="1371" w:type="dxa"/>
          </w:tcPr>
          <w:p w14:paraId="2BD67F74" w14:textId="77777777" w:rsidR="001C6487" w:rsidRPr="00DC0911" w:rsidRDefault="001C6487" w:rsidP="00FC4B58">
            <w:pPr>
              <w:pStyle w:val="TableBodyTextright"/>
            </w:pPr>
            <w:r w:rsidRPr="00DC0911">
              <w:rPr>
                <w:rFonts w:ascii="Wingdings" w:eastAsia="Wingdings" w:hAnsi="Wingdings" w:cs="Wingdings"/>
              </w:rPr>
              <w:t>á</w:t>
            </w:r>
            <w:r>
              <w:t>1.3</w:t>
            </w:r>
          </w:p>
        </w:tc>
      </w:tr>
    </w:tbl>
    <w:p w14:paraId="5769576C" w14:textId="77777777" w:rsidR="001C6487" w:rsidRPr="00DD4642" w:rsidRDefault="001C6487" w:rsidP="001C6487">
      <w:pPr>
        <w:pStyle w:val="Source"/>
        <w:rPr>
          <w:rFonts w:eastAsia="Arial"/>
          <w:szCs w:val="17"/>
        </w:rPr>
      </w:pPr>
      <w:r w:rsidRPr="00DD4642">
        <w:rPr>
          <w:rFonts w:eastAsia="Arial"/>
          <w:szCs w:val="17"/>
        </w:rPr>
        <w:t>Source: Jobs and Skills Australia, SERA.</w:t>
      </w:r>
      <w:r>
        <w:rPr>
          <w:rFonts w:eastAsia="Arial"/>
          <w:szCs w:val="17"/>
        </w:rPr>
        <w:br/>
      </w:r>
    </w:p>
    <w:p w14:paraId="7F4BB5AE" w14:textId="12C08E6A" w:rsidR="001C6487" w:rsidRPr="00C55AEF" w:rsidRDefault="001C6487" w:rsidP="001C6487">
      <w:pPr>
        <w:pStyle w:val="BodyText"/>
      </w:pPr>
      <w:r w:rsidRPr="009E6A20">
        <w:t>The fill rate in regional areas also increased by 1.</w:t>
      </w:r>
      <w:r>
        <w:t>3</w:t>
      </w:r>
      <w:r w:rsidRPr="009E6A20">
        <w:t xml:space="preserve"> percentage points to 6</w:t>
      </w:r>
      <w:r>
        <w:t>4.3</w:t>
      </w:r>
      <w:r w:rsidRPr="009E6A20">
        <w:t xml:space="preserve">% in </w:t>
      </w:r>
      <w:r w:rsidR="00D934C2">
        <w:t xml:space="preserve">the </w:t>
      </w:r>
      <w:r>
        <w:t>March</w:t>
      </w:r>
      <w:r w:rsidRPr="009E6A20">
        <w:t xml:space="preserve"> quarter 202</w:t>
      </w:r>
      <w:r>
        <w:t>5</w:t>
      </w:r>
      <w:r w:rsidRPr="009E6A20">
        <w:t xml:space="preserve"> and by </w:t>
      </w:r>
      <w:r>
        <w:t>4.6</w:t>
      </w:r>
      <w:r w:rsidRPr="009E6A20">
        <w:t xml:space="preserve"> percentage points compared to </w:t>
      </w:r>
      <w:r>
        <w:t xml:space="preserve">12 months </w:t>
      </w:r>
      <w:r w:rsidRPr="009E6A20">
        <w:t>ago (</w:t>
      </w:r>
      <w:r w:rsidR="00DE2047" w:rsidRPr="00DE2047">
        <w:t>Table 10</w:t>
      </w:r>
      <w:r w:rsidRPr="009E6A20">
        <w:t xml:space="preserve">). </w:t>
      </w:r>
    </w:p>
    <w:p w14:paraId="242A9B2D" w14:textId="151BE2E6" w:rsidR="001C6487" w:rsidRPr="00C55AEF" w:rsidRDefault="001C6487" w:rsidP="00CA605A">
      <w:pPr>
        <w:pStyle w:val="Caption"/>
        <w:keepNext/>
      </w:pPr>
      <w:bookmarkStart w:id="51" w:name="_Ref200453522"/>
      <w:r w:rsidRPr="00C55AEF">
        <w:t xml:space="preserve">Table </w:t>
      </w:r>
      <w:r w:rsidRPr="00C55AEF">
        <w:fldChar w:fldCharType="begin"/>
      </w:r>
      <w:r w:rsidRPr="00C55AEF">
        <w:instrText xml:space="preserve"> SEQ Table \* ARABIC </w:instrText>
      </w:r>
      <w:r w:rsidRPr="00C55AEF">
        <w:fldChar w:fldCharType="separate"/>
      </w:r>
      <w:r w:rsidR="00D80BB2">
        <w:rPr>
          <w:noProof/>
        </w:rPr>
        <w:t>10</w:t>
      </w:r>
      <w:r w:rsidRPr="00C55AEF">
        <w:fldChar w:fldCharType="end"/>
      </w:r>
      <w:bookmarkEnd w:id="51"/>
      <w:r w:rsidRPr="00C55AEF">
        <w:t>: Regional snapshot</w:t>
      </w:r>
    </w:p>
    <w:tbl>
      <w:tblPr>
        <w:tblStyle w:val="CustomTablebasic"/>
        <w:tblW w:w="0" w:type="auto"/>
        <w:tblLayout w:type="fixed"/>
        <w:tblLook w:val="04A0" w:firstRow="1" w:lastRow="0" w:firstColumn="1" w:lastColumn="0" w:noHBand="0" w:noVBand="1"/>
      </w:tblPr>
      <w:tblGrid>
        <w:gridCol w:w="3686"/>
        <w:gridCol w:w="1370"/>
        <w:gridCol w:w="1370"/>
        <w:gridCol w:w="1371"/>
      </w:tblGrid>
      <w:tr w:rsidR="001C6487" w:rsidRPr="00C55AEF" w14:paraId="67107FCC" w14:textId="77777777" w:rsidTr="00FC4B58">
        <w:trPr>
          <w:cnfStyle w:val="100000000000" w:firstRow="1" w:lastRow="0" w:firstColumn="0" w:lastColumn="0" w:oddVBand="0" w:evenVBand="0" w:oddHBand="0" w:evenHBand="0" w:firstRowFirstColumn="0" w:firstRowLastColumn="0" w:lastRowFirstColumn="0" w:lastRowLastColumn="0"/>
          <w:trHeight w:val="690"/>
        </w:trPr>
        <w:tc>
          <w:tcPr>
            <w:tcW w:w="3686" w:type="dxa"/>
          </w:tcPr>
          <w:p w14:paraId="118FC77F" w14:textId="77777777" w:rsidR="001C6487" w:rsidRPr="00C55AEF" w:rsidRDefault="001C6487" w:rsidP="00CA605A">
            <w:pPr>
              <w:keepNext/>
            </w:pPr>
          </w:p>
        </w:tc>
        <w:tc>
          <w:tcPr>
            <w:tcW w:w="1370" w:type="dxa"/>
          </w:tcPr>
          <w:p w14:paraId="53E504D0" w14:textId="77777777" w:rsidR="001C6487" w:rsidRPr="00C55AEF" w:rsidRDefault="001C6487" w:rsidP="00CA605A">
            <w:pPr>
              <w:pStyle w:val="TableHeading1"/>
              <w:keepNext/>
            </w:pPr>
            <w:r>
              <w:t>March</w:t>
            </w:r>
            <w:r w:rsidRPr="00C55AEF">
              <w:t xml:space="preserve"> quarter 202</w:t>
            </w:r>
            <w:r>
              <w:t>5</w:t>
            </w:r>
          </w:p>
        </w:tc>
        <w:tc>
          <w:tcPr>
            <w:tcW w:w="1370" w:type="dxa"/>
          </w:tcPr>
          <w:p w14:paraId="13F689D0" w14:textId="77777777" w:rsidR="001C6487" w:rsidRPr="00C55AEF" w:rsidRDefault="001C6487" w:rsidP="00CA605A">
            <w:pPr>
              <w:pStyle w:val="TableHeading1"/>
              <w:keepNext/>
            </w:pPr>
            <w:r w:rsidRPr="00C55AEF">
              <w:t>Change over the quarter</w:t>
            </w:r>
          </w:p>
        </w:tc>
        <w:tc>
          <w:tcPr>
            <w:tcW w:w="1371" w:type="dxa"/>
          </w:tcPr>
          <w:p w14:paraId="7411B9C4" w14:textId="77777777" w:rsidR="001C6487" w:rsidRPr="00C55AEF" w:rsidRDefault="001C6487" w:rsidP="00CA605A">
            <w:pPr>
              <w:pStyle w:val="TableHeading1"/>
              <w:keepNext/>
            </w:pPr>
            <w:r w:rsidRPr="00C55AEF">
              <w:t>Change over 12 months</w:t>
            </w:r>
          </w:p>
        </w:tc>
      </w:tr>
      <w:tr w:rsidR="001C6487" w:rsidRPr="00C55AEF" w14:paraId="5214ADF2" w14:textId="77777777" w:rsidTr="00FC4B58">
        <w:trPr>
          <w:trHeight w:val="300"/>
        </w:trPr>
        <w:tc>
          <w:tcPr>
            <w:tcW w:w="3686" w:type="dxa"/>
          </w:tcPr>
          <w:p w14:paraId="7F03AF04" w14:textId="77777777" w:rsidR="001C6487" w:rsidRPr="00C55AEF" w:rsidRDefault="001C6487" w:rsidP="00CA605A">
            <w:pPr>
              <w:pStyle w:val="TableBodyText"/>
              <w:keepNext/>
            </w:pPr>
            <w:r w:rsidRPr="00C55AEF">
              <w:t>Vacancy fill rate</w:t>
            </w:r>
          </w:p>
        </w:tc>
        <w:tc>
          <w:tcPr>
            <w:tcW w:w="1370" w:type="dxa"/>
          </w:tcPr>
          <w:p w14:paraId="4B5E1A99" w14:textId="77777777" w:rsidR="001C6487" w:rsidRPr="00C55AEF" w:rsidRDefault="001C6487" w:rsidP="00CA605A">
            <w:pPr>
              <w:pStyle w:val="TableBodyTextright"/>
              <w:keepNext/>
            </w:pPr>
            <w:r w:rsidRPr="00C55AEF">
              <w:t>6</w:t>
            </w:r>
            <w:r>
              <w:t>4.3</w:t>
            </w:r>
            <w:r w:rsidRPr="00C55AEF">
              <w:t>%</w:t>
            </w:r>
          </w:p>
        </w:tc>
        <w:tc>
          <w:tcPr>
            <w:tcW w:w="1370" w:type="dxa"/>
          </w:tcPr>
          <w:p w14:paraId="742F3A05" w14:textId="7DAC5B93" w:rsidR="001C6487" w:rsidRPr="00C55AEF" w:rsidRDefault="001C6487" w:rsidP="00CA605A">
            <w:pPr>
              <w:pStyle w:val="TableBodyTextright"/>
              <w:keepNext/>
            </w:pPr>
            <w:r w:rsidRPr="00C55AEF">
              <w:rPr>
                <w:rFonts w:ascii="Wingdings" w:eastAsia="Wingdings" w:hAnsi="Wingdings" w:cs="Wingdings"/>
              </w:rPr>
              <w:t>á</w:t>
            </w:r>
            <w:r w:rsidRPr="00C55AEF">
              <w:t>1.</w:t>
            </w:r>
            <w:r>
              <w:t>3</w:t>
            </w:r>
            <w:r w:rsidR="001D0A0B">
              <w:t>% pts</w:t>
            </w:r>
          </w:p>
        </w:tc>
        <w:tc>
          <w:tcPr>
            <w:tcW w:w="1371" w:type="dxa"/>
          </w:tcPr>
          <w:p w14:paraId="52D1B4DF" w14:textId="5B0C5AC6" w:rsidR="001C6487" w:rsidRPr="00C55AEF" w:rsidRDefault="001C6487" w:rsidP="00CA605A">
            <w:pPr>
              <w:pStyle w:val="TableBodyTextright"/>
              <w:keepNext/>
            </w:pPr>
            <w:r w:rsidRPr="00C55AEF">
              <w:rPr>
                <w:rFonts w:ascii="Wingdings" w:eastAsia="Wingdings" w:hAnsi="Wingdings" w:cs="Wingdings"/>
              </w:rPr>
              <w:t>á</w:t>
            </w:r>
            <w:r>
              <w:t>4.6</w:t>
            </w:r>
            <w:r w:rsidR="001D0A0B">
              <w:t>% pts</w:t>
            </w:r>
          </w:p>
        </w:tc>
      </w:tr>
      <w:tr w:rsidR="001C6487" w:rsidRPr="00C55AEF" w14:paraId="4E188E5A" w14:textId="77777777" w:rsidTr="00FC4B58">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E61FC12" w14:textId="77777777" w:rsidR="001C6487" w:rsidRPr="00C55AEF" w:rsidRDefault="001C6487" w:rsidP="00CA605A">
            <w:pPr>
              <w:pStyle w:val="TableBodyText"/>
              <w:keepNext/>
            </w:pPr>
            <w:r w:rsidRPr="00C55AEF">
              <w:t>Applicants per vacancy (no.)</w:t>
            </w:r>
          </w:p>
        </w:tc>
        <w:tc>
          <w:tcPr>
            <w:tcW w:w="1370" w:type="dxa"/>
          </w:tcPr>
          <w:p w14:paraId="1010329B" w14:textId="77777777" w:rsidR="001C6487" w:rsidRPr="00C55AEF" w:rsidRDefault="001C6487" w:rsidP="00CA605A">
            <w:pPr>
              <w:pStyle w:val="TableBodyTextright"/>
              <w:keepNext/>
            </w:pPr>
            <w:r w:rsidRPr="00C55AEF">
              <w:t>1</w:t>
            </w:r>
            <w:r>
              <w:t>7.6</w:t>
            </w:r>
          </w:p>
        </w:tc>
        <w:tc>
          <w:tcPr>
            <w:tcW w:w="1370" w:type="dxa"/>
          </w:tcPr>
          <w:p w14:paraId="587225B8" w14:textId="77777777" w:rsidR="001C6487" w:rsidRPr="00C55AEF" w:rsidRDefault="001C6487" w:rsidP="00CA605A">
            <w:pPr>
              <w:pStyle w:val="TableBodyTextright"/>
              <w:keepNext/>
            </w:pPr>
            <w:r>
              <w:rPr>
                <w:rFonts w:ascii="Wingdings" w:eastAsia="Wingdings" w:hAnsi="Wingdings" w:cs="Wingdings"/>
              </w:rPr>
              <w:t>â</w:t>
            </w:r>
            <w:r>
              <w:t>0.5</w:t>
            </w:r>
          </w:p>
        </w:tc>
        <w:tc>
          <w:tcPr>
            <w:tcW w:w="1371" w:type="dxa"/>
          </w:tcPr>
          <w:p w14:paraId="2E1DF3A3" w14:textId="77777777" w:rsidR="001C6487" w:rsidRPr="00C55AEF" w:rsidRDefault="001C6487" w:rsidP="00CA605A">
            <w:pPr>
              <w:pStyle w:val="TableBodyTextright"/>
              <w:keepNext/>
            </w:pPr>
            <w:r w:rsidRPr="00C55AEF">
              <w:rPr>
                <w:rFonts w:ascii="Wingdings" w:eastAsia="Wingdings" w:hAnsi="Wingdings" w:cs="Wingdings"/>
              </w:rPr>
              <w:t>á</w:t>
            </w:r>
            <w:r>
              <w:t>4.7</w:t>
            </w:r>
          </w:p>
        </w:tc>
      </w:tr>
      <w:tr w:rsidR="001C6487" w:rsidRPr="00C55AEF" w14:paraId="6F86CB97" w14:textId="77777777" w:rsidTr="00FC4B58">
        <w:trPr>
          <w:trHeight w:val="300"/>
        </w:trPr>
        <w:tc>
          <w:tcPr>
            <w:tcW w:w="3686" w:type="dxa"/>
          </w:tcPr>
          <w:p w14:paraId="1F1A003E" w14:textId="77777777" w:rsidR="001C6487" w:rsidRPr="00C55AEF" w:rsidRDefault="001C6487" w:rsidP="00CA605A">
            <w:pPr>
              <w:pStyle w:val="TableBodyText"/>
              <w:keepNext/>
            </w:pPr>
            <w:r w:rsidRPr="00C55AEF">
              <w:t>Qualified applicants per vacancy (no.)</w:t>
            </w:r>
          </w:p>
        </w:tc>
        <w:tc>
          <w:tcPr>
            <w:tcW w:w="1370" w:type="dxa"/>
          </w:tcPr>
          <w:p w14:paraId="4388136E" w14:textId="77777777" w:rsidR="001C6487" w:rsidRPr="00C55AEF" w:rsidRDefault="001C6487" w:rsidP="00CA605A">
            <w:pPr>
              <w:pStyle w:val="TableBodyTextright"/>
              <w:keepNext/>
            </w:pPr>
            <w:r w:rsidRPr="00C55AEF">
              <w:t>5.</w:t>
            </w:r>
            <w:r>
              <w:t>5</w:t>
            </w:r>
          </w:p>
        </w:tc>
        <w:tc>
          <w:tcPr>
            <w:tcW w:w="1370" w:type="dxa"/>
          </w:tcPr>
          <w:p w14:paraId="565E32AF" w14:textId="77777777" w:rsidR="001C6487" w:rsidRPr="00C55AEF" w:rsidRDefault="001C6487" w:rsidP="00CA605A">
            <w:pPr>
              <w:pStyle w:val="TableBodyTextright"/>
              <w:keepNext/>
            </w:pPr>
            <w:r w:rsidRPr="00C55AEF">
              <w:rPr>
                <w:rFonts w:eastAsia="Arial"/>
              </w:rPr>
              <w:t xml:space="preserve"> </w:t>
            </w:r>
            <w:r w:rsidRPr="00C55AEF">
              <w:t>0.</w:t>
            </w:r>
            <w:r>
              <w:t>0</w:t>
            </w:r>
          </w:p>
        </w:tc>
        <w:tc>
          <w:tcPr>
            <w:tcW w:w="1371" w:type="dxa"/>
          </w:tcPr>
          <w:p w14:paraId="76CB479A" w14:textId="77777777" w:rsidR="001C6487" w:rsidRPr="00C55AEF" w:rsidRDefault="001C6487" w:rsidP="00CA605A">
            <w:pPr>
              <w:pStyle w:val="TableBodyTextright"/>
              <w:keepNext/>
            </w:pPr>
            <w:r w:rsidRPr="00C55AEF">
              <w:rPr>
                <w:rFonts w:ascii="Wingdings" w:eastAsia="Wingdings" w:hAnsi="Wingdings" w:cs="Wingdings"/>
              </w:rPr>
              <w:t>á</w:t>
            </w:r>
            <w:r>
              <w:rPr>
                <w:rFonts w:eastAsia="Arial"/>
              </w:rPr>
              <w:t>1.3</w:t>
            </w:r>
          </w:p>
        </w:tc>
      </w:tr>
      <w:tr w:rsidR="001C6487" w:rsidRPr="00C55AEF" w14:paraId="3B383B8B" w14:textId="77777777" w:rsidTr="00FC4B58">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13D4862" w14:textId="77777777" w:rsidR="001C6487" w:rsidRPr="00C55AEF" w:rsidRDefault="001C6487" w:rsidP="00CA605A">
            <w:pPr>
              <w:pStyle w:val="TableBodyText"/>
              <w:keepNext/>
            </w:pPr>
            <w:r w:rsidRPr="00C55AEF">
              <w:t>Suitable applicants per vacancy (no.)</w:t>
            </w:r>
          </w:p>
        </w:tc>
        <w:tc>
          <w:tcPr>
            <w:tcW w:w="1370" w:type="dxa"/>
          </w:tcPr>
          <w:p w14:paraId="470E9A10" w14:textId="77777777" w:rsidR="001C6487" w:rsidRPr="00C55AEF" w:rsidRDefault="001C6487" w:rsidP="00CA605A">
            <w:pPr>
              <w:pStyle w:val="TableBodyTextright"/>
              <w:keepNext/>
            </w:pPr>
            <w:r w:rsidRPr="00C55AEF">
              <w:t>2.</w:t>
            </w:r>
            <w:r>
              <w:t>8</w:t>
            </w:r>
          </w:p>
        </w:tc>
        <w:tc>
          <w:tcPr>
            <w:tcW w:w="1370" w:type="dxa"/>
          </w:tcPr>
          <w:p w14:paraId="16393613" w14:textId="77777777" w:rsidR="001C6487" w:rsidRPr="00C55AEF" w:rsidRDefault="001C6487" w:rsidP="00CA605A">
            <w:pPr>
              <w:pStyle w:val="TableBodyTextright"/>
              <w:keepNext/>
            </w:pPr>
            <w:r w:rsidRPr="00C55AEF">
              <w:rPr>
                <w:rFonts w:ascii="Wingdings" w:eastAsia="Wingdings" w:hAnsi="Wingdings" w:cs="Wingdings"/>
              </w:rPr>
              <w:t>á</w:t>
            </w:r>
            <w:r w:rsidRPr="00C55AEF">
              <w:t>0.</w:t>
            </w:r>
            <w:r>
              <w:t>3</w:t>
            </w:r>
          </w:p>
        </w:tc>
        <w:tc>
          <w:tcPr>
            <w:tcW w:w="1371" w:type="dxa"/>
          </w:tcPr>
          <w:p w14:paraId="2BDC3DB6" w14:textId="77777777" w:rsidR="001C6487" w:rsidRPr="00C55AEF" w:rsidRDefault="001C6487" w:rsidP="00CA605A">
            <w:pPr>
              <w:pStyle w:val="TableBodyTextright"/>
              <w:keepNext/>
            </w:pPr>
            <w:r w:rsidRPr="00C55AEF">
              <w:rPr>
                <w:rFonts w:ascii="Wingdings" w:eastAsia="Wingdings" w:hAnsi="Wingdings" w:cs="Wingdings"/>
              </w:rPr>
              <w:t>á</w:t>
            </w:r>
            <w:r w:rsidRPr="00C55AEF">
              <w:t>0.</w:t>
            </w:r>
            <w:r>
              <w:t>9</w:t>
            </w:r>
          </w:p>
        </w:tc>
      </w:tr>
    </w:tbl>
    <w:p w14:paraId="383EE6D2" w14:textId="77777777" w:rsidR="001C6487" w:rsidRDefault="001C6487" w:rsidP="001C6487">
      <w:pPr>
        <w:pStyle w:val="Source"/>
      </w:pPr>
      <w:r w:rsidRPr="00DD4642">
        <w:rPr>
          <w:rFonts w:eastAsia="Arial"/>
          <w:szCs w:val="17"/>
        </w:rPr>
        <w:t xml:space="preserve">Source: Jobs and Skills Australia, </w:t>
      </w:r>
      <w:r w:rsidRPr="00DD4642">
        <w:rPr>
          <w:szCs w:val="17"/>
        </w:rPr>
        <w:t>SERA.</w:t>
      </w:r>
      <w:r>
        <w:rPr>
          <w:szCs w:val="17"/>
        </w:rPr>
        <w:br/>
      </w:r>
    </w:p>
    <w:p w14:paraId="6029DA35" w14:textId="19D2B92C" w:rsidR="001C6487" w:rsidRPr="00C37FA6" w:rsidRDefault="001C6487" w:rsidP="001C6487">
      <w:pPr>
        <w:spacing w:after="160" w:line="259" w:lineRule="auto"/>
      </w:pPr>
      <w:r>
        <w:t xml:space="preserve">For both </w:t>
      </w:r>
      <w:r w:rsidR="0076650E">
        <w:t>metropolitan</w:t>
      </w:r>
      <w:r>
        <w:t xml:space="preserve"> and regional areas, total applicants, qualified applicants and suitable applicants per vacancy were largely unchanged over the quarter. But the metrics were all higher than 12 months ago. </w:t>
      </w:r>
    </w:p>
    <w:p w14:paraId="40A50DE1" w14:textId="3A588518" w:rsidR="001C6487" w:rsidRDefault="001C6487" w:rsidP="001C6487">
      <w:pPr>
        <w:pStyle w:val="BodyText"/>
      </w:pPr>
      <w:r>
        <w:t xml:space="preserve">In </w:t>
      </w:r>
      <w:r w:rsidRPr="00751FAE">
        <w:t>regional areas, the fill rate remained well below th</w:t>
      </w:r>
      <w:r>
        <w:t>at</w:t>
      </w:r>
      <w:r w:rsidRPr="00751FAE">
        <w:t xml:space="preserve"> of metro</w:t>
      </w:r>
      <w:r w:rsidR="006568E9">
        <w:t>politan</w:t>
      </w:r>
      <w:r>
        <w:t xml:space="preserve"> </w:t>
      </w:r>
      <w:r w:rsidRPr="00751FAE">
        <w:t xml:space="preserve">areas. The average difference in fill rates between the two areas has widened over time from </w:t>
      </w:r>
      <w:r w:rsidRPr="00F0079A">
        <w:t>2.</w:t>
      </w:r>
      <w:r>
        <w:t>6</w:t>
      </w:r>
      <w:r w:rsidRPr="00F0079A">
        <w:t xml:space="preserve"> percentage points in </w:t>
      </w:r>
      <w:r w:rsidR="005043E8">
        <w:t xml:space="preserve">the </w:t>
      </w:r>
      <w:r>
        <w:t>March</w:t>
      </w:r>
      <w:r w:rsidRPr="00404955">
        <w:t xml:space="preserve"> quarter 202</w:t>
      </w:r>
      <w:r>
        <w:t>3</w:t>
      </w:r>
      <w:r w:rsidRPr="00404955">
        <w:t xml:space="preserve"> </w:t>
      </w:r>
      <w:r w:rsidRPr="00751FAE">
        <w:t xml:space="preserve">to </w:t>
      </w:r>
      <w:r>
        <w:t>7.3</w:t>
      </w:r>
      <w:r w:rsidRPr="00751FAE">
        <w:t xml:space="preserve"> percentage points in </w:t>
      </w:r>
      <w:r w:rsidR="002E3E30">
        <w:t xml:space="preserve">the </w:t>
      </w:r>
      <w:r>
        <w:t>March</w:t>
      </w:r>
      <w:r w:rsidRPr="00404955">
        <w:t xml:space="preserve"> quarter 202</w:t>
      </w:r>
      <w:r>
        <w:t xml:space="preserve">5, </w:t>
      </w:r>
      <w:r w:rsidRPr="00751FAE">
        <w:t xml:space="preserve">indicating </w:t>
      </w:r>
      <w:r w:rsidR="000804F3">
        <w:t xml:space="preserve">that </w:t>
      </w:r>
      <w:r w:rsidRPr="00751FAE">
        <w:t xml:space="preserve">shortage pressures in </w:t>
      </w:r>
      <w:r>
        <w:t>metro</w:t>
      </w:r>
      <w:r w:rsidR="00FE7D55">
        <w:t>politan</w:t>
      </w:r>
      <w:r>
        <w:t xml:space="preserve"> areas are easing faster.</w:t>
      </w:r>
    </w:p>
    <w:p w14:paraId="1712366D" w14:textId="77777777" w:rsidR="001C6487" w:rsidRDefault="001C6487" w:rsidP="001C6487">
      <w:pPr>
        <w:pStyle w:val="Heading2"/>
      </w:pPr>
      <w:bookmarkStart w:id="52" w:name="_Toc201057861"/>
      <w:r>
        <w:t>Fill rates remain lowest for Skill Level 3 occupations</w:t>
      </w:r>
      <w:bookmarkEnd w:id="52"/>
      <w:r>
        <w:t xml:space="preserve"> </w:t>
      </w:r>
    </w:p>
    <w:p w14:paraId="30BEA43A" w14:textId="0BF73C0E" w:rsidR="001C6487" w:rsidRDefault="001C6487" w:rsidP="001C6487">
      <w:pPr>
        <w:spacing w:after="160" w:line="259" w:lineRule="auto"/>
      </w:pPr>
      <w:r>
        <w:t xml:space="preserve">In the </w:t>
      </w:r>
      <w:r w:rsidRPr="00342F89">
        <w:t>March quarter 2025</w:t>
      </w:r>
      <w:r>
        <w:t>,</w:t>
      </w:r>
      <w:r w:rsidRPr="00342F89">
        <w:t xml:space="preserve"> </w:t>
      </w:r>
      <w:r>
        <w:t xml:space="preserve">for </w:t>
      </w:r>
      <w:r w:rsidR="007D2EFC">
        <w:t>S</w:t>
      </w:r>
      <w:r>
        <w:t xml:space="preserve">kill </w:t>
      </w:r>
      <w:r w:rsidR="007D2EFC">
        <w:t>L</w:t>
      </w:r>
      <w:r>
        <w:t>evels 1, 2 and 4, fill rates were relatively high at above 70%. For Skill Level 3 occupations, the fill rate has improved over</w:t>
      </w:r>
      <w:r w:rsidR="00866D7A">
        <w:t xml:space="preserve"> </w:t>
      </w:r>
      <w:r>
        <w:t xml:space="preserve">time but remains much </w:t>
      </w:r>
      <w:r w:rsidRPr="00282659">
        <w:t>lower than th</w:t>
      </w:r>
      <w:r>
        <w:t xml:space="preserve">e </w:t>
      </w:r>
      <w:r w:rsidRPr="00282659">
        <w:t>other groups, at 55.</w:t>
      </w:r>
      <w:r>
        <w:t>5</w:t>
      </w:r>
      <w:r w:rsidRPr="00282659">
        <w:t>%</w:t>
      </w:r>
      <w:r>
        <w:t xml:space="preserve"> </w:t>
      </w:r>
      <w:r w:rsidRPr="00FD7517">
        <w:t>(</w:t>
      </w:r>
      <w:r w:rsidR="00716699" w:rsidRPr="00716699">
        <w:t>Figure 9</w:t>
      </w:r>
      <w:r w:rsidRPr="00FD7517">
        <w:t>)</w:t>
      </w:r>
      <w:r w:rsidRPr="00342F89">
        <w:t>.</w:t>
      </w:r>
      <w:r>
        <w:t xml:space="preserve"> </w:t>
      </w:r>
    </w:p>
    <w:p w14:paraId="1CAF1A7E" w14:textId="77777777" w:rsidR="001C6487" w:rsidRPr="00177D7B" w:rsidRDefault="001C6487" w:rsidP="001C6487">
      <w:pPr>
        <w:spacing w:after="160" w:line="259" w:lineRule="auto"/>
        <w:rPr>
          <w:highlight w:val="magenta"/>
        </w:rPr>
      </w:pPr>
      <w:r>
        <w:t>The applicants per vacancy metrics remained generally unchanged over the quarter for skill level groups but were much higher than 12 months ago.</w:t>
      </w:r>
      <w:r w:rsidRPr="00F904C3">
        <w:rPr>
          <w:rStyle w:val="FootnoteReference"/>
        </w:rPr>
        <w:footnoteReference w:id="11"/>
      </w:r>
    </w:p>
    <w:p w14:paraId="6C3620F4" w14:textId="61C4DDBB" w:rsidR="00A13DAB" w:rsidRDefault="00F155D3" w:rsidP="00F155D3">
      <w:pPr>
        <w:pStyle w:val="Caption"/>
        <w:keepNext/>
        <w:keepLines/>
      </w:pPr>
      <w:bookmarkStart w:id="53" w:name="_Ref200454694"/>
      <w:r>
        <w:lastRenderedPageBreak/>
        <w:t xml:space="preserve">Figure </w:t>
      </w:r>
      <w:r>
        <w:fldChar w:fldCharType="begin"/>
      </w:r>
      <w:r>
        <w:instrText xml:space="preserve"> SEQ Figure \* ARABIC </w:instrText>
      </w:r>
      <w:r>
        <w:fldChar w:fldCharType="separate"/>
      </w:r>
      <w:r w:rsidR="00D80BB2">
        <w:rPr>
          <w:noProof/>
        </w:rPr>
        <w:t>9</w:t>
      </w:r>
      <w:r>
        <w:fldChar w:fldCharType="end"/>
      </w:r>
      <w:bookmarkEnd w:id="53"/>
      <w:r w:rsidRPr="00CA6F58">
        <w:t>: Fill rate</w:t>
      </w:r>
      <w:r w:rsidR="00DF0A1D">
        <w:t xml:space="preserve"> (%)</w:t>
      </w:r>
      <w:r w:rsidRPr="00CA6F58">
        <w:t>, by Skill Level, March quarter 2025</w:t>
      </w:r>
    </w:p>
    <w:p w14:paraId="57C26F44" w14:textId="5A8ADE00" w:rsidR="001C6487" w:rsidRPr="00526123" w:rsidRDefault="00526123" w:rsidP="00F60D04">
      <w:pPr>
        <w:pStyle w:val="Source"/>
        <w:rPr>
          <w:sz w:val="22"/>
          <w:szCs w:val="20"/>
        </w:rPr>
      </w:pPr>
      <w:r>
        <w:rPr>
          <w:noProof/>
        </w:rPr>
        <w:drawing>
          <wp:inline distT="0" distB="0" distL="0" distR="0" wp14:anchorId="6C8AA54E" wp14:editId="559BF6DF">
            <wp:extent cx="5732145" cy="2838450"/>
            <wp:effectExtent l="0" t="0" r="1905" b="0"/>
            <wp:docPr id="1926328529" name="Chart 1">
              <a:extLst xmlns:a="http://schemas.openxmlformats.org/drawingml/2006/main">
                <a:ext uri="{FF2B5EF4-FFF2-40B4-BE49-F238E27FC236}">
                  <a16:creationId xmlns:a16="http://schemas.microsoft.com/office/drawing/2014/main" id="{7F6E3A17-608C-4A17-A774-52A05BC63E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1C6487">
        <w:br/>
      </w:r>
      <w:r w:rsidR="001C6487" w:rsidRPr="006E48EE">
        <w:t>Source: Jobs and Skills Australia, SE</w:t>
      </w:r>
      <w:r w:rsidR="001C6487">
        <w:t>RA.</w:t>
      </w:r>
    </w:p>
    <w:p w14:paraId="64AC816A" w14:textId="0AB84B48" w:rsidR="00FE18D3" w:rsidRPr="00FE18D3" w:rsidRDefault="00FE18D3" w:rsidP="00FE18D3"/>
    <w:p w14:paraId="45304BDB" w14:textId="77777777" w:rsidR="007021D2" w:rsidRDefault="007021D2">
      <w:pPr>
        <w:spacing w:before="0" w:after="200" w:line="276" w:lineRule="auto"/>
        <w:rPr>
          <w:rFonts w:eastAsia="Times New Roman" w:cs="Arial"/>
          <w:b/>
          <w:bCs/>
          <w:color w:val="4B0985"/>
          <w:sz w:val="48"/>
          <w:szCs w:val="32"/>
          <w:lang w:eastAsia="en-AU"/>
        </w:rPr>
      </w:pPr>
      <w:bookmarkStart w:id="54" w:name="_Toc151365205"/>
      <w:bookmarkStart w:id="55" w:name="_Toc189205688"/>
      <w:bookmarkEnd w:id="43"/>
      <w:bookmarkEnd w:id="44"/>
      <w:bookmarkEnd w:id="45"/>
      <w:bookmarkEnd w:id="46"/>
      <w:r>
        <w:br w:type="page"/>
      </w:r>
    </w:p>
    <w:p w14:paraId="1DEA6EB1" w14:textId="26D14427" w:rsidR="00FE18D3" w:rsidRPr="002D355E" w:rsidRDefault="00FE18D3" w:rsidP="00FE18D3">
      <w:pPr>
        <w:pStyle w:val="Heading1"/>
      </w:pPr>
      <w:bookmarkStart w:id="56" w:name="_Toc201057862"/>
      <w:r w:rsidRPr="002D355E">
        <w:lastRenderedPageBreak/>
        <w:t>Jobs and Skills Australia resources</w:t>
      </w:r>
      <w:bookmarkStart w:id="57" w:name="_Hlk150771271"/>
      <w:bookmarkEnd w:id="54"/>
      <w:bookmarkEnd w:id="55"/>
      <w:bookmarkEnd w:id="56"/>
    </w:p>
    <w:p w14:paraId="722E7D06" w14:textId="1164682B" w:rsidR="00FE18D3" w:rsidRPr="002D355E" w:rsidRDefault="00FE18D3" w:rsidP="003428F2">
      <w:pPr>
        <w:pStyle w:val="BodyText"/>
      </w:pPr>
      <w:r w:rsidRPr="002D355E">
        <w:t xml:space="preserve">Key data, resources and reports can be found on the </w:t>
      </w:r>
      <w:hyperlink r:id="rId30" w:history="1">
        <w:r w:rsidRPr="00E27C44">
          <w:rPr>
            <w:rStyle w:val="Hyperlink"/>
          </w:rPr>
          <w:t>Jobs and Skills Australia</w:t>
        </w:r>
      </w:hyperlink>
      <w:r w:rsidRPr="002D355E">
        <w:t xml:space="preserve"> </w:t>
      </w:r>
      <w:r w:rsidR="00FB17D6" w:rsidRPr="002D355E">
        <w:t>website.</w:t>
      </w:r>
    </w:p>
    <w:tbl>
      <w:tblPr>
        <w:tblStyle w:val="CustomTableoption2"/>
        <w:tblW w:w="9006" w:type="dxa"/>
        <w:tblLayout w:type="fixed"/>
        <w:tblLook w:val="0420" w:firstRow="1" w:lastRow="0" w:firstColumn="0" w:lastColumn="0" w:noHBand="0" w:noVBand="1"/>
      </w:tblPr>
      <w:tblGrid>
        <w:gridCol w:w="4503"/>
        <w:gridCol w:w="4503"/>
      </w:tblGrid>
      <w:tr w:rsidR="00FE18D3" w:rsidRPr="002D355E" w14:paraId="1045266C" w14:textId="77777777" w:rsidTr="00E13720">
        <w:trPr>
          <w:cnfStyle w:val="100000000000" w:firstRow="1" w:lastRow="0" w:firstColumn="0" w:lastColumn="0" w:oddVBand="0" w:evenVBand="0" w:oddHBand="0" w:evenHBand="0" w:firstRowFirstColumn="0" w:firstRowLastColumn="0" w:lastRowFirstColumn="0" w:lastRowLastColumn="0"/>
          <w:trHeight w:val="400"/>
        </w:trPr>
        <w:tc>
          <w:tcPr>
            <w:tcW w:w="4503" w:type="dxa"/>
          </w:tcPr>
          <w:p w14:paraId="7C7F4A22" w14:textId="77777777" w:rsidR="00FE18D3" w:rsidRPr="00FE18D3" w:rsidRDefault="00FE18D3" w:rsidP="001A4FCA">
            <w:pPr>
              <w:pStyle w:val="TableHeading1"/>
            </w:pPr>
            <w:r w:rsidRPr="00FE18D3">
              <w:t>Resource</w:t>
            </w:r>
          </w:p>
        </w:tc>
        <w:tc>
          <w:tcPr>
            <w:tcW w:w="4503" w:type="dxa"/>
          </w:tcPr>
          <w:p w14:paraId="3A4BFD67" w14:textId="77777777" w:rsidR="00FE18D3" w:rsidRPr="00FE18D3" w:rsidRDefault="00FE18D3" w:rsidP="001A4FCA">
            <w:pPr>
              <w:pStyle w:val="TableHeading1"/>
            </w:pPr>
            <w:r w:rsidRPr="00FE18D3">
              <w:t>Publication notes</w:t>
            </w:r>
          </w:p>
        </w:tc>
      </w:tr>
      <w:tr w:rsidR="00FE18D3" w:rsidRPr="002D355E" w14:paraId="4205F86E" w14:textId="77777777" w:rsidTr="00E13720">
        <w:trPr>
          <w:trHeight w:val="400"/>
        </w:trPr>
        <w:tc>
          <w:tcPr>
            <w:tcW w:w="4503" w:type="dxa"/>
          </w:tcPr>
          <w:p w14:paraId="47DFB415" w14:textId="6CE91BBD" w:rsidR="00FE18D3" w:rsidRPr="00DC1338" w:rsidRDefault="00FE18D3" w:rsidP="001A4FCA">
            <w:pPr>
              <w:pStyle w:val="TableBodyText"/>
            </w:pPr>
            <w:hyperlink r:id="rId31" w:history="1">
              <w:r w:rsidRPr="00DC1338">
                <w:rPr>
                  <w:rStyle w:val="Hyperlink"/>
                </w:rPr>
                <w:t>Internet Vacancy Index</w:t>
              </w:r>
            </w:hyperlink>
            <w:r w:rsidRPr="00DC1338">
              <w:t xml:space="preserve"> </w:t>
            </w:r>
          </w:p>
          <w:p w14:paraId="6C0C61F8" w14:textId="77777777" w:rsidR="00FE18D3" w:rsidRPr="00DC1338" w:rsidRDefault="00FE18D3" w:rsidP="001A4FCA">
            <w:pPr>
              <w:pStyle w:val="TableBodyText"/>
            </w:pPr>
            <w:r w:rsidRPr="00DC1338">
              <w:t>The Internet Vacancy Index (IVI) is a monthly count of online job advertisements compiled by Jobs and Skills Australia.</w:t>
            </w:r>
          </w:p>
        </w:tc>
        <w:tc>
          <w:tcPr>
            <w:tcW w:w="4503" w:type="dxa"/>
          </w:tcPr>
          <w:p w14:paraId="321746DA" w14:textId="77777777" w:rsidR="00FE18D3" w:rsidRPr="00DC1338" w:rsidRDefault="00FE18D3" w:rsidP="001A4FCA">
            <w:pPr>
              <w:pStyle w:val="TableBodyText"/>
            </w:pPr>
            <w:r w:rsidRPr="00DC1338">
              <w:t>The Vacancy Report is published on the third Wednesday of the month.</w:t>
            </w:r>
          </w:p>
        </w:tc>
      </w:tr>
      <w:tr w:rsidR="00FE18D3" w:rsidRPr="002D355E" w14:paraId="06D7CA7D" w14:textId="77777777" w:rsidTr="00E13720">
        <w:trPr>
          <w:cnfStyle w:val="000000010000" w:firstRow="0" w:lastRow="0" w:firstColumn="0" w:lastColumn="0" w:oddVBand="0" w:evenVBand="0" w:oddHBand="0" w:evenHBand="1" w:firstRowFirstColumn="0" w:firstRowLastColumn="0" w:lastRowFirstColumn="0" w:lastRowLastColumn="0"/>
          <w:trHeight w:val="400"/>
        </w:trPr>
        <w:tc>
          <w:tcPr>
            <w:tcW w:w="4503" w:type="dxa"/>
          </w:tcPr>
          <w:p w14:paraId="7A1868A0" w14:textId="59862D4F" w:rsidR="00FE18D3" w:rsidRPr="00CA1680" w:rsidRDefault="00FE18D3" w:rsidP="001A4FCA">
            <w:pPr>
              <w:pStyle w:val="TableBodyText"/>
            </w:pPr>
            <w:hyperlink r:id="rId32" w:history="1">
              <w:r w:rsidRPr="00CA1680">
                <w:rPr>
                  <w:rStyle w:val="Hyperlink"/>
                </w:rPr>
                <w:t>Recruitment Experiences and Outlook Survey</w:t>
              </w:r>
            </w:hyperlink>
          </w:p>
          <w:p w14:paraId="1572CC12" w14:textId="25E955F7" w:rsidR="00FE18D3" w:rsidRPr="00CA1680" w:rsidRDefault="00FE18D3" w:rsidP="001A4FCA">
            <w:pPr>
              <w:pStyle w:val="TableBodyText"/>
            </w:pPr>
            <w:r w:rsidRPr="00CA1680">
              <w:t xml:space="preserve">Survey of </w:t>
            </w:r>
            <w:r w:rsidR="00DA1585">
              <w:t>around</w:t>
            </w:r>
            <w:r w:rsidRPr="00CA1680">
              <w:t xml:space="preserve"> 1000 employers each month to find out about their experience when recruiting staff.</w:t>
            </w:r>
          </w:p>
        </w:tc>
        <w:tc>
          <w:tcPr>
            <w:tcW w:w="4503" w:type="dxa"/>
          </w:tcPr>
          <w:p w14:paraId="700B9173" w14:textId="0393A4B9" w:rsidR="00FE18D3" w:rsidRPr="00CA1680" w:rsidRDefault="00FE18D3" w:rsidP="001A4FCA">
            <w:pPr>
              <w:pStyle w:val="TableBodyText"/>
            </w:pPr>
            <w:r w:rsidRPr="00CA1680">
              <w:t xml:space="preserve">The Recruitment Insights Report is published on the third Tuesday of the month, while special topic reports are published </w:t>
            </w:r>
            <w:r w:rsidR="00E46A44" w:rsidRPr="00CA1680">
              <w:t>on an ad-hoc basis</w:t>
            </w:r>
            <w:r w:rsidRPr="00CA1680">
              <w:t>.</w:t>
            </w:r>
          </w:p>
        </w:tc>
      </w:tr>
      <w:tr w:rsidR="00FE18D3" w:rsidRPr="002D355E" w14:paraId="30801970" w14:textId="77777777" w:rsidTr="00E13720">
        <w:trPr>
          <w:trHeight w:val="400"/>
        </w:trPr>
        <w:tc>
          <w:tcPr>
            <w:tcW w:w="4503" w:type="dxa"/>
          </w:tcPr>
          <w:p w14:paraId="1F7FCB7E" w14:textId="1158F4A2" w:rsidR="00FE18D3" w:rsidRPr="00652DB0" w:rsidRDefault="00A627B5" w:rsidP="001A4FCA">
            <w:pPr>
              <w:pStyle w:val="TableBodyText"/>
              <w:rPr>
                <w:rStyle w:val="Hyperlink"/>
              </w:rPr>
            </w:pPr>
            <w:r w:rsidRPr="00652DB0">
              <w:fldChar w:fldCharType="begin"/>
            </w:r>
            <w:r w:rsidR="00783204">
              <w:instrText>HYPERLINK "https://www.jobsandskills.gov.au/data/occupation-shortages-analysis"</w:instrText>
            </w:r>
            <w:r w:rsidRPr="00652DB0">
              <w:fldChar w:fldCharType="separate"/>
            </w:r>
            <w:r w:rsidR="00FE18D3" w:rsidRPr="00652DB0">
              <w:rPr>
                <w:rStyle w:val="Hyperlink"/>
              </w:rPr>
              <w:t>Occupation Shortages Analysis</w:t>
            </w:r>
          </w:p>
          <w:p w14:paraId="04AE6F74" w14:textId="1D8EF132" w:rsidR="00FE18D3" w:rsidRPr="00652DB0" w:rsidRDefault="00A627B5" w:rsidP="001A4FCA">
            <w:pPr>
              <w:pStyle w:val="TableBodyText"/>
            </w:pPr>
            <w:r w:rsidRPr="00652DB0">
              <w:fldChar w:fldCharType="end"/>
            </w:r>
            <w:r w:rsidR="00FE18D3" w:rsidRPr="00652DB0">
              <w:t xml:space="preserve">Occupation shortage analysis including the annual </w:t>
            </w:r>
            <w:hyperlink r:id="rId33" w:history="1">
              <w:r w:rsidR="00FE18D3" w:rsidRPr="00DA7476">
                <w:rPr>
                  <w:rStyle w:val="Hyperlink"/>
                </w:rPr>
                <w:t>Occupation Shortage List</w:t>
              </w:r>
            </w:hyperlink>
            <w:r w:rsidR="00FE18D3" w:rsidRPr="00652DB0">
              <w:t xml:space="preserve"> (OSL) and reports on occupation shortages.</w:t>
            </w:r>
          </w:p>
        </w:tc>
        <w:tc>
          <w:tcPr>
            <w:tcW w:w="4503" w:type="dxa"/>
          </w:tcPr>
          <w:p w14:paraId="32F65DFA" w14:textId="77777777" w:rsidR="00FE18D3" w:rsidRPr="00652DB0" w:rsidRDefault="00FE18D3" w:rsidP="001A4FCA">
            <w:pPr>
              <w:pStyle w:val="TableBodyText"/>
            </w:pPr>
            <w:r w:rsidRPr="00652DB0">
              <w:t>The OSL (previously the Skills Priority List) is released annually (around September), while the Occupation Shortage Quarterly provides quarterly insights.</w:t>
            </w:r>
          </w:p>
        </w:tc>
      </w:tr>
      <w:tr w:rsidR="00FE18D3" w:rsidRPr="002D355E" w14:paraId="10F9BA91" w14:textId="77777777" w:rsidTr="00E13720">
        <w:trPr>
          <w:cnfStyle w:val="000000010000" w:firstRow="0" w:lastRow="0" w:firstColumn="0" w:lastColumn="0" w:oddVBand="0" w:evenVBand="0" w:oddHBand="0" w:evenHBand="1" w:firstRowFirstColumn="0" w:firstRowLastColumn="0" w:lastRowFirstColumn="0" w:lastRowLastColumn="0"/>
          <w:trHeight w:val="415"/>
        </w:trPr>
        <w:tc>
          <w:tcPr>
            <w:tcW w:w="4503" w:type="dxa"/>
          </w:tcPr>
          <w:p w14:paraId="3D5C9A74" w14:textId="7C2C35A2" w:rsidR="00FE18D3" w:rsidRPr="000B487B" w:rsidRDefault="00FE18D3" w:rsidP="001A4FCA">
            <w:pPr>
              <w:pStyle w:val="TableBodyText"/>
              <w:rPr>
                <w:rStyle w:val="Hyperlink"/>
              </w:rPr>
            </w:pPr>
            <w:r w:rsidRPr="000B487B">
              <w:fldChar w:fldCharType="begin"/>
            </w:r>
            <w:r w:rsidRPr="000B487B">
              <w:instrText>HYPERLINK "https://www.jobsandskills.gov.au/data/small-area-labour-markets"</w:instrText>
            </w:r>
            <w:r w:rsidRPr="000B487B">
              <w:fldChar w:fldCharType="separate"/>
            </w:r>
            <w:r w:rsidRPr="000B487B">
              <w:rPr>
                <w:rStyle w:val="Hyperlink"/>
              </w:rPr>
              <w:t>Small Area Labour Markets (SALM)</w:t>
            </w:r>
          </w:p>
          <w:p w14:paraId="249E39E5" w14:textId="52230554" w:rsidR="00FE18D3" w:rsidRPr="000B487B" w:rsidRDefault="00FE18D3" w:rsidP="001A4FCA">
            <w:pPr>
              <w:pStyle w:val="TableBodyText"/>
            </w:pPr>
            <w:r w:rsidRPr="000B487B">
              <w:fldChar w:fldCharType="end"/>
            </w:r>
            <w:r w:rsidRPr="000B487B">
              <w:t xml:space="preserve">Estimates of unemployment and the unemployment rate at the Statistical Area </w:t>
            </w:r>
            <w:r w:rsidR="00F77CC7" w:rsidRPr="000B487B">
              <w:t>Level</w:t>
            </w:r>
            <w:r w:rsidR="00F77CC7">
              <w:t> </w:t>
            </w:r>
            <w:r w:rsidRPr="000B487B">
              <w:t>2 (SA2) and Local Government Area (LGA) level.</w:t>
            </w:r>
          </w:p>
        </w:tc>
        <w:tc>
          <w:tcPr>
            <w:tcW w:w="4503" w:type="dxa"/>
          </w:tcPr>
          <w:p w14:paraId="651FD34A" w14:textId="77777777" w:rsidR="00FE18D3" w:rsidRPr="000B487B" w:rsidRDefault="00FE18D3" w:rsidP="001A4FCA">
            <w:pPr>
              <w:pStyle w:val="TableBodyText"/>
            </w:pPr>
            <w:r w:rsidRPr="000B487B">
              <w:t>SALM data are released quarterly.</w:t>
            </w:r>
          </w:p>
        </w:tc>
      </w:tr>
      <w:tr w:rsidR="00FE18D3" w:rsidRPr="002D355E" w14:paraId="1DEBCE52" w14:textId="77777777" w:rsidTr="00E13720">
        <w:trPr>
          <w:trHeight w:val="400"/>
        </w:trPr>
        <w:tc>
          <w:tcPr>
            <w:tcW w:w="4503" w:type="dxa"/>
          </w:tcPr>
          <w:p w14:paraId="577709BE" w14:textId="2CB27624" w:rsidR="00FE18D3" w:rsidRPr="00FE18D3" w:rsidRDefault="00FE18D3" w:rsidP="001A4FCA">
            <w:pPr>
              <w:pStyle w:val="TableBodyText"/>
            </w:pPr>
            <w:hyperlink r:id="rId34" w:history="1">
              <w:r w:rsidRPr="00FE18D3">
                <w:rPr>
                  <w:rStyle w:val="Hyperlink"/>
                </w:rPr>
                <w:t>Jobs and Skills Atlas</w:t>
              </w:r>
            </w:hyperlink>
          </w:p>
          <w:p w14:paraId="0CBD994A" w14:textId="288570BD" w:rsidR="00FE18D3" w:rsidRPr="00FE18D3" w:rsidRDefault="00FE18D3" w:rsidP="001A4FCA">
            <w:pPr>
              <w:pStyle w:val="TableBodyText"/>
            </w:pPr>
            <w:r w:rsidRPr="00FE18D3">
              <w:t xml:space="preserve">Provides an overview of the labour market at national, </w:t>
            </w:r>
            <w:r w:rsidR="00C57662" w:rsidRPr="00FE18D3">
              <w:t>state,</w:t>
            </w:r>
            <w:r w:rsidRPr="00FE18D3">
              <w:t xml:space="preserve"> and regional level by occupations, </w:t>
            </w:r>
            <w:r w:rsidR="00C57662" w:rsidRPr="00FE18D3">
              <w:t>skills,</w:t>
            </w:r>
            <w:r w:rsidRPr="00FE18D3">
              <w:t xml:space="preserve"> and industries.</w:t>
            </w:r>
          </w:p>
        </w:tc>
        <w:tc>
          <w:tcPr>
            <w:tcW w:w="4503" w:type="dxa"/>
          </w:tcPr>
          <w:p w14:paraId="651957A8" w14:textId="2D2D4D46" w:rsidR="001C6487" w:rsidRPr="00DC1338" w:rsidRDefault="001C6487" w:rsidP="001C6487">
            <w:pPr>
              <w:rPr>
                <w:rFonts w:ascii="Aptos" w:hAnsi="Aptos"/>
                <w:sz w:val="20"/>
              </w:rPr>
            </w:pPr>
            <w:r w:rsidRPr="00DC1338">
              <w:rPr>
                <w:sz w:val="20"/>
              </w:rPr>
              <w:t>Atlas data has regular monthly updates; however different data sets have various availability based on frequency of updates from data custodians.</w:t>
            </w:r>
          </w:p>
          <w:p w14:paraId="60AE6880" w14:textId="25D2B021" w:rsidR="00FE18D3" w:rsidRPr="001C6487" w:rsidRDefault="00FE18D3" w:rsidP="001A4FCA">
            <w:pPr>
              <w:pStyle w:val="TableBodyText"/>
              <w:rPr>
                <w:szCs w:val="20"/>
              </w:rPr>
            </w:pPr>
          </w:p>
        </w:tc>
      </w:tr>
      <w:tr w:rsidR="00FE18D3" w:rsidRPr="002D355E" w14:paraId="1A1B6F95" w14:textId="77777777" w:rsidTr="00E13720">
        <w:trPr>
          <w:cnfStyle w:val="000000010000" w:firstRow="0" w:lastRow="0" w:firstColumn="0" w:lastColumn="0" w:oddVBand="0" w:evenVBand="0" w:oddHBand="0" w:evenHBand="1" w:firstRowFirstColumn="0" w:firstRowLastColumn="0" w:lastRowFirstColumn="0" w:lastRowLastColumn="0"/>
          <w:trHeight w:val="400"/>
        </w:trPr>
        <w:tc>
          <w:tcPr>
            <w:tcW w:w="4503" w:type="dxa"/>
          </w:tcPr>
          <w:p w14:paraId="7A56CEC4" w14:textId="2F944188" w:rsidR="00FE18D3" w:rsidRPr="0076650E" w:rsidRDefault="0076650E" w:rsidP="001A4FCA">
            <w:pPr>
              <w:pStyle w:val="TableBodyText"/>
              <w:rPr>
                <w:rStyle w:val="Hyperlink"/>
              </w:rPr>
            </w:pPr>
            <w:r>
              <w:fldChar w:fldCharType="begin"/>
            </w:r>
            <w:r>
              <w:instrText>HYPERLINK "https://www.jobsandskills.gov.au/data/employment-region-dashboards-and-profiles"</w:instrText>
            </w:r>
            <w:r>
              <w:fldChar w:fldCharType="separate"/>
            </w:r>
            <w:r w:rsidR="00FE18D3" w:rsidRPr="0076650E">
              <w:rPr>
                <w:rStyle w:val="Hyperlink"/>
              </w:rPr>
              <w:t>Employment Region Dashboards and Profile</w:t>
            </w:r>
            <w:r w:rsidR="00561FC8" w:rsidRPr="0076650E">
              <w:rPr>
                <w:rStyle w:val="Hyperlink"/>
              </w:rPr>
              <w:t>s</w:t>
            </w:r>
          </w:p>
          <w:p w14:paraId="6F473122" w14:textId="429E17AD" w:rsidR="00FE18D3" w:rsidRPr="00FE18D3" w:rsidRDefault="0076650E" w:rsidP="001A4FCA">
            <w:pPr>
              <w:pStyle w:val="TableBodyText"/>
            </w:pPr>
            <w:r>
              <w:fldChar w:fldCharType="end"/>
            </w:r>
            <w:r w:rsidR="00FE18D3" w:rsidRPr="00FE18D3">
              <w:t>Monthly Labour Market Dashboards, Recruitment Trends and Employer Needs Profiles, and Industry Profiles.</w:t>
            </w:r>
          </w:p>
        </w:tc>
        <w:tc>
          <w:tcPr>
            <w:tcW w:w="4503" w:type="dxa"/>
          </w:tcPr>
          <w:p w14:paraId="1934CFFA" w14:textId="77777777" w:rsidR="00FE18D3" w:rsidRPr="00FE18D3" w:rsidRDefault="00FE18D3" w:rsidP="001A4FCA">
            <w:pPr>
              <w:pStyle w:val="TableBodyText"/>
            </w:pPr>
          </w:p>
        </w:tc>
      </w:tr>
      <w:tr w:rsidR="00FE18D3" w:rsidRPr="002D355E" w14:paraId="340253C8" w14:textId="77777777" w:rsidTr="00E13720">
        <w:trPr>
          <w:trHeight w:val="400"/>
        </w:trPr>
        <w:tc>
          <w:tcPr>
            <w:tcW w:w="4503" w:type="dxa"/>
          </w:tcPr>
          <w:p w14:paraId="29945EBA" w14:textId="4837580B" w:rsidR="00FE18D3" w:rsidRPr="00DC1338" w:rsidRDefault="00FE18D3" w:rsidP="001A4FCA">
            <w:pPr>
              <w:pStyle w:val="TableBodyText"/>
            </w:pPr>
            <w:hyperlink r:id="rId35" w:history="1">
              <w:r w:rsidRPr="00DC1338">
                <w:rPr>
                  <w:rStyle w:val="Hyperlink"/>
                </w:rPr>
                <w:t>Nowcast of Employment Region and Occupation (NERO)</w:t>
              </w:r>
            </w:hyperlink>
          </w:p>
          <w:p w14:paraId="3C02D6DE" w14:textId="77777777" w:rsidR="00FE18D3" w:rsidRPr="00DC1338" w:rsidRDefault="00FE18D3" w:rsidP="001A4FCA">
            <w:pPr>
              <w:pStyle w:val="TableBodyText"/>
            </w:pPr>
            <w:r w:rsidRPr="00DC1338">
              <w:t>Experimental dataset providing information on employment in 355 occupations across 88 regions in Australia.</w:t>
            </w:r>
          </w:p>
        </w:tc>
        <w:tc>
          <w:tcPr>
            <w:tcW w:w="4503" w:type="dxa"/>
          </w:tcPr>
          <w:p w14:paraId="53F9DF8F" w14:textId="77777777" w:rsidR="00FE18D3" w:rsidRPr="00DC1338" w:rsidRDefault="00FE18D3" w:rsidP="001A4FCA">
            <w:pPr>
              <w:pStyle w:val="TableBodyText"/>
            </w:pPr>
            <w:r w:rsidRPr="00DC1338">
              <w:t>NERO data will be updated monthly.</w:t>
            </w:r>
          </w:p>
        </w:tc>
      </w:tr>
      <w:tr w:rsidR="00FE18D3" w:rsidRPr="00B93C08" w14:paraId="4BEF97E4" w14:textId="77777777" w:rsidTr="00E13720">
        <w:trPr>
          <w:cnfStyle w:val="000000010000" w:firstRow="0" w:lastRow="0" w:firstColumn="0" w:lastColumn="0" w:oddVBand="0" w:evenVBand="0" w:oddHBand="0" w:evenHBand="1" w:firstRowFirstColumn="0" w:firstRowLastColumn="0" w:lastRowFirstColumn="0" w:lastRowLastColumn="0"/>
          <w:trHeight w:val="400"/>
        </w:trPr>
        <w:tc>
          <w:tcPr>
            <w:tcW w:w="4503" w:type="dxa"/>
          </w:tcPr>
          <w:p w14:paraId="5854E989" w14:textId="1298F5FA" w:rsidR="00FE18D3" w:rsidRPr="00431EE0" w:rsidRDefault="00431EE0" w:rsidP="001A4FCA">
            <w:pPr>
              <w:pStyle w:val="TableBodyText"/>
              <w:rPr>
                <w:rStyle w:val="Hyperlink"/>
              </w:rPr>
            </w:pPr>
            <w:r>
              <w:fldChar w:fldCharType="begin"/>
            </w:r>
            <w:r>
              <w:instrText>HYPERLINK "https://www.jobsandskills.gov.au/publications/international-labour-market-update-may-2025"</w:instrText>
            </w:r>
            <w:r>
              <w:fldChar w:fldCharType="separate"/>
            </w:r>
            <w:r w:rsidR="00FE18D3" w:rsidRPr="00431EE0">
              <w:rPr>
                <w:rStyle w:val="Hyperlink"/>
              </w:rPr>
              <w:t>International Labour Market Update</w:t>
            </w:r>
          </w:p>
          <w:p w14:paraId="4C900A5B" w14:textId="4C4FF27E" w:rsidR="00FE18D3" w:rsidRPr="00FE18D3" w:rsidRDefault="00431EE0" w:rsidP="001A4FCA">
            <w:pPr>
              <w:pStyle w:val="TableBodyText"/>
            </w:pPr>
            <w:r>
              <w:fldChar w:fldCharType="end"/>
            </w:r>
            <w:r w:rsidR="00FE18D3" w:rsidRPr="00FE18D3">
              <w:t>Provides key labour market data for Australia and selected overseas countries and country groups.</w:t>
            </w:r>
          </w:p>
        </w:tc>
        <w:tc>
          <w:tcPr>
            <w:tcW w:w="4503" w:type="dxa"/>
          </w:tcPr>
          <w:p w14:paraId="4CEA19E1" w14:textId="3EFE0917" w:rsidR="00FE18D3" w:rsidRPr="00FE18D3" w:rsidRDefault="00652DB0" w:rsidP="001A4FCA">
            <w:pPr>
              <w:pStyle w:val="TableBodyText"/>
            </w:pPr>
            <w:r>
              <w:t xml:space="preserve">Released on a quarterly basis. </w:t>
            </w:r>
          </w:p>
        </w:tc>
      </w:tr>
      <w:tr w:rsidR="002523F4" w:rsidRPr="00B93C08" w14:paraId="2F16FBB3" w14:textId="77777777" w:rsidTr="00E13720">
        <w:trPr>
          <w:trHeight w:val="400"/>
        </w:trPr>
        <w:tc>
          <w:tcPr>
            <w:tcW w:w="4503" w:type="dxa"/>
          </w:tcPr>
          <w:p w14:paraId="3DF4C69C" w14:textId="199CAE29" w:rsidR="002523F4" w:rsidRDefault="002523F4" w:rsidP="001A4FCA">
            <w:pPr>
              <w:pStyle w:val="TableBodyText"/>
            </w:pPr>
            <w:hyperlink r:id="rId36" w:history="1">
              <w:r w:rsidRPr="00431EE0">
                <w:rPr>
                  <w:rStyle w:val="Hyperlink"/>
                </w:rPr>
                <w:t>Australian Labour Market for Migrants</w:t>
              </w:r>
            </w:hyperlink>
            <w:r w:rsidR="00785E09">
              <w:t xml:space="preserve"> </w:t>
            </w:r>
          </w:p>
          <w:p w14:paraId="40C629B7" w14:textId="0794D613" w:rsidR="002523F4" w:rsidRDefault="002523F4" w:rsidP="001A4FCA">
            <w:pPr>
              <w:pStyle w:val="TableBodyText"/>
            </w:pPr>
            <w:r>
              <w:t>P</w:t>
            </w:r>
            <w:r w:rsidRPr="002523F4">
              <w:t>rovides information on Australian labour market conditions</w:t>
            </w:r>
            <w:r>
              <w:t xml:space="preserve"> to</w:t>
            </w:r>
            <w:r w:rsidRPr="002523F4">
              <w:t xml:space="preserve"> inform people interested in working in Australia on a temporary or permanent basis, and to organisations providing services to migrants and visa applicants.</w:t>
            </w:r>
          </w:p>
        </w:tc>
        <w:tc>
          <w:tcPr>
            <w:tcW w:w="4503" w:type="dxa"/>
          </w:tcPr>
          <w:p w14:paraId="0D3B1811" w14:textId="4D6FEE7F" w:rsidR="002523F4" w:rsidRPr="00FE18D3" w:rsidRDefault="00691036" w:rsidP="001A4FCA">
            <w:pPr>
              <w:pStyle w:val="TableBodyText"/>
            </w:pPr>
            <w:r>
              <w:t>Released on a quarterly basis.</w:t>
            </w:r>
          </w:p>
        </w:tc>
      </w:tr>
    </w:tbl>
    <w:p w14:paraId="50F87139" w14:textId="1ED3777F" w:rsidR="00F81633" w:rsidRDefault="00F81633" w:rsidP="0014669D">
      <w:pPr>
        <w:pStyle w:val="BodyText"/>
      </w:pPr>
      <w:bookmarkStart w:id="58" w:name="_Appendix"/>
      <w:bookmarkStart w:id="59" w:name="_Appendix_A"/>
      <w:bookmarkEnd w:id="57"/>
      <w:bookmarkEnd w:id="58"/>
      <w:bookmarkEnd w:id="59"/>
    </w:p>
    <w:sectPr w:rsidR="00F81633" w:rsidSect="000F5CD2">
      <w:footerReference w:type="first" r:id="rId37"/>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F55E" w14:textId="77777777" w:rsidR="000C2623" w:rsidRDefault="000C2623" w:rsidP="00E12845">
      <w:pPr>
        <w:spacing w:before="0" w:after="0"/>
      </w:pPr>
      <w:r>
        <w:separator/>
      </w:r>
    </w:p>
  </w:endnote>
  <w:endnote w:type="continuationSeparator" w:id="0">
    <w:p w14:paraId="1766BBC5" w14:textId="77777777" w:rsidR="000C2623" w:rsidRDefault="000C2623" w:rsidP="00E12845">
      <w:pPr>
        <w:spacing w:before="0" w:after="0"/>
      </w:pPr>
      <w:r>
        <w:continuationSeparator/>
      </w:r>
    </w:p>
  </w:endnote>
  <w:endnote w:type="continuationNotice" w:id="1">
    <w:p w14:paraId="7BA9D31F" w14:textId="77777777" w:rsidR="000C2623" w:rsidRDefault="000C26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45585BBD" w14:textId="72257420" w:rsidR="00BA4D1C" w:rsidRDefault="00BA4D1C">
        <w:pPr>
          <w:pStyle w:val="Footer"/>
        </w:pPr>
        <w:r w:rsidRPr="00835A0D">
          <w:t>Jobs and Skills Australia –</w:t>
        </w:r>
        <w:r>
          <w:t xml:space="preserve"> </w:t>
        </w:r>
        <w:fldSimple w:instr=" STYLEREF  Title  \* MERGEFORMAT ">
          <w:r w:rsidR="00D80BB2">
            <w:rPr>
              <w:noProof/>
            </w:rPr>
            <w:t>Labour Market Update</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31B20BFA" w14:textId="5780D2F7" w:rsidR="000F5CD2" w:rsidRDefault="00177D7B">
        <w:pPr>
          <w:pStyle w:val="Footer"/>
        </w:pPr>
        <w:r w:rsidRPr="00B93C08">
          <w:t>Jobs and Skills Australia – Labour Market Update</w:t>
        </w:r>
        <w:r w:rsidR="000F5CD2">
          <w:tab/>
        </w:r>
        <w:r w:rsidR="000F5CD2">
          <w:fldChar w:fldCharType="begin"/>
        </w:r>
        <w:r w:rsidR="000F5CD2">
          <w:instrText xml:space="preserve"> PAGE   \* MERGEFORMAT </w:instrText>
        </w:r>
        <w:r w:rsidR="000F5CD2">
          <w:fldChar w:fldCharType="separate"/>
        </w:r>
        <w:r w:rsidR="000F5CD2">
          <w:t>2</w:t>
        </w:r>
        <w:r w:rsidR="000F5CD2">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25E3B0BA" w14:textId="24794374" w:rsidR="00A67B12" w:rsidRPr="00576BAF" w:rsidRDefault="00177D7B" w:rsidP="00576BAF">
        <w:pPr>
          <w:pStyle w:val="Footer"/>
        </w:pPr>
        <w:r w:rsidRPr="00B93C08">
          <w:t>Jobs and Skills Australia – Labour Market Update</w:t>
        </w:r>
        <w:r w:rsidR="00A67B12">
          <w:tab/>
        </w:r>
        <w:r w:rsidR="00A67B12">
          <w:fldChar w:fldCharType="begin"/>
        </w:r>
        <w:r w:rsidR="00A67B12">
          <w:instrText xml:space="preserve"> PAGE   \* MERGEFORMAT </w:instrText>
        </w:r>
        <w:r w:rsidR="00A67B12">
          <w:fldChar w:fldCharType="separate"/>
        </w:r>
        <w:r w:rsidR="00A67B12">
          <w:t>3</w:t>
        </w:r>
        <w:r w:rsidR="00A67B12">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4A6D"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EB67" w14:textId="77777777" w:rsidR="000C2623" w:rsidRDefault="000C2623" w:rsidP="00E12845">
      <w:pPr>
        <w:spacing w:before="0" w:after="0"/>
      </w:pPr>
      <w:r>
        <w:separator/>
      </w:r>
    </w:p>
  </w:footnote>
  <w:footnote w:type="continuationSeparator" w:id="0">
    <w:p w14:paraId="52222E97" w14:textId="77777777" w:rsidR="000C2623" w:rsidRDefault="000C2623" w:rsidP="00E12845">
      <w:pPr>
        <w:spacing w:before="0" w:after="0"/>
      </w:pPr>
      <w:r>
        <w:continuationSeparator/>
      </w:r>
    </w:p>
  </w:footnote>
  <w:footnote w:type="continuationNotice" w:id="1">
    <w:p w14:paraId="464C0A54" w14:textId="77777777" w:rsidR="000C2623" w:rsidRDefault="000C2623">
      <w:pPr>
        <w:spacing w:before="0" w:after="0"/>
      </w:pPr>
    </w:p>
  </w:footnote>
  <w:footnote w:id="2">
    <w:p w14:paraId="3434BD00" w14:textId="77777777" w:rsidR="000B487B" w:rsidRDefault="000B487B" w:rsidP="000B487B">
      <w:pPr>
        <w:pStyle w:val="FootnoteText"/>
      </w:pPr>
      <w:r>
        <w:rPr>
          <w:rStyle w:val="FootnoteReference"/>
        </w:rPr>
        <w:footnoteRef/>
      </w:r>
      <w:r>
        <w:t xml:space="preserve"> </w:t>
      </w:r>
      <w:r w:rsidRPr="00522F51">
        <w:t>It is important to note, however, that regional data (unlike labour force estimates for Australia and the states and territories</w:t>
      </w:r>
      <w:r>
        <w:t>)</w:t>
      </w:r>
      <w:r w:rsidRPr="00522F51">
        <w:t xml:space="preserve"> are not adjusted for seasonal variations</w:t>
      </w:r>
      <w:r>
        <w:t xml:space="preserve">. </w:t>
      </w:r>
      <w:r w:rsidRPr="009A5E74">
        <w:t>Due to the impact of seasonal variations,</w:t>
      </w:r>
      <w:r>
        <w:t xml:space="preserve"> a</w:t>
      </w:r>
      <w:r w:rsidRPr="009A5E74">
        <w:t>nnual changes</w:t>
      </w:r>
      <w:r>
        <w:t xml:space="preserve"> can</w:t>
      </w:r>
      <w:r w:rsidRPr="009A5E74">
        <w:t xml:space="preserve"> provide a more accurate reflection of </w:t>
      </w:r>
      <w:r>
        <w:t xml:space="preserve">labour market </w:t>
      </w:r>
      <w:r w:rsidRPr="009A5E74">
        <w:t>conditions</w:t>
      </w:r>
      <w:r>
        <w:t xml:space="preserve"> at the regional level.</w:t>
      </w:r>
    </w:p>
  </w:footnote>
  <w:footnote w:id="3">
    <w:p w14:paraId="3FBA268F" w14:textId="77777777" w:rsidR="005E4D08" w:rsidRDefault="005E4D08" w:rsidP="005E4D08">
      <w:pPr>
        <w:pStyle w:val="FootnoteText"/>
      </w:pPr>
      <w:r>
        <w:rPr>
          <w:rStyle w:val="FootnoteReference"/>
        </w:rPr>
        <w:footnoteRef/>
      </w:r>
      <w:r>
        <w:t xml:space="preserve"> </w:t>
      </w:r>
      <w:r w:rsidRPr="000152C8">
        <w:rPr>
          <w:szCs w:val="18"/>
        </w:rPr>
        <w:t xml:space="preserve">The industry, occupation and skill level employment data in the analysis below are sourced from ABS, Labour Force, Australia, Detailed, </w:t>
      </w:r>
      <w:r>
        <w:rPr>
          <w:szCs w:val="18"/>
        </w:rPr>
        <w:t>February 2025</w:t>
      </w:r>
      <w:r w:rsidRPr="000152C8">
        <w:rPr>
          <w:szCs w:val="18"/>
        </w:rPr>
        <w:t xml:space="preserve"> and trended by Jobs and Skills Australia, while total employment data have been trended by the ABS.</w:t>
      </w:r>
    </w:p>
  </w:footnote>
  <w:footnote w:id="4">
    <w:p w14:paraId="63660B5F" w14:textId="77777777" w:rsidR="005E4D08" w:rsidRPr="00B93C08" w:rsidRDefault="005E4D08" w:rsidP="005E4D08">
      <w:pPr>
        <w:pStyle w:val="FootnoteText"/>
        <w:rPr>
          <w:szCs w:val="18"/>
        </w:rPr>
      </w:pPr>
      <w:r w:rsidRPr="00E8129A">
        <w:rPr>
          <w:rStyle w:val="FootnoteReference"/>
          <w:szCs w:val="18"/>
        </w:rPr>
        <w:footnoteRef/>
      </w:r>
      <w:r w:rsidRPr="00E8129A">
        <w:rPr>
          <w:szCs w:val="18"/>
        </w:rPr>
        <w:t xml:space="preserve"> </w:t>
      </w:r>
      <w:r w:rsidRPr="000152C8">
        <w:rPr>
          <w:szCs w:val="18"/>
        </w:rPr>
        <w:t>Occupation group data are trended by Jobs and Skills Australia. Total employment data are trended by the ABS. Jobs and Skills Australia and ABS use</w:t>
      </w:r>
      <w:r>
        <w:rPr>
          <w:szCs w:val="18"/>
        </w:rPr>
        <w:t xml:space="preserve"> different</w:t>
      </w:r>
      <w:r w:rsidRPr="000152C8">
        <w:rPr>
          <w:szCs w:val="18"/>
        </w:rPr>
        <w:t xml:space="preserve"> trending methodologies, and occupation group data do not sum to total employment figures.</w:t>
      </w:r>
    </w:p>
  </w:footnote>
  <w:footnote w:id="5">
    <w:p w14:paraId="5CCF2A08" w14:textId="53D29FF7" w:rsidR="005E4D08" w:rsidRDefault="005E4D08" w:rsidP="005E4D08">
      <w:pPr>
        <w:pStyle w:val="FootnoteText"/>
      </w:pPr>
      <w:r w:rsidRPr="000152C8">
        <w:rPr>
          <w:rStyle w:val="FootnoteReference"/>
          <w:szCs w:val="18"/>
        </w:rPr>
        <w:footnoteRef/>
      </w:r>
      <w:r w:rsidRPr="000152C8">
        <w:rPr>
          <w:szCs w:val="18"/>
        </w:rPr>
        <w:t xml:space="preserve"> Skill </w:t>
      </w:r>
      <w:r w:rsidR="00A26FC6">
        <w:rPr>
          <w:szCs w:val="18"/>
        </w:rPr>
        <w:t>L</w:t>
      </w:r>
      <w:r w:rsidRPr="000152C8">
        <w:rPr>
          <w:szCs w:val="18"/>
        </w:rPr>
        <w:t xml:space="preserve">evel 1 occupations are commensurate with a Bachelor Degree or higher; </w:t>
      </w:r>
      <w:r>
        <w:rPr>
          <w:szCs w:val="18"/>
        </w:rPr>
        <w:t>S</w:t>
      </w:r>
      <w:r w:rsidRPr="000152C8">
        <w:rPr>
          <w:szCs w:val="18"/>
        </w:rPr>
        <w:t xml:space="preserve">kill </w:t>
      </w:r>
      <w:r>
        <w:rPr>
          <w:szCs w:val="18"/>
        </w:rPr>
        <w:t>L</w:t>
      </w:r>
      <w:r w:rsidRPr="000152C8">
        <w:rPr>
          <w:szCs w:val="18"/>
        </w:rPr>
        <w:t xml:space="preserve">evel 2 occupations are commensurate with an Advanced Diploma or Diploma; </w:t>
      </w:r>
      <w:r>
        <w:rPr>
          <w:szCs w:val="18"/>
        </w:rPr>
        <w:t>S</w:t>
      </w:r>
      <w:r w:rsidRPr="000152C8">
        <w:rPr>
          <w:szCs w:val="18"/>
        </w:rPr>
        <w:t xml:space="preserve">kill </w:t>
      </w:r>
      <w:r>
        <w:rPr>
          <w:szCs w:val="18"/>
        </w:rPr>
        <w:t>L</w:t>
      </w:r>
      <w:r w:rsidRPr="000152C8">
        <w:rPr>
          <w:szCs w:val="18"/>
        </w:rPr>
        <w:t xml:space="preserve">evel 3 occupations are commensurate with a Certificate IV or III; </w:t>
      </w:r>
      <w:r>
        <w:rPr>
          <w:szCs w:val="18"/>
        </w:rPr>
        <w:t>S</w:t>
      </w:r>
      <w:r w:rsidRPr="000152C8">
        <w:rPr>
          <w:szCs w:val="18"/>
        </w:rPr>
        <w:t xml:space="preserve">kill </w:t>
      </w:r>
      <w:r>
        <w:rPr>
          <w:szCs w:val="18"/>
        </w:rPr>
        <w:t>L</w:t>
      </w:r>
      <w:r w:rsidRPr="000152C8">
        <w:rPr>
          <w:szCs w:val="18"/>
        </w:rPr>
        <w:t xml:space="preserve">evel 4 occupations are commensurate with a Certificate ll or lll; and </w:t>
      </w:r>
      <w:r>
        <w:rPr>
          <w:szCs w:val="18"/>
        </w:rPr>
        <w:t>S</w:t>
      </w:r>
      <w:r w:rsidRPr="000152C8">
        <w:rPr>
          <w:szCs w:val="18"/>
        </w:rPr>
        <w:t xml:space="preserve">kill </w:t>
      </w:r>
      <w:r>
        <w:rPr>
          <w:szCs w:val="18"/>
        </w:rPr>
        <w:t>L</w:t>
      </w:r>
      <w:r w:rsidRPr="000152C8">
        <w:rPr>
          <w:szCs w:val="18"/>
        </w:rPr>
        <w:t xml:space="preserve">evel 5 </w:t>
      </w:r>
      <w:r>
        <w:rPr>
          <w:szCs w:val="18"/>
        </w:rPr>
        <w:t xml:space="preserve">occupations </w:t>
      </w:r>
      <w:r w:rsidRPr="000152C8">
        <w:rPr>
          <w:szCs w:val="18"/>
        </w:rPr>
        <w:t>are commensurate with a Certificate I or secondary education.</w:t>
      </w:r>
    </w:p>
  </w:footnote>
  <w:footnote w:id="6">
    <w:p w14:paraId="128C4BAD" w14:textId="77777777" w:rsidR="005E4D08" w:rsidRPr="00B93C08" w:rsidRDefault="005E4D08" w:rsidP="005E4D08">
      <w:pPr>
        <w:pStyle w:val="FootnoteText"/>
        <w:rPr>
          <w:szCs w:val="18"/>
        </w:rPr>
      </w:pPr>
      <w:r w:rsidRPr="00B93C08">
        <w:rPr>
          <w:rStyle w:val="FootnoteReference"/>
          <w:szCs w:val="18"/>
        </w:rPr>
        <w:footnoteRef/>
      </w:r>
      <w:r w:rsidRPr="00B93C08">
        <w:rPr>
          <w:szCs w:val="18"/>
        </w:rPr>
        <w:t xml:space="preserve"> </w:t>
      </w:r>
      <w:r>
        <w:rPr>
          <w:szCs w:val="18"/>
        </w:rPr>
        <w:t>Skill Level</w:t>
      </w:r>
      <w:r w:rsidRPr="000152C8">
        <w:rPr>
          <w:szCs w:val="18"/>
        </w:rPr>
        <w:t xml:space="preserve"> data are trended by Jobs and Skills Australia. Total employment data are trended by the ABS. Jobs and Skills Australia and ABS use different trending methodologies, and Skill Level data do not sum to total employment figures.</w:t>
      </w:r>
    </w:p>
  </w:footnote>
  <w:footnote w:id="7">
    <w:p w14:paraId="407C9EAE" w14:textId="77777777" w:rsidR="00C43246" w:rsidRDefault="00C43246" w:rsidP="00C43246">
      <w:pPr>
        <w:pStyle w:val="FootnoteText"/>
      </w:pPr>
      <w:r>
        <w:rPr>
          <w:rStyle w:val="FootnoteReference"/>
        </w:rPr>
        <w:footnoteRef/>
      </w:r>
      <w:r>
        <w:t xml:space="preserve"> </w:t>
      </w:r>
      <w:r w:rsidRPr="00393E63">
        <w:rPr>
          <w:szCs w:val="18"/>
        </w:rPr>
        <w:t>The percentage of recruiting employers who report they found it difficult to fill a vacancy.</w:t>
      </w:r>
    </w:p>
  </w:footnote>
  <w:footnote w:id="8">
    <w:p w14:paraId="14251179" w14:textId="77777777" w:rsidR="00CA1680" w:rsidRDefault="00CA1680" w:rsidP="00CA1680">
      <w:pPr>
        <w:pStyle w:val="FootnoteText"/>
      </w:pPr>
      <w:r>
        <w:rPr>
          <w:rStyle w:val="FootnoteReference"/>
        </w:rPr>
        <w:footnoteRef/>
      </w:r>
      <w:r>
        <w:t xml:space="preserve"> </w:t>
      </w:r>
      <w:r w:rsidRPr="000152C8">
        <w:rPr>
          <w:szCs w:val="18"/>
        </w:rPr>
        <w:t>Remoteness classifications from A</w:t>
      </w:r>
      <w:r>
        <w:rPr>
          <w:szCs w:val="18"/>
        </w:rPr>
        <w:t>BS</w:t>
      </w:r>
      <w:r w:rsidRPr="000152C8">
        <w:rPr>
          <w:szCs w:val="18"/>
        </w:rPr>
        <w:t>, Remoteness Areas, Australian Statistical Geography Standard (ASGS) Edition 3.</w:t>
      </w:r>
    </w:p>
  </w:footnote>
  <w:footnote w:id="9">
    <w:p w14:paraId="01FB433C" w14:textId="77777777" w:rsidR="001C6487" w:rsidRDefault="001C6487" w:rsidP="001C6487">
      <w:pPr>
        <w:pStyle w:val="FootnoteText"/>
      </w:pPr>
      <w:r>
        <w:rPr>
          <w:rStyle w:val="FootnoteReference"/>
        </w:rPr>
        <w:footnoteRef/>
      </w:r>
      <w:r>
        <w:t xml:space="preserve"> </w:t>
      </w:r>
      <w:r>
        <w:rPr>
          <w:sz w:val="16"/>
          <w:szCs w:val="16"/>
        </w:rPr>
        <w:t>Th</w:t>
      </w:r>
      <w:r w:rsidRPr="00FB0FB1">
        <w:rPr>
          <w:sz w:val="16"/>
          <w:szCs w:val="16"/>
        </w:rPr>
        <w:t xml:space="preserve">e fill rate and other metrics </w:t>
      </w:r>
      <w:r>
        <w:rPr>
          <w:sz w:val="16"/>
          <w:szCs w:val="16"/>
        </w:rPr>
        <w:t xml:space="preserve">in the table are based on a </w:t>
      </w:r>
      <w:r w:rsidRPr="00FB0FB1">
        <w:rPr>
          <w:sz w:val="16"/>
          <w:szCs w:val="16"/>
        </w:rPr>
        <w:t xml:space="preserve">12 month </w:t>
      </w:r>
      <w:r>
        <w:rPr>
          <w:sz w:val="16"/>
          <w:szCs w:val="16"/>
        </w:rPr>
        <w:t>moving average</w:t>
      </w:r>
      <w:r w:rsidRPr="00FB0FB1">
        <w:rPr>
          <w:sz w:val="16"/>
          <w:szCs w:val="16"/>
        </w:rPr>
        <w:t xml:space="preserve"> </w:t>
      </w:r>
      <w:r>
        <w:rPr>
          <w:sz w:val="16"/>
          <w:szCs w:val="16"/>
        </w:rPr>
        <w:t xml:space="preserve">up to the </w:t>
      </w:r>
      <w:r w:rsidRPr="00FB0FB1">
        <w:rPr>
          <w:sz w:val="16"/>
          <w:szCs w:val="16"/>
        </w:rPr>
        <w:t>latest quarter. Using a rolling annual period</w:t>
      </w:r>
      <w:r>
        <w:rPr>
          <w:sz w:val="16"/>
          <w:szCs w:val="16"/>
        </w:rPr>
        <w:t>,</w:t>
      </w:r>
      <w:r w:rsidRPr="00FB0FB1">
        <w:rPr>
          <w:sz w:val="16"/>
          <w:szCs w:val="16"/>
        </w:rPr>
        <w:t xml:space="preserve"> as opposed to the latest quarter itself</w:t>
      </w:r>
      <w:r>
        <w:rPr>
          <w:sz w:val="16"/>
          <w:szCs w:val="16"/>
        </w:rPr>
        <w:t>,</w:t>
      </w:r>
      <w:r w:rsidRPr="00FB0FB1">
        <w:rPr>
          <w:sz w:val="16"/>
          <w:szCs w:val="16"/>
        </w:rPr>
        <w:t xml:space="preserve"> removes the impact of data volatility.</w:t>
      </w:r>
    </w:p>
  </w:footnote>
  <w:footnote w:id="10">
    <w:p w14:paraId="1F4F13E4" w14:textId="2FF8E88B" w:rsidR="001C6487" w:rsidRPr="003B7746" w:rsidRDefault="001C6487" w:rsidP="001C6487">
      <w:pPr>
        <w:pStyle w:val="FootnoteText"/>
        <w:rPr>
          <w:sz w:val="16"/>
          <w:szCs w:val="16"/>
        </w:rPr>
      </w:pPr>
      <w:r>
        <w:rPr>
          <w:rStyle w:val="FootnoteReference"/>
        </w:rPr>
        <w:footnoteRef/>
      </w:r>
      <w:r>
        <w:t xml:space="preserve"> </w:t>
      </w:r>
      <w:r>
        <w:rPr>
          <w:sz w:val="16"/>
          <w:szCs w:val="16"/>
        </w:rPr>
        <w:t xml:space="preserve">Data presented in this report for the December quarter 2024 is slightly different to that reported for that period in </w:t>
      </w:r>
      <w:r w:rsidR="005136ED">
        <w:rPr>
          <w:sz w:val="16"/>
          <w:szCs w:val="16"/>
        </w:rPr>
        <w:t xml:space="preserve">the </w:t>
      </w:r>
      <w:r>
        <w:rPr>
          <w:sz w:val="16"/>
          <w:szCs w:val="16"/>
        </w:rPr>
        <w:t xml:space="preserve">previous December quarter 2024 publication. This is due to a change in the SERA methodology and inclusion of additional SERA data for the December quarter 2024. </w:t>
      </w:r>
    </w:p>
  </w:footnote>
  <w:footnote w:id="11">
    <w:p w14:paraId="37BAC30F" w14:textId="77777777" w:rsidR="001C6487" w:rsidRDefault="001C6487" w:rsidP="001C6487">
      <w:r w:rsidRPr="00BF2061">
        <w:rPr>
          <w:rStyle w:val="FootnoteReference"/>
          <w:color w:val="000000"/>
          <w:sz w:val="16"/>
          <w:szCs w:val="16"/>
        </w:rPr>
        <w:footnoteRef/>
      </w:r>
      <w:r>
        <w:t xml:space="preserve"> </w:t>
      </w:r>
      <w:r w:rsidRPr="00BF2061">
        <w:rPr>
          <w:color w:val="000000"/>
          <w:sz w:val="16"/>
          <w:szCs w:val="16"/>
        </w:rPr>
        <w:t>Skill Level 3 occupations are generally those with Vocational Education and Training as the primary pathway to the labour market. These occupations typically require a Certificate III/IV.</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9639" w14:textId="2608B6AF" w:rsidR="00A67B12" w:rsidRPr="0030592C" w:rsidRDefault="00A67B12" w:rsidP="00A67B12">
    <w:pPr>
      <w:pStyle w:val="Header"/>
    </w:pPr>
  </w:p>
  <w:p w14:paraId="250058C9"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ACD9"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0B2"/>
    <w:multiLevelType w:val="multilevel"/>
    <w:tmpl w:val="9F703E2E"/>
    <w:numStyleLink w:val="ListBulletmaster"/>
  </w:abstractNum>
  <w:abstractNum w:abstractNumId="1"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913431"/>
    <w:multiLevelType w:val="multilevel"/>
    <w:tmpl w:val="28F46D40"/>
    <w:numStyleLink w:val="ListNumbermaster"/>
  </w:abstractNum>
  <w:abstractNum w:abstractNumId="3"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695D78"/>
    <w:multiLevelType w:val="multilevel"/>
    <w:tmpl w:val="EAA2F742"/>
    <w:numStyleLink w:val="TableListNumbermaster"/>
  </w:abstractNum>
  <w:abstractNum w:abstractNumId="6"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0E4DE9"/>
    <w:multiLevelType w:val="multilevel"/>
    <w:tmpl w:val="56043EA4"/>
    <w:numStyleLink w:val="TableListBulletmaster"/>
  </w:abstractNum>
  <w:abstractNum w:abstractNumId="8"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B75813"/>
    <w:multiLevelType w:val="multilevel"/>
    <w:tmpl w:val="0D96AACA"/>
    <w:numStyleLink w:val="AppendixHeadingmaster"/>
  </w:abstractNum>
  <w:abstractNum w:abstractNumId="10" w15:restartNumberingAfterBreak="0">
    <w:nsid w:val="36FE67D6"/>
    <w:multiLevelType w:val="hybridMultilevel"/>
    <w:tmpl w:val="8398055E"/>
    <w:name w:val="ListBullets2"/>
    <w:lvl w:ilvl="0" w:tplc="0ED8DFAE">
      <w:start w:val="1"/>
      <w:numFmt w:val="bullet"/>
      <w:lvlText w:val="–"/>
      <w:lvlJc w:val="left"/>
      <w:pPr>
        <w:ind w:left="1060" w:hanging="360"/>
      </w:pPr>
      <w:rPr>
        <w:rFonts w:ascii="Arial Nova" w:hAnsi="Arial Nova"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3F031A"/>
    <w:multiLevelType w:val="multilevel"/>
    <w:tmpl w:val="A1224394"/>
    <w:numStyleLink w:val="ListLegalmaster"/>
  </w:abstractNum>
  <w:num w:numId="1" w16cid:durableId="328336156">
    <w:abstractNumId w:val="1"/>
  </w:num>
  <w:num w:numId="2" w16cid:durableId="290287643">
    <w:abstractNumId w:val="3"/>
  </w:num>
  <w:num w:numId="3" w16cid:durableId="1869679674">
    <w:abstractNumId w:val="13"/>
  </w:num>
  <w:num w:numId="4" w16cid:durableId="2032871560">
    <w:abstractNumId w:val="8"/>
  </w:num>
  <w:num w:numId="5" w16cid:durableId="310910324">
    <w:abstractNumId w:val="12"/>
  </w:num>
  <w:num w:numId="6" w16cid:durableId="753476416">
    <w:abstractNumId w:val="4"/>
  </w:num>
  <w:num w:numId="7" w16cid:durableId="1790736337">
    <w:abstractNumId w:val="11"/>
  </w:num>
  <w:num w:numId="8" w16cid:durableId="1926304350">
    <w:abstractNumId w:val="2"/>
  </w:num>
  <w:num w:numId="9" w16cid:durableId="107823657">
    <w:abstractNumId w:val="6"/>
  </w:num>
  <w:num w:numId="10" w16cid:durableId="2057582421">
    <w:abstractNumId w:val="14"/>
  </w:num>
  <w:num w:numId="11" w16cid:durableId="1320232845">
    <w:abstractNumId w:val="0"/>
  </w:num>
  <w:num w:numId="12" w16cid:durableId="1221482542">
    <w:abstractNumId w:val="7"/>
  </w:num>
  <w:num w:numId="13" w16cid:durableId="2087678997">
    <w:abstractNumId w:val="5"/>
  </w:num>
  <w:num w:numId="14" w16cid:durableId="1742405919">
    <w:abstractNumId w:val="9"/>
    <w:lvlOverride w:ilvl="0">
      <w:lvl w:ilvl="0">
        <w:start w:val="1"/>
        <w:numFmt w:val="upperLetter"/>
        <w:pStyle w:val="AppendixHeading1"/>
        <w:lvlText w:val="Appendix %1"/>
        <w:lvlJc w:val="left"/>
        <w:pPr>
          <w:ind w:left="2268" w:hanging="2268"/>
        </w:p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ocumentProtection w:formatting="1" w:enforcement="0"/>
  <w:defaultTabStop w:val="720"/>
  <w:defaultTableStyle w:val="CustomTable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0C629D"/>
    <w:rsid w:val="00000594"/>
    <w:rsid w:val="00001E29"/>
    <w:rsid w:val="00004687"/>
    <w:rsid w:val="00004789"/>
    <w:rsid w:val="00004F8C"/>
    <w:rsid w:val="00005ECE"/>
    <w:rsid w:val="00007A6B"/>
    <w:rsid w:val="00007C91"/>
    <w:rsid w:val="00010B4D"/>
    <w:rsid w:val="00010BC1"/>
    <w:rsid w:val="00011665"/>
    <w:rsid w:val="0001365E"/>
    <w:rsid w:val="00013D0A"/>
    <w:rsid w:val="000152E0"/>
    <w:rsid w:val="000159FB"/>
    <w:rsid w:val="00015EB6"/>
    <w:rsid w:val="00021086"/>
    <w:rsid w:val="0002213B"/>
    <w:rsid w:val="00022F9A"/>
    <w:rsid w:val="00023737"/>
    <w:rsid w:val="00023BE3"/>
    <w:rsid w:val="0002457D"/>
    <w:rsid w:val="00024691"/>
    <w:rsid w:val="000246A1"/>
    <w:rsid w:val="00026C42"/>
    <w:rsid w:val="0002738A"/>
    <w:rsid w:val="00030C09"/>
    <w:rsid w:val="0003161F"/>
    <w:rsid w:val="00032DAC"/>
    <w:rsid w:val="00034855"/>
    <w:rsid w:val="000348D9"/>
    <w:rsid w:val="0003492D"/>
    <w:rsid w:val="000362A7"/>
    <w:rsid w:val="00037FEF"/>
    <w:rsid w:val="00040873"/>
    <w:rsid w:val="000419F4"/>
    <w:rsid w:val="00041B44"/>
    <w:rsid w:val="0004223E"/>
    <w:rsid w:val="00043314"/>
    <w:rsid w:val="00044083"/>
    <w:rsid w:val="000442A6"/>
    <w:rsid w:val="0004497B"/>
    <w:rsid w:val="000458D0"/>
    <w:rsid w:val="00051941"/>
    <w:rsid w:val="0005371A"/>
    <w:rsid w:val="000561C0"/>
    <w:rsid w:val="00056FD1"/>
    <w:rsid w:val="00062B4C"/>
    <w:rsid w:val="000634AB"/>
    <w:rsid w:val="000639DC"/>
    <w:rsid w:val="00063B52"/>
    <w:rsid w:val="00064521"/>
    <w:rsid w:val="0006567E"/>
    <w:rsid w:val="00066B58"/>
    <w:rsid w:val="00066F3D"/>
    <w:rsid w:val="00067D62"/>
    <w:rsid w:val="0007259A"/>
    <w:rsid w:val="000733E0"/>
    <w:rsid w:val="0007538E"/>
    <w:rsid w:val="000758B0"/>
    <w:rsid w:val="000760CA"/>
    <w:rsid w:val="000803B6"/>
    <w:rsid w:val="000804F3"/>
    <w:rsid w:val="00081158"/>
    <w:rsid w:val="0008156B"/>
    <w:rsid w:val="0008202E"/>
    <w:rsid w:val="000828E6"/>
    <w:rsid w:val="00083CA2"/>
    <w:rsid w:val="00083D86"/>
    <w:rsid w:val="00085BF7"/>
    <w:rsid w:val="00085CAA"/>
    <w:rsid w:val="00087DC2"/>
    <w:rsid w:val="00090AF3"/>
    <w:rsid w:val="00093021"/>
    <w:rsid w:val="0009644B"/>
    <w:rsid w:val="00096924"/>
    <w:rsid w:val="00096EDD"/>
    <w:rsid w:val="00097C2B"/>
    <w:rsid w:val="000A24D7"/>
    <w:rsid w:val="000A4D2F"/>
    <w:rsid w:val="000A53F7"/>
    <w:rsid w:val="000A552D"/>
    <w:rsid w:val="000B3113"/>
    <w:rsid w:val="000B36DB"/>
    <w:rsid w:val="000B3B30"/>
    <w:rsid w:val="000B3EA0"/>
    <w:rsid w:val="000B43BB"/>
    <w:rsid w:val="000B487B"/>
    <w:rsid w:val="000B48F4"/>
    <w:rsid w:val="000B4AFA"/>
    <w:rsid w:val="000B5678"/>
    <w:rsid w:val="000B5CB2"/>
    <w:rsid w:val="000B6588"/>
    <w:rsid w:val="000B69E9"/>
    <w:rsid w:val="000B6B4C"/>
    <w:rsid w:val="000C2623"/>
    <w:rsid w:val="000C2F4D"/>
    <w:rsid w:val="000C3E1F"/>
    <w:rsid w:val="000C5376"/>
    <w:rsid w:val="000C5CC4"/>
    <w:rsid w:val="000C629D"/>
    <w:rsid w:val="000C6BC1"/>
    <w:rsid w:val="000C6EEB"/>
    <w:rsid w:val="000D02FA"/>
    <w:rsid w:val="000D16B6"/>
    <w:rsid w:val="000D481C"/>
    <w:rsid w:val="000D682B"/>
    <w:rsid w:val="000D6923"/>
    <w:rsid w:val="000D6CCA"/>
    <w:rsid w:val="000D799B"/>
    <w:rsid w:val="000E1B65"/>
    <w:rsid w:val="000E289B"/>
    <w:rsid w:val="000E482A"/>
    <w:rsid w:val="000E6B0B"/>
    <w:rsid w:val="000E7DA6"/>
    <w:rsid w:val="000F4F7A"/>
    <w:rsid w:val="000F5CD2"/>
    <w:rsid w:val="00100859"/>
    <w:rsid w:val="00100DC9"/>
    <w:rsid w:val="00102310"/>
    <w:rsid w:val="00102FA5"/>
    <w:rsid w:val="00104750"/>
    <w:rsid w:val="00104F02"/>
    <w:rsid w:val="001057A3"/>
    <w:rsid w:val="00106417"/>
    <w:rsid w:val="00106C3C"/>
    <w:rsid w:val="00106D2F"/>
    <w:rsid w:val="001134AC"/>
    <w:rsid w:val="00113513"/>
    <w:rsid w:val="00114589"/>
    <w:rsid w:val="00116311"/>
    <w:rsid w:val="00120909"/>
    <w:rsid w:val="00121950"/>
    <w:rsid w:val="001228F4"/>
    <w:rsid w:val="001250A4"/>
    <w:rsid w:val="00125A58"/>
    <w:rsid w:val="001279F3"/>
    <w:rsid w:val="00127F9F"/>
    <w:rsid w:val="00130090"/>
    <w:rsid w:val="001304E1"/>
    <w:rsid w:val="001317DB"/>
    <w:rsid w:val="00131C8E"/>
    <w:rsid w:val="001336B4"/>
    <w:rsid w:val="001338BB"/>
    <w:rsid w:val="00133F5B"/>
    <w:rsid w:val="001346AE"/>
    <w:rsid w:val="00137E20"/>
    <w:rsid w:val="0014078B"/>
    <w:rsid w:val="00144028"/>
    <w:rsid w:val="001444B2"/>
    <w:rsid w:val="001457F5"/>
    <w:rsid w:val="0014669D"/>
    <w:rsid w:val="00147883"/>
    <w:rsid w:val="00147F72"/>
    <w:rsid w:val="00154F08"/>
    <w:rsid w:val="001610A2"/>
    <w:rsid w:val="001646CD"/>
    <w:rsid w:val="00164E5E"/>
    <w:rsid w:val="001674D3"/>
    <w:rsid w:val="00172538"/>
    <w:rsid w:val="00172549"/>
    <w:rsid w:val="001727C2"/>
    <w:rsid w:val="00176E29"/>
    <w:rsid w:val="00177D7B"/>
    <w:rsid w:val="00177E2F"/>
    <w:rsid w:val="00177FC0"/>
    <w:rsid w:val="001803C2"/>
    <w:rsid w:val="00180EBC"/>
    <w:rsid w:val="00182455"/>
    <w:rsid w:val="00183E6D"/>
    <w:rsid w:val="0018409A"/>
    <w:rsid w:val="00186429"/>
    <w:rsid w:val="001867B8"/>
    <w:rsid w:val="001873F9"/>
    <w:rsid w:val="00190C54"/>
    <w:rsid w:val="001928F4"/>
    <w:rsid w:val="0019436D"/>
    <w:rsid w:val="00195DB4"/>
    <w:rsid w:val="00197019"/>
    <w:rsid w:val="001973FC"/>
    <w:rsid w:val="001A01D2"/>
    <w:rsid w:val="001A02B6"/>
    <w:rsid w:val="001A0F0D"/>
    <w:rsid w:val="001A287C"/>
    <w:rsid w:val="001A4FCA"/>
    <w:rsid w:val="001A5B58"/>
    <w:rsid w:val="001A670F"/>
    <w:rsid w:val="001A6CE7"/>
    <w:rsid w:val="001A6FE7"/>
    <w:rsid w:val="001A74BD"/>
    <w:rsid w:val="001A7584"/>
    <w:rsid w:val="001A7E36"/>
    <w:rsid w:val="001B44CC"/>
    <w:rsid w:val="001B64F8"/>
    <w:rsid w:val="001B790E"/>
    <w:rsid w:val="001C1CF7"/>
    <w:rsid w:val="001C2CF5"/>
    <w:rsid w:val="001C4183"/>
    <w:rsid w:val="001C441D"/>
    <w:rsid w:val="001C4AB1"/>
    <w:rsid w:val="001C4E1F"/>
    <w:rsid w:val="001C5196"/>
    <w:rsid w:val="001C570B"/>
    <w:rsid w:val="001C6487"/>
    <w:rsid w:val="001C76CD"/>
    <w:rsid w:val="001D0A0B"/>
    <w:rsid w:val="001D1E20"/>
    <w:rsid w:val="001D3759"/>
    <w:rsid w:val="001D4345"/>
    <w:rsid w:val="001D450D"/>
    <w:rsid w:val="001D4C98"/>
    <w:rsid w:val="001D519D"/>
    <w:rsid w:val="001D62BE"/>
    <w:rsid w:val="001D7A6A"/>
    <w:rsid w:val="001E0BDF"/>
    <w:rsid w:val="001E1E9F"/>
    <w:rsid w:val="001E5529"/>
    <w:rsid w:val="001E6449"/>
    <w:rsid w:val="001F00AA"/>
    <w:rsid w:val="001F242B"/>
    <w:rsid w:val="001F45A9"/>
    <w:rsid w:val="001F4960"/>
    <w:rsid w:val="001F60C9"/>
    <w:rsid w:val="001F6ACD"/>
    <w:rsid w:val="001F6D1F"/>
    <w:rsid w:val="001F74AB"/>
    <w:rsid w:val="001F7E2E"/>
    <w:rsid w:val="00200E7E"/>
    <w:rsid w:val="0020139C"/>
    <w:rsid w:val="0020248C"/>
    <w:rsid w:val="0020387B"/>
    <w:rsid w:val="00203BC1"/>
    <w:rsid w:val="002054E8"/>
    <w:rsid w:val="00207CE3"/>
    <w:rsid w:val="0021066A"/>
    <w:rsid w:val="002108C7"/>
    <w:rsid w:val="00211E42"/>
    <w:rsid w:val="002120B7"/>
    <w:rsid w:val="002148F8"/>
    <w:rsid w:val="0021561F"/>
    <w:rsid w:val="0021737D"/>
    <w:rsid w:val="002212AC"/>
    <w:rsid w:val="002239B5"/>
    <w:rsid w:val="002257B9"/>
    <w:rsid w:val="00227452"/>
    <w:rsid w:val="0023348B"/>
    <w:rsid w:val="00234B18"/>
    <w:rsid w:val="00235919"/>
    <w:rsid w:val="0023754A"/>
    <w:rsid w:val="002378E9"/>
    <w:rsid w:val="00241524"/>
    <w:rsid w:val="00242446"/>
    <w:rsid w:val="00243413"/>
    <w:rsid w:val="00243BE7"/>
    <w:rsid w:val="0024441F"/>
    <w:rsid w:val="002444B3"/>
    <w:rsid w:val="00245811"/>
    <w:rsid w:val="00245905"/>
    <w:rsid w:val="00247753"/>
    <w:rsid w:val="00250AB4"/>
    <w:rsid w:val="00250B8C"/>
    <w:rsid w:val="00250FAD"/>
    <w:rsid w:val="00252193"/>
    <w:rsid w:val="002523F4"/>
    <w:rsid w:val="00252B33"/>
    <w:rsid w:val="00252C13"/>
    <w:rsid w:val="00252C90"/>
    <w:rsid w:val="0025310A"/>
    <w:rsid w:val="0025389E"/>
    <w:rsid w:val="0025409D"/>
    <w:rsid w:val="00255021"/>
    <w:rsid w:val="00255993"/>
    <w:rsid w:val="00255C68"/>
    <w:rsid w:val="002578DD"/>
    <w:rsid w:val="002579F6"/>
    <w:rsid w:val="00257FE0"/>
    <w:rsid w:val="002605DC"/>
    <w:rsid w:val="00263025"/>
    <w:rsid w:val="002637C7"/>
    <w:rsid w:val="00264D88"/>
    <w:rsid w:val="00265233"/>
    <w:rsid w:val="0026547F"/>
    <w:rsid w:val="002704FE"/>
    <w:rsid w:val="0027148D"/>
    <w:rsid w:val="0027372E"/>
    <w:rsid w:val="002739A1"/>
    <w:rsid w:val="00276830"/>
    <w:rsid w:val="00276A1B"/>
    <w:rsid w:val="00277CBE"/>
    <w:rsid w:val="00281227"/>
    <w:rsid w:val="00281D65"/>
    <w:rsid w:val="00282E7F"/>
    <w:rsid w:val="00283239"/>
    <w:rsid w:val="00283417"/>
    <w:rsid w:val="00284043"/>
    <w:rsid w:val="00284560"/>
    <w:rsid w:val="00284B0D"/>
    <w:rsid w:val="0028539D"/>
    <w:rsid w:val="00285854"/>
    <w:rsid w:val="00286623"/>
    <w:rsid w:val="00286D12"/>
    <w:rsid w:val="00287A92"/>
    <w:rsid w:val="00287F84"/>
    <w:rsid w:val="00290742"/>
    <w:rsid w:val="00290F67"/>
    <w:rsid w:val="0029121E"/>
    <w:rsid w:val="00291313"/>
    <w:rsid w:val="0029212C"/>
    <w:rsid w:val="0029241C"/>
    <w:rsid w:val="00294D94"/>
    <w:rsid w:val="0029770E"/>
    <w:rsid w:val="00297E59"/>
    <w:rsid w:val="002A13A9"/>
    <w:rsid w:val="002A1456"/>
    <w:rsid w:val="002A1D49"/>
    <w:rsid w:val="002A2B85"/>
    <w:rsid w:val="002A4D2B"/>
    <w:rsid w:val="002A4FBD"/>
    <w:rsid w:val="002A50F4"/>
    <w:rsid w:val="002A51E7"/>
    <w:rsid w:val="002A53C5"/>
    <w:rsid w:val="002A7210"/>
    <w:rsid w:val="002B1C24"/>
    <w:rsid w:val="002B23D0"/>
    <w:rsid w:val="002B2636"/>
    <w:rsid w:val="002B3BCD"/>
    <w:rsid w:val="002B3F20"/>
    <w:rsid w:val="002B4887"/>
    <w:rsid w:val="002B5387"/>
    <w:rsid w:val="002B5DE3"/>
    <w:rsid w:val="002B5FC3"/>
    <w:rsid w:val="002C3508"/>
    <w:rsid w:val="002C4E3C"/>
    <w:rsid w:val="002C5B14"/>
    <w:rsid w:val="002C6150"/>
    <w:rsid w:val="002C670D"/>
    <w:rsid w:val="002D4B7E"/>
    <w:rsid w:val="002D4BA5"/>
    <w:rsid w:val="002D570A"/>
    <w:rsid w:val="002D608A"/>
    <w:rsid w:val="002D7DC5"/>
    <w:rsid w:val="002D7EA2"/>
    <w:rsid w:val="002E1C71"/>
    <w:rsid w:val="002E2B1C"/>
    <w:rsid w:val="002E3943"/>
    <w:rsid w:val="002E3E30"/>
    <w:rsid w:val="002E4040"/>
    <w:rsid w:val="002E5095"/>
    <w:rsid w:val="002E5BAA"/>
    <w:rsid w:val="002E5C22"/>
    <w:rsid w:val="002E6105"/>
    <w:rsid w:val="002E6C3E"/>
    <w:rsid w:val="002E7DCC"/>
    <w:rsid w:val="002F467E"/>
    <w:rsid w:val="002F48F5"/>
    <w:rsid w:val="002F4A0B"/>
    <w:rsid w:val="002F6F61"/>
    <w:rsid w:val="002F70AA"/>
    <w:rsid w:val="0030008E"/>
    <w:rsid w:val="0030050F"/>
    <w:rsid w:val="00300713"/>
    <w:rsid w:val="003026FC"/>
    <w:rsid w:val="00302ECA"/>
    <w:rsid w:val="00303496"/>
    <w:rsid w:val="003036FB"/>
    <w:rsid w:val="00304817"/>
    <w:rsid w:val="003050CA"/>
    <w:rsid w:val="0030592C"/>
    <w:rsid w:val="00306945"/>
    <w:rsid w:val="003070E1"/>
    <w:rsid w:val="00307477"/>
    <w:rsid w:val="0030776B"/>
    <w:rsid w:val="00307849"/>
    <w:rsid w:val="00312D82"/>
    <w:rsid w:val="0031308A"/>
    <w:rsid w:val="003145CC"/>
    <w:rsid w:val="00315FF6"/>
    <w:rsid w:val="003162F0"/>
    <w:rsid w:val="00316B1F"/>
    <w:rsid w:val="00321F7E"/>
    <w:rsid w:val="00323771"/>
    <w:rsid w:val="00323D46"/>
    <w:rsid w:val="00323F43"/>
    <w:rsid w:val="003254F1"/>
    <w:rsid w:val="0032674E"/>
    <w:rsid w:val="00332188"/>
    <w:rsid w:val="00333A65"/>
    <w:rsid w:val="00334881"/>
    <w:rsid w:val="00334E6C"/>
    <w:rsid w:val="003365E9"/>
    <w:rsid w:val="003367F9"/>
    <w:rsid w:val="0033714C"/>
    <w:rsid w:val="003405F1"/>
    <w:rsid w:val="00340B9C"/>
    <w:rsid w:val="003428F2"/>
    <w:rsid w:val="00346CB8"/>
    <w:rsid w:val="00347B18"/>
    <w:rsid w:val="003531B8"/>
    <w:rsid w:val="003541FE"/>
    <w:rsid w:val="00355334"/>
    <w:rsid w:val="0035643B"/>
    <w:rsid w:val="00356A76"/>
    <w:rsid w:val="00357970"/>
    <w:rsid w:val="00357B2B"/>
    <w:rsid w:val="00357EE7"/>
    <w:rsid w:val="003614AE"/>
    <w:rsid w:val="00364D6D"/>
    <w:rsid w:val="00364FF1"/>
    <w:rsid w:val="00367F75"/>
    <w:rsid w:val="003702A2"/>
    <w:rsid w:val="00372AA9"/>
    <w:rsid w:val="00373C4C"/>
    <w:rsid w:val="00374128"/>
    <w:rsid w:val="0037583E"/>
    <w:rsid w:val="00376046"/>
    <w:rsid w:val="0037625E"/>
    <w:rsid w:val="0037649C"/>
    <w:rsid w:val="00376759"/>
    <w:rsid w:val="00377573"/>
    <w:rsid w:val="00377AC3"/>
    <w:rsid w:val="00380B09"/>
    <w:rsid w:val="0038233C"/>
    <w:rsid w:val="0038294E"/>
    <w:rsid w:val="0038338E"/>
    <w:rsid w:val="003838FC"/>
    <w:rsid w:val="00384297"/>
    <w:rsid w:val="003843F7"/>
    <w:rsid w:val="00384DA2"/>
    <w:rsid w:val="003918A1"/>
    <w:rsid w:val="00392981"/>
    <w:rsid w:val="003930F7"/>
    <w:rsid w:val="003957B7"/>
    <w:rsid w:val="00396898"/>
    <w:rsid w:val="00396941"/>
    <w:rsid w:val="00396D86"/>
    <w:rsid w:val="003973B4"/>
    <w:rsid w:val="003974B4"/>
    <w:rsid w:val="0039758D"/>
    <w:rsid w:val="003A10BC"/>
    <w:rsid w:val="003A1AB1"/>
    <w:rsid w:val="003A3C41"/>
    <w:rsid w:val="003A4A25"/>
    <w:rsid w:val="003A5FD7"/>
    <w:rsid w:val="003A62A4"/>
    <w:rsid w:val="003A6779"/>
    <w:rsid w:val="003A6E39"/>
    <w:rsid w:val="003A714E"/>
    <w:rsid w:val="003A78C0"/>
    <w:rsid w:val="003A7FC3"/>
    <w:rsid w:val="003B1504"/>
    <w:rsid w:val="003B1526"/>
    <w:rsid w:val="003B4D15"/>
    <w:rsid w:val="003B4E58"/>
    <w:rsid w:val="003B5703"/>
    <w:rsid w:val="003B6168"/>
    <w:rsid w:val="003C004C"/>
    <w:rsid w:val="003C00C4"/>
    <w:rsid w:val="003C0796"/>
    <w:rsid w:val="003C39E2"/>
    <w:rsid w:val="003C3D6F"/>
    <w:rsid w:val="003C580B"/>
    <w:rsid w:val="003C59DE"/>
    <w:rsid w:val="003C655D"/>
    <w:rsid w:val="003C7246"/>
    <w:rsid w:val="003D1270"/>
    <w:rsid w:val="003D153D"/>
    <w:rsid w:val="003D1A90"/>
    <w:rsid w:val="003D290F"/>
    <w:rsid w:val="003D2B56"/>
    <w:rsid w:val="003D2E4E"/>
    <w:rsid w:val="003D357A"/>
    <w:rsid w:val="003D3E0A"/>
    <w:rsid w:val="003D3FFC"/>
    <w:rsid w:val="003D5739"/>
    <w:rsid w:val="003D6336"/>
    <w:rsid w:val="003D6B5E"/>
    <w:rsid w:val="003D6C67"/>
    <w:rsid w:val="003D75B9"/>
    <w:rsid w:val="003D7F50"/>
    <w:rsid w:val="003E2783"/>
    <w:rsid w:val="003E333F"/>
    <w:rsid w:val="003E38F4"/>
    <w:rsid w:val="003E57BF"/>
    <w:rsid w:val="003E6856"/>
    <w:rsid w:val="003F0B3B"/>
    <w:rsid w:val="003F0B9B"/>
    <w:rsid w:val="003F0EE9"/>
    <w:rsid w:val="003F212D"/>
    <w:rsid w:val="003F3496"/>
    <w:rsid w:val="003F3639"/>
    <w:rsid w:val="003F4BD9"/>
    <w:rsid w:val="003F4D3C"/>
    <w:rsid w:val="003F56F4"/>
    <w:rsid w:val="003F6BF6"/>
    <w:rsid w:val="00400C32"/>
    <w:rsid w:val="00402E7E"/>
    <w:rsid w:val="0040614C"/>
    <w:rsid w:val="004071ED"/>
    <w:rsid w:val="004077A0"/>
    <w:rsid w:val="00410501"/>
    <w:rsid w:val="004115EC"/>
    <w:rsid w:val="00414D21"/>
    <w:rsid w:val="00417A45"/>
    <w:rsid w:val="00420B27"/>
    <w:rsid w:val="00420DE4"/>
    <w:rsid w:val="0042122F"/>
    <w:rsid w:val="00421D13"/>
    <w:rsid w:val="00423D1E"/>
    <w:rsid w:val="0042412D"/>
    <w:rsid w:val="004271A9"/>
    <w:rsid w:val="004276A6"/>
    <w:rsid w:val="004310AE"/>
    <w:rsid w:val="00431EE0"/>
    <w:rsid w:val="004322F6"/>
    <w:rsid w:val="00433C9B"/>
    <w:rsid w:val="00434ACE"/>
    <w:rsid w:val="004364CC"/>
    <w:rsid w:val="00440585"/>
    <w:rsid w:val="00442162"/>
    <w:rsid w:val="004423C0"/>
    <w:rsid w:val="00442E1C"/>
    <w:rsid w:val="004477BC"/>
    <w:rsid w:val="00447FC7"/>
    <w:rsid w:val="00451787"/>
    <w:rsid w:val="00451CBA"/>
    <w:rsid w:val="00452857"/>
    <w:rsid w:val="00452A9D"/>
    <w:rsid w:val="00452DD1"/>
    <w:rsid w:val="00454B02"/>
    <w:rsid w:val="00455216"/>
    <w:rsid w:val="0045569A"/>
    <w:rsid w:val="00456A56"/>
    <w:rsid w:val="0045782A"/>
    <w:rsid w:val="00457A2A"/>
    <w:rsid w:val="00462F26"/>
    <w:rsid w:val="00464459"/>
    <w:rsid w:val="004658C1"/>
    <w:rsid w:val="0046602B"/>
    <w:rsid w:val="0046645D"/>
    <w:rsid w:val="0046714E"/>
    <w:rsid w:val="00470C78"/>
    <w:rsid w:val="004714FB"/>
    <w:rsid w:val="00473427"/>
    <w:rsid w:val="0047491E"/>
    <w:rsid w:val="00475575"/>
    <w:rsid w:val="00475689"/>
    <w:rsid w:val="00477F13"/>
    <w:rsid w:val="004810E9"/>
    <w:rsid w:val="004819B0"/>
    <w:rsid w:val="00482A5B"/>
    <w:rsid w:val="00483001"/>
    <w:rsid w:val="00485B3D"/>
    <w:rsid w:val="00486277"/>
    <w:rsid w:val="00486EBB"/>
    <w:rsid w:val="00486F71"/>
    <w:rsid w:val="0048707A"/>
    <w:rsid w:val="004917AD"/>
    <w:rsid w:val="0049342C"/>
    <w:rsid w:val="00494760"/>
    <w:rsid w:val="00494844"/>
    <w:rsid w:val="00494D04"/>
    <w:rsid w:val="0049646C"/>
    <w:rsid w:val="0049671C"/>
    <w:rsid w:val="00497721"/>
    <w:rsid w:val="004A12FB"/>
    <w:rsid w:val="004A22BE"/>
    <w:rsid w:val="004A2B72"/>
    <w:rsid w:val="004A37CA"/>
    <w:rsid w:val="004A5C0C"/>
    <w:rsid w:val="004A6730"/>
    <w:rsid w:val="004A6866"/>
    <w:rsid w:val="004A69CF"/>
    <w:rsid w:val="004A75E2"/>
    <w:rsid w:val="004B2435"/>
    <w:rsid w:val="004B2ED9"/>
    <w:rsid w:val="004B3039"/>
    <w:rsid w:val="004B3096"/>
    <w:rsid w:val="004B52FB"/>
    <w:rsid w:val="004B5AF7"/>
    <w:rsid w:val="004B5CBF"/>
    <w:rsid w:val="004B709B"/>
    <w:rsid w:val="004B71DF"/>
    <w:rsid w:val="004C2C2A"/>
    <w:rsid w:val="004C2D7F"/>
    <w:rsid w:val="004C3831"/>
    <w:rsid w:val="004C3F1D"/>
    <w:rsid w:val="004C6C00"/>
    <w:rsid w:val="004C71C0"/>
    <w:rsid w:val="004C7276"/>
    <w:rsid w:val="004C7480"/>
    <w:rsid w:val="004D0703"/>
    <w:rsid w:val="004D0D9A"/>
    <w:rsid w:val="004D3CB9"/>
    <w:rsid w:val="004D5D2D"/>
    <w:rsid w:val="004E06C3"/>
    <w:rsid w:val="004E0D0F"/>
    <w:rsid w:val="004E15F8"/>
    <w:rsid w:val="004E29D0"/>
    <w:rsid w:val="004E5A05"/>
    <w:rsid w:val="004E6770"/>
    <w:rsid w:val="004E7460"/>
    <w:rsid w:val="004F015F"/>
    <w:rsid w:val="004F1851"/>
    <w:rsid w:val="004F2A8D"/>
    <w:rsid w:val="004F4078"/>
    <w:rsid w:val="004F408C"/>
    <w:rsid w:val="004F52B3"/>
    <w:rsid w:val="004F58A1"/>
    <w:rsid w:val="004F5964"/>
    <w:rsid w:val="004F5CF1"/>
    <w:rsid w:val="004F7496"/>
    <w:rsid w:val="004F74CC"/>
    <w:rsid w:val="005002B4"/>
    <w:rsid w:val="00500537"/>
    <w:rsid w:val="00500569"/>
    <w:rsid w:val="005012B2"/>
    <w:rsid w:val="00502569"/>
    <w:rsid w:val="00502EA6"/>
    <w:rsid w:val="005043E8"/>
    <w:rsid w:val="00506B40"/>
    <w:rsid w:val="005075F2"/>
    <w:rsid w:val="00507912"/>
    <w:rsid w:val="0051094A"/>
    <w:rsid w:val="005136ED"/>
    <w:rsid w:val="005151C1"/>
    <w:rsid w:val="00516026"/>
    <w:rsid w:val="00517725"/>
    <w:rsid w:val="00517B67"/>
    <w:rsid w:val="0052139C"/>
    <w:rsid w:val="00521928"/>
    <w:rsid w:val="00521AC4"/>
    <w:rsid w:val="00522770"/>
    <w:rsid w:val="00522B7B"/>
    <w:rsid w:val="00523EBD"/>
    <w:rsid w:val="00526123"/>
    <w:rsid w:val="00530A67"/>
    <w:rsid w:val="00530DDD"/>
    <w:rsid w:val="0053132D"/>
    <w:rsid w:val="00531BFC"/>
    <w:rsid w:val="00535FB3"/>
    <w:rsid w:val="00536611"/>
    <w:rsid w:val="00541734"/>
    <w:rsid w:val="0054188B"/>
    <w:rsid w:val="0054454E"/>
    <w:rsid w:val="00544654"/>
    <w:rsid w:val="00544EC5"/>
    <w:rsid w:val="005466B5"/>
    <w:rsid w:val="00547911"/>
    <w:rsid w:val="00547C67"/>
    <w:rsid w:val="005503CC"/>
    <w:rsid w:val="00550A92"/>
    <w:rsid w:val="0055233E"/>
    <w:rsid w:val="0055258F"/>
    <w:rsid w:val="00553049"/>
    <w:rsid w:val="005534B5"/>
    <w:rsid w:val="005540C9"/>
    <w:rsid w:val="005545C8"/>
    <w:rsid w:val="00554B12"/>
    <w:rsid w:val="00554FE8"/>
    <w:rsid w:val="00556789"/>
    <w:rsid w:val="0056004D"/>
    <w:rsid w:val="005603B0"/>
    <w:rsid w:val="00561238"/>
    <w:rsid w:val="005615DD"/>
    <w:rsid w:val="00561FC8"/>
    <w:rsid w:val="005639F4"/>
    <w:rsid w:val="00563A30"/>
    <w:rsid w:val="00563D6A"/>
    <w:rsid w:val="00565188"/>
    <w:rsid w:val="00566665"/>
    <w:rsid w:val="005705D3"/>
    <w:rsid w:val="0057447A"/>
    <w:rsid w:val="00574D19"/>
    <w:rsid w:val="00575DC6"/>
    <w:rsid w:val="00575FC5"/>
    <w:rsid w:val="00576B12"/>
    <w:rsid w:val="00576BAF"/>
    <w:rsid w:val="00576F12"/>
    <w:rsid w:val="00577CE7"/>
    <w:rsid w:val="005832F9"/>
    <w:rsid w:val="005850AA"/>
    <w:rsid w:val="00590FB0"/>
    <w:rsid w:val="00592C0C"/>
    <w:rsid w:val="00594560"/>
    <w:rsid w:val="0059536F"/>
    <w:rsid w:val="00596299"/>
    <w:rsid w:val="005968D0"/>
    <w:rsid w:val="005978A9"/>
    <w:rsid w:val="005A0519"/>
    <w:rsid w:val="005A172E"/>
    <w:rsid w:val="005A3E2B"/>
    <w:rsid w:val="005A4DCA"/>
    <w:rsid w:val="005A6EB7"/>
    <w:rsid w:val="005A7BE9"/>
    <w:rsid w:val="005B058C"/>
    <w:rsid w:val="005B0593"/>
    <w:rsid w:val="005B29F8"/>
    <w:rsid w:val="005B6A04"/>
    <w:rsid w:val="005B6FDC"/>
    <w:rsid w:val="005B79A7"/>
    <w:rsid w:val="005B79E4"/>
    <w:rsid w:val="005C1901"/>
    <w:rsid w:val="005C23ED"/>
    <w:rsid w:val="005C4A0D"/>
    <w:rsid w:val="005C52F6"/>
    <w:rsid w:val="005C5A54"/>
    <w:rsid w:val="005C5C11"/>
    <w:rsid w:val="005C6892"/>
    <w:rsid w:val="005C6B26"/>
    <w:rsid w:val="005D0798"/>
    <w:rsid w:val="005D1222"/>
    <w:rsid w:val="005D1B10"/>
    <w:rsid w:val="005D1CEC"/>
    <w:rsid w:val="005D1DC5"/>
    <w:rsid w:val="005D36B7"/>
    <w:rsid w:val="005D4873"/>
    <w:rsid w:val="005D4AE6"/>
    <w:rsid w:val="005D6412"/>
    <w:rsid w:val="005D6E7A"/>
    <w:rsid w:val="005D70A0"/>
    <w:rsid w:val="005E0550"/>
    <w:rsid w:val="005E08E5"/>
    <w:rsid w:val="005E26EF"/>
    <w:rsid w:val="005E2A06"/>
    <w:rsid w:val="005E4A5E"/>
    <w:rsid w:val="005E4D08"/>
    <w:rsid w:val="005E5864"/>
    <w:rsid w:val="005E7671"/>
    <w:rsid w:val="005E7B9A"/>
    <w:rsid w:val="005F0776"/>
    <w:rsid w:val="005F21F0"/>
    <w:rsid w:val="005F2BF2"/>
    <w:rsid w:val="005F34C4"/>
    <w:rsid w:val="005F4999"/>
    <w:rsid w:val="005F4D24"/>
    <w:rsid w:val="005F53E8"/>
    <w:rsid w:val="005F6231"/>
    <w:rsid w:val="005F63B9"/>
    <w:rsid w:val="005F681B"/>
    <w:rsid w:val="00600004"/>
    <w:rsid w:val="0060127E"/>
    <w:rsid w:val="00604F42"/>
    <w:rsid w:val="0060513F"/>
    <w:rsid w:val="0060626A"/>
    <w:rsid w:val="00607C32"/>
    <w:rsid w:val="006137A5"/>
    <w:rsid w:val="00617227"/>
    <w:rsid w:val="0061776C"/>
    <w:rsid w:val="00620B88"/>
    <w:rsid w:val="006255F0"/>
    <w:rsid w:val="00631A6E"/>
    <w:rsid w:val="00632013"/>
    <w:rsid w:val="006328AE"/>
    <w:rsid w:val="00634893"/>
    <w:rsid w:val="00636005"/>
    <w:rsid w:val="00636D42"/>
    <w:rsid w:val="006403FD"/>
    <w:rsid w:val="00640F8F"/>
    <w:rsid w:val="006462B9"/>
    <w:rsid w:val="00647E08"/>
    <w:rsid w:val="0065206E"/>
    <w:rsid w:val="00652DB0"/>
    <w:rsid w:val="00653CB9"/>
    <w:rsid w:val="006568E9"/>
    <w:rsid w:val="00662854"/>
    <w:rsid w:val="00662C9A"/>
    <w:rsid w:val="00663401"/>
    <w:rsid w:val="00666CDC"/>
    <w:rsid w:val="006678BE"/>
    <w:rsid w:val="00670134"/>
    <w:rsid w:val="006704F6"/>
    <w:rsid w:val="00671EC1"/>
    <w:rsid w:val="006722C0"/>
    <w:rsid w:val="0067321B"/>
    <w:rsid w:val="006736A5"/>
    <w:rsid w:val="00673B14"/>
    <w:rsid w:val="0067559F"/>
    <w:rsid w:val="006771D2"/>
    <w:rsid w:val="00677C5A"/>
    <w:rsid w:val="006819D3"/>
    <w:rsid w:val="00683588"/>
    <w:rsid w:val="00683612"/>
    <w:rsid w:val="00683A94"/>
    <w:rsid w:val="006843D6"/>
    <w:rsid w:val="0068443A"/>
    <w:rsid w:val="006851AE"/>
    <w:rsid w:val="0068575C"/>
    <w:rsid w:val="00685A9C"/>
    <w:rsid w:val="00686262"/>
    <w:rsid w:val="00686E14"/>
    <w:rsid w:val="00687928"/>
    <w:rsid w:val="0069066D"/>
    <w:rsid w:val="00690867"/>
    <w:rsid w:val="00690B2A"/>
    <w:rsid w:val="00691036"/>
    <w:rsid w:val="00691604"/>
    <w:rsid w:val="00693222"/>
    <w:rsid w:val="006935FB"/>
    <w:rsid w:val="006975ED"/>
    <w:rsid w:val="006A1E91"/>
    <w:rsid w:val="006A338E"/>
    <w:rsid w:val="006A504C"/>
    <w:rsid w:val="006A5B1F"/>
    <w:rsid w:val="006A6490"/>
    <w:rsid w:val="006A6958"/>
    <w:rsid w:val="006A705E"/>
    <w:rsid w:val="006A71ED"/>
    <w:rsid w:val="006A763C"/>
    <w:rsid w:val="006B002E"/>
    <w:rsid w:val="006B0A58"/>
    <w:rsid w:val="006B139D"/>
    <w:rsid w:val="006B493D"/>
    <w:rsid w:val="006B6C77"/>
    <w:rsid w:val="006B71B6"/>
    <w:rsid w:val="006C06C2"/>
    <w:rsid w:val="006C22C4"/>
    <w:rsid w:val="006C2E59"/>
    <w:rsid w:val="006C2EED"/>
    <w:rsid w:val="006C3F05"/>
    <w:rsid w:val="006C4343"/>
    <w:rsid w:val="006C4635"/>
    <w:rsid w:val="006C5356"/>
    <w:rsid w:val="006C554D"/>
    <w:rsid w:val="006C7A9D"/>
    <w:rsid w:val="006D068D"/>
    <w:rsid w:val="006D1E10"/>
    <w:rsid w:val="006D26D8"/>
    <w:rsid w:val="006D2D9C"/>
    <w:rsid w:val="006D2DCB"/>
    <w:rsid w:val="006D2EB5"/>
    <w:rsid w:val="006D4D79"/>
    <w:rsid w:val="006E0043"/>
    <w:rsid w:val="006E12A3"/>
    <w:rsid w:val="006E3153"/>
    <w:rsid w:val="006E499C"/>
    <w:rsid w:val="006E4F12"/>
    <w:rsid w:val="006E517A"/>
    <w:rsid w:val="006E6D79"/>
    <w:rsid w:val="006E7621"/>
    <w:rsid w:val="006E7EFF"/>
    <w:rsid w:val="006F0A66"/>
    <w:rsid w:val="006F19F1"/>
    <w:rsid w:val="006F2892"/>
    <w:rsid w:val="006F4D71"/>
    <w:rsid w:val="006F7EA7"/>
    <w:rsid w:val="007006A4"/>
    <w:rsid w:val="00700AFA"/>
    <w:rsid w:val="007021D2"/>
    <w:rsid w:val="007029FB"/>
    <w:rsid w:val="00704634"/>
    <w:rsid w:val="00705C64"/>
    <w:rsid w:val="00706A82"/>
    <w:rsid w:val="00706D2D"/>
    <w:rsid w:val="00710C9D"/>
    <w:rsid w:val="007113C4"/>
    <w:rsid w:val="007118F9"/>
    <w:rsid w:val="007131AD"/>
    <w:rsid w:val="00713506"/>
    <w:rsid w:val="00713AFC"/>
    <w:rsid w:val="0071512F"/>
    <w:rsid w:val="00715DDF"/>
    <w:rsid w:val="00715EE0"/>
    <w:rsid w:val="00716699"/>
    <w:rsid w:val="00716F60"/>
    <w:rsid w:val="00717CDC"/>
    <w:rsid w:val="00721B35"/>
    <w:rsid w:val="007247AF"/>
    <w:rsid w:val="007252E7"/>
    <w:rsid w:val="00725D23"/>
    <w:rsid w:val="007261BC"/>
    <w:rsid w:val="0072683D"/>
    <w:rsid w:val="0073236F"/>
    <w:rsid w:val="00732448"/>
    <w:rsid w:val="00732A00"/>
    <w:rsid w:val="00733401"/>
    <w:rsid w:val="007343E9"/>
    <w:rsid w:val="00735A9D"/>
    <w:rsid w:val="00735B41"/>
    <w:rsid w:val="00735FBB"/>
    <w:rsid w:val="00736474"/>
    <w:rsid w:val="007410A8"/>
    <w:rsid w:val="00741E10"/>
    <w:rsid w:val="00741FFC"/>
    <w:rsid w:val="007433EF"/>
    <w:rsid w:val="00744829"/>
    <w:rsid w:val="00744F28"/>
    <w:rsid w:val="0075027B"/>
    <w:rsid w:val="00750F61"/>
    <w:rsid w:val="0075216C"/>
    <w:rsid w:val="00753083"/>
    <w:rsid w:val="00753281"/>
    <w:rsid w:val="00754B9B"/>
    <w:rsid w:val="0076068C"/>
    <w:rsid w:val="00762809"/>
    <w:rsid w:val="00763929"/>
    <w:rsid w:val="00763DB2"/>
    <w:rsid w:val="00765552"/>
    <w:rsid w:val="00766357"/>
    <w:rsid w:val="0076650E"/>
    <w:rsid w:val="007665C8"/>
    <w:rsid w:val="00771822"/>
    <w:rsid w:val="00772225"/>
    <w:rsid w:val="007728E2"/>
    <w:rsid w:val="00772C68"/>
    <w:rsid w:val="00776CCF"/>
    <w:rsid w:val="00777F0B"/>
    <w:rsid w:val="00780640"/>
    <w:rsid w:val="007815CA"/>
    <w:rsid w:val="00781F21"/>
    <w:rsid w:val="00782308"/>
    <w:rsid w:val="00782646"/>
    <w:rsid w:val="007826D6"/>
    <w:rsid w:val="00783204"/>
    <w:rsid w:val="007835A9"/>
    <w:rsid w:val="00783BA9"/>
    <w:rsid w:val="007846B1"/>
    <w:rsid w:val="00785AB3"/>
    <w:rsid w:val="00785E09"/>
    <w:rsid w:val="007860EA"/>
    <w:rsid w:val="00790C28"/>
    <w:rsid w:val="00791CF2"/>
    <w:rsid w:val="007921B4"/>
    <w:rsid w:val="00793273"/>
    <w:rsid w:val="0079608C"/>
    <w:rsid w:val="007961E3"/>
    <w:rsid w:val="00796705"/>
    <w:rsid w:val="007A08AF"/>
    <w:rsid w:val="007A11E9"/>
    <w:rsid w:val="007A171C"/>
    <w:rsid w:val="007A1F1A"/>
    <w:rsid w:val="007A2401"/>
    <w:rsid w:val="007A26A2"/>
    <w:rsid w:val="007A3159"/>
    <w:rsid w:val="007A3188"/>
    <w:rsid w:val="007A3D97"/>
    <w:rsid w:val="007A3FD4"/>
    <w:rsid w:val="007A483A"/>
    <w:rsid w:val="007A4C1F"/>
    <w:rsid w:val="007B4EB1"/>
    <w:rsid w:val="007B607E"/>
    <w:rsid w:val="007B7B89"/>
    <w:rsid w:val="007C1A44"/>
    <w:rsid w:val="007C1B8A"/>
    <w:rsid w:val="007C2245"/>
    <w:rsid w:val="007C401C"/>
    <w:rsid w:val="007C41BA"/>
    <w:rsid w:val="007C4948"/>
    <w:rsid w:val="007C7033"/>
    <w:rsid w:val="007C7814"/>
    <w:rsid w:val="007D09FD"/>
    <w:rsid w:val="007D17AC"/>
    <w:rsid w:val="007D2EFC"/>
    <w:rsid w:val="007D31D3"/>
    <w:rsid w:val="007D3F51"/>
    <w:rsid w:val="007D4478"/>
    <w:rsid w:val="007D61DA"/>
    <w:rsid w:val="007D7A13"/>
    <w:rsid w:val="007E0784"/>
    <w:rsid w:val="007E24AE"/>
    <w:rsid w:val="007E41A2"/>
    <w:rsid w:val="007E7369"/>
    <w:rsid w:val="007F0DEE"/>
    <w:rsid w:val="007F2B51"/>
    <w:rsid w:val="007F2DBC"/>
    <w:rsid w:val="007F49BE"/>
    <w:rsid w:val="007F7069"/>
    <w:rsid w:val="0080089D"/>
    <w:rsid w:val="0080135D"/>
    <w:rsid w:val="00801470"/>
    <w:rsid w:val="00803C92"/>
    <w:rsid w:val="00804E67"/>
    <w:rsid w:val="008053EC"/>
    <w:rsid w:val="00805616"/>
    <w:rsid w:val="008071ED"/>
    <w:rsid w:val="008108C5"/>
    <w:rsid w:val="0081111E"/>
    <w:rsid w:val="00813600"/>
    <w:rsid w:val="00813773"/>
    <w:rsid w:val="008159B8"/>
    <w:rsid w:val="00816B85"/>
    <w:rsid w:val="00816ED3"/>
    <w:rsid w:val="008201DE"/>
    <w:rsid w:val="008210B7"/>
    <w:rsid w:val="0082120B"/>
    <w:rsid w:val="00821454"/>
    <w:rsid w:val="0082152E"/>
    <w:rsid w:val="0083238B"/>
    <w:rsid w:val="0083301E"/>
    <w:rsid w:val="008331A3"/>
    <w:rsid w:val="008354E9"/>
    <w:rsid w:val="008358AA"/>
    <w:rsid w:val="00835A0D"/>
    <w:rsid w:val="00836308"/>
    <w:rsid w:val="0083646E"/>
    <w:rsid w:val="008364A9"/>
    <w:rsid w:val="00836F9D"/>
    <w:rsid w:val="00840312"/>
    <w:rsid w:val="00842341"/>
    <w:rsid w:val="008431BD"/>
    <w:rsid w:val="00846FFB"/>
    <w:rsid w:val="008502F1"/>
    <w:rsid w:val="008503FB"/>
    <w:rsid w:val="008512EA"/>
    <w:rsid w:val="00851AC2"/>
    <w:rsid w:val="00852001"/>
    <w:rsid w:val="00852FA2"/>
    <w:rsid w:val="0085563F"/>
    <w:rsid w:val="00855C8E"/>
    <w:rsid w:val="00856BBE"/>
    <w:rsid w:val="0086089B"/>
    <w:rsid w:val="008631DB"/>
    <w:rsid w:val="008639BF"/>
    <w:rsid w:val="00866D7A"/>
    <w:rsid w:val="00866FD2"/>
    <w:rsid w:val="00867917"/>
    <w:rsid w:val="00867AB9"/>
    <w:rsid w:val="0087294C"/>
    <w:rsid w:val="0087373C"/>
    <w:rsid w:val="00874C59"/>
    <w:rsid w:val="00877C00"/>
    <w:rsid w:val="008802B1"/>
    <w:rsid w:val="008805B7"/>
    <w:rsid w:val="0088201D"/>
    <w:rsid w:val="008829E4"/>
    <w:rsid w:val="00883084"/>
    <w:rsid w:val="008836F9"/>
    <w:rsid w:val="00883BE7"/>
    <w:rsid w:val="00883D35"/>
    <w:rsid w:val="008840FB"/>
    <w:rsid w:val="008856CB"/>
    <w:rsid w:val="0088680A"/>
    <w:rsid w:val="00886C04"/>
    <w:rsid w:val="00886CF6"/>
    <w:rsid w:val="00886DF4"/>
    <w:rsid w:val="00887E7D"/>
    <w:rsid w:val="00891728"/>
    <w:rsid w:val="00891E50"/>
    <w:rsid w:val="00894F26"/>
    <w:rsid w:val="00897623"/>
    <w:rsid w:val="008976D2"/>
    <w:rsid w:val="00897837"/>
    <w:rsid w:val="008A1909"/>
    <w:rsid w:val="008A19E4"/>
    <w:rsid w:val="008A22BF"/>
    <w:rsid w:val="008A25F5"/>
    <w:rsid w:val="008A4083"/>
    <w:rsid w:val="008A70AD"/>
    <w:rsid w:val="008A74F2"/>
    <w:rsid w:val="008A7A53"/>
    <w:rsid w:val="008B1288"/>
    <w:rsid w:val="008B24DA"/>
    <w:rsid w:val="008B2C6B"/>
    <w:rsid w:val="008B3D48"/>
    <w:rsid w:val="008B51DC"/>
    <w:rsid w:val="008B5610"/>
    <w:rsid w:val="008B5D55"/>
    <w:rsid w:val="008B763A"/>
    <w:rsid w:val="008C1837"/>
    <w:rsid w:val="008C1B7B"/>
    <w:rsid w:val="008C2CF3"/>
    <w:rsid w:val="008C38C5"/>
    <w:rsid w:val="008C4378"/>
    <w:rsid w:val="008C64B2"/>
    <w:rsid w:val="008C74E2"/>
    <w:rsid w:val="008D122F"/>
    <w:rsid w:val="008D1F78"/>
    <w:rsid w:val="008D2957"/>
    <w:rsid w:val="008D3E8B"/>
    <w:rsid w:val="008D51D3"/>
    <w:rsid w:val="008D51D8"/>
    <w:rsid w:val="008D7069"/>
    <w:rsid w:val="008E138E"/>
    <w:rsid w:val="008E1D96"/>
    <w:rsid w:val="008E275C"/>
    <w:rsid w:val="008E2A99"/>
    <w:rsid w:val="008E5AC0"/>
    <w:rsid w:val="008E67C3"/>
    <w:rsid w:val="008E73AE"/>
    <w:rsid w:val="008E75C4"/>
    <w:rsid w:val="008F1D4B"/>
    <w:rsid w:val="008F260B"/>
    <w:rsid w:val="008F2A96"/>
    <w:rsid w:val="008F39AB"/>
    <w:rsid w:val="009008D4"/>
    <w:rsid w:val="009008F4"/>
    <w:rsid w:val="00900E7E"/>
    <w:rsid w:val="009017A6"/>
    <w:rsid w:val="00902D27"/>
    <w:rsid w:val="00904FA0"/>
    <w:rsid w:val="00906F57"/>
    <w:rsid w:val="009076EA"/>
    <w:rsid w:val="00907BE5"/>
    <w:rsid w:val="0091083A"/>
    <w:rsid w:val="009109E3"/>
    <w:rsid w:val="00913103"/>
    <w:rsid w:val="009144E2"/>
    <w:rsid w:val="0091453D"/>
    <w:rsid w:val="00914A55"/>
    <w:rsid w:val="00914F83"/>
    <w:rsid w:val="009162FE"/>
    <w:rsid w:val="00916FED"/>
    <w:rsid w:val="00921813"/>
    <w:rsid w:val="00924A82"/>
    <w:rsid w:val="00924F93"/>
    <w:rsid w:val="00925D48"/>
    <w:rsid w:val="00925EE9"/>
    <w:rsid w:val="009279DF"/>
    <w:rsid w:val="00927DE1"/>
    <w:rsid w:val="00930BAA"/>
    <w:rsid w:val="00930F6B"/>
    <w:rsid w:val="00931F66"/>
    <w:rsid w:val="00932556"/>
    <w:rsid w:val="00933166"/>
    <w:rsid w:val="00934527"/>
    <w:rsid w:val="00936385"/>
    <w:rsid w:val="00936464"/>
    <w:rsid w:val="00936AE6"/>
    <w:rsid w:val="009372CA"/>
    <w:rsid w:val="0094066C"/>
    <w:rsid w:val="0094110E"/>
    <w:rsid w:val="009418C0"/>
    <w:rsid w:val="00941D7B"/>
    <w:rsid w:val="009427F7"/>
    <w:rsid w:val="00943508"/>
    <w:rsid w:val="009461C8"/>
    <w:rsid w:val="00947AF8"/>
    <w:rsid w:val="009508E1"/>
    <w:rsid w:val="0095514B"/>
    <w:rsid w:val="00955CD9"/>
    <w:rsid w:val="00955EDA"/>
    <w:rsid w:val="009574A1"/>
    <w:rsid w:val="00963F6D"/>
    <w:rsid w:val="0096427B"/>
    <w:rsid w:val="00965B97"/>
    <w:rsid w:val="009665AD"/>
    <w:rsid w:val="00966C43"/>
    <w:rsid w:val="00966E53"/>
    <w:rsid w:val="00967B66"/>
    <w:rsid w:val="00970D7D"/>
    <w:rsid w:val="00972B1D"/>
    <w:rsid w:val="00974F7E"/>
    <w:rsid w:val="0098079D"/>
    <w:rsid w:val="00983ABB"/>
    <w:rsid w:val="00983B3F"/>
    <w:rsid w:val="0098508D"/>
    <w:rsid w:val="0099253D"/>
    <w:rsid w:val="0099297A"/>
    <w:rsid w:val="00994A17"/>
    <w:rsid w:val="00995C7F"/>
    <w:rsid w:val="00996F31"/>
    <w:rsid w:val="009A0517"/>
    <w:rsid w:val="009A2DF7"/>
    <w:rsid w:val="009A4CDD"/>
    <w:rsid w:val="009A57E1"/>
    <w:rsid w:val="009A755C"/>
    <w:rsid w:val="009A7CE3"/>
    <w:rsid w:val="009B3208"/>
    <w:rsid w:val="009B3381"/>
    <w:rsid w:val="009B4984"/>
    <w:rsid w:val="009C1DEA"/>
    <w:rsid w:val="009C3345"/>
    <w:rsid w:val="009C3CE4"/>
    <w:rsid w:val="009C42ED"/>
    <w:rsid w:val="009C4503"/>
    <w:rsid w:val="009C5563"/>
    <w:rsid w:val="009C76A0"/>
    <w:rsid w:val="009D0209"/>
    <w:rsid w:val="009D199A"/>
    <w:rsid w:val="009D4359"/>
    <w:rsid w:val="009D68D0"/>
    <w:rsid w:val="009D7CB5"/>
    <w:rsid w:val="009E0CC7"/>
    <w:rsid w:val="009E3347"/>
    <w:rsid w:val="009E44C8"/>
    <w:rsid w:val="009E456B"/>
    <w:rsid w:val="009E4B27"/>
    <w:rsid w:val="009E5F2D"/>
    <w:rsid w:val="009E61A1"/>
    <w:rsid w:val="009F0153"/>
    <w:rsid w:val="009F0467"/>
    <w:rsid w:val="009F0F55"/>
    <w:rsid w:val="009F2669"/>
    <w:rsid w:val="009F2ECB"/>
    <w:rsid w:val="009F3113"/>
    <w:rsid w:val="009F4222"/>
    <w:rsid w:val="009F4EF7"/>
    <w:rsid w:val="009F5315"/>
    <w:rsid w:val="009F53CE"/>
    <w:rsid w:val="009F6397"/>
    <w:rsid w:val="009F6870"/>
    <w:rsid w:val="009F6BB7"/>
    <w:rsid w:val="009F6F10"/>
    <w:rsid w:val="009F7FCA"/>
    <w:rsid w:val="00A0115D"/>
    <w:rsid w:val="00A02E34"/>
    <w:rsid w:val="00A11575"/>
    <w:rsid w:val="00A129E7"/>
    <w:rsid w:val="00A12E30"/>
    <w:rsid w:val="00A134AC"/>
    <w:rsid w:val="00A13DAB"/>
    <w:rsid w:val="00A1478F"/>
    <w:rsid w:val="00A15AF2"/>
    <w:rsid w:val="00A15B04"/>
    <w:rsid w:val="00A21DAB"/>
    <w:rsid w:val="00A2247C"/>
    <w:rsid w:val="00A23E3A"/>
    <w:rsid w:val="00A24C42"/>
    <w:rsid w:val="00A26FC6"/>
    <w:rsid w:val="00A3048A"/>
    <w:rsid w:val="00A30B2A"/>
    <w:rsid w:val="00A330C5"/>
    <w:rsid w:val="00A3778A"/>
    <w:rsid w:val="00A4345D"/>
    <w:rsid w:val="00A47212"/>
    <w:rsid w:val="00A4736E"/>
    <w:rsid w:val="00A50DD0"/>
    <w:rsid w:val="00A5129B"/>
    <w:rsid w:val="00A52B46"/>
    <w:rsid w:val="00A535D8"/>
    <w:rsid w:val="00A53AD0"/>
    <w:rsid w:val="00A540C3"/>
    <w:rsid w:val="00A550D9"/>
    <w:rsid w:val="00A556F5"/>
    <w:rsid w:val="00A57568"/>
    <w:rsid w:val="00A602D5"/>
    <w:rsid w:val="00A6050E"/>
    <w:rsid w:val="00A621C8"/>
    <w:rsid w:val="00A62250"/>
    <w:rsid w:val="00A627B5"/>
    <w:rsid w:val="00A62DAF"/>
    <w:rsid w:val="00A65247"/>
    <w:rsid w:val="00A66F34"/>
    <w:rsid w:val="00A67901"/>
    <w:rsid w:val="00A6790A"/>
    <w:rsid w:val="00A67B12"/>
    <w:rsid w:val="00A70B32"/>
    <w:rsid w:val="00A714D0"/>
    <w:rsid w:val="00A729B1"/>
    <w:rsid w:val="00A743D6"/>
    <w:rsid w:val="00A74782"/>
    <w:rsid w:val="00A76E6B"/>
    <w:rsid w:val="00A772DE"/>
    <w:rsid w:val="00A7761E"/>
    <w:rsid w:val="00A82296"/>
    <w:rsid w:val="00A833CD"/>
    <w:rsid w:val="00A84D56"/>
    <w:rsid w:val="00A84E7E"/>
    <w:rsid w:val="00A85DFE"/>
    <w:rsid w:val="00A8616C"/>
    <w:rsid w:val="00A87597"/>
    <w:rsid w:val="00A901DC"/>
    <w:rsid w:val="00A903DE"/>
    <w:rsid w:val="00A919DA"/>
    <w:rsid w:val="00A926E6"/>
    <w:rsid w:val="00A94797"/>
    <w:rsid w:val="00A947D2"/>
    <w:rsid w:val="00A969AF"/>
    <w:rsid w:val="00A97AAC"/>
    <w:rsid w:val="00A97B22"/>
    <w:rsid w:val="00AA1408"/>
    <w:rsid w:val="00AA3E90"/>
    <w:rsid w:val="00AA4745"/>
    <w:rsid w:val="00AA53FD"/>
    <w:rsid w:val="00AA5442"/>
    <w:rsid w:val="00AA620F"/>
    <w:rsid w:val="00AA64FC"/>
    <w:rsid w:val="00AA6CDE"/>
    <w:rsid w:val="00AA7483"/>
    <w:rsid w:val="00AA799C"/>
    <w:rsid w:val="00AB0E79"/>
    <w:rsid w:val="00AB2AE4"/>
    <w:rsid w:val="00AB2FA0"/>
    <w:rsid w:val="00AB5180"/>
    <w:rsid w:val="00AB5715"/>
    <w:rsid w:val="00AB6110"/>
    <w:rsid w:val="00AB7642"/>
    <w:rsid w:val="00AC0C77"/>
    <w:rsid w:val="00AC0E18"/>
    <w:rsid w:val="00AC2272"/>
    <w:rsid w:val="00AC33C3"/>
    <w:rsid w:val="00AC36BC"/>
    <w:rsid w:val="00AC4AFB"/>
    <w:rsid w:val="00AC57FD"/>
    <w:rsid w:val="00AC5C1A"/>
    <w:rsid w:val="00AC6D90"/>
    <w:rsid w:val="00AC7737"/>
    <w:rsid w:val="00AD00BB"/>
    <w:rsid w:val="00AD1E95"/>
    <w:rsid w:val="00AD4BEB"/>
    <w:rsid w:val="00AD5601"/>
    <w:rsid w:val="00AD7068"/>
    <w:rsid w:val="00AD78FD"/>
    <w:rsid w:val="00AE0185"/>
    <w:rsid w:val="00AE2838"/>
    <w:rsid w:val="00AE375D"/>
    <w:rsid w:val="00AE3984"/>
    <w:rsid w:val="00AE52FD"/>
    <w:rsid w:val="00AE79AF"/>
    <w:rsid w:val="00AF10E1"/>
    <w:rsid w:val="00AF3C0D"/>
    <w:rsid w:val="00AF442A"/>
    <w:rsid w:val="00AF5323"/>
    <w:rsid w:val="00B011E1"/>
    <w:rsid w:val="00B01E80"/>
    <w:rsid w:val="00B028B7"/>
    <w:rsid w:val="00B031D5"/>
    <w:rsid w:val="00B03CEC"/>
    <w:rsid w:val="00B04611"/>
    <w:rsid w:val="00B04777"/>
    <w:rsid w:val="00B11A0D"/>
    <w:rsid w:val="00B11DB6"/>
    <w:rsid w:val="00B132A2"/>
    <w:rsid w:val="00B151BC"/>
    <w:rsid w:val="00B151F9"/>
    <w:rsid w:val="00B214CA"/>
    <w:rsid w:val="00B21CBA"/>
    <w:rsid w:val="00B23167"/>
    <w:rsid w:val="00B24B0B"/>
    <w:rsid w:val="00B25644"/>
    <w:rsid w:val="00B26E5C"/>
    <w:rsid w:val="00B30FC6"/>
    <w:rsid w:val="00B320F0"/>
    <w:rsid w:val="00B33C2A"/>
    <w:rsid w:val="00B37102"/>
    <w:rsid w:val="00B40A6E"/>
    <w:rsid w:val="00B41242"/>
    <w:rsid w:val="00B41655"/>
    <w:rsid w:val="00B42B34"/>
    <w:rsid w:val="00B4491F"/>
    <w:rsid w:val="00B4512F"/>
    <w:rsid w:val="00B45672"/>
    <w:rsid w:val="00B45B89"/>
    <w:rsid w:val="00B47EB0"/>
    <w:rsid w:val="00B50821"/>
    <w:rsid w:val="00B53908"/>
    <w:rsid w:val="00B54C66"/>
    <w:rsid w:val="00B55886"/>
    <w:rsid w:val="00B61695"/>
    <w:rsid w:val="00B64028"/>
    <w:rsid w:val="00B6561A"/>
    <w:rsid w:val="00B65D1C"/>
    <w:rsid w:val="00B67401"/>
    <w:rsid w:val="00B708B8"/>
    <w:rsid w:val="00B70C2F"/>
    <w:rsid w:val="00B70CED"/>
    <w:rsid w:val="00B722CD"/>
    <w:rsid w:val="00B74938"/>
    <w:rsid w:val="00B75EA4"/>
    <w:rsid w:val="00B76792"/>
    <w:rsid w:val="00B7724E"/>
    <w:rsid w:val="00B773AD"/>
    <w:rsid w:val="00B80516"/>
    <w:rsid w:val="00B81E1D"/>
    <w:rsid w:val="00B82143"/>
    <w:rsid w:val="00B840FB"/>
    <w:rsid w:val="00B84E2A"/>
    <w:rsid w:val="00B856EB"/>
    <w:rsid w:val="00B85795"/>
    <w:rsid w:val="00B85E05"/>
    <w:rsid w:val="00B86152"/>
    <w:rsid w:val="00B863C4"/>
    <w:rsid w:val="00B90259"/>
    <w:rsid w:val="00B91325"/>
    <w:rsid w:val="00B9234B"/>
    <w:rsid w:val="00B93003"/>
    <w:rsid w:val="00B94809"/>
    <w:rsid w:val="00B96396"/>
    <w:rsid w:val="00B96812"/>
    <w:rsid w:val="00B970B7"/>
    <w:rsid w:val="00B976F5"/>
    <w:rsid w:val="00BA0E0C"/>
    <w:rsid w:val="00BA1751"/>
    <w:rsid w:val="00BA21B5"/>
    <w:rsid w:val="00BA35F7"/>
    <w:rsid w:val="00BA4D1C"/>
    <w:rsid w:val="00BA5E96"/>
    <w:rsid w:val="00BA61F3"/>
    <w:rsid w:val="00BA65E5"/>
    <w:rsid w:val="00BA7596"/>
    <w:rsid w:val="00BA7900"/>
    <w:rsid w:val="00BA7DE5"/>
    <w:rsid w:val="00BB123B"/>
    <w:rsid w:val="00BB1F62"/>
    <w:rsid w:val="00BB23E1"/>
    <w:rsid w:val="00BB2EAF"/>
    <w:rsid w:val="00BB3A57"/>
    <w:rsid w:val="00BB5EDB"/>
    <w:rsid w:val="00BB71FF"/>
    <w:rsid w:val="00BB7CBB"/>
    <w:rsid w:val="00BC1110"/>
    <w:rsid w:val="00BC1B34"/>
    <w:rsid w:val="00BC2D2C"/>
    <w:rsid w:val="00BC354E"/>
    <w:rsid w:val="00BC46B2"/>
    <w:rsid w:val="00BC5CB9"/>
    <w:rsid w:val="00BC6A73"/>
    <w:rsid w:val="00BC7ACC"/>
    <w:rsid w:val="00BD4075"/>
    <w:rsid w:val="00BD524E"/>
    <w:rsid w:val="00BD6C2A"/>
    <w:rsid w:val="00BD6EA8"/>
    <w:rsid w:val="00BD71FA"/>
    <w:rsid w:val="00BD740E"/>
    <w:rsid w:val="00BE07E6"/>
    <w:rsid w:val="00BE0D06"/>
    <w:rsid w:val="00BE128D"/>
    <w:rsid w:val="00BE1E87"/>
    <w:rsid w:val="00BE3C5C"/>
    <w:rsid w:val="00BE41DC"/>
    <w:rsid w:val="00BE6A67"/>
    <w:rsid w:val="00BE6A8F"/>
    <w:rsid w:val="00BE6F56"/>
    <w:rsid w:val="00BE778B"/>
    <w:rsid w:val="00BF0E94"/>
    <w:rsid w:val="00BF2381"/>
    <w:rsid w:val="00BF2888"/>
    <w:rsid w:val="00BF58B9"/>
    <w:rsid w:val="00BF643C"/>
    <w:rsid w:val="00BF7DDD"/>
    <w:rsid w:val="00C04227"/>
    <w:rsid w:val="00C06408"/>
    <w:rsid w:val="00C06911"/>
    <w:rsid w:val="00C06FD8"/>
    <w:rsid w:val="00C0785E"/>
    <w:rsid w:val="00C07F22"/>
    <w:rsid w:val="00C10339"/>
    <w:rsid w:val="00C104FC"/>
    <w:rsid w:val="00C10933"/>
    <w:rsid w:val="00C11CA0"/>
    <w:rsid w:val="00C12688"/>
    <w:rsid w:val="00C13883"/>
    <w:rsid w:val="00C13C84"/>
    <w:rsid w:val="00C142C0"/>
    <w:rsid w:val="00C144D8"/>
    <w:rsid w:val="00C15D5E"/>
    <w:rsid w:val="00C17366"/>
    <w:rsid w:val="00C17A3C"/>
    <w:rsid w:val="00C21498"/>
    <w:rsid w:val="00C222D9"/>
    <w:rsid w:val="00C23367"/>
    <w:rsid w:val="00C30242"/>
    <w:rsid w:val="00C31861"/>
    <w:rsid w:val="00C32B62"/>
    <w:rsid w:val="00C32C05"/>
    <w:rsid w:val="00C330B5"/>
    <w:rsid w:val="00C339FF"/>
    <w:rsid w:val="00C33AB2"/>
    <w:rsid w:val="00C33C7F"/>
    <w:rsid w:val="00C34667"/>
    <w:rsid w:val="00C41409"/>
    <w:rsid w:val="00C4192C"/>
    <w:rsid w:val="00C43107"/>
    <w:rsid w:val="00C43246"/>
    <w:rsid w:val="00C4441F"/>
    <w:rsid w:val="00C44FE8"/>
    <w:rsid w:val="00C450B0"/>
    <w:rsid w:val="00C45D8C"/>
    <w:rsid w:val="00C51304"/>
    <w:rsid w:val="00C5186C"/>
    <w:rsid w:val="00C51BD5"/>
    <w:rsid w:val="00C531EA"/>
    <w:rsid w:val="00C53591"/>
    <w:rsid w:val="00C5490F"/>
    <w:rsid w:val="00C57662"/>
    <w:rsid w:val="00C57B63"/>
    <w:rsid w:val="00C61CCE"/>
    <w:rsid w:val="00C637AE"/>
    <w:rsid w:val="00C64866"/>
    <w:rsid w:val="00C64D20"/>
    <w:rsid w:val="00C70722"/>
    <w:rsid w:val="00C7129E"/>
    <w:rsid w:val="00C7300A"/>
    <w:rsid w:val="00C74B42"/>
    <w:rsid w:val="00C76581"/>
    <w:rsid w:val="00C76799"/>
    <w:rsid w:val="00C774D7"/>
    <w:rsid w:val="00C817F3"/>
    <w:rsid w:val="00C837B2"/>
    <w:rsid w:val="00C870C7"/>
    <w:rsid w:val="00C87578"/>
    <w:rsid w:val="00C878B8"/>
    <w:rsid w:val="00C902AA"/>
    <w:rsid w:val="00C9099A"/>
    <w:rsid w:val="00C90E2D"/>
    <w:rsid w:val="00C91F76"/>
    <w:rsid w:val="00C92B05"/>
    <w:rsid w:val="00C93617"/>
    <w:rsid w:val="00C93A37"/>
    <w:rsid w:val="00C948E5"/>
    <w:rsid w:val="00C95913"/>
    <w:rsid w:val="00C95FA4"/>
    <w:rsid w:val="00C969EA"/>
    <w:rsid w:val="00C96E19"/>
    <w:rsid w:val="00C9729D"/>
    <w:rsid w:val="00C97A82"/>
    <w:rsid w:val="00C97E06"/>
    <w:rsid w:val="00CA0DB9"/>
    <w:rsid w:val="00CA1680"/>
    <w:rsid w:val="00CA1917"/>
    <w:rsid w:val="00CA226C"/>
    <w:rsid w:val="00CA2EAA"/>
    <w:rsid w:val="00CA539A"/>
    <w:rsid w:val="00CA605A"/>
    <w:rsid w:val="00CA65C4"/>
    <w:rsid w:val="00CA75F0"/>
    <w:rsid w:val="00CA7879"/>
    <w:rsid w:val="00CA7D0B"/>
    <w:rsid w:val="00CB0DEB"/>
    <w:rsid w:val="00CB1682"/>
    <w:rsid w:val="00CB3372"/>
    <w:rsid w:val="00CB346C"/>
    <w:rsid w:val="00CB34CA"/>
    <w:rsid w:val="00CB5370"/>
    <w:rsid w:val="00CB577E"/>
    <w:rsid w:val="00CB764A"/>
    <w:rsid w:val="00CC04C1"/>
    <w:rsid w:val="00CC5000"/>
    <w:rsid w:val="00CC559C"/>
    <w:rsid w:val="00CC60BD"/>
    <w:rsid w:val="00CC6102"/>
    <w:rsid w:val="00CC66D2"/>
    <w:rsid w:val="00CC6CBC"/>
    <w:rsid w:val="00CD0711"/>
    <w:rsid w:val="00CD0773"/>
    <w:rsid w:val="00CD1F70"/>
    <w:rsid w:val="00CD331E"/>
    <w:rsid w:val="00CD3D6A"/>
    <w:rsid w:val="00CD4AA7"/>
    <w:rsid w:val="00CD5D79"/>
    <w:rsid w:val="00CD657B"/>
    <w:rsid w:val="00CD6666"/>
    <w:rsid w:val="00CD71C0"/>
    <w:rsid w:val="00CD75F2"/>
    <w:rsid w:val="00CE2519"/>
    <w:rsid w:val="00CE49B6"/>
    <w:rsid w:val="00CE4B20"/>
    <w:rsid w:val="00CE4CD3"/>
    <w:rsid w:val="00CE58D0"/>
    <w:rsid w:val="00CE5B7B"/>
    <w:rsid w:val="00CE69BD"/>
    <w:rsid w:val="00CF009C"/>
    <w:rsid w:val="00CF015E"/>
    <w:rsid w:val="00CF07AC"/>
    <w:rsid w:val="00CF086B"/>
    <w:rsid w:val="00CF1A90"/>
    <w:rsid w:val="00CF2438"/>
    <w:rsid w:val="00CF3139"/>
    <w:rsid w:val="00CF5379"/>
    <w:rsid w:val="00CF6974"/>
    <w:rsid w:val="00CF7366"/>
    <w:rsid w:val="00CF7AFE"/>
    <w:rsid w:val="00CF7F95"/>
    <w:rsid w:val="00D01C92"/>
    <w:rsid w:val="00D01FC0"/>
    <w:rsid w:val="00D02578"/>
    <w:rsid w:val="00D03174"/>
    <w:rsid w:val="00D05608"/>
    <w:rsid w:val="00D061BF"/>
    <w:rsid w:val="00D064E2"/>
    <w:rsid w:val="00D06FBD"/>
    <w:rsid w:val="00D079E7"/>
    <w:rsid w:val="00D100DD"/>
    <w:rsid w:val="00D10E16"/>
    <w:rsid w:val="00D1197F"/>
    <w:rsid w:val="00D11C1A"/>
    <w:rsid w:val="00D12AE5"/>
    <w:rsid w:val="00D12D0B"/>
    <w:rsid w:val="00D13649"/>
    <w:rsid w:val="00D138B1"/>
    <w:rsid w:val="00D1546B"/>
    <w:rsid w:val="00D15488"/>
    <w:rsid w:val="00D175A5"/>
    <w:rsid w:val="00D20EA8"/>
    <w:rsid w:val="00D20F72"/>
    <w:rsid w:val="00D220D1"/>
    <w:rsid w:val="00D22652"/>
    <w:rsid w:val="00D259C0"/>
    <w:rsid w:val="00D2683E"/>
    <w:rsid w:val="00D26CA7"/>
    <w:rsid w:val="00D270D7"/>
    <w:rsid w:val="00D27C0C"/>
    <w:rsid w:val="00D30491"/>
    <w:rsid w:val="00D315D1"/>
    <w:rsid w:val="00D31BCC"/>
    <w:rsid w:val="00D31F3A"/>
    <w:rsid w:val="00D3242E"/>
    <w:rsid w:val="00D326C0"/>
    <w:rsid w:val="00D328A8"/>
    <w:rsid w:val="00D32F3C"/>
    <w:rsid w:val="00D33BDF"/>
    <w:rsid w:val="00D34F69"/>
    <w:rsid w:val="00D35137"/>
    <w:rsid w:val="00D362DD"/>
    <w:rsid w:val="00D37869"/>
    <w:rsid w:val="00D411F7"/>
    <w:rsid w:val="00D430E5"/>
    <w:rsid w:val="00D43337"/>
    <w:rsid w:val="00D43A87"/>
    <w:rsid w:val="00D448BF"/>
    <w:rsid w:val="00D45550"/>
    <w:rsid w:val="00D45E2F"/>
    <w:rsid w:val="00D47D5E"/>
    <w:rsid w:val="00D504CC"/>
    <w:rsid w:val="00D50DB0"/>
    <w:rsid w:val="00D50F28"/>
    <w:rsid w:val="00D5174A"/>
    <w:rsid w:val="00D51CDF"/>
    <w:rsid w:val="00D523CD"/>
    <w:rsid w:val="00D52B69"/>
    <w:rsid w:val="00D537F0"/>
    <w:rsid w:val="00D54B6F"/>
    <w:rsid w:val="00D5620F"/>
    <w:rsid w:val="00D57A5A"/>
    <w:rsid w:val="00D604B5"/>
    <w:rsid w:val="00D62134"/>
    <w:rsid w:val="00D6279E"/>
    <w:rsid w:val="00D63BF7"/>
    <w:rsid w:val="00D6493D"/>
    <w:rsid w:val="00D67F2E"/>
    <w:rsid w:val="00D77A68"/>
    <w:rsid w:val="00D801DD"/>
    <w:rsid w:val="00D80BB2"/>
    <w:rsid w:val="00D819BE"/>
    <w:rsid w:val="00D84929"/>
    <w:rsid w:val="00D852B3"/>
    <w:rsid w:val="00D85BEE"/>
    <w:rsid w:val="00D86309"/>
    <w:rsid w:val="00D90214"/>
    <w:rsid w:val="00D9037A"/>
    <w:rsid w:val="00D915FE"/>
    <w:rsid w:val="00D92686"/>
    <w:rsid w:val="00D934C2"/>
    <w:rsid w:val="00D940D2"/>
    <w:rsid w:val="00D96540"/>
    <w:rsid w:val="00D967D0"/>
    <w:rsid w:val="00D97204"/>
    <w:rsid w:val="00D9787C"/>
    <w:rsid w:val="00DA03E9"/>
    <w:rsid w:val="00DA0740"/>
    <w:rsid w:val="00DA0D3A"/>
    <w:rsid w:val="00DA1585"/>
    <w:rsid w:val="00DA41AA"/>
    <w:rsid w:val="00DA42F4"/>
    <w:rsid w:val="00DA45A5"/>
    <w:rsid w:val="00DA7476"/>
    <w:rsid w:val="00DB0F79"/>
    <w:rsid w:val="00DB1AC2"/>
    <w:rsid w:val="00DB4970"/>
    <w:rsid w:val="00DB4BF0"/>
    <w:rsid w:val="00DB587F"/>
    <w:rsid w:val="00DB76AD"/>
    <w:rsid w:val="00DB79D0"/>
    <w:rsid w:val="00DC0F04"/>
    <w:rsid w:val="00DC1081"/>
    <w:rsid w:val="00DC1338"/>
    <w:rsid w:val="00DC4B59"/>
    <w:rsid w:val="00DC6B5B"/>
    <w:rsid w:val="00DC6D89"/>
    <w:rsid w:val="00DC76D6"/>
    <w:rsid w:val="00DC7EAD"/>
    <w:rsid w:val="00DD0378"/>
    <w:rsid w:val="00DD104D"/>
    <w:rsid w:val="00DD106D"/>
    <w:rsid w:val="00DD14D9"/>
    <w:rsid w:val="00DD34CE"/>
    <w:rsid w:val="00DD35E1"/>
    <w:rsid w:val="00DD7D92"/>
    <w:rsid w:val="00DE096B"/>
    <w:rsid w:val="00DE2047"/>
    <w:rsid w:val="00DE3CF5"/>
    <w:rsid w:val="00DE56E5"/>
    <w:rsid w:val="00DE7E7D"/>
    <w:rsid w:val="00DE7EB8"/>
    <w:rsid w:val="00DF0A1D"/>
    <w:rsid w:val="00DF0D08"/>
    <w:rsid w:val="00DF1D80"/>
    <w:rsid w:val="00DF2B41"/>
    <w:rsid w:val="00DF3414"/>
    <w:rsid w:val="00DF3721"/>
    <w:rsid w:val="00DF465E"/>
    <w:rsid w:val="00DF5921"/>
    <w:rsid w:val="00DF5EBA"/>
    <w:rsid w:val="00DF60B6"/>
    <w:rsid w:val="00DF6C5B"/>
    <w:rsid w:val="00E00CA5"/>
    <w:rsid w:val="00E017F0"/>
    <w:rsid w:val="00E02A2A"/>
    <w:rsid w:val="00E03B0F"/>
    <w:rsid w:val="00E04189"/>
    <w:rsid w:val="00E046DF"/>
    <w:rsid w:val="00E07A09"/>
    <w:rsid w:val="00E11690"/>
    <w:rsid w:val="00E11821"/>
    <w:rsid w:val="00E12845"/>
    <w:rsid w:val="00E12EAF"/>
    <w:rsid w:val="00E13720"/>
    <w:rsid w:val="00E13AA5"/>
    <w:rsid w:val="00E1428C"/>
    <w:rsid w:val="00E151C9"/>
    <w:rsid w:val="00E16C87"/>
    <w:rsid w:val="00E234AE"/>
    <w:rsid w:val="00E236EE"/>
    <w:rsid w:val="00E23C2C"/>
    <w:rsid w:val="00E24057"/>
    <w:rsid w:val="00E24AC0"/>
    <w:rsid w:val="00E2606C"/>
    <w:rsid w:val="00E26406"/>
    <w:rsid w:val="00E26423"/>
    <w:rsid w:val="00E27C44"/>
    <w:rsid w:val="00E33C6C"/>
    <w:rsid w:val="00E3435C"/>
    <w:rsid w:val="00E34620"/>
    <w:rsid w:val="00E357CE"/>
    <w:rsid w:val="00E36AB6"/>
    <w:rsid w:val="00E41E09"/>
    <w:rsid w:val="00E42E39"/>
    <w:rsid w:val="00E443F7"/>
    <w:rsid w:val="00E451B3"/>
    <w:rsid w:val="00E451C0"/>
    <w:rsid w:val="00E45514"/>
    <w:rsid w:val="00E46A44"/>
    <w:rsid w:val="00E47642"/>
    <w:rsid w:val="00E5180D"/>
    <w:rsid w:val="00E536A9"/>
    <w:rsid w:val="00E54198"/>
    <w:rsid w:val="00E559D8"/>
    <w:rsid w:val="00E57245"/>
    <w:rsid w:val="00E5749B"/>
    <w:rsid w:val="00E57FE1"/>
    <w:rsid w:val="00E60832"/>
    <w:rsid w:val="00E60C9B"/>
    <w:rsid w:val="00E618B5"/>
    <w:rsid w:val="00E632FB"/>
    <w:rsid w:val="00E63791"/>
    <w:rsid w:val="00E6436E"/>
    <w:rsid w:val="00E65BED"/>
    <w:rsid w:val="00E70E0F"/>
    <w:rsid w:val="00E7157F"/>
    <w:rsid w:val="00E71DEF"/>
    <w:rsid w:val="00E723EE"/>
    <w:rsid w:val="00E72748"/>
    <w:rsid w:val="00E731A1"/>
    <w:rsid w:val="00E740D1"/>
    <w:rsid w:val="00E7434F"/>
    <w:rsid w:val="00E74956"/>
    <w:rsid w:val="00E74AC9"/>
    <w:rsid w:val="00E75BA3"/>
    <w:rsid w:val="00E75D44"/>
    <w:rsid w:val="00E76F6C"/>
    <w:rsid w:val="00E77B5D"/>
    <w:rsid w:val="00E80AFF"/>
    <w:rsid w:val="00E8176A"/>
    <w:rsid w:val="00E83096"/>
    <w:rsid w:val="00E83196"/>
    <w:rsid w:val="00E83F58"/>
    <w:rsid w:val="00E84F43"/>
    <w:rsid w:val="00E85CF8"/>
    <w:rsid w:val="00E87FFB"/>
    <w:rsid w:val="00E911CD"/>
    <w:rsid w:val="00E93CD0"/>
    <w:rsid w:val="00E93E20"/>
    <w:rsid w:val="00E950ED"/>
    <w:rsid w:val="00E95155"/>
    <w:rsid w:val="00E96368"/>
    <w:rsid w:val="00E96A72"/>
    <w:rsid w:val="00E97F81"/>
    <w:rsid w:val="00E97F9C"/>
    <w:rsid w:val="00EA2BF7"/>
    <w:rsid w:val="00EA3987"/>
    <w:rsid w:val="00EA5D23"/>
    <w:rsid w:val="00EA5EFF"/>
    <w:rsid w:val="00EB2373"/>
    <w:rsid w:val="00EB45AE"/>
    <w:rsid w:val="00EB46BD"/>
    <w:rsid w:val="00EB63FB"/>
    <w:rsid w:val="00EC45B0"/>
    <w:rsid w:val="00EC5F4A"/>
    <w:rsid w:val="00EC60D4"/>
    <w:rsid w:val="00EC61EA"/>
    <w:rsid w:val="00EC7DDF"/>
    <w:rsid w:val="00ED0EA3"/>
    <w:rsid w:val="00ED2C01"/>
    <w:rsid w:val="00ED3BA5"/>
    <w:rsid w:val="00ED4346"/>
    <w:rsid w:val="00ED4873"/>
    <w:rsid w:val="00EE0363"/>
    <w:rsid w:val="00EE2558"/>
    <w:rsid w:val="00EE25C3"/>
    <w:rsid w:val="00EE46C2"/>
    <w:rsid w:val="00EE6757"/>
    <w:rsid w:val="00EE7CE0"/>
    <w:rsid w:val="00EF017A"/>
    <w:rsid w:val="00EF1243"/>
    <w:rsid w:val="00EF2AC7"/>
    <w:rsid w:val="00EF353A"/>
    <w:rsid w:val="00EF6511"/>
    <w:rsid w:val="00EF66D3"/>
    <w:rsid w:val="00EF6C35"/>
    <w:rsid w:val="00F01E93"/>
    <w:rsid w:val="00F0211A"/>
    <w:rsid w:val="00F04C42"/>
    <w:rsid w:val="00F05F96"/>
    <w:rsid w:val="00F066E8"/>
    <w:rsid w:val="00F06B6B"/>
    <w:rsid w:val="00F07B7B"/>
    <w:rsid w:val="00F1056B"/>
    <w:rsid w:val="00F1097E"/>
    <w:rsid w:val="00F1298D"/>
    <w:rsid w:val="00F12D2D"/>
    <w:rsid w:val="00F14CAB"/>
    <w:rsid w:val="00F15017"/>
    <w:rsid w:val="00F155D3"/>
    <w:rsid w:val="00F15FA4"/>
    <w:rsid w:val="00F16211"/>
    <w:rsid w:val="00F16E2B"/>
    <w:rsid w:val="00F17EF4"/>
    <w:rsid w:val="00F216F1"/>
    <w:rsid w:val="00F2172B"/>
    <w:rsid w:val="00F2176C"/>
    <w:rsid w:val="00F22C13"/>
    <w:rsid w:val="00F23E37"/>
    <w:rsid w:val="00F26432"/>
    <w:rsid w:val="00F2689D"/>
    <w:rsid w:val="00F26BBB"/>
    <w:rsid w:val="00F27B0F"/>
    <w:rsid w:val="00F313FB"/>
    <w:rsid w:val="00F32810"/>
    <w:rsid w:val="00F3688F"/>
    <w:rsid w:val="00F4121F"/>
    <w:rsid w:val="00F422F9"/>
    <w:rsid w:val="00F50042"/>
    <w:rsid w:val="00F509A3"/>
    <w:rsid w:val="00F51436"/>
    <w:rsid w:val="00F52CB8"/>
    <w:rsid w:val="00F53107"/>
    <w:rsid w:val="00F544A5"/>
    <w:rsid w:val="00F54DC6"/>
    <w:rsid w:val="00F55EA1"/>
    <w:rsid w:val="00F57022"/>
    <w:rsid w:val="00F602E0"/>
    <w:rsid w:val="00F607F1"/>
    <w:rsid w:val="00F60D04"/>
    <w:rsid w:val="00F61560"/>
    <w:rsid w:val="00F62D6B"/>
    <w:rsid w:val="00F67355"/>
    <w:rsid w:val="00F7161C"/>
    <w:rsid w:val="00F71EEF"/>
    <w:rsid w:val="00F72BBF"/>
    <w:rsid w:val="00F73732"/>
    <w:rsid w:val="00F749FE"/>
    <w:rsid w:val="00F765DE"/>
    <w:rsid w:val="00F77CC7"/>
    <w:rsid w:val="00F77ECC"/>
    <w:rsid w:val="00F81633"/>
    <w:rsid w:val="00F81BEA"/>
    <w:rsid w:val="00F833C6"/>
    <w:rsid w:val="00F834CE"/>
    <w:rsid w:val="00F86C7F"/>
    <w:rsid w:val="00F90222"/>
    <w:rsid w:val="00F92F6F"/>
    <w:rsid w:val="00F93306"/>
    <w:rsid w:val="00F93759"/>
    <w:rsid w:val="00F93C51"/>
    <w:rsid w:val="00F9490D"/>
    <w:rsid w:val="00F94E71"/>
    <w:rsid w:val="00F94F1C"/>
    <w:rsid w:val="00FA10C4"/>
    <w:rsid w:val="00FA1DEB"/>
    <w:rsid w:val="00FA2674"/>
    <w:rsid w:val="00FA450C"/>
    <w:rsid w:val="00FA580A"/>
    <w:rsid w:val="00FA5816"/>
    <w:rsid w:val="00FA73B3"/>
    <w:rsid w:val="00FB015F"/>
    <w:rsid w:val="00FB17D6"/>
    <w:rsid w:val="00FB30F4"/>
    <w:rsid w:val="00FB4E9E"/>
    <w:rsid w:val="00FB6136"/>
    <w:rsid w:val="00FC2F05"/>
    <w:rsid w:val="00FC3920"/>
    <w:rsid w:val="00FC4611"/>
    <w:rsid w:val="00FC4B58"/>
    <w:rsid w:val="00FC4D24"/>
    <w:rsid w:val="00FC4DA4"/>
    <w:rsid w:val="00FC4E57"/>
    <w:rsid w:val="00FC556D"/>
    <w:rsid w:val="00FC572D"/>
    <w:rsid w:val="00FC601B"/>
    <w:rsid w:val="00FC6625"/>
    <w:rsid w:val="00FC728C"/>
    <w:rsid w:val="00FD1249"/>
    <w:rsid w:val="00FD15B9"/>
    <w:rsid w:val="00FD38FF"/>
    <w:rsid w:val="00FD3EE1"/>
    <w:rsid w:val="00FD4E5C"/>
    <w:rsid w:val="00FD50F9"/>
    <w:rsid w:val="00FD5E3B"/>
    <w:rsid w:val="00FD6019"/>
    <w:rsid w:val="00FD6818"/>
    <w:rsid w:val="00FE11A4"/>
    <w:rsid w:val="00FE18D3"/>
    <w:rsid w:val="00FE2E1A"/>
    <w:rsid w:val="00FE36BF"/>
    <w:rsid w:val="00FE3DF6"/>
    <w:rsid w:val="00FE4B1E"/>
    <w:rsid w:val="00FE5930"/>
    <w:rsid w:val="00FE5C1D"/>
    <w:rsid w:val="00FE6655"/>
    <w:rsid w:val="00FE722F"/>
    <w:rsid w:val="00FE7C77"/>
    <w:rsid w:val="00FE7D55"/>
    <w:rsid w:val="00FF0B93"/>
    <w:rsid w:val="00FF13CB"/>
    <w:rsid w:val="00FF2AAD"/>
    <w:rsid w:val="00FF339B"/>
    <w:rsid w:val="00FF3F97"/>
    <w:rsid w:val="00FF4D25"/>
    <w:rsid w:val="00FF4F1E"/>
    <w:rsid w:val="00FF559C"/>
    <w:rsid w:val="00FF6497"/>
    <w:rsid w:val="00FF7D7F"/>
    <w:rsid w:val="78F925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17F4"/>
  <w15:docId w15:val="{FB1A6501-D9B9-4728-BD51-E5C572F3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0"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0" w:unhideWhenUsed="1" w:qFormat="1"/>
    <w:lsdException w:name="List Bullet 3" w:locked="0" w:semiHidden="1" w:uiPriority="0" w:unhideWhenUsed="1" w:qFormat="1"/>
    <w:lsdException w:name="List Bullet 4" w:locked="0" w:semiHidden="1" w:uiPriority="0"/>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1"/>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uiPriority="22"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uiPriority="2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97C2B"/>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qFormat/>
    <w:rsid w:val="003C7246"/>
    <w:pPr>
      <w:keepNext/>
      <w:keepLines/>
      <w:spacing w:before="240" w:after="0" w:line="276" w:lineRule="auto"/>
      <w:outlineLvl w:val="5"/>
    </w:pPr>
    <w:rPr>
      <w:rFonts w:eastAsiaTheme="majorEastAsia" w:cstheme="majorBidi"/>
      <w:color w:val="4B0885"/>
      <w:sz w:val="19"/>
    </w:rPr>
  </w:style>
  <w:style w:type="paragraph" w:styleId="Heading7">
    <w:name w:val="heading 7"/>
    <w:basedOn w:val="Normal"/>
    <w:next w:val="Normal"/>
    <w:link w:val="Heading7Char"/>
    <w:uiPriority w:val="9"/>
    <w:unhideWhenUsed/>
    <w:rsid w:val="00FE18D3"/>
    <w:pPr>
      <w:keepNext/>
      <w:keepLines/>
      <w:spacing w:before="240" w:after="0" w:line="264" w:lineRule="auto"/>
      <w:outlineLvl w:val="6"/>
    </w:pPr>
    <w:rPr>
      <w:rFonts w:asciiTheme="majorHAnsi" w:eastAsiaTheme="majorEastAsia" w:hAnsiTheme="majorHAnsi" w:cstheme="majorBidi"/>
      <w:i/>
      <w:iCs/>
      <w:color w:val="243F60" w:themeColor="accent1" w:themeShade="7F"/>
      <w:szCs w:val="22"/>
    </w:rPr>
  </w:style>
  <w:style w:type="paragraph" w:styleId="Heading8">
    <w:name w:val="heading 8"/>
    <w:basedOn w:val="Normal"/>
    <w:next w:val="Normal"/>
    <w:link w:val="Heading8Char"/>
    <w:uiPriority w:val="9"/>
    <w:semiHidden/>
    <w:unhideWhenUsed/>
    <w:rsid w:val="00FE18D3"/>
    <w:pPr>
      <w:keepNext/>
      <w:keepLines/>
      <w:spacing w:before="2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18D3"/>
    <w:pPr>
      <w:keepNext/>
      <w:keepLines/>
      <w:spacing w:before="2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qFormat/>
    <w:rsid w:val="005002B4"/>
    <w:pPr>
      <w:numPr>
        <w:numId w:val="11"/>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3"/>
      </w:numPr>
    </w:pPr>
  </w:style>
  <w:style w:type="paragraph" w:styleId="ListBullet2">
    <w:name w:val="List Bullet 2"/>
    <w:basedOn w:val="Normal"/>
    <w:qFormat/>
    <w:rsid w:val="005002B4"/>
    <w:pPr>
      <w:numPr>
        <w:ilvl w:val="1"/>
        <w:numId w:val="11"/>
      </w:numPr>
      <w:spacing w:before="120" w:after="120" w:line="276" w:lineRule="auto"/>
    </w:pPr>
    <w:rPr>
      <w:rFonts w:eastAsia="Times New Roman" w:cs="Times New Roman"/>
      <w:szCs w:val="24"/>
      <w:lang w:eastAsia="en-GB"/>
    </w:rPr>
  </w:style>
  <w:style w:type="paragraph" w:styleId="ListBullet3">
    <w:name w:val="List Bullet 3"/>
    <w:basedOn w:val="Normal"/>
    <w:qFormat/>
    <w:rsid w:val="005002B4"/>
    <w:pPr>
      <w:numPr>
        <w:ilvl w:val="2"/>
        <w:numId w:val="11"/>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4"/>
      </w:numPr>
    </w:pPr>
  </w:style>
  <w:style w:type="paragraph" w:styleId="ListNumber2">
    <w:name w:val="List Number 2"/>
    <w:basedOn w:val="Normal"/>
    <w:uiPriority w:val="5"/>
    <w:qFormat/>
    <w:rsid w:val="005002B4"/>
    <w:pPr>
      <w:numPr>
        <w:ilvl w:val="1"/>
        <w:numId w:val="8"/>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8"/>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8"/>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12"/>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5"/>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13"/>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6"/>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aliases w:val="Recommendation,L,List Paragraph1,List Paragraph11,NFP GP Bulleted List,FooterText,numbered,Paragraphe de liste1,Bulletr List Paragraph,列出段落,列出段落1,List Paragraph2,List Paragraph21,Listeafsnit1,Parágrafo da Lista1,Párrafo de lista1,リスト段落1"/>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14"/>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2"/>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29"/>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99"/>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99"/>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BodyText"/>
    <w:link w:val="TitleChar"/>
    <w:uiPriority w:val="1"/>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1"/>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7"/>
      </w:numPr>
    </w:pPr>
  </w:style>
  <w:style w:type="paragraph" w:styleId="TOCHeading">
    <w:name w:val="TOC Heading"/>
    <w:basedOn w:val="Heading1"/>
    <w:next w:val="Normal"/>
    <w:uiPriority w:val="39"/>
    <w:qFormat/>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10"/>
      </w:numPr>
    </w:pPr>
  </w:style>
  <w:style w:type="numbering" w:customStyle="1" w:styleId="ListLegalmaster">
    <w:name w:val="List Legal (master)"/>
    <w:uiPriority w:val="99"/>
    <w:rsid w:val="00291313"/>
    <w:pPr>
      <w:numPr>
        <w:numId w:val="9"/>
      </w:numPr>
    </w:pPr>
  </w:style>
  <w:style w:type="paragraph" w:customStyle="1" w:styleId="ListLegal2">
    <w:name w:val="List Legal 2"/>
    <w:basedOn w:val="ListNumber2"/>
    <w:uiPriority w:val="8"/>
    <w:semiHidden/>
    <w:qFormat/>
    <w:rsid w:val="00291313"/>
    <w:pPr>
      <w:numPr>
        <w:numId w:val="1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rsid w:val="00E23C2C"/>
    <w:pPr>
      <w:spacing w:before="0" w:after="80"/>
      <w:ind w:left="113" w:hanging="113"/>
    </w:pPr>
    <w:rPr>
      <w:sz w:val="18"/>
    </w:rPr>
  </w:style>
  <w:style w:type="character" w:customStyle="1" w:styleId="FootnoteTextChar">
    <w:name w:val="Footnote Text Char"/>
    <w:basedOn w:val="DefaultParagraphFont"/>
    <w:link w:val="FootnoteText"/>
    <w:uiPriority w:val="99"/>
    <w:rsid w:val="00E23C2C"/>
    <w:rPr>
      <w:rFonts w:ascii="Arial" w:hAnsi="Arial"/>
      <w:sz w:val="18"/>
      <w:lang w:val="en-AU"/>
    </w:rPr>
  </w:style>
  <w:style w:type="character" w:styleId="FootnoteReference">
    <w:name w:val="footnote reference"/>
    <w:basedOn w:val="DefaultParagraphFont"/>
    <w:uiPriority w:val="99"/>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548DD4"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548DD4"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D15488"/>
    <w:rPr>
      <w:sz w:val="16"/>
      <w:szCs w:val="16"/>
    </w:rPr>
  </w:style>
  <w:style w:type="paragraph" w:styleId="CommentText">
    <w:name w:val="annotation text"/>
    <w:basedOn w:val="Normal"/>
    <w:link w:val="CommentTextChar"/>
    <w:uiPriority w:val="99"/>
    <w:unhideWhenUsed/>
    <w:rsid w:val="00D15488"/>
    <w:pPr>
      <w:spacing w:before="0" w:after="100"/>
    </w:pPr>
    <w:rPr>
      <w:sz w:val="20"/>
    </w:rPr>
  </w:style>
  <w:style w:type="character" w:customStyle="1" w:styleId="CommentTextChar">
    <w:name w:val="Comment Text Char"/>
    <w:basedOn w:val="DefaultParagraphFont"/>
    <w:link w:val="CommentText"/>
    <w:uiPriority w:val="99"/>
    <w:rsid w:val="00D15488"/>
    <w:rPr>
      <w:rFonts w:ascii="Arial" w:hAnsi="Arial"/>
      <w:lang w:val="en-AU"/>
    </w:rPr>
  </w:style>
  <w:style w:type="character" w:customStyle="1" w:styleId="Heading7Char">
    <w:name w:val="Heading 7 Char"/>
    <w:basedOn w:val="DefaultParagraphFont"/>
    <w:link w:val="Heading7"/>
    <w:uiPriority w:val="9"/>
    <w:rsid w:val="00FE18D3"/>
    <w:rPr>
      <w:rFonts w:asciiTheme="majorHAnsi" w:eastAsiaTheme="majorEastAsia" w:hAnsiTheme="majorHAnsi" w:cstheme="majorBidi"/>
      <w:i/>
      <w:iCs/>
      <w:color w:val="243F60" w:themeColor="accent1" w:themeShade="7F"/>
      <w:sz w:val="22"/>
      <w:szCs w:val="22"/>
      <w:lang w:val="en-AU"/>
    </w:rPr>
  </w:style>
  <w:style w:type="character" w:customStyle="1" w:styleId="Heading8Char">
    <w:name w:val="Heading 8 Char"/>
    <w:basedOn w:val="DefaultParagraphFont"/>
    <w:link w:val="Heading8"/>
    <w:uiPriority w:val="9"/>
    <w:semiHidden/>
    <w:rsid w:val="00FE18D3"/>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FE18D3"/>
    <w:rPr>
      <w:rFonts w:asciiTheme="majorHAnsi" w:eastAsiaTheme="majorEastAsia" w:hAnsiTheme="majorHAnsi" w:cstheme="majorBidi"/>
      <w:i/>
      <w:iCs/>
      <w:color w:val="272727" w:themeColor="text1" w:themeTint="D8"/>
      <w:sz w:val="21"/>
      <w:szCs w:val="21"/>
      <w:lang w:val="en-AU"/>
    </w:rPr>
  </w:style>
  <w:style w:type="paragraph" w:styleId="CommentSubject">
    <w:name w:val="annotation subject"/>
    <w:basedOn w:val="CommentText"/>
    <w:next w:val="CommentText"/>
    <w:link w:val="CommentSubjectChar"/>
    <w:uiPriority w:val="99"/>
    <w:semiHidden/>
    <w:unhideWhenUsed/>
    <w:rsid w:val="00FE18D3"/>
    <w:rPr>
      <w:b/>
      <w:bCs/>
    </w:rPr>
  </w:style>
  <w:style w:type="character" w:customStyle="1" w:styleId="CommentSubjectChar">
    <w:name w:val="Comment Subject Char"/>
    <w:basedOn w:val="CommentTextChar"/>
    <w:link w:val="CommentSubject"/>
    <w:uiPriority w:val="99"/>
    <w:semiHidden/>
    <w:rsid w:val="00FE18D3"/>
    <w:rPr>
      <w:rFonts w:ascii="Arial" w:hAnsi="Arial"/>
      <w:b/>
      <w:bCs/>
      <w:lang w:val="en-AU"/>
    </w:rPr>
  </w:style>
  <w:style w:type="paragraph" w:styleId="TOC5">
    <w:name w:val="toc 5"/>
    <w:basedOn w:val="Normal"/>
    <w:next w:val="Normal"/>
    <w:autoRedefine/>
    <w:uiPriority w:val="39"/>
    <w:unhideWhenUsed/>
    <w:rsid w:val="00FE18D3"/>
    <w:pPr>
      <w:tabs>
        <w:tab w:val="right" w:leader="dot" w:pos="9016"/>
      </w:tabs>
      <w:spacing w:before="0" w:after="100" w:line="264" w:lineRule="auto"/>
      <w:ind w:left="220"/>
    </w:pPr>
    <w:rPr>
      <w:szCs w:val="22"/>
    </w:rPr>
  </w:style>
  <w:style w:type="paragraph" w:styleId="ListBullet4">
    <w:name w:val="List Bullet 4"/>
    <w:basedOn w:val="ListBullet3"/>
    <w:semiHidden/>
    <w:rsid w:val="00FE18D3"/>
    <w:pPr>
      <w:numPr>
        <w:ilvl w:val="0"/>
        <w:numId w:val="0"/>
      </w:numPr>
      <w:spacing w:before="0" w:after="100" w:line="240" w:lineRule="atLeast"/>
      <w:ind w:left="1360" w:hanging="340"/>
    </w:pPr>
    <w:rPr>
      <w:rFonts w:eastAsia="SimSun"/>
      <w:spacing w:val="-1"/>
      <w:szCs w:val="20"/>
      <w:lang w:val="en-GB"/>
    </w:rPr>
  </w:style>
  <w:style w:type="paragraph" w:styleId="MacroText">
    <w:name w:val="macro"/>
    <w:link w:val="MacroTextChar"/>
    <w:uiPriority w:val="99"/>
    <w:unhideWhenUsed/>
    <w:rsid w:val="00FE18D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lang w:val="en-AU"/>
    </w:rPr>
  </w:style>
  <w:style w:type="character" w:customStyle="1" w:styleId="MacroTextChar">
    <w:name w:val="Macro Text Char"/>
    <w:basedOn w:val="DefaultParagraphFont"/>
    <w:link w:val="MacroText"/>
    <w:uiPriority w:val="99"/>
    <w:rsid w:val="00FE18D3"/>
    <w:rPr>
      <w:rFonts w:ascii="Consolas" w:hAnsi="Consolas"/>
      <w:lang w:val="en-AU"/>
    </w:rPr>
  </w:style>
  <w:style w:type="paragraph" w:styleId="Index7">
    <w:name w:val="index 7"/>
    <w:basedOn w:val="Normal"/>
    <w:next w:val="Normal"/>
    <w:autoRedefine/>
    <w:uiPriority w:val="99"/>
    <w:semiHidden/>
    <w:unhideWhenUsed/>
    <w:rsid w:val="00FE18D3"/>
    <w:pPr>
      <w:spacing w:before="240" w:after="0"/>
      <w:ind w:left="1542" w:hanging="221"/>
    </w:pPr>
    <w:rPr>
      <w:szCs w:val="22"/>
    </w:rPr>
  </w:style>
  <w:style w:type="character" w:styleId="Emphasis">
    <w:name w:val="Emphasis"/>
    <w:basedOn w:val="DefaultParagraphFont"/>
    <w:qFormat/>
    <w:rsid w:val="00FE18D3"/>
    <w:rPr>
      <w:rFonts w:ascii="Arial" w:hAnsi="Arial"/>
      <w:i/>
      <w:iCs/>
      <w:sz w:val="22"/>
    </w:rPr>
  </w:style>
  <w:style w:type="character" w:styleId="Strong">
    <w:name w:val="Strong"/>
    <w:basedOn w:val="DefaultParagraphFont"/>
    <w:uiPriority w:val="22"/>
    <w:qFormat/>
    <w:rsid w:val="00FE18D3"/>
    <w:rPr>
      <w:rFonts w:ascii="Arial" w:hAnsi="Arial"/>
      <w:b/>
      <w:bCs/>
      <w:sz w:val="22"/>
    </w:rPr>
  </w:style>
  <w:style w:type="table" w:styleId="GridTable4-Accent1">
    <w:name w:val="Grid Table 4 Accent 1"/>
    <w:basedOn w:val="TableNormal"/>
    <w:uiPriority w:val="49"/>
    <w:locked/>
    <w:rsid w:val="00FE18D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FE18D3"/>
    <w:rPr>
      <w:color w:val="800080" w:themeColor="followedHyperlink"/>
      <w:u w:val="single"/>
    </w:rPr>
  </w:style>
  <w:style w:type="paragraph" w:styleId="Revision">
    <w:name w:val="Revision"/>
    <w:hidden/>
    <w:uiPriority w:val="99"/>
    <w:semiHidden/>
    <w:rsid w:val="00FE18D3"/>
    <w:pPr>
      <w:spacing w:after="0" w:line="240" w:lineRule="auto"/>
    </w:pPr>
    <w:rPr>
      <w:sz w:val="22"/>
      <w:szCs w:val="22"/>
      <w:lang w:val="en-AU"/>
    </w:rPr>
  </w:style>
  <w:style w:type="character" w:styleId="IntenseEmphasis">
    <w:name w:val="Intense Emphasis"/>
    <w:basedOn w:val="DefaultParagraphFont"/>
    <w:uiPriority w:val="21"/>
    <w:qFormat/>
    <w:rsid w:val="00FE18D3"/>
    <w:rPr>
      <w:i/>
      <w:iCs/>
      <w:color w:val="4F81BD" w:themeColor="accent1"/>
    </w:rPr>
  </w:style>
  <w:style w:type="character" w:styleId="Mention">
    <w:name w:val="Mention"/>
    <w:basedOn w:val="DefaultParagraphFont"/>
    <w:uiPriority w:val="99"/>
    <w:unhideWhenUsed/>
    <w:rsid w:val="00FE18D3"/>
    <w:rPr>
      <w:color w:val="2B579A"/>
      <w:shd w:val="clear" w:color="auto" w:fill="E1DFDD"/>
    </w:rPr>
  </w:style>
  <w:style w:type="table" w:styleId="GridTable3">
    <w:name w:val="Grid Table 3"/>
    <w:basedOn w:val="TableNormal"/>
    <w:uiPriority w:val="48"/>
    <w:locked/>
    <w:rsid w:val="00FE18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locked/>
    <w:rsid w:val="006D2D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locked/>
    <w:rsid w:val="006D2D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1C6487"/>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C6487"/>
  </w:style>
  <w:style w:type="character" w:customStyle="1" w:styleId="eop">
    <w:name w:val="eop"/>
    <w:basedOn w:val="DefaultParagraphFont"/>
    <w:rsid w:val="001C6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86119">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3682283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648175332">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124078102">
      <w:bodyDiv w:val="1"/>
      <w:marLeft w:val="0"/>
      <w:marRight w:val="0"/>
      <w:marTop w:val="0"/>
      <w:marBottom w:val="0"/>
      <w:divBdr>
        <w:top w:val="none" w:sz="0" w:space="0" w:color="auto"/>
        <w:left w:val="none" w:sz="0" w:space="0" w:color="auto"/>
        <w:bottom w:val="none" w:sz="0" w:space="0" w:color="auto"/>
        <w:right w:val="none" w:sz="0" w:space="0" w:color="auto"/>
      </w:divBdr>
    </w:div>
    <w:div w:id="1248152755">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379934886">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87244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1.xml"/><Relationship Id="rId26" Type="http://schemas.openxmlformats.org/officeDocument/2006/relationships/chart" Target="charts/chart5.xml"/><Relationship Id="rId39" Type="http://schemas.openxmlformats.org/officeDocument/2006/relationships/glossaryDocument" Target="glossary/document.xml"/><Relationship Id="rId21" Type="http://schemas.openxmlformats.org/officeDocument/2006/relationships/chart" Target="charts/chart4.xml"/><Relationship Id="rId34" Type="http://schemas.openxmlformats.org/officeDocument/2006/relationships/hyperlink" Target="https://www.jobsandskills.gov.au/data/jobs-and-skills-atla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3.jpeg"/><Relationship Id="rId33" Type="http://schemas.openxmlformats.org/officeDocument/2006/relationships/hyperlink" Target="https://www.jobsandskills.gov.au/data/occupation-shortages-analysis/occupation-shortage-lis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3.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jobsandskills.gov.au/publications/mature-age-workers-and-labour-market" TargetMode="External"/><Relationship Id="rId32" Type="http://schemas.openxmlformats.org/officeDocument/2006/relationships/hyperlink" Target="https://www.jobsandskills.gov.au/data/recruitment-experiences-and-outlook-survey"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jobsandskills.gov.au/data/recruitment-experiences-and-outlook-survey/research-articles/employers-experiences-young-job-applicants" TargetMode="External"/><Relationship Id="rId28" Type="http://schemas.openxmlformats.org/officeDocument/2006/relationships/chart" Target="charts/chart7.xml"/><Relationship Id="rId36" Type="http://schemas.openxmlformats.org/officeDocument/2006/relationships/hyperlink" Target="https://www.jobsandskills.gov.au/publications/australian-labour-market-migrants-april-2025" TargetMode="Externa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hyperlink" Target="https://www.jobsandskills.gov.au/data/internet-vacancy-ind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jobsandskills.gov.au/data/recruitment-experiences-and-outlook-survey" TargetMode="External"/><Relationship Id="rId27" Type="http://schemas.openxmlformats.org/officeDocument/2006/relationships/chart" Target="charts/chart6.xml"/><Relationship Id="rId30" Type="http://schemas.openxmlformats.org/officeDocument/2006/relationships/hyperlink" Target="https://www.jobsandskills.gov.au/" TargetMode="External"/><Relationship Id="rId35" Type="http://schemas.openxmlformats.org/officeDocument/2006/relationships/hyperlink" Target="https://www.jobsandskills.gov.au/data/nero"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ACCESS.application.enet\SPECIAL$\NSC%20-%20LMAAS\General%20work\Quarterly%20Labour%20Market%20Update\March%20quarter%202025\Charts%20and%20tables%20data%20-%20LMAA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ACCESS.application.enet\SPECIAL$\NSC%20-%20LMAAS\General%20work\Quarterly%20Labour%20Market%20Update\March%20quarter%202025\Charts%20and%20tables%20data%20-%20LMA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MP.application.enet\50038325\WF%20Branch\05%20Occupational%20and%20Industry%20Analysis\02%20Briefs,%20QTB's,%20Senate%20Estimates%20and%20Ministerials\01%20Quarterly%20Industry%20and%20Occupation%20Brief\2025\February%202025\LMU\Copy%20of%20Data%20LFS%20update%2025%20Feb%20-%20DATA%20revised%20SH.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MP.application.enet\50038325\LMM%20Branch\Cross-team%20tasks\Quarterly%20Labour%20Market%20Update\1.%20March%20Quarter\3.%202025%20Edition\FOR%20INPUT%20-%20Labour%20Market%20Update%20-%20Charts%20and%20Graph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MP.application.enet\50038325\LMM%20Branch\Cross-team%20tasks\Quarterly%20Labour%20Market%20Update\1.%20March%20Quarter\3.%202025%20Edition\FOR%20INPUT%20-%20Labour%20Market%20Update%20-%20Charts%20and%20Graph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MP.application.enet\50038325\LMM%20Branch\Cross-team%20tasks\Quarterly%20Labour%20Market%20Update\1.%20March%20Quarter\3.%202025%20Edition\ERSA\REOS%20graphs%20and%20datafile.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MP.application.enet\50038325\LMM%20Branch\Cross-team%20tasks\Quarterly%20Labour%20Market%20Update\1.%20March%20Quarter\3.%202025%20Edition\ERSA\REOS%20graphs%20and%20datafile.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https://sharedservicescentre.sharepoint.com/sites/JSA-EmployerRecruitmentSurveysandAnalysisERSA-TEAM/Shared%20Documents/General/ERSA/2025%20Calendar%20Year/Labour%20Market%20Update%20-%20March%202025/FOR%20INPUT%20-%20Labour%20Market%20Update%20-%20Charts%20a"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'Figure 1'!$C$4</c:f>
              <c:strCache>
                <c:ptCount val="1"/>
                <c:pt idx="0">
                  <c:v>Annual change in employment (%)</c:v>
                </c:pt>
              </c:strCache>
            </c:strRef>
          </c:tx>
          <c:spPr>
            <a:solidFill>
              <a:schemeClr val="accent2"/>
            </a:solidFill>
            <a:ln>
              <a:noFill/>
            </a:ln>
            <a:effectLst/>
          </c:spPr>
          <c:invertIfNegative val="0"/>
          <c:cat>
            <c:numRef>
              <c:f>'Figure 1'!$A$5:$A$122</c:f>
              <c:numCache>
                <c:formatCode>mmm\-yy</c:formatCode>
                <c:ptCount val="118"/>
                <c:pt idx="0">
                  <c:v>42064</c:v>
                </c:pt>
                <c:pt idx="1">
                  <c:v>42095</c:v>
                </c:pt>
                <c:pt idx="2">
                  <c:v>42125</c:v>
                </c:pt>
                <c:pt idx="3">
                  <c:v>42156</c:v>
                </c:pt>
                <c:pt idx="4">
                  <c:v>42186</c:v>
                </c:pt>
                <c:pt idx="5">
                  <c:v>42217</c:v>
                </c:pt>
                <c:pt idx="6">
                  <c:v>42248</c:v>
                </c:pt>
                <c:pt idx="7">
                  <c:v>42278</c:v>
                </c:pt>
                <c:pt idx="8">
                  <c:v>42309</c:v>
                </c:pt>
                <c:pt idx="9">
                  <c:v>42339</c:v>
                </c:pt>
                <c:pt idx="10">
                  <c:v>42370</c:v>
                </c:pt>
                <c:pt idx="11">
                  <c:v>42401</c:v>
                </c:pt>
                <c:pt idx="12">
                  <c:v>42430</c:v>
                </c:pt>
                <c:pt idx="13">
                  <c:v>42461</c:v>
                </c:pt>
                <c:pt idx="14">
                  <c:v>42491</c:v>
                </c:pt>
                <c:pt idx="15">
                  <c:v>42522</c:v>
                </c:pt>
                <c:pt idx="16">
                  <c:v>42552</c:v>
                </c:pt>
                <c:pt idx="17">
                  <c:v>42583</c:v>
                </c:pt>
                <c:pt idx="18">
                  <c:v>42614</c:v>
                </c:pt>
                <c:pt idx="19">
                  <c:v>42644</c:v>
                </c:pt>
                <c:pt idx="20">
                  <c:v>42675</c:v>
                </c:pt>
                <c:pt idx="21">
                  <c:v>42705</c:v>
                </c:pt>
                <c:pt idx="22">
                  <c:v>42736</c:v>
                </c:pt>
                <c:pt idx="23">
                  <c:v>42767</c:v>
                </c:pt>
                <c:pt idx="24">
                  <c:v>42795</c:v>
                </c:pt>
                <c:pt idx="25">
                  <c:v>42826</c:v>
                </c:pt>
                <c:pt idx="26">
                  <c:v>42856</c:v>
                </c:pt>
                <c:pt idx="27">
                  <c:v>42887</c:v>
                </c:pt>
                <c:pt idx="28">
                  <c:v>42917</c:v>
                </c:pt>
                <c:pt idx="29">
                  <c:v>42948</c:v>
                </c:pt>
                <c:pt idx="30">
                  <c:v>42979</c:v>
                </c:pt>
                <c:pt idx="31">
                  <c:v>43009</c:v>
                </c:pt>
                <c:pt idx="32">
                  <c:v>43040</c:v>
                </c:pt>
                <c:pt idx="33">
                  <c:v>43070</c:v>
                </c:pt>
                <c:pt idx="34">
                  <c:v>43101</c:v>
                </c:pt>
                <c:pt idx="35">
                  <c:v>43132</c:v>
                </c:pt>
                <c:pt idx="36">
                  <c:v>43160</c:v>
                </c:pt>
                <c:pt idx="37">
                  <c:v>43191</c:v>
                </c:pt>
                <c:pt idx="38">
                  <c:v>43221</c:v>
                </c:pt>
                <c:pt idx="39">
                  <c:v>43252</c:v>
                </c:pt>
                <c:pt idx="40">
                  <c:v>43282</c:v>
                </c:pt>
                <c:pt idx="41">
                  <c:v>43313</c:v>
                </c:pt>
                <c:pt idx="42">
                  <c:v>43344</c:v>
                </c:pt>
                <c:pt idx="43">
                  <c:v>43374</c:v>
                </c:pt>
                <c:pt idx="44">
                  <c:v>43405</c:v>
                </c:pt>
                <c:pt idx="45">
                  <c:v>43435</c:v>
                </c:pt>
                <c:pt idx="46">
                  <c:v>43466</c:v>
                </c:pt>
                <c:pt idx="47">
                  <c:v>43497</c:v>
                </c:pt>
                <c:pt idx="48">
                  <c:v>43525</c:v>
                </c:pt>
                <c:pt idx="49">
                  <c:v>43556</c:v>
                </c:pt>
                <c:pt idx="50">
                  <c:v>43586</c:v>
                </c:pt>
                <c:pt idx="51">
                  <c:v>43617</c:v>
                </c:pt>
                <c:pt idx="52">
                  <c:v>43647</c:v>
                </c:pt>
                <c:pt idx="53">
                  <c:v>43678</c:v>
                </c:pt>
                <c:pt idx="54">
                  <c:v>43709</c:v>
                </c:pt>
                <c:pt idx="55">
                  <c:v>43739</c:v>
                </c:pt>
                <c:pt idx="56">
                  <c:v>43770</c:v>
                </c:pt>
                <c:pt idx="57">
                  <c:v>43800</c:v>
                </c:pt>
                <c:pt idx="58">
                  <c:v>43831</c:v>
                </c:pt>
                <c:pt idx="59">
                  <c:v>43862</c:v>
                </c:pt>
                <c:pt idx="60">
                  <c:v>43891</c:v>
                </c:pt>
                <c:pt idx="61">
                  <c:v>43922</c:v>
                </c:pt>
                <c:pt idx="62">
                  <c:v>43952</c:v>
                </c:pt>
                <c:pt idx="63">
                  <c:v>43983</c:v>
                </c:pt>
                <c:pt idx="64">
                  <c:v>44013</c:v>
                </c:pt>
                <c:pt idx="65">
                  <c:v>44044</c:v>
                </c:pt>
                <c:pt idx="66">
                  <c:v>44075</c:v>
                </c:pt>
                <c:pt idx="67">
                  <c:v>44105</c:v>
                </c:pt>
                <c:pt idx="68">
                  <c:v>44136</c:v>
                </c:pt>
                <c:pt idx="69">
                  <c:v>44166</c:v>
                </c:pt>
                <c:pt idx="70">
                  <c:v>44197</c:v>
                </c:pt>
                <c:pt idx="71">
                  <c:v>44228</c:v>
                </c:pt>
                <c:pt idx="72">
                  <c:v>44256</c:v>
                </c:pt>
                <c:pt idx="73">
                  <c:v>44287</c:v>
                </c:pt>
                <c:pt idx="74">
                  <c:v>44317</c:v>
                </c:pt>
                <c:pt idx="75">
                  <c:v>44348</c:v>
                </c:pt>
                <c:pt idx="76">
                  <c:v>44378</c:v>
                </c:pt>
                <c:pt idx="77">
                  <c:v>44409</c:v>
                </c:pt>
                <c:pt idx="78">
                  <c:v>44440</c:v>
                </c:pt>
                <c:pt idx="79">
                  <c:v>44470</c:v>
                </c:pt>
                <c:pt idx="80">
                  <c:v>44501</c:v>
                </c:pt>
                <c:pt idx="81">
                  <c:v>44531</c:v>
                </c:pt>
                <c:pt idx="82">
                  <c:v>44562</c:v>
                </c:pt>
                <c:pt idx="83">
                  <c:v>44593</c:v>
                </c:pt>
                <c:pt idx="84">
                  <c:v>44621</c:v>
                </c:pt>
                <c:pt idx="85">
                  <c:v>44652</c:v>
                </c:pt>
                <c:pt idx="86">
                  <c:v>44682</c:v>
                </c:pt>
                <c:pt idx="87">
                  <c:v>44713</c:v>
                </c:pt>
                <c:pt idx="88">
                  <c:v>44743</c:v>
                </c:pt>
                <c:pt idx="89">
                  <c:v>44774</c:v>
                </c:pt>
                <c:pt idx="90">
                  <c:v>44805</c:v>
                </c:pt>
                <c:pt idx="91">
                  <c:v>44835</c:v>
                </c:pt>
                <c:pt idx="92">
                  <c:v>44866</c:v>
                </c:pt>
                <c:pt idx="93">
                  <c:v>44896</c:v>
                </c:pt>
                <c:pt idx="94">
                  <c:v>44927</c:v>
                </c:pt>
                <c:pt idx="95">
                  <c:v>44958</c:v>
                </c:pt>
                <c:pt idx="96">
                  <c:v>44986</c:v>
                </c:pt>
                <c:pt idx="97">
                  <c:v>45017</c:v>
                </c:pt>
                <c:pt idx="98">
                  <c:v>45047</c:v>
                </c:pt>
                <c:pt idx="99">
                  <c:v>45078</c:v>
                </c:pt>
                <c:pt idx="100">
                  <c:v>45108</c:v>
                </c:pt>
                <c:pt idx="101">
                  <c:v>45139</c:v>
                </c:pt>
                <c:pt idx="102">
                  <c:v>45170</c:v>
                </c:pt>
                <c:pt idx="103">
                  <c:v>45200</c:v>
                </c:pt>
                <c:pt idx="104">
                  <c:v>45231</c:v>
                </c:pt>
                <c:pt idx="105">
                  <c:v>45261</c:v>
                </c:pt>
                <c:pt idx="106">
                  <c:v>45292</c:v>
                </c:pt>
                <c:pt idx="107">
                  <c:v>45323</c:v>
                </c:pt>
                <c:pt idx="108">
                  <c:v>45352</c:v>
                </c:pt>
                <c:pt idx="109">
                  <c:v>45383</c:v>
                </c:pt>
                <c:pt idx="110">
                  <c:v>45413</c:v>
                </c:pt>
                <c:pt idx="111">
                  <c:v>45444</c:v>
                </c:pt>
                <c:pt idx="112">
                  <c:v>45474</c:v>
                </c:pt>
                <c:pt idx="113">
                  <c:v>45505</c:v>
                </c:pt>
                <c:pt idx="114">
                  <c:v>45536</c:v>
                </c:pt>
                <c:pt idx="115">
                  <c:v>45566</c:v>
                </c:pt>
                <c:pt idx="116">
                  <c:v>45597</c:v>
                </c:pt>
                <c:pt idx="117">
                  <c:v>45627</c:v>
                </c:pt>
              </c:numCache>
            </c:numRef>
          </c:cat>
          <c:val>
            <c:numRef>
              <c:f>'Figure 1'!$C$5:$C$242</c:f>
              <c:numCache>
                <c:formatCode>0.0%</c:formatCode>
                <c:ptCount val="238"/>
                <c:pt idx="0">
                  <c:v>1.3997956835228991E-2</c:v>
                </c:pt>
                <c:pt idx="1">
                  <c:v>1.3381458134121874E-2</c:v>
                </c:pt>
                <c:pt idx="2">
                  <c:v>1.9160388436511584E-2</c:v>
                </c:pt>
                <c:pt idx="3">
                  <c:v>1.7249610921467148E-2</c:v>
                </c:pt>
                <c:pt idx="4">
                  <c:v>1.8618669727277208E-2</c:v>
                </c:pt>
                <c:pt idx="5">
                  <c:v>1.8572074950514526E-2</c:v>
                </c:pt>
                <c:pt idx="6">
                  <c:v>2.050291155391196E-2</c:v>
                </c:pt>
                <c:pt idx="7">
                  <c:v>2.7597189242971068E-2</c:v>
                </c:pt>
                <c:pt idx="8">
                  <c:v>3.0439827507806213E-2</c:v>
                </c:pt>
                <c:pt idx="9">
                  <c:v>2.6678325472775193E-2</c:v>
                </c:pt>
                <c:pt idx="10">
                  <c:v>2.6042609677494905E-2</c:v>
                </c:pt>
                <c:pt idx="11">
                  <c:v>2.1674063942460946E-2</c:v>
                </c:pt>
                <c:pt idx="12">
                  <c:v>2.1245612206303131E-2</c:v>
                </c:pt>
                <c:pt idx="13">
                  <c:v>2.1905305333762119E-2</c:v>
                </c:pt>
                <c:pt idx="14">
                  <c:v>1.7746649983840481E-2</c:v>
                </c:pt>
                <c:pt idx="15">
                  <c:v>2.0099149545411907E-2</c:v>
                </c:pt>
                <c:pt idx="16">
                  <c:v>1.9927318208772079E-2</c:v>
                </c:pt>
                <c:pt idx="17">
                  <c:v>1.627667957171915E-2</c:v>
                </c:pt>
                <c:pt idx="18">
                  <c:v>1.3449295824753118E-2</c:v>
                </c:pt>
                <c:pt idx="19">
                  <c:v>8.4583997141065171E-3</c:v>
                </c:pt>
                <c:pt idx="20">
                  <c:v>7.8710157849140316E-3</c:v>
                </c:pt>
                <c:pt idx="21">
                  <c:v>9.2470216226216498E-3</c:v>
                </c:pt>
                <c:pt idx="22">
                  <c:v>1.0335864850920405E-2</c:v>
                </c:pt>
                <c:pt idx="23">
                  <c:v>7.5261749611818859E-3</c:v>
                </c:pt>
                <c:pt idx="24">
                  <c:v>1.1243708760930005E-2</c:v>
                </c:pt>
                <c:pt idx="25">
                  <c:v>1.5470424744840748E-2</c:v>
                </c:pt>
                <c:pt idx="26">
                  <c:v>1.8694142924185378E-2</c:v>
                </c:pt>
                <c:pt idx="27">
                  <c:v>1.9626187929060204E-2</c:v>
                </c:pt>
                <c:pt idx="28">
                  <c:v>1.9543846429161335E-2</c:v>
                </c:pt>
                <c:pt idx="29">
                  <c:v>2.7307723766470601E-2</c:v>
                </c:pt>
                <c:pt idx="30">
                  <c:v>3.1782256804207855E-2</c:v>
                </c:pt>
                <c:pt idx="31">
                  <c:v>3.0459496911349714E-2</c:v>
                </c:pt>
                <c:pt idx="32">
                  <c:v>3.1747627032490414E-2</c:v>
                </c:pt>
                <c:pt idx="33">
                  <c:v>3.1689187847786779E-2</c:v>
                </c:pt>
                <c:pt idx="34">
                  <c:v>3.2873911722847371E-2</c:v>
                </c:pt>
                <c:pt idx="35">
                  <c:v>3.3951232659302021E-2</c:v>
                </c:pt>
                <c:pt idx="36">
                  <c:v>3.0384593671953251E-2</c:v>
                </c:pt>
                <c:pt idx="37">
                  <c:v>2.702036848568486E-2</c:v>
                </c:pt>
                <c:pt idx="38">
                  <c:v>2.3660363725338664E-2</c:v>
                </c:pt>
                <c:pt idx="39">
                  <c:v>2.6653859759082497E-2</c:v>
                </c:pt>
                <c:pt idx="40">
                  <c:v>2.3517529029019459E-2</c:v>
                </c:pt>
                <c:pt idx="41">
                  <c:v>2.4774151996297188E-2</c:v>
                </c:pt>
                <c:pt idx="42">
                  <c:v>2.2699260950243886E-2</c:v>
                </c:pt>
                <c:pt idx="43">
                  <c:v>2.4269820992770905E-2</c:v>
                </c:pt>
                <c:pt idx="44">
                  <c:v>2.2334194285223301E-2</c:v>
                </c:pt>
                <c:pt idx="45">
                  <c:v>2.2005977974140143E-2</c:v>
                </c:pt>
                <c:pt idx="46">
                  <c:v>2.2970471543551012E-2</c:v>
                </c:pt>
                <c:pt idx="47">
                  <c:v>2.4514791542573959E-2</c:v>
                </c:pt>
                <c:pt idx="48">
                  <c:v>2.4677691632610702E-2</c:v>
                </c:pt>
                <c:pt idx="49">
                  <c:v>2.6124394563288852E-2</c:v>
                </c:pt>
                <c:pt idx="50">
                  <c:v>2.7295370248265134E-2</c:v>
                </c:pt>
                <c:pt idx="51">
                  <c:v>2.2599826131413193E-2</c:v>
                </c:pt>
                <c:pt idx="52">
                  <c:v>2.4937336387564683E-2</c:v>
                </c:pt>
                <c:pt idx="53">
                  <c:v>2.3581949617022292E-2</c:v>
                </c:pt>
                <c:pt idx="54">
                  <c:v>2.3913605945671684E-2</c:v>
                </c:pt>
                <c:pt idx="55">
                  <c:v>1.8123115725562633E-2</c:v>
                </c:pt>
                <c:pt idx="56">
                  <c:v>1.8189699837094359E-2</c:v>
                </c:pt>
                <c:pt idx="57">
                  <c:v>2.0099467827772187E-2</c:v>
                </c:pt>
                <c:pt idx="58">
                  <c:v>1.678471666040901E-2</c:v>
                </c:pt>
                <c:pt idx="59">
                  <c:v>1.6164957421014647E-2</c:v>
                </c:pt>
                <c:pt idx="60">
                  <c:v>1.4001570638604485E-2</c:v>
                </c:pt>
                <c:pt idx="61">
                  <c:v>-3.4285339672912883E-2</c:v>
                </c:pt>
                <c:pt idx="62">
                  <c:v>-5.7884737866684841E-2</c:v>
                </c:pt>
                <c:pt idx="63">
                  <c:v>-4.0924793545944582E-2</c:v>
                </c:pt>
                <c:pt idx="64">
                  <c:v>-3.2875062321818194E-2</c:v>
                </c:pt>
                <c:pt idx="65">
                  <c:v>-2.5770406161078591E-2</c:v>
                </c:pt>
                <c:pt idx="66">
                  <c:v>-2.9776165187702177E-2</c:v>
                </c:pt>
                <c:pt idx="67">
                  <c:v>-1.5166735063490354E-2</c:v>
                </c:pt>
                <c:pt idx="68">
                  <c:v>-1.0198349886137032E-2</c:v>
                </c:pt>
                <c:pt idx="69">
                  <c:v>-9.7631121938382762E-3</c:v>
                </c:pt>
                <c:pt idx="70">
                  <c:v>-6.7190896221599765E-3</c:v>
                </c:pt>
                <c:pt idx="71">
                  <c:v>-3.6982766579070387E-3</c:v>
                </c:pt>
                <c:pt idx="72">
                  <c:v>2.3471799568871702E-3</c:v>
                </c:pt>
                <c:pt idx="73">
                  <c:v>4.8719512712314852E-2</c:v>
                </c:pt>
                <c:pt idx="74">
                  <c:v>8.1769365785374845E-2</c:v>
                </c:pt>
                <c:pt idx="75">
                  <c:v>6.3614893555691998E-2</c:v>
                </c:pt>
                <c:pt idx="76">
                  <c:v>5.3768643852888369E-2</c:v>
                </c:pt>
                <c:pt idx="77">
                  <c:v>3.1714685296339293E-2</c:v>
                </c:pt>
                <c:pt idx="78">
                  <c:v>2.4385850490032543E-2</c:v>
                </c:pt>
                <c:pt idx="79">
                  <c:v>9.4539812310205293E-3</c:v>
                </c:pt>
                <c:pt idx="80">
                  <c:v>3.1359438918058445E-2</c:v>
                </c:pt>
                <c:pt idx="81">
                  <c:v>3.2751501998184121E-2</c:v>
                </c:pt>
                <c:pt idx="82">
                  <c:v>3.5420229667605128E-2</c:v>
                </c:pt>
                <c:pt idx="83">
                  <c:v>3.6085180856562218E-2</c:v>
                </c:pt>
                <c:pt idx="84">
                  <c:v>3.3583512708640531E-2</c:v>
                </c:pt>
                <c:pt idx="85">
                  <c:v>3.8553703106161956E-2</c:v>
                </c:pt>
                <c:pt idx="86">
                  <c:v>3.4102434450736546E-2</c:v>
                </c:pt>
                <c:pt idx="87">
                  <c:v>3.9893298727031845E-2</c:v>
                </c:pt>
                <c:pt idx="88">
                  <c:v>3.860123312656389E-2</c:v>
                </c:pt>
                <c:pt idx="89">
                  <c:v>5.4583256426291055E-2</c:v>
                </c:pt>
                <c:pt idx="90">
                  <c:v>6.5541975540249042E-2</c:v>
                </c:pt>
                <c:pt idx="91">
                  <c:v>7.282830240879988E-2</c:v>
                </c:pt>
                <c:pt idx="92">
                  <c:v>4.8137767432815268E-2</c:v>
                </c:pt>
                <c:pt idx="93">
                  <c:v>4.0397784888153584E-2</c:v>
                </c:pt>
                <c:pt idx="94">
                  <c:v>3.69553474015301E-2</c:v>
                </c:pt>
                <c:pt idx="95">
                  <c:v>3.5289712023663843E-2</c:v>
                </c:pt>
                <c:pt idx="96">
                  <c:v>4.0311513008564531E-2</c:v>
                </c:pt>
                <c:pt idx="97">
                  <c:v>3.542820763289449E-2</c:v>
                </c:pt>
                <c:pt idx="98">
                  <c:v>3.8868764964478483E-2</c:v>
                </c:pt>
                <c:pt idx="99">
                  <c:v>3.2687696150293669E-2</c:v>
                </c:pt>
                <c:pt idx="100">
                  <c:v>3.195123769807752E-2</c:v>
                </c:pt>
                <c:pt idx="101">
                  <c:v>3.1695929799718796E-2</c:v>
                </c:pt>
                <c:pt idx="102">
                  <c:v>3.080164283867854E-2</c:v>
                </c:pt>
                <c:pt idx="103">
                  <c:v>3.1948718301672528E-2</c:v>
                </c:pt>
                <c:pt idx="104">
                  <c:v>3.0353461099810724E-2</c:v>
                </c:pt>
                <c:pt idx="105">
                  <c:v>2.6858596160888044E-2</c:v>
                </c:pt>
                <c:pt idx="106">
                  <c:v>2.3907603303066304E-2</c:v>
                </c:pt>
                <c:pt idx="107">
                  <c:v>3.0113160906879276E-2</c:v>
                </c:pt>
                <c:pt idx="108">
                  <c:v>2.1619595648860276E-2</c:v>
                </c:pt>
                <c:pt idx="109">
                  <c:v>2.4336726048630165E-2</c:v>
                </c:pt>
                <c:pt idx="110">
                  <c:v>1.9968242193450312E-2</c:v>
                </c:pt>
                <c:pt idx="111">
                  <c:v>2.1063596340635569E-2</c:v>
                </c:pt>
                <c:pt idx="112">
                  <c:v>2.5108602958290149E-2</c:v>
                </c:pt>
                <c:pt idx="113">
                  <c:v>2.2265455207986066E-2</c:v>
                </c:pt>
                <c:pt idx="114">
                  <c:v>2.5770652152430042E-2</c:v>
                </c:pt>
                <c:pt idx="115">
                  <c:v>2.1629142738184701E-2</c:v>
                </c:pt>
                <c:pt idx="116">
                  <c:v>1.989189478144094E-2</c:v>
                </c:pt>
                <c:pt idx="117">
                  <c:v>2.9258020119004136E-2</c:v>
                </c:pt>
                <c:pt idx="118">
                  <c:v>3.1998665383164114E-2</c:v>
                </c:pt>
                <c:pt idx="119">
                  <c:v>1.9005376911191491E-2</c:v>
                </c:pt>
                <c:pt idx="120">
                  <c:v>2.1637756159591823E-2</c:v>
                </c:pt>
              </c:numCache>
            </c:numRef>
          </c:val>
          <c:extLst>
            <c:ext xmlns:c16="http://schemas.microsoft.com/office/drawing/2014/chart" uri="{C3380CC4-5D6E-409C-BE32-E72D297353CC}">
              <c16:uniqueId val="{00000000-0522-402B-A372-4D66A1750C93}"/>
            </c:ext>
          </c:extLst>
        </c:ser>
        <c:dLbls>
          <c:showLegendKey val="0"/>
          <c:showVal val="0"/>
          <c:showCatName val="0"/>
          <c:showSerName val="0"/>
          <c:showPercent val="0"/>
          <c:showBubbleSize val="0"/>
        </c:dLbls>
        <c:gapWidth val="100"/>
        <c:axId val="1932666672"/>
        <c:axId val="1654456912"/>
      </c:barChart>
      <c:lineChart>
        <c:grouping val="standard"/>
        <c:varyColors val="0"/>
        <c:ser>
          <c:idx val="0"/>
          <c:order val="0"/>
          <c:tx>
            <c:strRef>
              <c:f>'Figure 1'!$B$4</c:f>
              <c:strCache>
                <c:ptCount val="1"/>
                <c:pt idx="0">
                  <c:v>Annual change in the civilian population aged 15 years and over (%)</c:v>
                </c:pt>
              </c:strCache>
            </c:strRef>
          </c:tx>
          <c:spPr>
            <a:ln w="28575" cap="rnd">
              <a:solidFill>
                <a:schemeClr val="accent1"/>
              </a:solidFill>
              <a:round/>
            </a:ln>
            <a:effectLst/>
          </c:spPr>
          <c:marker>
            <c:symbol val="none"/>
          </c:marker>
          <c:cat>
            <c:numRef>
              <c:f>'Figure 1'!$A$5:$A$125</c:f>
              <c:numCache>
                <c:formatCode>mmm\-yy</c:formatCode>
                <c:ptCount val="121"/>
                <c:pt idx="0">
                  <c:v>42064</c:v>
                </c:pt>
                <c:pt idx="1">
                  <c:v>42095</c:v>
                </c:pt>
                <c:pt idx="2">
                  <c:v>42125</c:v>
                </c:pt>
                <c:pt idx="3">
                  <c:v>42156</c:v>
                </c:pt>
                <c:pt idx="4">
                  <c:v>42186</c:v>
                </c:pt>
                <c:pt idx="5">
                  <c:v>42217</c:v>
                </c:pt>
                <c:pt idx="6">
                  <c:v>42248</c:v>
                </c:pt>
                <c:pt idx="7">
                  <c:v>42278</c:v>
                </c:pt>
                <c:pt idx="8">
                  <c:v>42309</c:v>
                </c:pt>
                <c:pt idx="9">
                  <c:v>42339</c:v>
                </c:pt>
                <c:pt idx="10">
                  <c:v>42370</c:v>
                </c:pt>
                <c:pt idx="11">
                  <c:v>42401</c:v>
                </c:pt>
                <c:pt idx="12">
                  <c:v>42430</c:v>
                </c:pt>
                <c:pt idx="13">
                  <c:v>42461</c:v>
                </c:pt>
                <c:pt idx="14">
                  <c:v>42491</c:v>
                </c:pt>
                <c:pt idx="15">
                  <c:v>42522</c:v>
                </c:pt>
                <c:pt idx="16">
                  <c:v>42552</c:v>
                </c:pt>
                <c:pt idx="17">
                  <c:v>42583</c:v>
                </c:pt>
                <c:pt idx="18">
                  <c:v>42614</c:v>
                </c:pt>
                <c:pt idx="19">
                  <c:v>42644</c:v>
                </c:pt>
                <c:pt idx="20">
                  <c:v>42675</c:v>
                </c:pt>
                <c:pt idx="21">
                  <c:v>42705</c:v>
                </c:pt>
                <c:pt idx="22">
                  <c:v>42736</c:v>
                </c:pt>
                <c:pt idx="23">
                  <c:v>42767</c:v>
                </c:pt>
                <c:pt idx="24">
                  <c:v>42795</c:v>
                </c:pt>
                <c:pt idx="25">
                  <c:v>42826</c:v>
                </c:pt>
                <c:pt idx="26">
                  <c:v>42856</c:v>
                </c:pt>
                <c:pt idx="27">
                  <c:v>42887</c:v>
                </c:pt>
                <c:pt idx="28">
                  <c:v>42917</c:v>
                </c:pt>
                <c:pt idx="29">
                  <c:v>42948</c:v>
                </c:pt>
                <c:pt idx="30">
                  <c:v>42979</c:v>
                </c:pt>
                <c:pt idx="31">
                  <c:v>43009</c:v>
                </c:pt>
                <c:pt idx="32">
                  <c:v>43040</c:v>
                </c:pt>
                <c:pt idx="33">
                  <c:v>43070</c:v>
                </c:pt>
                <c:pt idx="34">
                  <c:v>43101</c:v>
                </c:pt>
                <c:pt idx="35">
                  <c:v>43132</c:v>
                </c:pt>
                <c:pt idx="36">
                  <c:v>43160</c:v>
                </c:pt>
                <c:pt idx="37">
                  <c:v>43191</c:v>
                </c:pt>
                <c:pt idx="38">
                  <c:v>43221</c:v>
                </c:pt>
                <c:pt idx="39">
                  <c:v>43252</c:v>
                </c:pt>
                <c:pt idx="40">
                  <c:v>43282</c:v>
                </c:pt>
                <c:pt idx="41">
                  <c:v>43313</c:v>
                </c:pt>
                <c:pt idx="42">
                  <c:v>43344</c:v>
                </c:pt>
                <c:pt idx="43">
                  <c:v>43374</c:v>
                </c:pt>
                <c:pt idx="44">
                  <c:v>43405</c:v>
                </c:pt>
                <c:pt idx="45">
                  <c:v>43435</c:v>
                </c:pt>
                <c:pt idx="46">
                  <c:v>43466</c:v>
                </c:pt>
                <c:pt idx="47">
                  <c:v>43497</c:v>
                </c:pt>
                <c:pt idx="48">
                  <c:v>43525</c:v>
                </c:pt>
                <c:pt idx="49">
                  <c:v>43556</c:v>
                </c:pt>
                <c:pt idx="50">
                  <c:v>43586</c:v>
                </c:pt>
                <c:pt idx="51">
                  <c:v>43617</c:v>
                </c:pt>
                <c:pt idx="52">
                  <c:v>43647</c:v>
                </c:pt>
                <c:pt idx="53">
                  <c:v>43678</c:v>
                </c:pt>
                <c:pt idx="54">
                  <c:v>43709</c:v>
                </c:pt>
                <c:pt idx="55">
                  <c:v>43739</c:v>
                </c:pt>
                <c:pt idx="56">
                  <c:v>43770</c:v>
                </c:pt>
                <c:pt idx="57">
                  <c:v>43800</c:v>
                </c:pt>
                <c:pt idx="58">
                  <c:v>43831</c:v>
                </c:pt>
                <c:pt idx="59">
                  <c:v>43862</c:v>
                </c:pt>
                <c:pt idx="60">
                  <c:v>43891</c:v>
                </c:pt>
                <c:pt idx="61">
                  <c:v>43922</c:v>
                </c:pt>
                <c:pt idx="62">
                  <c:v>43952</c:v>
                </c:pt>
                <c:pt idx="63">
                  <c:v>43983</c:v>
                </c:pt>
                <c:pt idx="64">
                  <c:v>44013</c:v>
                </c:pt>
                <c:pt idx="65">
                  <c:v>44044</c:v>
                </c:pt>
                <c:pt idx="66">
                  <c:v>44075</c:v>
                </c:pt>
                <c:pt idx="67">
                  <c:v>44105</c:v>
                </c:pt>
                <c:pt idx="68">
                  <c:v>44136</c:v>
                </c:pt>
                <c:pt idx="69">
                  <c:v>44166</c:v>
                </c:pt>
                <c:pt idx="70">
                  <c:v>44197</c:v>
                </c:pt>
                <c:pt idx="71">
                  <c:v>44228</c:v>
                </c:pt>
                <c:pt idx="72">
                  <c:v>44256</c:v>
                </c:pt>
                <c:pt idx="73">
                  <c:v>44287</c:v>
                </c:pt>
                <c:pt idx="74">
                  <c:v>44317</c:v>
                </c:pt>
                <c:pt idx="75">
                  <c:v>44348</c:v>
                </c:pt>
                <c:pt idx="76">
                  <c:v>44378</c:v>
                </c:pt>
                <c:pt idx="77">
                  <c:v>44409</c:v>
                </c:pt>
                <c:pt idx="78">
                  <c:v>44440</c:v>
                </c:pt>
                <c:pt idx="79">
                  <c:v>44470</c:v>
                </c:pt>
                <c:pt idx="80">
                  <c:v>44501</c:v>
                </c:pt>
                <c:pt idx="81">
                  <c:v>44531</c:v>
                </c:pt>
                <c:pt idx="82">
                  <c:v>44562</c:v>
                </c:pt>
                <c:pt idx="83">
                  <c:v>44593</c:v>
                </c:pt>
                <c:pt idx="84">
                  <c:v>44621</c:v>
                </c:pt>
                <c:pt idx="85">
                  <c:v>44652</c:v>
                </c:pt>
                <c:pt idx="86">
                  <c:v>44682</c:v>
                </c:pt>
                <c:pt idx="87">
                  <c:v>44713</c:v>
                </c:pt>
                <c:pt idx="88">
                  <c:v>44743</c:v>
                </c:pt>
                <c:pt idx="89">
                  <c:v>44774</c:v>
                </c:pt>
                <c:pt idx="90">
                  <c:v>44805</c:v>
                </c:pt>
                <c:pt idx="91">
                  <c:v>44835</c:v>
                </c:pt>
                <c:pt idx="92">
                  <c:v>44866</c:v>
                </c:pt>
                <c:pt idx="93">
                  <c:v>44896</c:v>
                </c:pt>
                <c:pt idx="94">
                  <c:v>44927</c:v>
                </c:pt>
                <c:pt idx="95">
                  <c:v>44958</c:v>
                </c:pt>
                <c:pt idx="96">
                  <c:v>44986</c:v>
                </c:pt>
                <c:pt idx="97">
                  <c:v>45017</c:v>
                </c:pt>
                <c:pt idx="98">
                  <c:v>45047</c:v>
                </c:pt>
                <c:pt idx="99">
                  <c:v>45078</c:v>
                </c:pt>
                <c:pt idx="100">
                  <c:v>45108</c:v>
                </c:pt>
                <c:pt idx="101">
                  <c:v>45139</c:v>
                </c:pt>
                <c:pt idx="102">
                  <c:v>45170</c:v>
                </c:pt>
                <c:pt idx="103">
                  <c:v>45200</c:v>
                </c:pt>
                <c:pt idx="104">
                  <c:v>45231</c:v>
                </c:pt>
                <c:pt idx="105">
                  <c:v>45261</c:v>
                </c:pt>
                <c:pt idx="106">
                  <c:v>45292</c:v>
                </c:pt>
                <c:pt idx="107">
                  <c:v>45323</c:v>
                </c:pt>
                <c:pt idx="108">
                  <c:v>45352</c:v>
                </c:pt>
                <c:pt idx="109">
                  <c:v>45383</c:v>
                </c:pt>
                <c:pt idx="110">
                  <c:v>45413</c:v>
                </c:pt>
                <c:pt idx="111">
                  <c:v>45444</c:v>
                </c:pt>
                <c:pt idx="112">
                  <c:v>45474</c:v>
                </c:pt>
                <c:pt idx="113">
                  <c:v>45505</c:v>
                </c:pt>
                <c:pt idx="114">
                  <c:v>45536</c:v>
                </c:pt>
                <c:pt idx="115">
                  <c:v>45566</c:v>
                </c:pt>
                <c:pt idx="116">
                  <c:v>45597</c:v>
                </c:pt>
                <c:pt idx="117">
                  <c:v>45627</c:v>
                </c:pt>
                <c:pt idx="118">
                  <c:v>45658</c:v>
                </c:pt>
                <c:pt idx="119">
                  <c:v>45689</c:v>
                </c:pt>
                <c:pt idx="120">
                  <c:v>45717</c:v>
                </c:pt>
              </c:numCache>
            </c:numRef>
          </c:cat>
          <c:val>
            <c:numRef>
              <c:f>'Figure 1'!$B$5:$B$242</c:f>
              <c:numCache>
                <c:formatCode>0.0%</c:formatCode>
                <c:ptCount val="238"/>
                <c:pt idx="0">
                  <c:v>1.4667878326877113E-2</c:v>
                </c:pt>
                <c:pt idx="1">
                  <c:v>1.469898562030149E-2</c:v>
                </c:pt>
                <c:pt idx="2">
                  <c:v>1.4730033089231662E-2</c:v>
                </c:pt>
                <c:pt idx="3">
                  <c:v>1.4760966659294352E-2</c:v>
                </c:pt>
                <c:pt idx="4">
                  <c:v>1.474576514726423E-2</c:v>
                </c:pt>
                <c:pt idx="5">
                  <c:v>1.4730445696716471E-2</c:v>
                </c:pt>
                <c:pt idx="6">
                  <c:v>1.471526661855211E-2</c:v>
                </c:pt>
                <c:pt idx="7">
                  <c:v>1.4730208665106799E-2</c:v>
                </c:pt>
                <c:pt idx="8">
                  <c:v>1.4744958239871485E-2</c:v>
                </c:pt>
                <c:pt idx="9">
                  <c:v>1.4759834586950901E-2</c:v>
                </c:pt>
                <c:pt idx="10">
                  <c:v>1.4899180674640928E-2</c:v>
                </c:pt>
                <c:pt idx="11">
                  <c:v>1.5037996037055945E-2</c:v>
                </c:pt>
                <c:pt idx="12">
                  <c:v>1.5176485240404547E-2</c:v>
                </c:pt>
                <c:pt idx="13">
                  <c:v>1.5306403602934429E-2</c:v>
                </c:pt>
                <c:pt idx="14">
                  <c:v>1.5436113709722135E-2</c:v>
                </c:pt>
                <c:pt idx="15">
                  <c:v>1.5565563468027812E-2</c:v>
                </c:pt>
                <c:pt idx="16">
                  <c:v>1.5866941513566171E-2</c:v>
                </c:pt>
                <c:pt idx="17">
                  <c:v>1.6147801351298598E-2</c:v>
                </c:pt>
                <c:pt idx="18">
                  <c:v>1.6427819462816573E-2</c:v>
                </c:pt>
                <c:pt idx="19">
                  <c:v>1.6547057219186041E-2</c:v>
                </c:pt>
                <c:pt idx="20">
                  <c:v>1.6666288109875242E-2</c:v>
                </c:pt>
                <c:pt idx="21">
                  <c:v>1.6784992890459767E-2</c:v>
                </c:pt>
                <c:pt idx="22">
                  <c:v>1.695133355075985E-2</c:v>
                </c:pt>
                <c:pt idx="23">
                  <c:v>1.7117069862595813E-2</c:v>
                </c:pt>
                <c:pt idx="24">
                  <c:v>1.7282296983690913E-2</c:v>
                </c:pt>
                <c:pt idx="25">
                  <c:v>1.7298020192811365E-2</c:v>
                </c:pt>
                <c:pt idx="26">
                  <c:v>1.7313861384161786E-2</c:v>
                </c:pt>
                <c:pt idx="27">
                  <c:v>1.7329462197690462E-2</c:v>
                </c:pt>
                <c:pt idx="28">
                  <c:v>1.7198242157842249E-2</c:v>
                </c:pt>
                <c:pt idx="29">
                  <c:v>1.7087435856042707E-2</c:v>
                </c:pt>
                <c:pt idx="30">
                  <c:v>1.6976957921488373E-2</c:v>
                </c:pt>
                <c:pt idx="31">
                  <c:v>1.6733823313336255E-2</c:v>
                </c:pt>
                <c:pt idx="32">
                  <c:v>1.649102959258545E-2</c:v>
                </c:pt>
                <c:pt idx="33">
                  <c:v>1.6249094793121283E-2</c:v>
                </c:pt>
                <c:pt idx="34">
                  <c:v>1.6199945445707957E-2</c:v>
                </c:pt>
                <c:pt idx="35">
                  <c:v>1.6151184913025297E-2</c:v>
                </c:pt>
                <c:pt idx="36">
                  <c:v>1.6102396120877122E-2</c:v>
                </c:pt>
                <c:pt idx="37">
                  <c:v>1.6116189412720236E-2</c:v>
                </c:pt>
                <c:pt idx="38">
                  <c:v>1.61296969896213E-2</c:v>
                </c:pt>
                <c:pt idx="39">
                  <c:v>1.6143478448865187E-2</c:v>
                </c:pt>
                <c:pt idx="40">
                  <c:v>1.6265269411977902E-2</c:v>
                </c:pt>
                <c:pt idx="41">
                  <c:v>1.6386775126687732E-2</c:v>
                </c:pt>
                <c:pt idx="42">
                  <c:v>1.6507893347835777E-2</c:v>
                </c:pt>
                <c:pt idx="43">
                  <c:v>1.6644983952739917E-2</c:v>
                </c:pt>
                <c:pt idx="44">
                  <c:v>1.6781751270490801E-2</c:v>
                </c:pt>
                <c:pt idx="45">
                  <c:v>1.691829583408647E-2</c:v>
                </c:pt>
                <c:pt idx="46">
                  <c:v>1.6843279596814857E-2</c:v>
                </c:pt>
                <c:pt idx="47">
                  <c:v>1.6768634162744323E-2</c:v>
                </c:pt>
                <c:pt idx="48">
                  <c:v>1.669415411547049E-2</c:v>
                </c:pt>
                <c:pt idx="49">
                  <c:v>1.6502354271944339E-2</c:v>
                </c:pt>
                <c:pt idx="50">
                  <c:v>1.6311298612739254E-2</c:v>
                </c:pt>
                <c:pt idx="51">
                  <c:v>1.6120387665055504E-2</c:v>
                </c:pt>
                <c:pt idx="52">
                  <c:v>1.6111976182990363E-2</c:v>
                </c:pt>
                <c:pt idx="53">
                  <c:v>1.6103492195889801E-2</c:v>
                </c:pt>
                <c:pt idx="54">
                  <c:v>1.6095131411695551E-2</c:v>
                </c:pt>
                <c:pt idx="55">
                  <c:v>1.6176304653355157E-2</c:v>
                </c:pt>
                <c:pt idx="56">
                  <c:v>1.6257442349064257E-2</c:v>
                </c:pt>
                <c:pt idx="57">
                  <c:v>1.6338248650210618E-2</c:v>
                </c:pt>
                <c:pt idx="58">
                  <c:v>1.6182538437378838E-2</c:v>
                </c:pt>
                <c:pt idx="59">
                  <c:v>1.6027364407296744E-2</c:v>
                </c:pt>
                <c:pt idx="60">
                  <c:v>1.5872722122449928E-2</c:v>
                </c:pt>
                <c:pt idx="61">
                  <c:v>1.5241561032567181E-2</c:v>
                </c:pt>
                <c:pt idx="62">
                  <c:v>1.4611381745233446E-2</c:v>
                </c:pt>
                <c:pt idx="63">
                  <c:v>1.3982674042690543E-2</c:v>
                </c:pt>
                <c:pt idx="64">
                  <c:v>1.2314013986603083E-2</c:v>
                </c:pt>
                <c:pt idx="65">
                  <c:v>1.0650246989523762E-2</c:v>
                </c:pt>
                <c:pt idx="66">
                  <c:v>8.9915416664297435E-3</c:v>
                </c:pt>
                <c:pt idx="67">
                  <c:v>7.8435182128361453E-3</c:v>
                </c:pt>
                <c:pt idx="68">
                  <c:v>6.6982268372255014E-3</c:v>
                </c:pt>
                <c:pt idx="69">
                  <c:v>5.5557557044889792E-3</c:v>
                </c:pt>
                <c:pt idx="70">
                  <c:v>4.2820612067468377E-3</c:v>
                </c:pt>
                <c:pt idx="71">
                  <c:v>3.0123095730789627E-3</c:v>
                </c:pt>
                <c:pt idx="72">
                  <c:v>1.7465781157006515E-3</c:v>
                </c:pt>
                <c:pt idx="73">
                  <c:v>1.8670322212374804E-3</c:v>
                </c:pt>
                <c:pt idx="74">
                  <c:v>1.9876895466743702E-3</c:v>
                </c:pt>
                <c:pt idx="75">
                  <c:v>2.1079736539593233E-3</c:v>
                </c:pt>
                <c:pt idx="76">
                  <c:v>2.5635856742255883E-3</c:v>
                </c:pt>
                <c:pt idx="77">
                  <c:v>3.0196228434289586E-3</c:v>
                </c:pt>
                <c:pt idx="78">
                  <c:v>3.4755057747563908E-3</c:v>
                </c:pt>
                <c:pt idx="79">
                  <c:v>4.4275891452951101E-3</c:v>
                </c:pt>
                <c:pt idx="80">
                  <c:v>5.3795775966163813E-3</c:v>
                </c:pt>
                <c:pt idx="81">
                  <c:v>6.3313737739463301E-3</c:v>
                </c:pt>
                <c:pt idx="82">
                  <c:v>8.1362603983858844E-3</c:v>
                </c:pt>
                <c:pt idx="83">
                  <c:v>9.9401523038486605E-3</c:v>
                </c:pt>
                <c:pt idx="84">
                  <c:v>1.1742855718672061E-2</c:v>
                </c:pt>
                <c:pt idx="85">
                  <c:v>1.2863555133309574E-2</c:v>
                </c:pt>
                <c:pt idx="86">
                  <c:v>1.3982855795142121E-2</c:v>
                </c:pt>
                <c:pt idx="87">
                  <c:v>1.5101436738164827E-2</c:v>
                </c:pt>
                <c:pt idx="88">
                  <c:v>1.7088362961669913E-2</c:v>
                </c:pt>
                <c:pt idx="89">
                  <c:v>1.9074073412874988E-2</c:v>
                </c:pt>
                <c:pt idx="90">
                  <c:v>2.1058572771500746E-2</c:v>
                </c:pt>
                <c:pt idx="91">
                  <c:v>2.2367659629067647E-2</c:v>
                </c:pt>
                <c:pt idx="92">
                  <c:v>2.367392557274943E-2</c:v>
                </c:pt>
                <c:pt idx="93">
                  <c:v>2.4977671730850873E-2</c:v>
                </c:pt>
                <c:pt idx="94">
                  <c:v>2.5845300895965838E-2</c:v>
                </c:pt>
                <c:pt idx="95">
                  <c:v>2.6709305295567184E-2</c:v>
                </c:pt>
                <c:pt idx="96">
                  <c:v>2.7569708586171804E-2</c:v>
                </c:pt>
                <c:pt idx="97">
                  <c:v>2.8180344274080532E-2</c:v>
                </c:pt>
                <c:pt idx="98">
                  <c:v>2.8788962693128872E-2</c:v>
                </c:pt>
                <c:pt idx="99">
                  <c:v>2.9395756838887906E-2</c:v>
                </c:pt>
                <c:pt idx="100">
                  <c:v>2.9680840487696779E-2</c:v>
                </c:pt>
                <c:pt idx="101">
                  <c:v>2.9964449916529239E-2</c:v>
                </c:pt>
                <c:pt idx="102">
                  <c:v>3.0246972893982215E-2</c:v>
                </c:pt>
                <c:pt idx="103">
                  <c:v>2.9821004760096258E-2</c:v>
                </c:pt>
                <c:pt idx="104">
                  <c:v>2.939685466685971E-2</c:v>
                </c:pt>
                <c:pt idx="105">
                  <c:v>2.8974786628406177E-2</c:v>
                </c:pt>
                <c:pt idx="106">
                  <c:v>2.8297347356961895E-2</c:v>
                </c:pt>
                <c:pt idx="107">
                  <c:v>2.7623967766660065E-2</c:v>
                </c:pt>
                <c:pt idx="108">
                  <c:v>2.6954427709526288E-2</c:v>
                </c:pt>
                <c:pt idx="109">
                  <c:v>2.6030968976086827E-2</c:v>
                </c:pt>
                <c:pt idx="110">
                  <c:v>2.511183941766643E-2</c:v>
                </c:pt>
                <c:pt idx="111">
                  <c:v>2.4196359606318028E-2</c:v>
                </c:pt>
                <c:pt idx="112">
                  <c:v>2.3286142965032352E-2</c:v>
                </c:pt>
                <c:pt idx="113">
                  <c:v>2.2380760342756718E-2</c:v>
                </c:pt>
                <c:pt idx="114">
                  <c:v>2.1479986902481978E-2</c:v>
                </c:pt>
                <c:pt idx="115">
                  <c:v>2.116709281542558E-2</c:v>
                </c:pt>
                <c:pt idx="116">
                  <c:v>2.0855382566184705E-2</c:v>
                </c:pt>
                <c:pt idx="117">
                  <c:v>2.0544841893697593E-2</c:v>
                </c:pt>
                <c:pt idx="118">
                  <c:v>2.0475073159265871E-2</c:v>
                </c:pt>
                <c:pt idx="119">
                  <c:v>2.040575506123055E-2</c:v>
                </c:pt>
                <c:pt idx="120">
                  <c:v>2.0336618590071104E-2</c:v>
                </c:pt>
              </c:numCache>
            </c:numRef>
          </c:val>
          <c:smooth val="0"/>
          <c:extLst>
            <c:ext xmlns:c16="http://schemas.microsoft.com/office/drawing/2014/chart" uri="{C3380CC4-5D6E-409C-BE32-E72D297353CC}">
              <c16:uniqueId val="{00000001-0522-402B-A372-4D66A1750C93}"/>
            </c:ext>
          </c:extLst>
        </c:ser>
        <c:dLbls>
          <c:showLegendKey val="0"/>
          <c:showVal val="0"/>
          <c:showCatName val="0"/>
          <c:showSerName val="0"/>
          <c:showPercent val="0"/>
          <c:showBubbleSize val="0"/>
        </c:dLbls>
        <c:marker val="1"/>
        <c:smooth val="0"/>
        <c:axId val="1932666672"/>
        <c:axId val="1654456912"/>
      </c:lineChart>
      <c:dateAx>
        <c:axId val="1932666672"/>
        <c:scaling>
          <c:orientation val="minMax"/>
          <c:max val="45717"/>
        </c:scaling>
        <c:delete val="0"/>
        <c:axPos val="b"/>
        <c:numFmt formatCode="mmm\-yy" sourceLinked="1"/>
        <c:majorTickMark val="out"/>
        <c:minorTickMark val="none"/>
        <c:tickLblPos val="low"/>
        <c:spPr>
          <a:noFill/>
          <a:ln w="9525" cap="flat" cmpd="sng" algn="ctr">
            <a:solidFill>
              <a:schemeClr val="tx1"/>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54456912"/>
        <c:crosses val="autoZero"/>
        <c:auto val="1"/>
        <c:lblOffset val="100"/>
        <c:baseTimeUnit val="months"/>
        <c:majorUnit val="6"/>
        <c:majorTimeUnit val="months"/>
      </c:dateAx>
      <c:valAx>
        <c:axId val="1654456912"/>
        <c:scaling>
          <c:orientation val="minMax"/>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266667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2'!$B$4</c:f>
              <c:strCache>
                <c:ptCount val="1"/>
                <c:pt idx="0">
                  <c:v>Annual change in employment (%)</c:v>
                </c:pt>
              </c:strCache>
            </c:strRef>
          </c:tx>
          <c:spPr>
            <a:solidFill>
              <a:schemeClr val="accent1"/>
            </a:solidFill>
            <a:ln>
              <a:noFill/>
            </a:ln>
            <a:effectLst/>
          </c:spPr>
          <c:invertIfNegative val="0"/>
          <c:cat>
            <c:numRef>
              <c:f>'Figure 2'!$A$5:$A$65</c:f>
              <c:numCache>
                <c:formatCode>mmm\-yy</c:formatCode>
                <c:ptCount val="61"/>
                <c:pt idx="0">
                  <c:v>43891</c:v>
                </c:pt>
                <c:pt idx="1">
                  <c:v>43922</c:v>
                </c:pt>
                <c:pt idx="2">
                  <c:v>43952</c:v>
                </c:pt>
                <c:pt idx="3">
                  <c:v>43983</c:v>
                </c:pt>
                <c:pt idx="4">
                  <c:v>44013</c:v>
                </c:pt>
                <c:pt idx="5">
                  <c:v>44044</c:v>
                </c:pt>
                <c:pt idx="6">
                  <c:v>44075</c:v>
                </c:pt>
                <c:pt idx="7">
                  <c:v>44105</c:v>
                </c:pt>
                <c:pt idx="8">
                  <c:v>44136</c:v>
                </c:pt>
                <c:pt idx="9">
                  <c:v>44166</c:v>
                </c:pt>
                <c:pt idx="10">
                  <c:v>44197</c:v>
                </c:pt>
                <c:pt idx="11">
                  <c:v>44228</c:v>
                </c:pt>
                <c:pt idx="12">
                  <c:v>44256</c:v>
                </c:pt>
                <c:pt idx="13">
                  <c:v>44287</c:v>
                </c:pt>
                <c:pt idx="14">
                  <c:v>44317</c:v>
                </c:pt>
                <c:pt idx="15">
                  <c:v>44348</c:v>
                </c:pt>
                <c:pt idx="16">
                  <c:v>44378</c:v>
                </c:pt>
                <c:pt idx="17">
                  <c:v>44409</c:v>
                </c:pt>
                <c:pt idx="18">
                  <c:v>44440</c:v>
                </c:pt>
                <c:pt idx="19">
                  <c:v>44470</c:v>
                </c:pt>
                <c:pt idx="20">
                  <c:v>44501</c:v>
                </c:pt>
                <c:pt idx="21">
                  <c:v>44531</c:v>
                </c:pt>
                <c:pt idx="22">
                  <c:v>44562</c:v>
                </c:pt>
                <c:pt idx="23">
                  <c:v>44593</c:v>
                </c:pt>
                <c:pt idx="24">
                  <c:v>44621</c:v>
                </c:pt>
                <c:pt idx="25">
                  <c:v>44652</c:v>
                </c:pt>
                <c:pt idx="26">
                  <c:v>44682</c:v>
                </c:pt>
                <c:pt idx="27">
                  <c:v>44713</c:v>
                </c:pt>
                <c:pt idx="28">
                  <c:v>44743</c:v>
                </c:pt>
                <c:pt idx="29">
                  <c:v>44774</c:v>
                </c:pt>
                <c:pt idx="30">
                  <c:v>44805</c:v>
                </c:pt>
                <c:pt idx="31">
                  <c:v>44835</c:v>
                </c:pt>
                <c:pt idx="32">
                  <c:v>44866</c:v>
                </c:pt>
                <c:pt idx="33">
                  <c:v>44896</c:v>
                </c:pt>
                <c:pt idx="34">
                  <c:v>44927</c:v>
                </c:pt>
                <c:pt idx="35">
                  <c:v>44958</c:v>
                </c:pt>
                <c:pt idx="36">
                  <c:v>44986</c:v>
                </c:pt>
                <c:pt idx="37">
                  <c:v>45017</c:v>
                </c:pt>
                <c:pt idx="38">
                  <c:v>45047</c:v>
                </c:pt>
                <c:pt idx="39">
                  <c:v>45078</c:v>
                </c:pt>
                <c:pt idx="40">
                  <c:v>45108</c:v>
                </c:pt>
                <c:pt idx="41">
                  <c:v>45139</c:v>
                </c:pt>
                <c:pt idx="42">
                  <c:v>45170</c:v>
                </c:pt>
                <c:pt idx="43">
                  <c:v>45200</c:v>
                </c:pt>
                <c:pt idx="44">
                  <c:v>45231</c:v>
                </c:pt>
                <c:pt idx="45">
                  <c:v>45261</c:v>
                </c:pt>
                <c:pt idx="46">
                  <c:v>45292</c:v>
                </c:pt>
                <c:pt idx="47">
                  <c:v>45323</c:v>
                </c:pt>
                <c:pt idx="48">
                  <c:v>45352</c:v>
                </c:pt>
                <c:pt idx="49">
                  <c:v>45383</c:v>
                </c:pt>
                <c:pt idx="50">
                  <c:v>45413</c:v>
                </c:pt>
                <c:pt idx="51">
                  <c:v>45444</c:v>
                </c:pt>
                <c:pt idx="52">
                  <c:v>45474</c:v>
                </c:pt>
                <c:pt idx="53">
                  <c:v>45505</c:v>
                </c:pt>
                <c:pt idx="54">
                  <c:v>45536</c:v>
                </c:pt>
                <c:pt idx="55">
                  <c:v>45566</c:v>
                </c:pt>
                <c:pt idx="56">
                  <c:v>45597</c:v>
                </c:pt>
                <c:pt idx="57">
                  <c:v>45627</c:v>
                </c:pt>
                <c:pt idx="58">
                  <c:v>45658</c:v>
                </c:pt>
                <c:pt idx="59">
                  <c:v>45689</c:v>
                </c:pt>
                <c:pt idx="60">
                  <c:v>45717</c:v>
                </c:pt>
              </c:numCache>
            </c:numRef>
          </c:cat>
          <c:val>
            <c:numRef>
              <c:f>'Figure 2'!$B$5:$B$65</c:f>
              <c:numCache>
                <c:formatCode>0.0%</c:formatCode>
                <c:ptCount val="61"/>
                <c:pt idx="0">
                  <c:v>1.4001570638604485E-2</c:v>
                </c:pt>
                <c:pt idx="1">
                  <c:v>-3.4285339672912883E-2</c:v>
                </c:pt>
                <c:pt idx="2">
                  <c:v>-5.7884737866684841E-2</c:v>
                </c:pt>
                <c:pt idx="3">
                  <c:v>-4.0924793545944582E-2</c:v>
                </c:pt>
                <c:pt idx="4">
                  <c:v>-3.2875062321818194E-2</c:v>
                </c:pt>
                <c:pt idx="5">
                  <c:v>-2.5770406161078591E-2</c:v>
                </c:pt>
                <c:pt idx="6">
                  <c:v>-2.9776165187702177E-2</c:v>
                </c:pt>
                <c:pt idx="7">
                  <c:v>-1.5166735063490354E-2</c:v>
                </c:pt>
                <c:pt idx="8">
                  <c:v>-1.0198349886137032E-2</c:v>
                </c:pt>
                <c:pt idx="9">
                  <c:v>-9.7631121938382762E-3</c:v>
                </c:pt>
                <c:pt idx="10">
                  <c:v>-6.7190896221599765E-3</c:v>
                </c:pt>
                <c:pt idx="11">
                  <c:v>-3.6982766579070387E-3</c:v>
                </c:pt>
                <c:pt idx="12">
                  <c:v>2.3471799568871702E-3</c:v>
                </c:pt>
                <c:pt idx="13">
                  <c:v>4.8719512712314852E-2</c:v>
                </c:pt>
                <c:pt idx="14">
                  <c:v>8.1769365785374845E-2</c:v>
                </c:pt>
                <c:pt idx="15">
                  <c:v>6.3614893555691998E-2</c:v>
                </c:pt>
                <c:pt idx="16">
                  <c:v>5.3768643852888369E-2</c:v>
                </c:pt>
                <c:pt idx="17">
                  <c:v>3.1714685296339293E-2</c:v>
                </c:pt>
                <c:pt idx="18">
                  <c:v>2.4385850490032543E-2</c:v>
                </c:pt>
                <c:pt idx="19">
                  <c:v>9.4539812310205293E-3</c:v>
                </c:pt>
                <c:pt idx="20">
                  <c:v>3.1359438918058445E-2</c:v>
                </c:pt>
                <c:pt idx="21">
                  <c:v>3.2751501998184121E-2</c:v>
                </c:pt>
                <c:pt idx="22">
                  <c:v>3.5420229667605128E-2</c:v>
                </c:pt>
                <c:pt idx="23">
                  <c:v>3.6085180856562218E-2</c:v>
                </c:pt>
                <c:pt idx="24">
                  <c:v>3.3583512708640531E-2</c:v>
                </c:pt>
                <c:pt idx="25">
                  <c:v>3.8553703106161956E-2</c:v>
                </c:pt>
                <c:pt idx="26">
                  <c:v>3.4102434450736546E-2</c:v>
                </c:pt>
                <c:pt idx="27">
                  <c:v>3.9893298727031845E-2</c:v>
                </c:pt>
                <c:pt idx="28">
                  <c:v>3.860123312656389E-2</c:v>
                </c:pt>
                <c:pt idx="29">
                  <c:v>5.4583256426291055E-2</c:v>
                </c:pt>
                <c:pt idx="30">
                  <c:v>6.5541975540249042E-2</c:v>
                </c:pt>
                <c:pt idx="31">
                  <c:v>7.282830240879988E-2</c:v>
                </c:pt>
                <c:pt idx="32">
                  <c:v>4.8137767432815268E-2</c:v>
                </c:pt>
                <c:pt idx="33">
                  <c:v>4.0397784888153584E-2</c:v>
                </c:pt>
                <c:pt idx="34">
                  <c:v>3.69553474015301E-2</c:v>
                </c:pt>
                <c:pt idx="35">
                  <c:v>3.5289712023663843E-2</c:v>
                </c:pt>
                <c:pt idx="36">
                  <c:v>4.0311513008564531E-2</c:v>
                </c:pt>
                <c:pt idx="37">
                  <c:v>3.542820763289449E-2</c:v>
                </c:pt>
                <c:pt idx="38">
                  <c:v>3.8868764964478483E-2</c:v>
                </c:pt>
                <c:pt idx="39">
                  <c:v>3.2687696150293669E-2</c:v>
                </c:pt>
                <c:pt idx="40">
                  <c:v>3.195123769807752E-2</c:v>
                </c:pt>
                <c:pt idx="41">
                  <c:v>3.1695929799718796E-2</c:v>
                </c:pt>
                <c:pt idx="42">
                  <c:v>3.080164283867854E-2</c:v>
                </c:pt>
                <c:pt idx="43">
                  <c:v>3.1948718301672528E-2</c:v>
                </c:pt>
                <c:pt idx="44">
                  <c:v>3.0353461099810724E-2</c:v>
                </c:pt>
                <c:pt idx="45">
                  <c:v>2.6858596160888044E-2</c:v>
                </c:pt>
                <c:pt idx="46">
                  <c:v>2.3907603303066304E-2</c:v>
                </c:pt>
                <c:pt idx="47">
                  <c:v>3.0113160906879276E-2</c:v>
                </c:pt>
                <c:pt idx="48">
                  <c:v>2.1619595648860276E-2</c:v>
                </c:pt>
                <c:pt idx="49">
                  <c:v>2.4336726048630165E-2</c:v>
                </c:pt>
                <c:pt idx="50">
                  <c:v>1.9968242193450312E-2</c:v>
                </c:pt>
                <c:pt idx="51">
                  <c:v>2.1063596340635569E-2</c:v>
                </c:pt>
                <c:pt idx="52">
                  <c:v>2.5108602958290149E-2</c:v>
                </c:pt>
                <c:pt idx="53">
                  <c:v>2.2265455207986066E-2</c:v>
                </c:pt>
                <c:pt idx="54">
                  <c:v>2.5770652152430042E-2</c:v>
                </c:pt>
                <c:pt idx="55">
                  <c:v>2.1629142738184701E-2</c:v>
                </c:pt>
                <c:pt idx="56">
                  <c:v>1.989189478144094E-2</c:v>
                </c:pt>
                <c:pt idx="57">
                  <c:v>2.9258020119004136E-2</c:v>
                </c:pt>
                <c:pt idx="58">
                  <c:v>3.1998665383164114E-2</c:v>
                </c:pt>
                <c:pt idx="59">
                  <c:v>1.9005376911191491E-2</c:v>
                </c:pt>
                <c:pt idx="60">
                  <c:v>2.1637756159591823E-2</c:v>
                </c:pt>
              </c:numCache>
            </c:numRef>
          </c:val>
          <c:extLst>
            <c:ext xmlns:c16="http://schemas.microsoft.com/office/drawing/2014/chart" uri="{C3380CC4-5D6E-409C-BE32-E72D297353CC}">
              <c16:uniqueId val="{00000000-5A40-48A3-80ED-F1AD782A9C2E}"/>
            </c:ext>
          </c:extLst>
        </c:ser>
        <c:dLbls>
          <c:showLegendKey val="0"/>
          <c:showVal val="0"/>
          <c:showCatName val="0"/>
          <c:showSerName val="0"/>
          <c:showPercent val="0"/>
          <c:showBubbleSize val="0"/>
        </c:dLbls>
        <c:gapWidth val="100"/>
        <c:axId val="1932666672"/>
        <c:axId val="1654456912"/>
      </c:barChart>
      <c:lineChart>
        <c:grouping val="standard"/>
        <c:varyColors val="0"/>
        <c:ser>
          <c:idx val="1"/>
          <c:order val="1"/>
          <c:tx>
            <c:strRef>
              <c:f>'Figure 2'!$C$4</c:f>
              <c:strCache>
                <c:ptCount val="1"/>
                <c:pt idx="0">
                  <c:v>Annual change in aggregate hours worked (%)</c:v>
                </c:pt>
              </c:strCache>
            </c:strRef>
          </c:tx>
          <c:spPr>
            <a:ln w="28575" cap="rnd">
              <a:solidFill>
                <a:schemeClr val="accent2"/>
              </a:solidFill>
              <a:round/>
            </a:ln>
            <a:effectLst/>
          </c:spPr>
          <c:marker>
            <c:symbol val="none"/>
          </c:marker>
          <c:cat>
            <c:numRef>
              <c:f>'Figure 2'!$A$5:$A$65</c:f>
              <c:numCache>
                <c:formatCode>mmm\-yy</c:formatCode>
                <c:ptCount val="61"/>
                <c:pt idx="0">
                  <c:v>43891</c:v>
                </c:pt>
                <c:pt idx="1">
                  <c:v>43922</c:v>
                </c:pt>
                <c:pt idx="2">
                  <c:v>43952</c:v>
                </c:pt>
                <c:pt idx="3">
                  <c:v>43983</c:v>
                </c:pt>
                <c:pt idx="4">
                  <c:v>44013</c:v>
                </c:pt>
                <c:pt idx="5">
                  <c:v>44044</c:v>
                </c:pt>
                <c:pt idx="6">
                  <c:v>44075</c:v>
                </c:pt>
                <c:pt idx="7">
                  <c:v>44105</c:v>
                </c:pt>
                <c:pt idx="8">
                  <c:v>44136</c:v>
                </c:pt>
                <c:pt idx="9">
                  <c:v>44166</c:v>
                </c:pt>
                <c:pt idx="10">
                  <c:v>44197</c:v>
                </c:pt>
                <c:pt idx="11">
                  <c:v>44228</c:v>
                </c:pt>
                <c:pt idx="12">
                  <c:v>44256</c:v>
                </c:pt>
                <c:pt idx="13">
                  <c:v>44287</c:v>
                </c:pt>
                <c:pt idx="14">
                  <c:v>44317</c:v>
                </c:pt>
                <c:pt idx="15">
                  <c:v>44348</c:v>
                </c:pt>
                <c:pt idx="16">
                  <c:v>44378</c:v>
                </c:pt>
                <c:pt idx="17">
                  <c:v>44409</c:v>
                </c:pt>
                <c:pt idx="18">
                  <c:v>44440</c:v>
                </c:pt>
                <c:pt idx="19">
                  <c:v>44470</c:v>
                </c:pt>
                <c:pt idx="20">
                  <c:v>44501</c:v>
                </c:pt>
                <c:pt idx="21">
                  <c:v>44531</c:v>
                </c:pt>
                <c:pt idx="22">
                  <c:v>44562</c:v>
                </c:pt>
                <c:pt idx="23">
                  <c:v>44593</c:v>
                </c:pt>
                <c:pt idx="24">
                  <c:v>44621</c:v>
                </c:pt>
                <c:pt idx="25">
                  <c:v>44652</c:v>
                </c:pt>
                <c:pt idx="26">
                  <c:v>44682</c:v>
                </c:pt>
                <c:pt idx="27">
                  <c:v>44713</c:v>
                </c:pt>
                <c:pt idx="28">
                  <c:v>44743</c:v>
                </c:pt>
                <c:pt idx="29">
                  <c:v>44774</c:v>
                </c:pt>
                <c:pt idx="30">
                  <c:v>44805</c:v>
                </c:pt>
                <c:pt idx="31">
                  <c:v>44835</c:v>
                </c:pt>
                <c:pt idx="32">
                  <c:v>44866</c:v>
                </c:pt>
                <c:pt idx="33">
                  <c:v>44896</c:v>
                </c:pt>
                <c:pt idx="34">
                  <c:v>44927</c:v>
                </c:pt>
                <c:pt idx="35">
                  <c:v>44958</c:v>
                </c:pt>
                <c:pt idx="36">
                  <c:v>44986</c:v>
                </c:pt>
                <c:pt idx="37">
                  <c:v>45017</c:v>
                </c:pt>
                <c:pt idx="38">
                  <c:v>45047</c:v>
                </c:pt>
                <c:pt idx="39">
                  <c:v>45078</c:v>
                </c:pt>
                <c:pt idx="40">
                  <c:v>45108</c:v>
                </c:pt>
                <c:pt idx="41">
                  <c:v>45139</c:v>
                </c:pt>
                <c:pt idx="42">
                  <c:v>45170</c:v>
                </c:pt>
                <c:pt idx="43">
                  <c:v>45200</c:v>
                </c:pt>
                <c:pt idx="44">
                  <c:v>45231</c:v>
                </c:pt>
                <c:pt idx="45">
                  <c:v>45261</c:v>
                </c:pt>
                <c:pt idx="46">
                  <c:v>45292</c:v>
                </c:pt>
                <c:pt idx="47">
                  <c:v>45323</c:v>
                </c:pt>
                <c:pt idx="48">
                  <c:v>45352</c:v>
                </c:pt>
                <c:pt idx="49">
                  <c:v>45383</c:v>
                </c:pt>
                <c:pt idx="50">
                  <c:v>45413</c:v>
                </c:pt>
                <c:pt idx="51">
                  <c:v>45444</c:v>
                </c:pt>
                <c:pt idx="52">
                  <c:v>45474</c:v>
                </c:pt>
                <c:pt idx="53">
                  <c:v>45505</c:v>
                </c:pt>
                <c:pt idx="54">
                  <c:v>45536</c:v>
                </c:pt>
                <c:pt idx="55">
                  <c:v>45566</c:v>
                </c:pt>
                <c:pt idx="56">
                  <c:v>45597</c:v>
                </c:pt>
                <c:pt idx="57">
                  <c:v>45627</c:v>
                </c:pt>
                <c:pt idx="58">
                  <c:v>45658</c:v>
                </c:pt>
                <c:pt idx="59">
                  <c:v>45689</c:v>
                </c:pt>
                <c:pt idx="60">
                  <c:v>45717</c:v>
                </c:pt>
              </c:numCache>
            </c:numRef>
          </c:cat>
          <c:val>
            <c:numRef>
              <c:f>'Figure 2'!$C$5:$C$65</c:f>
              <c:numCache>
                <c:formatCode>0.0%</c:formatCode>
                <c:ptCount val="61"/>
                <c:pt idx="0">
                  <c:v>-7.6620088312763859E-3</c:v>
                </c:pt>
                <c:pt idx="1">
                  <c:v>-0.10391093423419794</c:v>
                </c:pt>
                <c:pt idx="2">
                  <c:v>-9.3472510296376918E-2</c:v>
                </c:pt>
                <c:pt idx="3">
                  <c:v>-5.9542141699764073E-2</c:v>
                </c:pt>
                <c:pt idx="4">
                  <c:v>-5.0920865897188694E-2</c:v>
                </c:pt>
                <c:pt idx="5">
                  <c:v>-5.1107498977504134E-2</c:v>
                </c:pt>
                <c:pt idx="6">
                  <c:v>-5.2007497940996246E-2</c:v>
                </c:pt>
                <c:pt idx="7">
                  <c:v>-3.771960212684184E-2</c:v>
                </c:pt>
                <c:pt idx="8">
                  <c:v>-1.4700990300675551E-2</c:v>
                </c:pt>
                <c:pt idx="9">
                  <c:v>-2.3123274149844813E-2</c:v>
                </c:pt>
                <c:pt idx="10">
                  <c:v>-2.8222740172814641E-2</c:v>
                </c:pt>
                <c:pt idx="11">
                  <c:v>-1.2241187802658184E-2</c:v>
                </c:pt>
                <c:pt idx="12">
                  <c:v>1.9196979180423009E-2</c:v>
                </c:pt>
                <c:pt idx="13">
                  <c:v>0.11638924601942517</c:v>
                </c:pt>
                <c:pt idx="14">
                  <c:v>0.12728478816076749</c:v>
                </c:pt>
                <c:pt idx="15">
                  <c:v>6.8017151778449289E-2</c:v>
                </c:pt>
                <c:pt idx="16">
                  <c:v>5.5445319513570478E-2</c:v>
                </c:pt>
                <c:pt idx="17">
                  <c:v>1.0980967091138395E-2</c:v>
                </c:pt>
                <c:pt idx="18">
                  <c:v>2.359624368379425E-2</c:v>
                </c:pt>
                <c:pt idx="19">
                  <c:v>1.0294938526808172E-2</c:v>
                </c:pt>
                <c:pt idx="20">
                  <c:v>2.3828463459359343E-2</c:v>
                </c:pt>
                <c:pt idx="21">
                  <c:v>4.4873159362315479E-2</c:v>
                </c:pt>
                <c:pt idx="22">
                  <c:v>5.7311194153709354E-3</c:v>
                </c:pt>
                <c:pt idx="23">
                  <c:v>3.6678481585758357E-2</c:v>
                </c:pt>
                <c:pt idx="24">
                  <c:v>8.6166831025859397E-3</c:v>
                </c:pt>
                <c:pt idx="25">
                  <c:v>3.0539168140720233E-2</c:v>
                </c:pt>
                <c:pt idx="26">
                  <c:v>2.5453855028943744E-2</c:v>
                </c:pt>
                <c:pt idx="27">
                  <c:v>4.5169629844418462E-2</c:v>
                </c:pt>
                <c:pt idx="28">
                  <c:v>4.3209488392406209E-2</c:v>
                </c:pt>
                <c:pt idx="29">
                  <c:v>9.8624032483266302E-2</c:v>
                </c:pt>
                <c:pt idx="30">
                  <c:v>8.7091732565413443E-2</c:v>
                </c:pt>
                <c:pt idx="31">
                  <c:v>0.10256709436330026</c:v>
                </c:pt>
                <c:pt idx="32">
                  <c:v>6.1941038060668467E-2</c:v>
                </c:pt>
                <c:pt idx="33">
                  <c:v>4.2622982343895596E-2</c:v>
                </c:pt>
                <c:pt idx="34">
                  <c:v>0.10180230570443</c:v>
                </c:pt>
                <c:pt idx="35">
                  <c:v>5.9059735922765248E-2</c:v>
                </c:pt>
                <c:pt idx="36">
                  <c:v>6.6630715453561612E-2</c:v>
                </c:pt>
                <c:pt idx="37">
                  <c:v>8.355961483850663E-2</c:v>
                </c:pt>
                <c:pt idx="38">
                  <c:v>5.0140495728139167E-2</c:v>
                </c:pt>
                <c:pt idx="39">
                  <c:v>4.7965752217169498E-2</c:v>
                </c:pt>
                <c:pt idx="40">
                  <c:v>5.1131504007373228E-2</c:v>
                </c:pt>
                <c:pt idx="41">
                  <c:v>3.1786678303108079E-2</c:v>
                </c:pt>
                <c:pt idx="42">
                  <c:v>2.6458253948118737E-2</c:v>
                </c:pt>
                <c:pt idx="43">
                  <c:v>1.2230730292098015E-2</c:v>
                </c:pt>
                <c:pt idx="44">
                  <c:v>9.8426274291286871E-3</c:v>
                </c:pt>
                <c:pt idx="45">
                  <c:v>6.8295032714396891E-3</c:v>
                </c:pt>
                <c:pt idx="46">
                  <c:v>-7.8542277189027395E-4</c:v>
                </c:pt>
                <c:pt idx="47">
                  <c:v>3.6305617385835836E-3</c:v>
                </c:pt>
                <c:pt idx="48">
                  <c:v>1.0320820501348443E-2</c:v>
                </c:pt>
                <c:pt idx="49">
                  <c:v>-1.4771154287509664E-2</c:v>
                </c:pt>
                <c:pt idx="50">
                  <c:v>-1.2956359072082951E-3</c:v>
                </c:pt>
                <c:pt idx="51">
                  <c:v>-1.0315572064217592E-3</c:v>
                </c:pt>
                <c:pt idx="52">
                  <c:v>1.5205072755202331E-3</c:v>
                </c:pt>
                <c:pt idx="53">
                  <c:v>1.2723063531467788E-2</c:v>
                </c:pt>
                <c:pt idx="54">
                  <c:v>1.8656839279587899E-2</c:v>
                </c:pt>
                <c:pt idx="55">
                  <c:v>1.9322040911943651E-2</c:v>
                </c:pt>
                <c:pt idx="56">
                  <c:v>2.4922079766875417E-2</c:v>
                </c:pt>
                <c:pt idx="57">
                  <c:v>3.3852338749513863E-2</c:v>
                </c:pt>
                <c:pt idx="58">
                  <c:v>3.3659949145849542E-2</c:v>
                </c:pt>
                <c:pt idx="59">
                  <c:v>2.3935261799915772E-2</c:v>
                </c:pt>
                <c:pt idx="60">
                  <c:v>7.1735093769475008E-3</c:v>
                </c:pt>
              </c:numCache>
            </c:numRef>
          </c:val>
          <c:smooth val="0"/>
          <c:extLst>
            <c:ext xmlns:c16="http://schemas.microsoft.com/office/drawing/2014/chart" uri="{C3380CC4-5D6E-409C-BE32-E72D297353CC}">
              <c16:uniqueId val="{00000001-5A40-48A3-80ED-F1AD782A9C2E}"/>
            </c:ext>
          </c:extLst>
        </c:ser>
        <c:dLbls>
          <c:showLegendKey val="0"/>
          <c:showVal val="0"/>
          <c:showCatName val="0"/>
          <c:showSerName val="0"/>
          <c:showPercent val="0"/>
          <c:showBubbleSize val="0"/>
        </c:dLbls>
        <c:marker val="1"/>
        <c:smooth val="0"/>
        <c:axId val="1932666672"/>
        <c:axId val="1654456912"/>
      </c:lineChart>
      <c:dateAx>
        <c:axId val="1932666672"/>
        <c:scaling>
          <c:orientation val="minMax"/>
          <c:max val="45717"/>
        </c:scaling>
        <c:delete val="0"/>
        <c:axPos val="b"/>
        <c:numFmt formatCode="mmm\-yy" sourceLinked="1"/>
        <c:majorTickMark val="out"/>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54456912"/>
        <c:crosses val="autoZero"/>
        <c:auto val="1"/>
        <c:lblOffset val="100"/>
        <c:baseTimeUnit val="months"/>
        <c:majorUnit val="3"/>
        <c:majorTimeUnit val="months"/>
      </c:dateAx>
      <c:valAx>
        <c:axId val="1654456912"/>
        <c:scaling>
          <c:orientation val="minMax"/>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266667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7260375347818368E-2"/>
          <c:y val="8.6673879632047767E-3"/>
          <c:w val="0.59054822094606596"/>
          <c:h val="0.84130149133670684"/>
        </c:manualLayout>
      </c:layout>
      <c:barChart>
        <c:barDir val="bar"/>
        <c:grouping val="clustered"/>
        <c:varyColors val="0"/>
        <c:ser>
          <c:idx val="0"/>
          <c:order val="0"/>
          <c:tx>
            <c:strRef>
              <c:f>'Industry '!$B$1</c:f>
              <c:strCache>
                <c:ptCount val="1"/>
                <c:pt idx="0">
                  <c:v>Annual employment change ('000)</c:v>
                </c:pt>
              </c:strCache>
            </c:strRef>
          </c:tx>
          <c:spPr>
            <a:solidFill>
              <a:srgbClr val="441170"/>
            </a:solidFill>
            <a:ln>
              <a:noFill/>
            </a:ln>
            <a:effectLst/>
          </c:spPr>
          <c:invertIfNegative val="0"/>
          <c:dLbls>
            <c:dLbl>
              <c:idx val="18"/>
              <c:layout>
                <c:manualLayout>
                  <c:x val="-9.4675876020226448E-3"/>
                  <c:y val="-5.8453127725607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A7-4F7D-A3AC-C2C89B3B87A1}"/>
                </c:ext>
              </c:extLst>
            </c:dLbl>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'Industry '!$A$2:$A$20</c:f>
              <c:strCache>
                <c:ptCount val="19"/>
                <c:pt idx="0">
                  <c:v>Professional, Scientific and Technical Services</c:v>
                </c:pt>
                <c:pt idx="1">
                  <c:v>Manufacturing</c:v>
                </c:pt>
                <c:pt idx="2">
                  <c:v>Agriculture, Forestry and Fishing</c:v>
                </c:pt>
                <c:pt idx="3">
                  <c:v>Wholesale Trade</c:v>
                </c:pt>
                <c:pt idx="4">
                  <c:v>Information Media and Telecommunications</c:v>
                </c:pt>
                <c:pt idx="5">
                  <c:v>Transport, Postal and Warehousing</c:v>
                </c:pt>
                <c:pt idx="6">
                  <c:v>Administrative and Support Services</c:v>
                </c:pt>
                <c:pt idx="7">
                  <c:v>Financial and Insurance Services</c:v>
                </c:pt>
                <c:pt idx="8">
                  <c:v>Arts and Recreation Services</c:v>
                </c:pt>
                <c:pt idx="9">
                  <c:v>Mining</c:v>
                </c:pt>
                <c:pt idx="10">
                  <c:v>Electricity, Gas, Water and Waste Services</c:v>
                </c:pt>
                <c:pt idx="11">
                  <c:v>Rental, Hiring and Real Estate Services</c:v>
                </c:pt>
                <c:pt idx="12">
                  <c:v>Retail Trade</c:v>
                </c:pt>
                <c:pt idx="13">
                  <c:v>Other Services</c:v>
                </c:pt>
                <c:pt idx="14">
                  <c:v>Public Administration and Safety</c:v>
                </c:pt>
                <c:pt idx="15">
                  <c:v>Accommodation and Food Services</c:v>
                </c:pt>
                <c:pt idx="16">
                  <c:v>Construction</c:v>
                </c:pt>
                <c:pt idx="17">
                  <c:v>Education and Training</c:v>
                </c:pt>
                <c:pt idx="18">
                  <c:v>Health Care and Social Assistance</c:v>
                </c:pt>
              </c:strCache>
            </c:strRef>
          </c:cat>
          <c:val>
            <c:numRef>
              <c:f>'Industry '!$B$2:$B$20</c:f>
              <c:numCache>
                <c:formatCode>0.0</c:formatCode>
                <c:ptCount val="19"/>
                <c:pt idx="0">
                  <c:v>-26.2955822850017</c:v>
                </c:pt>
                <c:pt idx="1">
                  <c:v>-20.530908735267399</c:v>
                </c:pt>
                <c:pt idx="2">
                  <c:v>-5.6707642474744402</c:v>
                </c:pt>
                <c:pt idx="3">
                  <c:v>-3.9663418768352598</c:v>
                </c:pt>
                <c:pt idx="4">
                  <c:v>-0.85331792604117096</c:v>
                </c:pt>
                <c:pt idx="5">
                  <c:v>1.7907651223038099</c:v>
                </c:pt>
                <c:pt idx="6">
                  <c:v>2.5996140052787999</c:v>
                </c:pt>
                <c:pt idx="7">
                  <c:v>5.0062277850270203</c:v>
                </c:pt>
                <c:pt idx="8">
                  <c:v>9.9947301984650494</c:v>
                </c:pt>
                <c:pt idx="9">
                  <c:v>10.34499275153</c:v>
                </c:pt>
                <c:pt idx="10">
                  <c:v>11.531626027170899</c:v>
                </c:pt>
                <c:pt idx="11">
                  <c:v>12.494701766635901</c:v>
                </c:pt>
                <c:pt idx="12">
                  <c:v>13.6300853231955</c:v>
                </c:pt>
                <c:pt idx="13">
                  <c:v>17.664264461140501</c:v>
                </c:pt>
                <c:pt idx="14">
                  <c:v>32.796109014726802</c:v>
                </c:pt>
                <c:pt idx="15">
                  <c:v>34.542230013498603</c:v>
                </c:pt>
                <c:pt idx="16">
                  <c:v>47.517097609830898</c:v>
                </c:pt>
                <c:pt idx="17">
                  <c:v>50.453243176508302</c:v>
                </c:pt>
                <c:pt idx="18">
                  <c:v>73.769403021604404</c:v>
                </c:pt>
              </c:numCache>
            </c:numRef>
          </c:val>
          <c:extLst>
            <c:ext xmlns:c16="http://schemas.microsoft.com/office/drawing/2014/chart" uri="{C3380CC4-5D6E-409C-BE32-E72D297353CC}">
              <c16:uniqueId val="{00000001-81A7-4F7D-A3AC-C2C89B3B87A1}"/>
            </c:ext>
          </c:extLst>
        </c:ser>
        <c:dLbls>
          <c:showLegendKey val="0"/>
          <c:showVal val="0"/>
          <c:showCatName val="0"/>
          <c:showSerName val="0"/>
          <c:showPercent val="0"/>
          <c:showBubbleSize val="0"/>
        </c:dLbls>
        <c:gapWidth val="182"/>
        <c:axId val="809945024"/>
        <c:axId val="812499152"/>
      </c:barChart>
      <c:catAx>
        <c:axId val="809945024"/>
        <c:scaling>
          <c:orientation val="minMax"/>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n-US"/>
          </a:p>
        </c:txPr>
        <c:crossAx val="812499152"/>
        <c:crosses val="autoZero"/>
        <c:auto val="1"/>
        <c:lblAlgn val="ctr"/>
        <c:lblOffset val="100"/>
        <c:noMultiLvlLbl val="0"/>
      </c:catAx>
      <c:valAx>
        <c:axId val="812499152"/>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n-US"/>
          </a:p>
        </c:txPr>
        <c:crossAx val="80994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01404591561381"/>
          <c:y val="3.0715528909534964E-2"/>
          <c:w val="0.84750130311039762"/>
          <c:h val="0.69611837054796455"/>
        </c:manualLayout>
      </c:layout>
      <c:barChart>
        <c:barDir val="col"/>
        <c:grouping val="clustered"/>
        <c:varyColors val="0"/>
        <c:ser>
          <c:idx val="0"/>
          <c:order val="0"/>
          <c:tx>
            <c:strRef>
              <c:f>'REOS - '!$C$8</c:f>
              <c:strCache>
                <c:ptCount val="1"/>
                <c:pt idx="0">
                  <c:v>Higher Skill Levels (1-3) </c:v>
                </c:pt>
              </c:strCache>
            </c:strRef>
          </c:tx>
          <c:spPr>
            <a:solidFill>
              <a:schemeClr val="accent1"/>
            </a:solidFill>
            <a:ln>
              <a:noFill/>
            </a:ln>
            <a:effectLst/>
          </c:spPr>
          <c:invertIfNegative val="0"/>
          <c:cat>
            <c:strRef>
              <c:f>'REOS - '!$A$9:$A$24</c:f>
              <c:strCache>
                <c:ptCount val="16"/>
                <c:pt idx="0">
                  <c:v>June Qtr 2021</c:v>
                </c:pt>
                <c:pt idx="1">
                  <c:v>Sept Qtr 2021</c:v>
                </c:pt>
                <c:pt idx="2">
                  <c:v>Dec Qtr 2021</c:v>
                </c:pt>
                <c:pt idx="3">
                  <c:v>Mar Qtr 2022</c:v>
                </c:pt>
                <c:pt idx="4">
                  <c:v>June Qtr 2022</c:v>
                </c:pt>
                <c:pt idx="5">
                  <c:v>Sept Qtr 2022</c:v>
                </c:pt>
                <c:pt idx="6">
                  <c:v>Dec Qtr 2022</c:v>
                </c:pt>
                <c:pt idx="7">
                  <c:v>Mar Qtr 2023</c:v>
                </c:pt>
                <c:pt idx="8">
                  <c:v>June Qtr 2023</c:v>
                </c:pt>
                <c:pt idx="9">
                  <c:v>Sept Qtr 2023</c:v>
                </c:pt>
                <c:pt idx="10">
                  <c:v>Dec Qtr 2023</c:v>
                </c:pt>
                <c:pt idx="11">
                  <c:v>Mar Qtr  2024</c:v>
                </c:pt>
                <c:pt idx="12">
                  <c:v>June Qtr 2024</c:v>
                </c:pt>
                <c:pt idx="13">
                  <c:v>Sept Qtr 2024</c:v>
                </c:pt>
                <c:pt idx="14">
                  <c:v>Dec Qtr 2024</c:v>
                </c:pt>
                <c:pt idx="15">
                  <c:v>Mar Qtr 2025</c:v>
                </c:pt>
              </c:strCache>
            </c:strRef>
          </c:cat>
          <c:val>
            <c:numRef>
              <c:f>'REOS - '!$C$9:$C$24</c:f>
              <c:numCache>
                <c:formatCode>0%</c:formatCode>
                <c:ptCount val="16"/>
                <c:pt idx="0">
                  <c:v>0.59581801521841515</c:v>
                </c:pt>
                <c:pt idx="1">
                  <c:v>0.5835795151769263</c:v>
                </c:pt>
                <c:pt idx="2">
                  <c:v>0.62423505916930511</c:v>
                </c:pt>
                <c:pt idx="3">
                  <c:v>0.66824270539512221</c:v>
                </c:pt>
                <c:pt idx="4">
                  <c:v>0.71254637252464714</c:v>
                </c:pt>
                <c:pt idx="5">
                  <c:v>0.76514498345420678</c:v>
                </c:pt>
                <c:pt idx="6">
                  <c:v>0.74420905121887837</c:v>
                </c:pt>
                <c:pt idx="7">
                  <c:v>0.6710897750080379</c:v>
                </c:pt>
                <c:pt idx="8">
                  <c:v>0.72640534017284242</c:v>
                </c:pt>
                <c:pt idx="9">
                  <c:v>0.69574450932776721</c:v>
                </c:pt>
                <c:pt idx="10">
                  <c:v>0.66302725017775821</c:v>
                </c:pt>
                <c:pt idx="11">
                  <c:v>0.62932445662908232</c:v>
                </c:pt>
                <c:pt idx="12">
                  <c:v>0.68589972028421009</c:v>
                </c:pt>
                <c:pt idx="13">
                  <c:v>0.6034874441237823</c:v>
                </c:pt>
                <c:pt idx="14">
                  <c:v>0.59945221181907749</c:v>
                </c:pt>
                <c:pt idx="15">
                  <c:v>0.49477311893654424</c:v>
                </c:pt>
              </c:numCache>
            </c:numRef>
          </c:val>
          <c:extLst>
            <c:ext xmlns:c16="http://schemas.microsoft.com/office/drawing/2014/chart" uri="{C3380CC4-5D6E-409C-BE32-E72D297353CC}">
              <c16:uniqueId val="{00000000-B84C-448C-9ECF-15CA5E0EDBC1}"/>
            </c:ext>
          </c:extLst>
        </c:ser>
        <c:ser>
          <c:idx val="1"/>
          <c:order val="1"/>
          <c:tx>
            <c:strRef>
              <c:f>'REOS - '!$D$8</c:f>
              <c:strCache>
                <c:ptCount val="1"/>
                <c:pt idx="0">
                  <c:v>Lower Skill Levels (4 &amp; 5)</c:v>
                </c:pt>
              </c:strCache>
            </c:strRef>
          </c:tx>
          <c:spPr>
            <a:solidFill>
              <a:schemeClr val="accent2"/>
            </a:solidFill>
            <a:ln>
              <a:noFill/>
            </a:ln>
            <a:effectLst/>
          </c:spPr>
          <c:invertIfNegative val="0"/>
          <c:cat>
            <c:strRef>
              <c:f>'REOS - '!$A$9:$A$24</c:f>
              <c:strCache>
                <c:ptCount val="16"/>
                <c:pt idx="0">
                  <c:v>June Qtr 2021</c:v>
                </c:pt>
                <c:pt idx="1">
                  <c:v>Sept Qtr 2021</c:v>
                </c:pt>
                <c:pt idx="2">
                  <c:v>Dec Qtr 2021</c:v>
                </c:pt>
                <c:pt idx="3">
                  <c:v>Mar Qtr 2022</c:v>
                </c:pt>
                <c:pt idx="4">
                  <c:v>June Qtr 2022</c:v>
                </c:pt>
                <c:pt idx="5">
                  <c:v>Sept Qtr 2022</c:v>
                </c:pt>
                <c:pt idx="6">
                  <c:v>Dec Qtr 2022</c:v>
                </c:pt>
                <c:pt idx="7">
                  <c:v>Mar Qtr 2023</c:v>
                </c:pt>
                <c:pt idx="8">
                  <c:v>June Qtr 2023</c:v>
                </c:pt>
                <c:pt idx="9">
                  <c:v>Sept Qtr 2023</c:v>
                </c:pt>
                <c:pt idx="10">
                  <c:v>Dec Qtr 2023</c:v>
                </c:pt>
                <c:pt idx="11">
                  <c:v>Mar Qtr  2024</c:v>
                </c:pt>
                <c:pt idx="12">
                  <c:v>June Qtr 2024</c:v>
                </c:pt>
                <c:pt idx="13">
                  <c:v>Sept Qtr 2024</c:v>
                </c:pt>
                <c:pt idx="14">
                  <c:v>Dec Qtr 2024</c:v>
                </c:pt>
                <c:pt idx="15">
                  <c:v>Mar Qtr 2025</c:v>
                </c:pt>
              </c:strCache>
            </c:strRef>
          </c:cat>
          <c:val>
            <c:numRef>
              <c:f>'REOS - '!$D$9:$D$24</c:f>
              <c:numCache>
                <c:formatCode>0%</c:formatCode>
                <c:ptCount val="16"/>
                <c:pt idx="0">
                  <c:v>0.45927675282917679</c:v>
                </c:pt>
                <c:pt idx="1">
                  <c:v>0.47542395358180628</c:v>
                </c:pt>
                <c:pt idx="2">
                  <c:v>0.54500124204932188</c:v>
                </c:pt>
                <c:pt idx="3">
                  <c:v>0.61794618831625647</c:v>
                </c:pt>
                <c:pt idx="4">
                  <c:v>0.62837813103590201</c:v>
                </c:pt>
                <c:pt idx="5">
                  <c:v>0.67721006664670225</c:v>
                </c:pt>
                <c:pt idx="6">
                  <c:v>0.62599814245351681</c:v>
                </c:pt>
                <c:pt idx="7">
                  <c:v>0.56093694730464894</c:v>
                </c:pt>
                <c:pt idx="8">
                  <c:v>0.56745138077487212</c:v>
                </c:pt>
                <c:pt idx="9">
                  <c:v>0.50263272902107459</c:v>
                </c:pt>
                <c:pt idx="10">
                  <c:v>0.45444594217505846</c:v>
                </c:pt>
                <c:pt idx="11">
                  <c:v>0.42011735943275075</c:v>
                </c:pt>
                <c:pt idx="12">
                  <c:v>0.40600153270899653</c:v>
                </c:pt>
                <c:pt idx="13">
                  <c:v>0.40452953043000861</c:v>
                </c:pt>
                <c:pt idx="14">
                  <c:v>0.42366404310380179</c:v>
                </c:pt>
                <c:pt idx="15">
                  <c:v>0.36672210097463742</c:v>
                </c:pt>
              </c:numCache>
            </c:numRef>
          </c:val>
          <c:extLst>
            <c:ext xmlns:c16="http://schemas.microsoft.com/office/drawing/2014/chart" uri="{C3380CC4-5D6E-409C-BE32-E72D297353CC}">
              <c16:uniqueId val="{00000001-B84C-448C-9ECF-15CA5E0EDBC1}"/>
            </c:ext>
          </c:extLst>
        </c:ser>
        <c:dLbls>
          <c:showLegendKey val="0"/>
          <c:showVal val="0"/>
          <c:showCatName val="0"/>
          <c:showSerName val="0"/>
          <c:showPercent val="0"/>
          <c:showBubbleSize val="0"/>
        </c:dLbls>
        <c:gapWidth val="88"/>
        <c:overlap val="-14"/>
        <c:axId val="1453091440"/>
        <c:axId val="1453083280"/>
      </c:barChart>
      <c:catAx>
        <c:axId val="145309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rgbClr val="000000"/>
                </a:solidFill>
                <a:latin typeface="+mn-lt"/>
                <a:ea typeface="+mn-ea"/>
                <a:cs typeface="+mn-cs"/>
              </a:defRPr>
            </a:pPr>
            <a:endParaRPr lang="en-US"/>
          </a:p>
        </c:txPr>
        <c:crossAx val="1453083280"/>
        <c:crosses val="autoZero"/>
        <c:auto val="1"/>
        <c:lblAlgn val="ctr"/>
        <c:lblOffset val="100"/>
        <c:noMultiLvlLbl val="0"/>
      </c:catAx>
      <c:valAx>
        <c:axId val="1453083280"/>
        <c:scaling>
          <c:orientation val="minMax"/>
        </c:scaling>
        <c:delete val="0"/>
        <c:axPos val="l"/>
        <c:title>
          <c:tx>
            <c:rich>
              <a:bodyPr rot="-5400000" spcFirstLastPara="1" vertOverflow="ellipsis" vert="horz" wrap="square" anchor="ctr" anchorCtr="1"/>
              <a:lstStyle/>
              <a:p>
                <a:pPr>
                  <a:defRPr sz="800" b="0" i="0" u="none" strike="noStrike" kern="1200" baseline="0">
                    <a:solidFill>
                      <a:srgbClr val="000000"/>
                    </a:solidFill>
                    <a:latin typeface="+mn-lt"/>
                    <a:ea typeface="+mn-ea"/>
                    <a:cs typeface="+mn-cs"/>
                  </a:defRPr>
                </a:pPr>
                <a:r>
                  <a:rPr lang="en-US" sz="800" b="0" i="0" u="none" strike="noStrike" kern="1200" baseline="0">
                    <a:solidFill>
                      <a:sysClr val="windowText" lastClr="000000"/>
                    </a:solidFill>
                    <a:latin typeface="Arial" panose="020B0604020202020204" pitchFamily="34" charset="0"/>
                    <a:cs typeface="Arial" panose="020B0604020202020204" pitchFamily="34" charset="0"/>
                  </a:rPr>
                  <a:t>Proportion of recruiting employers</a:t>
                </a:r>
              </a:p>
            </c:rich>
          </c:tx>
          <c:layout>
            <c:manualLayout>
              <c:xMode val="edge"/>
              <c:yMode val="edge"/>
              <c:x val="2.4396603768737715E-2"/>
              <c:y val="0.1020655172327239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rgbClr val="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000000"/>
                </a:solidFill>
                <a:latin typeface="+mn-lt"/>
                <a:ea typeface="+mn-ea"/>
                <a:cs typeface="+mn-cs"/>
              </a:defRPr>
            </a:pPr>
            <a:endParaRPr lang="en-US"/>
          </a:p>
        </c:txPr>
        <c:crossAx val="1453091440"/>
        <c:crosses val="autoZero"/>
        <c:crossBetween val="between"/>
      </c:valAx>
      <c:spPr>
        <a:noFill/>
        <a:ln>
          <a:noFill/>
        </a:ln>
        <a:effectLst/>
      </c:spPr>
    </c:plotArea>
    <c:legend>
      <c:legendPos val="b"/>
      <c:layout>
        <c:manualLayout>
          <c:xMode val="edge"/>
          <c:yMode val="edge"/>
          <c:x val="0.63475063170121693"/>
          <c:y val="3.9221617448655592E-2"/>
          <c:w val="0.31777442582418852"/>
          <c:h val="0.11972289699941172"/>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rgbClr val="000000"/>
          </a:solidFil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12007168458781"/>
          <c:y val="4.6296296296296294E-2"/>
          <c:w val="0.83690591397849445"/>
          <c:h val="0.71450841052848169"/>
        </c:manualLayout>
      </c:layout>
      <c:lineChart>
        <c:grouping val="standard"/>
        <c:varyColors val="0"/>
        <c:ser>
          <c:idx val="0"/>
          <c:order val="0"/>
          <c:tx>
            <c:strRef>
              <c:f>'ERSA - Fig.5'!$C$3</c:f>
              <c:strCache>
                <c:ptCount val="1"/>
                <c:pt idx="0">
                  <c:v>Recruitment rate</c:v>
                </c:pt>
              </c:strCache>
            </c:strRef>
          </c:tx>
          <c:spPr>
            <a:ln w="28575" cap="rnd">
              <a:solidFill>
                <a:schemeClr val="accent1"/>
              </a:solidFill>
              <a:round/>
            </a:ln>
            <a:effectLst/>
          </c:spPr>
          <c:marker>
            <c:symbol val="none"/>
          </c:marker>
          <c:dPt>
            <c:idx val="4"/>
            <c:marker>
              <c:symbol val="none"/>
            </c:marker>
            <c:bubble3D val="0"/>
            <c:extLst>
              <c:ext xmlns:c16="http://schemas.microsoft.com/office/drawing/2014/chart" uri="{C3380CC4-5D6E-409C-BE32-E72D297353CC}">
                <c16:uniqueId val="{00000000-3DC5-46E1-B6AC-18F68B86E75F}"/>
              </c:ext>
            </c:extLst>
          </c:dPt>
          <c:dPt>
            <c:idx val="5"/>
            <c:marker>
              <c:symbol val="circle"/>
              <c:size val="10"/>
              <c:spPr>
                <a:solidFill>
                  <a:schemeClr val="accent1"/>
                </a:solidFill>
                <a:ln w="9525">
                  <a:solidFill>
                    <a:schemeClr val="accent1"/>
                  </a:solidFill>
                </a:ln>
                <a:effectLst/>
              </c:spPr>
            </c:marker>
            <c:bubble3D val="0"/>
            <c:extLst>
              <c:ext xmlns:c16="http://schemas.microsoft.com/office/drawing/2014/chart" uri="{C3380CC4-5D6E-409C-BE32-E72D297353CC}">
                <c16:uniqueId val="{00000001-3DC5-46E1-B6AC-18F68B86E75F}"/>
              </c:ext>
            </c:extLst>
          </c:dPt>
          <c:dPt>
            <c:idx val="12"/>
            <c:marker>
              <c:symbol val="circle"/>
              <c:size val="10"/>
              <c:spPr>
                <a:solidFill>
                  <a:schemeClr val="accent1"/>
                </a:solidFill>
                <a:ln w="9525">
                  <a:solidFill>
                    <a:schemeClr val="accent1"/>
                  </a:solidFill>
                </a:ln>
                <a:effectLst/>
              </c:spPr>
            </c:marker>
            <c:bubble3D val="0"/>
            <c:extLst>
              <c:ext xmlns:c16="http://schemas.microsoft.com/office/drawing/2014/chart" uri="{C3380CC4-5D6E-409C-BE32-E72D297353CC}">
                <c16:uniqueId val="{00000002-3DC5-46E1-B6AC-18F68B86E75F}"/>
              </c:ext>
            </c:extLst>
          </c:dPt>
          <c:dPt>
            <c:idx val="13"/>
            <c:marker>
              <c:symbol val="none"/>
            </c:marker>
            <c:bubble3D val="0"/>
            <c:extLst>
              <c:ext xmlns:c16="http://schemas.microsoft.com/office/drawing/2014/chart" uri="{C3380CC4-5D6E-409C-BE32-E72D297353CC}">
                <c16:uniqueId val="{00000003-3DC5-46E1-B6AC-18F68B86E75F}"/>
              </c:ext>
            </c:extLst>
          </c:dPt>
          <c:dPt>
            <c:idx val="16"/>
            <c:marker>
              <c:symbol val="circle"/>
              <c:size val="10"/>
              <c:spPr>
                <a:solidFill>
                  <a:schemeClr val="accent1"/>
                </a:solidFill>
                <a:ln w="9525">
                  <a:solidFill>
                    <a:schemeClr val="accent1"/>
                  </a:solidFill>
                </a:ln>
                <a:effectLst/>
              </c:spPr>
            </c:marker>
            <c:bubble3D val="0"/>
            <c:extLst>
              <c:ext xmlns:c16="http://schemas.microsoft.com/office/drawing/2014/chart" uri="{C3380CC4-5D6E-409C-BE32-E72D297353CC}">
                <c16:uniqueId val="{00000004-3DC5-46E1-B6AC-18F68B86E75F}"/>
              </c:ext>
            </c:extLst>
          </c:dPt>
          <c:dLbls>
            <c:dLbl>
              <c:idx val="5"/>
              <c:layout>
                <c:manualLayout>
                  <c:x val="-3.80479344055503E-2"/>
                  <c:y val="-5.5485773578723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C5-46E1-B6AC-18F68B86E75F}"/>
                </c:ext>
              </c:extLst>
            </c:dLbl>
            <c:dLbl>
              <c:idx val="12"/>
              <c:layout>
                <c:manualLayout>
                  <c:x val="-2.9034114696154582E-2"/>
                  <c:y val="-7.0480783796895125E-2"/>
                </c:manualLayout>
              </c:layout>
              <c:showLegendKey val="0"/>
              <c:showVal val="1"/>
              <c:showCatName val="0"/>
              <c:showSerName val="0"/>
              <c:showPercent val="0"/>
              <c:showBubbleSize val="0"/>
              <c:extLst>
                <c:ext xmlns:c15="http://schemas.microsoft.com/office/drawing/2012/chart" uri="{CE6537A1-D6FC-4f65-9D91-7224C49458BB}">
                  <c15:layout>
                    <c:manualLayout>
                      <c:w val="5.8098149104920865E-2"/>
                      <c:h val="6.3191256431777545E-2"/>
                    </c:manualLayout>
                  </c15:layout>
                </c:ext>
                <c:ext xmlns:c16="http://schemas.microsoft.com/office/drawing/2014/chart" uri="{C3380CC4-5D6E-409C-BE32-E72D297353CC}">
                  <c16:uniqueId val="{00000002-3DC5-46E1-B6AC-18F68B86E75F}"/>
                </c:ext>
              </c:extLst>
            </c:dLbl>
            <c:dLbl>
              <c:idx val="16"/>
              <c:layout>
                <c:manualLayout>
                  <c:x val="-3.2056414240809614E-2"/>
                  <c:y val="-6.02488778600883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C5-46E1-B6AC-18F68B86E75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noFill/>
                      <a:round/>
                    </a:ln>
                    <a:effectLst/>
                  </c:spPr>
                </c15:leaderLines>
              </c:ext>
            </c:extLst>
          </c:dLbls>
          <c:cat>
            <c:strRef>
              <c:f>'ERSA - Fig.5'!$A$4:$A$20</c:f>
              <c:strCache>
                <c:ptCount val="17"/>
                <c:pt idx="0">
                  <c:v>Mar Qtr 2021</c:v>
                </c:pt>
                <c:pt idx="1">
                  <c:v>June Qtr 2021</c:v>
                </c:pt>
                <c:pt idx="2">
                  <c:v>Sept Qtr 2021</c:v>
                </c:pt>
                <c:pt idx="3">
                  <c:v>Dec Qtr 2021</c:v>
                </c:pt>
                <c:pt idx="4">
                  <c:v>Mar Qtr 2022</c:v>
                </c:pt>
                <c:pt idx="5">
                  <c:v>June Qtr 2022</c:v>
                </c:pt>
                <c:pt idx="6">
                  <c:v>Sept Qtr 2022</c:v>
                </c:pt>
                <c:pt idx="7">
                  <c:v>Dec Qtr 2022</c:v>
                </c:pt>
                <c:pt idx="8">
                  <c:v>Mar Qtr 2023</c:v>
                </c:pt>
                <c:pt idx="9">
                  <c:v>June Qtr 2023</c:v>
                </c:pt>
                <c:pt idx="10">
                  <c:v>Sept Qtr 2023</c:v>
                </c:pt>
                <c:pt idx="11">
                  <c:v>Dec Qtr 2023</c:v>
                </c:pt>
                <c:pt idx="12">
                  <c:v>Mar Qtr  2024</c:v>
                </c:pt>
                <c:pt idx="13">
                  <c:v>June Qtr 2024</c:v>
                </c:pt>
                <c:pt idx="14">
                  <c:v>Sept Qtr 2024</c:v>
                </c:pt>
                <c:pt idx="15">
                  <c:v>Dec Qtr 2024</c:v>
                </c:pt>
                <c:pt idx="16">
                  <c:v>Mar Qtr 2025</c:v>
                </c:pt>
              </c:strCache>
            </c:strRef>
          </c:cat>
          <c:val>
            <c:numRef>
              <c:f>'ERSA - Fig.5'!$C$4:$C$20</c:f>
              <c:numCache>
                <c:formatCode>0%</c:formatCode>
                <c:ptCount val="17"/>
                <c:pt idx="0">
                  <c:v>0.45</c:v>
                </c:pt>
                <c:pt idx="1">
                  <c:v>0.48</c:v>
                </c:pt>
                <c:pt idx="2">
                  <c:v>0.39</c:v>
                </c:pt>
                <c:pt idx="3">
                  <c:v>0.48</c:v>
                </c:pt>
                <c:pt idx="4">
                  <c:v>0.53</c:v>
                </c:pt>
                <c:pt idx="5">
                  <c:v>0.57999999999999996</c:v>
                </c:pt>
                <c:pt idx="6">
                  <c:v>0.56999999999999995</c:v>
                </c:pt>
                <c:pt idx="7">
                  <c:v>0.56000000000000005</c:v>
                </c:pt>
                <c:pt idx="8">
                  <c:v>0.55000000000000004</c:v>
                </c:pt>
                <c:pt idx="9">
                  <c:v>0.5</c:v>
                </c:pt>
                <c:pt idx="10">
                  <c:v>0.48</c:v>
                </c:pt>
                <c:pt idx="11">
                  <c:v>0.5</c:v>
                </c:pt>
                <c:pt idx="12">
                  <c:v>0.49</c:v>
                </c:pt>
                <c:pt idx="13">
                  <c:v>0.45</c:v>
                </c:pt>
                <c:pt idx="14">
                  <c:v>0.44</c:v>
                </c:pt>
                <c:pt idx="15">
                  <c:v>0.43</c:v>
                </c:pt>
                <c:pt idx="16">
                  <c:v>0.46</c:v>
                </c:pt>
              </c:numCache>
            </c:numRef>
          </c:val>
          <c:smooth val="0"/>
          <c:extLst>
            <c:ext xmlns:c16="http://schemas.microsoft.com/office/drawing/2014/chart" uri="{C3380CC4-5D6E-409C-BE32-E72D297353CC}">
              <c16:uniqueId val="{00000005-3DC5-46E1-B6AC-18F68B86E75F}"/>
            </c:ext>
          </c:extLst>
        </c:ser>
        <c:dLbls>
          <c:showLegendKey val="0"/>
          <c:showVal val="0"/>
          <c:showCatName val="0"/>
          <c:showSerName val="0"/>
          <c:showPercent val="0"/>
          <c:showBubbleSize val="0"/>
        </c:dLbls>
        <c:smooth val="0"/>
        <c:axId val="347802271"/>
        <c:axId val="347802751"/>
      </c:lineChart>
      <c:catAx>
        <c:axId val="347802271"/>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47802751"/>
        <c:crosses val="autoZero"/>
        <c:auto val="1"/>
        <c:lblAlgn val="ctr"/>
        <c:lblOffset val="100"/>
        <c:tickLblSkip val="4"/>
        <c:tickMarkSkip val="4"/>
        <c:noMultiLvlLbl val="1"/>
      </c:catAx>
      <c:valAx>
        <c:axId val="347802751"/>
        <c:scaling>
          <c:orientation val="minMax"/>
          <c:max val="0.8"/>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Proportion of all employers</a:t>
                </a:r>
              </a:p>
            </c:rich>
          </c:tx>
          <c:layout>
            <c:manualLayout>
              <c:xMode val="edge"/>
              <c:yMode val="edge"/>
              <c:x val="1.2710437563573998E-3"/>
              <c:y val="8.978678873345381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47802271"/>
        <c:crosses val="autoZero"/>
        <c:crossBetween val="midCat"/>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68064516129033"/>
          <c:y val="5.0925925925925923E-2"/>
          <c:w val="0.86776379928315417"/>
          <c:h val="0.73379201388888893"/>
        </c:manualLayout>
      </c:layout>
      <c:barChart>
        <c:barDir val="col"/>
        <c:grouping val="clustered"/>
        <c:varyColors val="0"/>
        <c:ser>
          <c:idx val="0"/>
          <c:order val="0"/>
          <c:tx>
            <c:strRef>
              <c:f>'ERSA - Fig.8'!$B$3</c:f>
              <c:strCache>
                <c:ptCount val="1"/>
                <c:pt idx="0">
                  <c:v>Mar Qtr 2024</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'ERSA - Fig.8'!$A$4:$A$9</c:f>
              <c:strCache>
                <c:ptCount val="6"/>
                <c:pt idx="0">
                  <c:v>New South Wales</c:v>
                </c:pt>
                <c:pt idx="1">
                  <c:v>Victoria</c:v>
                </c:pt>
                <c:pt idx="2">
                  <c:v>Queensland</c:v>
                </c:pt>
                <c:pt idx="3">
                  <c:v>South Australia</c:v>
                </c:pt>
                <c:pt idx="4">
                  <c:v>Western Australia</c:v>
                </c:pt>
                <c:pt idx="5">
                  <c:v>Tasmania</c:v>
                </c:pt>
              </c:strCache>
            </c:strRef>
          </c:cat>
          <c:val>
            <c:numRef>
              <c:f>'ERSA - Fig.8'!$B$4:$B$9</c:f>
              <c:numCache>
                <c:formatCode>0%</c:formatCode>
                <c:ptCount val="6"/>
                <c:pt idx="0">
                  <c:v>0.45</c:v>
                </c:pt>
                <c:pt idx="1">
                  <c:v>0.46</c:v>
                </c:pt>
                <c:pt idx="2">
                  <c:v>0.56000000000000005</c:v>
                </c:pt>
                <c:pt idx="3">
                  <c:v>0.45</c:v>
                </c:pt>
                <c:pt idx="4">
                  <c:v>0.52</c:v>
                </c:pt>
                <c:pt idx="5">
                  <c:v>0.5</c:v>
                </c:pt>
              </c:numCache>
            </c:numRef>
          </c:val>
          <c:extLst>
            <c:ext xmlns:c16="http://schemas.microsoft.com/office/drawing/2014/chart" uri="{C3380CC4-5D6E-409C-BE32-E72D297353CC}">
              <c16:uniqueId val="{00000000-ACB1-4005-B4EA-7D6728196F9C}"/>
            </c:ext>
          </c:extLst>
        </c:ser>
        <c:ser>
          <c:idx val="1"/>
          <c:order val="1"/>
          <c:tx>
            <c:strRef>
              <c:f>'ERSA - Fig.8'!$C$3</c:f>
              <c:strCache>
                <c:ptCount val="1"/>
                <c:pt idx="0">
                  <c:v>Jun Qtr 2024</c:v>
                </c:pt>
              </c:strCache>
            </c:strRef>
          </c:tx>
          <c:spPr>
            <a:solidFill>
              <a:schemeClr val="accent2"/>
            </a:solidFill>
            <a:ln>
              <a:noFill/>
            </a:ln>
            <a:effectLst/>
          </c:spPr>
          <c:invertIfNegative val="0"/>
          <c:cat>
            <c:strRef>
              <c:f>'ERSA - Fig.8'!$A$4:$A$9</c:f>
              <c:strCache>
                <c:ptCount val="6"/>
                <c:pt idx="0">
                  <c:v>New South Wales</c:v>
                </c:pt>
                <c:pt idx="1">
                  <c:v>Victoria</c:v>
                </c:pt>
                <c:pt idx="2">
                  <c:v>Queensland</c:v>
                </c:pt>
                <c:pt idx="3">
                  <c:v>South Australia</c:v>
                </c:pt>
                <c:pt idx="4">
                  <c:v>Western Australia</c:v>
                </c:pt>
                <c:pt idx="5">
                  <c:v>Tasmania</c:v>
                </c:pt>
              </c:strCache>
            </c:strRef>
          </c:cat>
          <c:val>
            <c:numRef>
              <c:f>'ERSA - Fig.8'!$C$4:$C$9</c:f>
              <c:numCache>
                <c:formatCode>0%</c:formatCode>
                <c:ptCount val="6"/>
                <c:pt idx="0">
                  <c:v>0.44</c:v>
                </c:pt>
                <c:pt idx="1">
                  <c:v>0.42</c:v>
                </c:pt>
                <c:pt idx="2">
                  <c:v>0.48</c:v>
                </c:pt>
                <c:pt idx="3">
                  <c:v>0.46</c:v>
                </c:pt>
                <c:pt idx="4">
                  <c:v>0.48</c:v>
                </c:pt>
                <c:pt idx="5">
                  <c:v>0.44</c:v>
                </c:pt>
              </c:numCache>
            </c:numRef>
          </c:val>
          <c:extLst>
            <c:ext xmlns:c16="http://schemas.microsoft.com/office/drawing/2014/chart" uri="{C3380CC4-5D6E-409C-BE32-E72D297353CC}">
              <c16:uniqueId val="{00000001-ACB1-4005-B4EA-7D6728196F9C}"/>
            </c:ext>
          </c:extLst>
        </c:ser>
        <c:ser>
          <c:idx val="2"/>
          <c:order val="2"/>
          <c:tx>
            <c:strRef>
              <c:f>'ERSA - Fig.8'!$D$3</c:f>
              <c:strCache>
                <c:ptCount val="1"/>
                <c:pt idx="0">
                  <c:v>Sept Qtr 2024</c:v>
                </c:pt>
              </c:strCache>
            </c:strRef>
          </c:tx>
          <c:spPr>
            <a:solidFill>
              <a:schemeClr val="accent3"/>
            </a:solidFill>
            <a:ln>
              <a:noFill/>
            </a:ln>
            <a:effectLst/>
          </c:spPr>
          <c:invertIfNegative val="0"/>
          <c:cat>
            <c:strRef>
              <c:f>'ERSA - Fig.8'!$A$4:$A$9</c:f>
              <c:strCache>
                <c:ptCount val="6"/>
                <c:pt idx="0">
                  <c:v>New South Wales</c:v>
                </c:pt>
                <c:pt idx="1">
                  <c:v>Victoria</c:v>
                </c:pt>
                <c:pt idx="2">
                  <c:v>Queensland</c:v>
                </c:pt>
                <c:pt idx="3">
                  <c:v>South Australia</c:v>
                </c:pt>
                <c:pt idx="4">
                  <c:v>Western Australia</c:v>
                </c:pt>
                <c:pt idx="5">
                  <c:v>Tasmania</c:v>
                </c:pt>
              </c:strCache>
            </c:strRef>
          </c:cat>
          <c:val>
            <c:numRef>
              <c:f>'ERSA - Fig.8'!$D$4:$D$9</c:f>
              <c:numCache>
                <c:formatCode>0%</c:formatCode>
                <c:ptCount val="6"/>
                <c:pt idx="0">
                  <c:v>0.44</c:v>
                </c:pt>
                <c:pt idx="1">
                  <c:v>0.37</c:v>
                </c:pt>
                <c:pt idx="2">
                  <c:v>0.52</c:v>
                </c:pt>
                <c:pt idx="3">
                  <c:v>0.36</c:v>
                </c:pt>
                <c:pt idx="4">
                  <c:v>0.51</c:v>
                </c:pt>
                <c:pt idx="5">
                  <c:v>0.43</c:v>
                </c:pt>
              </c:numCache>
            </c:numRef>
          </c:val>
          <c:extLst>
            <c:ext xmlns:c16="http://schemas.microsoft.com/office/drawing/2014/chart" uri="{C3380CC4-5D6E-409C-BE32-E72D297353CC}">
              <c16:uniqueId val="{00000002-ACB1-4005-B4EA-7D6728196F9C}"/>
            </c:ext>
          </c:extLst>
        </c:ser>
        <c:ser>
          <c:idx val="3"/>
          <c:order val="3"/>
          <c:tx>
            <c:strRef>
              <c:f>'ERSA - Fig.8'!$E$3</c:f>
              <c:strCache>
                <c:ptCount val="1"/>
                <c:pt idx="0">
                  <c:v>Dec Qtr 2024</c:v>
                </c:pt>
              </c:strCache>
            </c:strRef>
          </c:tx>
          <c:spPr>
            <a:solidFill>
              <a:schemeClr val="accent4"/>
            </a:solidFill>
            <a:ln>
              <a:noFill/>
            </a:ln>
            <a:effectLst/>
          </c:spPr>
          <c:invertIfNegative val="0"/>
          <c:cat>
            <c:strRef>
              <c:f>'ERSA - Fig.8'!$A$4:$A$9</c:f>
              <c:strCache>
                <c:ptCount val="6"/>
                <c:pt idx="0">
                  <c:v>New South Wales</c:v>
                </c:pt>
                <c:pt idx="1">
                  <c:v>Victoria</c:v>
                </c:pt>
                <c:pt idx="2">
                  <c:v>Queensland</c:v>
                </c:pt>
                <c:pt idx="3">
                  <c:v>South Australia</c:v>
                </c:pt>
                <c:pt idx="4">
                  <c:v>Western Australia</c:v>
                </c:pt>
                <c:pt idx="5">
                  <c:v>Tasmania</c:v>
                </c:pt>
              </c:strCache>
            </c:strRef>
          </c:cat>
          <c:val>
            <c:numRef>
              <c:f>'ERSA - Fig.8'!$E$4:$E$9</c:f>
              <c:numCache>
                <c:formatCode>0%</c:formatCode>
                <c:ptCount val="6"/>
                <c:pt idx="0">
                  <c:v>0.39</c:v>
                </c:pt>
                <c:pt idx="1">
                  <c:v>0.39</c:v>
                </c:pt>
                <c:pt idx="2">
                  <c:v>0.49</c:v>
                </c:pt>
                <c:pt idx="3">
                  <c:v>0.39</c:v>
                </c:pt>
                <c:pt idx="4">
                  <c:v>0.54</c:v>
                </c:pt>
                <c:pt idx="5">
                  <c:v>0.48</c:v>
                </c:pt>
              </c:numCache>
            </c:numRef>
          </c:val>
          <c:extLst>
            <c:ext xmlns:c16="http://schemas.microsoft.com/office/drawing/2014/chart" uri="{C3380CC4-5D6E-409C-BE32-E72D297353CC}">
              <c16:uniqueId val="{00000003-ACB1-4005-B4EA-7D6728196F9C}"/>
            </c:ext>
          </c:extLst>
        </c:ser>
        <c:ser>
          <c:idx val="4"/>
          <c:order val="4"/>
          <c:tx>
            <c:strRef>
              <c:f>'ERSA - Fig.8'!$F$3</c:f>
              <c:strCache>
                <c:ptCount val="1"/>
                <c:pt idx="0">
                  <c:v>Mar Qtr 2025</c:v>
                </c:pt>
              </c:strCache>
            </c:strRef>
          </c:tx>
          <c:spPr>
            <a:solidFill>
              <a:schemeClr val="accent5"/>
            </a:solidFill>
            <a:ln>
              <a:noFill/>
            </a:ln>
            <a:effectLst/>
          </c:spPr>
          <c:invertIfNegative val="0"/>
          <c:dLbls>
            <c:dLbl>
              <c:idx val="4"/>
              <c:layout>
                <c:manualLayout>
                  <c:x val="3.8710566674401686E-3"/>
                  <c:y val="1.85597647199637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B1-4005-B4EA-7D6728196F9C}"/>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'ERSA - Fig.8'!$A$4:$A$9</c:f>
              <c:strCache>
                <c:ptCount val="6"/>
                <c:pt idx="0">
                  <c:v>New South Wales</c:v>
                </c:pt>
                <c:pt idx="1">
                  <c:v>Victoria</c:v>
                </c:pt>
                <c:pt idx="2">
                  <c:v>Queensland</c:v>
                </c:pt>
                <c:pt idx="3">
                  <c:v>South Australia</c:v>
                </c:pt>
                <c:pt idx="4">
                  <c:v>Western Australia</c:v>
                </c:pt>
                <c:pt idx="5">
                  <c:v>Tasmania</c:v>
                </c:pt>
              </c:strCache>
            </c:strRef>
          </c:cat>
          <c:val>
            <c:numRef>
              <c:f>'ERSA - Fig.8'!$F$4:$F$9</c:f>
              <c:numCache>
                <c:formatCode>0%</c:formatCode>
                <c:ptCount val="6"/>
                <c:pt idx="0">
                  <c:v>0.44</c:v>
                </c:pt>
                <c:pt idx="1">
                  <c:v>0.39</c:v>
                </c:pt>
                <c:pt idx="2">
                  <c:v>0.53</c:v>
                </c:pt>
                <c:pt idx="3">
                  <c:v>0.52</c:v>
                </c:pt>
                <c:pt idx="4">
                  <c:v>0.5</c:v>
                </c:pt>
                <c:pt idx="5">
                  <c:v>0.47</c:v>
                </c:pt>
              </c:numCache>
            </c:numRef>
          </c:val>
          <c:extLst>
            <c:ext xmlns:c16="http://schemas.microsoft.com/office/drawing/2014/chart" uri="{C3380CC4-5D6E-409C-BE32-E72D297353CC}">
              <c16:uniqueId val="{00000005-ACB1-4005-B4EA-7D6728196F9C}"/>
            </c:ext>
          </c:extLst>
        </c:ser>
        <c:dLbls>
          <c:showLegendKey val="0"/>
          <c:showVal val="0"/>
          <c:showCatName val="0"/>
          <c:showSerName val="0"/>
          <c:showPercent val="0"/>
          <c:showBubbleSize val="0"/>
        </c:dLbls>
        <c:gapWidth val="225"/>
        <c:overlap val="-20"/>
        <c:axId val="1472992752"/>
        <c:axId val="1472991792"/>
      </c:barChart>
      <c:catAx>
        <c:axId val="147299275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2991792"/>
        <c:crosses val="autoZero"/>
        <c:auto val="1"/>
        <c:lblAlgn val="ctr"/>
        <c:lblOffset val="100"/>
        <c:noMultiLvlLbl val="0"/>
      </c:catAx>
      <c:valAx>
        <c:axId val="1472991792"/>
        <c:scaling>
          <c:orientation val="minMax"/>
          <c:max val="0.70000000000000007"/>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all employers</a:t>
                </a:r>
              </a:p>
            </c:rich>
          </c:tx>
          <c:layout>
            <c:manualLayout>
              <c:xMode val="edge"/>
              <c:yMode val="edge"/>
              <c:x val="2.7777777777777779E-3"/>
              <c:y val="0.1319247594050743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299275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'ERSA - Fig.9'!$B$3</c:f>
              <c:strCache>
                <c:ptCount val="1"/>
                <c:pt idx="0">
                  <c:v>Mar Qtr 2024</c:v>
                </c:pt>
              </c:strCache>
            </c:strRef>
          </c:tx>
          <c:spPr>
            <a:solidFill>
              <a:schemeClr val="accent1"/>
            </a:solidFill>
            <a:ln>
              <a:noFill/>
            </a:ln>
            <a:effectLst/>
          </c:spPr>
          <c:invertIfNegative val="0"/>
          <c:dLbls>
            <c:dLbl>
              <c:idx val="0"/>
              <c:layout>
                <c:manualLayout>
                  <c:x val="-1.9819667610377961E-3"/>
                  <c:y val="1.3903536977491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4C-4FFD-8268-901E45F415CB}"/>
                </c:ext>
              </c:extLst>
            </c:dLbl>
            <c:dLbl>
              <c:idx val="1"/>
              <c:layout>
                <c:manualLayout>
                  <c:x val="-1.9658868256358271E-3"/>
                  <c:y val="-2.3020899561467859E-2"/>
                </c:manualLayout>
              </c:layout>
              <c:spPr>
                <a:noFill/>
                <a:ln>
                  <a:noFill/>
                </a:ln>
                <a:effectLst/>
              </c:spPr>
              <c:txPr>
                <a:bodyPr rot="-5400000" spcFirstLastPara="1" vertOverflow="ellipsis"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7819633631108142E-2"/>
                      <c:h val="5.721341295360588E-2"/>
                    </c:manualLayout>
                  </c15:layout>
                </c:ext>
                <c:ext xmlns:c16="http://schemas.microsoft.com/office/drawing/2014/chart" uri="{C3380CC4-5D6E-409C-BE32-E72D297353CC}">
                  <c16:uniqueId val="{00000001-154C-4FFD-8268-901E45F415CB}"/>
                </c:ext>
              </c:extLst>
            </c:dLbl>
            <c:dLbl>
              <c:idx val="5"/>
              <c:layout>
                <c:manualLayout>
                  <c:x val="-1.9660783061711544E-3"/>
                  <c:y val="1.3903536977491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4C-4FFD-8268-901E45F415C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'ERSA - Fig.9'!$A$4:$A$9</c:f>
              <c:strCache>
                <c:ptCount val="6"/>
                <c:pt idx="0">
                  <c:v>New South Wales</c:v>
                </c:pt>
                <c:pt idx="1">
                  <c:v>Victoria</c:v>
                </c:pt>
                <c:pt idx="2">
                  <c:v>Queensland</c:v>
                </c:pt>
                <c:pt idx="3">
                  <c:v>South Australia*</c:v>
                </c:pt>
                <c:pt idx="4">
                  <c:v>Western Australia</c:v>
                </c:pt>
                <c:pt idx="5">
                  <c:v>Tasmania*</c:v>
                </c:pt>
              </c:strCache>
            </c:strRef>
          </c:cat>
          <c:val>
            <c:numRef>
              <c:f>'ERSA - Fig.9'!$B$4:$B$9</c:f>
              <c:numCache>
                <c:formatCode>0%</c:formatCode>
                <c:ptCount val="6"/>
                <c:pt idx="0">
                  <c:v>0.52</c:v>
                </c:pt>
                <c:pt idx="1">
                  <c:v>0.52</c:v>
                </c:pt>
                <c:pt idx="2">
                  <c:v>0.56000000000000005</c:v>
                </c:pt>
                <c:pt idx="3">
                  <c:v>0.51</c:v>
                </c:pt>
                <c:pt idx="4">
                  <c:v>0.54</c:v>
                </c:pt>
                <c:pt idx="5">
                  <c:v>0.51</c:v>
                </c:pt>
              </c:numCache>
            </c:numRef>
          </c:val>
          <c:extLst>
            <c:ext xmlns:c16="http://schemas.microsoft.com/office/drawing/2014/chart" uri="{C3380CC4-5D6E-409C-BE32-E72D297353CC}">
              <c16:uniqueId val="{00000003-154C-4FFD-8268-901E45F415CB}"/>
            </c:ext>
          </c:extLst>
        </c:ser>
        <c:ser>
          <c:idx val="1"/>
          <c:order val="1"/>
          <c:tx>
            <c:strRef>
              <c:f>'ERSA - Fig.9'!$C$3</c:f>
              <c:strCache>
                <c:ptCount val="1"/>
                <c:pt idx="0">
                  <c:v>Jun Qtr 2024</c:v>
                </c:pt>
              </c:strCache>
            </c:strRef>
          </c:tx>
          <c:spPr>
            <a:solidFill>
              <a:schemeClr val="accent2"/>
            </a:solidFill>
            <a:ln>
              <a:noFill/>
            </a:ln>
            <a:effectLst/>
          </c:spPr>
          <c:invertIfNegative val="0"/>
          <c:cat>
            <c:strRef>
              <c:f>'ERSA - Fig.9'!$A$4:$A$9</c:f>
              <c:strCache>
                <c:ptCount val="6"/>
                <c:pt idx="0">
                  <c:v>New South Wales</c:v>
                </c:pt>
                <c:pt idx="1">
                  <c:v>Victoria</c:v>
                </c:pt>
                <c:pt idx="2">
                  <c:v>Queensland</c:v>
                </c:pt>
                <c:pt idx="3">
                  <c:v>South Australia*</c:v>
                </c:pt>
                <c:pt idx="4">
                  <c:v>Western Australia</c:v>
                </c:pt>
                <c:pt idx="5">
                  <c:v>Tasmania*</c:v>
                </c:pt>
              </c:strCache>
            </c:strRef>
          </c:cat>
          <c:val>
            <c:numRef>
              <c:f>'ERSA - Fig.9'!$C$4:$C$9</c:f>
              <c:numCache>
                <c:formatCode>0%</c:formatCode>
                <c:ptCount val="6"/>
                <c:pt idx="0">
                  <c:v>0.57999999999999996</c:v>
                </c:pt>
                <c:pt idx="1">
                  <c:v>0.57999999999999996</c:v>
                </c:pt>
                <c:pt idx="2">
                  <c:v>0.48</c:v>
                </c:pt>
                <c:pt idx="3">
                  <c:v>0.55000000000000004</c:v>
                </c:pt>
                <c:pt idx="4">
                  <c:v>0.51</c:v>
                </c:pt>
                <c:pt idx="5">
                  <c:v>0.61</c:v>
                </c:pt>
              </c:numCache>
            </c:numRef>
          </c:val>
          <c:extLst>
            <c:ext xmlns:c16="http://schemas.microsoft.com/office/drawing/2014/chart" uri="{C3380CC4-5D6E-409C-BE32-E72D297353CC}">
              <c16:uniqueId val="{00000004-154C-4FFD-8268-901E45F415CB}"/>
            </c:ext>
          </c:extLst>
        </c:ser>
        <c:ser>
          <c:idx val="2"/>
          <c:order val="2"/>
          <c:tx>
            <c:strRef>
              <c:f>'ERSA - Fig.9'!$D$3</c:f>
              <c:strCache>
                <c:ptCount val="1"/>
                <c:pt idx="0">
                  <c:v>Sept Qtr 2024</c:v>
                </c:pt>
              </c:strCache>
            </c:strRef>
          </c:tx>
          <c:spPr>
            <a:solidFill>
              <a:schemeClr val="accent3"/>
            </a:solidFill>
            <a:ln>
              <a:noFill/>
            </a:ln>
            <a:effectLst/>
          </c:spPr>
          <c:invertIfNegative val="0"/>
          <c:cat>
            <c:strRef>
              <c:f>'ERSA - Fig.9'!$A$4:$A$9</c:f>
              <c:strCache>
                <c:ptCount val="6"/>
                <c:pt idx="0">
                  <c:v>New South Wales</c:v>
                </c:pt>
                <c:pt idx="1">
                  <c:v>Victoria</c:v>
                </c:pt>
                <c:pt idx="2">
                  <c:v>Queensland</c:v>
                </c:pt>
                <c:pt idx="3">
                  <c:v>South Australia*</c:v>
                </c:pt>
                <c:pt idx="4">
                  <c:v>Western Australia</c:v>
                </c:pt>
                <c:pt idx="5">
                  <c:v>Tasmania*</c:v>
                </c:pt>
              </c:strCache>
            </c:strRef>
          </c:cat>
          <c:val>
            <c:numRef>
              <c:f>'ERSA - Fig.9'!$D$4:$D$9</c:f>
              <c:numCache>
                <c:formatCode>0%</c:formatCode>
                <c:ptCount val="6"/>
                <c:pt idx="0">
                  <c:v>0.48</c:v>
                </c:pt>
                <c:pt idx="1">
                  <c:v>0.48</c:v>
                </c:pt>
                <c:pt idx="2">
                  <c:v>0.54</c:v>
                </c:pt>
                <c:pt idx="3">
                  <c:v>0.51</c:v>
                </c:pt>
                <c:pt idx="4">
                  <c:v>0.49</c:v>
                </c:pt>
                <c:pt idx="5">
                  <c:v>0.49</c:v>
                </c:pt>
              </c:numCache>
            </c:numRef>
          </c:val>
          <c:extLst>
            <c:ext xmlns:c16="http://schemas.microsoft.com/office/drawing/2014/chart" uri="{C3380CC4-5D6E-409C-BE32-E72D297353CC}">
              <c16:uniqueId val="{00000005-154C-4FFD-8268-901E45F415CB}"/>
            </c:ext>
          </c:extLst>
        </c:ser>
        <c:ser>
          <c:idx val="3"/>
          <c:order val="3"/>
          <c:tx>
            <c:strRef>
              <c:f>'ERSA - Fig.9'!$E$3</c:f>
              <c:strCache>
                <c:ptCount val="1"/>
                <c:pt idx="0">
                  <c:v>Dec Qtr 2024</c:v>
                </c:pt>
              </c:strCache>
            </c:strRef>
          </c:tx>
          <c:spPr>
            <a:solidFill>
              <a:schemeClr val="accent4"/>
            </a:solidFill>
            <a:ln>
              <a:noFill/>
            </a:ln>
            <a:effectLst/>
          </c:spPr>
          <c:invertIfNegative val="0"/>
          <c:cat>
            <c:strRef>
              <c:f>'ERSA - Fig.9'!$A$4:$A$9</c:f>
              <c:strCache>
                <c:ptCount val="6"/>
                <c:pt idx="0">
                  <c:v>New South Wales</c:v>
                </c:pt>
                <c:pt idx="1">
                  <c:v>Victoria</c:v>
                </c:pt>
                <c:pt idx="2">
                  <c:v>Queensland</c:v>
                </c:pt>
                <c:pt idx="3">
                  <c:v>South Australia*</c:v>
                </c:pt>
                <c:pt idx="4">
                  <c:v>Western Australia</c:v>
                </c:pt>
                <c:pt idx="5">
                  <c:v>Tasmania*</c:v>
                </c:pt>
              </c:strCache>
            </c:strRef>
          </c:cat>
          <c:val>
            <c:numRef>
              <c:f>'ERSA - Fig.9'!$E$4:$E$9</c:f>
              <c:numCache>
                <c:formatCode>0%</c:formatCode>
                <c:ptCount val="6"/>
                <c:pt idx="0">
                  <c:v>0.5</c:v>
                </c:pt>
                <c:pt idx="1">
                  <c:v>0.43</c:v>
                </c:pt>
                <c:pt idx="2">
                  <c:v>0.59</c:v>
                </c:pt>
                <c:pt idx="3">
                  <c:v>0.52</c:v>
                </c:pt>
                <c:pt idx="4">
                  <c:v>0.49</c:v>
                </c:pt>
                <c:pt idx="5">
                  <c:v>0.37</c:v>
                </c:pt>
              </c:numCache>
            </c:numRef>
          </c:val>
          <c:extLst>
            <c:ext xmlns:c16="http://schemas.microsoft.com/office/drawing/2014/chart" uri="{C3380CC4-5D6E-409C-BE32-E72D297353CC}">
              <c16:uniqueId val="{00000006-154C-4FFD-8268-901E45F415CB}"/>
            </c:ext>
          </c:extLst>
        </c:ser>
        <c:ser>
          <c:idx val="4"/>
          <c:order val="4"/>
          <c:tx>
            <c:strRef>
              <c:f>'ERSA - Fig.9'!$F$3</c:f>
              <c:strCache>
                <c:ptCount val="1"/>
                <c:pt idx="0">
                  <c:v>Mar Qtr 2025</c:v>
                </c:pt>
              </c:strCache>
            </c:strRef>
          </c:tx>
          <c:spPr>
            <a:solidFill>
              <a:schemeClr val="accent5"/>
            </a:solidFill>
            <a:ln>
              <a:noFill/>
            </a:ln>
            <a:effectLst/>
          </c:spPr>
          <c:invertIfNegative val="0"/>
          <c:dLbls>
            <c:dLbl>
              <c:idx val="0"/>
              <c:layout>
                <c:manualLayout>
                  <c:x val="-2.6585632400618109E-5"/>
                  <c:y val="9.23656407900780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4C-4FFD-8268-901E45F415CB}"/>
                </c:ext>
              </c:extLst>
            </c:dLbl>
            <c:dLbl>
              <c:idx val="1"/>
              <c:layout>
                <c:manualLayout>
                  <c:x val="0"/>
                  <c:y val="1.39035871984819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54C-4FFD-8268-901E45F415CB}"/>
                </c:ext>
              </c:extLst>
            </c:dLbl>
            <c:dLbl>
              <c:idx val="2"/>
              <c:layout>
                <c:manualLayout>
                  <c:x val="1.9660783061711544E-3"/>
                  <c:y val="9.2689021589342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4C-4FFD-8268-901E45F415CB}"/>
                </c:ext>
              </c:extLst>
            </c:dLbl>
            <c:dLbl>
              <c:idx val="3"/>
              <c:layout>
                <c:manualLayout>
                  <c:x val="3.9639335220755193E-3"/>
                  <c:y val="1.3903536977491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54C-4FFD-8268-901E45F415CB}"/>
                </c:ext>
              </c:extLst>
            </c:dLbl>
            <c:dLbl>
              <c:idx val="4"/>
              <c:layout>
                <c:manualLayout>
                  <c:x val="-3.177690973342969E-5"/>
                  <c:y val="9.26890215893431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54C-4FFD-8268-901E45F415CB}"/>
                </c:ext>
              </c:extLst>
            </c:dLbl>
            <c:dLbl>
              <c:idx val="5"/>
              <c:layout>
                <c:manualLayout>
                  <c:x val="1.9978552159044378E-3"/>
                  <c:y val="4.66697289848415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54C-4FFD-8268-901E45F415C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'ERSA - Fig.9'!$A$4:$A$9</c:f>
              <c:strCache>
                <c:ptCount val="6"/>
                <c:pt idx="0">
                  <c:v>New South Wales</c:v>
                </c:pt>
                <c:pt idx="1">
                  <c:v>Victoria</c:v>
                </c:pt>
                <c:pt idx="2">
                  <c:v>Queensland</c:v>
                </c:pt>
                <c:pt idx="3">
                  <c:v>South Australia*</c:v>
                </c:pt>
                <c:pt idx="4">
                  <c:v>Western Australia</c:v>
                </c:pt>
                <c:pt idx="5">
                  <c:v>Tasmania*</c:v>
                </c:pt>
              </c:strCache>
            </c:strRef>
          </c:cat>
          <c:val>
            <c:numRef>
              <c:f>'ERSA - Fig.9'!$F$4:$F$9</c:f>
              <c:numCache>
                <c:formatCode>0%</c:formatCode>
                <c:ptCount val="6"/>
                <c:pt idx="0">
                  <c:v>0.43</c:v>
                </c:pt>
                <c:pt idx="1">
                  <c:v>0.43</c:v>
                </c:pt>
                <c:pt idx="2">
                  <c:v>0.45</c:v>
                </c:pt>
                <c:pt idx="3">
                  <c:v>0.42</c:v>
                </c:pt>
                <c:pt idx="4">
                  <c:v>0.43</c:v>
                </c:pt>
                <c:pt idx="5">
                  <c:v>0.36</c:v>
                </c:pt>
              </c:numCache>
            </c:numRef>
          </c:val>
          <c:extLst>
            <c:ext xmlns:c16="http://schemas.microsoft.com/office/drawing/2014/chart" uri="{C3380CC4-5D6E-409C-BE32-E72D297353CC}">
              <c16:uniqueId val="{0000000D-154C-4FFD-8268-901E45F415CB}"/>
            </c:ext>
          </c:extLst>
        </c:ser>
        <c:dLbls>
          <c:showLegendKey val="0"/>
          <c:showVal val="0"/>
          <c:showCatName val="0"/>
          <c:showSerName val="0"/>
          <c:showPercent val="0"/>
          <c:showBubbleSize val="0"/>
        </c:dLbls>
        <c:gapWidth val="225"/>
        <c:overlap val="-20"/>
        <c:axId val="1670438879"/>
        <c:axId val="1670440799"/>
      </c:barChart>
      <c:catAx>
        <c:axId val="1670438879"/>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70440799"/>
        <c:crosses val="autoZero"/>
        <c:auto val="1"/>
        <c:lblAlgn val="ctr"/>
        <c:lblOffset val="100"/>
        <c:noMultiLvlLbl val="0"/>
      </c:catAx>
      <c:valAx>
        <c:axId val="1670440799"/>
        <c:scaling>
          <c:orientation val="minMax"/>
          <c:max val="0.9"/>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Proportion of recruiting employers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70438879"/>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4371330453085188E-2"/>
          <c:y val="4.9217002237136466E-2"/>
          <c:w val="0.95125733909382959"/>
          <c:h val="0.75669326569078199"/>
        </c:manualLayout>
      </c:layout>
      <c:barChart>
        <c:barDir val="col"/>
        <c:grouping val="clustered"/>
        <c:varyColors val="0"/>
        <c:ser>
          <c:idx val="0"/>
          <c:order val="0"/>
          <c:tx>
            <c:strRef>
              <c:f>'[FOR INPUT - Labour Market Update - Charts and Graphs.xlsx]Sheet1'!$K$5</c:f>
              <c:strCache>
                <c:ptCount val="1"/>
                <c:pt idx="0">
                  <c:v>Applicants per vacancy</c:v>
                </c:pt>
              </c:strCache>
            </c:strRef>
          </c:tx>
          <c:spPr>
            <a:solidFill>
              <a:srgbClr val="6929C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INPUT - Labour Market Update - Charts and Graphs.xlsx]Sheet1'!$L$4:$O$4</c:f>
              <c:strCache>
                <c:ptCount val="4"/>
                <c:pt idx="0">
                  <c:v>Skill Level 1</c:v>
                </c:pt>
                <c:pt idx="1">
                  <c:v>Skill Level 2</c:v>
                </c:pt>
                <c:pt idx="2">
                  <c:v>Skill Level 3</c:v>
                </c:pt>
                <c:pt idx="3">
                  <c:v>Skill Level 4</c:v>
                </c:pt>
              </c:strCache>
            </c:strRef>
          </c:cat>
          <c:val>
            <c:numRef>
              <c:f>'[FOR INPUT - Labour Market Update - Charts and Graphs.xlsx]Sheet1'!$L$5:$O$5</c:f>
              <c:numCache>
                <c:formatCode>General</c:formatCode>
                <c:ptCount val="4"/>
                <c:pt idx="0">
                  <c:v>30.9</c:v>
                </c:pt>
                <c:pt idx="1">
                  <c:v>33.9</c:v>
                </c:pt>
                <c:pt idx="2">
                  <c:v>17.600000000000001</c:v>
                </c:pt>
                <c:pt idx="3">
                  <c:v>32.700000000000003</c:v>
                </c:pt>
              </c:numCache>
            </c:numRef>
          </c:val>
          <c:extLst>
            <c:ext xmlns:c16="http://schemas.microsoft.com/office/drawing/2014/chart" uri="{C3380CC4-5D6E-409C-BE32-E72D297353CC}">
              <c16:uniqueId val="{00000000-9F44-4AD6-8333-51748C981275}"/>
            </c:ext>
          </c:extLst>
        </c:ser>
        <c:ser>
          <c:idx val="1"/>
          <c:order val="1"/>
          <c:tx>
            <c:strRef>
              <c:f>'[FOR INPUT - Labour Market Update - Charts and Graphs.xlsx]Sheet1'!$K$6</c:f>
              <c:strCache>
                <c:ptCount val="1"/>
                <c:pt idx="0">
                  <c:v>Qualified applicants per vacancy</c:v>
                </c:pt>
              </c:strCache>
            </c:strRef>
          </c:tx>
          <c:spPr>
            <a:solidFill>
              <a:srgbClr val="009D9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INPUT - Labour Market Update - Charts and Graphs.xlsx]Sheet1'!$L$4:$O$4</c:f>
              <c:strCache>
                <c:ptCount val="4"/>
                <c:pt idx="0">
                  <c:v>Skill Level 1</c:v>
                </c:pt>
                <c:pt idx="1">
                  <c:v>Skill Level 2</c:v>
                </c:pt>
                <c:pt idx="2">
                  <c:v>Skill Level 3</c:v>
                </c:pt>
                <c:pt idx="3">
                  <c:v>Skill Level 4</c:v>
                </c:pt>
              </c:strCache>
            </c:strRef>
          </c:cat>
          <c:val>
            <c:numRef>
              <c:f>'[FOR INPUT - Labour Market Update - Charts and Graphs.xlsx]Sheet1'!$L$6:$O$6</c:f>
              <c:numCache>
                <c:formatCode>General</c:formatCode>
                <c:ptCount val="4"/>
                <c:pt idx="0">
                  <c:v>12</c:v>
                </c:pt>
                <c:pt idx="1">
                  <c:v>10.4</c:v>
                </c:pt>
                <c:pt idx="2">
                  <c:v>4.7</c:v>
                </c:pt>
                <c:pt idx="3">
                  <c:v>7.8</c:v>
                </c:pt>
              </c:numCache>
            </c:numRef>
          </c:val>
          <c:extLst>
            <c:ext xmlns:c16="http://schemas.microsoft.com/office/drawing/2014/chart" uri="{C3380CC4-5D6E-409C-BE32-E72D297353CC}">
              <c16:uniqueId val="{00000001-9F44-4AD6-8333-51748C981275}"/>
            </c:ext>
          </c:extLst>
        </c:ser>
        <c:ser>
          <c:idx val="2"/>
          <c:order val="2"/>
          <c:tx>
            <c:strRef>
              <c:f>'[FOR INPUT - Labour Market Update - Charts and Graphs.xlsx]Sheet1'!$K$7</c:f>
              <c:strCache>
                <c:ptCount val="1"/>
                <c:pt idx="0">
                  <c:v>Suitable applicants per vacancy</c:v>
                </c:pt>
              </c:strCache>
            </c:strRef>
          </c:tx>
          <c:spPr>
            <a:solidFill>
              <a:srgbClr val="0F25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INPUT - Labour Market Update - Charts and Graphs.xlsx]Sheet1'!$L$4:$O$4</c:f>
              <c:strCache>
                <c:ptCount val="4"/>
                <c:pt idx="0">
                  <c:v>Skill Level 1</c:v>
                </c:pt>
                <c:pt idx="1">
                  <c:v>Skill Level 2</c:v>
                </c:pt>
                <c:pt idx="2">
                  <c:v>Skill Level 3</c:v>
                </c:pt>
                <c:pt idx="3">
                  <c:v>Skill Level 4</c:v>
                </c:pt>
              </c:strCache>
            </c:strRef>
          </c:cat>
          <c:val>
            <c:numRef>
              <c:f>'[FOR INPUT - Labour Market Update - Charts and Graphs.xlsx]Sheet1'!$L$7:$O$7</c:f>
              <c:numCache>
                <c:formatCode>General</c:formatCode>
                <c:ptCount val="4"/>
                <c:pt idx="0" formatCode="0.0">
                  <c:v>4</c:v>
                </c:pt>
                <c:pt idx="1">
                  <c:v>4.5999999999999996</c:v>
                </c:pt>
                <c:pt idx="2">
                  <c:v>2.2000000000000002</c:v>
                </c:pt>
                <c:pt idx="3">
                  <c:v>4.9000000000000004</c:v>
                </c:pt>
              </c:numCache>
            </c:numRef>
          </c:val>
          <c:extLst>
            <c:ext xmlns:c16="http://schemas.microsoft.com/office/drawing/2014/chart" uri="{C3380CC4-5D6E-409C-BE32-E72D297353CC}">
              <c16:uniqueId val="{00000002-9F44-4AD6-8333-51748C981275}"/>
            </c:ext>
          </c:extLst>
        </c:ser>
        <c:dLbls>
          <c:showLegendKey val="0"/>
          <c:showVal val="0"/>
          <c:showCatName val="0"/>
          <c:showSerName val="0"/>
          <c:showPercent val="0"/>
          <c:showBubbleSize val="0"/>
        </c:dLbls>
        <c:gapWidth val="219"/>
        <c:overlap val="-27"/>
        <c:axId val="2139866799"/>
        <c:axId val="2139867279"/>
      </c:barChart>
      <c:lineChart>
        <c:grouping val="stacked"/>
        <c:varyColors val="0"/>
        <c:ser>
          <c:idx val="3"/>
          <c:order val="3"/>
          <c:tx>
            <c:strRef>
              <c:f>'[FOR INPUT - Labour Market Update - Charts and Graphs.xlsx]Sheet1'!$K$8</c:f>
              <c:strCache>
                <c:ptCount val="1"/>
                <c:pt idx="0">
                  <c:v>Fill rate (%)</c:v>
                </c:pt>
              </c:strCache>
            </c:strRef>
          </c:tx>
          <c:spPr>
            <a:ln w="28575" cap="rnd">
              <a:noFill/>
              <a:round/>
            </a:ln>
            <a:effectLst/>
          </c:spPr>
          <c:marker>
            <c:symbol val="dash"/>
            <c:size val="16"/>
            <c:spPr>
              <a:solidFill>
                <a:srgbClr val="EE538B"/>
              </a:solidFill>
              <a:ln w="9525">
                <a:solidFill>
                  <a:srgbClr val="EE538B">
                    <a:alpha val="98824"/>
                  </a:srgb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INPUT - Labour Market Update - Charts and Graphs.xlsx]Sheet1'!$L$4:$O$4</c:f>
              <c:strCache>
                <c:ptCount val="4"/>
                <c:pt idx="0">
                  <c:v>Skill Level 1</c:v>
                </c:pt>
                <c:pt idx="1">
                  <c:v>Skill Level 2</c:v>
                </c:pt>
                <c:pt idx="2">
                  <c:v>Skill Level 3</c:v>
                </c:pt>
                <c:pt idx="3">
                  <c:v>Skill Level 4</c:v>
                </c:pt>
              </c:strCache>
            </c:strRef>
          </c:cat>
          <c:val>
            <c:numRef>
              <c:f>'[FOR INPUT - Labour Market Update - Charts and Graphs.xlsx]Sheet1'!$L$8:$O$8</c:f>
              <c:numCache>
                <c:formatCode>General</c:formatCode>
                <c:ptCount val="4"/>
                <c:pt idx="0" formatCode="0.0">
                  <c:v>72</c:v>
                </c:pt>
                <c:pt idx="1">
                  <c:v>74.099999999999994</c:v>
                </c:pt>
                <c:pt idx="2">
                  <c:v>55.5</c:v>
                </c:pt>
                <c:pt idx="3">
                  <c:v>73.7</c:v>
                </c:pt>
              </c:numCache>
            </c:numRef>
          </c:val>
          <c:smooth val="0"/>
          <c:extLst>
            <c:ext xmlns:c16="http://schemas.microsoft.com/office/drawing/2014/chart" uri="{C3380CC4-5D6E-409C-BE32-E72D297353CC}">
              <c16:uniqueId val="{00000003-9F44-4AD6-8333-51748C981275}"/>
            </c:ext>
          </c:extLst>
        </c:ser>
        <c:dLbls>
          <c:showLegendKey val="0"/>
          <c:showVal val="0"/>
          <c:showCatName val="0"/>
          <c:showSerName val="0"/>
          <c:showPercent val="0"/>
          <c:showBubbleSize val="0"/>
        </c:dLbls>
        <c:marker val="1"/>
        <c:smooth val="0"/>
        <c:axId val="2139866799"/>
        <c:axId val="2139867279"/>
      </c:lineChart>
      <c:catAx>
        <c:axId val="2139866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2139867279"/>
        <c:crosses val="autoZero"/>
        <c:auto val="1"/>
        <c:lblAlgn val="ctr"/>
        <c:lblOffset val="100"/>
        <c:noMultiLvlLbl val="0"/>
      </c:catAx>
      <c:valAx>
        <c:axId val="2139867279"/>
        <c:scaling>
          <c:orientation val="minMax"/>
        </c:scaling>
        <c:delete val="1"/>
        <c:axPos val="l"/>
        <c:numFmt formatCode="General" sourceLinked="1"/>
        <c:majorTickMark val="none"/>
        <c:minorTickMark val="none"/>
        <c:tickLblPos val="nextTo"/>
        <c:crossAx val="2139866799"/>
        <c:crosses val="autoZero"/>
        <c:crossBetween val="between"/>
      </c:valAx>
      <c:spPr>
        <a:noFill/>
        <a:ln>
          <a:noFill/>
        </a:ln>
        <a:effectLst/>
      </c:spPr>
    </c:plotArea>
    <c:legend>
      <c:legendPos val="b"/>
      <c:layout>
        <c:manualLayout>
          <c:xMode val="edge"/>
          <c:yMode val="edge"/>
          <c:x val="0"/>
          <c:y val="0.89506068487212831"/>
          <c:w val="0.99527419491307356"/>
          <c:h val="7.741439098396185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BBE2E515E547ED82721B8EC8957CAF"/>
        <w:category>
          <w:name w:val="General"/>
          <w:gallery w:val="placeholder"/>
        </w:category>
        <w:types>
          <w:type w:val="bbPlcHdr"/>
        </w:types>
        <w:behaviors>
          <w:behavior w:val="content"/>
        </w:behaviors>
        <w:guid w:val="{0573574F-1AD0-4B80-85AA-4AA2D123457E}"/>
      </w:docPartPr>
      <w:docPartBody>
        <w:p w:rsidR="00F9490D" w:rsidRDefault="00F9490D" w:rsidP="00F9490D">
          <w:pPr>
            <w:pStyle w:val="85BBE2E515E547ED82721B8EC8957CAF"/>
          </w:pPr>
          <w:r w:rsidRPr="004C16A2">
            <w:rPr>
              <w:rStyle w:val="PlaceholderText"/>
            </w:rPr>
            <w:t>[Title]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681" w:rsidRDefault="00A00681">
      <w:pPr>
        <w:spacing w:after="0" w:line="240" w:lineRule="auto"/>
      </w:pPr>
      <w:r>
        <w:separator/>
      </w:r>
    </w:p>
  </w:endnote>
  <w:endnote w:type="continuationSeparator" w:id="0">
    <w:p w:rsidR="00A00681" w:rsidRDefault="00A00681">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681" w:rsidRDefault="00A00681">
      <w:pPr>
        <w:spacing w:after="0" w:line="240" w:lineRule="auto"/>
      </w:pPr>
      <w:r>
        <w:separator/>
      </w:r>
    </w:p>
  </w:footnote>
  <w:footnote w:type="continuationSeparator" w:id="0">
    <w:p w:rsidR="00A00681" w:rsidRDefault="00A0068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0B2"/>
    <w:multiLevelType w:val="multilevel"/>
    <w:tmpl w:val="9F703E2E"/>
    <w:numStyleLink w:val="ListBulletmaster"/>
  </w:abstractNum>
  <w:abstractNum w:abstractNumId="1" w15:restartNumberingAfterBreak="0">
    <w:nsid w:val="17A434C9"/>
    <w:multiLevelType w:val="multilevel"/>
    <w:tmpl w:val="113457F2"/>
    <w:numStyleLink w:val="Headingsmaster"/>
  </w:abstractNum>
  <w:abstractNum w:abstractNumId="2" w15:restartNumberingAfterBreak="0">
    <w:nsid w:val="1A753D77"/>
    <w:multiLevelType w:val="multilevel"/>
    <w:tmpl w:val="113457F2"/>
    <w:styleLink w:val="Headingsmaster"/>
    <w:lvl w:ilvl="0">
      <w:start w:val="1"/>
      <w:numFmt w:val="decimal"/>
      <w:pStyle w:val="Heading1"/>
      <w:lvlText w:val="Chapter %1"/>
      <w:lvlJc w:val="left"/>
      <w:pPr>
        <w:ind w:left="0" w:firstLine="0"/>
      </w:pPr>
      <w:rPr>
        <w:rFonts w:hint="default"/>
      </w:rPr>
    </w:lvl>
    <w:lvl w:ilvl="1">
      <w:start w:val="1"/>
      <w:numFmt w:val="decimal"/>
      <w:pStyle w:val="Heading2"/>
      <w:lvlText w:val="%1.%2"/>
      <w:lvlJc w:val="left"/>
      <w:pPr>
        <w:ind w:left="1072" w:hanging="1072"/>
      </w:pPr>
      <w:rPr>
        <w:rFonts w:hint="default"/>
      </w:rPr>
    </w:lvl>
    <w:lvl w:ilvl="2">
      <w:start w:val="1"/>
      <w:numFmt w:val="decimal"/>
      <w:pStyle w:val="Heading3"/>
      <w:lvlText w:val="%1.%2.%3"/>
      <w:lvlJc w:val="left"/>
      <w:pPr>
        <w:ind w:left="1072" w:hanging="1072"/>
      </w:pPr>
      <w:rPr>
        <w:rFonts w:hint="default"/>
      </w:rPr>
    </w:lvl>
    <w:lvl w:ilvl="3">
      <w:start w:val="1"/>
      <w:numFmt w:val="decimal"/>
      <w:pStyle w:val="Heading4"/>
      <w:lvlText w:val="%1.%2.%3.%4"/>
      <w:lvlJc w:val="left"/>
      <w:pPr>
        <w:ind w:left="1072" w:hanging="1072"/>
      </w:pPr>
      <w:rPr>
        <w:rFonts w:hint="default"/>
      </w:rPr>
    </w:lvl>
    <w:lvl w:ilvl="4">
      <w:start w:val="1"/>
      <w:numFmt w:val="decimal"/>
      <w:pStyle w:val="Heading5"/>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1066B6"/>
    <w:multiLevelType w:val="multilevel"/>
    <w:tmpl w:val="113457F2"/>
    <w:numStyleLink w:val="Headingsmaster"/>
  </w:abstractNum>
  <w:abstractNum w:abstractNumId="4" w15:restartNumberingAfterBreak="0">
    <w:nsid w:val="4D2C5E75"/>
    <w:multiLevelType w:val="multilevel"/>
    <w:tmpl w:val="0C56A4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90287643">
    <w:abstractNumId w:val="2"/>
  </w:num>
  <w:num w:numId="2" w16cid:durableId="1869679674">
    <w:abstractNumId w:val="6"/>
  </w:num>
  <w:num w:numId="3" w16cid:durableId="1320232845">
    <w:abstractNumId w:val="0"/>
  </w:num>
  <w:num w:numId="4" w16cid:durableId="1442914095">
    <w:abstractNumId w:val="1"/>
  </w:num>
  <w:num w:numId="5" w16cid:durableId="1349261214">
    <w:abstractNumId w:val="3"/>
  </w:num>
  <w:num w:numId="6" w16cid:durableId="1421415029">
    <w:abstractNumId w:val="5"/>
  </w:num>
  <w:num w:numId="7" w16cid:durableId="1079055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7986171">
    <w:abstractNumId w:val="4"/>
  </w:num>
  <w:num w:numId="9" w16cid:durableId="1251507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5513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5E"/>
    <w:rsid w:val="000058F9"/>
    <w:rsid w:val="00044083"/>
    <w:rsid w:val="000458D0"/>
    <w:rsid w:val="00047116"/>
    <w:rsid w:val="000C49B4"/>
    <w:rsid w:val="00100B87"/>
    <w:rsid w:val="00131C8E"/>
    <w:rsid w:val="00183E6D"/>
    <w:rsid w:val="001973FC"/>
    <w:rsid w:val="00200E7E"/>
    <w:rsid w:val="00234B18"/>
    <w:rsid w:val="002A301F"/>
    <w:rsid w:val="002E5BAA"/>
    <w:rsid w:val="00331155"/>
    <w:rsid w:val="00374CA2"/>
    <w:rsid w:val="00392981"/>
    <w:rsid w:val="003B4E58"/>
    <w:rsid w:val="004E29D0"/>
    <w:rsid w:val="004E6770"/>
    <w:rsid w:val="00553049"/>
    <w:rsid w:val="0056433F"/>
    <w:rsid w:val="00584047"/>
    <w:rsid w:val="005D6412"/>
    <w:rsid w:val="005E2A7F"/>
    <w:rsid w:val="00683588"/>
    <w:rsid w:val="006B71B6"/>
    <w:rsid w:val="006C554D"/>
    <w:rsid w:val="006D1E10"/>
    <w:rsid w:val="006D604D"/>
    <w:rsid w:val="007322A5"/>
    <w:rsid w:val="00821454"/>
    <w:rsid w:val="008251A2"/>
    <w:rsid w:val="00867EBD"/>
    <w:rsid w:val="008A25F5"/>
    <w:rsid w:val="008C6EEE"/>
    <w:rsid w:val="009008D4"/>
    <w:rsid w:val="00930BAA"/>
    <w:rsid w:val="00966319"/>
    <w:rsid w:val="009665AD"/>
    <w:rsid w:val="0098508D"/>
    <w:rsid w:val="009F4222"/>
    <w:rsid w:val="009F4A1E"/>
    <w:rsid w:val="00A00681"/>
    <w:rsid w:val="00A20A66"/>
    <w:rsid w:val="00AB4F7C"/>
    <w:rsid w:val="00AB6110"/>
    <w:rsid w:val="00AD00BB"/>
    <w:rsid w:val="00B04F26"/>
    <w:rsid w:val="00B54C66"/>
    <w:rsid w:val="00B71434"/>
    <w:rsid w:val="00B858EF"/>
    <w:rsid w:val="00B970B7"/>
    <w:rsid w:val="00BA525E"/>
    <w:rsid w:val="00BC5A51"/>
    <w:rsid w:val="00BC6257"/>
    <w:rsid w:val="00BC6D6B"/>
    <w:rsid w:val="00BF37BA"/>
    <w:rsid w:val="00C11259"/>
    <w:rsid w:val="00C13883"/>
    <w:rsid w:val="00C15558"/>
    <w:rsid w:val="00C96CFC"/>
    <w:rsid w:val="00D537F0"/>
    <w:rsid w:val="00DB79D0"/>
    <w:rsid w:val="00DC0064"/>
    <w:rsid w:val="00E151C9"/>
    <w:rsid w:val="00E44172"/>
    <w:rsid w:val="00E810C1"/>
    <w:rsid w:val="00E83196"/>
    <w:rsid w:val="00E83F58"/>
    <w:rsid w:val="00E948C8"/>
    <w:rsid w:val="00E97852"/>
    <w:rsid w:val="00E97ECE"/>
    <w:rsid w:val="00EC0863"/>
    <w:rsid w:val="00EE3185"/>
    <w:rsid w:val="00EF5829"/>
    <w:rsid w:val="00F6443E"/>
    <w:rsid w:val="00F9490D"/>
    <w:rsid w:val="00FD1249"/>
    <w:rsid w:val="00FE4B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EF5829"/>
    <w:pPr>
      <w:keepNext/>
      <w:pageBreakBefore/>
      <w:numPr>
        <w:numId w:val="5"/>
      </w:numPr>
      <w:pBdr>
        <w:top w:val="single" w:sz="6" w:space="31" w:color="FFFFFF" w:themeColor="background1"/>
      </w:pBdr>
      <w:spacing w:before="240" w:after="3000"/>
      <w:outlineLvl w:val="0"/>
    </w:pPr>
    <w:rPr>
      <w:rFonts w:eastAsia="Times New Roman" w:cs="Arial"/>
      <w:b/>
      <w:bCs/>
      <w:color w:val="4B0985"/>
      <w:sz w:val="56"/>
      <w:szCs w:val="32"/>
      <w:lang w:eastAsia="en-AU"/>
    </w:rPr>
  </w:style>
  <w:style w:type="paragraph" w:styleId="Heading2">
    <w:name w:val="heading 2"/>
    <w:basedOn w:val="Heading1"/>
    <w:next w:val="BodyText"/>
    <w:link w:val="Heading2Char"/>
    <w:uiPriority w:val="9"/>
    <w:qFormat/>
    <w:rsid w:val="00EF5829"/>
    <w:pPr>
      <w:pageBreakBefore w:val="0"/>
      <w:numPr>
        <w:ilvl w:val="1"/>
      </w:numPr>
      <w:pBdr>
        <w:top w:val="none" w:sz="0" w:space="0" w:color="auto"/>
      </w:pBdr>
      <w:tabs>
        <w:tab w:val="clear" w:pos="357"/>
        <w:tab w:val="clear" w:pos="714"/>
        <w:tab w:val="clear" w:pos="1429"/>
      </w:tabs>
      <w:spacing w:after="0"/>
      <w:outlineLvl w:val="1"/>
    </w:pPr>
    <w:rPr>
      <w:bCs w:val="0"/>
      <w:iCs/>
      <w:color w:val="012749"/>
      <w:sz w:val="32"/>
      <w:szCs w:val="28"/>
    </w:rPr>
  </w:style>
  <w:style w:type="paragraph" w:styleId="Heading3">
    <w:name w:val="heading 3"/>
    <w:basedOn w:val="Heading1"/>
    <w:next w:val="BodyText"/>
    <w:link w:val="Heading3Char"/>
    <w:uiPriority w:val="9"/>
    <w:qFormat/>
    <w:rsid w:val="00EF5829"/>
    <w:pPr>
      <w:pageBreakBefore w:val="0"/>
      <w:numPr>
        <w:ilvl w:val="2"/>
      </w:numPr>
      <w:pBdr>
        <w:top w:val="none" w:sz="0" w:space="0" w:color="auto"/>
      </w:pBdr>
      <w:tabs>
        <w:tab w:val="clear" w:pos="357"/>
        <w:tab w:val="clear" w:pos="714"/>
        <w:tab w:val="clear" w:pos="1429"/>
      </w:tabs>
      <w:spacing w:after="0"/>
      <w:outlineLvl w:val="2"/>
    </w:pPr>
    <w:rPr>
      <w:bCs w:val="0"/>
      <w:sz w:val="26"/>
      <w:szCs w:val="26"/>
    </w:rPr>
  </w:style>
  <w:style w:type="paragraph" w:styleId="Heading4">
    <w:name w:val="heading 4"/>
    <w:basedOn w:val="Heading1"/>
    <w:next w:val="BodyText"/>
    <w:link w:val="Heading4Char"/>
    <w:uiPriority w:val="9"/>
    <w:qFormat/>
    <w:rsid w:val="00EF5829"/>
    <w:pPr>
      <w:pageBreakBefore w:val="0"/>
      <w:numPr>
        <w:ilvl w:val="3"/>
      </w:numPr>
      <w:pBdr>
        <w:top w:val="none" w:sz="0" w:space="0" w:color="auto"/>
      </w:pBdr>
      <w:tabs>
        <w:tab w:val="clear" w:pos="357"/>
        <w:tab w:val="clear" w:pos="714"/>
        <w:tab w:val="clear" w:pos="1429"/>
      </w:tabs>
      <w:spacing w:after="0"/>
      <w:outlineLvl w:val="3"/>
    </w:pPr>
    <w:rPr>
      <w:bCs w:val="0"/>
      <w:color w:val="012749"/>
      <w:sz w:val="22"/>
      <w:szCs w:val="21"/>
    </w:rPr>
  </w:style>
  <w:style w:type="paragraph" w:styleId="Heading5">
    <w:name w:val="heading 5"/>
    <w:basedOn w:val="Normal"/>
    <w:next w:val="Normal"/>
    <w:link w:val="Heading5Char"/>
    <w:uiPriority w:val="9"/>
    <w:qFormat/>
    <w:rsid w:val="00EF5829"/>
    <w:pPr>
      <w:numPr>
        <w:ilvl w:val="4"/>
        <w:numId w:val="5"/>
      </w:numPr>
      <w:tabs>
        <w:tab w:val="left" w:pos="1072"/>
      </w:tabs>
      <w:spacing w:before="240" w:after="0" w:line="276" w:lineRule="auto"/>
      <w:outlineLvl w:val="4"/>
    </w:pPr>
    <w:rPr>
      <w:rFonts w:ascii="Arial" w:eastAsia="Times New Roman" w:hAnsi="Arial" w:cs="Times New Roman"/>
      <w:bCs/>
      <w:iCs/>
      <w:color w:val="4B0885"/>
      <w:kern w:val="0"/>
      <w:sz w:val="19"/>
      <w:szCs w:val="20"/>
      <w:lang w:val="en-GB"/>
      <w14:ligatures w14:val="none"/>
    </w:rPr>
  </w:style>
  <w:style w:type="paragraph" w:styleId="Heading6">
    <w:name w:val="heading 6"/>
    <w:basedOn w:val="Normal"/>
    <w:next w:val="Normal"/>
    <w:link w:val="Heading6Char"/>
    <w:uiPriority w:val="9"/>
    <w:qFormat/>
    <w:rsid w:val="00EF5829"/>
    <w:pPr>
      <w:keepNext/>
      <w:keepLines/>
      <w:spacing w:before="240" w:after="0" w:line="276" w:lineRule="auto"/>
      <w:outlineLvl w:val="5"/>
    </w:pPr>
    <w:rPr>
      <w:rFonts w:ascii="Arial" w:eastAsiaTheme="majorEastAsia" w:hAnsi="Arial" w:cstheme="majorBidi"/>
      <w:color w:val="4B0885"/>
      <w:kern w:val="0"/>
      <w:sz w:val="19"/>
      <w:szCs w:val="2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490D"/>
    <w:rPr>
      <w:color w:val="C00000"/>
    </w:rPr>
  </w:style>
  <w:style w:type="table" w:customStyle="1" w:styleId="CustomTablepulloutbox2">
    <w:name w:val="Custom Table (pullout box 2)"/>
    <w:basedOn w:val="CustomTablepulloutbox"/>
    <w:uiPriority w:val="99"/>
    <w:rsid w:val="00A20A66"/>
    <w:tblPr/>
    <w:tcPr>
      <w:shd w:val="clear" w:color="auto" w:fill="E0D1F5"/>
    </w:tcPr>
  </w:style>
  <w:style w:type="character" w:customStyle="1" w:styleId="Heading1Char">
    <w:name w:val="Heading 1 Char"/>
    <w:basedOn w:val="DefaultParagraphFont"/>
    <w:link w:val="Heading1"/>
    <w:uiPriority w:val="9"/>
    <w:rsid w:val="00EF5829"/>
    <w:rPr>
      <w:rFonts w:ascii="Arial" w:eastAsia="Times New Roman" w:hAnsi="Arial" w:cs="Arial"/>
      <w:b/>
      <w:bCs/>
      <w:color w:val="4B0985"/>
      <w:kern w:val="0"/>
      <w:sz w:val="56"/>
      <w:szCs w:val="32"/>
      <w14:ligatures w14:val="none"/>
    </w:rPr>
  </w:style>
  <w:style w:type="character" w:customStyle="1" w:styleId="Heading2Char">
    <w:name w:val="Heading 2 Char"/>
    <w:basedOn w:val="DefaultParagraphFont"/>
    <w:link w:val="Heading2"/>
    <w:uiPriority w:val="9"/>
    <w:rsid w:val="00331155"/>
    <w:rPr>
      <w:rFonts w:ascii="Arial" w:eastAsia="Times New Roman" w:hAnsi="Arial" w:cs="Arial"/>
      <w:b/>
      <w:iCs/>
      <w:color w:val="012749"/>
      <w:kern w:val="0"/>
      <w:sz w:val="32"/>
      <w:szCs w:val="28"/>
      <w14:ligatures w14:val="none"/>
    </w:rPr>
  </w:style>
  <w:style w:type="character" w:customStyle="1" w:styleId="Heading3Char">
    <w:name w:val="Heading 3 Char"/>
    <w:basedOn w:val="DefaultParagraphFont"/>
    <w:link w:val="Heading3"/>
    <w:uiPriority w:val="9"/>
    <w:rsid w:val="00331155"/>
    <w:rPr>
      <w:rFonts w:ascii="Arial" w:eastAsia="Times New Roman" w:hAnsi="Arial" w:cs="Arial"/>
      <w:b/>
      <w:color w:val="4B0985"/>
      <w:kern w:val="0"/>
      <w:sz w:val="26"/>
      <w:szCs w:val="26"/>
      <w14:ligatures w14:val="none"/>
    </w:rPr>
  </w:style>
  <w:style w:type="paragraph" w:styleId="ListBullet">
    <w:name w:val="List Bullet"/>
    <w:basedOn w:val="Normal"/>
    <w:uiPriority w:val="4"/>
    <w:qFormat/>
    <w:rsid w:val="00EF5829"/>
    <w:pPr>
      <w:numPr>
        <w:numId w:val="3"/>
      </w:numPr>
      <w:spacing w:before="120" w:after="120" w:line="276" w:lineRule="auto"/>
      <w:ind w:left="357" w:hanging="357"/>
    </w:pPr>
    <w:rPr>
      <w:rFonts w:ascii="Arial" w:eastAsia="Times New Roman" w:hAnsi="Arial" w:cs="Times New Roman"/>
      <w:kern w:val="0"/>
      <w:sz w:val="22"/>
      <w:lang w:eastAsia="en-GB"/>
      <w14:ligatures w14:val="none"/>
    </w:rPr>
  </w:style>
  <w:style w:type="numbering" w:customStyle="1" w:styleId="ListBulletmaster">
    <w:name w:val="List Bullet (master)"/>
    <w:rsid w:val="00EF5829"/>
    <w:pPr>
      <w:numPr>
        <w:numId w:val="2"/>
      </w:numPr>
    </w:pPr>
  </w:style>
  <w:style w:type="paragraph" w:styleId="ListBullet2">
    <w:name w:val="List Bullet 2"/>
    <w:basedOn w:val="Normal"/>
    <w:uiPriority w:val="4"/>
    <w:qFormat/>
    <w:rsid w:val="00EF5829"/>
    <w:pPr>
      <w:numPr>
        <w:ilvl w:val="1"/>
        <w:numId w:val="3"/>
      </w:numPr>
      <w:spacing w:before="120" w:after="120" w:line="276" w:lineRule="auto"/>
    </w:pPr>
    <w:rPr>
      <w:rFonts w:ascii="Arial" w:eastAsia="Times New Roman" w:hAnsi="Arial" w:cs="Times New Roman"/>
      <w:kern w:val="0"/>
      <w:sz w:val="22"/>
      <w:lang w:eastAsia="en-GB"/>
      <w14:ligatures w14:val="none"/>
    </w:rPr>
  </w:style>
  <w:style w:type="paragraph" w:styleId="ListBullet3">
    <w:name w:val="List Bullet 3"/>
    <w:basedOn w:val="Normal"/>
    <w:uiPriority w:val="4"/>
    <w:qFormat/>
    <w:rsid w:val="00EF5829"/>
    <w:pPr>
      <w:numPr>
        <w:ilvl w:val="2"/>
        <w:numId w:val="3"/>
      </w:numPr>
      <w:spacing w:before="120" w:after="120" w:line="276" w:lineRule="auto"/>
      <w:ind w:left="1071" w:hanging="357"/>
    </w:pPr>
    <w:rPr>
      <w:rFonts w:ascii="Arial" w:eastAsia="Times New Roman" w:hAnsi="Arial" w:cs="Times New Roman"/>
      <w:kern w:val="0"/>
      <w:sz w:val="22"/>
      <w:lang w:eastAsia="en-GB"/>
      <w14:ligatures w14:val="none"/>
    </w:rPr>
  </w:style>
  <w:style w:type="numbering" w:customStyle="1" w:styleId="Headingsmaster">
    <w:name w:val="Headings (master)"/>
    <w:uiPriority w:val="99"/>
    <w:rsid w:val="00EF5829"/>
    <w:pPr>
      <w:numPr>
        <w:numId w:val="1"/>
      </w:numPr>
    </w:pPr>
  </w:style>
  <w:style w:type="table" w:customStyle="1" w:styleId="CustomTablekeythemes">
    <w:name w:val="Custom Table (key themes)"/>
    <w:basedOn w:val="TableNormal"/>
    <w:uiPriority w:val="99"/>
    <w:rsid w:val="00EF5829"/>
    <w:pPr>
      <w:spacing w:after="0" w:line="240" w:lineRule="auto"/>
    </w:pPr>
    <w:rPr>
      <w:rFonts w:eastAsiaTheme="minorHAnsi"/>
      <w:kern w:val="0"/>
      <w:sz w:val="20"/>
      <w:szCs w:val="20"/>
      <w:lang w:val="en-US" w:eastAsia="en-US"/>
      <w14:ligatures w14:val="none"/>
    </w:r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styleId="BodyText">
    <w:name w:val="Body Text"/>
    <w:basedOn w:val="Normal"/>
    <w:link w:val="BodyTextChar"/>
    <w:qFormat/>
    <w:rsid w:val="00A20A66"/>
    <w:pPr>
      <w:tabs>
        <w:tab w:val="left" w:pos="357"/>
        <w:tab w:val="left" w:pos="714"/>
        <w:tab w:val="left" w:pos="1072"/>
        <w:tab w:val="left" w:pos="1429"/>
      </w:tabs>
      <w:spacing w:before="120" w:after="120" w:line="276" w:lineRule="auto"/>
    </w:pPr>
    <w:rPr>
      <w:rFonts w:ascii="Arial" w:eastAsiaTheme="minorHAnsi" w:hAnsi="Arial"/>
      <w:kern w:val="0"/>
      <w:sz w:val="22"/>
      <w:szCs w:val="20"/>
      <w:lang w:eastAsia="en-US"/>
      <w14:ligatures w14:val="none"/>
    </w:rPr>
  </w:style>
  <w:style w:type="character" w:customStyle="1" w:styleId="BodyTextChar">
    <w:name w:val="Body Text Char"/>
    <w:basedOn w:val="DefaultParagraphFont"/>
    <w:link w:val="BodyText"/>
    <w:rsid w:val="00A20A66"/>
    <w:rPr>
      <w:rFonts w:ascii="Arial" w:eastAsiaTheme="minorHAnsi" w:hAnsi="Arial"/>
      <w:kern w:val="0"/>
      <w:sz w:val="22"/>
      <w:szCs w:val="20"/>
      <w:lang w:eastAsia="en-US"/>
      <w14:ligatures w14:val="none"/>
    </w:rPr>
  </w:style>
  <w:style w:type="paragraph" w:styleId="Header">
    <w:name w:val="header"/>
    <w:basedOn w:val="Normal"/>
    <w:link w:val="HeaderChar"/>
    <w:uiPriority w:val="24"/>
    <w:rsid w:val="00EF5829"/>
    <w:pPr>
      <w:tabs>
        <w:tab w:val="right" w:pos="0"/>
        <w:tab w:val="center" w:pos="4680"/>
        <w:tab w:val="right" w:pos="9360"/>
      </w:tabs>
      <w:spacing w:before="40" w:after="40" w:line="276" w:lineRule="auto"/>
    </w:pPr>
    <w:rPr>
      <w:rFonts w:ascii="Arial" w:eastAsiaTheme="minorHAnsi" w:hAnsi="Arial"/>
      <w:kern w:val="0"/>
      <w:sz w:val="16"/>
      <w:szCs w:val="20"/>
      <w:lang w:eastAsia="en-US"/>
      <w14:ligatures w14:val="none"/>
    </w:rPr>
  </w:style>
  <w:style w:type="character" w:customStyle="1" w:styleId="HeaderChar">
    <w:name w:val="Header Char"/>
    <w:basedOn w:val="DefaultParagraphFont"/>
    <w:link w:val="Header"/>
    <w:uiPriority w:val="24"/>
    <w:rsid w:val="00EF5829"/>
    <w:rPr>
      <w:rFonts w:ascii="Arial" w:eastAsiaTheme="minorHAnsi" w:hAnsi="Arial"/>
      <w:kern w:val="0"/>
      <w:sz w:val="16"/>
      <w:szCs w:val="20"/>
      <w:lang w:eastAsia="en-US"/>
      <w14:ligatures w14:val="none"/>
    </w:rPr>
  </w:style>
  <w:style w:type="character" w:customStyle="1" w:styleId="Heading4Char">
    <w:name w:val="Heading 4 Char"/>
    <w:basedOn w:val="DefaultParagraphFont"/>
    <w:link w:val="Heading4"/>
    <w:uiPriority w:val="9"/>
    <w:rsid w:val="00EF5829"/>
    <w:rPr>
      <w:rFonts w:ascii="Arial" w:eastAsia="Times New Roman" w:hAnsi="Arial" w:cs="Arial"/>
      <w:b/>
      <w:color w:val="012749"/>
      <w:kern w:val="0"/>
      <w:sz w:val="22"/>
      <w:szCs w:val="21"/>
      <w14:ligatures w14:val="none"/>
    </w:rPr>
  </w:style>
  <w:style w:type="character" w:customStyle="1" w:styleId="Heading5Char">
    <w:name w:val="Heading 5 Char"/>
    <w:basedOn w:val="DefaultParagraphFont"/>
    <w:link w:val="Heading5"/>
    <w:uiPriority w:val="9"/>
    <w:rsid w:val="00EF5829"/>
    <w:rPr>
      <w:rFonts w:ascii="Arial" w:eastAsia="Times New Roman" w:hAnsi="Arial" w:cs="Times New Roman"/>
      <w:bCs/>
      <w:iCs/>
      <w:color w:val="4B0885"/>
      <w:kern w:val="0"/>
      <w:sz w:val="19"/>
      <w:szCs w:val="20"/>
      <w:lang w:val="en-GB"/>
      <w14:ligatures w14:val="none"/>
    </w:rPr>
  </w:style>
  <w:style w:type="character" w:customStyle="1" w:styleId="Heading6Char">
    <w:name w:val="Heading 6 Char"/>
    <w:basedOn w:val="DefaultParagraphFont"/>
    <w:link w:val="Heading6"/>
    <w:uiPriority w:val="9"/>
    <w:rsid w:val="00EF5829"/>
    <w:rPr>
      <w:rFonts w:ascii="Arial" w:eastAsiaTheme="majorEastAsia" w:hAnsi="Arial" w:cstheme="majorBidi"/>
      <w:color w:val="4B0885"/>
      <w:kern w:val="0"/>
      <w:sz w:val="19"/>
      <w:szCs w:val="20"/>
      <w:lang w:eastAsia="en-US"/>
      <w14:ligatures w14:val="none"/>
    </w:rPr>
  </w:style>
  <w:style w:type="table" w:customStyle="1" w:styleId="CustomTablepulloutbox">
    <w:name w:val="Custom Table (pullout box)"/>
    <w:basedOn w:val="TableNormal"/>
    <w:uiPriority w:val="99"/>
    <w:rsid w:val="00A20A66"/>
    <w:pPr>
      <w:spacing w:after="0" w:line="240" w:lineRule="auto"/>
    </w:pPr>
    <w:rPr>
      <w:rFonts w:eastAsiaTheme="minorHAnsi"/>
      <w:kern w:val="0"/>
      <w:sz w:val="20"/>
      <w:szCs w:val="20"/>
      <w:lang w:val="en-US" w:eastAsia="en-US"/>
      <w14:ligatures w14:val="none"/>
    </w:r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paragraph" w:customStyle="1" w:styleId="85BBE2E515E547ED82721B8EC8957CAF">
    <w:name w:val="85BBE2E515E547ED82721B8EC8957CAF"/>
    <w:rsid w:val="00F94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A91863C7D9954BA1F4F386208110F6" ma:contentTypeVersion="15" ma:contentTypeDescription="Create a new document." ma:contentTypeScope="" ma:versionID="6e1d376daf311688a1392b137773f9f7">
  <xsd:schema xmlns:xsd="http://www.w3.org/2001/XMLSchema" xmlns:xs="http://www.w3.org/2001/XMLSchema" xmlns:p="http://schemas.microsoft.com/office/2006/metadata/properties" xmlns:ns2="9dfe89d7-2ec0-4be8-939e-bdd4e1d37eec" xmlns:ns3="dc8401f9-8cbc-434f-a6c0-231b01611467" targetNamespace="http://schemas.microsoft.com/office/2006/metadata/properties" ma:root="true" ma:fieldsID="7c42c95c4685d9992c3f0dcddf377673" ns2:_="" ns3:_="">
    <xsd:import namespace="9dfe89d7-2ec0-4be8-939e-bdd4e1d37eec"/>
    <xsd:import namespace="dc8401f9-8cbc-434f-a6c0-231b01611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89d7-2ec0-4be8-939e-bdd4e1d3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01f9-8cbc-434f-a6c0-231b016114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226a68-58b0-4109-aeba-134a44beebb5}" ma:internalName="TaxCatchAll" ma:showField="CatchAllData" ma:web="dc8401f9-8cbc-434f-a6c0-231b016114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e89d7-2ec0-4be8-939e-bdd4e1d37eec">
      <Terms xmlns="http://schemas.microsoft.com/office/infopath/2007/PartnerControls"/>
    </lcf76f155ced4ddcb4097134ff3c332f>
    <TaxCatchAll xmlns="dc8401f9-8cbc-434f-a6c0-231b01611467" xsi:nil="true"/>
  </documentManagement>
</p:properties>
</file>

<file path=customXml/itemProps1.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2.xml><?xml version="1.0" encoding="utf-8"?>
<ds:datastoreItem xmlns:ds="http://schemas.openxmlformats.org/officeDocument/2006/customXml" ds:itemID="{C2431B9C-61C1-43C4-BCD8-1E7ED7A80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89d7-2ec0-4be8-939e-bdd4e1d37eec"/>
    <ds:schemaRef ds:uri="dc8401f9-8cbc-434f-a6c0-231b0161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4.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9dfe89d7-2ec0-4be8-939e-bdd4e1d37eec"/>
    <ds:schemaRef ds:uri="dc8401f9-8cbc-434f-a6c0-231b0161146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5015</Words>
  <Characters>28588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Labour Market Update</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Update</dc:title>
  <dc:subject/>
  <dc:creator>Jobs and Skills Australia</dc:creator>
  <cp:keywords/>
  <dc:description/>
  <cp:lastModifiedBy>NGUYEN,Giang</cp:lastModifiedBy>
  <cp:revision>6</cp:revision>
  <cp:lastPrinted>2025-06-18T07:01:00Z</cp:lastPrinted>
  <dcterms:created xsi:type="dcterms:W3CDTF">2025-06-17T23:09:00Z</dcterms:created>
  <dcterms:modified xsi:type="dcterms:W3CDTF">2025-06-18T07:01:00Z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0x0101007AA91863C7D9954BA1F4F386208110F6</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ies>
</file>